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header91.xml" ContentType="application/vnd.openxmlformats-officedocument.wordprocessingml.header+xml"/>
  <Override PartName="/word/header92.xml" ContentType="application/vnd.openxmlformats-officedocument.wordprocessingml.header+xml"/>
  <Override PartName="/word/footer91.xml" ContentType="application/vnd.openxmlformats-officedocument.wordprocessingml.footer+xml"/>
  <Override PartName="/word/footer92.xml" ContentType="application/vnd.openxmlformats-officedocument.wordprocessingml.footer+xml"/>
  <Override PartName="/word/header93.xml" ContentType="application/vnd.openxmlformats-officedocument.wordprocessingml.header+xml"/>
  <Override PartName="/word/footer93.xml" ContentType="application/vnd.openxmlformats-officedocument.wordprocessingml.footer+xml"/>
  <Override PartName="/word/header94.xml" ContentType="application/vnd.openxmlformats-officedocument.wordprocessingml.header+xml"/>
  <Override PartName="/word/header95.xml" ContentType="application/vnd.openxmlformats-officedocument.wordprocessingml.header+xml"/>
  <Override PartName="/word/footer94.xml" ContentType="application/vnd.openxmlformats-officedocument.wordprocessingml.footer+xml"/>
  <Override PartName="/word/footer95.xml" ContentType="application/vnd.openxmlformats-officedocument.wordprocessingml.footer+xml"/>
  <Override PartName="/word/header96.xml" ContentType="application/vnd.openxmlformats-officedocument.wordprocessingml.header+xml"/>
  <Override PartName="/word/footer96.xml" ContentType="application/vnd.openxmlformats-officedocument.wordprocessingml.footer+xml"/>
  <Override PartName="/word/header97.xml" ContentType="application/vnd.openxmlformats-officedocument.wordprocessingml.header+xml"/>
  <Override PartName="/word/header98.xml" ContentType="application/vnd.openxmlformats-officedocument.wordprocessingml.header+xml"/>
  <Override PartName="/word/footer97.xml" ContentType="application/vnd.openxmlformats-officedocument.wordprocessingml.foot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header100.xml" ContentType="application/vnd.openxmlformats-officedocument.wordprocessingml.header+xml"/>
  <Override PartName="/word/header101.xml" ContentType="application/vnd.openxmlformats-officedocument.wordprocessingml.header+xml"/>
  <Override PartName="/word/footer100.xml" ContentType="application/vnd.openxmlformats-officedocument.wordprocessingml.footer+xml"/>
  <Override PartName="/word/footer101.xml" ContentType="application/vnd.openxmlformats-officedocument.wordprocessingml.footer+xml"/>
  <Override PartName="/word/header102.xml" ContentType="application/vnd.openxmlformats-officedocument.wordprocessingml.header+xml"/>
  <Override PartName="/word/footer102.xml" ContentType="application/vnd.openxmlformats-officedocument.wordprocessingml.footer+xml"/>
  <Override PartName="/word/header103.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05.xml" ContentType="application/vnd.openxmlformats-officedocument.wordprocessingml.header+xml"/>
  <Override PartName="/word/footer105.xml" ContentType="application/vnd.openxmlformats-officedocument.wordprocessingml.footer+xml"/>
  <Override PartName="/word/header106.xml" ContentType="application/vnd.openxmlformats-officedocument.wordprocessingml.header+xml"/>
  <Override PartName="/word/header107.xml" ContentType="application/vnd.openxmlformats-officedocument.wordprocessingml.header+xml"/>
  <Override PartName="/word/footer106.xml" ContentType="application/vnd.openxmlformats-officedocument.wordprocessingml.footer+xml"/>
  <Override PartName="/word/footer107.xml" ContentType="application/vnd.openxmlformats-officedocument.wordprocessingml.footer+xml"/>
  <Override PartName="/word/header108.xml" ContentType="application/vnd.openxmlformats-officedocument.wordprocessingml.header+xml"/>
  <Override PartName="/word/footer108.xml" ContentType="application/vnd.openxmlformats-officedocument.wordprocessingml.footer+xml"/>
  <Override PartName="/word/header109.xml" ContentType="application/vnd.openxmlformats-officedocument.wordprocessingml.header+xml"/>
  <Override PartName="/word/header110.xml" ContentType="application/vnd.openxmlformats-officedocument.wordprocessingml.header+xml"/>
  <Override PartName="/word/footer109.xml" ContentType="application/vnd.openxmlformats-officedocument.wordprocessingml.footer+xml"/>
  <Override PartName="/word/footer110.xml" ContentType="application/vnd.openxmlformats-officedocument.wordprocessingml.footer+xml"/>
  <Override PartName="/word/header111.xml" ContentType="application/vnd.openxmlformats-officedocument.wordprocessingml.header+xml"/>
  <Override PartName="/word/footer111.xml" ContentType="application/vnd.openxmlformats-officedocument.wordprocessingml.footer+xml"/>
  <Override PartName="/word/header112.xml" ContentType="application/vnd.openxmlformats-officedocument.wordprocessingml.header+xml"/>
  <Override PartName="/word/header113.xml" ContentType="application/vnd.openxmlformats-officedocument.wordprocessingml.header+xml"/>
  <Override PartName="/word/footer112.xml" ContentType="application/vnd.openxmlformats-officedocument.wordprocessingml.footer+xml"/>
  <Override PartName="/word/footer113.xml" ContentType="application/vnd.openxmlformats-officedocument.wordprocessingml.footer+xml"/>
  <Override PartName="/word/header114.xml" ContentType="application/vnd.openxmlformats-officedocument.wordprocessingml.header+xml"/>
  <Override PartName="/word/footer114.xml" ContentType="application/vnd.openxmlformats-officedocument.wordprocessingml.footer+xml"/>
  <Override PartName="/word/header115.xml" ContentType="application/vnd.openxmlformats-officedocument.wordprocessingml.header+xml"/>
  <Override PartName="/word/header116.xml" ContentType="application/vnd.openxmlformats-officedocument.wordprocessingml.header+xml"/>
  <Override PartName="/word/footer115.xml" ContentType="application/vnd.openxmlformats-officedocument.wordprocessingml.footer+xml"/>
  <Override PartName="/word/footer116.xml" ContentType="application/vnd.openxmlformats-officedocument.wordprocessingml.footer+xml"/>
  <Override PartName="/word/header117.xml" ContentType="application/vnd.openxmlformats-officedocument.wordprocessingml.header+xml"/>
  <Override PartName="/word/footer117.xml" ContentType="application/vnd.openxmlformats-officedocument.wordprocessingml.footer+xml"/>
  <Override PartName="/word/header118.xml" ContentType="application/vnd.openxmlformats-officedocument.wordprocessingml.header+xml"/>
  <Override PartName="/word/header119.xml" ContentType="application/vnd.openxmlformats-officedocument.wordprocessingml.header+xml"/>
  <Override PartName="/word/footer118.xml" ContentType="application/vnd.openxmlformats-officedocument.wordprocessingml.footer+xml"/>
  <Override PartName="/word/footer119.xml" ContentType="application/vnd.openxmlformats-officedocument.wordprocessingml.footer+xml"/>
  <Override PartName="/word/header120.xml" ContentType="application/vnd.openxmlformats-officedocument.wordprocessingml.header+xml"/>
  <Override PartName="/word/footer120.xml" ContentType="application/vnd.openxmlformats-officedocument.wordprocessingml.footer+xml"/>
  <Override PartName="/word/header121.xml" ContentType="application/vnd.openxmlformats-officedocument.wordprocessingml.header+xml"/>
  <Override PartName="/word/header122.xml" ContentType="application/vnd.openxmlformats-officedocument.wordprocessingml.header+xml"/>
  <Override PartName="/word/footer121.xml" ContentType="application/vnd.openxmlformats-officedocument.wordprocessingml.footer+xml"/>
  <Override PartName="/word/footer122.xml" ContentType="application/vnd.openxmlformats-officedocument.wordprocessingml.footer+xml"/>
  <Override PartName="/word/header123.xml" ContentType="application/vnd.openxmlformats-officedocument.wordprocessingml.header+xml"/>
  <Override PartName="/word/footer123.xml" ContentType="application/vnd.openxmlformats-officedocument.wordprocessingml.footer+xml"/>
  <Override PartName="/word/header124.xml" ContentType="application/vnd.openxmlformats-officedocument.wordprocessingml.header+xml"/>
  <Override PartName="/word/header125.xml" ContentType="application/vnd.openxmlformats-officedocument.wordprocessingml.header+xml"/>
  <Override PartName="/word/footer124.xml" ContentType="application/vnd.openxmlformats-officedocument.wordprocessingml.footer+xml"/>
  <Override PartName="/word/footer125.xml" ContentType="application/vnd.openxmlformats-officedocument.wordprocessingml.footer+xml"/>
  <Override PartName="/word/header126.xml" ContentType="application/vnd.openxmlformats-officedocument.wordprocessingml.header+xml"/>
  <Override PartName="/word/footer126.xml" ContentType="application/vnd.openxmlformats-officedocument.wordprocessingml.footer+xml"/>
  <Override PartName="/word/header127.xml" ContentType="application/vnd.openxmlformats-officedocument.wordprocessingml.header+xml"/>
  <Override PartName="/word/header128.xml" ContentType="application/vnd.openxmlformats-officedocument.wordprocessingml.header+xml"/>
  <Override PartName="/word/footer127.xml" ContentType="application/vnd.openxmlformats-officedocument.wordprocessingml.footer+xml"/>
  <Override PartName="/word/footer128.xml" ContentType="application/vnd.openxmlformats-officedocument.wordprocessingml.footer+xml"/>
  <Override PartName="/word/header129.xml" ContentType="application/vnd.openxmlformats-officedocument.wordprocessingml.header+xml"/>
  <Override PartName="/word/footer129.xml" ContentType="application/vnd.openxmlformats-officedocument.wordprocessingml.footer+xml"/>
  <Override PartName="/word/header130.xml" ContentType="application/vnd.openxmlformats-officedocument.wordprocessingml.header+xml"/>
  <Override PartName="/word/header131.xml" ContentType="application/vnd.openxmlformats-officedocument.wordprocessingml.header+xml"/>
  <Override PartName="/word/footer130.xml" ContentType="application/vnd.openxmlformats-officedocument.wordprocessingml.footer+xml"/>
  <Override PartName="/word/footer131.xml" ContentType="application/vnd.openxmlformats-officedocument.wordprocessingml.footer+xml"/>
  <Override PartName="/word/header132.xml" ContentType="application/vnd.openxmlformats-officedocument.wordprocessingml.header+xml"/>
  <Override PartName="/word/footer132.xml" ContentType="application/vnd.openxmlformats-officedocument.wordprocessingml.footer+xml"/>
  <Override PartName="/word/header133.xml" ContentType="application/vnd.openxmlformats-officedocument.wordprocessingml.header+xml"/>
  <Override PartName="/word/header134.xml" ContentType="application/vnd.openxmlformats-officedocument.wordprocessingml.header+xml"/>
  <Override PartName="/word/footer133.xml" ContentType="application/vnd.openxmlformats-officedocument.wordprocessingml.footer+xml"/>
  <Override PartName="/word/footer134.xml" ContentType="application/vnd.openxmlformats-officedocument.wordprocessingml.footer+xml"/>
  <Override PartName="/word/header135.xml" ContentType="application/vnd.openxmlformats-officedocument.wordprocessingml.header+xml"/>
  <Override PartName="/word/footer135.xml" ContentType="application/vnd.openxmlformats-officedocument.wordprocessingml.footer+xml"/>
  <Override PartName="/word/header136.xml" ContentType="application/vnd.openxmlformats-officedocument.wordprocessingml.header+xml"/>
  <Override PartName="/word/header137.xml" ContentType="application/vnd.openxmlformats-officedocument.wordprocessingml.header+xml"/>
  <Override PartName="/word/footer136.xml" ContentType="application/vnd.openxmlformats-officedocument.wordprocessingml.footer+xml"/>
  <Override PartName="/word/footer137.xml" ContentType="application/vnd.openxmlformats-officedocument.wordprocessingml.footer+xml"/>
  <Override PartName="/word/header138.xml" ContentType="application/vnd.openxmlformats-officedocument.wordprocessingml.header+xml"/>
  <Override PartName="/word/footer138.xml" ContentType="application/vnd.openxmlformats-officedocument.wordprocessingml.footer+xml"/>
  <Override PartName="/word/header139.xml" ContentType="application/vnd.openxmlformats-officedocument.wordprocessingml.header+xml"/>
  <Override PartName="/word/header140.xml" ContentType="application/vnd.openxmlformats-officedocument.wordprocessingml.header+xml"/>
  <Override PartName="/word/footer139.xml" ContentType="application/vnd.openxmlformats-officedocument.wordprocessingml.footer+xml"/>
  <Override PartName="/word/footer140.xml" ContentType="application/vnd.openxmlformats-officedocument.wordprocessingml.footer+xml"/>
  <Override PartName="/word/header141.xml" ContentType="application/vnd.openxmlformats-officedocument.wordprocessingml.header+xml"/>
  <Override PartName="/word/footer141.xml" ContentType="application/vnd.openxmlformats-officedocument.wordprocessingml.footer+xml"/>
  <Override PartName="/word/header142.xml" ContentType="application/vnd.openxmlformats-officedocument.wordprocessingml.header+xml"/>
  <Override PartName="/word/header143.xml" ContentType="application/vnd.openxmlformats-officedocument.wordprocessingml.header+xml"/>
  <Override PartName="/word/footer142.xml" ContentType="application/vnd.openxmlformats-officedocument.wordprocessingml.footer+xml"/>
  <Override PartName="/word/footer143.xml" ContentType="application/vnd.openxmlformats-officedocument.wordprocessingml.footer+xml"/>
  <Override PartName="/word/header144.xml" ContentType="application/vnd.openxmlformats-officedocument.wordprocessingml.header+xml"/>
  <Override PartName="/word/footer144.xml" ContentType="application/vnd.openxmlformats-officedocument.wordprocessingml.footer+xml"/>
  <Override PartName="/word/header145.xml" ContentType="application/vnd.openxmlformats-officedocument.wordprocessingml.header+xml"/>
  <Override PartName="/word/header146.xml" ContentType="application/vnd.openxmlformats-officedocument.wordprocessingml.header+xml"/>
  <Override PartName="/word/footer145.xml" ContentType="application/vnd.openxmlformats-officedocument.wordprocessingml.footer+xml"/>
  <Override PartName="/word/footer146.xml" ContentType="application/vnd.openxmlformats-officedocument.wordprocessingml.footer+xml"/>
  <Override PartName="/word/header147.xml" ContentType="application/vnd.openxmlformats-officedocument.wordprocessingml.header+xml"/>
  <Override PartName="/word/footer147.xml" ContentType="application/vnd.openxmlformats-officedocument.wordprocessingml.footer+xml"/>
  <Override PartName="/word/header148.xml" ContentType="application/vnd.openxmlformats-officedocument.wordprocessingml.header+xml"/>
  <Override PartName="/word/header149.xml" ContentType="application/vnd.openxmlformats-officedocument.wordprocessingml.header+xml"/>
  <Override PartName="/word/footer148.xml" ContentType="application/vnd.openxmlformats-officedocument.wordprocessingml.footer+xml"/>
  <Override PartName="/word/footer149.xml" ContentType="application/vnd.openxmlformats-officedocument.wordprocessingml.footer+xml"/>
  <Override PartName="/word/header150.xml" ContentType="application/vnd.openxmlformats-officedocument.wordprocessingml.header+xml"/>
  <Override PartName="/word/footer150.xml" ContentType="application/vnd.openxmlformats-officedocument.wordprocessingml.footer+xml"/>
  <Override PartName="/word/header151.xml" ContentType="application/vnd.openxmlformats-officedocument.wordprocessingml.header+xml"/>
  <Override PartName="/word/header152.xml" ContentType="application/vnd.openxmlformats-officedocument.wordprocessingml.header+xml"/>
  <Override PartName="/word/footer151.xml" ContentType="application/vnd.openxmlformats-officedocument.wordprocessingml.footer+xml"/>
  <Override PartName="/word/footer152.xml" ContentType="application/vnd.openxmlformats-officedocument.wordprocessingml.footer+xml"/>
  <Override PartName="/word/header153.xml" ContentType="application/vnd.openxmlformats-officedocument.wordprocessingml.header+xml"/>
  <Override PartName="/word/footer153.xml" ContentType="application/vnd.openxmlformats-officedocument.wordprocessingml.footer+xml"/>
  <Override PartName="/word/header154.xml" ContentType="application/vnd.openxmlformats-officedocument.wordprocessingml.header+xml"/>
  <Override PartName="/word/header155.xml" ContentType="application/vnd.openxmlformats-officedocument.wordprocessingml.header+xml"/>
  <Override PartName="/word/footer154.xml" ContentType="application/vnd.openxmlformats-officedocument.wordprocessingml.footer+xml"/>
  <Override PartName="/word/footer155.xml" ContentType="application/vnd.openxmlformats-officedocument.wordprocessingml.footer+xml"/>
  <Override PartName="/word/header156.xml" ContentType="application/vnd.openxmlformats-officedocument.wordprocessingml.header+xml"/>
  <Override PartName="/word/footer156.xml" ContentType="application/vnd.openxmlformats-officedocument.wordprocessingml.footer+xml"/>
  <Override PartName="/word/header157.xml" ContentType="application/vnd.openxmlformats-officedocument.wordprocessingml.header+xml"/>
  <Override PartName="/word/header158.xml" ContentType="application/vnd.openxmlformats-officedocument.wordprocessingml.header+xml"/>
  <Override PartName="/word/footer157.xml" ContentType="application/vnd.openxmlformats-officedocument.wordprocessingml.footer+xml"/>
  <Override PartName="/word/footer158.xml" ContentType="application/vnd.openxmlformats-officedocument.wordprocessingml.footer+xml"/>
  <Override PartName="/word/header159.xml" ContentType="application/vnd.openxmlformats-officedocument.wordprocessingml.header+xml"/>
  <Override PartName="/word/footer159.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footer160.xml" ContentType="application/vnd.openxmlformats-officedocument.wordprocessingml.footer+xml"/>
  <Override PartName="/word/footer161.xml" ContentType="application/vnd.openxmlformats-officedocument.wordprocessingml.footer+xml"/>
  <Override PartName="/word/header162.xml" ContentType="application/vnd.openxmlformats-officedocument.wordprocessingml.header+xml"/>
  <Override PartName="/word/footer162.xml" ContentType="application/vnd.openxmlformats-officedocument.wordprocessingml.footer+xml"/>
  <Override PartName="/word/header163.xml" ContentType="application/vnd.openxmlformats-officedocument.wordprocessingml.header+xml"/>
  <Override PartName="/word/header164.xml" ContentType="application/vnd.openxmlformats-officedocument.wordprocessingml.header+xml"/>
  <Override PartName="/word/footer163.xml" ContentType="application/vnd.openxmlformats-officedocument.wordprocessingml.footer+xml"/>
  <Override PartName="/word/footer164.xml" ContentType="application/vnd.openxmlformats-officedocument.wordprocessingml.footer+xml"/>
  <Override PartName="/word/header165.xml" ContentType="application/vnd.openxmlformats-officedocument.wordprocessingml.header+xml"/>
  <Override PartName="/word/footer165.xml" ContentType="application/vnd.openxmlformats-officedocument.wordprocessingml.footer+xml"/>
  <Override PartName="/word/header166.xml" ContentType="application/vnd.openxmlformats-officedocument.wordprocessingml.header+xml"/>
  <Override PartName="/word/header167.xml" ContentType="application/vnd.openxmlformats-officedocument.wordprocessingml.header+xml"/>
  <Override PartName="/word/footer166.xml" ContentType="application/vnd.openxmlformats-officedocument.wordprocessingml.footer+xml"/>
  <Override PartName="/word/footer167.xml" ContentType="application/vnd.openxmlformats-officedocument.wordprocessingml.footer+xml"/>
  <Override PartName="/word/header168.xml" ContentType="application/vnd.openxmlformats-officedocument.wordprocessingml.header+xml"/>
  <Override PartName="/word/footer168.xml" ContentType="application/vnd.openxmlformats-officedocument.wordprocessingml.footer+xml"/>
  <Override PartName="/word/header169.xml" ContentType="application/vnd.openxmlformats-officedocument.wordprocessingml.header+xml"/>
  <Override PartName="/word/header170.xml" ContentType="application/vnd.openxmlformats-officedocument.wordprocessingml.header+xml"/>
  <Override PartName="/word/footer169.xml" ContentType="application/vnd.openxmlformats-officedocument.wordprocessingml.footer+xml"/>
  <Override PartName="/word/footer170.xml" ContentType="application/vnd.openxmlformats-officedocument.wordprocessingml.footer+xml"/>
  <Override PartName="/word/header171.xml" ContentType="application/vnd.openxmlformats-officedocument.wordprocessingml.header+xml"/>
  <Override PartName="/word/footer171.xml" ContentType="application/vnd.openxmlformats-officedocument.wordprocessingml.footer+xml"/>
  <Override PartName="/word/header172.xml" ContentType="application/vnd.openxmlformats-officedocument.wordprocessingml.header+xml"/>
  <Override PartName="/word/header173.xml" ContentType="application/vnd.openxmlformats-officedocument.wordprocessingml.header+xml"/>
  <Override PartName="/word/footer172.xml" ContentType="application/vnd.openxmlformats-officedocument.wordprocessingml.footer+xml"/>
  <Override PartName="/word/footer173.xml" ContentType="application/vnd.openxmlformats-officedocument.wordprocessingml.footer+xml"/>
  <Override PartName="/word/header174.xml" ContentType="application/vnd.openxmlformats-officedocument.wordprocessingml.header+xml"/>
  <Override PartName="/word/footer174.xml" ContentType="application/vnd.openxmlformats-officedocument.wordprocessingml.footer+xml"/>
  <Override PartName="/word/header175.xml" ContentType="application/vnd.openxmlformats-officedocument.wordprocessingml.header+xml"/>
  <Override PartName="/word/header176.xml" ContentType="application/vnd.openxmlformats-officedocument.wordprocessingml.header+xml"/>
  <Override PartName="/word/footer175.xml" ContentType="application/vnd.openxmlformats-officedocument.wordprocessingml.footer+xml"/>
  <Override PartName="/word/footer176.xml" ContentType="application/vnd.openxmlformats-officedocument.wordprocessingml.footer+xml"/>
  <Override PartName="/word/header177.xml" ContentType="application/vnd.openxmlformats-officedocument.wordprocessingml.header+xml"/>
  <Override PartName="/word/footer177.xml" ContentType="application/vnd.openxmlformats-officedocument.wordprocessingml.footer+xml"/>
  <Override PartName="/word/header178.xml" ContentType="application/vnd.openxmlformats-officedocument.wordprocessingml.header+xml"/>
  <Override PartName="/word/header179.xml" ContentType="application/vnd.openxmlformats-officedocument.wordprocessingml.header+xml"/>
  <Override PartName="/word/footer178.xml" ContentType="application/vnd.openxmlformats-officedocument.wordprocessingml.footer+xml"/>
  <Override PartName="/word/footer179.xml" ContentType="application/vnd.openxmlformats-officedocument.wordprocessingml.footer+xml"/>
  <Override PartName="/word/header180.xml" ContentType="application/vnd.openxmlformats-officedocument.wordprocessingml.header+xml"/>
  <Override PartName="/word/footer180.xml" ContentType="application/vnd.openxmlformats-officedocument.wordprocessingml.footer+xml"/>
  <Override PartName="/word/header181.xml" ContentType="application/vnd.openxmlformats-officedocument.wordprocessingml.header+xml"/>
  <Override PartName="/word/header182.xml" ContentType="application/vnd.openxmlformats-officedocument.wordprocessingml.header+xml"/>
  <Override PartName="/word/footer181.xml" ContentType="application/vnd.openxmlformats-officedocument.wordprocessingml.footer+xml"/>
  <Override PartName="/word/footer182.xml" ContentType="application/vnd.openxmlformats-officedocument.wordprocessingml.footer+xml"/>
  <Override PartName="/word/header183.xml" ContentType="application/vnd.openxmlformats-officedocument.wordprocessingml.header+xml"/>
  <Override PartName="/word/footer183.xml" ContentType="application/vnd.openxmlformats-officedocument.wordprocessingml.footer+xml"/>
  <Override PartName="/word/header184.xml" ContentType="application/vnd.openxmlformats-officedocument.wordprocessingml.header+xml"/>
  <Override PartName="/word/header185.xml" ContentType="application/vnd.openxmlformats-officedocument.wordprocessingml.header+xml"/>
  <Override PartName="/word/footer184.xml" ContentType="application/vnd.openxmlformats-officedocument.wordprocessingml.footer+xml"/>
  <Override PartName="/word/footer185.xml" ContentType="application/vnd.openxmlformats-officedocument.wordprocessingml.footer+xml"/>
  <Override PartName="/word/header186.xml" ContentType="application/vnd.openxmlformats-officedocument.wordprocessingml.header+xml"/>
  <Override PartName="/word/footer186.xml" ContentType="application/vnd.openxmlformats-officedocument.wordprocessingml.footer+xml"/>
  <Override PartName="/word/header187.xml" ContentType="application/vnd.openxmlformats-officedocument.wordprocessingml.header+xml"/>
  <Override PartName="/word/header188.xml" ContentType="application/vnd.openxmlformats-officedocument.wordprocessingml.header+xml"/>
  <Override PartName="/word/footer187.xml" ContentType="application/vnd.openxmlformats-officedocument.wordprocessingml.footer+xml"/>
  <Override PartName="/word/footer188.xml" ContentType="application/vnd.openxmlformats-officedocument.wordprocessingml.footer+xml"/>
  <Override PartName="/word/header189.xml" ContentType="application/vnd.openxmlformats-officedocument.wordprocessingml.header+xml"/>
  <Override PartName="/word/footer189.xml" ContentType="application/vnd.openxmlformats-officedocument.wordprocessingml.footer+xml"/>
  <Override PartName="/word/header190.xml" ContentType="application/vnd.openxmlformats-officedocument.wordprocessingml.header+xml"/>
  <Override PartName="/word/header191.xml" ContentType="application/vnd.openxmlformats-officedocument.wordprocessingml.header+xml"/>
  <Override PartName="/word/footer190.xml" ContentType="application/vnd.openxmlformats-officedocument.wordprocessingml.footer+xml"/>
  <Override PartName="/word/footer191.xml" ContentType="application/vnd.openxmlformats-officedocument.wordprocessingml.footer+xml"/>
  <Override PartName="/word/header192.xml" ContentType="application/vnd.openxmlformats-officedocument.wordprocessingml.header+xml"/>
  <Override PartName="/word/footer192.xml" ContentType="application/vnd.openxmlformats-officedocument.wordprocessingml.footer+xml"/>
  <Override PartName="/word/header193.xml" ContentType="application/vnd.openxmlformats-officedocument.wordprocessingml.header+xml"/>
  <Override PartName="/word/header194.xml" ContentType="application/vnd.openxmlformats-officedocument.wordprocessingml.header+xml"/>
  <Override PartName="/word/footer193.xml" ContentType="application/vnd.openxmlformats-officedocument.wordprocessingml.footer+xml"/>
  <Override PartName="/word/footer194.xml" ContentType="application/vnd.openxmlformats-officedocument.wordprocessingml.footer+xml"/>
  <Override PartName="/word/header195.xml" ContentType="application/vnd.openxmlformats-officedocument.wordprocessingml.header+xml"/>
  <Override PartName="/word/footer195.xml" ContentType="application/vnd.openxmlformats-officedocument.wordprocessingml.footer+xml"/>
  <Override PartName="/word/header196.xml" ContentType="application/vnd.openxmlformats-officedocument.wordprocessingml.header+xml"/>
  <Override PartName="/word/header197.xml" ContentType="application/vnd.openxmlformats-officedocument.wordprocessingml.header+xml"/>
  <Override PartName="/word/footer196.xml" ContentType="application/vnd.openxmlformats-officedocument.wordprocessingml.footer+xml"/>
  <Override PartName="/word/footer197.xml" ContentType="application/vnd.openxmlformats-officedocument.wordprocessingml.footer+xml"/>
  <Override PartName="/word/header198.xml" ContentType="application/vnd.openxmlformats-officedocument.wordprocessingml.header+xml"/>
  <Override PartName="/word/footer198.xml" ContentType="application/vnd.openxmlformats-officedocument.wordprocessingml.footer+xml"/>
  <Override PartName="/word/header199.xml" ContentType="application/vnd.openxmlformats-officedocument.wordprocessingml.header+xml"/>
  <Override PartName="/word/header200.xml" ContentType="application/vnd.openxmlformats-officedocument.wordprocessingml.header+xml"/>
  <Override PartName="/word/footer199.xml" ContentType="application/vnd.openxmlformats-officedocument.wordprocessingml.footer+xml"/>
  <Override PartName="/word/footer200.xml" ContentType="application/vnd.openxmlformats-officedocument.wordprocessingml.footer+xml"/>
  <Override PartName="/word/header201.xml" ContentType="application/vnd.openxmlformats-officedocument.wordprocessingml.header+xml"/>
  <Override PartName="/word/footer20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F643A" w14:textId="3A6AC6FE" w:rsidR="00154E32" w:rsidRDefault="00DE606B" w:rsidP="00DE606B">
      <w:pPr>
        <w:pStyle w:val="Pagedecouverture"/>
        <w:rPr>
          <w:noProof/>
        </w:rPr>
      </w:pPr>
      <w:bookmarkStart w:id="0" w:name="LW_BM_COVERPAGE"/>
      <w:r>
        <w:rPr>
          <w:noProof/>
        </w:rPr>
        <w:pict w14:anchorId="20A2F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FC9E50B5-7EF7-4093-AF7A-3C0DF7F46925" style="width:455.25pt;height:425.25pt">
            <v:imagedata r:id="rId11" o:title=""/>
          </v:shape>
        </w:pict>
      </w:r>
    </w:p>
    <w:bookmarkEnd w:id="0"/>
    <w:p w14:paraId="67CD86DA" w14:textId="77777777" w:rsidR="00154E32" w:rsidRDefault="00154E32">
      <w:pPr>
        <w:rPr>
          <w:noProof/>
        </w:rPr>
        <w:sectPr w:rsidR="00154E32" w:rsidSect="00DE606B">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3C6D21E8" w14:textId="1EED3DB8" w:rsidR="00154E32" w:rsidRDefault="00A43E04">
      <w:pPr>
        <w:pStyle w:val="P68B1DB1-Heading11"/>
        <w:numPr>
          <w:ilvl w:val="0"/>
          <w:numId w:val="0"/>
        </w:numPr>
        <w:jc w:val="center"/>
        <w:rPr>
          <w:noProof/>
        </w:rPr>
      </w:pPr>
      <w:bookmarkStart w:id="1" w:name="_GoBack"/>
      <w:bookmarkEnd w:id="1"/>
      <w:r>
        <w:rPr>
          <w:noProof/>
        </w:rPr>
        <w:lastRenderedPageBreak/>
        <w:t>PRILOGA</w:t>
      </w:r>
    </w:p>
    <w:p w14:paraId="2E98B2C1" w14:textId="7CEA1D25" w:rsidR="00154E32" w:rsidRDefault="00A43E04">
      <w:pPr>
        <w:pStyle w:val="Heading1"/>
        <w:rPr>
          <w:noProof/>
        </w:rPr>
      </w:pPr>
      <w:r>
        <w:rPr>
          <w:noProof/>
        </w:rPr>
        <w:t xml:space="preserve">Opis reform in naložb </w:t>
      </w:r>
    </w:p>
    <w:p w14:paraId="6E146819" w14:textId="77777777" w:rsidR="00154E32" w:rsidRDefault="00A43E04">
      <w:pPr>
        <w:pStyle w:val="Heading2"/>
        <w:numPr>
          <w:ilvl w:val="0"/>
          <w:numId w:val="105"/>
        </w:numPr>
        <w:rPr>
          <w:noProof/>
        </w:rPr>
      </w:pPr>
      <w:r>
        <w:rPr>
          <w:noProof/>
        </w:rPr>
        <w:t>NALOGA ŠT. 1:</w:t>
      </w:r>
    </w:p>
    <w:p w14:paraId="1FEA85CA" w14:textId="7F478567" w:rsidR="00154E32" w:rsidRDefault="00A43E04">
      <w:pPr>
        <w:pStyle w:val="Descriptiontitle"/>
        <w:ind w:left="0"/>
        <w:rPr>
          <w:rFonts w:eastAsiaTheme="minorHAnsi"/>
          <w:noProof/>
        </w:rPr>
      </w:pPr>
      <w:r>
        <w:rPr>
          <w:b/>
          <w:noProof/>
        </w:rPr>
        <w:t>Os 1 – Digitalizacija javne uprave</w:t>
      </w:r>
      <w:r>
        <w:rPr>
          <w:noProof/>
        </w:rPr>
        <w:t>: Os 1 komponente M1C1 italijanskega načrta za okrevanje in odpornost vsebuje ukrepe za spodbujanje digitalizacije italijanske javne uprave ter vključuje sedem naložb in tri reforme. Cilj naložb je zlasti: (I) racionalizacija in konsolidacija obstoječih digitalnih infrastruktur javne uprave; (II) spodbujanje uporabe računalništva v oblaku, (iii) s posebnim poudarkom na harmonizaciji in interoperabilnosti platform in podatkovnih storitev, izvajanju načela „samo enkrat“ in dostopnosti podatkov prek kataloga vmesnikov za aplikacijsko programiranje (API); (IV) izboljšanje razpoložljivosti, učinkovitosti in dostopnosti vseh digitalnih javnih storitev za povečanje stopnje sprejemanja in zadovoljstva uporabnikov, (v) krepitev obrambe Italije pred tveganji, ki jih predstavlja kibernetska kriminaliteta, (vi) spodbujanje digitalne preobrazbe velikih osrednjih uprav; (VII) odpravljanje digitalnega razkoraka s krepitvijo digitalnih znanj in spretnosti državljanov. Cilj reform v okviru te osi je zlasti (i) poenostavitev in pospešitev postopka javnega naročanja rešitev na področju informacijskih in komunikacijskih tehnologij (IKT) s strani javne uprave; (II) podpora digitalni preobrazbi javne uprave ter (iii) odprava ovir za uvedbo oblaka v javnih upravah in poenostavitev postopkov izmenjave podatkov med javnimi upravami.</w:t>
      </w:r>
    </w:p>
    <w:p w14:paraId="031B4FDB" w14:textId="77777777" w:rsidR="00154E32" w:rsidRDefault="00A43E04">
      <w:pPr>
        <w:pStyle w:val="Descriptiontitle"/>
        <w:ind w:left="0"/>
        <w:rPr>
          <w:rFonts w:eastAsiaTheme="minorEastAsia"/>
          <w:noProof/>
        </w:rPr>
      </w:pPr>
      <w:r>
        <w:rPr>
          <w:noProof/>
        </w:rPr>
        <w:t>Naložbe in reforme v okviru te komponente prispevajo k obravnavi priporočil za posamezne države, naslovljenih na Italijo v letih 2020 in 2019, v zvezi s potrebo po „izboljšanju učinkovitosti javne uprave, tudi z vlaganjem v znanja in spretnosti javnih uslužbencev, s pospeševanjem digitalizacije ter povečanjem učinkovitosti in kakovosti lokalnih javnih storitev“ (priporočilo za posamezne države št. 3 iz leta 2019), ter k „usmerjenju naložb v zeleni in digitalni prehod, zlasti na [...] okrepljeno digitalno infrastrukturo, da se zagotovi zagotavljanje osnovnih storitev“ (priporočilo za posamezne države št. 3, 2020).</w:t>
      </w:r>
    </w:p>
    <w:p w14:paraId="49D3443F" w14:textId="77777777" w:rsidR="00154E32" w:rsidRDefault="00A43E04">
      <w:pPr>
        <w:pStyle w:val="Descriptiontitle"/>
        <w:ind w:left="0"/>
        <w:rPr>
          <w:rFonts w:eastAsiaTheme="minorEastAsia"/>
          <w:noProof/>
        </w:rPr>
      </w:pPr>
      <w:r>
        <w:rPr>
          <w:b/>
          <w:noProof/>
        </w:rPr>
        <w:t>Os 2 – Pravosodje</w:t>
      </w:r>
      <w:r>
        <w:rPr>
          <w:noProof/>
        </w:rPr>
        <w:t>: Delovanje italijanskega pravosodnega sistema je glede trajanja postopkov še vedno daleč od uspešnosti drugih držav članic, kot je navedeno v zadnjem poročilu Evropske komisije o učinkovitosti pravosodja (CEPEJ). Os 2 komponente M1C1 načrta za okrevanje in odpornost vsebuje ukrepe, katerih cilj je povečati učinkovitost pravosodnega sistema s skrajšanjem trajanja postopkov in približevanjem Italije mediani EU. Ta komponenta obravnava priporočila za posamezne države, naslovljena na Italijo v letih 2020 in 2019, o skrajšanju trajanja civilnih sodnih postopkov in izboljšanju učinkovitosti boja proti korupciji (priporočila za posamezne države 4, 2019 in 4 iz leta 2020). Poleg tega je digitalizacija pravosodnega sistema pomembna tudi za digitalni prehod.</w:t>
      </w:r>
    </w:p>
    <w:p w14:paraId="48EE0DDD" w14:textId="32EA48DC" w:rsidR="00154E32" w:rsidRDefault="00A43E04">
      <w:pPr>
        <w:pStyle w:val="Descriptiontitle"/>
        <w:ind w:left="0"/>
        <w:rPr>
          <w:rFonts w:eastAsiaTheme="minorEastAsia"/>
          <w:noProof/>
        </w:rPr>
      </w:pPr>
      <w:r>
        <w:rPr>
          <w:b/>
          <w:noProof/>
        </w:rPr>
        <w:t>Os 3 – Javna uprava</w:t>
      </w:r>
      <w:r>
        <w:rPr>
          <w:noProof/>
        </w:rPr>
        <w:t>: Os 3 komponente M1C1 načrta za okrevanje in odpornost vsebuje ukrepe, katerih cilj je reforma italijanske javne uprave in izboljšanje upravne zmogljivosti. Italija je pod povprečjem EU-27, tako po učinkovitosti vlade kot po zaupanju v vlado. Na reforme italijanske javne uprave je vplivala resna vrzel pri izvajanju reform od zgoraj navzdol ter omejeno priznavanje in širjenje dragocenih inovacij od spodaj navzgor. Upravna zmogljivost je zelo nizka. Nadaljevati bi bilo treba prizadevanja za krepitev zmogljivosti strateškega načrtovanja, mehanizmov spremljanja in ocenjevanja ter instrumentov za oblikovanje politik, ki temeljijo na dokazih. Glavni cilj te komponente je okrepiti upravno zmogljivost italijanskih javnih uprav na centralni in lokalni ravni, tako v smislu človeškega kapitala (izbor, kompetence in poklicne poti) kot v smislu poenostavitve upravnih postopkov. V tem oddelku je predstavljena krovna strukturna strategija človeških virov, ki zajema vse od izbirnih postopkov do poklicnih poti. Reforma vključuje tudi ukrepe za poenostavitev postopkov. Naložbe v nove digitalne nabore orodij in okrepljene ukrepe za vseživljenjsko učenje so vključene v komponento 1 misije 1. Ta komponenta obravnava priporočila za posamezne države, naslovljena na Italijo v letih 2020 in 2019, o izboljšanju učinkovitosti javne uprave (priporočilo za posamezno državo št. 3, 2019 in priporočilo za posamezno državo št. 4 iz leta 2020).</w:t>
      </w:r>
    </w:p>
    <w:p w14:paraId="6F96B41E" w14:textId="77777777" w:rsidR="00154E32" w:rsidRDefault="00A43E04">
      <w:pPr>
        <w:pStyle w:val="Descriptiontitle"/>
        <w:ind w:left="0"/>
        <w:rPr>
          <w:rFonts w:eastAsiaTheme="minorHAnsi"/>
          <w:noProof/>
        </w:rPr>
      </w:pPr>
      <w:r>
        <w:rPr>
          <w:b/>
          <w:noProof/>
        </w:rPr>
        <w:t>Os 4 – Javna naročila in plačila uprave</w:t>
      </w:r>
      <w:r>
        <w:rPr>
          <w:noProof/>
        </w:rPr>
        <w:t>: Os 4 komponente M1C1 načrta za okrevanje in odpornost vsebuje ukrepe, katerih cilj je reformirati nekatere ključne vidike italijanskega zakonodajnega okvira za javna naročila in zmanjšati zamude pri plačilih javnih uprav centralnih, regionalnih in lokalnih ter regionalnih zdravstvenih organov. Glavni cilj reforme je poenostaviti pravila o javnih naročilih, povečati pravno varnost za podjetja in pospešiti oddajo javnih naročil ob hkratnem ohranjanju postopkovnih jamstev v smislu preglednosti in enake obravnave. Te reforme zato podpirajo pravočasno vzpostavitev infrastruktur in projektov, ki se financirajo iz načrta.</w:t>
      </w:r>
    </w:p>
    <w:p w14:paraId="0388E521" w14:textId="77777777" w:rsidR="00154E32" w:rsidRDefault="00A43E04">
      <w:pPr>
        <w:pStyle w:val="Descriptiontitle"/>
        <w:ind w:left="0"/>
        <w:rPr>
          <w:rFonts w:eastAsiaTheme="minorHAnsi"/>
          <w:noProof/>
        </w:rPr>
      </w:pPr>
      <w:r>
        <w:rPr>
          <w:b/>
          <w:noProof/>
        </w:rPr>
        <w:t>Os 5 – fiskalno-strukturne reforme (obdavčitev in javni izdatki)</w:t>
      </w:r>
      <w:r>
        <w:rPr>
          <w:noProof/>
        </w:rPr>
        <w:t>: Os 5 komponente M1C1 za okrevanje in odpornost vključuje več reform, namenjenih podpori vzdržnosti javnih financ Italije (priporočilo za posamezno državo št. 1, 2019). Na strani prihodkov so reforme namenjene izboljšanju postopka pobiranja davkov, spodbujanju izpolnjevanja davčnih obveznosti in boju proti davčnim utajam, da bi zmanjšali stroške izpolnjevanja obveznosti za davkoplačevalce in povečali prihodke sektorja država, kar bi prispevalo k izboljšanju vzdržnosti javnih financ. Na strani odhodkov je cilj reform izboljšati učinkovitost javne porabe tako na centralni ravni s krepitvijo obstoječega okvira za letne preglede porabe kot na podnacionalni ravni z dokončanjem reforme fiskalnih odnosov na različnih ravneh upravljanja.</w:t>
      </w:r>
    </w:p>
    <w:p w14:paraId="35CACAC7" w14:textId="77777777" w:rsidR="00154E32" w:rsidRDefault="00A43E04">
      <w:pPr>
        <w:pStyle w:val="Heading3"/>
        <w:numPr>
          <w:ilvl w:val="0"/>
          <w:numId w:val="0"/>
        </w:numPr>
        <w:ind w:left="850" w:hanging="850"/>
        <w:rPr>
          <w:b/>
          <w:i w:val="0"/>
          <w:noProof/>
          <w:u w:val="single"/>
        </w:rPr>
      </w:pPr>
      <w:r>
        <w:rPr>
          <w:b/>
          <w:i w:val="0"/>
          <w:noProof/>
          <w:u w:val="single"/>
        </w:rPr>
        <w:t xml:space="preserve">A.1. </w:t>
      </w:r>
      <w:r>
        <w:rPr>
          <w:noProof/>
        </w:rPr>
        <w:tab/>
      </w:r>
      <w:r>
        <w:rPr>
          <w:b/>
          <w:i w:val="0"/>
          <w:noProof/>
          <w:u w:val="single"/>
        </w:rPr>
        <w:t>Opis reform in naložb za nepovratno finančno podporo</w:t>
      </w:r>
    </w:p>
    <w:p w14:paraId="3FD1F914" w14:textId="77777777" w:rsidR="00154E32" w:rsidRDefault="00A43E04">
      <w:pPr>
        <w:pStyle w:val="Axistitle"/>
        <w:ind w:left="0"/>
        <w:rPr>
          <w:noProof/>
        </w:rPr>
      </w:pPr>
      <w:r>
        <w:rPr>
          <w:noProof/>
        </w:rPr>
        <w:t>Os 1 – Digitalizacija javne uprave</w:t>
      </w:r>
    </w:p>
    <w:p w14:paraId="754D445C" w14:textId="322A06E0" w:rsidR="00154E32" w:rsidRDefault="00A43E04">
      <w:pPr>
        <w:pStyle w:val="P68B1DB1-Normal2"/>
        <w:spacing w:before="240" w:after="120"/>
        <w:jc w:val="both"/>
        <w:rPr>
          <w:rFonts w:eastAsiaTheme="minorHAnsi"/>
          <w:noProof/>
        </w:rPr>
      </w:pPr>
      <w:r>
        <w:rPr>
          <w:noProof/>
        </w:rPr>
        <w:t>Naložba 1.1 – Digitalna infrastruktura</w:t>
      </w:r>
    </w:p>
    <w:p w14:paraId="3044844B" w14:textId="77777777" w:rsidR="00154E32" w:rsidRDefault="00A43E04">
      <w:pPr>
        <w:pStyle w:val="Descriptiontitle"/>
        <w:ind w:left="0"/>
        <w:rPr>
          <w:noProof/>
        </w:rPr>
      </w:pPr>
      <w:r>
        <w:rPr>
          <w:noProof/>
        </w:rPr>
        <w:t>Cilj te naložbe je zagotoviti, da sistemi, nabori podatkov in aplikacije javne uprave gostijo v zelo zanesljivih podatkovnih centrih z visokimi standardi kakovosti za varnost, učinkovitost, nadgradljivost, evropsko interoperabilnost in energijsko učinkovitost. V ta namen naložba predvideva vzpostavitev najsodobnejše nacionalne hibridne infrastrukture, ki temelji na oblaku (imenovana „Polo Strategico Nazionale“, PSN), certificiranje varnih in nadgradljivih alternativ v javnem oblaku ter migracijo naborov podatkov in aplikacij javne uprave na oblak.</w:t>
      </w:r>
    </w:p>
    <w:p w14:paraId="4F940949" w14:textId="77777777" w:rsidR="00154E32" w:rsidRDefault="00A43E04">
      <w:pPr>
        <w:pStyle w:val="Descriptiontitle"/>
        <w:ind w:left="0"/>
        <w:rPr>
          <w:noProof/>
        </w:rPr>
      </w:pPr>
      <w:r>
        <w:rPr>
          <w:noProof/>
        </w:rPr>
        <w:t>Pričakuje se, da bo infrastrukturo PSN upravljal ponudnik tehnologije, izbran z evropskim razpisom, in bo zasnovana v skladu s standardi interoperabilnosti podatkov, opredeljenimi na evropski ravni v skladu s pobudo Gaia-X, da se omogoči prosta izmenjava neosebnih podatkov med različnimi državami članicami z medsebojnim povezovanjem njihovih nacionalnih modelov računalništva v oblaku. Podobne zahteve naj bi bile sprejete pri predhodnem izboru javnih ponudnikov storitev v oblaku.</w:t>
      </w:r>
    </w:p>
    <w:p w14:paraId="7D351FC4" w14:textId="77777777" w:rsidR="00154E32" w:rsidRDefault="00A43E04">
      <w:pPr>
        <w:pStyle w:val="Descriptiontitle"/>
        <w:ind w:left="0"/>
        <w:rPr>
          <w:noProof/>
        </w:rPr>
      </w:pPr>
      <w:r>
        <w:rPr>
          <w:noProof/>
        </w:rPr>
        <w:t>Migracija naborov podatkov in aplikacij javne uprave na PSN ali na varne certificirane javne ponudnike storitev v oblaku naj bi bila odvisna od zahtev glede učinkovitosti, nadgradljivosti in občutljivosti podatkov, ki jih opredelijo različne uprave, od katerih se pričakuje, da bo vsaka ohranila svojo neodvisnost pri razvoju aplikacij in upravljanju podatkov.</w:t>
      </w:r>
    </w:p>
    <w:p w14:paraId="7A1091C5" w14:textId="049DC2CA" w:rsidR="00154E32" w:rsidRDefault="00A43E04">
      <w:pPr>
        <w:pStyle w:val="P68B1DB1-Normal2"/>
        <w:spacing w:before="240" w:after="120"/>
        <w:jc w:val="both"/>
        <w:rPr>
          <w:rFonts w:eastAsiaTheme="minorHAnsi"/>
          <w:noProof/>
        </w:rPr>
      </w:pPr>
      <w:r>
        <w:rPr>
          <w:noProof/>
        </w:rPr>
        <w:t>Naložba 1.3 – Podatki in interoperabilnost</w:t>
      </w:r>
    </w:p>
    <w:p w14:paraId="68B51E3C" w14:textId="77777777" w:rsidR="00154E32" w:rsidRDefault="00A43E04">
      <w:pPr>
        <w:pStyle w:val="Descriptiontitle"/>
        <w:ind w:left="0"/>
        <w:rPr>
          <w:noProof/>
        </w:rPr>
      </w:pPr>
      <w:r>
        <w:rPr>
          <w:noProof/>
        </w:rPr>
        <w:t>Cilj te naložbe je zagotoviti popolno interoperabilnost ključnih naborov podatkov in storitev v osrednjih in lokalnih javnih upravah.</w:t>
      </w:r>
    </w:p>
    <w:p w14:paraId="0755E4C1" w14:textId="299E9664" w:rsidR="00154E32" w:rsidRDefault="00A43E04">
      <w:pPr>
        <w:pStyle w:val="Descriptiontitle"/>
        <w:ind w:left="0"/>
        <w:rPr>
          <w:noProof/>
        </w:rPr>
      </w:pPr>
      <w:r>
        <w:rPr>
          <w:noProof/>
        </w:rPr>
        <w:t>Ukrep predvideva razvoj nacionalne digitalne podatkovne platforme (Piattaforma Digitale Nazionale Dati), ki bo zagotavljala interoperabilnost podatkovnih nizov s katalogom vmesnikov za aplikacijsko programiranje, ki si jih delijo centralne in lokalne uprave (naložbe 1.3.1). Ta platforma, ko je vzpostavljena, zagotavlja interoperabilnost podatkovnih nizov s katalogom vmesnikov za aplikacijsko programiranje, ki si jih delijo centralne in lokalne uprave. Platforma je v celoti skladna s pravom EU.</w:t>
      </w:r>
    </w:p>
    <w:p w14:paraId="05356462" w14:textId="77777777" w:rsidR="00154E32" w:rsidRDefault="00A43E04">
      <w:pPr>
        <w:pStyle w:val="Descriptiontitle"/>
        <w:ind w:left="0"/>
        <w:rPr>
          <w:noProof/>
        </w:rPr>
      </w:pPr>
      <w:r>
        <w:rPr>
          <w:noProof/>
        </w:rPr>
        <w:t>Poleg tega se z ukrepom vzpostavi „enotni digitalni portal“ v skladu z Uredbo (EU) 2018/1724, ki bo centralnim in javnim upravam pomagal pri prestrukturiranju prednostnih postopkov in omogočil izpolnjevanje načela „samo enkrat“ (naložbe 1.3.2).</w:t>
      </w:r>
    </w:p>
    <w:p w14:paraId="6C58B3C7" w14:textId="2D20E9FA" w:rsidR="00154E32" w:rsidRDefault="00A43E04">
      <w:pPr>
        <w:pStyle w:val="P68B1DB1-Normal2"/>
        <w:spacing w:before="240" w:after="120"/>
        <w:jc w:val="both"/>
        <w:rPr>
          <w:rFonts w:eastAsiaTheme="minorHAnsi"/>
          <w:noProof/>
        </w:rPr>
      </w:pPr>
      <w:r>
        <w:rPr>
          <w:noProof/>
        </w:rPr>
        <w:t>Naložba 1.5 – Kibernetska varnost</w:t>
      </w:r>
    </w:p>
    <w:p w14:paraId="21F5D1A1" w14:textId="77777777" w:rsidR="00154E32" w:rsidRDefault="00A43E04">
      <w:pPr>
        <w:pStyle w:val="Descriptiontitle"/>
        <w:ind w:left="0"/>
        <w:rPr>
          <w:noProof/>
        </w:rPr>
      </w:pPr>
      <w:r>
        <w:rPr>
          <w:noProof/>
        </w:rPr>
        <w:t>Cilj te naložbe je okrepiti obrambo Italije pred tveganji, ki jih predstavlja kibernetska kriminaliteta, zlasti z izvajanjem „nacionalnega perimeterja za kibernetsko varnost“ v skladu z varnostnimi zahtevami iz Direktive (EU) 2016/1148 o varnosti omrežij in informacijskih sistemov (direktiva o varnosti omrežij in informacijskih sistemov) ter s krepitvijo nacionalnih zmogljivosti kibernetske obrambe za tehnične inšpekcijske preglede in spremljanje tveganj.</w:t>
      </w:r>
    </w:p>
    <w:p w14:paraId="6E77DC89" w14:textId="43FC343F" w:rsidR="00154E32" w:rsidRDefault="00A43E04">
      <w:pPr>
        <w:pStyle w:val="Descriptiontitle"/>
        <w:ind w:left="0"/>
        <w:rPr>
          <w:noProof/>
        </w:rPr>
      </w:pPr>
      <w:r>
        <w:rPr>
          <w:noProof/>
        </w:rPr>
        <w:t>Ukrep predvideva razvoj najsodobnejšega, integriranega sistema, ki bo tesno povezoval različne subjekte po vsej državi ter mednarodno povezal s partnerji in zaupanja vrednimi ponudniki tehnologije. Ta temelji na štirih stebrih: (I) krepitev zmogljivosti na terenu za javnost in podjetja/subjekte za upravljanje opozoril in dejanskih javno priznanih dogodkov; (II) izgradnja/krepitev zmogljivosti države za inšpekcijske preglede in revizije strojne in programske opreme, ki jo uporabljajo udeleženci z bistvenimi funkcijami za potrjevanje zanesljivosti/preprepoved groženj; (III) povečevati enote organov kazenskega pregona in kibernetske enote v okviru policijskih sil, ki so pristojne za preiskave kriminalnih dejavnosti; (IV) znatno okrepiti kibernetsko premoženje in človeške vire, odgovorne za nacionalno varnost in odzivanje na kibernetske grožnje.</w:t>
      </w:r>
    </w:p>
    <w:p w14:paraId="075465D0" w14:textId="01216002" w:rsidR="00154E32" w:rsidRDefault="00A43E04">
      <w:pPr>
        <w:pStyle w:val="P68B1DB1-Normal2"/>
        <w:spacing w:before="240" w:after="120"/>
        <w:jc w:val="both"/>
        <w:rPr>
          <w:rFonts w:eastAsiaTheme="minorHAnsi"/>
          <w:noProof/>
        </w:rPr>
      </w:pPr>
      <w:r>
        <w:rPr>
          <w:noProof/>
        </w:rPr>
        <w:t>Naložba 1.7 – Osnovna digitalna znanja in spretnosti</w:t>
      </w:r>
    </w:p>
    <w:p w14:paraId="4BD2A1B9" w14:textId="2F35C0EF" w:rsidR="00154E32" w:rsidRDefault="00A43E04">
      <w:pPr>
        <w:spacing w:before="120" w:after="120"/>
        <w:jc w:val="both"/>
        <w:rPr>
          <w:noProof/>
        </w:rPr>
      </w:pPr>
      <w:r>
        <w:rPr>
          <w:noProof/>
        </w:rPr>
        <w:t>Cilj te naložbe je zmanjšati delež trenutnega prebivalstva, ki mu grozi digitalna izključenost, z uvedbo pobude za digitalno javno upravo, mrežo mladih prostovoljcev iz različnih okolij po vsej Italiji, da se posameznikom, ki jim grozi digitalna izključenost, zagotovijo podporne in izobraževalne storitve za razvoj in izboljšanje digitalnih znanj in spretnosti (naložbe 1.7.1) ter s krepitvijo obstoječe mreže centrov za digitalne spodbude (naložbe 1.7.2).</w:t>
      </w:r>
    </w:p>
    <w:p w14:paraId="6A9302C8" w14:textId="77777777" w:rsidR="00154E32" w:rsidRDefault="00A43E04">
      <w:pPr>
        <w:spacing w:before="120" w:after="120"/>
        <w:jc w:val="both"/>
        <w:rPr>
          <w:noProof/>
        </w:rPr>
      </w:pPr>
      <w:r>
        <w:rPr>
          <w:noProof/>
        </w:rPr>
        <w:t>Centri za digitalne poenostavitve so fizične točke dostopa, ki se običajno nahajajo v knjižnicah, šolah in socialnih centrih, ki državljanom zagotavljajo osebno in spletno usposabljanje v zvezi z digitalnimi znanji in spretnostmi, da bi učinkovito podprli njihovo digitalno vključevanje. Pobuda izkorišča obstoječe uspešne izkušnje in je namenjena zagotavljanju širokega razvoja takih centrov na nacionalni ravni. Čeprav je 600 centrov že dejavnih, se njihova prisotnost dodatno okrepi z namenskimi dejavnostmi usposabljanja in novo opremo, pri čemer je glavni cilj vzpostaviti 2400 novih točk dostopa po vsej Italiji in usposobiti več kot 2000000 državljanov, ki jim grozi digitalna izključenost. Od 3000 centrov je približno 1200 centrov skoncentriranih na jugu Italije.</w:t>
      </w:r>
      <w:r>
        <w:rPr>
          <w:noProof/>
          <w:color w:val="2B579A"/>
          <w:shd w:val="clear" w:color="auto" w:fill="E6E6E6"/>
        </w:rPr>
        <w:t xml:space="preserve"> </w:t>
      </w:r>
    </w:p>
    <w:p w14:paraId="24DEA4ED" w14:textId="30AB5F7B" w:rsidR="00154E32" w:rsidRDefault="00A43E04">
      <w:pPr>
        <w:spacing w:before="120" w:after="120"/>
        <w:jc w:val="both"/>
        <w:rPr>
          <w:noProof/>
        </w:rPr>
      </w:pPr>
      <w:r>
        <w:rPr>
          <w:noProof/>
        </w:rPr>
        <w:t>Pobuda za digitalno javno upravo je razdeljena na tri leta in postopoma, njen namen pa je doseči naslednje rezultate: (I) izvedbo treh letnih razpisov za projekte digitalne javne službe, namenjene neprofitnim organizacijam, ki so vpisane v nacionalni register organizacij univerzalne javne službe; (II) krepitev zmogljivosti neprofitnih organizacij, ki sodelujejo pri letnem razpisu za digitalno javno upravo, ter začetek izvajanja projektov digitalne poenostavitve in digitalnega izobraževanja; (III) usposabljanje in izkušnje na terenu pri projektih digitalne javne uprave za približno 8300 prostovoljcev; zagotavljanje 700000 pobud za digitalno olajšanje in/ali digitalno izobraževanje, ki vključujejo državljane in so bile razvite v okviru projektov digitalne javne uprave, v katerih sodeluje 8300 prostovoljcev.</w:t>
      </w:r>
    </w:p>
    <w:p w14:paraId="0C69CBA7" w14:textId="17EC030B" w:rsidR="00154E32" w:rsidRDefault="00A43E04">
      <w:pPr>
        <w:pStyle w:val="P68B1DB1-Normal2"/>
        <w:spacing w:before="240" w:after="120"/>
        <w:jc w:val="both"/>
        <w:rPr>
          <w:rFonts w:eastAsiaTheme="minorHAnsi"/>
          <w:noProof/>
        </w:rPr>
      </w:pPr>
      <w:r>
        <w:rPr>
          <w:noProof/>
        </w:rPr>
        <w:t>Reforma 1.1 – Javna naročila IKT</w:t>
      </w:r>
    </w:p>
    <w:p w14:paraId="51B677F2" w14:textId="77777777" w:rsidR="00154E32" w:rsidRDefault="00A43E04">
      <w:pPr>
        <w:spacing w:before="120" w:after="120"/>
        <w:jc w:val="both"/>
        <w:rPr>
          <w:noProof/>
        </w:rPr>
      </w:pPr>
      <w:r>
        <w:rPr>
          <w:noProof/>
        </w:rPr>
        <w:t>Cilj te reforme je zagotoviti, da lahko javna uprava hitreje in učinkoviteje naroči rešitve na področju informacijskih in komunikacijskih tehnologij (IKT) z racionalizacijo in pospešitvijo postopka javnega naročanja za storitve in sredstva IKT.</w:t>
      </w:r>
    </w:p>
    <w:p w14:paraId="6024542E" w14:textId="77777777" w:rsidR="00154E32" w:rsidRDefault="00A43E04">
      <w:pPr>
        <w:spacing w:before="120" w:after="120"/>
        <w:jc w:val="both"/>
        <w:rPr>
          <w:noProof/>
        </w:rPr>
      </w:pPr>
      <w:r>
        <w:rPr>
          <w:noProof/>
        </w:rPr>
        <w:t>Izvajanje reforme je sestavljeno iz treh vrst ukrepov. Najprej se vzpostavi enotna podatkovna zbirka, ki vsebuje beli seznam gospodarskih subjektov, pooblaščenih za zagotavljanje blaga in storitev javnim upravam, in uvede se posebna tehnološka infrastruktura, ki bo omogočala certificiranje dobaviteljev. Drugič, sprejme se poenostavljen pristop („hitra pot“) za racionalizacijo nakupov IKT za projekte PNRR. Tretjič, vzpostavi se storitev digitalnega javnega naročanja, da bi (i) vključevala samo certificirane dobavitelje (gospodarski subjekti lahko kadar koli zahtevajo, da so certificirani v skladu s členom 64 Direktive 2014/24/EU); (II) omogočiti hitro identifikacijo dobaviteljev, ki izpolnjujejo določeno potrebo (npr. s konfiguratorjem); (III) zagotoviti intuitivno uporabniško izkušnjo za uprave (npr. jasen opis ponujenih storitev, primerjalna ocena dobaviteljev). Ta splošna ureditev temelji na obstoječih zmogljivostih italijanskega državnega subjekta CONSIP za javna naročila.</w:t>
      </w:r>
    </w:p>
    <w:p w14:paraId="6CBE5DAC" w14:textId="3FFE0534" w:rsidR="00154E32" w:rsidRDefault="00A43E04">
      <w:pPr>
        <w:pStyle w:val="P68B1DB1-Normal2"/>
        <w:spacing w:before="240" w:after="120"/>
        <w:jc w:val="both"/>
        <w:rPr>
          <w:rFonts w:eastAsiaTheme="minorHAnsi"/>
          <w:noProof/>
        </w:rPr>
      </w:pPr>
      <w:r>
        <w:rPr>
          <w:noProof/>
        </w:rPr>
        <w:t>Reforma 1.2 – Podpora za preoblikovanje</w:t>
      </w:r>
    </w:p>
    <w:p w14:paraId="5E1C7E14" w14:textId="77777777" w:rsidR="00154E32" w:rsidRDefault="00A43E04">
      <w:pPr>
        <w:spacing w:before="120" w:after="120"/>
        <w:jc w:val="both"/>
        <w:rPr>
          <w:noProof/>
        </w:rPr>
      </w:pPr>
      <w:r>
        <w:rPr>
          <w:noProof/>
        </w:rPr>
        <w:t>Cilj te reforme je podpreti digitalno preobrazbo vseh osrednjih in lokalnih javnih uprav z ustanovitvijo posebnega „urada za digitalno preobrazbo PA“. Urad za preoblikovanje je sestavljen iz začasnega tehnološko usposobljenega nabora virov, ki organizira in podpira prizadevanja za migracijo ter centralizirano pogajanje o „svežnjih“ certificirane zunanje podpore. Poleg tega ukrep predvideva ustanovitev podjetja, osredotočenega na razvoj in upravljanje operacij programske opreme, da bi podprli digitalno pospešitev osrednjih uprav. Urad za preoblikovanje zlasti podpira javno upravo pri izvajanju naložb 1.1 do 1.7, vključenih v to komponento, ter podpira tudi izvajanje naložb in reform na področju digitalizacije zdravstvenega varstva, vključenih v misijo 6.</w:t>
      </w:r>
    </w:p>
    <w:p w14:paraId="061DA301" w14:textId="502788C8" w:rsidR="00154E32" w:rsidRDefault="00A43E04">
      <w:pPr>
        <w:pStyle w:val="P68B1DB1-Normal2"/>
        <w:spacing w:before="240" w:after="120"/>
        <w:jc w:val="both"/>
        <w:rPr>
          <w:rFonts w:eastAsiaTheme="minorHAnsi"/>
          <w:noProof/>
        </w:rPr>
      </w:pPr>
      <w:r>
        <w:rPr>
          <w:noProof/>
        </w:rPr>
        <w:t>Reforma 1.3 – Najprej v oblaku in interoperabilnost</w:t>
      </w:r>
    </w:p>
    <w:p w14:paraId="3A0319C2" w14:textId="77777777" w:rsidR="00154E32" w:rsidRDefault="00A43E04">
      <w:pPr>
        <w:spacing w:before="120" w:after="120"/>
        <w:jc w:val="both"/>
        <w:rPr>
          <w:noProof/>
        </w:rPr>
      </w:pPr>
      <w:r>
        <w:rPr>
          <w:noProof/>
        </w:rPr>
        <w:t>Cilj te reforme je odpraviti ovire za uvajanje v oblaku in racionalizirati birokracijo, ki upočasnjuje postopke izmenjave podatkov med javnimi upravami, in sicer z uvedbo sklopa spodbud in obveznosti, namenjenih olajšanju prehoda na računalništvo v oblaku in odpravi postopkovnih omejitev za široko sprejemanje digitalnih storitev.</w:t>
      </w:r>
    </w:p>
    <w:p w14:paraId="23FFEA64" w14:textId="77777777" w:rsidR="00154E32" w:rsidRDefault="00A43E04">
      <w:pPr>
        <w:spacing w:before="120" w:after="120"/>
        <w:jc w:val="both"/>
        <w:rPr>
          <w:noProof/>
        </w:rPr>
      </w:pPr>
      <w:r>
        <w:rPr>
          <w:noProof/>
        </w:rPr>
        <w:t xml:space="preserve">Reforma vključuje tri vrste ukrepov. Prvič, ker rešitve v oblaku spodbujajo stroškovno učinkovitost porabe za informacijsko in komunikacijsko tehnologijo (IKT), se po vnaprej določenem „obdobju odloga“ (npr. tri leta po začetku preoblikovanja), uprave, ki niso upoštevale preobrazbe v oblaku, v proračunu porabe za IKT omejijo. </w:t>
      </w:r>
    </w:p>
    <w:p w14:paraId="2BCFB9AC" w14:textId="77777777" w:rsidR="00154E32" w:rsidRDefault="00A43E04">
      <w:pPr>
        <w:spacing w:before="120" w:after="120"/>
        <w:jc w:val="both"/>
        <w:rPr>
          <w:noProof/>
        </w:rPr>
      </w:pPr>
      <w:r>
        <w:rPr>
          <w:noProof/>
        </w:rPr>
        <w:t>Drugič, v okviru spodbud za migracije v oblaku se pregledajo sedanja pravila javnega računovodstva za odhodke, povezane s storitvami v oblaku. Glede na to, da prehod na oblak trenutno vključuje prenos proračunskih sredstev iz naložb v osnovna sredstva na odhodke iz poslovanja, je treba pregledati pravila javnega računovodstva za odhodke, povezane s storitvami v oblaku, da ne bi odvrnili od migracij v oblaku za javne uprave.</w:t>
      </w:r>
    </w:p>
    <w:p w14:paraId="5B12CFED" w14:textId="77777777" w:rsidR="00154E32" w:rsidRDefault="00A43E04">
      <w:pPr>
        <w:spacing w:before="120" w:after="120"/>
        <w:jc w:val="both"/>
        <w:rPr>
          <w:noProof/>
        </w:rPr>
      </w:pPr>
      <w:r>
        <w:rPr>
          <w:noProof/>
        </w:rPr>
        <w:t>Tretjič, normativi v zvezi s pravili o interoperabilnosti podatkov se revidirajo v skladu z določbami o odprtih podatkih in obdelavi osebnih podatkov, sedanji postopki za izmenjavo podatkov med javnimi upravami pa se poenostavijo, da se racionalizirajo postopkovni vidiki in pospeši izvajanje interoperabilnosti med zbirkami podatkov javne uprave. Poleg tega se digitalno prebivališče pregleda in vključi v nacionalni register rezidentov (ANPR), da se omogoči določena in varna digitalna korespondenca med državljani in javnimi upravami.</w:t>
      </w:r>
    </w:p>
    <w:p w14:paraId="7BBFAC22" w14:textId="77777777" w:rsidR="00154E32" w:rsidRDefault="00A43E04">
      <w:pPr>
        <w:pStyle w:val="Axistitle"/>
        <w:ind w:left="0"/>
        <w:rPr>
          <w:noProof/>
        </w:rPr>
      </w:pPr>
      <w:r>
        <w:rPr>
          <w:noProof/>
        </w:rPr>
        <w:t>Os 2 – Pravosodje</w:t>
      </w:r>
    </w:p>
    <w:p w14:paraId="033B89EB" w14:textId="77777777" w:rsidR="00154E32" w:rsidRDefault="00A43E04">
      <w:pPr>
        <w:pStyle w:val="P68B1DB1-Normal2"/>
        <w:spacing w:before="240" w:after="120"/>
        <w:jc w:val="both"/>
        <w:rPr>
          <w:rFonts w:eastAsiaTheme="minorHAnsi"/>
          <w:noProof/>
        </w:rPr>
      </w:pPr>
      <w:r>
        <w:rPr>
          <w:noProof/>
        </w:rPr>
        <w:t>Reforma 1.4 – Civilno pravosodje</w:t>
      </w:r>
    </w:p>
    <w:p w14:paraId="1E26AFB3" w14:textId="069D9F92" w:rsidR="00154E32" w:rsidRDefault="00A43E04">
      <w:pPr>
        <w:spacing w:before="120" w:after="120"/>
        <w:jc w:val="both"/>
        <w:rPr>
          <w:noProof/>
        </w:rPr>
      </w:pPr>
      <w:r>
        <w:rPr>
          <w:noProof/>
        </w:rPr>
        <w:t>Cilj reforme je osredotočen predvsem na skrajšanje trajanja civilnih postopkov z opredelitvijo širokega nabora ukrepov za zmanjšanje števila prejetih zadev na sodiščih, poenostavitvijo obstoječih postopkov, zmanjšanjem zaostankov in povečanjem produktivnosti sodišč. Zmanjšanje števila prejetih zadev na sodiščih se doseže s krepitvijo mediacije, alternativnega reševanja sporov in arbitraže ter pregledom sedanjega sistema količinske opredelitve in povrnitve sodnih stroškov. Poenostavitev se nadaljuje z okrepitvijo „postopkov filtriranja“ na pritožbeni stopnji, razširitvijo primerov, v katerih je za odločanje pristojen sodnik posameznik, in zagotavljanjem dejanskega izvajanja zavezujočih rokov za postopke. Večja produktivnost sodišč se doseže s sistemom spremljanja in spodbudami za doseganje standardne uspešnosti na vseh sodiščih. Cilj reforme je tudi zmanjšati zaostanke na civilnih sodiščih z začasnim zaposlovanjem in ciljno usmerjenimi ukrepi, vključno s shemami spodbud za zmanjšanje števila nerešenih zadev.</w:t>
      </w:r>
    </w:p>
    <w:p w14:paraId="4D2F29C4" w14:textId="77777777" w:rsidR="00154E32" w:rsidRDefault="00A43E04">
      <w:pPr>
        <w:pStyle w:val="P68B1DB1-Normal2"/>
        <w:spacing w:before="240" w:after="120"/>
        <w:jc w:val="both"/>
        <w:rPr>
          <w:rFonts w:eastAsiaTheme="minorHAnsi"/>
          <w:noProof/>
        </w:rPr>
      </w:pPr>
      <w:r>
        <w:rPr>
          <w:noProof/>
        </w:rPr>
        <w:t>Reforma 1.5 – Kazensko pravosodje</w:t>
      </w:r>
    </w:p>
    <w:p w14:paraId="2562167A" w14:textId="77777777" w:rsidR="00154E32" w:rsidRDefault="00A43E04">
      <w:pPr>
        <w:spacing w:before="120" w:after="120"/>
        <w:jc w:val="both"/>
        <w:rPr>
          <w:noProof/>
        </w:rPr>
      </w:pPr>
      <w:r>
        <w:rPr>
          <w:noProof/>
        </w:rPr>
        <w:t xml:space="preserve">Cilj reforme je predvsem skrajšati trajanje kazenskih postopkov z opredelitvijo širokega nabora ukrepov s poenostavitvijo obstoječih postopkov in povečanjem produktivnosti sodišč. Poenostavitev si prizadeva za razširitev uporabe poenostavljenih postopkov, razširitev uporabe digitalne tehnologije, opredelitev rokov za trajanje predhodne preiskave in pregled sistema obveščanja, da bi bil učinkovitejši. Večja produktivnost sodišč se doseže s sistemom spremljanja in spodbudami za doseganje standardne uspešnosti na vseh sodiščih. </w:t>
      </w:r>
    </w:p>
    <w:p w14:paraId="3F050ABB" w14:textId="1125F82D" w:rsidR="00154E32" w:rsidRDefault="00A43E04">
      <w:pPr>
        <w:pStyle w:val="P68B1DB1-Normal2"/>
        <w:spacing w:before="240" w:after="120"/>
        <w:jc w:val="both"/>
        <w:rPr>
          <w:rFonts w:eastAsiaTheme="minorHAnsi"/>
          <w:noProof/>
        </w:rPr>
      </w:pPr>
      <w:r>
        <w:rPr>
          <w:noProof/>
        </w:rPr>
        <w:t>Reforma 1.6 – Nesolventnost</w:t>
      </w:r>
    </w:p>
    <w:p w14:paraId="3F797B8E" w14:textId="77777777" w:rsidR="00154E32" w:rsidRDefault="00A43E04">
      <w:pPr>
        <w:spacing w:before="120" w:after="120"/>
        <w:jc w:val="both"/>
        <w:rPr>
          <w:noProof/>
        </w:rPr>
      </w:pPr>
      <w:r>
        <w:rPr>
          <w:noProof/>
        </w:rPr>
        <w:t xml:space="preserve">Reforma je namenjena digitalizaciji in okrepitvi postopkov v primeru insolventnosti z uvedbo mehanizmov zgodnjega opozarjanja pred insolventnostjo, specializacijo sodišč in predsodnih institucij za učinkovitejše upravljanje vseh faz postopkov v primeru insolventnosti, vključno z usposabljanjem in specializacijo za člane sodnih in upravnih organov. </w:t>
      </w:r>
    </w:p>
    <w:p w14:paraId="3285C556" w14:textId="77777777" w:rsidR="00154E32" w:rsidRDefault="00A43E04">
      <w:pPr>
        <w:pStyle w:val="P68B1DB1-Normal2"/>
        <w:spacing w:before="240" w:after="120"/>
        <w:jc w:val="both"/>
        <w:rPr>
          <w:rFonts w:eastAsiaTheme="minorHAnsi"/>
          <w:noProof/>
        </w:rPr>
      </w:pPr>
      <w:r>
        <w:rPr>
          <w:noProof/>
        </w:rPr>
        <w:t>Reforma 1.7 – Davčna sodišča</w:t>
      </w:r>
    </w:p>
    <w:p w14:paraId="50F04A69" w14:textId="77777777" w:rsidR="00154E32" w:rsidRDefault="00A43E04">
      <w:pPr>
        <w:spacing w:before="120" w:after="120"/>
        <w:jc w:val="both"/>
        <w:rPr>
          <w:noProof/>
        </w:rPr>
      </w:pPr>
      <w:r>
        <w:rPr>
          <w:noProof/>
        </w:rPr>
        <w:t xml:space="preserve">Cilj reforme je povečati učinkovitost izvrševanja davčnega prava in zmanjšati veliko število pritožb na kasacijskem sodišču. </w:t>
      </w:r>
    </w:p>
    <w:p w14:paraId="2D6373A4" w14:textId="77777777" w:rsidR="00154E32" w:rsidRDefault="00A43E04">
      <w:pPr>
        <w:pStyle w:val="P68B1DB1-Normal2"/>
        <w:spacing w:before="240" w:after="120"/>
        <w:jc w:val="both"/>
        <w:rPr>
          <w:rFonts w:eastAsiaTheme="minorHAnsi"/>
          <w:noProof/>
        </w:rPr>
      </w:pPr>
      <w:r>
        <w:rPr>
          <w:noProof/>
        </w:rPr>
        <w:t>Reforma 1.8 – Digitalizacija pravosodnega sistema</w:t>
      </w:r>
    </w:p>
    <w:p w14:paraId="5B5817B8" w14:textId="77777777" w:rsidR="00154E32" w:rsidRDefault="00A43E04">
      <w:pPr>
        <w:spacing w:before="120" w:after="120"/>
        <w:jc w:val="both"/>
        <w:rPr>
          <w:noProof/>
        </w:rPr>
      </w:pPr>
      <w:r>
        <w:rPr>
          <w:noProof/>
        </w:rPr>
        <w:t xml:space="preserve">Reforma predvideva obvezno elektronsko vložitev vseh dokumentov in popoln elektronski potek dela v civilnih postopkih. Namenjena je tudi digitalizaciji prvostopenjskega kazenskega postopka, pri čemer so izključene predhodne obravnave. Njegov namen je vzpostaviti brezplačno in v celoti dostopno zbirko podatkov o civilnopravnih odločbah, ki jo je mogoče iskati po njih v skladu z zakonodajo. </w:t>
      </w:r>
    </w:p>
    <w:p w14:paraId="5D92D013" w14:textId="77777777" w:rsidR="00154E32" w:rsidRDefault="00A43E04">
      <w:pPr>
        <w:pStyle w:val="P68B1DB1-Normal2"/>
        <w:spacing w:before="240" w:after="120"/>
        <w:jc w:val="both"/>
        <w:rPr>
          <w:rFonts w:eastAsiaTheme="minorHAnsi"/>
          <w:noProof/>
        </w:rPr>
      </w:pPr>
      <w:r>
        <w:rPr>
          <w:noProof/>
        </w:rPr>
        <w:t>Naložba 1.8 – Postopki zaposlovanja na civilnih, kazenskih in upravnih sodiščih</w:t>
      </w:r>
    </w:p>
    <w:p w14:paraId="644547C2" w14:textId="77777777" w:rsidR="00154E32" w:rsidRDefault="00A43E04">
      <w:pPr>
        <w:spacing w:before="120" w:after="120"/>
        <w:jc w:val="both"/>
        <w:rPr>
          <w:noProof/>
        </w:rPr>
      </w:pPr>
      <w:r>
        <w:rPr>
          <w:noProof/>
        </w:rPr>
        <w:t xml:space="preserve">Naložbe so namenjene kratkoročnemu ukrepanju v zvezi z organizacijskimi dejavniki, da bi lahko reforme, ki se pripravljajo, hitreje ustvarile rezultate, s čimer bi se čim bolj povečale sinergije, hkrati pa bi se z izrednimi sredstvi, zagotovljenimi v okviru načrta, dosegla preobrazbena sprememba. </w:t>
      </w:r>
    </w:p>
    <w:p w14:paraId="50DEDC08" w14:textId="5DB75BCC" w:rsidR="00154E32" w:rsidRDefault="00A43E04">
      <w:pPr>
        <w:spacing w:before="120" w:after="120"/>
        <w:jc w:val="both"/>
        <w:rPr>
          <w:noProof/>
        </w:rPr>
      </w:pPr>
      <w:r>
        <w:rPr>
          <w:noProof/>
        </w:rPr>
        <w:t>Organizacijsko orodje, imenovano „</w:t>
      </w:r>
      <w:r>
        <w:rPr>
          <w:i/>
          <w:noProof/>
        </w:rPr>
        <w:t>urad sojenja</w:t>
      </w:r>
      <w:r>
        <w:rPr>
          <w:noProof/>
        </w:rPr>
        <w:t xml:space="preserve">“, vključuje ustanovitev (ali, kjer že obstaja okrepitev) podpornih skupin za sodnike (z začasnim zaposlovanjem), da bi se zmanjšali zaostanki in čas, potreben za izdajo sodne odločbe v Italiji. </w:t>
      </w:r>
    </w:p>
    <w:p w14:paraId="13FF3220" w14:textId="665D8149" w:rsidR="00154E32" w:rsidRDefault="00A43E04">
      <w:pPr>
        <w:spacing w:before="120" w:after="120"/>
        <w:jc w:val="both"/>
        <w:rPr>
          <w:noProof/>
        </w:rPr>
      </w:pPr>
      <w:r>
        <w:rPr>
          <w:noProof/>
        </w:rPr>
        <w:t xml:space="preserve">Cilj tega ukrepa je izboljšati kakovost pravosodja s podpiranjem sodnikov pri običajnih dejavnostih študija, pravnih raziskav, priprave aktov in organizacije spisov, s čimer se sodnikom omogoči, da se osredotočijo na bolj zapletene naloge. </w:t>
      </w:r>
    </w:p>
    <w:p w14:paraId="7FF02BA9" w14:textId="77777777" w:rsidR="00154E32" w:rsidRDefault="00A43E04">
      <w:pPr>
        <w:spacing w:before="120" w:after="120"/>
        <w:jc w:val="both"/>
        <w:rPr>
          <w:noProof/>
        </w:rPr>
      </w:pPr>
      <w:r>
        <w:rPr>
          <w:noProof/>
        </w:rPr>
        <w:t>Organizacijsko orodje, imenovano „</w:t>
      </w:r>
      <w:r>
        <w:rPr>
          <w:i/>
          <w:noProof/>
        </w:rPr>
        <w:t>urad sojenja</w:t>
      </w:r>
      <w:r>
        <w:rPr>
          <w:noProof/>
        </w:rPr>
        <w:t xml:space="preserve">“, vključuje ustanovitev (ali, kjer že obstaja okrepitev) podpornih skupin za sodnike (z začasnim zaposlovanjem), da bi se zmanjšali zaostanki in čas, potreben za izdajo sodne odločbe v Italiji. </w:t>
      </w:r>
    </w:p>
    <w:p w14:paraId="10ABF0BB" w14:textId="5CF52343" w:rsidR="00154E32" w:rsidRDefault="00A43E04">
      <w:pPr>
        <w:spacing w:before="120" w:after="120"/>
        <w:jc w:val="both"/>
        <w:rPr>
          <w:noProof/>
        </w:rPr>
      </w:pPr>
      <w:r>
        <w:rPr>
          <w:noProof/>
        </w:rPr>
        <w:t>Naložbe vključujejo tudi zaposlovanje tehničnega in upravnega osebja, ki podpira izvajanje ciljev načrta za okrevanje in odpornost. Osebje urada sojenja in tehnično upravno osebje podpira upravna, civilna, kazenska sodišča ter teritorialne in osrednje službe ministrstva za pravosodje, pristojne za izvajanje načrta za okrevanje in odpornost. Pogodbe za enoto osebja trajajo tri leta, ki se lahko podaljšajo do 30. junija 2026.</w:t>
      </w:r>
    </w:p>
    <w:p w14:paraId="2F3EF6E6" w14:textId="77777777" w:rsidR="00154E32" w:rsidRDefault="00A43E04">
      <w:pPr>
        <w:spacing w:before="120" w:after="120"/>
        <w:jc w:val="both"/>
        <w:rPr>
          <w:noProof/>
        </w:rPr>
      </w:pPr>
      <w:r>
        <w:rPr>
          <w:noProof/>
        </w:rPr>
        <w:t xml:space="preserve">Naložba vključuje tudi usposabljanje za podporo digitalnemu prehodu v pravosodnem sistemu. </w:t>
      </w:r>
    </w:p>
    <w:p w14:paraId="1D929B8A" w14:textId="77777777" w:rsidR="00154E32" w:rsidRDefault="00A43E04">
      <w:pPr>
        <w:pStyle w:val="Axistitle"/>
        <w:ind w:left="0"/>
        <w:rPr>
          <w:noProof/>
        </w:rPr>
      </w:pPr>
      <w:r>
        <w:rPr>
          <w:noProof/>
        </w:rPr>
        <w:t>Os 3 – Javna uprava</w:t>
      </w:r>
    </w:p>
    <w:p w14:paraId="1C65C9A3" w14:textId="310A130D" w:rsidR="00154E32" w:rsidRDefault="00A43E04">
      <w:pPr>
        <w:pStyle w:val="P68B1DB1-Normal2"/>
        <w:spacing w:before="240" w:after="120"/>
        <w:jc w:val="both"/>
        <w:rPr>
          <w:rFonts w:eastAsiaTheme="minorHAnsi"/>
          <w:noProof/>
        </w:rPr>
      </w:pPr>
      <w:r>
        <w:rPr>
          <w:noProof/>
        </w:rPr>
        <w:t>Reforma 1.9 – Reforma zaposlovanja v javnem sektorju in reforma poenostavitve</w:t>
      </w:r>
    </w:p>
    <w:p w14:paraId="07F53727" w14:textId="77777777" w:rsidR="00154E32" w:rsidRDefault="00A43E04">
      <w:pPr>
        <w:keepNext/>
        <w:spacing w:before="120" w:after="120"/>
        <w:jc w:val="both"/>
        <w:rPr>
          <w:rFonts w:eastAsiaTheme="minorHAnsi"/>
          <w:noProof/>
        </w:rPr>
      </w:pPr>
      <w:r>
        <w:rPr>
          <w:noProof/>
        </w:rPr>
        <w:t>Reforme zaposlovanja v javnem sektorju sledijo dvostopenjskemu pristopu. Kratkoročno se sprejmejo nujni ukrepi za čim boljšo uporabo sredstev mehanizma za okrevanje in odpornost v zvezi z upravljanjem načrta in takojšnjo pomočjo javnim upravam, ki nima upravnih zmogljivosti. Ta strategija je povezana z organizacijskimi reformami in strategijo človeških virov, katere cilj je korenite spremembe v javni upravi kot celoti. V opredelitvi strateških načrtov za človeške vire je opredeljen celovit sklop ukrepov za: posodabljanje profilov delovnih mest (tudi zaradi dvojnega prehoda); reformo postopkov zaposlovanja, da bi bili bolj ciljno usmerjeni in učinkoviti; reforma višjih javnih uslužbencev za poenotenje postopkov imenovanja v javni upravi; krepitev povezave med vseživljenjskim učenjem in mehanizmi nagrajevanja ali posebnimi poklicnimi potmi; opredelitev ali posodobitev etičnih načel javnih uprav; krepitev zavezanosti uravnoteženi zastopanosti spolov; ter reforma horizontalne in vertikalne mobilnosti osebja. Reforma vključuje nujne ukrepe za poenostavitev upravnih postopkov v korist podjetij in državljanov, hkrati pa zagotavlja nemoteno izvajanje načrta za okrevanje in odpornost.</w:t>
      </w:r>
    </w:p>
    <w:p w14:paraId="65518AD6" w14:textId="77777777" w:rsidR="00154E32" w:rsidRDefault="00A43E04">
      <w:pPr>
        <w:keepNext/>
        <w:spacing w:before="120" w:after="120"/>
        <w:jc w:val="both"/>
        <w:rPr>
          <w:noProof/>
        </w:rPr>
      </w:pPr>
      <w:r>
        <w:rPr>
          <w:noProof/>
        </w:rPr>
        <w:t xml:space="preserve">Reforma poenostavitve odpravlja dovoljenja, ki niso utemeljena z nujnimi razlogi splošnega interesa, skupaj z odpravo nepotrebnih obveznosti ali obveznosti, ki ne uporabljajo novih tehnologij. Poleg tega izvaja sprejetje mehanizma tihe privolitve, uvedbo preproste komunikacije in sprejetje enotnih ureditev, ki se delijo z regijami in občinami. </w:t>
      </w:r>
    </w:p>
    <w:p w14:paraId="64B01EC5" w14:textId="77777777" w:rsidR="00154E32" w:rsidRDefault="00A43E04">
      <w:pPr>
        <w:spacing w:before="120" w:after="120"/>
        <w:jc w:val="both"/>
        <w:rPr>
          <w:noProof/>
        </w:rPr>
      </w:pPr>
      <w:r>
        <w:rPr>
          <w:noProof/>
        </w:rPr>
        <w:t>Reforma poenostavitve vključuje naslednje elemente: interoperabilnost poslovnih in gradbenih postopkov (SUAP &amp; SUE); izvajanje skupnega sklopa kazalnikov uspešnosti, usmerjenih v rezultate; ter opredelitev sklopa ključnih kazalnikov uspešnosti za usmerjanje organizacijskih sprememb v upravah. Objavi prvega poročila o ključnih kazalnikih uspešnosti vsakih šest mesecev.</w:t>
      </w:r>
    </w:p>
    <w:p w14:paraId="60C13F4D" w14:textId="32CC5A47" w:rsidR="00154E32" w:rsidRDefault="00A43E04">
      <w:pPr>
        <w:spacing w:before="120" w:after="120"/>
        <w:jc w:val="both"/>
        <w:rPr>
          <w:noProof/>
        </w:rPr>
      </w:pPr>
      <w:r>
        <w:rPr>
          <w:noProof/>
        </w:rPr>
        <w:t xml:space="preserve">Sistem repozitorija za spremljanje izvajanja mehanizma za okrevanje in odpornost je vzpostavljen in operativen do predložitve prvega zahtevka za plačilo. </w:t>
      </w:r>
    </w:p>
    <w:p w14:paraId="6F2A2E33" w14:textId="6EED7E6E" w:rsidR="00154E32" w:rsidRDefault="00A43E04">
      <w:pPr>
        <w:pStyle w:val="P68B1DB1-Normal2"/>
        <w:spacing w:before="120" w:after="120"/>
        <w:jc w:val="both"/>
        <w:rPr>
          <w:noProof/>
        </w:rPr>
      </w:pPr>
      <w:r>
        <w:rPr>
          <w:noProof/>
        </w:rPr>
        <w:t>Reforma 1.9.1 – Reforma za pospešitev izvajanja kohezijske politike</w:t>
      </w:r>
    </w:p>
    <w:p w14:paraId="403B5616" w14:textId="77777777" w:rsidR="00154E32" w:rsidRDefault="00A43E04">
      <w:pPr>
        <w:spacing w:before="120" w:after="120"/>
        <w:jc w:val="both"/>
        <w:rPr>
          <w:noProof/>
        </w:rPr>
      </w:pPr>
      <w:r>
        <w:rPr>
          <w:noProof/>
        </w:rPr>
        <w:t>Cilj reforme je pospešiti izvajanje in učinkovitost kohezijske politike v dopolnjevanju z nacionalnim načrtom za okrevanje in odpornost. Upošteva strateški načrt enotne posebne ekonomske cone.</w:t>
      </w:r>
    </w:p>
    <w:p w14:paraId="3F6251B3" w14:textId="77777777" w:rsidR="00154E32" w:rsidRDefault="00A43E04">
      <w:pPr>
        <w:spacing w:before="120" w:after="120"/>
        <w:jc w:val="both"/>
        <w:rPr>
          <w:noProof/>
        </w:rPr>
      </w:pPr>
      <w:r>
        <w:rPr>
          <w:rStyle w:val="s10"/>
          <w:noProof/>
          <w:color w:val="000000" w:themeColor="text1"/>
        </w:rPr>
        <w:t xml:space="preserve">Nacionalna </w:t>
      </w:r>
      <w:r>
        <w:rPr>
          <w:noProof/>
        </w:rPr>
        <w:t xml:space="preserve"> </w:t>
      </w:r>
      <w:r>
        <w:rPr>
          <w:rStyle w:val="s10"/>
          <w:noProof/>
          <w:color w:val="000000" w:themeColor="text1"/>
        </w:rPr>
        <w:t xml:space="preserve">zakonodaja zahteva mnenje Enotne konference pred njenim preoblikovanjem v zakon, kot je določeno v zakonodajnem odloku št. 281/1997. </w:t>
      </w:r>
    </w:p>
    <w:p w14:paraId="39E51359" w14:textId="77777777" w:rsidR="00154E32" w:rsidRDefault="00A43E04">
      <w:pPr>
        <w:spacing w:before="120" w:after="120"/>
        <w:jc w:val="both"/>
        <w:rPr>
          <w:noProof/>
        </w:rPr>
      </w:pPr>
      <w:r>
        <w:rPr>
          <w:noProof/>
        </w:rPr>
        <w:t>V skladu s členom 9 Uredbe (EU) 2021/241 lahko reforma prejme podporo iz drugih programov in instrumentov Unije, če taka podpora ne krije istih stroškov. Mehanizem za okrevanje in odpornost ne krije nobenih stroškov reforme.</w:t>
      </w:r>
    </w:p>
    <w:p w14:paraId="70A6502D" w14:textId="77777777" w:rsidR="00154E32" w:rsidRDefault="00A43E04">
      <w:pPr>
        <w:pStyle w:val="P68B1DB1-Normal2"/>
        <w:spacing w:before="240" w:after="120"/>
        <w:jc w:val="both"/>
        <w:rPr>
          <w:rFonts w:eastAsiaTheme="minorHAnsi"/>
          <w:noProof/>
        </w:rPr>
      </w:pPr>
      <w:r>
        <w:rPr>
          <w:noProof/>
        </w:rPr>
        <w:t>Naložba 1.9 – Zagotavljanje tehnične pomoči in krepitev krepitve zmogljivosti za izvajanje italijanskega načrta za okrevanje in odpornost</w:t>
      </w:r>
    </w:p>
    <w:p w14:paraId="375EBB12" w14:textId="77777777" w:rsidR="00154E32" w:rsidRDefault="00A43E04">
      <w:pPr>
        <w:spacing w:before="120" w:after="120"/>
        <w:jc w:val="both"/>
        <w:rPr>
          <w:noProof/>
        </w:rPr>
      </w:pPr>
      <w:r>
        <w:rPr>
          <w:noProof/>
        </w:rPr>
        <w:t xml:space="preserve">Naložba vključuje začasno zaposlitev nabora strokovnjakov za zagotavljanje tehnične pomoči upravam in krepitev upravne zmogljivosti, zlasti na lokalni ravni, za izvajanje posebnih projektov načrta za okrevanje in odpornost, ki se napotijo glede na potrebe. Ta naložba vključuje tudi programe usposabljanja javnih uslužbencev v okviru krepitve zmogljivosti. </w:t>
      </w:r>
    </w:p>
    <w:p w14:paraId="483B6A98" w14:textId="77777777" w:rsidR="00154E32" w:rsidRDefault="00A43E04">
      <w:pPr>
        <w:pStyle w:val="Axistitle"/>
        <w:ind w:left="0"/>
        <w:rPr>
          <w:noProof/>
        </w:rPr>
      </w:pPr>
      <w:r>
        <w:rPr>
          <w:noProof/>
        </w:rPr>
        <w:t>Os 4 – Javna naročila in plačila javnih uprav</w:t>
      </w:r>
    </w:p>
    <w:p w14:paraId="2A7526E1" w14:textId="3404BC80" w:rsidR="00154E32" w:rsidRDefault="00A43E04">
      <w:pPr>
        <w:pStyle w:val="P68B1DB1-Normal2"/>
        <w:spacing w:before="240" w:after="120"/>
        <w:jc w:val="both"/>
        <w:rPr>
          <w:rFonts w:eastAsiaTheme="minorHAnsi"/>
          <w:noProof/>
        </w:rPr>
      </w:pPr>
      <w:r>
        <w:rPr>
          <w:noProof/>
        </w:rPr>
        <w:t>Reforma 1.10 – Reforma zakonodajnega okvira za javna naročila</w:t>
      </w:r>
    </w:p>
    <w:p w14:paraId="6B616186" w14:textId="77777777" w:rsidR="00154E32" w:rsidRDefault="00A43E04">
      <w:pPr>
        <w:spacing w:before="120" w:after="120"/>
        <w:jc w:val="both"/>
        <w:rPr>
          <w:noProof/>
        </w:rPr>
      </w:pPr>
      <w:r>
        <w:rPr>
          <w:noProof/>
        </w:rPr>
        <w:t>Prvi korak te reforme je sprejetje prvega sklopa nujnih ukrepov za poenostavitev z zakonsko uredbo do maja 2021 za: poenostaviti in digitalizirati postopke osrednjih nabavnih organov; registrira pogodbe v protikorupcijski podatkovni zbirki nacionalnega protikorupcijskega organa (ANAC); vzpostaviti namenske urade, pristojne za postopke javnega naročanja na ministrstvih, v regijah in metropolitanskih mestih; določitev cilja za skrajšanje časa med objavo in oddajo naročila ter med oddajo naročila in dokončanjem infrastrukture; ter spodbujanje mehanizmov alternativnega reševanja sporov v fazi izvajanja pogodb. Enotni usklajevalni organ za politiko javnega naročanja ima pred koncem leta 2021 ustrezno raven osebja in sprejme strategijo profesionalizacije, ki zagotavlja usposabljanja na različnih ravneh; dinamični nabavni sistemi so na voljo v skladu z direktivami o javnih naročilih; in ANAC opravi kvalifikacijo javnih organov naročnikov.</w:t>
      </w:r>
    </w:p>
    <w:p w14:paraId="11E73F14" w14:textId="77777777" w:rsidR="00154E32" w:rsidRDefault="00A43E04">
      <w:pPr>
        <w:spacing w:before="120" w:after="120"/>
        <w:jc w:val="both"/>
        <w:rPr>
          <w:noProof/>
        </w:rPr>
      </w:pPr>
      <w:r>
        <w:rPr>
          <w:noProof/>
        </w:rPr>
        <w:t>Drugi korak te reforme je sklop sprememb zakonika o javnih naročilih, ki jih je treba izvesti do drugega četrtletja 2023, z ukrepi, namenjenimi: zmanjšanje razdrobljenosti javnih organov naročnikov; zahteva po vzpostavitvi e-platforme kot osnovne zahteve za sodelovanje pri ocenjevanju zmogljivosti javnega naročanja po vsej državi; ter pooblastitev nacionalnega organa za boj proti korupciji, da pregleda usposobljenost javnih naročnikov. Namen reforme je tudi nadaljnja poenostavitev in digitalizacija postopkov osrednjih nabavnih organov ter opredelitev zahtev glede interoperabilnosti in medsebojne povezljivosti. Reforma bo tudi zmanjšala omejitve možnosti oddaje naročil podizvajalcem, ki jih trenutno vsebuje zakonik o javnih naročilih.</w:t>
      </w:r>
    </w:p>
    <w:p w14:paraId="6F6B9D3B" w14:textId="3607E315" w:rsidR="00154E32" w:rsidRDefault="00A43E04">
      <w:pPr>
        <w:spacing w:before="120" w:after="120"/>
        <w:jc w:val="both"/>
        <w:rPr>
          <w:noProof/>
        </w:rPr>
      </w:pPr>
      <w:r>
        <w:rPr>
          <w:noProof/>
        </w:rPr>
        <w:t>Ta reforma vključuje tudi vzpostavitev delovanja nacionalnega sistema e-javnih naročil do konca leta 2023 in uvedbo ciljno usmerjenih ukrepov, tudi s sprejetjem primarne in/ali sekundarne zakonodaje, za nadaljnjo krepitev kvalifikacij in profesionalizacije javnih naročnikov ter povečanje konkurence (npr. sprememba veljavnih pravil o financiranju projektov).</w:t>
      </w:r>
    </w:p>
    <w:p w14:paraId="0E7BDEC4" w14:textId="659F5EF7" w:rsidR="00154E32" w:rsidRDefault="00A43E04">
      <w:pPr>
        <w:pStyle w:val="P68B1DB1-Normal2"/>
        <w:spacing w:before="240" w:after="120"/>
        <w:jc w:val="both"/>
        <w:rPr>
          <w:rFonts w:eastAsiaTheme="minorEastAsia"/>
          <w:noProof/>
        </w:rPr>
      </w:pPr>
      <w:r>
        <w:rPr>
          <w:noProof/>
        </w:rPr>
        <w:t>Reforma 1.11 – Zmanjšanje zamud pri plačilih javnih uprav in zdravstvenih organov</w:t>
      </w:r>
    </w:p>
    <w:p w14:paraId="2BD7ADC0" w14:textId="3AC24DEE" w:rsidR="00154E32" w:rsidRDefault="00A43E04">
      <w:pPr>
        <w:spacing w:before="240" w:after="120"/>
        <w:jc w:val="both"/>
        <w:rPr>
          <w:rFonts w:eastAsiaTheme="minorEastAsia"/>
          <w:b/>
          <w:noProof/>
        </w:rPr>
      </w:pPr>
      <w:r>
        <w:rPr>
          <w:noProof/>
        </w:rPr>
        <w:t>Cilj reforme je zmanjšati zamude pri plačilih in preprečiti zamude pri plačilih od javne uprave do podjetij. Reforma od leta 2024 vključuje sprejetje strukturnega svežnja z ukrepi na centralni in lokalni ravni, vključno z začetkom veljavnosti zakonodaje.</w:t>
      </w:r>
    </w:p>
    <w:p w14:paraId="411DC245" w14:textId="2CD75636" w:rsidR="00154E32" w:rsidRDefault="00A43E04">
      <w:pPr>
        <w:ind w:firstLine="11"/>
        <w:jc w:val="both"/>
        <w:rPr>
          <w:noProof/>
        </w:rPr>
      </w:pPr>
      <w:r>
        <w:rPr>
          <w:noProof/>
        </w:rPr>
        <w:t>Ta reforma vključuje zagotovitev, da (i) javne uprave na centralni, regionalni in lokalni ravni do leta 2025 plačajo v 30 dneh in (ii) regionalne zdravstvene oblasti plačajo v 60 dneh. Da bi zagotovili strukturno rešitev problema zamud pri plačilih, ta reforma vključuje tudi zagotovitev, da bodo v letu 2026 (i) javne uprave na centralni, regionalni in lokalni ravni še naprej plačevale plačila v 30 dneh in (ii) regionalni zdravstveni organi še naprej plačujejo v 60 dneh.</w:t>
      </w:r>
    </w:p>
    <w:p w14:paraId="2DB2AC55" w14:textId="77777777" w:rsidR="00154E32" w:rsidRDefault="00A43E04">
      <w:pPr>
        <w:pStyle w:val="Axistitle"/>
        <w:ind w:left="0"/>
        <w:rPr>
          <w:noProof/>
        </w:rPr>
      </w:pPr>
      <w:r>
        <w:rPr>
          <w:noProof/>
        </w:rPr>
        <w:t>Os 5 – fiskalno-strukturne reforme (obdavčitev in javni izdatki)</w:t>
      </w:r>
    </w:p>
    <w:p w14:paraId="3A89F57F" w14:textId="77777777" w:rsidR="00154E32" w:rsidRDefault="00A43E04">
      <w:pPr>
        <w:pStyle w:val="P68B1DB1-Normal2"/>
        <w:spacing w:before="240" w:after="120"/>
        <w:jc w:val="both"/>
        <w:rPr>
          <w:rFonts w:eastAsiaTheme="minorHAnsi"/>
          <w:noProof/>
        </w:rPr>
      </w:pPr>
      <w:r>
        <w:rPr>
          <w:noProof/>
        </w:rPr>
        <w:t>Reforma 1.12 – Reforma davčne uprave</w:t>
      </w:r>
    </w:p>
    <w:p w14:paraId="599BE0F4" w14:textId="0247CC81" w:rsidR="00154E32" w:rsidRDefault="00A43E04">
      <w:pPr>
        <w:jc w:val="both"/>
        <w:rPr>
          <w:noProof/>
        </w:rPr>
      </w:pPr>
      <w:r>
        <w:rPr>
          <w:noProof/>
        </w:rPr>
        <w:t>Sprejme se več ukrepov za spodbujanje izpolnjevanja davčnih obveznosti in izboljšanje učinkovitosti usmerjanja revizij in kontrol, vključno z: (I) vzpostavitev podatkovne zbirke in namenske informacijske infrastrukture za objavo predhodno izpolnjenega obračuna DDV; (II) izboljšanje kakovosti podatkovne zbirke, ki se uporablja za „pise o skladnosti“, tudi zato, da se zmanjša pojav lažno pozitivnih učinkov, s čimer se postopoma povečuje število sporočil, poslanih davkoplačevalcem; (III) reformo veljavne zakonodaje, da se zagotovijo učinkovite upravne sankcije v primeru zavrnitve zasebnih ponudnikov, da sprejmejo elektronska plačila; (IV) dokončanje postopka psevdonimizacije podatkov in analize masovnih podatkov, da se poveča učinkovitost analize tveganja, na kateri temelji postopek izbire za revizije. Za izvedbo teh reform in okrepitev operativne zmogljivosti agencije za prihodke se njeno osebje poveča za 4113 enot v skladu z načrtom uspešnosti agencije za obdobje 2021–2023. Poleg tega vlada opravi pregled možnih ukrepov za zmanjšanje davčnih utaj zaradi opustitve izdajanja računov v najbolj izpostavljenih sektorjih, vključno s ciljno usmerjenimi spodbudami za potrošnike, in bo na podlagi ugotovitev pregleda sprejela učinkovite ukrepe z ambiciozno zavezo za zmanjšanje nagnjenosti k izogibanju.</w:t>
      </w:r>
    </w:p>
    <w:p w14:paraId="4C11C5FC" w14:textId="77777777" w:rsidR="00154E32" w:rsidRDefault="00A43E04">
      <w:pPr>
        <w:pStyle w:val="P68B1DB1-Normal2"/>
        <w:spacing w:before="240" w:after="120"/>
        <w:jc w:val="both"/>
        <w:rPr>
          <w:rFonts w:eastAsiaTheme="minorHAnsi"/>
          <w:noProof/>
        </w:rPr>
      </w:pPr>
      <w:r>
        <w:rPr>
          <w:noProof/>
        </w:rPr>
        <w:t>Reforma 1.13 – Reforma okvira za pregled porabe</w:t>
      </w:r>
    </w:p>
    <w:p w14:paraId="60E52A1D" w14:textId="74FA0FAB" w:rsidR="00154E32" w:rsidRDefault="00A43E04">
      <w:pPr>
        <w:jc w:val="both"/>
        <w:rPr>
          <w:noProof/>
        </w:rPr>
      </w:pPr>
      <w:r>
        <w:rPr>
          <w:noProof/>
        </w:rPr>
        <w:t>Načrt vključuje reformo okvira za pregled porabe, namenjeno izboljšanju njegove učinkovitosti, vključno s krepitvijo vloge ministrstva za finance in postopkom naknadnega ocenjevanja, ter izboljšanjem prakse priprave zelenega proračuna in priprave proračuna ob upoštevanju vidika spola. Načrt vključuje tudi zavezo, da se na podlagi obstoječega pravnega okvira izvedejo letni pregledi porabe v obdobju 2023–2025, da bi dosegli fiskalne prihranke, da bi podprli vzdržne javne finance in/ali financirali reforme davkov ali javnih odhodkov, ki spodbujajo rast.</w:t>
      </w:r>
    </w:p>
    <w:p w14:paraId="528D8502" w14:textId="77777777" w:rsidR="00154E32" w:rsidRDefault="00A43E04">
      <w:pPr>
        <w:pStyle w:val="P68B1DB1-Normal2"/>
        <w:spacing w:before="240" w:after="120"/>
        <w:jc w:val="both"/>
        <w:rPr>
          <w:rFonts w:eastAsiaTheme="minorEastAsia"/>
          <w:noProof/>
        </w:rPr>
      </w:pPr>
      <w:r>
        <w:rPr>
          <w:noProof/>
        </w:rPr>
        <w:t>Reforma 1.14 – Reforma podnacionalnega fiskalnega okvira</w:t>
      </w:r>
    </w:p>
    <w:p w14:paraId="1A347BD7" w14:textId="77777777" w:rsidR="00154E32" w:rsidRDefault="00A43E04">
      <w:pPr>
        <w:jc w:val="both"/>
        <w:rPr>
          <w:noProof/>
        </w:rPr>
      </w:pPr>
      <w:r>
        <w:rPr>
          <w:noProof/>
        </w:rPr>
        <w:t>Reforma vključuje dokončanje fiskalnega federalizma, kot ga določa zakon o delegacijah št. 42/2009, da bi izboljšali preglednost fiskalnih odnosov na različnih ravneh upravljanja, dodelili sredstva podnacionalnim oblastem na podlagi objektivnih meril in spodbudili učinkovitost porabe na podnacionalni ravni. Reforma zlasti opredeljuje ustrezne parametre in izvaja fiskalni federalizem za regije z običajnim statusom, province in metropolitanska mesta.</w:t>
      </w:r>
    </w:p>
    <w:p w14:paraId="6A7F9FF9" w14:textId="77777777" w:rsidR="00154E32" w:rsidRDefault="00A43E04">
      <w:pPr>
        <w:pStyle w:val="P68B1DB1-Normal2"/>
        <w:spacing w:before="240" w:after="120"/>
        <w:jc w:val="both"/>
        <w:rPr>
          <w:rFonts w:eastAsiaTheme="minorHAnsi"/>
          <w:noProof/>
        </w:rPr>
      </w:pPr>
      <w:r>
        <w:rPr>
          <w:noProof/>
        </w:rPr>
        <w:t>Reforma 1.15 – Reforma pravil javnega računovodstva</w:t>
      </w:r>
    </w:p>
    <w:p w14:paraId="3D290E7D" w14:textId="77777777" w:rsidR="00154E32" w:rsidRDefault="00A43E04">
      <w:pPr>
        <w:jc w:val="both"/>
        <w:rPr>
          <w:rFonts w:eastAsiaTheme="minorHAnsi"/>
          <w:noProof/>
        </w:rPr>
      </w:pPr>
      <w:r>
        <w:rPr>
          <w:noProof/>
        </w:rPr>
        <w:t>Cilj reforme je zapolniti vrzel z evropskimi računovodskimi standardi z uvedbo enotnega računovodskega sistema na podlagi nastanka poslovnega dogodka za javni sektor. Reforma vodi do dokončanja konceptualnega okvira kot referenčnega okvira za sistem računovodstva na podlagi nastanka poslovnega dogodka v skladu s kvalitativnimi značilnostmi, ki jih je opredelil Eurostat, sklop računovodskih standardov na podlagi nastanka poslovnega dogodka in večdimenzionalni kontni načrt. Reforma se dopolni s prvim krogom usposabljanja za prehod na nov računovodski sistem na podlagi nastanka poslovnega dogodka za predstavnike 18,000 javnih subjektov.</w:t>
      </w:r>
    </w:p>
    <w:p w14:paraId="6B1DB4FD" w14:textId="1DA37C5D" w:rsidR="00154E32" w:rsidRDefault="00A43E04">
      <w:pPr>
        <w:pStyle w:val="P68B1DB1-Normal2"/>
        <w:spacing w:before="120" w:after="120"/>
        <w:jc w:val="both"/>
        <w:rPr>
          <w:rFonts w:eastAsiaTheme="minorEastAsia"/>
          <w:noProof/>
        </w:rPr>
      </w:pPr>
      <w:r>
        <w:rPr>
          <w:noProof/>
        </w:rPr>
        <w:t xml:space="preserve">Naložba 1.10 – Podpora kvalifikacijam in e-javno naročanje </w:t>
      </w:r>
    </w:p>
    <w:p w14:paraId="6DB5371B" w14:textId="77777777" w:rsidR="00154E32" w:rsidRDefault="00A43E04">
      <w:pPr>
        <w:spacing w:before="120" w:after="120"/>
        <w:jc w:val="both"/>
        <w:rPr>
          <w:noProof/>
        </w:rPr>
      </w:pPr>
      <w:r>
        <w:rPr>
          <w:noProof/>
        </w:rPr>
        <w:t>S to naložbo se v okviru strategije za profesionalizacijo javnih kupcev vzpostavi podporna funkcija javnega naročanja, namenjena javnim naročnikom, da izpolnijo zahteve iz Priloge II.4 k zakoniku o javnih naročilih in jih podpirajo v postopku e-javnega naročanja, podpirajo pridobivanje digitalnih znanj in spretnosti ter zagotavljajo tehnično podporo pri sprejemanju digitalizacije javnega naročanja, vključno z uporabo dinamičnih nabavnih sistemov.</w:t>
      </w:r>
    </w:p>
    <w:p w14:paraId="5C1007E9" w14:textId="77777777" w:rsidR="00154E32" w:rsidRDefault="00154E32">
      <w:pPr>
        <w:spacing w:before="120" w:after="120"/>
        <w:jc w:val="both"/>
        <w:rPr>
          <w:rFonts w:eastAsiaTheme="minorHAnsi"/>
          <w:noProof/>
        </w:rPr>
        <w:sectPr w:rsidR="00154E32" w:rsidSect="00347549">
          <w:headerReference w:type="even" r:id="rId18"/>
          <w:headerReference w:type="default" r:id="rId19"/>
          <w:footerReference w:type="even" r:id="rId20"/>
          <w:footerReference w:type="default" r:id="rId21"/>
          <w:headerReference w:type="first" r:id="rId22"/>
          <w:footerReference w:type="first" r:id="rId23"/>
          <w:pgSz w:w="11907" w:h="16839"/>
          <w:pgMar w:top="1440" w:right="1440" w:bottom="1440" w:left="1440" w:header="567" w:footer="567" w:gutter="0"/>
          <w:cols w:space="720"/>
          <w:docGrid w:linePitch="360"/>
        </w:sectPr>
      </w:pPr>
    </w:p>
    <w:p w14:paraId="6E0C4E48" w14:textId="77777777" w:rsidR="00154E32" w:rsidRDefault="00A43E04">
      <w:pPr>
        <w:pStyle w:val="Heading3"/>
        <w:numPr>
          <w:ilvl w:val="0"/>
          <w:numId w:val="0"/>
        </w:numPr>
        <w:ind w:left="850" w:hanging="850"/>
        <w:rPr>
          <w:b/>
          <w:i w:val="0"/>
          <w:noProof/>
          <w:u w:val="single"/>
        </w:rPr>
      </w:pPr>
      <w:r>
        <w:rPr>
          <w:b/>
          <w:i w:val="0"/>
          <w:noProof/>
          <w:u w:val="single"/>
        </w:rPr>
        <w:t xml:space="preserve">A.2. </w:t>
      </w:r>
      <w:r>
        <w:rPr>
          <w:noProof/>
        </w:rPr>
        <w:tab/>
      </w:r>
      <w:r>
        <w:rPr>
          <w:b/>
          <w:i w:val="0"/>
          <w:noProof/>
          <w:u w:val="single"/>
        </w:rPr>
        <w:t>Mejniki, cilji, kazalniki in časovni razpored za spremljanje in izvajanje nepovratne finančne podpore Naslednje;</w:t>
      </w:r>
    </w:p>
    <w:tbl>
      <w:tblPr>
        <w:tblW w:w="15361"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253"/>
        <w:gridCol w:w="1568"/>
        <w:gridCol w:w="1148"/>
        <w:gridCol w:w="1470"/>
        <w:gridCol w:w="1701"/>
        <w:gridCol w:w="1134"/>
        <w:gridCol w:w="1417"/>
        <w:gridCol w:w="1276"/>
        <w:gridCol w:w="850"/>
        <w:gridCol w:w="709"/>
        <w:gridCol w:w="2835"/>
      </w:tblGrid>
      <w:tr w:rsidR="00154E32" w14:paraId="4246D432" w14:textId="77777777">
        <w:trPr>
          <w:trHeight w:val="765"/>
          <w:tblHeader/>
        </w:trPr>
        <w:tc>
          <w:tcPr>
            <w:tcW w:w="1253" w:type="dxa"/>
            <w:vMerge w:val="restart"/>
            <w:shd w:val="clear" w:color="auto" w:fill="BDD7EE"/>
            <w:vAlign w:val="center"/>
            <w:hideMark/>
          </w:tcPr>
          <w:p w14:paraId="69241BC9" w14:textId="77777777" w:rsidR="00154E32" w:rsidRDefault="00A43E04">
            <w:pPr>
              <w:pStyle w:val="P68B1DB1-Normal3"/>
              <w:jc w:val="center"/>
              <w:rPr>
                <w:noProof/>
              </w:rPr>
            </w:pPr>
            <w:r>
              <w:rPr>
                <w:noProof/>
              </w:rPr>
              <w:t>Zaporedna številka</w:t>
            </w:r>
          </w:p>
        </w:tc>
        <w:tc>
          <w:tcPr>
            <w:tcW w:w="1568" w:type="dxa"/>
            <w:vMerge w:val="restart"/>
            <w:shd w:val="clear" w:color="auto" w:fill="BDD7EE"/>
            <w:vAlign w:val="center"/>
            <w:hideMark/>
          </w:tcPr>
          <w:p w14:paraId="294AE322" w14:textId="77777777" w:rsidR="00154E32" w:rsidRDefault="00A43E04">
            <w:pPr>
              <w:pStyle w:val="P68B1DB1-Normal3"/>
              <w:jc w:val="center"/>
              <w:rPr>
                <w:noProof/>
              </w:rPr>
            </w:pPr>
            <w:r>
              <w:rPr>
                <w:noProof/>
              </w:rPr>
              <w:t>Povezani ukrep (reforma ali naložba)</w:t>
            </w:r>
          </w:p>
        </w:tc>
        <w:tc>
          <w:tcPr>
            <w:tcW w:w="1148" w:type="dxa"/>
            <w:vMerge w:val="restart"/>
            <w:shd w:val="clear" w:color="auto" w:fill="BDD7EE"/>
            <w:vAlign w:val="center"/>
            <w:hideMark/>
          </w:tcPr>
          <w:p w14:paraId="38F86585" w14:textId="77777777" w:rsidR="00154E32" w:rsidRDefault="00A43E04">
            <w:pPr>
              <w:pStyle w:val="P68B1DB1-Normal3"/>
              <w:jc w:val="center"/>
              <w:rPr>
                <w:noProof/>
              </w:rPr>
            </w:pPr>
            <w:r>
              <w:rPr>
                <w:noProof/>
              </w:rPr>
              <w:t>Mejnik</w:t>
            </w:r>
          </w:p>
          <w:p w14:paraId="2C5B74D0" w14:textId="77777777" w:rsidR="00154E32" w:rsidRDefault="00A43E04">
            <w:pPr>
              <w:pStyle w:val="P68B1DB1-Normal3"/>
              <w:jc w:val="center"/>
              <w:rPr>
                <w:noProof/>
              </w:rPr>
            </w:pPr>
            <w:r>
              <w:rPr>
                <w:noProof/>
              </w:rPr>
              <w:t>/Ciljni cilj</w:t>
            </w:r>
          </w:p>
        </w:tc>
        <w:tc>
          <w:tcPr>
            <w:tcW w:w="1470" w:type="dxa"/>
            <w:vMerge w:val="restart"/>
            <w:shd w:val="clear" w:color="auto" w:fill="BDD7EE"/>
            <w:vAlign w:val="center"/>
            <w:hideMark/>
          </w:tcPr>
          <w:p w14:paraId="4B9D0CB4" w14:textId="77777777" w:rsidR="00154E32" w:rsidRDefault="00A43E04">
            <w:pPr>
              <w:pStyle w:val="P68B1DB1-Normal3"/>
              <w:jc w:val="center"/>
              <w:rPr>
                <w:noProof/>
              </w:rPr>
            </w:pPr>
            <w:r>
              <w:rPr>
                <w:noProof/>
              </w:rPr>
              <w:t>Ime</w:t>
            </w:r>
          </w:p>
        </w:tc>
        <w:tc>
          <w:tcPr>
            <w:tcW w:w="1701" w:type="dxa"/>
            <w:vMerge w:val="restart"/>
            <w:shd w:val="clear" w:color="auto" w:fill="BDD7EE"/>
            <w:vAlign w:val="center"/>
            <w:hideMark/>
          </w:tcPr>
          <w:p w14:paraId="62FD379F" w14:textId="0B0A057D" w:rsidR="00154E32" w:rsidRDefault="00A43E04">
            <w:pPr>
              <w:pStyle w:val="P68B1DB1-Normal4"/>
              <w:jc w:val="center"/>
              <w:rPr>
                <w:b/>
                <w:noProof/>
              </w:rPr>
            </w:pPr>
            <w:r>
              <w:rPr>
                <w:b/>
                <w:noProof/>
              </w:rPr>
              <w:t>Kakovostni kazalniki</w:t>
            </w:r>
            <w:r>
              <w:rPr>
                <w:noProof/>
              </w:rPr>
              <w:t xml:space="preserve"> </w:t>
            </w:r>
            <w:r>
              <w:rPr>
                <w:noProof/>
              </w:rPr>
              <w:br/>
            </w:r>
            <w:r>
              <w:rPr>
                <w:b/>
                <w:noProof/>
              </w:rPr>
              <w:t>(za mejnike)</w:t>
            </w:r>
          </w:p>
        </w:tc>
        <w:tc>
          <w:tcPr>
            <w:tcW w:w="3827" w:type="dxa"/>
            <w:gridSpan w:val="3"/>
            <w:shd w:val="clear" w:color="auto" w:fill="BDD7EE"/>
            <w:vAlign w:val="center"/>
            <w:hideMark/>
          </w:tcPr>
          <w:p w14:paraId="274BAD9F" w14:textId="1A814F53" w:rsidR="00154E32" w:rsidRDefault="00A43E04">
            <w:pPr>
              <w:pStyle w:val="P68B1DB1-Normal4"/>
              <w:jc w:val="center"/>
              <w:rPr>
                <w:b/>
                <w:noProof/>
              </w:rPr>
            </w:pPr>
            <w:r>
              <w:rPr>
                <w:b/>
                <w:noProof/>
              </w:rPr>
              <w:t>Kvantitativni kazalniki</w:t>
            </w:r>
            <w:r>
              <w:rPr>
                <w:noProof/>
              </w:rPr>
              <w:t xml:space="preserve"> </w:t>
            </w:r>
            <w:r>
              <w:rPr>
                <w:noProof/>
              </w:rPr>
              <w:br/>
            </w:r>
            <w:r>
              <w:rPr>
                <w:b/>
                <w:noProof/>
              </w:rPr>
              <w:t>(za ciljne vrednosti)</w:t>
            </w:r>
          </w:p>
        </w:tc>
        <w:tc>
          <w:tcPr>
            <w:tcW w:w="1559" w:type="dxa"/>
            <w:gridSpan w:val="2"/>
            <w:shd w:val="clear" w:color="auto" w:fill="BDD7EE"/>
            <w:vAlign w:val="center"/>
            <w:hideMark/>
          </w:tcPr>
          <w:p w14:paraId="1D5084F4" w14:textId="77777777" w:rsidR="00154E32" w:rsidRDefault="00A43E04">
            <w:pPr>
              <w:pStyle w:val="P68B1DB1-Normal3"/>
              <w:jc w:val="center"/>
              <w:rPr>
                <w:noProof/>
              </w:rPr>
            </w:pPr>
            <w:r>
              <w:rPr>
                <w:noProof/>
              </w:rPr>
              <w:t>Okvirni časovni razpored za dokončanje</w:t>
            </w:r>
          </w:p>
        </w:tc>
        <w:tc>
          <w:tcPr>
            <w:tcW w:w="2835" w:type="dxa"/>
            <w:vMerge w:val="restart"/>
            <w:shd w:val="clear" w:color="auto" w:fill="BDD7EE"/>
            <w:vAlign w:val="center"/>
            <w:hideMark/>
          </w:tcPr>
          <w:p w14:paraId="35095677" w14:textId="77777777" w:rsidR="00154E32" w:rsidRDefault="00A43E04">
            <w:pPr>
              <w:pStyle w:val="P68B1DB1-Normal3"/>
              <w:jc w:val="center"/>
              <w:rPr>
                <w:noProof/>
              </w:rPr>
            </w:pPr>
            <w:r>
              <w:rPr>
                <w:noProof/>
              </w:rPr>
              <w:t>Opis vsakega mejnika in cilja</w:t>
            </w:r>
          </w:p>
        </w:tc>
      </w:tr>
      <w:tr w:rsidR="00154E32" w14:paraId="07B44A1C" w14:textId="77777777">
        <w:trPr>
          <w:trHeight w:val="691"/>
          <w:tblHeader/>
        </w:trPr>
        <w:tc>
          <w:tcPr>
            <w:tcW w:w="1253" w:type="dxa"/>
            <w:vMerge/>
            <w:vAlign w:val="center"/>
            <w:hideMark/>
          </w:tcPr>
          <w:p w14:paraId="32474826" w14:textId="77777777" w:rsidR="00154E32" w:rsidRDefault="00154E32">
            <w:pPr>
              <w:jc w:val="center"/>
              <w:rPr>
                <w:rFonts w:ascii="Arial Narrow" w:hAnsi="Arial Narrow" w:cs="Arial"/>
                <w:b/>
                <w:noProof/>
                <w:sz w:val="20"/>
              </w:rPr>
            </w:pPr>
          </w:p>
        </w:tc>
        <w:tc>
          <w:tcPr>
            <w:tcW w:w="1568" w:type="dxa"/>
            <w:vMerge/>
            <w:vAlign w:val="center"/>
            <w:hideMark/>
          </w:tcPr>
          <w:p w14:paraId="73A7A64E" w14:textId="77777777" w:rsidR="00154E32" w:rsidRDefault="00154E32">
            <w:pPr>
              <w:jc w:val="center"/>
              <w:rPr>
                <w:rFonts w:ascii="Arial Narrow" w:hAnsi="Arial Narrow" w:cs="Arial"/>
                <w:b/>
                <w:noProof/>
                <w:sz w:val="20"/>
              </w:rPr>
            </w:pPr>
          </w:p>
        </w:tc>
        <w:tc>
          <w:tcPr>
            <w:tcW w:w="1148" w:type="dxa"/>
            <w:vMerge/>
            <w:vAlign w:val="center"/>
            <w:hideMark/>
          </w:tcPr>
          <w:p w14:paraId="01A3E9A3" w14:textId="77777777" w:rsidR="00154E32" w:rsidRDefault="00154E32">
            <w:pPr>
              <w:jc w:val="center"/>
              <w:rPr>
                <w:rFonts w:ascii="Arial Narrow" w:hAnsi="Arial Narrow" w:cs="Arial"/>
                <w:b/>
                <w:noProof/>
                <w:sz w:val="20"/>
              </w:rPr>
            </w:pPr>
          </w:p>
        </w:tc>
        <w:tc>
          <w:tcPr>
            <w:tcW w:w="1470" w:type="dxa"/>
            <w:vMerge/>
            <w:vAlign w:val="center"/>
            <w:hideMark/>
          </w:tcPr>
          <w:p w14:paraId="0846C9E4" w14:textId="77777777" w:rsidR="00154E32" w:rsidRDefault="00154E32">
            <w:pPr>
              <w:jc w:val="center"/>
              <w:rPr>
                <w:rFonts w:ascii="Arial Narrow" w:hAnsi="Arial Narrow" w:cs="Arial"/>
                <w:b/>
                <w:noProof/>
                <w:sz w:val="20"/>
              </w:rPr>
            </w:pPr>
          </w:p>
        </w:tc>
        <w:tc>
          <w:tcPr>
            <w:tcW w:w="1701" w:type="dxa"/>
            <w:vMerge/>
            <w:vAlign w:val="center"/>
            <w:hideMark/>
          </w:tcPr>
          <w:p w14:paraId="1EBBE1BC" w14:textId="77777777" w:rsidR="00154E32" w:rsidRDefault="00154E32">
            <w:pPr>
              <w:jc w:val="center"/>
              <w:rPr>
                <w:rFonts w:ascii="Arial Narrow" w:hAnsi="Arial Narrow" w:cs="Arial"/>
                <w:b/>
                <w:noProof/>
                <w:sz w:val="20"/>
              </w:rPr>
            </w:pPr>
          </w:p>
        </w:tc>
        <w:tc>
          <w:tcPr>
            <w:tcW w:w="1134" w:type="dxa"/>
            <w:shd w:val="clear" w:color="auto" w:fill="BDD7EE"/>
            <w:vAlign w:val="center"/>
            <w:hideMark/>
          </w:tcPr>
          <w:p w14:paraId="28CFA73A" w14:textId="77777777" w:rsidR="00154E32" w:rsidRDefault="00A43E04">
            <w:pPr>
              <w:pStyle w:val="P68B1DB1-Normal3"/>
              <w:jc w:val="center"/>
              <w:rPr>
                <w:noProof/>
              </w:rPr>
            </w:pPr>
            <w:r>
              <w:rPr>
                <w:noProof/>
              </w:rPr>
              <w:t>Enota</w:t>
            </w:r>
          </w:p>
          <w:p w14:paraId="414F2790" w14:textId="77777777" w:rsidR="00154E32" w:rsidRDefault="00A43E04">
            <w:pPr>
              <w:pStyle w:val="P68B1DB1-Normal3"/>
              <w:jc w:val="center"/>
              <w:rPr>
                <w:noProof/>
              </w:rPr>
            </w:pPr>
            <w:r>
              <w:rPr>
                <w:noProof/>
              </w:rPr>
              <w:t>ukrep</w:t>
            </w:r>
          </w:p>
        </w:tc>
        <w:tc>
          <w:tcPr>
            <w:tcW w:w="1417" w:type="dxa"/>
            <w:shd w:val="clear" w:color="auto" w:fill="BDD7EE"/>
            <w:vAlign w:val="center"/>
            <w:hideMark/>
          </w:tcPr>
          <w:p w14:paraId="14AD8616" w14:textId="77777777" w:rsidR="00154E32" w:rsidRDefault="00A43E04">
            <w:pPr>
              <w:pStyle w:val="P68B1DB1-Normal3"/>
              <w:jc w:val="center"/>
              <w:rPr>
                <w:noProof/>
              </w:rPr>
            </w:pPr>
            <w:r>
              <w:rPr>
                <w:noProof/>
              </w:rPr>
              <w:t>Izhodišče</w:t>
            </w:r>
          </w:p>
        </w:tc>
        <w:tc>
          <w:tcPr>
            <w:tcW w:w="1276" w:type="dxa"/>
            <w:shd w:val="clear" w:color="auto" w:fill="BDD7EE"/>
            <w:vAlign w:val="center"/>
            <w:hideMark/>
          </w:tcPr>
          <w:p w14:paraId="5FFDAFCA" w14:textId="77777777" w:rsidR="00154E32" w:rsidRDefault="00A43E04">
            <w:pPr>
              <w:pStyle w:val="P68B1DB1-Normal3"/>
              <w:jc w:val="center"/>
              <w:rPr>
                <w:noProof/>
              </w:rPr>
            </w:pPr>
            <w:r>
              <w:rPr>
                <w:noProof/>
              </w:rPr>
              <w:t>Cilj</w:t>
            </w:r>
          </w:p>
        </w:tc>
        <w:tc>
          <w:tcPr>
            <w:tcW w:w="850" w:type="dxa"/>
            <w:shd w:val="clear" w:color="auto" w:fill="BDD7EE"/>
            <w:vAlign w:val="center"/>
            <w:hideMark/>
          </w:tcPr>
          <w:p w14:paraId="224DC242" w14:textId="77777777" w:rsidR="00154E32" w:rsidRDefault="00A43E04">
            <w:pPr>
              <w:pStyle w:val="P68B1DB1-Normal3"/>
              <w:jc w:val="center"/>
              <w:rPr>
                <w:noProof/>
              </w:rPr>
            </w:pPr>
            <w:r>
              <w:rPr>
                <w:noProof/>
              </w:rPr>
              <w:t>Četrtletje</w:t>
            </w:r>
          </w:p>
        </w:tc>
        <w:tc>
          <w:tcPr>
            <w:tcW w:w="709" w:type="dxa"/>
            <w:shd w:val="clear" w:color="auto" w:fill="BDD7EE"/>
            <w:vAlign w:val="center"/>
            <w:hideMark/>
          </w:tcPr>
          <w:p w14:paraId="1C222AB5" w14:textId="77777777" w:rsidR="00154E32" w:rsidRDefault="00A43E04">
            <w:pPr>
              <w:pStyle w:val="P68B1DB1-Normal3"/>
              <w:jc w:val="center"/>
              <w:rPr>
                <w:noProof/>
              </w:rPr>
            </w:pPr>
            <w:r>
              <w:rPr>
                <w:noProof/>
              </w:rPr>
              <w:t>Leto</w:t>
            </w:r>
          </w:p>
        </w:tc>
        <w:tc>
          <w:tcPr>
            <w:tcW w:w="2835" w:type="dxa"/>
            <w:vMerge/>
            <w:vAlign w:val="center"/>
            <w:hideMark/>
          </w:tcPr>
          <w:p w14:paraId="65CD153A" w14:textId="77777777" w:rsidR="00154E32" w:rsidRDefault="00154E32">
            <w:pPr>
              <w:jc w:val="center"/>
              <w:rPr>
                <w:rFonts w:ascii="Arial Narrow" w:hAnsi="Arial Narrow" w:cs="Arial"/>
                <w:b/>
                <w:noProof/>
                <w:sz w:val="20"/>
              </w:rPr>
            </w:pPr>
          </w:p>
        </w:tc>
      </w:tr>
      <w:tr w:rsidR="00154E32" w14:paraId="24140EB9" w14:textId="77777777">
        <w:trPr>
          <w:trHeight w:val="309"/>
        </w:trPr>
        <w:tc>
          <w:tcPr>
            <w:tcW w:w="1253" w:type="dxa"/>
            <w:shd w:val="clear" w:color="auto" w:fill="C6EFCE"/>
            <w:noWrap/>
            <w:vAlign w:val="center"/>
          </w:tcPr>
          <w:p w14:paraId="2A8BC733" w14:textId="77777777" w:rsidR="00154E32" w:rsidRDefault="00A43E04">
            <w:pPr>
              <w:pStyle w:val="P68B1DB1-Normal5"/>
              <w:jc w:val="center"/>
              <w:rPr>
                <w:noProof/>
              </w:rPr>
            </w:pPr>
            <w:r>
              <w:rPr>
                <w:noProof/>
              </w:rPr>
              <w:t>M1C1–1</w:t>
            </w:r>
          </w:p>
        </w:tc>
        <w:tc>
          <w:tcPr>
            <w:tcW w:w="1568" w:type="dxa"/>
            <w:shd w:val="clear" w:color="auto" w:fill="C6EFCE"/>
            <w:noWrap/>
            <w:vAlign w:val="center"/>
          </w:tcPr>
          <w:p w14:paraId="4F65BDC0" w14:textId="77777777" w:rsidR="00154E32" w:rsidRDefault="00A43E04">
            <w:pPr>
              <w:pStyle w:val="P68B1DB1-Normal5"/>
              <w:jc w:val="center"/>
              <w:rPr>
                <w:noProof/>
              </w:rPr>
            </w:pPr>
            <w:r>
              <w:rPr>
                <w:noProof/>
              </w:rPr>
              <w:t>Reforma 1.1: Javno naročanje IKT</w:t>
            </w:r>
          </w:p>
        </w:tc>
        <w:tc>
          <w:tcPr>
            <w:tcW w:w="1148" w:type="dxa"/>
            <w:shd w:val="clear" w:color="auto" w:fill="C6EFCE"/>
            <w:noWrap/>
            <w:vAlign w:val="center"/>
          </w:tcPr>
          <w:p w14:paraId="0D2D60DF" w14:textId="77777777" w:rsidR="00154E32" w:rsidRDefault="00A43E04">
            <w:pPr>
              <w:pStyle w:val="P68B1DB1-Normal5"/>
              <w:jc w:val="center"/>
              <w:rPr>
                <w:noProof/>
              </w:rPr>
            </w:pPr>
            <w:r>
              <w:rPr>
                <w:noProof/>
              </w:rPr>
              <w:t>Mejnik</w:t>
            </w:r>
          </w:p>
        </w:tc>
        <w:tc>
          <w:tcPr>
            <w:tcW w:w="1470" w:type="dxa"/>
            <w:shd w:val="clear" w:color="auto" w:fill="C6EFCE"/>
            <w:noWrap/>
            <w:vAlign w:val="center"/>
          </w:tcPr>
          <w:p w14:paraId="20E9F0A1" w14:textId="77777777" w:rsidR="00154E32" w:rsidRDefault="00A43E04">
            <w:pPr>
              <w:pStyle w:val="P68B1DB1-Normal5"/>
              <w:jc w:val="center"/>
              <w:rPr>
                <w:noProof/>
              </w:rPr>
            </w:pPr>
            <w:r>
              <w:rPr>
                <w:noProof/>
              </w:rPr>
              <w:t>Začetek veljavnosti zakonskih odlokov za reformo 1.1 „Javna naročila IKT“</w:t>
            </w:r>
          </w:p>
        </w:tc>
        <w:tc>
          <w:tcPr>
            <w:tcW w:w="1701" w:type="dxa"/>
            <w:shd w:val="clear" w:color="auto" w:fill="C6EFCE"/>
            <w:noWrap/>
            <w:vAlign w:val="center"/>
          </w:tcPr>
          <w:p w14:paraId="49C10B02" w14:textId="77777777" w:rsidR="00154E32" w:rsidRDefault="00A43E04">
            <w:pPr>
              <w:pStyle w:val="P68B1DB1-Normal5"/>
              <w:jc w:val="center"/>
              <w:rPr>
                <w:noProof/>
              </w:rPr>
            </w:pPr>
            <w:r>
              <w:rPr>
                <w:noProof/>
              </w:rPr>
              <w:t>Določba zakona o začetku veljavnosti zakonske uredbe o reformi javnega naročanja IKT</w:t>
            </w:r>
          </w:p>
        </w:tc>
        <w:tc>
          <w:tcPr>
            <w:tcW w:w="1134" w:type="dxa"/>
            <w:shd w:val="clear" w:color="auto" w:fill="C6EFCE"/>
            <w:noWrap/>
            <w:vAlign w:val="center"/>
          </w:tcPr>
          <w:p w14:paraId="0DD02040" w14:textId="77777777" w:rsidR="00154E32" w:rsidRDefault="00A43E04">
            <w:pPr>
              <w:pStyle w:val="P68B1DB1-Normal5"/>
              <w:jc w:val="center"/>
              <w:rPr>
                <w:noProof/>
              </w:rPr>
            </w:pPr>
            <w:r>
              <w:rPr>
                <w:noProof/>
              </w:rPr>
              <w:t>JIH NI</w:t>
            </w:r>
          </w:p>
        </w:tc>
        <w:tc>
          <w:tcPr>
            <w:tcW w:w="1417" w:type="dxa"/>
            <w:shd w:val="clear" w:color="auto" w:fill="C6EFCE"/>
            <w:noWrap/>
            <w:vAlign w:val="center"/>
          </w:tcPr>
          <w:p w14:paraId="0471E689" w14:textId="77777777" w:rsidR="00154E32" w:rsidRDefault="00A43E04">
            <w:pPr>
              <w:pStyle w:val="P68B1DB1-Normal5"/>
              <w:jc w:val="center"/>
              <w:rPr>
                <w:noProof/>
              </w:rPr>
            </w:pPr>
            <w:r>
              <w:rPr>
                <w:noProof/>
              </w:rPr>
              <w:t>JIH NI</w:t>
            </w:r>
          </w:p>
        </w:tc>
        <w:tc>
          <w:tcPr>
            <w:tcW w:w="1276" w:type="dxa"/>
            <w:shd w:val="clear" w:color="auto" w:fill="C6EFCE"/>
            <w:noWrap/>
            <w:vAlign w:val="center"/>
          </w:tcPr>
          <w:p w14:paraId="20A5BA7D" w14:textId="77777777" w:rsidR="00154E32" w:rsidRDefault="00A43E04">
            <w:pPr>
              <w:pStyle w:val="P68B1DB1-Normal5"/>
              <w:jc w:val="center"/>
              <w:rPr>
                <w:noProof/>
              </w:rPr>
            </w:pPr>
            <w:r>
              <w:rPr>
                <w:noProof/>
              </w:rPr>
              <w:t>JIH NI</w:t>
            </w:r>
          </w:p>
        </w:tc>
        <w:tc>
          <w:tcPr>
            <w:tcW w:w="850" w:type="dxa"/>
            <w:shd w:val="clear" w:color="auto" w:fill="C6EFCE"/>
            <w:noWrap/>
            <w:vAlign w:val="center"/>
          </w:tcPr>
          <w:p w14:paraId="10F0010A" w14:textId="77777777" w:rsidR="00154E32" w:rsidRDefault="00A43E04">
            <w:pPr>
              <w:pStyle w:val="P68B1DB1-Normal5"/>
              <w:jc w:val="center"/>
              <w:rPr>
                <w:noProof/>
              </w:rPr>
            </w:pPr>
            <w:r>
              <w:rPr>
                <w:noProof/>
              </w:rPr>
              <w:t>Q4</w:t>
            </w:r>
          </w:p>
        </w:tc>
        <w:tc>
          <w:tcPr>
            <w:tcW w:w="709" w:type="dxa"/>
            <w:shd w:val="clear" w:color="auto" w:fill="C6EFCE"/>
            <w:noWrap/>
            <w:vAlign w:val="center"/>
          </w:tcPr>
          <w:p w14:paraId="626495E0" w14:textId="77777777" w:rsidR="00154E32" w:rsidRDefault="00A43E04">
            <w:pPr>
              <w:pStyle w:val="P68B1DB1-Normal5"/>
              <w:jc w:val="center"/>
              <w:rPr>
                <w:noProof/>
              </w:rPr>
            </w:pPr>
            <w:r>
              <w:rPr>
                <w:noProof/>
              </w:rPr>
              <w:t>2021</w:t>
            </w:r>
          </w:p>
        </w:tc>
        <w:tc>
          <w:tcPr>
            <w:tcW w:w="2835" w:type="dxa"/>
            <w:shd w:val="clear" w:color="auto" w:fill="C6EFCE"/>
            <w:noWrap/>
            <w:vAlign w:val="center"/>
          </w:tcPr>
          <w:p w14:paraId="47D6A9E3" w14:textId="77777777" w:rsidR="00154E32" w:rsidRDefault="00A43E04">
            <w:pPr>
              <w:pStyle w:val="P68B1DB1-Normal5"/>
              <w:spacing w:after="120"/>
              <w:rPr>
                <w:noProof/>
              </w:rPr>
            </w:pPr>
            <w:r>
              <w:rPr>
                <w:noProof/>
              </w:rPr>
              <w:t>Potrebni pravni akti vključujejo zakonodajne posege v zakonskem odloku o poenostavitvah („Decreto Legge Semplificazioni“). Ti določajo:</w:t>
            </w:r>
          </w:p>
          <w:p w14:paraId="11403871" w14:textId="77777777" w:rsidR="00154E32" w:rsidRDefault="00A43E04">
            <w:pPr>
              <w:pStyle w:val="P68B1DB1-ListParagraph6"/>
              <w:spacing w:before="0"/>
              <w:ind w:left="0"/>
              <w:contextualSpacing w:val="0"/>
              <w:jc w:val="left"/>
              <w:rPr>
                <w:noProof/>
              </w:rPr>
            </w:pPr>
            <w:r>
              <w:rPr>
                <w:noProof/>
              </w:rPr>
              <w:t>(I) Možnost uporabe postopka iz člena 48(3) zakonika o javnih naročilih tudi za naročila nad mejnimi vrednostmi iz člena 35 zakonika o javnih naročilih za nakupe računalniškega blaga in storitev, zlasti tistih, ki temeljijo na tehnologiji v oblaku, ter storitve povezljivosti, ki se v celoti ali delno financirajo s sredstvi, predvidenimi za izvajanje projektov PNRR;</w:t>
            </w:r>
          </w:p>
          <w:p w14:paraId="67C20BC2" w14:textId="77777777" w:rsidR="00154E32" w:rsidRDefault="00A43E04">
            <w:pPr>
              <w:pStyle w:val="P68B1DB1-ListParagraph6"/>
              <w:spacing w:before="0"/>
              <w:ind w:left="0"/>
              <w:contextualSpacing w:val="0"/>
              <w:jc w:val="left"/>
              <w:rPr>
                <w:noProof/>
              </w:rPr>
            </w:pPr>
            <w:r>
              <w:rPr>
                <w:noProof/>
              </w:rPr>
              <w:t>jajcežerke Interoperabilnost različnih podatkovnih zbirk, ki jih upravljajo certifikacijski organi, vključeni v postopek preverjanja zahtev iz člena 80 zakonika o javnih naročilih;</w:t>
            </w:r>
          </w:p>
          <w:p w14:paraId="1A4A00F9" w14:textId="77777777" w:rsidR="00154E32" w:rsidRDefault="00A43E04">
            <w:pPr>
              <w:pStyle w:val="P68B1DB1-ListParagraph6"/>
              <w:spacing w:before="0"/>
              <w:ind w:left="0"/>
              <w:jc w:val="left"/>
              <w:rPr>
                <w:noProof/>
              </w:rPr>
            </w:pPr>
            <w:r>
              <w:rPr>
                <w:noProof/>
              </w:rPr>
              <w:t>(III) Vzpostavitev virtualne datoteke gospodarskih subjektov, v katerih so predstavljeni podatki za preverjanje neobstoja razlogov za izključitev iz člena 80, ki omogoča opredelitev belega seznama gospodarskih subjektov, za katere je bilo preverjanje že opravljeno.</w:t>
            </w:r>
          </w:p>
        </w:tc>
      </w:tr>
      <w:tr w:rsidR="00154E32" w14:paraId="3C18F06E" w14:textId="77777777">
        <w:trPr>
          <w:trHeight w:val="789"/>
        </w:trPr>
        <w:tc>
          <w:tcPr>
            <w:tcW w:w="1253" w:type="dxa"/>
            <w:shd w:val="clear" w:color="auto" w:fill="C6EFCE"/>
            <w:noWrap/>
            <w:vAlign w:val="center"/>
          </w:tcPr>
          <w:p w14:paraId="3085A6E0" w14:textId="77777777" w:rsidR="00154E32" w:rsidRDefault="00A43E04">
            <w:pPr>
              <w:pStyle w:val="P68B1DB1-Normal5"/>
              <w:jc w:val="center"/>
              <w:rPr>
                <w:noProof/>
              </w:rPr>
            </w:pPr>
            <w:r>
              <w:rPr>
                <w:noProof/>
              </w:rPr>
              <w:t>M1C1–2</w:t>
            </w:r>
          </w:p>
        </w:tc>
        <w:tc>
          <w:tcPr>
            <w:tcW w:w="1568" w:type="dxa"/>
            <w:shd w:val="clear" w:color="auto" w:fill="C6EFCE"/>
            <w:noWrap/>
            <w:vAlign w:val="center"/>
          </w:tcPr>
          <w:p w14:paraId="125FA6C9" w14:textId="77777777" w:rsidR="00154E32" w:rsidRDefault="00A43E04">
            <w:pPr>
              <w:pStyle w:val="P68B1DB1-Normal5"/>
              <w:jc w:val="center"/>
              <w:rPr>
                <w:noProof/>
              </w:rPr>
            </w:pPr>
            <w:r>
              <w:rPr>
                <w:noProof/>
              </w:rPr>
              <w:t>Reforma 1.3: Računalništvo v oblaku na prvem mestu in interoperabilnost</w:t>
            </w:r>
          </w:p>
        </w:tc>
        <w:tc>
          <w:tcPr>
            <w:tcW w:w="1148" w:type="dxa"/>
            <w:shd w:val="clear" w:color="auto" w:fill="C6EFCE"/>
            <w:noWrap/>
            <w:vAlign w:val="center"/>
          </w:tcPr>
          <w:p w14:paraId="7A8E2477" w14:textId="77777777" w:rsidR="00154E32" w:rsidRDefault="00A43E04">
            <w:pPr>
              <w:pStyle w:val="P68B1DB1-Normal5"/>
              <w:jc w:val="center"/>
              <w:rPr>
                <w:noProof/>
              </w:rPr>
            </w:pPr>
            <w:r>
              <w:rPr>
                <w:noProof/>
              </w:rPr>
              <w:t>Mejnik</w:t>
            </w:r>
          </w:p>
        </w:tc>
        <w:tc>
          <w:tcPr>
            <w:tcW w:w="1470" w:type="dxa"/>
            <w:shd w:val="clear" w:color="auto" w:fill="C6EFCE"/>
            <w:noWrap/>
            <w:vAlign w:val="center"/>
          </w:tcPr>
          <w:p w14:paraId="3A19D2F4" w14:textId="77777777" w:rsidR="00154E32" w:rsidRDefault="00A43E04">
            <w:pPr>
              <w:pStyle w:val="P68B1DB1-Normal5"/>
              <w:jc w:val="center"/>
              <w:rPr>
                <w:noProof/>
              </w:rPr>
            </w:pPr>
            <w:r>
              <w:rPr>
                <w:noProof/>
              </w:rPr>
              <w:t>Začetek veljavnosti zakonskih odlokov za reformo 1.3 „Najprej v oblaku in interoperabilnost“</w:t>
            </w:r>
          </w:p>
        </w:tc>
        <w:tc>
          <w:tcPr>
            <w:tcW w:w="1701" w:type="dxa"/>
            <w:shd w:val="clear" w:color="auto" w:fill="C6EFCE"/>
            <w:noWrap/>
            <w:vAlign w:val="center"/>
          </w:tcPr>
          <w:p w14:paraId="0BBEBFDF" w14:textId="77777777" w:rsidR="00154E32" w:rsidRDefault="00A43E04">
            <w:pPr>
              <w:pStyle w:val="P68B1DB1-Normal5"/>
              <w:jc w:val="center"/>
              <w:rPr>
                <w:noProof/>
              </w:rPr>
            </w:pPr>
            <w:r>
              <w:rPr>
                <w:noProof/>
              </w:rPr>
              <w:t>Določba zakona o začetku veljavnosti zakonske uredbe o prvi reformi interoperabilnosti v oblaku</w:t>
            </w:r>
          </w:p>
        </w:tc>
        <w:tc>
          <w:tcPr>
            <w:tcW w:w="1134" w:type="dxa"/>
            <w:shd w:val="clear" w:color="auto" w:fill="C6EFCE"/>
            <w:noWrap/>
            <w:vAlign w:val="center"/>
          </w:tcPr>
          <w:p w14:paraId="2FD390B3" w14:textId="77777777" w:rsidR="00154E32" w:rsidRDefault="00A43E04">
            <w:pPr>
              <w:pStyle w:val="P68B1DB1-Normal5"/>
              <w:jc w:val="center"/>
              <w:rPr>
                <w:noProof/>
              </w:rPr>
            </w:pPr>
            <w:r>
              <w:rPr>
                <w:noProof/>
              </w:rPr>
              <w:t>JIH NI</w:t>
            </w:r>
          </w:p>
        </w:tc>
        <w:tc>
          <w:tcPr>
            <w:tcW w:w="1417" w:type="dxa"/>
            <w:shd w:val="clear" w:color="auto" w:fill="C6EFCE"/>
            <w:noWrap/>
            <w:vAlign w:val="center"/>
          </w:tcPr>
          <w:p w14:paraId="6262EFD4" w14:textId="77777777" w:rsidR="00154E32" w:rsidRDefault="00A43E04">
            <w:pPr>
              <w:pStyle w:val="P68B1DB1-Normal5"/>
              <w:jc w:val="center"/>
              <w:rPr>
                <w:noProof/>
              </w:rPr>
            </w:pPr>
            <w:r>
              <w:rPr>
                <w:noProof/>
              </w:rPr>
              <w:t>JIH NI</w:t>
            </w:r>
          </w:p>
        </w:tc>
        <w:tc>
          <w:tcPr>
            <w:tcW w:w="1276" w:type="dxa"/>
            <w:shd w:val="clear" w:color="auto" w:fill="C6EFCE"/>
            <w:noWrap/>
            <w:vAlign w:val="center"/>
          </w:tcPr>
          <w:p w14:paraId="089778D4" w14:textId="77777777" w:rsidR="00154E32" w:rsidRDefault="00A43E04">
            <w:pPr>
              <w:pStyle w:val="P68B1DB1-Normal5"/>
              <w:jc w:val="center"/>
              <w:rPr>
                <w:noProof/>
              </w:rPr>
            </w:pPr>
            <w:r>
              <w:rPr>
                <w:noProof/>
              </w:rPr>
              <w:t>JIH NI</w:t>
            </w:r>
          </w:p>
        </w:tc>
        <w:tc>
          <w:tcPr>
            <w:tcW w:w="850" w:type="dxa"/>
            <w:shd w:val="clear" w:color="auto" w:fill="C6EFCE"/>
            <w:noWrap/>
            <w:vAlign w:val="center"/>
          </w:tcPr>
          <w:p w14:paraId="36030434" w14:textId="77777777" w:rsidR="00154E32" w:rsidRDefault="00A43E04">
            <w:pPr>
              <w:pStyle w:val="P68B1DB1-Normal5"/>
              <w:jc w:val="center"/>
              <w:rPr>
                <w:noProof/>
              </w:rPr>
            </w:pPr>
            <w:r>
              <w:rPr>
                <w:noProof/>
              </w:rPr>
              <w:t>Q4</w:t>
            </w:r>
          </w:p>
        </w:tc>
        <w:tc>
          <w:tcPr>
            <w:tcW w:w="709" w:type="dxa"/>
            <w:shd w:val="clear" w:color="auto" w:fill="C6EFCE"/>
            <w:noWrap/>
            <w:vAlign w:val="center"/>
          </w:tcPr>
          <w:p w14:paraId="2CC518A8" w14:textId="77777777" w:rsidR="00154E32" w:rsidRDefault="00A43E04">
            <w:pPr>
              <w:pStyle w:val="P68B1DB1-Normal5"/>
              <w:jc w:val="center"/>
              <w:rPr>
                <w:noProof/>
              </w:rPr>
            </w:pPr>
            <w:r>
              <w:rPr>
                <w:noProof/>
              </w:rPr>
              <w:t>2021</w:t>
            </w:r>
          </w:p>
        </w:tc>
        <w:tc>
          <w:tcPr>
            <w:tcW w:w="2835" w:type="dxa"/>
            <w:shd w:val="clear" w:color="auto" w:fill="C6EFCE"/>
            <w:noWrap/>
            <w:vAlign w:val="center"/>
          </w:tcPr>
          <w:p w14:paraId="204FAFBD" w14:textId="77777777" w:rsidR="00154E32" w:rsidRDefault="00A43E04">
            <w:pPr>
              <w:pStyle w:val="P68B1DB1-Normal5"/>
              <w:spacing w:after="120"/>
              <w:rPr>
                <w:noProof/>
              </w:rPr>
            </w:pPr>
            <w:r>
              <w:rPr>
                <w:noProof/>
              </w:rPr>
              <w:t>Potrebni pravni akti vključujejo:</w:t>
            </w:r>
          </w:p>
          <w:p w14:paraId="2C159CCF" w14:textId="77777777" w:rsidR="00154E32" w:rsidRDefault="00A43E04">
            <w:pPr>
              <w:pStyle w:val="P68B1DB1-Normal5"/>
              <w:spacing w:after="120"/>
              <w:rPr>
                <w:noProof/>
              </w:rPr>
            </w:pPr>
            <w:r>
              <w:rPr>
                <w:noProof/>
              </w:rPr>
              <w:t>Izvedbeni regulativni akti, ki se nanašajo zlasti na (i) uredbo Agenzia per l’Italia digitale (AgID) o Polo Strategico Nazionale (PSN) (iz člena 33 zakonskega odloka 179/212) in (ii) smernice AgID o interoperabilnosti (iz členov 50 in 50b Codice dell’Amministrazione Digitale (CAD).</w:t>
            </w:r>
          </w:p>
          <w:p w14:paraId="542D7F0C" w14:textId="77777777" w:rsidR="00154E32" w:rsidRDefault="00A43E04">
            <w:pPr>
              <w:pStyle w:val="P68B1DB1-Normal5"/>
              <w:spacing w:after="120"/>
              <w:rPr>
                <w:noProof/>
              </w:rPr>
            </w:pPr>
            <w:r>
              <w:rPr>
                <w:noProof/>
              </w:rPr>
              <w:t>Spremembe člena 50 direktive o računovodskih izkazih:</w:t>
            </w:r>
          </w:p>
          <w:p w14:paraId="706FE4FF" w14:textId="77777777" w:rsidR="00154E32" w:rsidRDefault="00A43E04">
            <w:pPr>
              <w:pStyle w:val="P68B1DB1-Normal5"/>
              <w:spacing w:after="120"/>
              <w:rPr>
                <w:noProof/>
              </w:rPr>
            </w:pPr>
            <w:r>
              <w:rPr>
                <w:noProof/>
              </w:rPr>
              <w:t>(I) odpravo obveznosti sklepanja okvirnih sporazumov za uprave, ki dostopajo do nacionalne digitalne podatkovne platforme;</w:t>
            </w:r>
          </w:p>
          <w:p w14:paraId="0FB0EB39" w14:textId="77777777" w:rsidR="00154E32" w:rsidRDefault="00A43E04">
            <w:pPr>
              <w:pStyle w:val="P68B1DB1-Normal5"/>
              <w:spacing w:after="120"/>
              <w:rPr>
                <w:noProof/>
              </w:rPr>
            </w:pPr>
            <w:r>
              <w:rPr>
                <w:noProof/>
              </w:rPr>
              <w:t>(II) pojasnila o vprašanju zasebnosti: prenos podatkov iz enega informacijskega sistema v drugega ne spremeni lastništva podatkov in njihove obdelave, brez poseganja v odgovornosti javnih uprav, ki prejemajo in obdelujejo podatke kot samostojni upravljavci podatkov.</w:t>
            </w:r>
          </w:p>
          <w:p w14:paraId="113CA26E" w14:textId="77777777" w:rsidR="00154E32" w:rsidRDefault="00A43E04">
            <w:pPr>
              <w:pStyle w:val="P68B1DB1-Normal5"/>
              <w:spacing w:after="120"/>
              <w:rPr>
                <w:noProof/>
              </w:rPr>
            </w:pPr>
            <w:r>
              <w:rPr>
                <w:noProof/>
              </w:rPr>
              <w:t>Predlogi sprememb k Decreto del Presidente della Repubblica (DPR) 445/2000 v zvezi z dostopom do podatkov:</w:t>
            </w:r>
          </w:p>
          <w:p w14:paraId="5E301CB1" w14:textId="77777777" w:rsidR="00154E32" w:rsidRDefault="00A43E04">
            <w:pPr>
              <w:pStyle w:val="P68B1DB1-Normal5"/>
              <w:spacing w:after="120"/>
              <w:rPr>
                <w:noProof/>
              </w:rPr>
            </w:pPr>
            <w:r>
              <w:rPr>
                <w:noProof/>
              </w:rPr>
              <w:t>(I) razveljavitev dovoljenja, potrebnega za neposreden dostop do podatkov;</w:t>
            </w:r>
          </w:p>
          <w:p w14:paraId="76C99E1F" w14:textId="77777777" w:rsidR="00154E32" w:rsidRDefault="00A43E04">
            <w:pPr>
              <w:pStyle w:val="P68B1DB1-Normal5"/>
              <w:spacing w:after="120"/>
              <w:rPr>
                <w:noProof/>
              </w:rPr>
            </w:pPr>
            <w:r>
              <w:rPr>
                <w:noProof/>
              </w:rPr>
              <w:t>(II) črtanje sklicevanja na okvirne sporazume v členu 72.</w:t>
            </w:r>
          </w:p>
          <w:p w14:paraId="2FC3F3B7" w14:textId="77777777" w:rsidR="00154E32" w:rsidRDefault="00A43E04">
            <w:pPr>
              <w:pStyle w:val="P68B1DB1-Normal5"/>
              <w:spacing w:after="120"/>
              <w:rPr>
                <w:noProof/>
              </w:rPr>
            </w:pPr>
            <w:r>
              <w:rPr>
                <w:noProof/>
              </w:rPr>
              <w:t>Spremembe člena 33 zakonskega odloka 179/2012:</w:t>
            </w:r>
          </w:p>
          <w:p w14:paraId="0B696F0D" w14:textId="77777777" w:rsidR="00154E32" w:rsidRDefault="00A43E04">
            <w:pPr>
              <w:pStyle w:val="P68B1DB1-Normal5"/>
              <w:spacing w:after="120"/>
              <w:rPr>
                <w:noProof/>
              </w:rPr>
            </w:pPr>
            <w:r>
              <w:rPr>
                <w:noProof/>
              </w:rPr>
              <w:t>(I) uvede možnost, da agencija AgID z uredbama Centri Elaborazione Dati (CED) in računalništvom v oblaku uredi pogoje in metode, s katerimi morajo javne uprave izvajati migracije CED;</w:t>
            </w:r>
          </w:p>
          <w:p w14:paraId="66D608B5" w14:textId="77777777" w:rsidR="00154E32" w:rsidRDefault="00A43E04">
            <w:pPr>
              <w:pStyle w:val="P68B1DB1-Normal5"/>
              <w:spacing w:after="120"/>
              <w:rPr>
                <w:noProof/>
              </w:rPr>
            </w:pPr>
            <w:r>
              <w:rPr>
                <w:noProof/>
              </w:rPr>
              <w:t>(II) uvesti sankcije za neizpolnjevanje obveznosti migracije v oblak.</w:t>
            </w:r>
          </w:p>
        </w:tc>
      </w:tr>
      <w:tr w:rsidR="00154E32" w14:paraId="43811911" w14:textId="77777777">
        <w:trPr>
          <w:trHeight w:val="309"/>
        </w:trPr>
        <w:tc>
          <w:tcPr>
            <w:tcW w:w="1253" w:type="dxa"/>
            <w:shd w:val="clear" w:color="auto" w:fill="C6EFCE"/>
            <w:noWrap/>
            <w:vAlign w:val="center"/>
            <w:hideMark/>
          </w:tcPr>
          <w:p w14:paraId="23CC7C49" w14:textId="77777777" w:rsidR="00154E32" w:rsidRDefault="00A43E04">
            <w:pPr>
              <w:pStyle w:val="P68B1DB1-Normal5"/>
              <w:jc w:val="center"/>
              <w:rPr>
                <w:noProof/>
              </w:rPr>
            </w:pPr>
            <w:r>
              <w:rPr>
                <w:noProof/>
              </w:rPr>
              <w:t>M1C1–3</w:t>
            </w:r>
          </w:p>
        </w:tc>
        <w:tc>
          <w:tcPr>
            <w:tcW w:w="1568" w:type="dxa"/>
            <w:shd w:val="clear" w:color="auto" w:fill="C6EFCE"/>
            <w:noWrap/>
            <w:vAlign w:val="center"/>
            <w:hideMark/>
          </w:tcPr>
          <w:p w14:paraId="76C8CB91" w14:textId="77777777" w:rsidR="00154E32" w:rsidRDefault="00A43E04">
            <w:pPr>
              <w:pStyle w:val="P68B1DB1-Normal5"/>
              <w:jc w:val="center"/>
              <w:rPr>
                <w:noProof/>
              </w:rPr>
            </w:pPr>
            <w:r>
              <w:rPr>
                <w:noProof/>
              </w:rPr>
              <w:t>Naložba 1.1: Digitalna infrastruktura</w:t>
            </w:r>
          </w:p>
        </w:tc>
        <w:tc>
          <w:tcPr>
            <w:tcW w:w="1148" w:type="dxa"/>
            <w:shd w:val="clear" w:color="auto" w:fill="C6EFCE"/>
            <w:noWrap/>
            <w:vAlign w:val="center"/>
            <w:hideMark/>
          </w:tcPr>
          <w:p w14:paraId="10366BB8" w14:textId="77777777" w:rsidR="00154E32" w:rsidRDefault="00A43E04">
            <w:pPr>
              <w:pStyle w:val="P68B1DB1-Normal5"/>
              <w:jc w:val="center"/>
              <w:rPr>
                <w:noProof/>
              </w:rPr>
            </w:pPr>
            <w:r>
              <w:rPr>
                <w:noProof/>
              </w:rPr>
              <w:t>Mejnik</w:t>
            </w:r>
          </w:p>
        </w:tc>
        <w:tc>
          <w:tcPr>
            <w:tcW w:w="1470" w:type="dxa"/>
            <w:shd w:val="clear" w:color="auto" w:fill="C6EFCE"/>
            <w:noWrap/>
            <w:vAlign w:val="center"/>
            <w:hideMark/>
          </w:tcPr>
          <w:p w14:paraId="12CF3701" w14:textId="77777777" w:rsidR="00154E32" w:rsidRDefault="00A43E04">
            <w:pPr>
              <w:pStyle w:val="P68B1DB1-Normal5"/>
              <w:jc w:val="center"/>
              <w:rPr>
                <w:noProof/>
              </w:rPr>
            </w:pPr>
            <w:r>
              <w:rPr>
                <w:noProof/>
              </w:rPr>
              <w:t>Zaključek Polo Strategico Nazionale (PSN)</w:t>
            </w:r>
          </w:p>
        </w:tc>
        <w:tc>
          <w:tcPr>
            <w:tcW w:w="1701" w:type="dxa"/>
            <w:shd w:val="clear" w:color="auto" w:fill="C6EFCE"/>
            <w:noWrap/>
            <w:vAlign w:val="center"/>
            <w:hideMark/>
          </w:tcPr>
          <w:p w14:paraId="327DEDF1" w14:textId="77777777" w:rsidR="00154E32" w:rsidRDefault="00A43E04">
            <w:pPr>
              <w:pStyle w:val="P68B1DB1-Normal5"/>
              <w:jc w:val="center"/>
              <w:rPr>
                <w:noProof/>
              </w:rPr>
            </w:pPr>
            <w:r>
              <w:rPr>
                <w:noProof/>
              </w:rPr>
              <w:t>Poročilo o uvajanju v oblaku, ki ga je pripravilo ministrstvo za tehnološke inovacije in digitalni prehod (MITD)</w:t>
            </w:r>
          </w:p>
        </w:tc>
        <w:tc>
          <w:tcPr>
            <w:tcW w:w="1134" w:type="dxa"/>
            <w:shd w:val="clear" w:color="auto" w:fill="C6EFCE"/>
            <w:noWrap/>
            <w:vAlign w:val="center"/>
          </w:tcPr>
          <w:p w14:paraId="241E0275" w14:textId="77777777" w:rsidR="00154E32" w:rsidRDefault="00A43E04">
            <w:pPr>
              <w:pStyle w:val="P68B1DB1-Normal5"/>
              <w:jc w:val="center"/>
              <w:rPr>
                <w:noProof/>
              </w:rPr>
            </w:pPr>
            <w:r>
              <w:rPr>
                <w:noProof/>
              </w:rPr>
              <w:t>JIH NI</w:t>
            </w:r>
          </w:p>
        </w:tc>
        <w:tc>
          <w:tcPr>
            <w:tcW w:w="1417" w:type="dxa"/>
            <w:shd w:val="clear" w:color="auto" w:fill="C6EFCE"/>
            <w:noWrap/>
            <w:vAlign w:val="center"/>
          </w:tcPr>
          <w:p w14:paraId="2E50F60E" w14:textId="77777777" w:rsidR="00154E32" w:rsidRDefault="00A43E04">
            <w:pPr>
              <w:pStyle w:val="P68B1DB1-Normal5"/>
              <w:jc w:val="center"/>
              <w:rPr>
                <w:noProof/>
              </w:rPr>
            </w:pPr>
            <w:r>
              <w:rPr>
                <w:noProof/>
              </w:rPr>
              <w:t>JIH NI</w:t>
            </w:r>
          </w:p>
        </w:tc>
        <w:tc>
          <w:tcPr>
            <w:tcW w:w="1276" w:type="dxa"/>
            <w:shd w:val="clear" w:color="auto" w:fill="C6EFCE"/>
            <w:noWrap/>
            <w:vAlign w:val="center"/>
          </w:tcPr>
          <w:p w14:paraId="72FC4FB9" w14:textId="77777777" w:rsidR="00154E32" w:rsidRDefault="00A43E04">
            <w:pPr>
              <w:pStyle w:val="P68B1DB1-Normal5"/>
              <w:jc w:val="center"/>
              <w:rPr>
                <w:noProof/>
              </w:rPr>
            </w:pPr>
            <w:r>
              <w:rPr>
                <w:noProof/>
              </w:rPr>
              <w:t>JIH NI</w:t>
            </w:r>
          </w:p>
        </w:tc>
        <w:tc>
          <w:tcPr>
            <w:tcW w:w="850" w:type="dxa"/>
            <w:shd w:val="clear" w:color="auto" w:fill="C6EFCE"/>
            <w:noWrap/>
            <w:vAlign w:val="center"/>
            <w:hideMark/>
          </w:tcPr>
          <w:p w14:paraId="548B67D6" w14:textId="77777777" w:rsidR="00154E32" w:rsidRDefault="00A43E04">
            <w:pPr>
              <w:pStyle w:val="P68B1DB1-Normal5"/>
              <w:jc w:val="center"/>
              <w:rPr>
                <w:noProof/>
              </w:rPr>
            </w:pPr>
            <w:r>
              <w:rPr>
                <w:noProof/>
              </w:rPr>
              <w:t>Q4</w:t>
            </w:r>
          </w:p>
        </w:tc>
        <w:tc>
          <w:tcPr>
            <w:tcW w:w="709" w:type="dxa"/>
            <w:shd w:val="clear" w:color="auto" w:fill="C6EFCE"/>
            <w:noWrap/>
            <w:vAlign w:val="center"/>
            <w:hideMark/>
          </w:tcPr>
          <w:p w14:paraId="031B71DC" w14:textId="77777777" w:rsidR="00154E32" w:rsidRDefault="00A43E04">
            <w:pPr>
              <w:pStyle w:val="P68B1DB1-Normal5"/>
              <w:jc w:val="center"/>
              <w:rPr>
                <w:noProof/>
              </w:rPr>
            </w:pPr>
            <w:r>
              <w:rPr>
                <w:noProof/>
              </w:rPr>
              <w:t>2022</w:t>
            </w:r>
          </w:p>
        </w:tc>
        <w:tc>
          <w:tcPr>
            <w:tcW w:w="2835" w:type="dxa"/>
            <w:shd w:val="clear" w:color="auto" w:fill="C6EFCE"/>
            <w:noWrap/>
            <w:vAlign w:val="center"/>
            <w:hideMark/>
          </w:tcPr>
          <w:p w14:paraId="4EEBB4BA" w14:textId="0C21C4D6" w:rsidR="00154E32" w:rsidRDefault="00A43E04">
            <w:pPr>
              <w:pStyle w:val="P68B1DB1-Normal5"/>
              <w:spacing w:after="120"/>
              <w:rPr>
                <w:noProof/>
              </w:rPr>
            </w:pPr>
            <w:r>
              <w:rPr>
                <w:noProof/>
              </w:rPr>
              <w:t>Celotni projekt se v celoti zaključi, ko vse ciljne javne uprave zaključijo premik opredeljenih stojal proti Polo Strategico Nazionale (PSN) in ko se uspešno zaključi preskušanje štirih podatkovnih centrov, kar omogoča začetek postopka migracije podatkovnih nizov in aplikacij ciljnih javnih uprav na PSN.</w:t>
            </w:r>
          </w:p>
        </w:tc>
      </w:tr>
      <w:tr w:rsidR="00154E32" w14:paraId="4944586E" w14:textId="77777777">
        <w:trPr>
          <w:trHeight w:val="309"/>
        </w:trPr>
        <w:tc>
          <w:tcPr>
            <w:tcW w:w="1253" w:type="dxa"/>
            <w:shd w:val="clear" w:color="auto" w:fill="C6EFCE"/>
            <w:noWrap/>
            <w:vAlign w:val="center"/>
          </w:tcPr>
          <w:p w14:paraId="4AAB7552" w14:textId="77777777" w:rsidR="00154E32" w:rsidRDefault="00A43E04">
            <w:pPr>
              <w:pStyle w:val="P68B1DB1-Normal5"/>
              <w:jc w:val="center"/>
              <w:rPr>
                <w:noProof/>
              </w:rPr>
            </w:pPr>
            <w:r>
              <w:rPr>
                <w:noProof/>
              </w:rPr>
              <w:t>M1C1–4</w:t>
            </w:r>
          </w:p>
        </w:tc>
        <w:tc>
          <w:tcPr>
            <w:tcW w:w="1568" w:type="dxa"/>
            <w:shd w:val="clear" w:color="auto" w:fill="C6EFCE"/>
            <w:noWrap/>
            <w:vAlign w:val="center"/>
          </w:tcPr>
          <w:p w14:paraId="2EC0A3F5" w14:textId="77777777" w:rsidR="00154E32" w:rsidRDefault="00A43E04">
            <w:pPr>
              <w:pStyle w:val="P68B1DB1-Normal5"/>
              <w:jc w:val="center"/>
              <w:rPr>
                <w:noProof/>
              </w:rPr>
            </w:pPr>
            <w:r>
              <w:rPr>
                <w:noProof/>
              </w:rPr>
              <w:t>Naložba 1.3.1: Nacionalna platforma digitalnih podatkov</w:t>
            </w:r>
          </w:p>
        </w:tc>
        <w:tc>
          <w:tcPr>
            <w:tcW w:w="1148" w:type="dxa"/>
            <w:shd w:val="clear" w:color="auto" w:fill="C6EFCE"/>
            <w:noWrap/>
            <w:vAlign w:val="center"/>
          </w:tcPr>
          <w:p w14:paraId="2F5EA753" w14:textId="77777777" w:rsidR="00154E32" w:rsidRDefault="00A43E04">
            <w:pPr>
              <w:pStyle w:val="P68B1DB1-Normal5"/>
              <w:jc w:val="center"/>
              <w:rPr>
                <w:noProof/>
              </w:rPr>
            </w:pPr>
            <w:r>
              <w:rPr>
                <w:noProof/>
              </w:rPr>
              <w:t>Mejnik</w:t>
            </w:r>
          </w:p>
        </w:tc>
        <w:tc>
          <w:tcPr>
            <w:tcW w:w="1470" w:type="dxa"/>
            <w:shd w:val="clear" w:color="auto" w:fill="C6EFCE"/>
            <w:noWrap/>
            <w:vAlign w:val="center"/>
          </w:tcPr>
          <w:p w14:paraId="5D45F344" w14:textId="77777777" w:rsidR="00154E32" w:rsidRDefault="00A43E04">
            <w:pPr>
              <w:pStyle w:val="P68B1DB1-Normal5"/>
              <w:jc w:val="center"/>
              <w:rPr>
                <w:noProof/>
              </w:rPr>
            </w:pPr>
            <w:r>
              <w:rPr>
                <w:noProof/>
              </w:rPr>
              <w:t>Delovanje nacionalne digitalne podatkovne platforme</w:t>
            </w:r>
          </w:p>
        </w:tc>
        <w:tc>
          <w:tcPr>
            <w:tcW w:w="1701" w:type="dxa"/>
            <w:shd w:val="clear" w:color="auto" w:fill="C6EFCE"/>
            <w:noWrap/>
            <w:vAlign w:val="center"/>
          </w:tcPr>
          <w:p w14:paraId="5F9268EB" w14:textId="77777777" w:rsidR="00154E32" w:rsidRDefault="00A43E04">
            <w:pPr>
              <w:pStyle w:val="P68B1DB1-Normal5"/>
              <w:jc w:val="center"/>
              <w:rPr>
                <w:noProof/>
              </w:rPr>
            </w:pPr>
            <w:r>
              <w:rPr>
                <w:noProof/>
              </w:rPr>
              <w:t>Poročilo ministrstva za tehnološke inovacije in digitalni prehod (MITD), ki dokazuje vzpostavitev nacionalne platforme za digitalne podatke</w:t>
            </w:r>
          </w:p>
        </w:tc>
        <w:tc>
          <w:tcPr>
            <w:tcW w:w="1134" w:type="dxa"/>
            <w:shd w:val="clear" w:color="auto" w:fill="C6EFCE"/>
            <w:noWrap/>
            <w:vAlign w:val="center"/>
          </w:tcPr>
          <w:p w14:paraId="0ECFEAD2" w14:textId="77777777" w:rsidR="00154E32" w:rsidRDefault="00A43E04">
            <w:pPr>
              <w:pStyle w:val="P68B1DB1-Normal5"/>
              <w:jc w:val="center"/>
              <w:rPr>
                <w:noProof/>
              </w:rPr>
            </w:pPr>
            <w:r>
              <w:rPr>
                <w:noProof/>
              </w:rPr>
              <w:t>JIH NI</w:t>
            </w:r>
          </w:p>
        </w:tc>
        <w:tc>
          <w:tcPr>
            <w:tcW w:w="1417" w:type="dxa"/>
            <w:shd w:val="clear" w:color="auto" w:fill="C6EFCE"/>
            <w:noWrap/>
            <w:vAlign w:val="center"/>
          </w:tcPr>
          <w:p w14:paraId="59703FE5" w14:textId="77777777" w:rsidR="00154E32" w:rsidRDefault="00A43E04">
            <w:pPr>
              <w:pStyle w:val="P68B1DB1-Normal5"/>
              <w:jc w:val="center"/>
              <w:rPr>
                <w:noProof/>
              </w:rPr>
            </w:pPr>
            <w:r>
              <w:rPr>
                <w:noProof/>
              </w:rPr>
              <w:t>JIH NI</w:t>
            </w:r>
          </w:p>
        </w:tc>
        <w:tc>
          <w:tcPr>
            <w:tcW w:w="1276" w:type="dxa"/>
            <w:shd w:val="clear" w:color="auto" w:fill="C6EFCE"/>
            <w:noWrap/>
            <w:vAlign w:val="center"/>
          </w:tcPr>
          <w:p w14:paraId="42502A94" w14:textId="77777777" w:rsidR="00154E32" w:rsidRDefault="00A43E04">
            <w:pPr>
              <w:pStyle w:val="P68B1DB1-Normal5"/>
              <w:jc w:val="center"/>
              <w:rPr>
                <w:noProof/>
              </w:rPr>
            </w:pPr>
            <w:r>
              <w:rPr>
                <w:noProof/>
              </w:rPr>
              <w:t>JIH NI</w:t>
            </w:r>
          </w:p>
        </w:tc>
        <w:tc>
          <w:tcPr>
            <w:tcW w:w="850" w:type="dxa"/>
            <w:shd w:val="clear" w:color="auto" w:fill="C6EFCE"/>
            <w:noWrap/>
            <w:vAlign w:val="center"/>
          </w:tcPr>
          <w:p w14:paraId="187E494F" w14:textId="77777777" w:rsidR="00154E32" w:rsidRDefault="00A43E04">
            <w:pPr>
              <w:pStyle w:val="P68B1DB1-Normal5"/>
              <w:jc w:val="center"/>
              <w:rPr>
                <w:noProof/>
              </w:rPr>
            </w:pPr>
            <w:r>
              <w:rPr>
                <w:noProof/>
              </w:rPr>
              <w:t>Q4</w:t>
            </w:r>
          </w:p>
        </w:tc>
        <w:tc>
          <w:tcPr>
            <w:tcW w:w="709" w:type="dxa"/>
            <w:shd w:val="clear" w:color="auto" w:fill="C6EFCE"/>
            <w:noWrap/>
            <w:vAlign w:val="center"/>
          </w:tcPr>
          <w:p w14:paraId="3FCF1180" w14:textId="77777777" w:rsidR="00154E32" w:rsidRDefault="00A43E04">
            <w:pPr>
              <w:pStyle w:val="P68B1DB1-Normal5"/>
              <w:jc w:val="center"/>
              <w:rPr>
                <w:noProof/>
              </w:rPr>
            </w:pPr>
            <w:r>
              <w:rPr>
                <w:noProof/>
              </w:rPr>
              <w:t>2022</w:t>
            </w:r>
          </w:p>
        </w:tc>
        <w:tc>
          <w:tcPr>
            <w:tcW w:w="2835" w:type="dxa"/>
            <w:shd w:val="clear" w:color="auto" w:fill="C6EFCE"/>
            <w:noWrap/>
            <w:vAlign w:val="center"/>
          </w:tcPr>
          <w:p w14:paraId="05DF1F04" w14:textId="77777777" w:rsidR="00154E32" w:rsidRDefault="00A43E04">
            <w:pPr>
              <w:pStyle w:val="P68B1DB1-Normal5"/>
              <w:spacing w:after="120"/>
              <w:rPr>
                <w:noProof/>
              </w:rPr>
            </w:pPr>
            <w:r>
              <w:rPr>
                <w:noProof/>
              </w:rPr>
              <w:t>Platforma agencijam omogoča, da:</w:t>
            </w:r>
          </w:p>
          <w:p w14:paraId="5BB582D1" w14:textId="77777777" w:rsidR="00154E32" w:rsidRDefault="00A43E04">
            <w:pPr>
              <w:pStyle w:val="P68B1DB1-Normal5"/>
              <w:spacing w:after="120"/>
              <w:rPr>
                <w:noProof/>
              </w:rPr>
            </w:pPr>
            <w:r>
              <w:rPr>
                <w:noProof/>
              </w:rPr>
              <w:t>objavijo svoje vmesnike za aplikacijsko programiranje (API) v katalogu API platforme;</w:t>
            </w:r>
          </w:p>
          <w:p w14:paraId="5D6865C3" w14:textId="77777777" w:rsidR="00154E32" w:rsidRDefault="00A43E04">
            <w:pPr>
              <w:pStyle w:val="P68B1DB1-Normal5"/>
              <w:spacing w:after="120"/>
              <w:rPr>
                <w:noProof/>
              </w:rPr>
            </w:pPr>
            <w:r>
              <w:rPr>
                <w:noProof/>
              </w:rPr>
              <w:t>sklenitev in podpis sporazumov o digitalni interoperabilnosti prek platforme;</w:t>
            </w:r>
          </w:p>
          <w:p w14:paraId="0914E1E1" w14:textId="77777777" w:rsidR="00154E32" w:rsidRDefault="00A43E04">
            <w:pPr>
              <w:pStyle w:val="P68B1DB1-Normal5"/>
              <w:spacing w:after="120"/>
              <w:rPr>
                <w:noProof/>
              </w:rPr>
            </w:pPr>
            <w:r>
              <w:rPr>
                <w:noProof/>
              </w:rPr>
              <w:t>avtentikacija in odobritev dostopa API z uporabo funkcij platforme;</w:t>
            </w:r>
          </w:p>
          <w:p w14:paraId="012A27C5" w14:textId="77777777" w:rsidR="00154E32" w:rsidRDefault="00A43E04">
            <w:pPr>
              <w:pStyle w:val="P68B1DB1-Normal5"/>
              <w:spacing w:after="120"/>
              <w:rPr>
                <w:noProof/>
              </w:rPr>
            </w:pPr>
            <w:r>
              <w:rPr>
                <w:noProof/>
              </w:rPr>
              <w:t>— potrdi in oceni skladnost z nacionalnim okvirom interoperabilnosti.</w:t>
            </w:r>
          </w:p>
        </w:tc>
      </w:tr>
      <w:tr w:rsidR="00154E32" w14:paraId="4BD1BEDE" w14:textId="77777777">
        <w:trPr>
          <w:trHeight w:val="309"/>
        </w:trPr>
        <w:tc>
          <w:tcPr>
            <w:tcW w:w="1253" w:type="dxa"/>
            <w:shd w:val="clear" w:color="auto" w:fill="C6EFCE"/>
            <w:noWrap/>
            <w:vAlign w:val="center"/>
          </w:tcPr>
          <w:p w14:paraId="5E013FB7" w14:textId="77777777" w:rsidR="00154E32" w:rsidRDefault="00A43E04">
            <w:pPr>
              <w:pStyle w:val="P68B1DB1-Normal5"/>
              <w:jc w:val="center"/>
              <w:rPr>
                <w:noProof/>
              </w:rPr>
            </w:pPr>
            <w:r>
              <w:rPr>
                <w:noProof/>
              </w:rPr>
              <w:t>M1C1–5</w:t>
            </w:r>
          </w:p>
        </w:tc>
        <w:tc>
          <w:tcPr>
            <w:tcW w:w="1568" w:type="dxa"/>
            <w:shd w:val="clear" w:color="auto" w:fill="C6EFCE"/>
            <w:noWrap/>
            <w:vAlign w:val="center"/>
          </w:tcPr>
          <w:p w14:paraId="70F626EB" w14:textId="77777777" w:rsidR="00154E32" w:rsidRDefault="00A43E04">
            <w:pPr>
              <w:pStyle w:val="P68B1DB1-Normal5"/>
              <w:jc w:val="center"/>
              <w:rPr>
                <w:noProof/>
              </w:rPr>
            </w:pPr>
            <w:r>
              <w:rPr>
                <w:noProof/>
              </w:rPr>
              <w:t>Naložba 1.5: Kibernetska varnost</w:t>
            </w:r>
          </w:p>
        </w:tc>
        <w:tc>
          <w:tcPr>
            <w:tcW w:w="1148" w:type="dxa"/>
            <w:shd w:val="clear" w:color="auto" w:fill="C6EFCE"/>
            <w:noWrap/>
            <w:vAlign w:val="center"/>
          </w:tcPr>
          <w:p w14:paraId="2E40049A" w14:textId="77777777" w:rsidR="00154E32" w:rsidRDefault="00A43E04">
            <w:pPr>
              <w:pStyle w:val="P68B1DB1-Normal5"/>
              <w:jc w:val="center"/>
              <w:rPr>
                <w:noProof/>
              </w:rPr>
            </w:pPr>
            <w:r>
              <w:rPr>
                <w:noProof/>
              </w:rPr>
              <w:t>Mejnik</w:t>
            </w:r>
          </w:p>
        </w:tc>
        <w:tc>
          <w:tcPr>
            <w:tcW w:w="1470" w:type="dxa"/>
            <w:shd w:val="clear" w:color="auto" w:fill="C6EFCE"/>
            <w:noWrap/>
            <w:vAlign w:val="center"/>
          </w:tcPr>
          <w:p w14:paraId="68FD4BE7" w14:textId="77777777" w:rsidR="00154E32" w:rsidRDefault="00A43E04">
            <w:pPr>
              <w:pStyle w:val="P68B1DB1-Normal5"/>
              <w:jc w:val="center"/>
              <w:rPr>
                <w:noProof/>
              </w:rPr>
            </w:pPr>
            <w:r>
              <w:rPr>
                <w:noProof/>
              </w:rPr>
              <w:t>Ustanovitev nove nacionalne agencije za kibernetsko varnost</w:t>
            </w:r>
          </w:p>
        </w:tc>
        <w:tc>
          <w:tcPr>
            <w:tcW w:w="1701" w:type="dxa"/>
            <w:shd w:val="clear" w:color="auto" w:fill="C6EFCE"/>
            <w:noWrap/>
            <w:vAlign w:val="center"/>
          </w:tcPr>
          <w:p w14:paraId="5855D374" w14:textId="77777777" w:rsidR="00154E32" w:rsidRDefault="00A43E04">
            <w:pPr>
              <w:pStyle w:val="P68B1DB1-Normal5"/>
              <w:jc w:val="center"/>
              <w:rPr>
                <w:noProof/>
              </w:rPr>
            </w:pPr>
            <w:r>
              <w:rPr>
                <w:noProof/>
              </w:rPr>
              <w:t>Ustanovitveni akt</w:t>
            </w:r>
          </w:p>
        </w:tc>
        <w:tc>
          <w:tcPr>
            <w:tcW w:w="1134" w:type="dxa"/>
            <w:shd w:val="clear" w:color="auto" w:fill="C6EFCE"/>
            <w:noWrap/>
            <w:vAlign w:val="center"/>
          </w:tcPr>
          <w:p w14:paraId="6F9DF09D" w14:textId="77777777" w:rsidR="00154E32" w:rsidRDefault="00A43E04">
            <w:pPr>
              <w:pStyle w:val="P68B1DB1-Normal5"/>
              <w:jc w:val="center"/>
              <w:rPr>
                <w:noProof/>
              </w:rPr>
            </w:pPr>
            <w:r>
              <w:rPr>
                <w:noProof/>
              </w:rPr>
              <w:t>JIH NI</w:t>
            </w:r>
          </w:p>
        </w:tc>
        <w:tc>
          <w:tcPr>
            <w:tcW w:w="1417" w:type="dxa"/>
            <w:shd w:val="clear" w:color="auto" w:fill="C6EFCE"/>
            <w:noWrap/>
            <w:vAlign w:val="center"/>
          </w:tcPr>
          <w:p w14:paraId="1924B152" w14:textId="77777777" w:rsidR="00154E32" w:rsidRDefault="00A43E04">
            <w:pPr>
              <w:pStyle w:val="P68B1DB1-Normal5"/>
              <w:jc w:val="center"/>
              <w:rPr>
                <w:noProof/>
              </w:rPr>
            </w:pPr>
            <w:r>
              <w:rPr>
                <w:noProof/>
              </w:rPr>
              <w:t>JIH NI</w:t>
            </w:r>
          </w:p>
        </w:tc>
        <w:tc>
          <w:tcPr>
            <w:tcW w:w="1276" w:type="dxa"/>
            <w:shd w:val="clear" w:color="auto" w:fill="C6EFCE"/>
            <w:noWrap/>
            <w:vAlign w:val="center"/>
          </w:tcPr>
          <w:p w14:paraId="2FB35B0D" w14:textId="77777777" w:rsidR="00154E32" w:rsidRDefault="00A43E04">
            <w:pPr>
              <w:pStyle w:val="P68B1DB1-Normal5"/>
              <w:jc w:val="center"/>
              <w:rPr>
                <w:noProof/>
              </w:rPr>
            </w:pPr>
            <w:r>
              <w:rPr>
                <w:noProof/>
              </w:rPr>
              <w:t>JIH NI</w:t>
            </w:r>
          </w:p>
        </w:tc>
        <w:tc>
          <w:tcPr>
            <w:tcW w:w="850" w:type="dxa"/>
            <w:shd w:val="clear" w:color="auto" w:fill="C6EFCE"/>
            <w:noWrap/>
            <w:vAlign w:val="center"/>
          </w:tcPr>
          <w:p w14:paraId="0EB8C769" w14:textId="77777777" w:rsidR="00154E32" w:rsidRDefault="00A43E04">
            <w:pPr>
              <w:pStyle w:val="P68B1DB1-Normal5"/>
              <w:jc w:val="center"/>
              <w:rPr>
                <w:noProof/>
              </w:rPr>
            </w:pPr>
            <w:r>
              <w:rPr>
                <w:noProof/>
              </w:rPr>
              <w:t>Q4</w:t>
            </w:r>
          </w:p>
        </w:tc>
        <w:tc>
          <w:tcPr>
            <w:tcW w:w="709" w:type="dxa"/>
            <w:shd w:val="clear" w:color="auto" w:fill="C6EFCE"/>
            <w:noWrap/>
            <w:vAlign w:val="center"/>
          </w:tcPr>
          <w:p w14:paraId="61C6B7C5" w14:textId="77777777" w:rsidR="00154E32" w:rsidRDefault="00A43E04">
            <w:pPr>
              <w:pStyle w:val="P68B1DB1-Normal5"/>
              <w:jc w:val="center"/>
              <w:rPr>
                <w:noProof/>
              </w:rPr>
            </w:pPr>
            <w:r>
              <w:rPr>
                <w:noProof/>
              </w:rPr>
              <w:t>2022</w:t>
            </w:r>
          </w:p>
        </w:tc>
        <w:tc>
          <w:tcPr>
            <w:tcW w:w="2835" w:type="dxa"/>
            <w:shd w:val="clear" w:color="auto" w:fill="C6EFCE"/>
            <w:noWrap/>
            <w:vAlign w:val="center"/>
          </w:tcPr>
          <w:p w14:paraId="1F84FC5A" w14:textId="77777777" w:rsidR="00154E32" w:rsidRDefault="00A43E04">
            <w:pPr>
              <w:pStyle w:val="P68B1DB1-Normal5"/>
              <w:spacing w:after="120"/>
              <w:rPr>
                <w:noProof/>
              </w:rPr>
            </w:pPr>
            <w:r>
              <w:rPr>
                <w:noProof/>
              </w:rPr>
              <w:t>Mejnik se doseže z (1) preoblikovanjem zakonskega odloka o ustanovitvi nacionalne agencije za kibernetsko varnost v zakonodajo, ki je trenutno v zaključni fazi; (2) objava odloka predsednika vlade (Decreto del Presidente del Consiglio dei Ministri, DPCM), ki vsebuje notranji predpis nacionalne agencije za kibernetsko varnost, v Uradnem listu.</w:t>
            </w:r>
          </w:p>
        </w:tc>
      </w:tr>
      <w:tr w:rsidR="00154E32" w14:paraId="07177E78" w14:textId="77777777">
        <w:trPr>
          <w:trHeight w:val="309"/>
        </w:trPr>
        <w:tc>
          <w:tcPr>
            <w:tcW w:w="1253" w:type="dxa"/>
            <w:shd w:val="clear" w:color="auto" w:fill="C6EFCE"/>
            <w:noWrap/>
            <w:vAlign w:val="center"/>
          </w:tcPr>
          <w:p w14:paraId="48943100" w14:textId="77777777" w:rsidR="00154E32" w:rsidRDefault="00A43E04">
            <w:pPr>
              <w:pStyle w:val="P68B1DB1-Normal5"/>
              <w:jc w:val="center"/>
              <w:rPr>
                <w:noProof/>
              </w:rPr>
            </w:pPr>
            <w:r>
              <w:rPr>
                <w:noProof/>
              </w:rPr>
              <w:t>M1C1–6</w:t>
            </w:r>
          </w:p>
        </w:tc>
        <w:tc>
          <w:tcPr>
            <w:tcW w:w="1568" w:type="dxa"/>
            <w:shd w:val="clear" w:color="auto" w:fill="C6EFCE"/>
            <w:noWrap/>
            <w:vAlign w:val="center"/>
          </w:tcPr>
          <w:p w14:paraId="7828AB7B" w14:textId="77777777" w:rsidR="00154E32" w:rsidRDefault="00A43E04">
            <w:pPr>
              <w:pStyle w:val="P68B1DB1-Normal5"/>
              <w:jc w:val="center"/>
              <w:rPr>
                <w:noProof/>
              </w:rPr>
            </w:pPr>
            <w:r>
              <w:rPr>
                <w:noProof/>
              </w:rPr>
              <w:t>Naložba 1.5: Kibernetska varnost</w:t>
            </w:r>
          </w:p>
        </w:tc>
        <w:tc>
          <w:tcPr>
            <w:tcW w:w="1148" w:type="dxa"/>
            <w:shd w:val="clear" w:color="auto" w:fill="C6EFCE"/>
            <w:noWrap/>
            <w:vAlign w:val="center"/>
          </w:tcPr>
          <w:p w14:paraId="4B478FC2" w14:textId="77777777" w:rsidR="00154E32" w:rsidRDefault="00A43E04">
            <w:pPr>
              <w:pStyle w:val="P68B1DB1-Normal5"/>
              <w:jc w:val="center"/>
              <w:rPr>
                <w:noProof/>
              </w:rPr>
            </w:pPr>
            <w:r>
              <w:rPr>
                <w:noProof/>
              </w:rPr>
              <w:t>Mejnik</w:t>
            </w:r>
          </w:p>
        </w:tc>
        <w:tc>
          <w:tcPr>
            <w:tcW w:w="1470" w:type="dxa"/>
            <w:shd w:val="clear" w:color="auto" w:fill="C6EFCE"/>
            <w:noWrap/>
            <w:vAlign w:val="center"/>
          </w:tcPr>
          <w:p w14:paraId="1362EBE8" w14:textId="77777777" w:rsidR="00154E32" w:rsidRDefault="00A43E04">
            <w:pPr>
              <w:pStyle w:val="P68B1DB1-Normal5"/>
              <w:jc w:val="center"/>
              <w:rPr>
                <w:noProof/>
              </w:rPr>
            </w:pPr>
            <w:r>
              <w:rPr>
                <w:noProof/>
              </w:rPr>
              <w:t>Začetno uvajanje nacionalnih storitev kibernetske varnosti</w:t>
            </w:r>
          </w:p>
        </w:tc>
        <w:tc>
          <w:tcPr>
            <w:tcW w:w="1701" w:type="dxa"/>
            <w:shd w:val="clear" w:color="auto" w:fill="C6EFCE"/>
            <w:noWrap/>
            <w:vAlign w:val="center"/>
          </w:tcPr>
          <w:p w14:paraId="5500E25F" w14:textId="77777777" w:rsidR="00154E32" w:rsidRDefault="00A43E04">
            <w:pPr>
              <w:pStyle w:val="P68B1DB1-Normal5"/>
              <w:jc w:val="center"/>
              <w:rPr>
                <w:noProof/>
              </w:rPr>
            </w:pPr>
            <w:r>
              <w:rPr>
                <w:noProof/>
              </w:rPr>
              <w:t>Poročilo o celotni arhitekturi nacionalnih storitev kibernetske varnosti</w:t>
            </w:r>
          </w:p>
        </w:tc>
        <w:tc>
          <w:tcPr>
            <w:tcW w:w="1134" w:type="dxa"/>
            <w:shd w:val="clear" w:color="auto" w:fill="C6EFCE"/>
            <w:noWrap/>
            <w:vAlign w:val="center"/>
          </w:tcPr>
          <w:p w14:paraId="1DF92E1B" w14:textId="77777777" w:rsidR="00154E32" w:rsidRDefault="00A43E04">
            <w:pPr>
              <w:pStyle w:val="P68B1DB1-Normal5"/>
              <w:jc w:val="center"/>
              <w:rPr>
                <w:noProof/>
              </w:rPr>
            </w:pPr>
            <w:r>
              <w:rPr>
                <w:noProof/>
              </w:rPr>
              <w:t>JIH NI</w:t>
            </w:r>
          </w:p>
        </w:tc>
        <w:tc>
          <w:tcPr>
            <w:tcW w:w="1417" w:type="dxa"/>
            <w:shd w:val="clear" w:color="auto" w:fill="C6EFCE"/>
            <w:noWrap/>
            <w:vAlign w:val="center"/>
          </w:tcPr>
          <w:p w14:paraId="7B6A823E" w14:textId="77777777" w:rsidR="00154E32" w:rsidRDefault="00A43E04">
            <w:pPr>
              <w:pStyle w:val="P68B1DB1-Normal5"/>
              <w:jc w:val="center"/>
              <w:rPr>
                <w:noProof/>
              </w:rPr>
            </w:pPr>
            <w:r>
              <w:rPr>
                <w:noProof/>
              </w:rPr>
              <w:t>JIH NI</w:t>
            </w:r>
          </w:p>
        </w:tc>
        <w:tc>
          <w:tcPr>
            <w:tcW w:w="1276" w:type="dxa"/>
            <w:shd w:val="clear" w:color="auto" w:fill="C6EFCE"/>
            <w:noWrap/>
            <w:vAlign w:val="center"/>
          </w:tcPr>
          <w:p w14:paraId="40138CD1" w14:textId="77777777" w:rsidR="00154E32" w:rsidRDefault="00A43E04">
            <w:pPr>
              <w:pStyle w:val="P68B1DB1-Normal5"/>
              <w:jc w:val="center"/>
              <w:rPr>
                <w:noProof/>
              </w:rPr>
            </w:pPr>
            <w:r>
              <w:rPr>
                <w:noProof/>
              </w:rPr>
              <w:t>JIH NI</w:t>
            </w:r>
          </w:p>
        </w:tc>
        <w:tc>
          <w:tcPr>
            <w:tcW w:w="850" w:type="dxa"/>
            <w:shd w:val="clear" w:color="auto" w:fill="C6EFCE"/>
            <w:noWrap/>
            <w:vAlign w:val="center"/>
          </w:tcPr>
          <w:p w14:paraId="490E175A" w14:textId="77777777" w:rsidR="00154E32" w:rsidRDefault="00A43E04">
            <w:pPr>
              <w:pStyle w:val="P68B1DB1-Normal5"/>
              <w:jc w:val="center"/>
              <w:rPr>
                <w:noProof/>
              </w:rPr>
            </w:pPr>
            <w:r>
              <w:rPr>
                <w:noProof/>
              </w:rPr>
              <w:t>Q4</w:t>
            </w:r>
          </w:p>
        </w:tc>
        <w:tc>
          <w:tcPr>
            <w:tcW w:w="709" w:type="dxa"/>
            <w:shd w:val="clear" w:color="auto" w:fill="C6EFCE"/>
            <w:noWrap/>
            <w:vAlign w:val="center"/>
          </w:tcPr>
          <w:p w14:paraId="3CA2A0FA" w14:textId="77777777" w:rsidR="00154E32" w:rsidRDefault="00A43E04">
            <w:pPr>
              <w:pStyle w:val="P68B1DB1-Normal5"/>
              <w:jc w:val="center"/>
              <w:rPr>
                <w:noProof/>
              </w:rPr>
            </w:pPr>
            <w:r>
              <w:rPr>
                <w:noProof/>
              </w:rPr>
              <w:t>2022</w:t>
            </w:r>
          </w:p>
        </w:tc>
        <w:tc>
          <w:tcPr>
            <w:tcW w:w="2835" w:type="dxa"/>
            <w:shd w:val="clear" w:color="auto" w:fill="C6EFCE"/>
            <w:noWrap/>
            <w:vAlign w:val="center"/>
          </w:tcPr>
          <w:p w14:paraId="7E11AC9A" w14:textId="49D5CBA5" w:rsidR="00154E32" w:rsidRDefault="00A43E04">
            <w:pPr>
              <w:pStyle w:val="P68B1DB1-Normal5"/>
              <w:spacing w:after="120"/>
              <w:rPr>
                <w:noProof/>
              </w:rPr>
            </w:pPr>
            <w:r>
              <w:rPr>
                <w:noProof/>
              </w:rPr>
              <w:t>Mejnik se doseže z opredelitvijo podrobne arhitekture celotnega ekosistema nacionalne arhitekture kibernetske varnosti (tj. nacionalnega centra za izmenjavo in analizo informacij (ISAC), mreže skupin za odzivanje na računalniške grožnje (CERT), nacionalnega sistema HyperSOC, visokozmogljivostnega računalništva, integriranega z orodji umetne inteligence/strojnega učenja za analizo kibernetskih incidentov na nacionalni ravni).</w:t>
            </w:r>
          </w:p>
        </w:tc>
      </w:tr>
      <w:tr w:rsidR="00154E32" w14:paraId="70B34137" w14:textId="77777777">
        <w:trPr>
          <w:trHeight w:val="309"/>
        </w:trPr>
        <w:tc>
          <w:tcPr>
            <w:tcW w:w="1253" w:type="dxa"/>
            <w:shd w:val="clear" w:color="auto" w:fill="C6EFCE"/>
            <w:noWrap/>
            <w:vAlign w:val="center"/>
          </w:tcPr>
          <w:p w14:paraId="2B5B7213" w14:textId="77777777" w:rsidR="00154E32" w:rsidRDefault="00A43E04">
            <w:pPr>
              <w:pStyle w:val="P68B1DB1-Normal5"/>
              <w:jc w:val="center"/>
              <w:rPr>
                <w:noProof/>
              </w:rPr>
            </w:pPr>
            <w:r>
              <w:rPr>
                <w:noProof/>
              </w:rPr>
              <w:t>M1C1–7</w:t>
            </w:r>
          </w:p>
        </w:tc>
        <w:tc>
          <w:tcPr>
            <w:tcW w:w="1568" w:type="dxa"/>
            <w:shd w:val="clear" w:color="auto" w:fill="C6EFCE"/>
            <w:noWrap/>
            <w:vAlign w:val="center"/>
          </w:tcPr>
          <w:p w14:paraId="6E340A62" w14:textId="77777777" w:rsidR="00154E32" w:rsidRDefault="00A43E04">
            <w:pPr>
              <w:pStyle w:val="P68B1DB1-Normal5"/>
              <w:jc w:val="center"/>
              <w:rPr>
                <w:noProof/>
              </w:rPr>
            </w:pPr>
            <w:r>
              <w:rPr>
                <w:noProof/>
              </w:rPr>
              <w:t>Naložba 1.5: Kibernetska varnost</w:t>
            </w:r>
          </w:p>
        </w:tc>
        <w:tc>
          <w:tcPr>
            <w:tcW w:w="1148" w:type="dxa"/>
            <w:shd w:val="clear" w:color="auto" w:fill="C6EFCE"/>
            <w:noWrap/>
            <w:vAlign w:val="center"/>
          </w:tcPr>
          <w:p w14:paraId="5D7F3661" w14:textId="77777777" w:rsidR="00154E32" w:rsidRDefault="00A43E04">
            <w:pPr>
              <w:pStyle w:val="P68B1DB1-Normal5"/>
              <w:jc w:val="center"/>
              <w:rPr>
                <w:noProof/>
              </w:rPr>
            </w:pPr>
            <w:r>
              <w:rPr>
                <w:noProof/>
              </w:rPr>
              <w:t>Mejnik</w:t>
            </w:r>
          </w:p>
        </w:tc>
        <w:tc>
          <w:tcPr>
            <w:tcW w:w="1470" w:type="dxa"/>
            <w:shd w:val="clear" w:color="auto" w:fill="C6EFCE"/>
            <w:noWrap/>
            <w:vAlign w:val="center"/>
          </w:tcPr>
          <w:p w14:paraId="74560CEA" w14:textId="77777777" w:rsidR="00154E32" w:rsidRDefault="00A43E04">
            <w:pPr>
              <w:pStyle w:val="P68B1DB1-Normal5"/>
              <w:jc w:val="center"/>
              <w:rPr>
                <w:noProof/>
              </w:rPr>
            </w:pPr>
            <w:r>
              <w:rPr>
                <w:noProof/>
              </w:rPr>
              <w:t>Vzpostavitev mreže laboratorijev za presejalne in certifikacijske preglede na področju kibernetske varnosti</w:t>
            </w:r>
          </w:p>
        </w:tc>
        <w:tc>
          <w:tcPr>
            <w:tcW w:w="1701" w:type="dxa"/>
            <w:shd w:val="clear" w:color="auto" w:fill="C6EFCE"/>
            <w:noWrap/>
            <w:vAlign w:val="center"/>
          </w:tcPr>
          <w:p w14:paraId="243A5982" w14:textId="0094057E" w:rsidR="00154E32" w:rsidRDefault="00A43E04">
            <w:pPr>
              <w:pStyle w:val="P68B1DB1-Normal5"/>
              <w:jc w:val="center"/>
              <w:rPr>
                <w:noProof/>
              </w:rPr>
            </w:pPr>
            <w:r>
              <w:rPr>
                <w:noProof/>
              </w:rPr>
              <w:t>Predložena dokumentacija, ki dokazuje opredeljene procese in postopke, ki jih je treba deliti med laboratoriji, in predloženo poročanje, ki dokazuje aktivacijo vsaj enega laboratorija</w:t>
            </w:r>
          </w:p>
        </w:tc>
        <w:tc>
          <w:tcPr>
            <w:tcW w:w="1134" w:type="dxa"/>
            <w:shd w:val="clear" w:color="auto" w:fill="C6EFCE"/>
            <w:noWrap/>
            <w:vAlign w:val="center"/>
          </w:tcPr>
          <w:p w14:paraId="6D88844D" w14:textId="77777777" w:rsidR="00154E32" w:rsidRDefault="00A43E04">
            <w:pPr>
              <w:pStyle w:val="P68B1DB1-Normal5"/>
              <w:jc w:val="center"/>
              <w:rPr>
                <w:noProof/>
              </w:rPr>
            </w:pPr>
            <w:r>
              <w:rPr>
                <w:noProof/>
              </w:rPr>
              <w:t>JIH NI</w:t>
            </w:r>
          </w:p>
        </w:tc>
        <w:tc>
          <w:tcPr>
            <w:tcW w:w="1417" w:type="dxa"/>
            <w:shd w:val="clear" w:color="auto" w:fill="C6EFCE"/>
            <w:noWrap/>
            <w:vAlign w:val="center"/>
          </w:tcPr>
          <w:p w14:paraId="29486108" w14:textId="77777777" w:rsidR="00154E32" w:rsidRDefault="00A43E04">
            <w:pPr>
              <w:pStyle w:val="P68B1DB1-Normal5"/>
              <w:jc w:val="center"/>
              <w:rPr>
                <w:noProof/>
              </w:rPr>
            </w:pPr>
            <w:r>
              <w:rPr>
                <w:noProof/>
              </w:rPr>
              <w:t>JIH NI</w:t>
            </w:r>
          </w:p>
        </w:tc>
        <w:tc>
          <w:tcPr>
            <w:tcW w:w="1276" w:type="dxa"/>
            <w:shd w:val="clear" w:color="auto" w:fill="C6EFCE"/>
            <w:noWrap/>
            <w:vAlign w:val="center"/>
          </w:tcPr>
          <w:p w14:paraId="58BF287A" w14:textId="77777777" w:rsidR="00154E32" w:rsidRDefault="00A43E04">
            <w:pPr>
              <w:pStyle w:val="P68B1DB1-Normal5"/>
              <w:jc w:val="center"/>
              <w:rPr>
                <w:noProof/>
              </w:rPr>
            </w:pPr>
            <w:r>
              <w:rPr>
                <w:noProof/>
              </w:rPr>
              <w:t>JIH NI</w:t>
            </w:r>
          </w:p>
        </w:tc>
        <w:tc>
          <w:tcPr>
            <w:tcW w:w="850" w:type="dxa"/>
            <w:shd w:val="clear" w:color="auto" w:fill="C6EFCE"/>
            <w:noWrap/>
            <w:vAlign w:val="center"/>
          </w:tcPr>
          <w:p w14:paraId="3880AF7B" w14:textId="77777777" w:rsidR="00154E32" w:rsidRDefault="00A43E04">
            <w:pPr>
              <w:pStyle w:val="P68B1DB1-Normal5"/>
              <w:jc w:val="center"/>
              <w:rPr>
                <w:noProof/>
              </w:rPr>
            </w:pPr>
            <w:r>
              <w:rPr>
                <w:noProof/>
              </w:rPr>
              <w:t>Q4</w:t>
            </w:r>
          </w:p>
        </w:tc>
        <w:tc>
          <w:tcPr>
            <w:tcW w:w="709" w:type="dxa"/>
            <w:shd w:val="clear" w:color="auto" w:fill="C6EFCE"/>
            <w:noWrap/>
            <w:vAlign w:val="center"/>
          </w:tcPr>
          <w:p w14:paraId="3BD8CF63" w14:textId="77777777" w:rsidR="00154E32" w:rsidRDefault="00A43E04">
            <w:pPr>
              <w:pStyle w:val="P68B1DB1-Normal5"/>
              <w:jc w:val="center"/>
              <w:rPr>
                <w:noProof/>
              </w:rPr>
            </w:pPr>
            <w:r>
              <w:rPr>
                <w:noProof/>
              </w:rPr>
              <w:t>2022</w:t>
            </w:r>
          </w:p>
        </w:tc>
        <w:tc>
          <w:tcPr>
            <w:tcW w:w="2835" w:type="dxa"/>
            <w:shd w:val="clear" w:color="auto" w:fill="C6EFCE"/>
            <w:noWrap/>
            <w:vAlign w:val="center"/>
          </w:tcPr>
          <w:p w14:paraId="0798CA4E" w14:textId="77777777" w:rsidR="00154E32" w:rsidRDefault="00A43E04">
            <w:pPr>
              <w:pStyle w:val="P68B1DB1-Normal5"/>
              <w:spacing w:after="120"/>
              <w:rPr>
                <w:noProof/>
              </w:rPr>
            </w:pPr>
            <w:r>
              <w:rPr>
                <w:noProof/>
              </w:rPr>
              <w:t>Mejnik se doseže z:</w:t>
            </w:r>
          </w:p>
          <w:p w14:paraId="0B95D4CD" w14:textId="4F875202" w:rsidR="00154E32" w:rsidRDefault="00A43E04">
            <w:pPr>
              <w:pStyle w:val="P68B1DB1-Normal5"/>
              <w:rPr>
                <w:noProof/>
              </w:rPr>
            </w:pPr>
            <w:r>
              <w:rPr>
                <w:noProof/>
              </w:rPr>
              <w:t>(I) Nacionalna agencija za kibernetsko varnost določi, kje bodo ustanovljeni laboratoriji in centri za preverjanje in certificiranje, profile strokovnjakov, ki jih je treba zaposliti, popolno opredelitev procesov in postopkov, ki se bodo delili med laboratoriji.</w:t>
            </w:r>
          </w:p>
          <w:p w14:paraId="0E11745F" w14:textId="77777777" w:rsidR="00154E32" w:rsidRDefault="00A43E04">
            <w:pPr>
              <w:pStyle w:val="P68B1DB1-Normal5"/>
              <w:spacing w:before="120" w:after="120"/>
              <w:rPr>
                <w:noProof/>
              </w:rPr>
            </w:pPr>
            <w:r>
              <w:rPr>
                <w:noProof/>
              </w:rPr>
              <w:t>jajcežerke Aktivacija enega laboratorija.</w:t>
            </w:r>
          </w:p>
          <w:p w14:paraId="4EAA2752" w14:textId="77777777" w:rsidR="00154E32" w:rsidRDefault="00A43E04">
            <w:pPr>
              <w:pStyle w:val="P68B1DB1-Normal5"/>
              <w:spacing w:after="120"/>
              <w:rPr>
                <w:noProof/>
                <w:color w:val="FF0000"/>
              </w:rPr>
            </w:pPr>
            <w:r>
              <w:rPr>
                <w:noProof/>
              </w:rPr>
              <w:t>Dejavnosti, vzpostavljene za ustanovitev in aktivacijo nadzornih laboratorijev, nadzoruje Ministero dello Sviluppo Economico (MISE) skupaj z nacionalnim laboratorijem za pregledovanje in certificiranje na področju kibernetske varnosti, skupaj z ocenjevalnim centrom (CV) pa ministrstvo za notranje zadeve in ministrstvo za obrambo.</w:t>
            </w:r>
          </w:p>
        </w:tc>
      </w:tr>
      <w:tr w:rsidR="00154E32" w14:paraId="4B50FB60" w14:textId="77777777">
        <w:trPr>
          <w:trHeight w:val="309"/>
        </w:trPr>
        <w:tc>
          <w:tcPr>
            <w:tcW w:w="1253" w:type="dxa"/>
            <w:shd w:val="clear" w:color="auto" w:fill="C6EFCE"/>
            <w:noWrap/>
            <w:vAlign w:val="center"/>
          </w:tcPr>
          <w:p w14:paraId="27D9BF50" w14:textId="77777777" w:rsidR="00154E32" w:rsidRDefault="00A43E04">
            <w:pPr>
              <w:pStyle w:val="P68B1DB1-Normal5"/>
              <w:jc w:val="center"/>
              <w:rPr>
                <w:noProof/>
              </w:rPr>
            </w:pPr>
            <w:r>
              <w:rPr>
                <w:noProof/>
              </w:rPr>
              <w:t>M1C1–8</w:t>
            </w:r>
          </w:p>
        </w:tc>
        <w:tc>
          <w:tcPr>
            <w:tcW w:w="1568" w:type="dxa"/>
            <w:shd w:val="clear" w:color="auto" w:fill="C6EFCE"/>
            <w:noWrap/>
            <w:vAlign w:val="center"/>
          </w:tcPr>
          <w:p w14:paraId="678D1BEE" w14:textId="77777777" w:rsidR="00154E32" w:rsidRDefault="00A43E04">
            <w:pPr>
              <w:pStyle w:val="P68B1DB1-Normal5"/>
              <w:jc w:val="center"/>
              <w:rPr>
                <w:noProof/>
              </w:rPr>
            </w:pPr>
            <w:r>
              <w:rPr>
                <w:noProof/>
              </w:rPr>
              <w:t>Naložba 1.5: Kibernetska varnost</w:t>
            </w:r>
          </w:p>
        </w:tc>
        <w:tc>
          <w:tcPr>
            <w:tcW w:w="1148" w:type="dxa"/>
            <w:shd w:val="clear" w:color="auto" w:fill="C6EFCE"/>
            <w:noWrap/>
            <w:vAlign w:val="center"/>
          </w:tcPr>
          <w:p w14:paraId="2B755852" w14:textId="77777777" w:rsidR="00154E32" w:rsidRDefault="00A43E04">
            <w:pPr>
              <w:pStyle w:val="P68B1DB1-Normal5"/>
              <w:jc w:val="center"/>
              <w:rPr>
                <w:noProof/>
              </w:rPr>
            </w:pPr>
            <w:r>
              <w:rPr>
                <w:noProof/>
              </w:rPr>
              <w:t>Mejnik</w:t>
            </w:r>
          </w:p>
        </w:tc>
        <w:tc>
          <w:tcPr>
            <w:tcW w:w="1470" w:type="dxa"/>
            <w:shd w:val="clear" w:color="auto" w:fill="C6EFCE"/>
            <w:noWrap/>
            <w:vAlign w:val="center"/>
          </w:tcPr>
          <w:p w14:paraId="4FCA19FB" w14:textId="77777777" w:rsidR="00154E32" w:rsidRDefault="00A43E04">
            <w:pPr>
              <w:pStyle w:val="P68B1DB1-Normal5"/>
              <w:jc w:val="center"/>
              <w:rPr>
                <w:noProof/>
              </w:rPr>
            </w:pPr>
            <w:r>
              <w:rPr>
                <w:noProof/>
              </w:rPr>
              <w:t>Aktiviranje centralne revizijske enote za varnostne ukrepe PSNC &amp; VOI</w:t>
            </w:r>
          </w:p>
        </w:tc>
        <w:tc>
          <w:tcPr>
            <w:tcW w:w="1701" w:type="dxa"/>
            <w:shd w:val="clear" w:color="auto" w:fill="C6EFCE"/>
            <w:noWrap/>
            <w:vAlign w:val="center"/>
          </w:tcPr>
          <w:p w14:paraId="17538402" w14:textId="77777777" w:rsidR="00154E32" w:rsidRDefault="00A43E04">
            <w:pPr>
              <w:pStyle w:val="P68B1DB1-Normal5"/>
              <w:jc w:val="center"/>
              <w:rPr>
                <w:noProof/>
              </w:rPr>
            </w:pPr>
            <w:r>
              <w:rPr>
                <w:noProof/>
              </w:rPr>
              <w:t>Predloženo poročanje, ki dokazuje začetek delovanja centralne revizijske enote</w:t>
            </w:r>
          </w:p>
        </w:tc>
        <w:tc>
          <w:tcPr>
            <w:tcW w:w="1134" w:type="dxa"/>
            <w:shd w:val="clear" w:color="auto" w:fill="C6EFCE"/>
            <w:noWrap/>
            <w:vAlign w:val="center"/>
          </w:tcPr>
          <w:p w14:paraId="79FC01B0" w14:textId="77777777" w:rsidR="00154E32" w:rsidRDefault="00A43E04">
            <w:pPr>
              <w:pStyle w:val="P68B1DB1-Normal5"/>
              <w:jc w:val="center"/>
              <w:rPr>
                <w:noProof/>
              </w:rPr>
            </w:pPr>
            <w:r>
              <w:rPr>
                <w:noProof/>
              </w:rPr>
              <w:t>JIH NI</w:t>
            </w:r>
          </w:p>
        </w:tc>
        <w:tc>
          <w:tcPr>
            <w:tcW w:w="1417" w:type="dxa"/>
            <w:shd w:val="clear" w:color="auto" w:fill="C6EFCE"/>
            <w:noWrap/>
            <w:vAlign w:val="center"/>
          </w:tcPr>
          <w:p w14:paraId="53D9A948" w14:textId="77777777" w:rsidR="00154E32" w:rsidRDefault="00A43E04">
            <w:pPr>
              <w:pStyle w:val="P68B1DB1-Normal5"/>
              <w:jc w:val="center"/>
              <w:rPr>
                <w:noProof/>
              </w:rPr>
            </w:pPr>
            <w:r>
              <w:rPr>
                <w:noProof/>
              </w:rPr>
              <w:t>JIH NI</w:t>
            </w:r>
          </w:p>
        </w:tc>
        <w:tc>
          <w:tcPr>
            <w:tcW w:w="1276" w:type="dxa"/>
            <w:shd w:val="clear" w:color="auto" w:fill="C6EFCE"/>
            <w:noWrap/>
            <w:vAlign w:val="center"/>
          </w:tcPr>
          <w:p w14:paraId="6040222B" w14:textId="77777777" w:rsidR="00154E32" w:rsidRDefault="00A43E04">
            <w:pPr>
              <w:pStyle w:val="P68B1DB1-Normal5"/>
              <w:jc w:val="center"/>
              <w:rPr>
                <w:noProof/>
              </w:rPr>
            </w:pPr>
            <w:r>
              <w:rPr>
                <w:noProof/>
              </w:rPr>
              <w:t>JIH NI</w:t>
            </w:r>
          </w:p>
        </w:tc>
        <w:tc>
          <w:tcPr>
            <w:tcW w:w="850" w:type="dxa"/>
            <w:shd w:val="clear" w:color="auto" w:fill="C6EFCE"/>
            <w:noWrap/>
            <w:vAlign w:val="center"/>
          </w:tcPr>
          <w:p w14:paraId="176BC4DC" w14:textId="77777777" w:rsidR="00154E32" w:rsidRDefault="00A43E04">
            <w:pPr>
              <w:pStyle w:val="P68B1DB1-Normal5"/>
              <w:jc w:val="center"/>
              <w:rPr>
                <w:noProof/>
              </w:rPr>
            </w:pPr>
            <w:r>
              <w:rPr>
                <w:noProof/>
              </w:rPr>
              <w:t>Q4</w:t>
            </w:r>
          </w:p>
        </w:tc>
        <w:tc>
          <w:tcPr>
            <w:tcW w:w="709" w:type="dxa"/>
            <w:shd w:val="clear" w:color="auto" w:fill="C6EFCE"/>
            <w:noWrap/>
            <w:vAlign w:val="center"/>
          </w:tcPr>
          <w:p w14:paraId="1C6BDB5B" w14:textId="77777777" w:rsidR="00154E32" w:rsidRDefault="00A43E04">
            <w:pPr>
              <w:pStyle w:val="P68B1DB1-Normal5"/>
              <w:jc w:val="center"/>
              <w:rPr>
                <w:noProof/>
              </w:rPr>
            </w:pPr>
            <w:r>
              <w:rPr>
                <w:noProof/>
              </w:rPr>
              <w:t>2022</w:t>
            </w:r>
          </w:p>
        </w:tc>
        <w:tc>
          <w:tcPr>
            <w:tcW w:w="2835" w:type="dxa"/>
            <w:shd w:val="clear" w:color="auto" w:fill="C6EFCE"/>
            <w:noWrap/>
            <w:vAlign w:val="center"/>
          </w:tcPr>
          <w:p w14:paraId="70CAE4B5" w14:textId="77777777" w:rsidR="00154E32" w:rsidRDefault="00A43E04">
            <w:pPr>
              <w:pStyle w:val="P68B1DB1-Normal5"/>
              <w:spacing w:after="120"/>
              <w:rPr>
                <w:noProof/>
              </w:rPr>
            </w:pPr>
            <w:r>
              <w:rPr>
                <w:noProof/>
              </w:rPr>
              <w:t>V okviru nacionalne agencije za kibernetsko varnost se imenuje notranja enota, katere naloga je izvajanje dejavnosti centralne revizijske enote, ki bo odgovorna za varnostne ukrepe PSNC &amp; NIS.</w:t>
            </w:r>
          </w:p>
          <w:p w14:paraId="32B4EBDD" w14:textId="77777777" w:rsidR="00154E32" w:rsidRDefault="00A43E04">
            <w:pPr>
              <w:pStyle w:val="P68B1DB1-Normal5"/>
              <w:spacing w:after="120"/>
              <w:rPr>
                <w:noProof/>
              </w:rPr>
            </w:pPr>
            <w:r>
              <w:rPr>
                <w:noProof/>
              </w:rPr>
              <w:t>Procesi, logistika in ureditve delovanja se formalizirajo v ustrezno dokumentacijo s posebnim poudarkom na operativnih procesih, tj. pravilih o sodelovanju, reviziji in postopkih poročanja.</w:t>
            </w:r>
          </w:p>
          <w:p w14:paraId="61C95DB7" w14:textId="77777777" w:rsidR="00154E32" w:rsidRDefault="00A43E04">
            <w:pPr>
              <w:pStyle w:val="P68B1DB1-Normal5"/>
              <w:spacing w:after="120"/>
              <w:rPr>
                <w:noProof/>
              </w:rPr>
            </w:pPr>
            <w:r>
              <w:rPr>
                <w:noProof/>
              </w:rPr>
              <w:t>Orodja IT zbirajo, upravljajo in analizirajo revizijske podatke ter jih razvija in uporablja enota za revizijo.</w:t>
            </w:r>
          </w:p>
          <w:p w14:paraId="051D2CEC" w14:textId="77777777" w:rsidR="00154E32" w:rsidRDefault="00A43E04">
            <w:pPr>
              <w:pStyle w:val="P68B1DB1-Normal5"/>
              <w:spacing w:after="120"/>
              <w:rPr>
                <w:noProof/>
              </w:rPr>
            </w:pPr>
            <w:r>
              <w:rPr>
                <w:noProof/>
              </w:rPr>
              <w:t>Predloži se dokumentacija o dokončanju razvoja orodij.</w:t>
            </w:r>
          </w:p>
        </w:tc>
      </w:tr>
      <w:tr w:rsidR="00154E32" w14:paraId="0D01BA26" w14:textId="77777777">
        <w:trPr>
          <w:trHeight w:val="309"/>
        </w:trPr>
        <w:tc>
          <w:tcPr>
            <w:tcW w:w="1253" w:type="dxa"/>
            <w:shd w:val="clear" w:color="auto" w:fill="C6EFCE"/>
            <w:noWrap/>
            <w:vAlign w:val="center"/>
          </w:tcPr>
          <w:p w14:paraId="7CC88111" w14:textId="77777777" w:rsidR="00154E32" w:rsidRDefault="00A43E04">
            <w:pPr>
              <w:pStyle w:val="P68B1DB1-Normal5"/>
              <w:jc w:val="center"/>
              <w:rPr>
                <w:noProof/>
              </w:rPr>
            </w:pPr>
            <w:r>
              <w:rPr>
                <w:noProof/>
              </w:rPr>
              <w:t>M1C1–9</w:t>
            </w:r>
          </w:p>
        </w:tc>
        <w:tc>
          <w:tcPr>
            <w:tcW w:w="1568" w:type="dxa"/>
            <w:shd w:val="clear" w:color="auto" w:fill="C6EFCE"/>
            <w:noWrap/>
            <w:vAlign w:val="center"/>
          </w:tcPr>
          <w:p w14:paraId="330C584C" w14:textId="77777777" w:rsidR="00154E32" w:rsidRDefault="00A43E04">
            <w:pPr>
              <w:pStyle w:val="P68B1DB1-Normal5"/>
              <w:jc w:val="center"/>
              <w:rPr>
                <w:noProof/>
              </w:rPr>
            </w:pPr>
            <w:r>
              <w:rPr>
                <w:noProof/>
              </w:rPr>
              <w:t>Naložba 1.5: Kibernetska varnost</w:t>
            </w:r>
          </w:p>
        </w:tc>
        <w:tc>
          <w:tcPr>
            <w:tcW w:w="1148" w:type="dxa"/>
            <w:shd w:val="clear" w:color="auto" w:fill="C6EFCE"/>
            <w:noWrap/>
            <w:vAlign w:val="center"/>
          </w:tcPr>
          <w:p w14:paraId="7BA41D78" w14:textId="77777777" w:rsidR="00154E32" w:rsidRDefault="00A43E04">
            <w:pPr>
              <w:pStyle w:val="P68B1DB1-Normal5"/>
              <w:jc w:val="center"/>
              <w:rPr>
                <w:noProof/>
              </w:rPr>
            </w:pPr>
            <w:r>
              <w:rPr>
                <w:noProof/>
              </w:rPr>
              <w:t>Tarča</w:t>
            </w:r>
          </w:p>
        </w:tc>
        <w:tc>
          <w:tcPr>
            <w:tcW w:w="1470" w:type="dxa"/>
            <w:shd w:val="clear" w:color="auto" w:fill="C6EFCE"/>
            <w:noWrap/>
            <w:vAlign w:val="center"/>
          </w:tcPr>
          <w:p w14:paraId="620B77D5" w14:textId="77777777" w:rsidR="00154E32" w:rsidRDefault="00A43E04">
            <w:pPr>
              <w:pStyle w:val="P68B1DB1-Normal5"/>
              <w:jc w:val="center"/>
              <w:rPr>
                <w:noProof/>
              </w:rPr>
            </w:pPr>
            <w:r>
              <w:rPr>
                <w:noProof/>
              </w:rPr>
              <w:t>Podpora za nadgradnjo varnostnih struktur T1</w:t>
            </w:r>
          </w:p>
        </w:tc>
        <w:tc>
          <w:tcPr>
            <w:tcW w:w="1701" w:type="dxa"/>
            <w:shd w:val="clear" w:color="auto" w:fill="C6EFCE"/>
            <w:noWrap/>
            <w:vAlign w:val="center"/>
          </w:tcPr>
          <w:p w14:paraId="6D010E4D" w14:textId="77777777" w:rsidR="00154E32" w:rsidRDefault="00A43E04">
            <w:pPr>
              <w:pStyle w:val="P68B1DB1-Normal5"/>
              <w:jc w:val="center"/>
              <w:rPr>
                <w:noProof/>
              </w:rPr>
            </w:pPr>
            <w:r>
              <w:rPr>
                <w:noProof/>
              </w:rPr>
              <w:t>JIH NI</w:t>
            </w:r>
          </w:p>
        </w:tc>
        <w:tc>
          <w:tcPr>
            <w:tcW w:w="1134" w:type="dxa"/>
            <w:shd w:val="clear" w:color="auto" w:fill="C6EFCE"/>
            <w:noWrap/>
            <w:vAlign w:val="center"/>
          </w:tcPr>
          <w:p w14:paraId="5C8E9DB3" w14:textId="77777777" w:rsidR="00154E32" w:rsidRDefault="00A43E04">
            <w:pPr>
              <w:pStyle w:val="P68B1DB1-Normal5"/>
              <w:jc w:val="center"/>
              <w:rPr>
                <w:noProof/>
              </w:rPr>
            </w:pPr>
            <w:r>
              <w:rPr>
                <w:noProof/>
              </w:rPr>
              <w:t>Število</w:t>
            </w:r>
          </w:p>
        </w:tc>
        <w:tc>
          <w:tcPr>
            <w:tcW w:w="1417" w:type="dxa"/>
            <w:shd w:val="clear" w:color="auto" w:fill="C6EFCE"/>
            <w:noWrap/>
            <w:vAlign w:val="center"/>
          </w:tcPr>
          <w:p w14:paraId="6644D46F" w14:textId="77777777" w:rsidR="00154E32" w:rsidRDefault="00A43E04">
            <w:pPr>
              <w:pStyle w:val="P68B1DB1-Normal5"/>
              <w:jc w:val="center"/>
              <w:rPr>
                <w:noProof/>
              </w:rPr>
            </w:pPr>
            <w:r>
              <w:rPr>
                <w:noProof/>
              </w:rPr>
              <w:t>0</w:t>
            </w:r>
          </w:p>
        </w:tc>
        <w:tc>
          <w:tcPr>
            <w:tcW w:w="1276" w:type="dxa"/>
            <w:shd w:val="clear" w:color="auto" w:fill="C6EFCE"/>
            <w:noWrap/>
            <w:vAlign w:val="center"/>
          </w:tcPr>
          <w:p w14:paraId="7996A28D" w14:textId="77777777" w:rsidR="00154E32" w:rsidRDefault="00A43E04">
            <w:pPr>
              <w:pStyle w:val="P68B1DB1-Normal5"/>
              <w:jc w:val="center"/>
              <w:rPr>
                <w:noProof/>
              </w:rPr>
            </w:pPr>
            <w:r>
              <w:rPr>
                <w:noProof/>
              </w:rPr>
              <w:t>5</w:t>
            </w:r>
          </w:p>
        </w:tc>
        <w:tc>
          <w:tcPr>
            <w:tcW w:w="850" w:type="dxa"/>
            <w:shd w:val="clear" w:color="auto" w:fill="C6EFCE"/>
            <w:noWrap/>
            <w:vAlign w:val="center"/>
          </w:tcPr>
          <w:p w14:paraId="22E70192" w14:textId="77777777" w:rsidR="00154E32" w:rsidRDefault="00A43E04">
            <w:pPr>
              <w:pStyle w:val="P68B1DB1-Normal5"/>
              <w:jc w:val="center"/>
              <w:rPr>
                <w:noProof/>
              </w:rPr>
            </w:pPr>
            <w:r>
              <w:rPr>
                <w:noProof/>
              </w:rPr>
              <w:t>Q4</w:t>
            </w:r>
          </w:p>
        </w:tc>
        <w:tc>
          <w:tcPr>
            <w:tcW w:w="709" w:type="dxa"/>
            <w:shd w:val="clear" w:color="auto" w:fill="C6EFCE"/>
            <w:noWrap/>
            <w:vAlign w:val="center"/>
          </w:tcPr>
          <w:p w14:paraId="13340BBE" w14:textId="77777777" w:rsidR="00154E32" w:rsidRDefault="00A43E04">
            <w:pPr>
              <w:pStyle w:val="P68B1DB1-Normal5"/>
              <w:jc w:val="center"/>
              <w:rPr>
                <w:noProof/>
              </w:rPr>
            </w:pPr>
            <w:r>
              <w:rPr>
                <w:noProof/>
              </w:rPr>
              <w:t>2022</w:t>
            </w:r>
          </w:p>
        </w:tc>
        <w:tc>
          <w:tcPr>
            <w:tcW w:w="2835" w:type="dxa"/>
            <w:shd w:val="clear" w:color="auto" w:fill="C6EFCE"/>
            <w:noWrap/>
            <w:vAlign w:val="center"/>
          </w:tcPr>
          <w:p w14:paraId="4EB3395C" w14:textId="77777777" w:rsidR="00154E32" w:rsidRDefault="00A43E04">
            <w:pPr>
              <w:pStyle w:val="P68B1DB1-Normal5"/>
              <w:spacing w:after="120"/>
              <w:rPr>
                <w:noProof/>
              </w:rPr>
            </w:pPr>
            <w:r>
              <w:rPr>
                <w:noProof/>
              </w:rPr>
              <w:t>Vsaj pet okrepljenih posredovanj za nadgradnjo varnostnih struktur, dokončanih v nacionalnem varnostnem območju za sektorja kibernetske varnosti (PSNC) ter omrežnih in informacijskih sistemov (NIS).</w:t>
            </w:r>
          </w:p>
          <w:p w14:paraId="4CAC673F" w14:textId="77777777" w:rsidR="00154E32" w:rsidRDefault="00A43E04">
            <w:pPr>
              <w:pStyle w:val="P68B1DB1-Normal5"/>
              <w:spacing w:after="120"/>
              <w:rPr>
                <w:noProof/>
              </w:rPr>
            </w:pPr>
            <w:r>
              <w:rPr>
                <w:noProof/>
              </w:rPr>
              <w:t>Vrste intervencij vključujejo nadgradnje varnostnih operativnih centrov (SOC), izboljšave na področju kibernetske obrambe ter notranje zmogljivosti spremljanja in nadzora. Ukrepi se osredotočajo na sektorje zdravstvenega varstva, energije in okolja (oskrba s pitno vodo).</w:t>
            </w:r>
          </w:p>
        </w:tc>
      </w:tr>
      <w:tr w:rsidR="00154E32" w14:paraId="36A10D0E" w14:textId="77777777">
        <w:trPr>
          <w:trHeight w:val="309"/>
        </w:trPr>
        <w:tc>
          <w:tcPr>
            <w:tcW w:w="1253" w:type="dxa"/>
            <w:shd w:val="clear" w:color="auto" w:fill="C6EFCE"/>
            <w:noWrap/>
            <w:vAlign w:val="center"/>
          </w:tcPr>
          <w:p w14:paraId="164F0A9D" w14:textId="77777777" w:rsidR="00154E32" w:rsidRDefault="00A43E04">
            <w:pPr>
              <w:pStyle w:val="P68B1DB1-Normal5"/>
              <w:jc w:val="center"/>
              <w:rPr>
                <w:noProof/>
              </w:rPr>
            </w:pPr>
            <w:r>
              <w:rPr>
                <w:noProof/>
              </w:rPr>
              <w:t>M1C1–10</w:t>
            </w:r>
          </w:p>
        </w:tc>
        <w:tc>
          <w:tcPr>
            <w:tcW w:w="1568" w:type="dxa"/>
            <w:shd w:val="clear" w:color="auto" w:fill="C6EFCE"/>
            <w:noWrap/>
            <w:vAlign w:val="center"/>
          </w:tcPr>
          <w:p w14:paraId="7156F576" w14:textId="77777777" w:rsidR="00154E32" w:rsidRDefault="00A43E04">
            <w:pPr>
              <w:pStyle w:val="P68B1DB1-Normal5"/>
              <w:jc w:val="center"/>
              <w:rPr>
                <w:noProof/>
              </w:rPr>
            </w:pPr>
            <w:r>
              <w:rPr>
                <w:noProof/>
              </w:rPr>
              <w:t>Reforma 1.2: Podpora preoblikovanju</w:t>
            </w:r>
          </w:p>
        </w:tc>
        <w:tc>
          <w:tcPr>
            <w:tcW w:w="1148" w:type="dxa"/>
            <w:shd w:val="clear" w:color="auto" w:fill="C6EFCE"/>
            <w:noWrap/>
            <w:vAlign w:val="center"/>
          </w:tcPr>
          <w:p w14:paraId="30139433" w14:textId="77777777" w:rsidR="00154E32" w:rsidRDefault="00A43E04">
            <w:pPr>
              <w:pStyle w:val="P68B1DB1-Normal5"/>
              <w:jc w:val="center"/>
              <w:rPr>
                <w:noProof/>
              </w:rPr>
            </w:pPr>
            <w:r>
              <w:rPr>
                <w:noProof/>
              </w:rPr>
              <w:t>Mejnik</w:t>
            </w:r>
          </w:p>
        </w:tc>
        <w:tc>
          <w:tcPr>
            <w:tcW w:w="1470" w:type="dxa"/>
            <w:shd w:val="clear" w:color="auto" w:fill="C6EFCE"/>
            <w:noWrap/>
            <w:vAlign w:val="center"/>
          </w:tcPr>
          <w:p w14:paraId="7A292464" w14:textId="77777777" w:rsidR="00154E32" w:rsidRDefault="00A43E04">
            <w:pPr>
              <w:pStyle w:val="P68B1DB1-Normal5"/>
              <w:jc w:val="center"/>
              <w:rPr>
                <w:noProof/>
              </w:rPr>
            </w:pPr>
            <w:r>
              <w:rPr>
                <w:noProof/>
              </w:rPr>
              <w:t>Začetek veljavnosti ustanovitve skupine za preoblikovanje in družbe NewCo</w:t>
            </w:r>
          </w:p>
        </w:tc>
        <w:tc>
          <w:tcPr>
            <w:tcW w:w="1701" w:type="dxa"/>
            <w:shd w:val="clear" w:color="auto" w:fill="C6EFCE"/>
            <w:noWrap/>
            <w:vAlign w:val="center"/>
          </w:tcPr>
          <w:p w14:paraId="1766158E" w14:textId="77777777" w:rsidR="00154E32" w:rsidRDefault="00A43E04">
            <w:pPr>
              <w:pStyle w:val="P68B1DB1-Normal5"/>
              <w:jc w:val="center"/>
              <w:rPr>
                <w:noProof/>
              </w:rPr>
            </w:pPr>
            <w:r>
              <w:rPr>
                <w:noProof/>
              </w:rPr>
              <w:t>Določba v pravnem aktu, ki navaja začetek veljavnosti pravnega akta za ustanovitev urada za preoblikovanje in začetek veljavnosti pravnega akta za ustanovitev novega kodeksa</w:t>
            </w:r>
          </w:p>
        </w:tc>
        <w:tc>
          <w:tcPr>
            <w:tcW w:w="1134" w:type="dxa"/>
            <w:shd w:val="clear" w:color="auto" w:fill="C6EFCE"/>
            <w:noWrap/>
            <w:vAlign w:val="center"/>
          </w:tcPr>
          <w:p w14:paraId="42559A90" w14:textId="77777777" w:rsidR="00154E32" w:rsidRDefault="00A43E04">
            <w:pPr>
              <w:pStyle w:val="P68B1DB1-Normal5"/>
              <w:jc w:val="center"/>
              <w:rPr>
                <w:noProof/>
              </w:rPr>
            </w:pPr>
            <w:r>
              <w:rPr>
                <w:noProof/>
              </w:rPr>
              <w:t>JIH NI</w:t>
            </w:r>
          </w:p>
        </w:tc>
        <w:tc>
          <w:tcPr>
            <w:tcW w:w="1417" w:type="dxa"/>
            <w:shd w:val="clear" w:color="auto" w:fill="C6EFCE"/>
            <w:noWrap/>
            <w:vAlign w:val="center"/>
          </w:tcPr>
          <w:p w14:paraId="69176612" w14:textId="77777777" w:rsidR="00154E32" w:rsidRDefault="00A43E04">
            <w:pPr>
              <w:pStyle w:val="P68B1DB1-Normal5"/>
              <w:jc w:val="center"/>
              <w:rPr>
                <w:noProof/>
              </w:rPr>
            </w:pPr>
            <w:r>
              <w:rPr>
                <w:noProof/>
              </w:rPr>
              <w:t>JIH NI</w:t>
            </w:r>
          </w:p>
        </w:tc>
        <w:tc>
          <w:tcPr>
            <w:tcW w:w="1276" w:type="dxa"/>
            <w:shd w:val="clear" w:color="auto" w:fill="C6EFCE"/>
            <w:noWrap/>
            <w:vAlign w:val="center"/>
          </w:tcPr>
          <w:p w14:paraId="41B39FA0" w14:textId="77777777" w:rsidR="00154E32" w:rsidRDefault="00A43E04">
            <w:pPr>
              <w:pStyle w:val="P68B1DB1-Normal5"/>
              <w:jc w:val="center"/>
              <w:rPr>
                <w:noProof/>
              </w:rPr>
            </w:pPr>
            <w:r>
              <w:rPr>
                <w:noProof/>
              </w:rPr>
              <w:t>JIH NI</w:t>
            </w:r>
          </w:p>
        </w:tc>
        <w:tc>
          <w:tcPr>
            <w:tcW w:w="850" w:type="dxa"/>
            <w:shd w:val="clear" w:color="auto" w:fill="C6EFCE"/>
            <w:noWrap/>
            <w:vAlign w:val="center"/>
          </w:tcPr>
          <w:p w14:paraId="22FF83DC" w14:textId="77777777" w:rsidR="00154E32" w:rsidRDefault="00A43E04">
            <w:pPr>
              <w:pStyle w:val="P68B1DB1-Normal5"/>
              <w:jc w:val="center"/>
              <w:rPr>
                <w:noProof/>
              </w:rPr>
            </w:pPr>
            <w:r>
              <w:rPr>
                <w:noProof/>
              </w:rPr>
              <w:t>Q4</w:t>
            </w:r>
          </w:p>
        </w:tc>
        <w:tc>
          <w:tcPr>
            <w:tcW w:w="709" w:type="dxa"/>
            <w:shd w:val="clear" w:color="auto" w:fill="C6EFCE"/>
            <w:noWrap/>
            <w:vAlign w:val="center"/>
          </w:tcPr>
          <w:p w14:paraId="3F725461" w14:textId="77777777" w:rsidR="00154E32" w:rsidRDefault="00A43E04">
            <w:pPr>
              <w:pStyle w:val="P68B1DB1-Normal5"/>
              <w:jc w:val="center"/>
              <w:rPr>
                <w:noProof/>
              </w:rPr>
            </w:pPr>
            <w:r>
              <w:rPr>
                <w:noProof/>
              </w:rPr>
              <w:t>2022</w:t>
            </w:r>
          </w:p>
        </w:tc>
        <w:tc>
          <w:tcPr>
            <w:tcW w:w="2835" w:type="dxa"/>
            <w:shd w:val="clear" w:color="auto" w:fill="C6EFCE"/>
            <w:noWrap/>
            <w:vAlign w:val="center"/>
          </w:tcPr>
          <w:p w14:paraId="201BF5B1" w14:textId="77777777" w:rsidR="00154E32" w:rsidRDefault="00A43E04">
            <w:pPr>
              <w:pStyle w:val="P68B1DB1-Normal4"/>
              <w:spacing w:after="120"/>
              <w:rPr>
                <w:noProof/>
                <w:color w:val="006100"/>
              </w:rPr>
            </w:pPr>
            <w:r>
              <w:rPr>
                <w:noProof/>
                <w:color w:val="006100"/>
              </w:rPr>
              <w:t>Za ustanovitev urada za preoblikovanje potrebni</w:t>
            </w:r>
            <w:r>
              <w:rPr>
                <w:noProof/>
              </w:rPr>
              <w:t xml:space="preserve"> </w:t>
            </w:r>
            <w:r>
              <w:rPr>
                <w:noProof/>
                <w:color w:val="006100"/>
              </w:rPr>
              <w:t>pravni akti vključujejo:</w:t>
            </w:r>
          </w:p>
          <w:p w14:paraId="6BAD42B7" w14:textId="77777777" w:rsidR="00154E32" w:rsidRDefault="00A43E04">
            <w:pPr>
              <w:pStyle w:val="P68B1DB1-ListParagraph6"/>
              <w:numPr>
                <w:ilvl w:val="0"/>
                <w:numId w:val="85"/>
              </w:numPr>
              <w:ind w:left="314" w:hanging="232"/>
              <w:jc w:val="left"/>
              <w:rPr>
                <w:noProof/>
              </w:rPr>
            </w:pPr>
            <w:r>
              <w:rPr>
                <w:noProof/>
              </w:rPr>
              <w:t>Objava zakonskega odloka „reclutamento“ (ki ga je odobril svet ministrov št. 22 z dne 4.</w:t>
            </w:r>
            <w:r>
              <w:rPr>
                <w:noProof/>
                <w:vertAlign w:val="superscript"/>
              </w:rPr>
              <w:t>junija</w:t>
            </w:r>
            <w:r>
              <w:rPr>
                <w:noProof/>
              </w:rPr>
              <w:t xml:space="preserve"> 2021 in objavljen v Uradnem listu (Gazzetta Ufficiale) 10. junija</w:t>
            </w:r>
            <w:r>
              <w:rPr>
                <w:noProof/>
                <w:vertAlign w:val="superscript"/>
              </w:rPr>
              <w:t>2021</w:t>
            </w:r>
            <w:r>
              <w:rPr>
                <w:noProof/>
              </w:rPr>
              <w:t>);</w:t>
            </w:r>
          </w:p>
          <w:p w14:paraId="70E56841" w14:textId="77777777" w:rsidR="00154E32" w:rsidRDefault="00A43E04">
            <w:pPr>
              <w:pStyle w:val="P68B1DB1-ListParagraph6"/>
              <w:numPr>
                <w:ilvl w:val="0"/>
                <w:numId w:val="85"/>
              </w:numPr>
              <w:ind w:left="314" w:hanging="232"/>
              <w:jc w:val="left"/>
              <w:rPr>
                <w:noProof/>
              </w:rPr>
            </w:pPr>
            <w:r>
              <w:rPr>
                <w:noProof/>
              </w:rPr>
              <w:t>Objavo razpisa za prijavo interesa;</w:t>
            </w:r>
          </w:p>
          <w:p w14:paraId="2BDD7688" w14:textId="77777777" w:rsidR="00154E32" w:rsidRDefault="00A43E04">
            <w:pPr>
              <w:pStyle w:val="P68B1DB1-ListParagraph6"/>
              <w:numPr>
                <w:ilvl w:val="0"/>
                <w:numId w:val="85"/>
              </w:numPr>
              <w:ind w:left="314" w:hanging="232"/>
              <w:jc w:val="left"/>
              <w:rPr>
                <w:noProof/>
              </w:rPr>
            </w:pPr>
            <w:r>
              <w:rPr>
                <w:noProof/>
              </w:rPr>
              <w:t>Izbor in dodelitev nalog strokovnjakom (začasno za čas trajanja mehanizma za okrevanje in odpornost).</w:t>
            </w:r>
          </w:p>
          <w:p w14:paraId="6A190F0E" w14:textId="77777777" w:rsidR="00154E32" w:rsidRDefault="00A43E04">
            <w:pPr>
              <w:pStyle w:val="P68B1DB1-Normal5"/>
              <w:spacing w:after="120"/>
              <w:rPr>
                <w:noProof/>
              </w:rPr>
            </w:pPr>
            <w:r>
              <w:rPr>
                <w:noProof/>
              </w:rPr>
              <w:t>Za NewCo ključni koraki, ki se zahtevajo, vključujejo:</w:t>
            </w:r>
          </w:p>
          <w:p w14:paraId="5E636925" w14:textId="77777777" w:rsidR="00154E32" w:rsidRDefault="00A43E04">
            <w:pPr>
              <w:pStyle w:val="P68B1DB1-ListParagraph6"/>
              <w:numPr>
                <w:ilvl w:val="0"/>
                <w:numId w:val="85"/>
              </w:numPr>
              <w:ind w:left="314" w:hanging="232"/>
              <w:jc w:val="left"/>
              <w:rPr>
                <w:noProof/>
              </w:rPr>
            </w:pPr>
            <w:r>
              <w:rPr>
                <w:noProof/>
              </w:rPr>
              <w:t>Zakonodajna odobritev;</w:t>
            </w:r>
          </w:p>
          <w:p w14:paraId="26C5A136" w14:textId="77777777" w:rsidR="00154E32" w:rsidRDefault="00A43E04">
            <w:pPr>
              <w:pStyle w:val="P68B1DB1-ListParagraph6"/>
              <w:numPr>
                <w:ilvl w:val="0"/>
                <w:numId w:val="85"/>
              </w:numPr>
              <w:ind w:left="314" w:hanging="232"/>
              <w:jc w:val="left"/>
              <w:rPr>
                <w:noProof/>
              </w:rPr>
            </w:pPr>
            <w:r>
              <w:rPr>
                <w:noProof/>
              </w:rPr>
              <w:t>Decreto del Presidente del Consiglio dei Ministri (DPCM), ki dovoljuje ustanovitev družbe in določa cilje, osnovni kapital, trajanje in direktorje družbe;</w:t>
            </w:r>
          </w:p>
          <w:p w14:paraId="06C65642" w14:textId="77777777" w:rsidR="00154E32" w:rsidRDefault="00A43E04">
            <w:pPr>
              <w:pStyle w:val="P68B1DB1-ListParagraph6"/>
              <w:numPr>
                <w:ilvl w:val="0"/>
                <w:numId w:val="85"/>
              </w:numPr>
              <w:ind w:left="314" w:hanging="232"/>
              <w:jc w:val="left"/>
              <w:rPr>
                <w:noProof/>
              </w:rPr>
            </w:pPr>
            <w:r>
              <w:rPr>
                <w:noProof/>
              </w:rPr>
              <w:t>Nosilec družbe z notarsko listino;</w:t>
            </w:r>
          </w:p>
          <w:p w14:paraId="01E7D9F4" w14:textId="77777777" w:rsidR="00154E32" w:rsidRDefault="00A43E04">
            <w:pPr>
              <w:pStyle w:val="P68B1DB1-ListParagraph6"/>
              <w:numPr>
                <w:ilvl w:val="0"/>
                <w:numId w:val="85"/>
              </w:numPr>
              <w:ind w:left="314" w:hanging="232"/>
              <w:jc w:val="left"/>
              <w:rPr>
                <w:noProof/>
              </w:rPr>
            </w:pPr>
            <w:r>
              <w:rPr>
                <w:noProof/>
              </w:rPr>
              <w:t>Akti, potrebni za delovanje družbe – statut in različni predpisi.</w:t>
            </w:r>
          </w:p>
        </w:tc>
      </w:tr>
      <w:tr w:rsidR="00154E32" w14:paraId="4DA45C40" w14:textId="77777777">
        <w:trPr>
          <w:trHeight w:val="309"/>
        </w:trPr>
        <w:tc>
          <w:tcPr>
            <w:tcW w:w="1253" w:type="dxa"/>
            <w:shd w:val="clear" w:color="auto" w:fill="C6EFCE"/>
            <w:noWrap/>
            <w:vAlign w:val="center"/>
          </w:tcPr>
          <w:p w14:paraId="5B7E9A65" w14:textId="77777777" w:rsidR="00154E32" w:rsidRDefault="00A43E04">
            <w:pPr>
              <w:pStyle w:val="P68B1DB1-Normal5"/>
              <w:jc w:val="center"/>
              <w:rPr>
                <w:noProof/>
              </w:rPr>
            </w:pPr>
            <w:r>
              <w:rPr>
                <w:noProof/>
              </w:rPr>
              <w:t>M1C1–11</w:t>
            </w:r>
          </w:p>
        </w:tc>
        <w:tc>
          <w:tcPr>
            <w:tcW w:w="1568" w:type="dxa"/>
            <w:shd w:val="clear" w:color="auto" w:fill="C6EFCE"/>
            <w:noWrap/>
            <w:vAlign w:val="center"/>
          </w:tcPr>
          <w:p w14:paraId="22F5EA09" w14:textId="58211B0B" w:rsidR="00154E32" w:rsidRDefault="00A43E04">
            <w:pPr>
              <w:pStyle w:val="P68B1DB1-Normal5"/>
              <w:jc w:val="center"/>
              <w:rPr>
                <w:noProof/>
              </w:rPr>
            </w:pPr>
            <w:r>
              <w:rPr>
                <w:noProof/>
              </w:rPr>
              <w:t>Naložba 1.6.6: Digitalizacija finančne policije</w:t>
            </w:r>
          </w:p>
        </w:tc>
        <w:tc>
          <w:tcPr>
            <w:tcW w:w="1148" w:type="dxa"/>
            <w:shd w:val="clear" w:color="auto" w:fill="C6EFCE"/>
            <w:noWrap/>
            <w:vAlign w:val="center"/>
          </w:tcPr>
          <w:p w14:paraId="4F2030D6" w14:textId="77777777" w:rsidR="00154E32" w:rsidRDefault="00A43E04">
            <w:pPr>
              <w:pStyle w:val="P68B1DB1-Normal5"/>
              <w:jc w:val="center"/>
              <w:rPr>
                <w:noProof/>
              </w:rPr>
            </w:pPr>
            <w:r>
              <w:rPr>
                <w:noProof/>
              </w:rPr>
              <w:t>Tarča</w:t>
            </w:r>
          </w:p>
        </w:tc>
        <w:tc>
          <w:tcPr>
            <w:tcW w:w="1470" w:type="dxa"/>
            <w:shd w:val="clear" w:color="auto" w:fill="C6EFCE"/>
            <w:noWrap/>
            <w:vAlign w:val="center"/>
          </w:tcPr>
          <w:p w14:paraId="20FE6C38" w14:textId="77777777" w:rsidR="00154E32" w:rsidRDefault="00A43E04">
            <w:pPr>
              <w:pStyle w:val="P68B1DB1-Normal5"/>
              <w:jc w:val="center"/>
              <w:rPr>
                <w:noProof/>
              </w:rPr>
            </w:pPr>
            <w:r>
              <w:rPr>
                <w:noProof/>
              </w:rPr>
              <w:t>Finančna policija – Nakup strokovnih storitev podatkovne znanosti T1</w:t>
            </w:r>
          </w:p>
        </w:tc>
        <w:tc>
          <w:tcPr>
            <w:tcW w:w="1701" w:type="dxa"/>
            <w:shd w:val="clear" w:color="auto" w:fill="C6EFCE"/>
            <w:noWrap/>
            <w:vAlign w:val="center"/>
          </w:tcPr>
          <w:p w14:paraId="5B8A5817" w14:textId="77777777" w:rsidR="00154E32" w:rsidRDefault="00A43E04">
            <w:pPr>
              <w:pStyle w:val="P68B1DB1-Normal5"/>
              <w:jc w:val="center"/>
              <w:rPr>
                <w:noProof/>
              </w:rPr>
            </w:pPr>
            <w:r>
              <w:rPr>
                <w:noProof/>
              </w:rPr>
              <w:t>JIH NI</w:t>
            </w:r>
          </w:p>
        </w:tc>
        <w:tc>
          <w:tcPr>
            <w:tcW w:w="1134" w:type="dxa"/>
            <w:shd w:val="clear" w:color="auto" w:fill="C6EFCE"/>
            <w:noWrap/>
            <w:vAlign w:val="center"/>
          </w:tcPr>
          <w:p w14:paraId="65624996" w14:textId="77777777" w:rsidR="00154E32" w:rsidRDefault="00A43E04">
            <w:pPr>
              <w:pStyle w:val="P68B1DB1-Normal5"/>
              <w:jc w:val="center"/>
              <w:rPr>
                <w:noProof/>
              </w:rPr>
            </w:pPr>
            <w:r>
              <w:rPr>
                <w:noProof/>
              </w:rPr>
              <w:t>Število</w:t>
            </w:r>
          </w:p>
        </w:tc>
        <w:tc>
          <w:tcPr>
            <w:tcW w:w="1417" w:type="dxa"/>
            <w:shd w:val="clear" w:color="auto" w:fill="C6EFCE"/>
            <w:noWrap/>
            <w:vAlign w:val="center"/>
          </w:tcPr>
          <w:p w14:paraId="06ADFA87" w14:textId="77777777" w:rsidR="00154E32" w:rsidRDefault="00A43E04">
            <w:pPr>
              <w:pStyle w:val="P68B1DB1-Normal5"/>
              <w:jc w:val="center"/>
              <w:rPr>
                <w:noProof/>
              </w:rPr>
            </w:pPr>
            <w:r>
              <w:rPr>
                <w:noProof/>
              </w:rPr>
              <w:t>0</w:t>
            </w:r>
          </w:p>
        </w:tc>
        <w:tc>
          <w:tcPr>
            <w:tcW w:w="1276" w:type="dxa"/>
            <w:shd w:val="clear" w:color="auto" w:fill="C6EFCE"/>
            <w:noWrap/>
            <w:vAlign w:val="center"/>
          </w:tcPr>
          <w:p w14:paraId="5B70CA42" w14:textId="77777777" w:rsidR="00154E32" w:rsidRDefault="00A43E04">
            <w:pPr>
              <w:pStyle w:val="P68B1DB1-Normal5"/>
              <w:jc w:val="center"/>
              <w:rPr>
                <w:noProof/>
              </w:rPr>
            </w:pPr>
            <w:r>
              <w:rPr>
                <w:noProof/>
              </w:rPr>
              <w:t>5</w:t>
            </w:r>
          </w:p>
        </w:tc>
        <w:tc>
          <w:tcPr>
            <w:tcW w:w="850" w:type="dxa"/>
            <w:shd w:val="clear" w:color="auto" w:fill="C6EFCE"/>
            <w:noWrap/>
            <w:vAlign w:val="center"/>
          </w:tcPr>
          <w:p w14:paraId="110C2F2E" w14:textId="77777777" w:rsidR="00154E32" w:rsidRDefault="00A43E04">
            <w:pPr>
              <w:pStyle w:val="P68B1DB1-Normal5"/>
              <w:jc w:val="center"/>
              <w:rPr>
                <w:noProof/>
              </w:rPr>
            </w:pPr>
            <w:r>
              <w:rPr>
                <w:noProof/>
              </w:rPr>
              <w:t>ČETRTLETJE 1</w:t>
            </w:r>
          </w:p>
        </w:tc>
        <w:tc>
          <w:tcPr>
            <w:tcW w:w="709" w:type="dxa"/>
            <w:shd w:val="clear" w:color="auto" w:fill="C6EFCE"/>
            <w:noWrap/>
            <w:vAlign w:val="center"/>
          </w:tcPr>
          <w:p w14:paraId="1B7AAC17" w14:textId="77777777" w:rsidR="00154E32" w:rsidRDefault="00A43E04">
            <w:pPr>
              <w:pStyle w:val="P68B1DB1-Normal5"/>
              <w:jc w:val="center"/>
              <w:rPr>
                <w:noProof/>
              </w:rPr>
            </w:pPr>
            <w:r>
              <w:rPr>
                <w:noProof/>
              </w:rPr>
              <w:t>2023</w:t>
            </w:r>
          </w:p>
        </w:tc>
        <w:tc>
          <w:tcPr>
            <w:tcW w:w="2835" w:type="dxa"/>
            <w:shd w:val="clear" w:color="auto" w:fill="C6EFCE"/>
            <w:noWrap/>
            <w:vAlign w:val="center"/>
          </w:tcPr>
          <w:p w14:paraId="4C28A08F" w14:textId="77777777" w:rsidR="00154E32" w:rsidRDefault="00A43E04">
            <w:pPr>
              <w:pStyle w:val="P68B1DB1-Normal5"/>
              <w:spacing w:after="120"/>
              <w:rPr>
                <w:noProof/>
              </w:rPr>
            </w:pPr>
            <w:r>
              <w:rPr>
                <w:noProof/>
              </w:rPr>
              <w:t>Nakup strokovnih storitev podatkovne znanosti s sklenitvijo pogodbe s ponudnikom svetovalnih storitev, ki vključuje skupno pet človeških virov, odgovornih za oblikovanje podatkovne arhitekture in pisanje algoritmov enote za analizo masovnih podatkov. Objava oddanega naročila za nakup storitev podatkovne znanosti v skladu s tehničnimi smernicami „Do ne škoduje bistveno“ (2021/C58/01) z uporabo seznama za izključitev in zahtevo po skladnosti z ustrezno okoljsko zakonodajo EU in nacionalno okoljsko zakonodajo ter objavo novih orodij na nacionalni ravni v prvem analiznem modulu (temeljna informacijska tehnologija).</w:t>
            </w:r>
          </w:p>
        </w:tc>
      </w:tr>
      <w:tr w:rsidR="00154E32" w14:paraId="54449D44" w14:textId="77777777">
        <w:trPr>
          <w:trHeight w:val="309"/>
        </w:trPr>
        <w:tc>
          <w:tcPr>
            <w:tcW w:w="1253" w:type="dxa"/>
            <w:shd w:val="clear" w:color="auto" w:fill="C6EFCE"/>
            <w:noWrap/>
            <w:vAlign w:val="center"/>
          </w:tcPr>
          <w:p w14:paraId="3573D5F9" w14:textId="77777777" w:rsidR="00154E32" w:rsidRDefault="00A43E04">
            <w:pPr>
              <w:pStyle w:val="P68B1DB1-Normal5"/>
              <w:jc w:val="center"/>
              <w:rPr>
                <w:noProof/>
              </w:rPr>
            </w:pPr>
            <w:r>
              <w:rPr>
                <w:noProof/>
              </w:rPr>
              <w:t>M1C1–12</w:t>
            </w:r>
          </w:p>
        </w:tc>
        <w:tc>
          <w:tcPr>
            <w:tcW w:w="1568" w:type="dxa"/>
            <w:shd w:val="clear" w:color="auto" w:fill="C6EFCE"/>
            <w:noWrap/>
            <w:vAlign w:val="center"/>
          </w:tcPr>
          <w:p w14:paraId="530ED352" w14:textId="7EFF5E3B" w:rsidR="00154E32" w:rsidRDefault="00A43E04">
            <w:pPr>
              <w:pStyle w:val="P68B1DB1-Normal5"/>
              <w:jc w:val="center"/>
              <w:rPr>
                <w:noProof/>
              </w:rPr>
            </w:pPr>
            <w:r>
              <w:rPr>
                <w:noProof/>
              </w:rPr>
              <w:t>Naložba 1.3.2: Enotni digitalni portal</w:t>
            </w:r>
          </w:p>
        </w:tc>
        <w:tc>
          <w:tcPr>
            <w:tcW w:w="1148" w:type="dxa"/>
            <w:shd w:val="clear" w:color="auto" w:fill="C6EFCE"/>
            <w:noWrap/>
            <w:vAlign w:val="center"/>
          </w:tcPr>
          <w:p w14:paraId="7ACDC1C9" w14:textId="77777777" w:rsidR="00154E32" w:rsidRDefault="00A43E04">
            <w:pPr>
              <w:pStyle w:val="P68B1DB1-Normal5"/>
              <w:jc w:val="center"/>
              <w:rPr>
                <w:noProof/>
              </w:rPr>
            </w:pPr>
            <w:r>
              <w:rPr>
                <w:noProof/>
              </w:rPr>
              <w:t>Tarča</w:t>
            </w:r>
          </w:p>
        </w:tc>
        <w:tc>
          <w:tcPr>
            <w:tcW w:w="1470" w:type="dxa"/>
            <w:shd w:val="clear" w:color="auto" w:fill="C6EFCE"/>
            <w:noWrap/>
            <w:vAlign w:val="center"/>
          </w:tcPr>
          <w:p w14:paraId="4290236C" w14:textId="77777777" w:rsidR="00154E32" w:rsidRDefault="00A43E04">
            <w:pPr>
              <w:pStyle w:val="P68B1DB1-Normal5"/>
              <w:jc w:val="center"/>
              <w:rPr>
                <w:noProof/>
              </w:rPr>
            </w:pPr>
            <w:r>
              <w:rPr>
                <w:noProof/>
              </w:rPr>
              <w:t>Enotni digitalni portal</w:t>
            </w:r>
          </w:p>
        </w:tc>
        <w:tc>
          <w:tcPr>
            <w:tcW w:w="1701" w:type="dxa"/>
            <w:shd w:val="clear" w:color="auto" w:fill="C6EFCE"/>
            <w:noWrap/>
            <w:vAlign w:val="center"/>
          </w:tcPr>
          <w:p w14:paraId="2EABB330" w14:textId="77777777" w:rsidR="00154E32" w:rsidRDefault="00A43E04">
            <w:pPr>
              <w:pStyle w:val="P68B1DB1-Normal5"/>
              <w:jc w:val="center"/>
              <w:rPr>
                <w:noProof/>
              </w:rPr>
            </w:pPr>
            <w:r>
              <w:rPr>
                <w:noProof/>
              </w:rPr>
              <w:t>JIH NI</w:t>
            </w:r>
          </w:p>
        </w:tc>
        <w:tc>
          <w:tcPr>
            <w:tcW w:w="1134" w:type="dxa"/>
            <w:shd w:val="clear" w:color="auto" w:fill="C6EFCE"/>
            <w:noWrap/>
            <w:vAlign w:val="center"/>
          </w:tcPr>
          <w:p w14:paraId="0C0600D2" w14:textId="77777777" w:rsidR="00154E32" w:rsidRDefault="00A43E04">
            <w:pPr>
              <w:pStyle w:val="P68B1DB1-Normal5"/>
              <w:jc w:val="center"/>
              <w:rPr>
                <w:noProof/>
              </w:rPr>
            </w:pPr>
            <w:r>
              <w:rPr>
                <w:noProof/>
              </w:rPr>
              <w:t>Število</w:t>
            </w:r>
          </w:p>
        </w:tc>
        <w:tc>
          <w:tcPr>
            <w:tcW w:w="1417" w:type="dxa"/>
            <w:shd w:val="clear" w:color="auto" w:fill="C6EFCE"/>
            <w:noWrap/>
            <w:vAlign w:val="center"/>
          </w:tcPr>
          <w:p w14:paraId="5D5A3D99" w14:textId="77777777" w:rsidR="00154E32" w:rsidRDefault="00A43E04">
            <w:pPr>
              <w:pStyle w:val="P68B1DB1-Normal5"/>
              <w:jc w:val="center"/>
              <w:rPr>
                <w:noProof/>
              </w:rPr>
            </w:pPr>
            <w:r>
              <w:rPr>
                <w:noProof/>
              </w:rPr>
              <w:t>0</w:t>
            </w:r>
          </w:p>
        </w:tc>
        <w:tc>
          <w:tcPr>
            <w:tcW w:w="1276" w:type="dxa"/>
            <w:shd w:val="clear" w:color="auto" w:fill="C6EFCE"/>
            <w:noWrap/>
            <w:vAlign w:val="center"/>
          </w:tcPr>
          <w:p w14:paraId="69F9F118" w14:textId="77777777" w:rsidR="00154E32" w:rsidRDefault="00A43E04">
            <w:pPr>
              <w:pStyle w:val="P68B1DB1-Normal5"/>
              <w:jc w:val="center"/>
              <w:rPr>
                <w:noProof/>
              </w:rPr>
            </w:pPr>
            <w:r>
              <w:rPr>
                <w:noProof/>
              </w:rPr>
              <w:t>19</w:t>
            </w:r>
          </w:p>
        </w:tc>
        <w:tc>
          <w:tcPr>
            <w:tcW w:w="850" w:type="dxa"/>
            <w:shd w:val="clear" w:color="auto" w:fill="C6EFCE"/>
            <w:noWrap/>
            <w:vAlign w:val="center"/>
          </w:tcPr>
          <w:p w14:paraId="34A30FBE" w14:textId="77777777" w:rsidR="00154E32" w:rsidRDefault="00A43E04">
            <w:pPr>
              <w:pStyle w:val="P68B1DB1-Normal5"/>
              <w:jc w:val="center"/>
              <w:rPr>
                <w:noProof/>
              </w:rPr>
            </w:pPr>
            <w:r>
              <w:rPr>
                <w:noProof/>
              </w:rPr>
              <w:t>Q4</w:t>
            </w:r>
          </w:p>
        </w:tc>
        <w:tc>
          <w:tcPr>
            <w:tcW w:w="709" w:type="dxa"/>
            <w:shd w:val="clear" w:color="auto" w:fill="C6EFCE"/>
            <w:noWrap/>
            <w:vAlign w:val="center"/>
          </w:tcPr>
          <w:p w14:paraId="6E9FC6AF" w14:textId="77777777" w:rsidR="00154E32" w:rsidRDefault="00A43E04">
            <w:pPr>
              <w:pStyle w:val="P68B1DB1-Normal5"/>
              <w:jc w:val="center"/>
              <w:rPr>
                <w:noProof/>
              </w:rPr>
            </w:pPr>
            <w:r>
              <w:rPr>
                <w:noProof/>
              </w:rPr>
              <w:t>2023</w:t>
            </w:r>
          </w:p>
        </w:tc>
        <w:tc>
          <w:tcPr>
            <w:tcW w:w="2835" w:type="dxa"/>
            <w:shd w:val="clear" w:color="auto" w:fill="C6EFCE"/>
            <w:noWrap/>
            <w:vAlign w:val="center"/>
          </w:tcPr>
          <w:p w14:paraId="02961F8A" w14:textId="53CB5BBF" w:rsidR="00154E32" w:rsidRDefault="00A43E04">
            <w:pPr>
              <w:pStyle w:val="P68B1DB1-Normal5"/>
              <w:spacing w:after="120"/>
              <w:rPr>
                <w:noProof/>
              </w:rPr>
            </w:pPr>
            <w:r>
              <w:rPr>
                <w:noProof/>
              </w:rPr>
              <w:t>19 prednostnih upravnih postopkov, ki se uporabljajo v Italiji od 21, opredeljenih v Uredbi (EU) 2018/1724, je v celoti skladnih z zahtevami iz člena 6 Uredbe (EU) 2018/1724. Natančneje: identifikacija uporabnikov, zagotavljanje informacij in dodatnih dokazil, podpis in končna predložitev se izvajajo elektronsko na daljavo prek storitvenega kanala, ki uporabnikom omogoča, da na uporabniku prijazen in strukturiran način izpolnijo zahteve v zvezi s postopkom; (b) uporabnikom se zagotovi samodejno potrdilo o prejemu, razen če je izid postopka dostavljen takoj; (C) rezultat postopka se dostavi elektronsko ali, kadar je to potrebno za uskladitev z veljavnim pravom Unije ali nacionalnim pravom, s fizičnimi sredstvi; (d) uporabniki prejmejo elektronsko obvestilo o zaključku postopka.</w:t>
            </w:r>
          </w:p>
        </w:tc>
      </w:tr>
      <w:tr w:rsidR="00154E32" w14:paraId="7E6299EB" w14:textId="77777777">
        <w:trPr>
          <w:trHeight w:val="309"/>
        </w:trPr>
        <w:tc>
          <w:tcPr>
            <w:tcW w:w="1253" w:type="dxa"/>
            <w:shd w:val="clear" w:color="auto" w:fill="C6EFCE"/>
            <w:noWrap/>
            <w:vAlign w:val="center"/>
          </w:tcPr>
          <w:p w14:paraId="67521305" w14:textId="77777777" w:rsidR="00154E32" w:rsidRDefault="00A43E04">
            <w:pPr>
              <w:pStyle w:val="P68B1DB1-Normal5"/>
              <w:jc w:val="center"/>
              <w:rPr>
                <w:noProof/>
              </w:rPr>
            </w:pPr>
            <w:r>
              <w:rPr>
                <w:noProof/>
              </w:rPr>
              <w:t>M1C1–13</w:t>
            </w:r>
          </w:p>
        </w:tc>
        <w:tc>
          <w:tcPr>
            <w:tcW w:w="1568" w:type="dxa"/>
            <w:shd w:val="clear" w:color="auto" w:fill="C6EFCE"/>
            <w:noWrap/>
            <w:vAlign w:val="center"/>
          </w:tcPr>
          <w:p w14:paraId="52B08513" w14:textId="77777777" w:rsidR="00154E32" w:rsidRDefault="00A43E04">
            <w:pPr>
              <w:pStyle w:val="P68B1DB1-Normal5"/>
              <w:jc w:val="center"/>
              <w:rPr>
                <w:noProof/>
              </w:rPr>
            </w:pPr>
            <w:r>
              <w:rPr>
                <w:noProof/>
              </w:rPr>
              <w:t>Naložba 1.4.6:</w:t>
            </w:r>
          </w:p>
          <w:p w14:paraId="58EE1712" w14:textId="77777777" w:rsidR="00154E32" w:rsidRDefault="00A43E04">
            <w:pPr>
              <w:pStyle w:val="P68B1DB1-Normal5"/>
              <w:jc w:val="center"/>
              <w:rPr>
                <w:noProof/>
              </w:rPr>
            </w:pPr>
            <w:r>
              <w:rPr>
                <w:noProof/>
              </w:rPr>
              <w:t>Mobilnost kot storitev za Italijo</w:t>
            </w:r>
          </w:p>
        </w:tc>
        <w:tc>
          <w:tcPr>
            <w:tcW w:w="1148" w:type="dxa"/>
            <w:shd w:val="clear" w:color="auto" w:fill="C6EFCE"/>
            <w:noWrap/>
            <w:vAlign w:val="center"/>
          </w:tcPr>
          <w:p w14:paraId="40F80054" w14:textId="77777777" w:rsidR="00154E32" w:rsidRDefault="00A43E04">
            <w:pPr>
              <w:pStyle w:val="P68B1DB1-Normal5"/>
              <w:jc w:val="center"/>
              <w:rPr>
                <w:noProof/>
              </w:rPr>
            </w:pPr>
            <w:r>
              <w:rPr>
                <w:noProof/>
              </w:rPr>
              <w:t>Mejnik</w:t>
            </w:r>
          </w:p>
        </w:tc>
        <w:tc>
          <w:tcPr>
            <w:tcW w:w="1470" w:type="dxa"/>
            <w:shd w:val="clear" w:color="auto" w:fill="C6EFCE"/>
            <w:noWrap/>
            <w:vAlign w:val="center"/>
          </w:tcPr>
          <w:p w14:paraId="05317AD9" w14:textId="77777777" w:rsidR="00154E32" w:rsidRDefault="00A43E04">
            <w:pPr>
              <w:pStyle w:val="P68B1DB1-Normal5"/>
              <w:jc w:val="center"/>
              <w:rPr>
                <w:noProof/>
              </w:rPr>
            </w:pPr>
            <w:r>
              <w:rPr>
                <w:noProof/>
              </w:rPr>
              <w:t>Mobilnost kot storitvena rešitev M1</w:t>
            </w:r>
          </w:p>
        </w:tc>
        <w:tc>
          <w:tcPr>
            <w:tcW w:w="1701" w:type="dxa"/>
            <w:shd w:val="clear" w:color="auto" w:fill="C6EFCE"/>
            <w:noWrap/>
            <w:vAlign w:val="center"/>
          </w:tcPr>
          <w:p w14:paraId="564292A0" w14:textId="2EFEB7C6" w:rsidR="00154E32" w:rsidRDefault="00A43E04">
            <w:pPr>
              <w:pStyle w:val="P68B1DB1-Normal5"/>
              <w:jc w:val="center"/>
              <w:rPr>
                <w:noProof/>
              </w:rPr>
            </w:pPr>
            <w:r>
              <w:rPr>
                <w:noProof/>
              </w:rPr>
              <w:t>Poročilo Ministero delle Infrastrutture e della Mobilità Sostenibili (MIMS) v sodelovanju z univerzami, ki opisuje izvajanje in oceno rezultatov treh pilotnih projektov</w:t>
            </w:r>
          </w:p>
        </w:tc>
        <w:tc>
          <w:tcPr>
            <w:tcW w:w="1134" w:type="dxa"/>
            <w:shd w:val="clear" w:color="auto" w:fill="C6EFCE"/>
            <w:noWrap/>
            <w:vAlign w:val="center"/>
          </w:tcPr>
          <w:p w14:paraId="52FFDC04" w14:textId="77777777" w:rsidR="00154E32" w:rsidRDefault="00A43E04">
            <w:pPr>
              <w:pStyle w:val="P68B1DB1-Normal5"/>
              <w:jc w:val="center"/>
              <w:rPr>
                <w:noProof/>
              </w:rPr>
            </w:pPr>
            <w:r>
              <w:rPr>
                <w:noProof/>
              </w:rPr>
              <w:t>JIH NI</w:t>
            </w:r>
          </w:p>
        </w:tc>
        <w:tc>
          <w:tcPr>
            <w:tcW w:w="1417" w:type="dxa"/>
            <w:shd w:val="clear" w:color="auto" w:fill="C6EFCE"/>
            <w:noWrap/>
            <w:vAlign w:val="center"/>
          </w:tcPr>
          <w:p w14:paraId="3CA861C4" w14:textId="77777777" w:rsidR="00154E32" w:rsidRDefault="00A43E04">
            <w:pPr>
              <w:pStyle w:val="P68B1DB1-Normal5"/>
              <w:jc w:val="center"/>
              <w:rPr>
                <w:noProof/>
              </w:rPr>
            </w:pPr>
            <w:r>
              <w:rPr>
                <w:noProof/>
              </w:rPr>
              <w:t>JIH NI</w:t>
            </w:r>
          </w:p>
        </w:tc>
        <w:tc>
          <w:tcPr>
            <w:tcW w:w="1276" w:type="dxa"/>
            <w:shd w:val="clear" w:color="auto" w:fill="C6EFCE"/>
            <w:noWrap/>
            <w:vAlign w:val="center"/>
          </w:tcPr>
          <w:p w14:paraId="22BB6DA7" w14:textId="77777777" w:rsidR="00154E32" w:rsidRDefault="00A43E04">
            <w:pPr>
              <w:pStyle w:val="P68B1DB1-Normal5"/>
              <w:jc w:val="center"/>
              <w:rPr>
                <w:noProof/>
              </w:rPr>
            </w:pPr>
            <w:r>
              <w:rPr>
                <w:noProof/>
              </w:rPr>
              <w:t>JIH NI</w:t>
            </w:r>
          </w:p>
        </w:tc>
        <w:tc>
          <w:tcPr>
            <w:tcW w:w="850" w:type="dxa"/>
            <w:shd w:val="clear" w:color="auto" w:fill="C6EFCE"/>
            <w:noWrap/>
            <w:vAlign w:val="center"/>
          </w:tcPr>
          <w:p w14:paraId="0B6A6428" w14:textId="77777777" w:rsidR="00154E32" w:rsidRDefault="00A43E04">
            <w:pPr>
              <w:pStyle w:val="P68B1DB1-Normal5"/>
              <w:jc w:val="center"/>
              <w:rPr>
                <w:noProof/>
              </w:rPr>
            </w:pPr>
            <w:r>
              <w:rPr>
                <w:noProof/>
              </w:rPr>
              <w:t>Q4</w:t>
            </w:r>
          </w:p>
        </w:tc>
        <w:tc>
          <w:tcPr>
            <w:tcW w:w="709" w:type="dxa"/>
            <w:shd w:val="clear" w:color="auto" w:fill="C6EFCE"/>
            <w:noWrap/>
            <w:vAlign w:val="center"/>
          </w:tcPr>
          <w:p w14:paraId="0B9106C3" w14:textId="77777777" w:rsidR="00154E32" w:rsidRDefault="00A43E04">
            <w:pPr>
              <w:pStyle w:val="P68B1DB1-Normal5"/>
              <w:jc w:val="center"/>
              <w:rPr>
                <w:noProof/>
              </w:rPr>
            </w:pPr>
            <w:r>
              <w:rPr>
                <w:noProof/>
              </w:rPr>
              <w:t>2023</w:t>
            </w:r>
          </w:p>
        </w:tc>
        <w:tc>
          <w:tcPr>
            <w:tcW w:w="2835" w:type="dxa"/>
            <w:shd w:val="clear" w:color="auto" w:fill="C6EFCE"/>
            <w:noWrap/>
            <w:vAlign w:val="center"/>
          </w:tcPr>
          <w:p w14:paraId="55BD0B1B" w14:textId="77777777" w:rsidR="00154E32" w:rsidRDefault="00A43E04">
            <w:pPr>
              <w:pStyle w:val="P68B1DB1-Normal5"/>
              <w:spacing w:after="120"/>
              <w:rPr>
                <w:noProof/>
              </w:rPr>
            </w:pPr>
            <w:r>
              <w:rPr>
                <w:noProof/>
              </w:rPr>
              <w:t>Izvedeni so bili trije pilotni projekti za preskušanje mobilnosti kot storitvenih rešitev v tehnološko naprednih metropolitanskih mestih.</w:t>
            </w:r>
          </w:p>
          <w:p w14:paraId="505FE15A" w14:textId="77777777" w:rsidR="00154E32" w:rsidRDefault="00A43E04">
            <w:pPr>
              <w:pStyle w:val="P68B1DB1-Normal5"/>
              <w:spacing w:after="120"/>
              <w:rPr>
                <w:noProof/>
              </w:rPr>
            </w:pPr>
            <w:r>
              <w:rPr>
                <w:noProof/>
              </w:rPr>
              <w:t>Vsako rešitev je v pilotnem obdobju uporabilo vsaj 1000 uporabnikov.</w:t>
            </w:r>
          </w:p>
          <w:p w14:paraId="09550BAC" w14:textId="77777777" w:rsidR="00154E32" w:rsidRDefault="00A43E04">
            <w:pPr>
              <w:pStyle w:val="P68B1DB1-Normal5"/>
              <w:spacing w:after="120"/>
              <w:rPr>
                <w:noProof/>
              </w:rPr>
            </w:pPr>
            <w:r>
              <w:rPr>
                <w:noProof/>
              </w:rPr>
              <w:t>Vsak pilotni projekt je odprt za najmanj 1000 uporabnikov, ki lahko do njega prostovoljno in na lastne stroške dostopajo ter dajo individualno oceno, z možnostjo izbire in nakupa storitev mobilnosti med tistimi, ki so na voljo na platformi.</w:t>
            </w:r>
          </w:p>
          <w:p w14:paraId="1EAD6E06" w14:textId="77777777" w:rsidR="00154E32" w:rsidRDefault="00A43E04">
            <w:pPr>
              <w:pStyle w:val="P68B1DB1-Normal5"/>
              <w:spacing w:after="120"/>
              <w:rPr>
                <w:noProof/>
              </w:rPr>
            </w:pPr>
            <w:r>
              <w:rPr>
                <w:noProof/>
              </w:rPr>
              <w:t>Storitev MaaS prek enotne tehnološke platforme predlaga državljanom-uporabniku najboljšo rešitev za potovanje na podlagi njegovih potreb, pri čemer se izkoristi povezovanje različnih razpoložljivih možnosti mobilnosti (lokalni javni prevoz, souporaba, kabina, najem avtomobila), da se optimizirajo potovalne izkušnje tako z vidika načrtovanja (intermodalnega načrtovanja poti in obveščanja o času in razdaljah v realnem času) kot tudi z vidika uporabe (rezervacija in plačilo storitev).</w:t>
            </w:r>
          </w:p>
        </w:tc>
      </w:tr>
      <w:tr w:rsidR="00154E32" w14:paraId="3B04626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1DAA6A" w14:textId="1FC22312" w:rsidR="00154E32" w:rsidRDefault="00A43E04">
            <w:pPr>
              <w:pStyle w:val="P68B1DB1-Normal5"/>
              <w:jc w:val="center"/>
              <w:rPr>
                <w:noProof/>
              </w:rPr>
            </w:pPr>
            <w:r>
              <w:rPr>
                <w:noProof/>
              </w:rPr>
              <w:t>M1C1–14a</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1F46F9" w14:textId="2D54A1CE" w:rsidR="00154E32" w:rsidRDefault="00A43E04">
            <w:pPr>
              <w:pStyle w:val="P68B1DB1-Normal5"/>
              <w:jc w:val="center"/>
              <w:rPr>
                <w:noProof/>
              </w:rPr>
            </w:pPr>
            <w:r>
              <w:rPr>
                <w:noProof/>
              </w:rPr>
              <w:t>Reforma 1.9.1: Reforma za pospešitev izvajanja kohezijske politike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F2AD93" w14:textId="77777777" w:rsidR="00154E32" w:rsidRDefault="00A43E04">
            <w:pPr>
              <w:pStyle w:val="P68B1DB1-Normal5"/>
              <w:jc w:val="center"/>
              <w:rPr>
                <w:noProof/>
              </w:rPr>
            </w:pPr>
            <w:r>
              <w:rPr>
                <w:noProof/>
              </w:rPr>
              <w:t xml:space="preserve">Mejnik </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F9C8A1" w14:textId="33266AA7" w:rsidR="00154E32" w:rsidRDefault="00A43E04">
            <w:pPr>
              <w:pStyle w:val="P68B1DB1-Normal5"/>
              <w:jc w:val="center"/>
              <w:rPr>
                <w:noProof/>
              </w:rPr>
            </w:pPr>
            <w:r>
              <w:rPr>
                <w:noProof/>
              </w:rPr>
              <w:t>Začetek veljavnosti nacionalne zakonodaje za pospešitev izvajanja kohezijske politike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92955E" w14:textId="1561F2AD" w:rsidR="00154E32" w:rsidRDefault="00A43E04">
            <w:pPr>
              <w:pStyle w:val="P68B1DB1-Normal5"/>
              <w:jc w:val="center"/>
              <w:rPr>
                <w:noProof/>
              </w:rPr>
            </w:pPr>
            <w:r>
              <w:rPr>
                <w:noProof/>
              </w:rPr>
              <w:t xml:space="preserve">Določba zakona o začetku veljavnosti nacionalne zakonodaje za pospešitev izvajanja kohezijske politike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78F891" w14:textId="38AB563E"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E475BD" w14:textId="20185FF8"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85D429" w14:textId="62265F98"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291671" w14:textId="48F301EE"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4EB61C" w14:textId="0EBEF448"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5B1A2B" w14:textId="77777777" w:rsidR="00154E32" w:rsidRDefault="00A43E04">
            <w:pPr>
              <w:pStyle w:val="P68B1DB1-Normal5"/>
              <w:spacing w:after="120"/>
              <w:rPr>
                <w:noProof/>
              </w:rPr>
            </w:pPr>
            <w:r>
              <w:rPr>
                <w:noProof/>
              </w:rPr>
              <w:t xml:space="preserve">Začetek veljavnosti nacionalne zakonodaje, ki v okviru sporazuma o partnerstvu in za vse sedanje programe opredeljuje ureditve, potrebne za pospešitev in izboljšanje izvajanja kohezijske politike. </w:t>
            </w:r>
          </w:p>
          <w:p w14:paraId="7B8C6599" w14:textId="77777777" w:rsidR="00154E32" w:rsidRDefault="00A43E04">
            <w:pPr>
              <w:pStyle w:val="P68B1DB1-Normal5"/>
              <w:spacing w:after="120"/>
              <w:rPr>
                <w:noProof/>
              </w:rPr>
            </w:pPr>
            <w:r>
              <w:rPr>
                <w:noProof/>
              </w:rPr>
              <w:t>Da bi zagotovila institucionalni dialog in sodelovanje ter skupno razumevanje potrebnih ukrepov, vlada do 31. decembra 2023 brez poseganja v nacionalno zakonodajo o enotni konferenci ustanovi tehnično delovno skupino z organi upravljanja vseh regionalnih in nacionalnih programov v Cabina di regia PNRR.</w:t>
            </w:r>
          </w:p>
          <w:p w14:paraId="50EA39FB" w14:textId="77777777" w:rsidR="00154E32" w:rsidRDefault="00A43E04">
            <w:pPr>
              <w:pStyle w:val="P68B1DB1-Normal5"/>
              <w:spacing w:after="120"/>
              <w:rPr>
                <w:noProof/>
              </w:rPr>
            </w:pPr>
            <w:r>
              <w:rPr>
                <w:noProof/>
              </w:rPr>
              <w:t>Zakonodaja določa ureditve, potrebne za prednostno razvrščanje intervencij v naslednjih strateških sektorjih, v skladu z dokumenti načrtovanja, opredeljenimi za ustrezne omogočitvene pogoje, in za njihovo konkretno izvajanje, vključno s posredovanjem posebej za krepitev upravne zmogljivosti, v teh sektorjih:</w:t>
            </w:r>
          </w:p>
          <w:p w14:paraId="44BF3F21" w14:textId="77777777" w:rsidR="00154E32" w:rsidRDefault="00A43E04">
            <w:pPr>
              <w:pStyle w:val="P68B1DB1-Normal5"/>
              <w:spacing w:after="120"/>
              <w:rPr>
                <w:noProof/>
              </w:rPr>
            </w:pPr>
            <w:r>
              <w:rPr>
                <w:noProof/>
              </w:rPr>
              <w:t>—</w:t>
            </w:r>
            <w:r>
              <w:rPr>
                <w:noProof/>
              </w:rPr>
              <w:tab/>
              <w:t>Voda;</w:t>
            </w:r>
          </w:p>
          <w:p w14:paraId="77E5B2DF" w14:textId="77777777" w:rsidR="00154E32" w:rsidRDefault="00A43E04">
            <w:pPr>
              <w:pStyle w:val="P68B1DB1-Normal5"/>
              <w:spacing w:after="120"/>
              <w:rPr>
                <w:noProof/>
              </w:rPr>
            </w:pPr>
            <w:r>
              <w:rPr>
                <w:noProof/>
              </w:rPr>
              <w:t>—</w:t>
            </w:r>
            <w:r>
              <w:rPr>
                <w:noProof/>
              </w:rPr>
              <w:tab/>
              <w:t>infrastrukture za hidrogeološko tveganje in varstvo okolja;</w:t>
            </w:r>
          </w:p>
          <w:p w14:paraId="420C05B4" w14:textId="77777777" w:rsidR="00154E32" w:rsidRDefault="00A43E04">
            <w:pPr>
              <w:pStyle w:val="P68B1DB1-Normal5"/>
              <w:spacing w:after="120"/>
              <w:rPr>
                <w:noProof/>
              </w:rPr>
            </w:pPr>
            <w:r>
              <w:rPr>
                <w:noProof/>
              </w:rPr>
              <w:t>—</w:t>
            </w:r>
            <w:r>
              <w:rPr>
                <w:noProof/>
              </w:rPr>
              <w:tab/>
              <w:t>Odpadke ter</w:t>
            </w:r>
          </w:p>
          <w:p w14:paraId="6243AB6C" w14:textId="77777777" w:rsidR="00154E32" w:rsidRDefault="00A43E04">
            <w:pPr>
              <w:pStyle w:val="P68B1DB1-Normal5"/>
              <w:spacing w:after="120"/>
              <w:rPr>
                <w:noProof/>
              </w:rPr>
            </w:pPr>
            <w:r>
              <w:rPr>
                <w:noProof/>
              </w:rPr>
              <w:t>—</w:t>
            </w:r>
            <w:r>
              <w:rPr>
                <w:noProof/>
              </w:rPr>
              <w:tab/>
              <w:t>Promet in trajnostna mobilnost;</w:t>
            </w:r>
          </w:p>
          <w:p w14:paraId="591430B0" w14:textId="77777777" w:rsidR="00154E32" w:rsidRDefault="00A43E04">
            <w:pPr>
              <w:pStyle w:val="P68B1DB1-Normal5"/>
              <w:spacing w:after="120"/>
              <w:rPr>
                <w:noProof/>
              </w:rPr>
            </w:pPr>
            <w:r>
              <w:rPr>
                <w:noProof/>
              </w:rPr>
              <w:t>—</w:t>
            </w:r>
            <w:r>
              <w:rPr>
                <w:noProof/>
              </w:rPr>
              <w:tab/>
              <w:t>Energija,</w:t>
            </w:r>
          </w:p>
          <w:p w14:paraId="5AAD0778" w14:textId="40038E60" w:rsidR="00154E32" w:rsidRDefault="00A43E04">
            <w:pPr>
              <w:pStyle w:val="P68B1DB1-Normal5"/>
              <w:spacing w:after="120"/>
              <w:rPr>
                <w:noProof/>
              </w:rPr>
            </w:pPr>
            <w:r>
              <w:rPr>
                <w:noProof/>
              </w:rPr>
              <w:t>—</w:t>
            </w:r>
            <w:r>
              <w:rPr>
                <w:noProof/>
              </w:rPr>
              <w:tab/>
              <w:t>Podpora razvoju in privlačnosti podjetij, tudi za digitalni in zeleni prehod.</w:t>
            </w:r>
          </w:p>
        </w:tc>
      </w:tr>
      <w:tr w:rsidR="00154E32" w14:paraId="290A25BD" w14:textId="77777777">
        <w:trPr>
          <w:trHeight w:val="309"/>
        </w:trPr>
        <w:tc>
          <w:tcPr>
            <w:tcW w:w="1253" w:type="dxa"/>
            <w:shd w:val="clear" w:color="auto" w:fill="C6EFCE"/>
            <w:noWrap/>
            <w:vAlign w:val="center"/>
          </w:tcPr>
          <w:p w14:paraId="6D6B08E3" w14:textId="77777777" w:rsidR="00154E32" w:rsidRDefault="00A43E04">
            <w:pPr>
              <w:pStyle w:val="P68B1DB1-Normal5"/>
              <w:jc w:val="center"/>
              <w:rPr>
                <w:noProof/>
              </w:rPr>
            </w:pPr>
            <w:r>
              <w:rPr>
                <w:noProof/>
              </w:rPr>
              <w:t>M1C1–15</w:t>
            </w:r>
          </w:p>
        </w:tc>
        <w:tc>
          <w:tcPr>
            <w:tcW w:w="1568" w:type="dxa"/>
            <w:shd w:val="clear" w:color="auto" w:fill="C6EFCE"/>
            <w:noWrap/>
            <w:vAlign w:val="center"/>
          </w:tcPr>
          <w:p w14:paraId="3E40E3FA" w14:textId="610C98D2" w:rsidR="00154E32" w:rsidRDefault="00A43E04">
            <w:pPr>
              <w:pStyle w:val="P68B1DB1-Normal5"/>
              <w:jc w:val="center"/>
              <w:rPr>
                <w:noProof/>
              </w:rPr>
            </w:pPr>
            <w:r>
              <w:rPr>
                <w:noProof/>
              </w:rPr>
              <w:t>Naložba 1.6.6: Digitalizacija finančne policije</w:t>
            </w:r>
          </w:p>
        </w:tc>
        <w:tc>
          <w:tcPr>
            <w:tcW w:w="1148" w:type="dxa"/>
            <w:shd w:val="clear" w:color="auto" w:fill="C6EFCE"/>
            <w:noWrap/>
            <w:vAlign w:val="center"/>
          </w:tcPr>
          <w:p w14:paraId="5A76BCDE" w14:textId="77777777" w:rsidR="00154E32" w:rsidRDefault="00A43E04">
            <w:pPr>
              <w:pStyle w:val="P68B1DB1-Normal5"/>
              <w:jc w:val="center"/>
              <w:rPr>
                <w:noProof/>
              </w:rPr>
            </w:pPr>
            <w:r>
              <w:rPr>
                <w:noProof/>
              </w:rPr>
              <w:t>Tarča</w:t>
            </w:r>
          </w:p>
        </w:tc>
        <w:tc>
          <w:tcPr>
            <w:tcW w:w="1470" w:type="dxa"/>
            <w:shd w:val="clear" w:color="auto" w:fill="C6EFCE"/>
            <w:noWrap/>
            <w:vAlign w:val="center"/>
          </w:tcPr>
          <w:p w14:paraId="183882B1" w14:textId="77777777" w:rsidR="00154E32" w:rsidRDefault="00A43E04">
            <w:pPr>
              <w:pStyle w:val="P68B1DB1-Normal5"/>
              <w:jc w:val="center"/>
              <w:rPr>
                <w:noProof/>
              </w:rPr>
            </w:pPr>
            <w:r>
              <w:rPr>
                <w:noProof/>
              </w:rPr>
              <w:t>Finančna policija – Nakup strokovnih storitev podatkovne znanosti T2</w:t>
            </w:r>
          </w:p>
        </w:tc>
        <w:tc>
          <w:tcPr>
            <w:tcW w:w="1701" w:type="dxa"/>
            <w:shd w:val="clear" w:color="auto" w:fill="C6EFCE"/>
            <w:noWrap/>
            <w:vAlign w:val="center"/>
          </w:tcPr>
          <w:p w14:paraId="4AFA854F" w14:textId="77777777" w:rsidR="00154E32" w:rsidRDefault="00A43E04">
            <w:pPr>
              <w:pStyle w:val="P68B1DB1-Normal5"/>
              <w:jc w:val="center"/>
              <w:rPr>
                <w:noProof/>
              </w:rPr>
            </w:pPr>
            <w:r>
              <w:rPr>
                <w:noProof/>
              </w:rPr>
              <w:t>JIH NI</w:t>
            </w:r>
          </w:p>
        </w:tc>
        <w:tc>
          <w:tcPr>
            <w:tcW w:w="1134" w:type="dxa"/>
            <w:shd w:val="clear" w:color="auto" w:fill="C6EFCE"/>
            <w:noWrap/>
            <w:vAlign w:val="center"/>
          </w:tcPr>
          <w:p w14:paraId="07D90CB5" w14:textId="77777777" w:rsidR="00154E32" w:rsidRDefault="00A43E04">
            <w:pPr>
              <w:pStyle w:val="P68B1DB1-Normal5"/>
              <w:jc w:val="center"/>
              <w:rPr>
                <w:noProof/>
              </w:rPr>
            </w:pPr>
            <w:r>
              <w:rPr>
                <w:noProof/>
              </w:rPr>
              <w:t>Število</w:t>
            </w:r>
          </w:p>
        </w:tc>
        <w:tc>
          <w:tcPr>
            <w:tcW w:w="1417" w:type="dxa"/>
            <w:shd w:val="clear" w:color="auto" w:fill="C6EFCE"/>
            <w:noWrap/>
            <w:vAlign w:val="center"/>
          </w:tcPr>
          <w:p w14:paraId="2CC92989" w14:textId="77777777" w:rsidR="00154E32" w:rsidRDefault="00A43E04">
            <w:pPr>
              <w:pStyle w:val="P68B1DB1-Normal5"/>
              <w:jc w:val="center"/>
              <w:rPr>
                <w:noProof/>
              </w:rPr>
            </w:pPr>
            <w:r>
              <w:rPr>
                <w:noProof/>
              </w:rPr>
              <w:t>5</w:t>
            </w:r>
          </w:p>
        </w:tc>
        <w:tc>
          <w:tcPr>
            <w:tcW w:w="1276" w:type="dxa"/>
            <w:shd w:val="clear" w:color="auto" w:fill="C6EFCE"/>
            <w:noWrap/>
            <w:vAlign w:val="center"/>
          </w:tcPr>
          <w:p w14:paraId="3C4B45EF" w14:textId="77777777" w:rsidR="00154E32" w:rsidRDefault="00A43E04">
            <w:pPr>
              <w:pStyle w:val="P68B1DB1-Normal5"/>
              <w:jc w:val="center"/>
              <w:rPr>
                <w:noProof/>
              </w:rPr>
            </w:pPr>
            <w:r>
              <w:rPr>
                <w:noProof/>
              </w:rPr>
              <w:t>10</w:t>
            </w:r>
          </w:p>
        </w:tc>
        <w:tc>
          <w:tcPr>
            <w:tcW w:w="850" w:type="dxa"/>
            <w:shd w:val="clear" w:color="auto" w:fill="C6EFCE"/>
            <w:noWrap/>
            <w:vAlign w:val="center"/>
          </w:tcPr>
          <w:p w14:paraId="2EC6C182" w14:textId="77777777" w:rsidR="00154E32" w:rsidRDefault="00A43E04">
            <w:pPr>
              <w:pStyle w:val="P68B1DB1-Normal5"/>
              <w:jc w:val="center"/>
              <w:rPr>
                <w:noProof/>
              </w:rPr>
            </w:pPr>
            <w:r>
              <w:rPr>
                <w:noProof/>
              </w:rPr>
              <w:t>ČETRTLETJE 1</w:t>
            </w:r>
          </w:p>
        </w:tc>
        <w:tc>
          <w:tcPr>
            <w:tcW w:w="709" w:type="dxa"/>
            <w:shd w:val="clear" w:color="auto" w:fill="C6EFCE"/>
            <w:noWrap/>
            <w:vAlign w:val="center"/>
          </w:tcPr>
          <w:p w14:paraId="19FA7058" w14:textId="77777777" w:rsidR="00154E32" w:rsidRDefault="00A43E04">
            <w:pPr>
              <w:pStyle w:val="P68B1DB1-Normal5"/>
              <w:jc w:val="center"/>
              <w:rPr>
                <w:noProof/>
              </w:rPr>
            </w:pPr>
            <w:r>
              <w:rPr>
                <w:noProof/>
              </w:rPr>
              <w:t>2024</w:t>
            </w:r>
          </w:p>
        </w:tc>
        <w:tc>
          <w:tcPr>
            <w:tcW w:w="2835" w:type="dxa"/>
            <w:shd w:val="clear" w:color="auto" w:fill="C6EFCE"/>
            <w:noWrap/>
            <w:vAlign w:val="center"/>
          </w:tcPr>
          <w:p w14:paraId="37B4AAD3" w14:textId="77777777" w:rsidR="00154E32" w:rsidRDefault="00A43E04">
            <w:pPr>
              <w:pStyle w:val="P68B1DB1-Normal5"/>
              <w:spacing w:after="120"/>
              <w:rPr>
                <w:noProof/>
              </w:rPr>
            </w:pPr>
            <w:r>
              <w:rPr>
                <w:noProof/>
              </w:rPr>
              <w:t>Nakup strokovnih storitev podatkovne znanosti v skladu s tehničnimi smernicami „Doda se ne škoduje bistveno“ (2021/C58/01) z uporabo seznama za izključitev in zahtevo po skladnosti z ustrezno okoljsko zakonodajo EU in nacionalno okoljsko zakonodajo s sklenitvijo pogodbe s ponudnikom svetovalnih storitev, ki vključuje pet dodatnih človeških virov (skupaj desetih), odgovornih za zasnovo podatkovne arhitekture in pisanje algoritmov enote za analizo masovnih podatkov. Objava oddanega naročila za nakup storitev podatkovne znanosti v skladu s tehničnimi smernicami „Do ne škoduje bistveno“ (2021/C58/01) z uporabo seznama za izključitev in zahtevo po skladnosti z ustrezno okoljsko zakonodajo EU in nacionalno okoljsko zakonodajo ter objavo novih orodij na nacionalni ravni v prvem analiznem modulu (temeljna informacijska tehnologija).</w:t>
            </w:r>
          </w:p>
        </w:tc>
      </w:tr>
      <w:tr w:rsidR="00154E32" w14:paraId="5A20E9ED" w14:textId="77777777">
        <w:trPr>
          <w:trHeight w:val="309"/>
        </w:trPr>
        <w:tc>
          <w:tcPr>
            <w:tcW w:w="1253" w:type="dxa"/>
            <w:shd w:val="clear" w:color="auto" w:fill="C6EFCE"/>
            <w:noWrap/>
            <w:vAlign w:val="center"/>
            <w:hideMark/>
          </w:tcPr>
          <w:p w14:paraId="2490D023" w14:textId="77777777" w:rsidR="00154E32" w:rsidRDefault="00A43E04">
            <w:pPr>
              <w:pStyle w:val="P68B1DB1-Normal5"/>
              <w:jc w:val="center"/>
              <w:rPr>
                <w:noProof/>
              </w:rPr>
            </w:pPr>
            <w:r>
              <w:rPr>
                <w:noProof/>
              </w:rPr>
              <w:t>M1C1–17</w:t>
            </w:r>
          </w:p>
        </w:tc>
        <w:tc>
          <w:tcPr>
            <w:tcW w:w="1568" w:type="dxa"/>
            <w:shd w:val="clear" w:color="auto" w:fill="C6EFCE"/>
            <w:noWrap/>
            <w:vAlign w:val="center"/>
            <w:hideMark/>
          </w:tcPr>
          <w:p w14:paraId="628D894F" w14:textId="77777777" w:rsidR="00154E32" w:rsidRDefault="00A43E04">
            <w:pPr>
              <w:pStyle w:val="P68B1DB1-Normal5"/>
              <w:jc w:val="center"/>
              <w:rPr>
                <w:noProof/>
              </w:rPr>
            </w:pPr>
            <w:r>
              <w:rPr>
                <w:noProof/>
              </w:rPr>
              <w:t>Naložba 1.1: Digitalna infrastruktura</w:t>
            </w:r>
          </w:p>
        </w:tc>
        <w:tc>
          <w:tcPr>
            <w:tcW w:w="1148" w:type="dxa"/>
            <w:shd w:val="clear" w:color="auto" w:fill="C6EFCE"/>
            <w:noWrap/>
            <w:vAlign w:val="center"/>
            <w:hideMark/>
          </w:tcPr>
          <w:p w14:paraId="6AD9772F" w14:textId="77777777" w:rsidR="00154E32" w:rsidRDefault="00A43E04">
            <w:pPr>
              <w:pStyle w:val="P68B1DB1-Normal5"/>
              <w:jc w:val="center"/>
              <w:rPr>
                <w:noProof/>
              </w:rPr>
            </w:pPr>
            <w:r>
              <w:rPr>
                <w:noProof/>
              </w:rPr>
              <w:t>Tarča</w:t>
            </w:r>
          </w:p>
        </w:tc>
        <w:tc>
          <w:tcPr>
            <w:tcW w:w="1470" w:type="dxa"/>
            <w:shd w:val="clear" w:color="auto" w:fill="C6EFCE"/>
            <w:noWrap/>
            <w:vAlign w:val="center"/>
            <w:hideMark/>
          </w:tcPr>
          <w:p w14:paraId="33BE3DF6" w14:textId="77777777" w:rsidR="00154E32" w:rsidRDefault="00A43E04">
            <w:pPr>
              <w:pStyle w:val="P68B1DB1-Normal5"/>
              <w:jc w:val="center"/>
              <w:rPr>
                <w:noProof/>
              </w:rPr>
            </w:pPr>
            <w:r>
              <w:rPr>
                <w:noProof/>
              </w:rPr>
              <w:t>Migracije v Polo Strategico Nazionale T1</w:t>
            </w:r>
          </w:p>
        </w:tc>
        <w:tc>
          <w:tcPr>
            <w:tcW w:w="1701" w:type="dxa"/>
            <w:shd w:val="clear" w:color="auto" w:fill="C6EFCE"/>
            <w:noWrap/>
            <w:vAlign w:val="center"/>
          </w:tcPr>
          <w:p w14:paraId="245BD1D2" w14:textId="77777777" w:rsidR="00154E32" w:rsidRDefault="00A43E04">
            <w:pPr>
              <w:pStyle w:val="P68B1DB1-Normal5"/>
              <w:jc w:val="center"/>
              <w:rPr>
                <w:noProof/>
              </w:rPr>
            </w:pPr>
            <w:r>
              <w:rPr>
                <w:noProof/>
              </w:rPr>
              <w:t>JIH NI</w:t>
            </w:r>
          </w:p>
        </w:tc>
        <w:tc>
          <w:tcPr>
            <w:tcW w:w="1134" w:type="dxa"/>
            <w:shd w:val="clear" w:color="auto" w:fill="C6EFCE"/>
            <w:noWrap/>
            <w:vAlign w:val="center"/>
            <w:hideMark/>
          </w:tcPr>
          <w:p w14:paraId="718D3BC1" w14:textId="77777777" w:rsidR="00154E32" w:rsidRDefault="00A43E04">
            <w:pPr>
              <w:pStyle w:val="P68B1DB1-Normal5"/>
              <w:jc w:val="center"/>
              <w:rPr>
                <w:noProof/>
              </w:rPr>
            </w:pPr>
            <w:r>
              <w:rPr>
                <w:noProof/>
              </w:rPr>
              <w:t>Število</w:t>
            </w:r>
          </w:p>
        </w:tc>
        <w:tc>
          <w:tcPr>
            <w:tcW w:w="1417" w:type="dxa"/>
            <w:shd w:val="clear" w:color="auto" w:fill="C6EFCE"/>
            <w:noWrap/>
            <w:vAlign w:val="center"/>
            <w:hideMark/>
          </w:tcPr>
          <w:p w14:paraId="523A4C7B" w14:textId="77777777" w:rsidR="00154E32" w:rsidRDefault="00A43E04">
            <w:pPr>
              <w:pStyle w:val="P68B1DB1-Normal5"/>
              <w:jc w:val="center"/>
              <w:rPr>
                <w:noProof/>
              </w:rPr>
            </w:pPr>
            <w:r>
              <w:rPr>
                <w:noProof/>
              </w:rPr>
              <w:t>0</w:t>
            </w:r>
          </w:p>
        </w:tc>
        <w:tc>
          <w:tcPr>
            <w:tcW w:w="1276" w:type="dxa"/>
            <w:shd w:val="clear" w:color="auto" w:fill="C6EFCE"/>
            <w:noWrap/>
            <w:vAlign w:val="center"/>
            <w:hideMark/>
          </w:tcPr>
          <w:p w14:paraId="2194DDC8" w14:textId="77777777" w:rsidR="00154E32" w:rsidRDefault="00A43E04">
            <w:pPr>
              <w:pStyle w:val="P68B1DB1-Normal5"/>
              <w:jc w:val="center"/>
              <w:rPr>
                <w:noProof/>
              </w:rPr>
            </w:pPr>
            <w:r>
              <w:rPr>
                <w:noProof/>
              </w:rPr>
              <w:t>100</w:t>
            </w:r>
          </w:p>
        </w:tc>
        <w:tc>
          <w:tcPr>
            <w:tcW w:w="850" w:type="dxa"/>
            <w:shd w:val="clear" w:color="auto" w:fill="C6EFCE"/>
            <w:noWrap/>
            <w:vAlign w:val="center"/>
            <w:hideMark/>
          </w:tcPr>
          <w:p w14:paraId="670D05FD" w14:textId="77777777" w:rsidR="00154E32" w:rsidRDefault="00A43E04">
            <w:pPr>
              <w:pStyle w:val="P68B1DB1-Normal5"/>
              <w:jc w:val="center"/>
              <w:rPr>
                <w:noProof/>
              </w:rPr>
            </w:pPr>
            <w:r>
              <w:rPr>
                <w:noProof/>
              </w:rPr>
              <w:t>Q3</w:t>
            </w:r>
          </w:p>
        </w:tc>
        <w:tc>
          <w:tcPr>
            <w:tcW w:w="709" w:type="dxa"/>
            <w:shd w:val="clear" w:color="auto" w:fill="C6EFCE"/>
            <w:noWrap/>
            <w:vAlign w:val="center"/>
            <w:hideMark/>
          </w:tcPr>
          <w:p w14:paraId="79ABADEC" w14:textId="77777777" w:rsidR="00154E32" w:rsidRDefault="00A43E04">
            <w:pPr>
              <w:pStyle w:val="P68B1DB1-Normal5"/>
              <w:jc w:val="center"/>
              <w:rPr>
                <w:noProof/>
              </w:rPr>
            </w:pPr>
            <w:r>
              <w:rPr>
                <w:noProof/>
              </w:rPr>
              <w:t>2024</w:t>
            </w:r>
          </w:p>
        </w:tc>
        <w:tc>
          <w:tcPr>
            <w:tcW w:w="2835" w:type="dxa"/>
            <w:shd w:val="clear" w:color="auto" w:fill="C6EFCE"/>
            <w:noWrap/>
            <w:vAlign w:val="center"/>
            <w:hideMark/>
          </w:tcPr>
          <w:p w14:paraId="4A3C2FF8" w14:textId="77777777" w:rsidR="00154E32" w:rsidRDefault="00A43E04">
            <w:pPr>
              <w:pStyle w:val="P68B1DB1-Normal5"/>
              <w:spacing w:after="120"/>
              <w:rPr>
                <w:noProof/>
              </w:rPr>
            </w:pPr>
            <w:r>
              <w:rPr>
                <w:noProof/>
              </w:rPr>
              <w:t>Vsaj 100 centralnih javnih uprav in lokalnih organov za zdravstveno varstvo (Aziende Sanitarie Locali) v celoti prenese vsaj eno storitev uprave (vključno s sistemi, naborom podatkov in aplikacijami) na infrastrukturo (Polo Strategico Nazionale). Popolna migracija lahko za vsako institucijo pomeni kombinacijo: nepripravljen za računalništvo v oblaku pri gostovanju, migracijah dvigal in prestavljanja, nadgradnji infrastrukture kot storitve (IaaS), platforme kot storitve (Paas) ali programske opreme kot storitve (SaaS). Migracija na Polo Strategico Nazionale se lahko izvede na različne načine v skladu z najsodobnejšo arhitekturo IT programske opreme, ki je v lasti vsake od migracijskih javnih uprav. Te strategije se lahko razlikujejo od gostovanja ter migracij dvigala in prestavljanja za programsko opremo, ki ni pripravljena na računalništvo v oblaku, do prehoda na IaS, PaaS ali SaaS za programsko opremo, pripravljeno v oblaku. PSN vsaki selitvi javni upravi ponudi vse migracijske strategije, ki so upravičene do upoštevanja doseženega cilja „migracije v Polo Strategico Nazionale“.</w:t>
            </w:r>
          </w:p>
          <w:p w14:paraId="0209130A" w14:textId="77777777" w:rsidR="00154E32" w:rsidRDefault="00A43E04">
            <w:pPr>
              <w:pStyle w:val="P68B1DB1-Normal5"/>
              <w:rPr>
                <w:noProof/>
              </w:rPr>
            </w:pPr>
            <w:r>
              <w:rPr>
                <w:noProof/>
              </w:rPr>
              <w:t>Skupne „v obsegu“ javne uprave vključujejo:</w:t>
            </w:r>
          </w:p>
          <w:p w14:paraId="312C2739" w14:textId="77777777" w:rsidR="00154E32" w:rsidRDefault="00A43E04">
            <w:pPr>
              <w:pStyle w:val="P68B1DB1-Normal5"/>
              <w:rPr>
                <w:noProof/>
              </w:rPr>
            </w:pPr>
            <w:r>
              <w:rPr>
                <w:noProof/>
              </w:rPr>
              <w:t>• Osrednje javne uprave, ki predstavljajo največji delež porabe za informacijske in komunikacijske tehnologije (IKT) (kot sta nacionalni inštitut za socialno varnost in ministrstvo za pravosodje);</w:t>
            </w:r>
          </w:p>
          <w:p w14:paraId="05E97F38" w14:textId="77777777" w:rsidR="00154E32" w:rsidRDefault="00A43E04">
            <w:pPr>
              <w:pStyle w:val="P68B1DB1-Normal5"/>
              <w:rPr>
                <w:noProof/>
              </w:rPr>
            </w:pPr>
            <w:r>
              <w:rPr>
                <w:noProof/>
              </w:rPr>
              <w:t>• Osrednje javne uprave, ki gostijo podatke v zastarelih podatkovnih centrih v skladu z nedavno raziskavo o pripravljenosti na računalništvo v oblaku;</w:t>
            </w:r>
          </w:p>
          <w:p w14:paraId="69C232BA" w14:textId="77777777" w:rsidR="00154E32" w:rsidRDefault="00A43E04">
            <w:pPr>
              <w:pStyle w:val="P68B1DB1-Normal5"/>
              <w:rPr>
                <w:noProof/>
              </w:rPr>
            </w:pPr>
            <w:r>
              <w:rPr>
                <w:noProof/>
              </w:rPr>
              <w:t>• Lokalni organi za zdravstveno varstvo (Aziende Sanitarie Locali), ki se nahajajo predvsem v osrednji in južni Italiji ter nimajo ustrezne infrastrukture za zagotavljanje varnosti podatkov.</w:t>
            </w:r>
          </w:p>
        </w:tc>
      </w:tr>
      <w:tr w:rsidR="00154E32" w14:paraId="23674724" w14:textId="77777777">
        <w:trPr>
          <w:trHeight w:val="309"/>
        </w:trPr>
        <w:tc>
          <w:tcPr>
            <w:tcW w:w="1253" w:type="dxa"/>
            <w:shd w:val="clear" w:color="auto" w:fill="C6EFCE"/>
            <w:noWrap/>
            <w:vAlign w:val="center"/>
          </w:tcPr>
          <w:p w14:paraId="3BBB1991" w14:textId="77777777" w:rsidR="00154E32" w:rsidRDefault="00A43E04">
            <w:pPr>
              <w:pStyle w:val="P68B1DB1-Normal5"/>
              <w:jc w:val="center"/>
              <w:rPr>
                <w:noProof/>
              </w:rPr>
            </w:pPr>
            <w:r>
              <w:rPr>
                <w:noProof/>
              </w:rPr>
              <w:t>M1C1–18</w:t>
            </w:r>
          </w:p>
        </w:tc>
        <w:tc>
          <w:tcPr>
            <w:tcW w:w="1568" w:type="dxa"/>
            <w:shd w:val="clear" w:color="auto" w:fill="C6EFCE"/>
            <w:noWrap/>
            <w:vAlign w:val="center"/>
          </w:tcPr>
          <w:p w14:paraId="44F5F64B" w14:textId="7D40CDBF" w:rsidR="00154E32" w:rsidRDefault="00A43E04">
            <w:pPr>
              <w:pStyle w:val="P68B1DB1-Normal5"/>
              <w:jc w:val="center"/>
              <w:rPr>
                <w:noProof/>
              </w:rPr>
            </w:pPr>
            <w:r>
              <w:rPr>
                <w:noProof/>
              </w:rPr>
              <w:t>Naložba 1.3.1: Nacionalna platforma digitalnih podatkov</w:t>
            </w:r>
          </w:p>
        </w:tc>
        <w:tc>
          <w:tcPr>
            <w:tcW w:w="1148" w:type="dxa"/>
            <w:shd w:val="clear" w:color="auto" w:fill="C6EFCE"/>
            <w:noWrap/>
            <w:vAlign w:val="center"/>
          </w:tcPr>
          <w:p w14:paraId="2AF66786" w14:textId="77777777" w:rsidR="00154E32" w:rsidRDefault="00A43E04">
            <w:pPr>
              <w:pStyle w:val="P68B1DB1-Normal5"/>
              <w:jc w:val="center"/>
              <w:rPr>
                <w:noProof/>
              </w:rPr>
            </w:pPr>
            <w:r>
              <w:rPr>
                <w:noProof/>
              </w:rPr>
              <w:t>Tarča</w:t>
            </w:r>
          </w:p>
        </w:tc>
        <w:tc>
          <w:tcPr>
            <w:tcW w:w="1470" w:type="dxa"/>
            <w:shd w:val="clear" w:color="auto" w:fill="C6EFCE"/>
            <w:noWrap/>
            <w:vAlign w:val="center"/>
          </w:tcPr>
          <w:p w14:paraId="49EE5612" w14:textId="77777777" w:rsidR="00154E32" w:rsidRDefault="00A43E04">
            <w:pPr>
              <w:pStyle w:val="P68B1DB1-Normal5"/>
              <w:jc w:val="center"/>
              <w:rPr>
                <w:noProof/>
              </w:rPr>
            </w:pPr>
            <w:r>
              <w:rPr>
                <w:noProof/>
              </w:rPr>
              <w:t>Vmesniki za aplikacijsko programiranje na nacionalni platformi digitalnih podatkov T1</w:t>
            </w:r>
          </w:p>
        </w:tc>
        <w:tc>
          <w:tcPr>
            <w:tcW w:w="1701" w:type="dxa"/>
            <w:shd w:val="clear" w:color="auto" w:fill="C6EFCE"/>
            <w:noWrap/>
            <w:vAlign w:val="center"/>
          </w:tcPr>
          <w:p w14:paraId="5768DAF0" w14:textId="77777777" w:rsidR="00154E32" w:rsidRDefault="00A43E04">
            <w:pPr>
              <w:pStyle w:val="P68B1DB1-Normal5"/>
              <w:jc w:val="center"/>
              <w:rPr>
                <w:noProof/>
              </w:rPr>
            </w:pPr>
            <w:r>
              <w:rPr>
                <w:noProof/>
              </w:rPr>
              <w:t>JIH NI</w:t>
            </w:r>
          </w:p>
        </w:tc>
        <w:tc>
          <w:tcPr>
            <w:tcW w:w="1134" w:type="dxa"/>
            <w:shd w:val="clear" w:color="auto" w:fill="C6EFCE"/>
            <w:noWrap/>
            <w:vAlign w:val="center"/>
          </w:tcPr>
          <w:p w14:paraId="6CA40054" w14:textId="77777777" w:rsidR="00154E32" w:rsidRDefault="00A43E04">
            <w:pPr>
              <w:pStyle w:val="P68B1DB1-Normal5"/>
              <w:jc w:val="center"/>
              <w:rPr>
                <w:noProof/>
              </w:rPr>
            </w:pPr>
            <w:r>
              <w:rPr>
                <w:noProof/>
              </w:rPr>
              <w:t>Število</w:t>
            </w:r>
          </w:p>
        </w:tc>
        <w:tc>
          <w:tcPr>
            <w:tcW w:w="1417" w:type="dxa"/>
            <w:shd w:val="clear" w:color="auto" w:fill="C6EFCE"/>
            <w:noWrap/>
            <w:vAlign w:val="center"/>
          </w:tcPr>
          <w:p w14:paraId="6AAD79DE" w14:textId="77777777" w:rsidR="00154E32" w:rsidRDefault="00A43E04">
            <w:pPr>
              <w:pStyle w:val="P68B1DB1-Normal5"/>
              <w:jc w:val="center"/>
              <w:rPr>
                <w:noProof/>
              </w:rPr>
            </w:pPr>
            <w:r>
              <w:rPr>
                <w:noProof/>
              </w:rPr>
              <w:t>0</w:t>
            </w:r>
          </w:p>
        </w:tc>
        <w:tc>
          <w:tcPr>
            <w:tcW w:w="1276" w:type="dxa"/>
            <w:shd w:val="clear" w:color="auto" w:fill="C6EFCE"/>
            <w:noWrap/>
            <w:vAlign w:val="center"/>
          </w:tcPr>
          <w:p w14:paraId="1C293475" w14:textId="77777777" w:rsidR="00154E32" w:rsidRDefault="00A43E04">
            <w:pPr>
              <w:pStyle w:val="P68B1DB1-Normal5"/>
              <w:jc w:val="center"/>
              <w:rPr>
                <w:noProof/>
              </w:rPr>
            </w:pPr>
            <w:r>
              <w:rPr>
                <w:noProof/>
              </w:rPr>
              <w:t>400</w:t>
            </w:r>
          </w:p>
        </w:tc>
        <w:tc>
          <w:tcPr>
            <w:tcW w:w="850" w:type="dxa"/>
            <w:shd w:val="clear" w:color="auto" w:fill="C6EFCE"/>
            <w:noWrap/>
            <w:vAlign w:val="center"/>
          </w:tcPr>
          <w:p w14:paraId="73CE3B2D" w14:textId="77777777" w:rsidR="00154E32" w:rsidRDefault="00A43E04">
            <w:pPr>
              <w:pStyle w:val="P68B1DB1-Normal5"/>
              <w:jc w:val="center"/>
              <w:rPr>
                <w:noProof/>
              </w:rPr>
            </w:pPr>
            <w:r>
              <w:rPr>
                <w:noProof/>
              </w:rPr>
              <w:t>Q4</w:t>
            </w:r>
          </w:p>
        </w:tc>
        <w:tc>
          <w:tcPr>
            <w:tcW w:w="709" w:type="dxa"/>
            <w:shd w:val="clear" w:color="auto" w:fill="C6EFCE"/>
            <w:noWrap/>
            <w:vAlign w:val="center"/>
          </w:tcPr>
          <w:p w14:paraId="49C122E9" w14:textId="77777777" w:rsidR="00154E32" w:rsidRDefault="00A43E04">
            <w:pPr>
              <w:pStyle w:val="P68B1DB1-Normal5"/>
              <w:jc w:val="center"/>
              <w:rPr>
                <w:noProof/>
              </w:rPr>
            </w:pPr>
            <w:r>
              <w:rPr>
                <w:noProof/>
              </w:rPr>
              <w:t>2024</w:t>
            </w:r>
          </w:p>
        </w:tc>
        <w:tc>
          <w:tcPr>
            <w:tcW w:w="2835" w:type="dxa"/>
            <w:shd w:val="clear" w:color="auto" w:fill="C6EFCE"/>
            <w:noWrap/>
            <w:vAlign w:val="center"/>
          </w:tcPr>
          <w:p w14:paraId="11651E56" w14:textId="55A2F1EF" w:rsidR="00154E32" w:rsidRDefault="00A43E04">
            <w:pPr>
              <w:pStyle w:val="P68B1DB1-Normal5"/>
              <w:spacing w:after="120"/>
              <w:rPr>
                <w:noProof/>
              </w:rPr>
            </w:pPr>
            <w:r>
              <w:rPr>
                <w:noProof/>
              </w:rPr>
              <w:t>Cilj je doseči vsaj 400 vmesnikov za aplikacijsko programiranje, ki jih izvajajo agencije in so objavljeni v katalogu API in vključeni v nacionalno platformo digitalnih podatkov. Vključeni vmesniki za aplikacijsko programiranje so že bili kartirani. Objavljeni vmesniki API vplivajo na naslednja področja:</w:t>
            </w:r>
          </w:p>
          <w:p w14:paraId="6F498CFA" w14:textId="77777777" w:rsidR="00154E32" w:rsidRDefault="00A43E04">
            <w:pPr>
              <w:pStyle w:val="P68B1DB1-Normal5"/>
              <w:spacing w:after="120"/>
              <w:rPr>
                <w:noProof/>
              </w:rPr>
            </w:pPr>
            <w:r>
              <w:rPr>
                <w:noProof/>
              </w:rPr>
              <w:t>(I) Konec 31. decembra 2023: prednostne storitve socialne varnosti in izpolnjevanje davčnih obveznosti, vključno z osrednjimi nacionalnimi registri (kot sta register prebivalstva in register javne uprave);</w:t>
            </w:r>
          </w:p>
          <w:p w14:paraId="73B23473" w14:textId="77777777" w:rsidR="00154E32" w:rsidRDefault="00A43E04">
            <w:pPr>
              <w:pStyle w:val="P68B1DB1-Normal5"/>
              <w:spacing w:after="120"/>
              <w:rPr>
                <w:noProof/>
              </w:rPr>
            </w:pPr>
            <w:r>
              <w:rPr>
                <w:noProof/>
              </w:rPr>
              <w:t>jajcežerke Konec 31. decembra 2024: preostale storitve socialne varnosti in izpolnjevanje davčnih obveznosti.</w:t>
            </w:r>
          </w:p>
          <w:p w14:paraId="169313B2" w14:textId="77777777" w:rsidR="00154E32" w:rsidRDefault="00A43E04">
            <w:pPr>
              <w:pStyle w:val="P68B1DB1-Normal5"/>
              <w:spacing w:after="120"/>
              <w:rPr>
                <w:noProof/>
              </w:rPr>
            </w:pPr>
            <w:r>
              <w:rPr>
                <w:noProof/>
              </w:rPr>
              <w:t>Vsako izvajanje in dokumentacija API sta v skladu z nacionalnimi standardi interoperabilnosti in podpirata okvir nacionalne platforme digitalnih podatkov; navedena platforma zagotavlja funkcije za oceno te skladnosti.</w:t>
            </w:r>
          </w:p>
        </w:tc>
      </w:tr>
      <w:tr w:rsidR="00154E32" w14:paraId="1AD65AE2" w14:textId="77777777">
        <w:trPr>
          <w:trHeight w:val="309"/>
        </w:trPr>
        <w:tc>
          <w:tcPr>
            <w:tcW w:w="1253" w:type="dxa"/>
            <w:shd w:val="clear" w:color="auto" w:fill="C6EFCE"/>
            <w:noWrap/>
            <w:vAlign w:val="center"/>
          </w:tcPr>
          <w:p w14:paraId="4C2101C0" w14:textId="77777777" w:rsidR="00154E32" w:rsidRDefault="00A43E04">
            <w:pPr>
              <w:pStyle w:val="P68B1DB1-Normal5"/>
              <w:jc w:val="center"/>
              <w:rPr>
                <w:noProof/>
              </w:rPr>
            </w:pPr>
            <w:r>
              <w:rPr>
                <w:noProof/>
              </w:rPr>
              <w:t>M1C1–19</w:t>
            </w:r>
          </w:p>
        </w:tc>
        <w:tc>
          <w:tcPr>
            <w:tcW w:w="1568" w:type="dxa"/>
            <w:shd w:val="clear" w:color="auto" w:fill="C6EFCE"/>
            <w:noWrap/>
            <w:vAlign w:val="center"/>
          </w:tcPr>
          <w:p w14:paraId="294CFC24" w14:textId="77777777" w:rsidR="00154E32" w:rsidRDefault="00A43E04">
            <w:pPr>
              <w:pStyle w:val="P68B1DB1-Normal5"/>
              <w:jc w:val="center"/>
              <w:rPr>
                <w:noProof/>
              </w:rPr>
            </w:pPr>
            <w:r>
              <w:rPr>
                <w:noProof/>
              </w:rPr>
              <w:t>Naložba 1.5: Kibernetska varnost</w:t>
            </w:r>
          </w:p>
        </w:tc>
        <w:tc>
          <w:tcPr>
            <w:tcW w:w="1148" w:type="dxa"/>
            <w:shd w:val="clear" w:color="auto" w:fill="C6EFCE"/>
            <w:noWrap/>
            <w:vAlign w:val="center"/>
          </w:tcPr>
          <w:p w14:paraId="0971BF4F" w14:textId="77777777" w:rsidR="00154E32" w:rsidRDefault="00A43E04">
            <w:pPr>
              <w:pStyle w:val="P68B1DB1-Normal5"/>
              <w:jc w:val="center"/>
              <w:rPr>
                <w:noProof/>
              </w:rPr>
            </w:pPr>
            <w:r>
              <w:rPr>
                <w:noProof/>
              </w:rPr>
              <w:t>Tarča</w:t>
            </w:r>
          </w:p>
        </w:tc>
        <w:tc>
          <w:tcPr>
            <w:tcW w:w="1470" w:type="dxa"/>
            <w:shd w:val="clear" w:color="auto" w:fill="C6EFCE"/>
            <w:noWrap/>
            <w:vAlign w:val="center"/>
          </w:tcPr>
          <w:p w14:paraId="6BC4DF16" w14:textId="77777777" w:rsidR="00154E32" w:rsidRDefault="00A43E04">
            <w:pPr>
              <w:pStyle w:val="P68B1DB1-Normal5"/>
              <w:jc w:val="center"/>
              <w:rPr>
                <w:noProof/>
              </w:rPr>
            </w:pPr>
            <w:r>
              <w:rPr>
                <w:noProof/>
              </w:rPr>
              <w:t>Podpora za nadgradnjo varnostnih struktur T2</w:t>
            </w:r>
          </w:p>
        </w:tc>
        <w:tc>
          <w:tcPr>
            <w:tcW w:w="1701" w:type="dxa"/>
            <w:shd w:val="clear" w:color="auto" w:fill="C6EFCE"/>
            <w:noWrap/>
            <w:vAlign w:val="center"/>
          </w:tcPr>
          <w:p w14:paraId="7AAF4154" w14:textId="77777777" w:rsidR="00154E32" w:rsidRDefault="00A43E04">
            <w:pPr>
              <w:pStyle w:val="P68B1DB1-Normal5"/>
              <w:jc w:val="center"/>
              <w:rPr>
                <w:noProof/>
              </w:rPr>
            </w:pPr>
            <w:r>
              <w:rPr>
                <w:noProof/>
              </w:rPr>
              <w:t>JIH NI</w:t>
            </w:r>
          </w:p>
        </w:tc>
        <w:tc>
          <w:tcPr>
            <w:tcW w:w="1134" w:type="dxa"/>
            <w:shd w:val="clear" w:color="auto" w:fill="C6EFCE"/>
            <w:noWrap/>
            <w:vAlign w:val="center"/>
          </w:tcPr>
          <w:p w14:paraId="306A3AEA" w14:textId="77777777" w:rsidR="00154E32" w:rsidRDefault="00A43E04">
            <w:pPr>
              <w:pStyle w:val="P68B1DB1-Normal5"/>
              <w:jc w:val="center"/>
              <w:rPr>
                <w:noProof/>
              </w:rPr>
            </w:pPr>
            <w:r>
              <w:rPr>
                <w:noProof/>
              </w:rPr>
              <w:t>Število</w:t>
            </w:r>
          </w:p>
        </w:tc>
        <w:tc>
          <w:tcPr>
            <w:tcW w:w="1417" w:type="dxa"/>
            <w:shd w:val="clear" w:color="auto" w:fill="C6EFCE"/>
            <w:noWrap/>
            <w:vAlign w:val="center"/>
          </w:tcPr>
          <w:p w14:paraId="7662DF2C" w14:textId="77777777" w:rsidR="00154E32" w:rsidRDefault="00A43E04">
            <w:pPr>
              <w:pStyle w:val="P68B1DB1-Normal5"/>
              <w:jc w:val="center"/>
              <w:rPr>
                <w:noProof/>
              </w:rPr>
            </w:pPr>
            <w:r>
              <w:rPr>
                <w:noProof/>
              </w:rPr>
              <w:t>5</w:t>
            </w:r>
          </w:p>
        </w:tc>
        <w:tc>
          <w:tcPr>
            <w:tcW w:w="1276" w:type="dxa"/>
            <w:shd w:val="clear" w:color="auto" w:fill="C6EFCE"/>
            <w:noWrap/>
            <w:vAlign w:val="center"/>
          </w:tcPr>
          <w:p w14:paraId="4A1895B7" w14:textId="77777777" w:rsidR="00154E32" w:rsidRDefault="00A43E04">
            <w:pPr>
              <w:pStyle w:val="P68B1DB1-Normal5"/>
              <w:jc w:val="center"/>
              <w:rPr>
                <w:noProof/>
              </w:rPr>
            </w:pPr>
            <w:r>
              <w:rPr>
                <w:noProof/>
              </w:rPr>
              <w:t>50</w:t>
            </w:r>
          </w:p>
        </w:tc>
        <w:tc>
          <w:tcPr>
            <w:tcW w:w="850" w:type="dxa"/>
            <w:shd w:val="clear" w:color="auto" w:fill="C6EFCE"/>
            <w:noWrap/>
            <w:vAlign w:val="center"/>
          </w:tcPr>
          <w:p w14:paraId="2C347BB4" w14:textId="77777777" w:rsidR="00154E32" w:rsidRDefault="00A43E04">
            <w:pPr>
              <w:pStyle w:val="P68B1DB1-Normal5"/>
              <w:jc w:val="center"/>
              <w:rPr>
                <w:noProof/>
              </w:rPr>
            </w:pPr>
            <w:r>
              <w:rPr>
                <w:noProof/>
              </w:rPr>
              <w:t>Q4</w:t>
            </w:r>
          </w:p>
        </w:tc>
        <w:tc>
          <w:tcPr>
            <w:tcW w:w="709" w:type="dxa"/>
            <w:shd w:val="clear" w:color="auto" w:fill="C6EFCE"/>
            <w:noWrap/>
            <w:vAlign w:val="center"/>
          </w:tcPr>
          <w:p w14:paraId="747A6348" w14:textId="77777777" w:rsidR="00154E32" w:rsidRDefault="00A43E04">
            <w:pPr>
              <w:pStyle w:val="P68B1DB1-Normal5"/>
              <w:jc w:val="center"/>
              <w:rPr>
                <w:noProof/>
              </w:rPr>
            </w:pPr>
            <w:r>
              <w:rPr>
                <w:noProof/>
              </w:rPr>
              <w:t>2024</w:t>
            </w:r>
          </w:p>
        </w:tc>
        <w:tc>
          <w:tcPr>
            <w:tcW w:w="2835" w:type="dxa"/>
            <w:shd w:val="clear" w:color="auto" w:fill="C6EFCE"/>
            <w:noWrap/>
            <w:vAlign w:val="center"/>
          </w:tcPr>
          <w:p w14:paraId="163FB885" w14:textId="77777777" w:rsidR="00154E32" w:rsidRDefault="00A43E04">
            <w:pPr>
              <w:pStyle w:val="P68B1DB1-Normal5"/>
              <w:spacing w:after="120"/>
              <w:rPr>
                <w:noProof/>
              </w:rPr>
            </w:pPr>
            <w:r>
              <w:rPr>
                <w:noProof/>
              </w:rPr>
              <w:t>Vsaj 50 ukrepov krepitve, zaključenih v nacionalnem varnostnem območju za kibernetsko varnost (PSNC) ter omrežnih in informacijskih sistemov (NIS).</w:t>
            </w:r>
          </w:p>
          <w:p w14:paraId="2596876E" w14:textId="76C21AA0" w:rsidR="00154E32" w:rsidRDefault="00A43E04">
            <w:pPr>
              <w:pStyle w:val="P68B1DB1-Normal5"/>
              <w:spacing w:after="120"/>
              <w:rPr>
                <w:noProof/>
              </w:rPr>
            </w:pPr>
            <w:r>
              <w:rPr>
                <w:noProof/>
              </w:rPr>
              <w:t>Vrste intervencij vključujejo na primer varnostne operativne centre (SOC), izboljšave na področju kibernetske obrambe ter notranje zmogljivosti za spremljanje in nadzor v skladu z zahtevami glede varnosti omrežij in informacij ter števcev javnih storitev. Ukrepi v sektorjih VOI imajo poseben poudarek na sektorjih zdravstvenega varstva, energije in okolja (oskrba s pitno vodo in ravnanje z odpadki).</w:t>
            </w:r>
          </w:p>
        </w:tc>
      </w:tr>
      <w:tr w:rsidR="00154E32" w14:paraId="585B1AD5" w14:textId="77777777">
        <w:trPr>
          <w:trHeight w:val="309"/>
        </w:trPr>
        <w:tc>
          <w:tcPr>
            <w:tcW w:w="1253" w:type="dxa"/>
            <w:shd w:val="clear" w:color="auto" w:fill="C6EFCE"/>
            <w:noWrap/>
            <w:vAlign w:val="center"/>
          </w:tcPr>
          <w:p w14:paraId="2C69545D" w14:textId="77777777" w:rsidR="00154E32" w:rsidRDefault="00A43E04">
            <w:pPr>
              <w:pStyle w:val="P68B1DB1-Normal5"/>
              <w:jc w:val="center"/>
              <w:rPr>
                <w:noProof/>
              </w:rPr>
            </w:pPr>
            <w:r>
              <w:rPr>
                <w:noProof/>
              </w:rPr>
              <w:t>M1C1–20</w:t>
            </w:r>
          </w:p>
        </w:tc>
        <w:tc>
          <w:tcPr>
            <w:tcW w:w="1568" w:type="dxa"/>
            <w:shd w:val="clear" w:color="auto" w:fill="C6EFCE"/>
            <w:noWrap/>
            <w:vAlign w:val="center"/>
          </w:tcPr>
          <w:p w14:paraId="5FD63978" w14:textId="77777777" w:rsidR="00154E32" w:rsidRDefault="00A43E04">
            <w:pPr>
              <w:pStyle w:val="P68B1DB1-Normal5"/>
              <w:jc w:val="center"/>
              <w:rPr>
                <w:noProof/>
              </w:rPr>
            </w:pPr>
            <w:r>
              <w:rPr>
                <w:noProof/>
              </w:rPr>
              <w:t>Naložba 1.5: Kibernetska varnost</w:t>
            </w:r>
          </w:p>
        </w:tc>
        <w:tc>
          <w:tcPr>
            <w:tcW w:w="1148" w:type="dxa"/>
            <w:shd w:val="clear" w:color="auto" w:fill="C6EFCE"/>
            <w:noWrap/>
            <w:vAlign w:val="center"/>
          </w:tcPr>
          <w:p w14:paraId="38678796" w14:textId="77777777" w:rsidR="00154E32" w:rsidRDefault="00A43E04">
            <w:pPr>
              <w:pStyle w:val="P68B1DB1-Normal5"/>
              <w:jc w:val="center"/>
              <w:rPr>
                <w:noProof/>
              </w:rPr>
            </w:pPr>
            <w:r>
              <w:rPr>
                <w:noProof/>
              </w:rPr>
              <w:t>Mejnik</w:t>
            </w:r>
          </w:p>
        </w:tc>
        <w:tc>
          <w:tcPr>
            <w:tcW w:w="1470" w:type="dxa"/>
            <w:shd w:val="clear" w:color="auto" w:fill="C6EFCE"/>
            <w:noWrap/>
            <w:vAlign w:val="center"/>
          </w:tcPr>
          <w:p w14:paraId="76C95AE8" w14:textId="77777777" w:rsidR="00154E32" w:rsidRDefault="00A43E04">
            <w:pPr>
              <w:pStyle w:val="P68B1DB1-Normal5"/>
              <w:jc w:val="center"/>
              <w:rPr>
                <w:noProof/>
              </w:rPr>
            </w:pPr>
            <w:r>
              <w:rPr>
                <w:noProof/>
              </w:rPr>
              <w:t>Popolna uvedba nacionalnih storitev kibernetske varnosti</w:t>
            </w:r>
          </w:p>
        </w:tc>
        <w:tc>
          <w:tcPr>
            <w:tcW w:w="1701" w:type="dxa"/>
            <w:shd w:val="clear" w:color="auto" w:fill="C6EFCE"/>
            <w:noWrap/>
            <w:vAlign w:val="center"/>
          </w:tcPr>
          <w:p w14:paraId="25B1792F" w14:textId="77777777" w:rsidR="00154E32" w:rsidRDefault="00A43E04">
            <w:pPr>
              <w:pStyle w:val="P68B1DB1-Normal5"/>
              <w:jc w:val="center"/>
              <w:rPr>
                <w:noProof/>
              </w:rPr>
            </w:pPr>
            <w:r>
              <w:rPr>
                <w:noProof/>
              </w:rPr>
              <w:t>Poročilo o popolni aktivaciji nacionalnih storitev kibernetske varnosti</w:t>
            </w:r>
          </w:p>
        </w:tc>
        <w:tc>
          <w:tcPr>
            <w:tcW w:w="1134" w:type="dxa"/>
            <w:shd w:val="clear" w:color="auto" w:fill="C6EFCE"/>
            <w:noWrap/>
            <w:vAlign w:val="center"/>
          </w:tcPr>
          <w:p w14:paraId="2482C024" w14:textId="77777777" w:rsidR="00154E32" w:rsidRDefault="00A43E04">
            <w:pPr>
              <w:pStyle w:val="P68B1DB1-Normal5"/>
              <w:jc w:val="center"/>
              <w:rPr>
                <w:noProof/>
              </w:rPr>
            </w:pPr>
            <w:r>
              <w:rPr>
                <w:noProof/>
              </w:rPr>
              <w:t>JIH NI</w:t>
            </w:r>
          </w:p>
        </w:tc>
        <w:tc>
          <w:tcPr>
            <w:tcW w:w="1417" w:type="dxa"/>
            <w:shd w:val="clear" w:color="auto" w:fill="C6EFCE"/>
            <w:noWrap/>
            <w:vAlign w:val="center"/>
          </w:tcPr>
          <w:p w14:paraId="4711E42B" w14:textId="77777777" w:rsidR="00154E32" w:rsidRDefault="00A43E04">
            <w:pPr>
              <w:pStyle w:val="P68B1DB1-Normal5"/>
              <w:jc w:val="center"/>
              <w:rPr>
                <w:noProof/>
              </w:rPr>
            </w:pPr>
            <w:r>
              <w:rPr>
                <w:noProof/>
              </w:rPr>
              <w:t>JIH NI</w:t>
            </w:r>
          </w:p>
        </w:tc>
        <w:tc>
          <w:tcPr>
            <w:tcW w:w="1276" w:type="dxa"/>
            <w:shd w:val="clear" w:color="auto" w:fill="C6EFCE"/>
            <w:noWrap/>
            <w:vAlign w:val="center"/>
          </w:tcPr>
          <w:p w14:paraId="146B1D37" w14:textId="77777777" w:rsidR="00154E32" w:rsidRDefault="00A43E04">
            <w:pPr>
              <w:pStyle w:val="P68B1DB1-Normal5"/>
              <w:jc w:val="center"/>
              <w:rPr>
                <w:noProof/>
              </w:rPr>
            </w:pPr>
            <w:r>
              <w:rPr>
                <w:noProof/>
              </w:rPr>
              <w:t>JIH NI</w:t>
            </w:r>
          </w:p>
        </w:tc>
        <w:tc>
          <w:tcPr>
            <w:tcW w:w="850" w:type="dxa"/>
            <w:shd w:val="clear" w:color="auto" w:fill="C6EFCE"/>
            <w:noWrap/>
            <w:vAlign w:val="center"/>
          </w:tcPr>
          <w:p w14:paraId="6C4C876B" w14:textId="77777777" w:rsidR="00154E32" w:rsidRDefault="00A43E04">
            <w:pPr>
              <w:pStyle w:val="P68B1DB1-Normal5"/>
              <w:jc w:val="center"/>
              <w:rPr>
                <w:noProof/>
              </w:rPr>
            </w:pPr>
            <w:r>
              <w:rPr>
                <w:noProof/>
              </w:rPr>
              <w:t>Q4</w:t>
            </w:r>
          </w:p>
        </w:tc>
        <w:tc>
          <w:tcPr>
            <w:tcW w:w="709" w:type="dxa"/>
            <w:shd w:val="clear" w:color="auto" w:fill="C6EFCE"/>
            <w:noWrap/>
            <w:vAlign w:val="center"/>
          </w:tcPr>
          <w:p w14:paraId="4EF3F5CD" w14:textId="77777777" w:rsidR="00154E32" w:rsidRDefault="00A43E04">
            <w:pPr>
              <w:pStyle w:val="P68B1DB1-Normal5"/>
              <w:jc w:val="center"/>
              <w:rPr>
                <w:noProof/>
              </w:rPr>
            </w:pPr>
            <w:r>
              <w:rPr>
                <w:noProof/>
              </w:rPr>
              <w:t>2024</w:t>
            </w:r>
          </w:p>
        </w:tc>
        <w:tc>
          <w:tcPr>
            <w:tcW w:w="2835" w:type="dxa"/>
            <w:shd w:val="clear" w:color="auto" w:fill="C6EFCE"/>
            <w:noWrap/>
            <w:vAlign w:val="center"/>
          </w:tcPr>
          <w:p w14:paraId="0029A2E7" w14:textId="77777777" w:rsidR="00154E32" w:rsidRDefault="00A43E04">
            <w:pPr>
              <w:pStyle w:val="P68B1DB1-Normal5"/>
              <w:spacing w:after="120"/>
              <w:rPr>
                <w:noProof/>
              </w:rPr>
            </w:pPr>
            <w:r>
              <w:rPr>
                <w:noProof/>
              </w:rPr>
              <w:t>Ta mejnik se dopolni z aktivacijo sektorskih skupin za odzivanje na računalniške grožnje (CERT), njihovo povezavo z italijansko skupino za odzivanje na incidente na področju računalniške varnosti (CSIRT) in Centrom za izmenjavo in analizo informacij (ISAC), vključitvijo vsaj petih varnostnih operativnih centrov (SOC) z nacionalnimi HyperSOC, polnim delovanjem storitev obvladovanja tveganj za kibernetsko varnost, vključno s tistimi za analizo dobavne verige in storitvami zavarovanja kibernetskih tveganj.</w:t>
            </w:r>
          </w:p>
        </w:tc>
      </w:tr>
      <w:tr w:rsidR="00154E32" w14:paraId="311CE42B" w14:textId="77777777">
        <w:trPr>
          <w:trHeight w:val="309"/>
        </w:trPr>
        <w:tc>
          <w:tcPr>
            <w:tcW w:w="1253" w:type="dxa"/>
            <w:shd w:val="clear" w:color="auto" w:fill="C6EFCE"/>
            <w:noWrap/>
            <w:vAlign w:val="center"/>
          </w:tcPr>
          <w:p w14:paraId="3A214FF2" w14:textId="77777777" w:rsidR="00154E32" w:rsidRDefault="00A43E04">
            <w:pPr>
              <w:pStyle w:val="P68B1DB1-Normal5"/>
              <w:jc w:val="center"/>
              <w:rPr>
                <w:noProof/>
              </w:rPr>
            </w:pPr>
            <w:r>
              <w:rPr>
                <w:noProof/>
              </w:rPr>
              <w:t>M1C1–21</w:t>
            </w:r>
          </w:p>
        </w:tc>
        <w:tc>
          <w:tcPr>
            <w:tcW w:w="1568" w:type="dxa"/>
            <w:shd w:val="clear" w:color="auto" w:fill="C6EFCE"/>
            <w:noWrap/>
            <w:vAlign w:val="center"/>
          </w:tcPr>
          <w:p w14:paraId="2B04D4BA" w14:textId="77777777" w:rsidR="00154E32" w:rsidRDefault="00A43E04">
            <w:pPr>
              <w:pStyle w:val="P68B1DB1-Normal5"/>
              <w:jc w:val="center"/>
              <w:rPr>
                <w:noProof/>
              </w:rPr>
            </w:pPr>
            <w:r>
              <w:rPr>
                <w:noProof/>
              </w:rPr>
              <w:t>Naložba 1.5: Kibernetska varnost</w:t>
            </w:r>
          </w:p>
        </w:tc>
        <w:tc>
          <w:tcPr>
            <w:tcW w:w="1148" w:type="dxa"/>
            <w:shd w:val="clear" w:color="auto" w:fill="C6EFCE"/>
            <w:noWrap/>
            <w:vAlign w:val="center"/>
          </w:tcPr>
          <w:p w14:paraId="7361A6EE" w14:textId="77777777" w:rsidR="00154E32" w:rsidRDefault="00A43E04">
            <w:pPr>
              <w:pStyle w:val="P68B1DB1-Normal5"/>
              <w:jc w:val="center"/>
              <w:rPr>
                <w:noProof/>
              </w:rPr>
            </w:pPr>
            <w:r>
              <w:rPr>
                <w:noProof/>
              </w:rPr>
              <w:t>Mejnik</w:t>
            </w:r>
          </w:p>
        </w:tc>
        <w:tc>
          <w:tcPr>
            <w:tcW w:w="1470" w:type="dxa"/>
            <w:shd w:val="clear" w:color="auto" w:fill="C6EFCE"/>
            <w:noWrap/>
            <w:vAlign w:val="center"/>
          </w:tcPr>
          <w:p w14:paraId="044DDD9E" w14:textId="77777777" w:rsidR="00154E32" w:rsidRDefault="00A43E04">
            <w:pPr>
              <w:pStyle w:val="P68B1DB1-Normal5"/>
              <w:jc w:val="center"/>
              <w:rPr>
                <w:noProof/>
              </w:rPr>
            </w:pPr>
            <w:r>
              <w:rPr>
                <w:noProof/>
              </w:rPr>
              <w:t>Dokončanje mreže laboratorijev za preverjanje in certificiranje kibernetske varnosti, ocenjevalni centri</w:t>
            </w:r>
          </w:p>
        </w:tc>
        <w:tc>
          <w:tcPr>
            <w:tcW w:w="1701" w:type="dxa"/>
            <w:shd w:val="clear" w:color="auto" w:fill="C6EFCE"/>
            <w:noWrap/>
            <w:vAlign w:val="center"/>
          </w:tcPr>
          <w:p w14:paraId="3A3BB244" w14:textId="082E2461" w:rsidR="00154E32" w:rsidRDefault="00A43E04">
            <w:pPr>
              <w:pStyle w:val="P68B1DB1-Normal5"/>
              <w:jc w:val="center"/>
              <w:rPr>
                <w:noProof/>
              </w:rPr>
            </w:pPr>
            <w:r>
              <w:rPr>
                <w:noProof/>
              </w:rPr>
              <w:t>Predloženo poročanje, ki dokazuje polno aktivacijo vsaj 10 laboratorijev in dveh ocenjevalnih centrov (CV)</w:t>
            </w:r>
          </w:p>
        </w:tc>
        <w:tc>
          <w:tcPr>
            <w:tcW w:w="1134" w:type="dxa"/>
            <w:shd w:val="clear" w:color="auto" w:fill="C6EFCE"/>
            <w:noWrap/>
            <w:vAlign w:val="center"/>
          </w:tcPr>
          <w:p w14:paraId="1F32B991" w14:textId="77777777" w:rsidR="00154E32" w:rsidRDefault="00A43E04">
            <w:pPr>
              <w:pStyle w:val="P68B1DB1-Normal5"/>
              <w:jc w:val="center"/>
              <w:rPr>
                <w:noProof/>
              </w:rPr>
            </w:pPr>
            <w:r>
              <w:rPr>
                <w:noProof/>
              </w:rPr>
              <w:t>JIH NI</w:t>
            </w:r>
          </w:p>
        </w:tc>
        <w:tc>
          <w:tcPr>
            <w:tcW w:w="1417" w:type="dxa"/>
            <w:shd w:val="clear" w:color="auto" w:fill="C6EFCE"/>
            <w:noWrap/>
            <w:vAlign w:val="center"/>
          </w:tcPr>
          <w:p w14:paraId="7805A180" w14:textId="77777777" w:rsidR="00154E32" w:rsidRDefault="00A43E04">
            <w:pPr>
              <w:pStyle w:val="P68B1DB1-Normal5"/>
              <w:jc w:val="center"/>
              <w:rPr>
                <w:noProof/>
              </w:rPr>
            </w:pPr>
            <w:r>
              <w:rPr>
                <w:noProof/>
              </w:rPr>
              <w:t>JIH NI</w:t>
            </w:r>
          </w:p>
        </w:tc>
        <w:tc>
          <w:tcPr>
            <w:tcW w:w="1276" w:type="dxa"/>
            <w:shd w:val="clear" w:color="auto" w:fill="C6EFCE"/>
            <w:noWrap/>
            <w:vAlign w:val="center"/>
          </w:tcPr>
          <w:p w14:paraId="0B11A3B0" w14:textId="77777777" w:rsidR="00154E32" w:rsidRDefault="00A43E04">
            <w:pPr>
              <w:pStyle w:val="P68B1DB1-Normal5"/>
              <w:jc w:val="center"/>
              <w:rPr>
                <w:noProof/>
              </w:rPr>
            </w:pPr>
            <w:r>
              <w:rPr>
                <w:noProof/>
              </w:rPr>
              <w:t>JIH NI</w:t>
            </w:r>
          </w:p>
        </w:tc>
        <w:tc>
          <w:tcPr>
            <w:tcW w:w="850" w:type="dxa"/>
            <w:shd w:val="clear" w:color="auto" w:fill="C6EFCE"/>
            <w:noWrap/>
            <w:vAlign w:val="center"/>
          </w:tcPr>
          <w:p w14:paraId="3EC157E7" w14:textId="77777777" w:rsidR="00154E32" w:rsidRDefault="00A43E04">
            <w:pPr>
              <w:pStyle w:val="P68B1DB1-Normal5"/>
              <w:jc w:val="center"/>
              <w:rPr>
                <w:noProof/>
              </w:rPr>
            </w:pPr>
            <w:r>
              <w:rPr>
                <w:noProof/>
              </w:rPr>
              <w:t>Q4</w:t>
            </w:r>
          </w:p>
        </w:tc>
        <w:tc>
          <w:tcPr>
            <w:tcW w:w="709" w:type="dxa"/>
            <w:shd w:val="clear" w:color="auto" w:fill="C6EFCE"/>
            <w:noWrap/>
            <w:vAlign w:val="center"/>
          </w:tcPr>
          <w:p w14:paraId="1A55FEE7" w14:textId="77777777" w:rsidR="00154E32" w:rsidRDefault="00A43E04">
            <w:pPr>
              <w:pStyle w:val="P68B1DB1-Normal5"/>
              <w:jc w:val="center"/>
              <w:rPr>
                <w:noProof/>
              </w:rPr>
            </w:pPr>
            <w:r>
              <w:rPr>
                <w:noProof/>
              </w:rPr>
              <w:t>2024</w:t>
            </w:r>
          </w:p>
        </w:tc>
        <w:tc>
          <w:tcPr>
            <w:tcW w:w="2835" w:type="dxa"/>
            <w:shd w:val="clear" w:color="auto" w:fill="C6EFCE"/>
            <w:noWrap/>
            <w:vAlign w:val="center"/>
          </w:tcPr>
          <w:p w14:paraId="7020B06B" w14:textId="2DFF78C0" w:rsidR="00154E32" w:rsidRDefault="00A43E04">
            <w:pPr>
              <w:pStyle w:val="P68B1DB1-Normal5"/>
              <w:spacing w:after="120"/>
              <w:rPr>
                <w:noProof/>
              </w:rPr>
            </w:pPr>
            <w:r>
              <w:rPr>
                <w:noProof/>
              </w:rPr>
              <w:t>Aktivacija vsaj 10 laboratorijev za presejalne in certifikacijske preglede ter dveh centrov za ocenjevanje (CV).</w:t>
            </w:r>
          </w:p>
        </w:tc>
      </w:tr>
      <w:tr w:rsidR="00154E32" w14:paraId="2DB38B2D" w14:textId="77777777">
        <w:trPr>
          <w:trHeight w:val="309"/>
        </w:trPr>
        <w:tc>
          <w:tcPr>
            <w:tcW w:w="1253" w:type="dxa"/>
            <w:shd w:val="clear" w:color="auto" w:fill="C6EFCE"/>
            <w:noWrap/>
            <w:vAlign w:val="center"/>
          </w:tcPr>
          <w:p w14:paraId="3C6A23A8" w14:textId="77777777" w:rsidR="00154E32" w:rsidRDefault="00A43E04">
            <w:pPr>
              <w:pStyle w:val="P68B1DB1-Normal5"/>
              <w:jc w:val="center"/>
              <w:rPr>
                <w:noProof/>
              </w:rPr>
            </w:pPr>
            <w:r>
              <w:rPr>
                <w:noProof/>
              </w:rPr>
              <w:t>M1C1–22</w:t>
            </w:r>
          </w:p>
        </w:tc>
        <w:tc>
          <w:tcPr>
            <w:tcW w:w="1568" w:type="dxa"/>
            <w:shd w:val="clear" w:color="auto" w:fill="C6EFCE"/>
            <w:noWrap/>
            <w:vAlign w:val="center"/>
          </w:tcPr>
          <w:p w14:paraId="4EE6BC4C" w14:textId="77777777" w:rsidR="00154E32" w:rsidRDefault="00A43E04">
            <w:pPr>
              <w:pStyle w:val="P68B1DB1-Normal5"/>
              <w:jc w:val="center"/>
              <w:rPr>
                <w:noProof/>
              </w:rPr>
            </w:pPr>
            <w:r>
              <w:rPr>
                <w:noProof/>
              </w:rPr>
              <w:t>Naložba 1.5: Kibernetska varnost</w:t>
            </w:r>
          </w:p>
        </w:tc>
        <w:tc>
          <w:tcPr>
            <w:tcW w:w="1148" w:type="dxa"/>
            <w:shd w:val="clear" w:color="auto" w:fill="C6EFCE"/>
            <w:noWrap/>
            <w:vAlign w:val="center"/>
          </w:tcPr>
          <w:p w14:paraId="04D28867" w14:textId="77777777" w:rsidR="00154E32" w:rsidRDefault="00A43E04">
            <w:pPr>
              <w:pStyle w:val="P68B1DB1-Normal5"/>
              <w:jc w:val="center"/>
              <w:rPr>
                <w:noProof/>
              </w:rPr>
            </w:pPr>
            <w:r>
              <w:rPr>
                <w:noProof/>
              </w:rPr>
              <w:t>Mejnik</w:t>
            </w:r>
          </w:p>
        </w:tc>
        <w:tc>
          <w:tcPr>
            <w:tcW w:w="1470" w:type="dxa"/>
            <w:shd w:val="clear" w:color="auto" w:fill="C6EFCE"/>
            <w:noWrap/>
            <w:vAlign w:val="center"/>
          </w:tcPr>
          <w:p w14:paraId="1BC79443" w14:textId="77777777" w:rsidR="00154E32" w:rsidRDefault="00A43E04">
            <w:pPr>
              <w:pStyle w:val="P68B1DB1-Normal5"/>
              <w:jc w:val="center"/>
              <w:rPr>
                <w:noProof/>
              </w:rPr>
            </w:pPr>
            <w:r>
              <w:rPr>
                <w:noProof/>
              </w:rPr>
              <w:t>Polno delovanje centralne revizijske enote za varnostne ukrepe PSNC &amp; NIS, pri čemer je bilo opravljenih vsaj 30 inšpekcijskih pregledov</w:t>
            </w:r>
          </w:p>
        </w:tc>
        <w:tc>
          <w:tcPr>
            <w:tcW w:w="1701" w:type="dxa"/>
            <w:shd w:val="clear" w:color="auto" w:fill="C6EFCE"/>
            <w:noWrap/>
            <w:vAlign w:val="center"/>
          </w:tcPr>
          <w:p w14:paraId="528F94B2" w14:textId="77777777" w:rsidR="00154E32" w:rsidRDefault="00A43E04">
            <w:pPr>
              <w:pStyle w:val="P68B1DB1-Normal5"/>
              <w:jc w:val="center"/>
              <w:rPr>
                <w:noProof/>
              </w:rPr>
            </w:pPr>
            <w:r>
              <w:rPr>
                <w:noProof/>
              </w:rPr>
              <w:t>Zagotovljeno poročanje, poročila o inšpekcijskih pregledih</w:t>
            </w:r>
          </w:p>
        </w:tc>
        <w:tc>
          <w:tcPr>
            <w:tcW w:w="1134" w:type="dxa"/>
            <w:shd w:val="clear" w:color="auto" w:fill="C6EFCE"/>
            <w:noWrap/>
            <w:vAlign w:val="center"/>
          </w:tcPr>
          <w:p w14:paraId="69486001" w14:textId="77777777" w:rsidR="00154E32" w:rsidRDefault="00A43E04">
            <w:pPr>
              <w:pStyle w:val="P68B1DB1-Normal5"/>
              <w:jc w:val="center"/>
              <w:rPr>
                <w:noProof/>
              </w:rPr>
            </w:pPr>
            <w:r>
              <w:rPr>
                <w:noProof/>
              </w:rPr>
              <w:t>JIH NI</w:t>
            </w:r>
          </w:p>
        </w:tc>
        <w:tc>
          <w:tcPr>
            <w:tcW w:w="1417" w:type="dxa"/>
            <w:shd w:val="clear" w:color="auto" w:fill="C6EFCE"/>
            <w:noWrap/>
            <w:vAlign w:val="center"/>
          </w:tcPr>
          <w:p w14:paraId="1898036C" w14:textId="77777777" w:rsidR="00154E32" w:rsidRDefault="00A43E04">
            <w:pPr>
              <w:pStyle w:val="P68B1DB1-Normal5"/>
              <w:jc w:val="center"/>
              <w:rPr>
                <w:noProof/>
              </w:rPr>
            </w:pPr>
            <w:r>
              <w:rPr>
                <w:noProof/>
              </w:rPr>
              <w:t>JIH NI</w:t>
            </w:r>
          </w:p>
        </w:tc>
        <w:tc>
          <w:tcPr>
            <w:tcW w:w="1276" w:type="dxa"/>
            <w:shd w:val="clear" w:color="auto" w:fill="C6EFCE"/>
            <w:noWrap/>
            <w:vAlign w:val="center"/>
          </w:tcPr>
          <w:p w14:paraId="1AC7FFC8" w14:textId="77777777" w:rsidR="00154E32" w:rsidRDefault="00A43E04">
            <w:pPr>
              <w:pStyle w:val="P68B1DB1-Normal5"/>
              <w:jc w:val="center"/>
              <w:rPr>
                <w:noProof/>
              </w:rPr>
            </w:pPr>
            <w:r>
              <w:rPr>
                <w:noProof/>
              </w:rPr>
              <w:t>JIH NI</w:t>
            </w:r>
          </w:p>
        </w:tc>
        <w:tc>
          <w:tcPr>
            <w:tcW w:w="850" w:type="dxa"/>
            <w:shd w:val="clear" w:color="auto" w:fill="C6EFCE"/>
            <w:noWrap/>
            <w:vAlign w:val="center"/>
          </w:tcPr>
          <w:p w14:paraId="05AC6251" w14:textId="77777777" w:rsidR="00154E32" w:rsidRDefault="00A43E04">
            <w:pPr>
              <w:pStyle w:val="P68B1DB1-Normal5"/>
              <w:jc w:val="center"/>
              <w:rPr>
                <w:noProof/>
              </w:rPr>
            </w:pPr>
            <w:r>
              <w:rPr>
                <w:noProof/>
              </w:rPr>
              <w:t>Q4</w:t>
            </w:r>
          </w:p>
        </w:tc>
        <w:tc>
          <w:tcPr>
            <w:tcW w:w="709" w:type="dxa"/>
            <w:shd w:val="clear" w:color="auto" w:fill="C6EFCE"/>
            <w:noWrap/>
            <w:vAlign w:val="center"/>
          </w:tcPr>
          <w:p w14:paraId="41447BEB" w14:textId="77777777" w:rsidR="00154E32" w:rsidRDefault="00A43E04">
            <w:pPr>
              <w:pStyle w:val="P68B1DB1-Normal5"/>
              <w:jc w:val="center"/>
              <w:rPr>
                <w:noProof/>
              </w:rPr>
            </w:pPr>
            <w:r>
              <w:rPr>
                <w:noProof/>
              </w:rPr>
              <w:t>2024</w:t>
            </w:r>
          </w:p>
        </w:tc>
        <w:tc>
          <w:tcPr>
            <w:tcW w:w="2835" w:type="dxa"/>
            <w:shd w:val="clear" w:color="auto" w:fill="C6EFCE"/>
            <w:noWrap/>
            <w:vAlign w:val="center"/>
          </w:tcPr>
          <w:p w14:paraId="7B52AC93" w14:textId="77777777" w:rsidR="00154E32" w:rsidRDefault="00A43E04">
            <w:pPr>
              <w:pStyle w:val="P68B1DB1-Normal5"/>
              <w:spacing w:after="120"/>
              <w:rPr>
                <w:noProof/>
              </w:rPr>
            </w:pPr>
            <w:r>
              <w:rPr>
                <w:noProof/>
              </w:rPr>
              <w:t>Polno delovanje osrednje revizijske enote z najmanj 30 opravljenimi inšpekcijskimi pregledi.</w:t>
            </w:r>
          </w:p>
        </w:tc>
      </w:tr>
      <w:tr w:rsidR="00154E32" w14:paraId="066AAB12" w14:textId="77777777">
        <w:trPr>
          <w:trHeight w:val="309"/>
        </w:trPr>
        <w:tc>
          <w:tcPr>
            <w:tcW w:w="1253" w:type="dxa"/>
            <w:shd w:val="clear" w:color="auto" w:fill="C6EFCE"/>
            <w:noWrap/>
            <w:vAlign w:val="center"/>
          </w:tcPr>
          <w:p w14:paraId="5BEEF5EB" w14:textId="77777777" w:rsidR="00154E32" w:rsidRDefault="00A43E04">
            <w:pPr>
              <w:pStyle w:val="P68B1DB1-Normal5"/>
              <w:jc w:val="center"/>
              <w:rPr>
                <w:noProof/>
              </w:rPr>
            </w:pPr>
            <w:r>
              <w:rPr>
                <w:noProof/>
              </w:rPr>
              <w:t>M1C1–23</w:t>
            </w:r>
          </w:p>
        </w:tc>
        <w:tc>
          <w:tcPr>
            <w:tcW w:w="1568" w:type="dxa"/>
            <w:shd w:val="clear" w:color="auto" w:fill="C6EFCE"/>
            <w:noWrap/>
            <w:vAlign w:val="center"/>
          </w:tcPr>
          <w:p w14:paraId="035C8A1C" w14:textId="1B5E4D4C" w:rsidR="00154E32" w:rsidRDefault="00A43E04">
            <w:pPr>
              <w:pStyle w:val="P68B1DB1-Normal5"/>
              <w:jc w:val="center"/>
              <w:rPr>
                <w:noProof/>
              </w:rPr>
            </w:pPr>
            <w:r>
              <w:rPr>
                <w:noProof/>
              </w:rPr>
              <w:t>Naložba 1.4.6: Mobilnost kot storitev za Italijo</w:t>
            </w:r>
          </w:p>
        </w:tc>
        <w:tc>
          <w:tcPr>
            <w:tcW w:w="1148" w:type="dxa"/>
            <w:shd w:val="clear" w:color="auto" w:fill="C6EFCE"/>
            <w:noWrap/>
            <w:vAlign w:val="center"/>
          </w:tcPr>
          <w:p w14:paraId="102B1596" w14:textId="77777777" w:rsidR="00154E32" w:rsidRDefault="00A43E04">
            <w:pPr>
              <w:pStyle w:val="P68B1DB1-Normal5"/>
              <w:jc w:val="center"/>
              <w:rPr>
                <w:noProof/>
              </w:rPr>
            </w:pPr>
            <w:r>
              <w:rPr>
                <w:noProof/>
              </w:rPr>
              <w:t>Mejnik</w:t>
            </w:r>
          </w:p>
        </w:tc>
        <w:tc>
          <w:tcPr>
            <w:tcW w:w="1470" w:type="dxa"/>
            <w:shd w:val="clear" w:color="auto" w:fill="C6EFCE"/>
            <w:noWrap/>
            <w:vAlign w:val="center"/>
          </w:tcPr>
          <w:p w14:paraId="5FE7E4EC" w14:textId="77777777" w:rsidR="00154E32" w:rsidRDefault="00A43E04">
            <w:pPr>
              <w:pStyle w:val="P68B1DB1-Normal5"/>
              <w:jc w:val="center"/>
              <w:rPr>
                <w:noProof/>
              </w:rPr>
            </w:pPr>
            <w:r>
              <w:rPr>
                <w:noProof/>
              </w:rPr>
              <w:t>Mobilnost kot storitvena rešitev M2</w:t>
            </w:r>
          </w:p>
        </w:tc>
        <w:tc>
          <w:tcPr>
            <w:tcW w:w="1701" w:type="dxa"/>
            <w:shd w:val="clear" w:color="auto" w:fill="C6EFCE"/>
            <w:noWrap/>
            <w:vAlign w:val="center"/>
          </w:tcPr>
          <w:p w14:paraId="5E460BDF" w14:textId="01EB0E82" w:rsidR="00154E32" w:rsidRDefault="00A43E04">
            <w:pPr>
              <w:pStyle w:val="P68B1DB1-Normal5"/>
              <w:jc w:val="center"/>
              <w:rPr>
                <w:noProof/>
              </w:rPr>
            </w:pPr>
            <w:r>
              <w:rPr>
                <w:noProof/>
              </w:rPr>
              <w:t>Rezultati pilotnih projektov, ki jih je ocenilo Ministero delle Infrastrutture e della Mobilità Sostenibili (MIMS) v sodelovanju z univerzami</w:t>
            </w:r>
          </w:p>
        </w:tc>
        <w:tc>
          <w:tcPr>
            <w:tcW w:w="1134" w:type="dxa"/>
            <w:shd w:val="clear" w:color="auto" w:fill="C6EFCE"/>
            <w:noWrap/>
            <w:vAlign w:val="center"/>
          </w:tcPr>
          <w:p w14:paraId="4042578F" w14:textId="77777777" w:rsidR="00154E32" w:rsidRDefault="00A43E04">
            <w:pPr>
              <w:pStyle w:val="P68B1DB1-Normal5"/>
              <w:jc w:val="center"/>
              <w:rPr>
                <w:noProof/>
              </w:rPr>
            </w:pPr>
            <w:r>
              <w:rPr>
                <w:noProof/>
              </w:rPr>
              <w:t>JIH NI</w:t>
            </w:r>
          </w:p>
        </w:tc>
        <w:tc>
          <w:tcPr>
            <w:tcW w:w="1417" w:type="dxa"/>
            <w:shd w:val="clear" w:color="auto" w:fill="C6EFCE"/>
            <w:noWrap/>
            <w:vAlign w:val="center"/>
          </w:tcPr>
          <w:p w14:paraId="4C25D1DB" w14:textId="77777777" w:rsidR="00154E32" w:rsidRDefault="00A43E04">
            <w:pPr>
              <w:pStyle w:val="P68B1DB1-Normal5"/>
              <w:jc w:val="center"/>
              <w:rPr>
                <w:noProof/>
              </w:rPr>
            </w:pPr>
            <w:r>
              <w:rPr>
                <w:noProof/>
              </w:rPr>
              <w:t>JIH NI</w:t>
            </w:r>
          </w:p>
        </w:tc>
        <w:tc>
          <w:tcPr>
            <w:tcW w:w="1276" w:type="dxa"/>
            <w:shd w:val="clear" w:color="auto" w:fill="C6EFCE"/>
            <w:noWrap/>
            <w:vAlign w:val="center"/>
          </w:tcPr>
          <w:p w14:paraId="61F08E48" w14:textId="77777777" w:rsidR="00154E32" w:rsidRDefault="00A43E04">
            <w:pPr>
              <w:pStyle w:val="P68B1DB1-Normal5"/>
              <w:jc w:val="center"/>
              <w:rPr>
                <w:noProof/>
              </w:rPr>
            </w:pPr>
            <w:r>
              <w:rPr>
                <w:noProof/>
              </w:rPr>
              <w:t>JIH NI</w:t>
            </w:r>
          </w:p>
        </w:tc>
        <w:tc>
          <w:tcPr>
            <w:tcW w:w="850" w:type="dxa"/>
            <w:shd w:val="clear" w:color="auto" w:fill="C6EFCE"/>
            <w:noWrap/>
            <w:vAlign w:val="center"/>
          </w:tcPr>
          <w:p w14:paraId="648F442F" w14:textId="77777777" w:rsidR="00154E32" w:rsidRDefault="00A43E04">
            <w:pPr>
              <w:pStyle w:val="P68B1DB1-Normal5"/>
              <w:jc w:val="center"/>
              <w:rPr>
                <w:noProof/>
              </w:rPr>
            </w:pPr>
            <w:r>
              <w:rPr>
                <w:noProof/>
              </w:rPr>
              <w:t>ČETRTLETJE 1</w:t>
            </w:r>
          </w:p>
        </w:tc>
        <w:tc>
          <w:tcPr>
            <w:tcW w:w="709" w:type="dxa"/>
            <w:shd w:val="clear" w:color="auto" w:fill="C6EFCE"/>
            <w:noWrap/>
            <w:vAlign w:val="center"/>
          </w:tcPr>
          <w:p w14:paraId="6737ABB8" w14:textId="77777777" w:rsidR="00154E32" w:rsidRDefault="00A43E04">
            <w:pPr>
              <w:pStyle w:val="P68B1DB1-Normal5"/>
              <w:jc w:val="center"/>
              <w:rPr>
                <w:noProof/>
              </w:rPr>
            </w:pPr>
            <w:r>
              <w:rPr>
                <w:noProof/>
              </w:rPr>
              <w:t>2025</w:t>
            </w:r>
          </w:p>
        </w:tc>
        <w:tc>
          <w:tcPr>
            <w:tcW w:w="2835" w:type="dxa"/>
            <w:shd w:val="clear" w:color="auto" w:fill="C6EFCE"/>
            <w:noWrap/>
            <w:vAlign w:val="center"/>
          </w:tcPr>
          <w:p w14:paraId="5DC39A38" w14:textId="77777777" w:rsidR="00154E32" w:rsidRDefault="00A43E04">
            <w:pPr>
              <w:pStyle w:val="P68B1DB1-Normal5"/>
              <w:spacing w:after="120"/>
              <w:rPr>
                <w:noProof/>
              </w:rPr>
            </w:pPr>
            <w:r>
              <w:rPr>
                <w:noProof/>
              </w:rPr>
              <w:t>Mejnik se nanaša na izvajanje drugega vala sedmih pilotnih projektov, namenjenih preskušanju mobilnosti kot storitvenih rešitev na področjih spremljanja.</w:t>
            </w:r>
          </w:p>
          <w:p w14:paraId="34003128" w14:textId="77777777" w:rsidR="00154E32" w:rsidRDefault="00A43E04">
            <w:pPr>
              <w:pStyle w:val="P68B1DB1-Normal5"/>
              <w:spacing w:after="120"/>
              <w:rPr>
                <w:noProof/>
              </w:rPr>
            </w:pPr>
            <w:r>
              <w:rPr>
                <w:noProof/>
              </w:rPr>
              <w:t>Občine naj bi izkoristile izkušnje metropolitanskih mest, ki so pripravljena na digitalno tehnologijo in so bila izbrana v prvem valu. 40 % pilotnih projektov se izvaja na jugu.</w:t>
            </w:r>
          </w:p>
        </w:tc>
      </w:tr>
      <w:tr w:rsidR="00154E32" w14:paraId="478D9BCD" w14:textId="77777777">
        <w:trPr>
          <w:trHeight w:val="309"/>
        </w:trPr>
        <w:tc>
          <w:tcPr>
            <w:tcW w:w="1253" w:type="dxa"/>
            <w:shd w:val="clear" w:color="auto" w:fill="C6EFCE"/>
            <w:noWrap/>
            <w:vAlign w:val="center"/>
          </w:tcPr>
          <w:p w14:paraId="4531755B" w14:textId="77777777" w:rsidR="00154E32" w:rsidRDefault="00A43E04">
            <w:pPr>
              <w:pStyle w:val="P68B1DB1-Normal5"/>
              <w:jc w:val="center"/>
              <w:rPr>
                <w:noProof/>
              </w:rPr>
            </w:pPr>
            <w:r>
              <w:rPr>
                <w:noProof/>
              </w:rPr>
              <w:t>M1C1–24</w:t>
            </w:r>
          </w:p>
        </w:tc>
        <w:tc>
          <w:tcPr>
            <w:tcW w:w="1568" w:type="dxa"/>
            <w:shd w:val="clear" w:color="auto" w:fill="C6EFCE"/>
            <w:noWrap/>
            <w:vAlign w:val="center"/>
          </w:tcPr>
          <w:p w14:paraId="03697DDF" w14:textId="7CDC1D1D" w:rsidR="00154E32" w:rsidRDefault="00A43E04">
            <w:pPr>
              <w:pStyle w:val="P68B1DB1-Normal5"/>
              <w:jc w:val="center"/>
              <w:rPr>
                <w:noProof/>
              </w:rPr>
            </w:pPr>
            <w:r>
              <w:rPr>
                <w:noProof/>
              </w:rPr>
              <w:t>Naložba 1.7.1: Digitalna javna uprava</w:t>
            </w:r>
          </w:p>
        </w:tc>
        <w:tc>
          <w:tcPr>
            <w:tcW w:w="1148" w:type="dxa"/>
            <w:shd w:val="clear" w:color="auto" w:fill="C6EFCE"/>
            <w:noWrap/>
            <w:vAlign w:val="center"/>
          </w:tcPr>
          <w:p w14:paraId="010E7A4E" w14:textId="77777777" w:rsidR="00154E32" w:rsidRDefault="00A43E04">
            <w:pPr>
              <w:pStyle w:val="P68B1DB1-Normal5"/>
              <w:jc w:val="center"/>
              <w:rPr>
                <w:noProof/>
              </w:rPr>
            </w:pPr>
            <w:r>
              <w:rPr>
                <w:noProof/>
              </w:rPr>
              <w:t>Tarča</w:t>
            </w:r>
          </w:p>
        </w:tc>
        <w:tc>
          <w:tcPr>
            <w:tcW w:w="1470" w:type="dxa"/>
            <w:shd w:val="clear" w:color="auto" w:fill="C6EFCE"/>
            <w:noWrap/>
            <w:vAlign w:val="center"/>
          </w:tcPr>
          <w:p w14:paraId="2376AED8" w14:textId="360A3DB3" w:rsidR="00154E32" w:rsidRDefault="00A43E04">
            <w:pPr>
              <w:pStyle w:val="P68B1DB1-Normal5"/>
              <w:jc w:val="center"/>
              <w:rPr>
                <w:noProof/>
              </w:rPr>
            </w:pPr>
            <w:r>
              <w:rPr>
                <w:noProof/>
              </w:rPr>
              <w:t xml:space="preserve">Državljani, ki sodelujejo v pobudah za digitalno izobraževanje in/ali pomoč, ki jih zagotavljajo organizacije, vpisane v nacionalni register organizacij za univerzalno javno službo </w:t>
            </w:r>
          </w:p>
        </w:tc>
        <w:tc>
          <w:tcPr>
            <w:tcW w:w="1701" w:type="dxa"/>
            <w:shd w:val="clear" w:color="auto" w:fill="C6EFCE"/>
            <w:noWrap/>
            <w:vAlign w:val="center"/>
          </w:tcPr>
          <w:p w14:paraId="1B1E6A44" w14:textId="77777777" w:rsidR="00154E32" w:rsidRDefault="00A43E04">
            <w:pPr>
              <w:pStyle w:val="P68B1DB1-Normal5"/>
              <w:jc w:val="center"/>
              <w:rPr>
                <w:noProof/>
              </w:rPr>
            </w:pPr>
            <w:r>
              <w:rPr>
                <w:noProof/>
              </w:rPr>
              <w:t>JIH NI</w:t>
            </w:r>
          </w:p>
        </w:tc>
        <w:tc>
          <w:tcPr>
            <w:tcW w:w="1134" w:type="dxa"/>
            <w:shd w:val="clear" w:color="auto" w:fill="C6EFCE"/>
            <w:noWrap/>
            <w:vAlign w:val="center"/>
          </w:tcPr>
          <w:p w14:paraId="78DF70DA" w14:textId="77777777" w:rsidR="00154E32" w:rsidRDefault="00A43E04">
            <w:pPr>
              <w:pStyle w:val="P68B1DB1-Normal5"/>
              <w:jc w:val="center"/>
              <w:rPr>
                <w:noProof/>
              </w:rPr>
            </w:pPr>
            <w:r>
              <w:rPr>
                <w:noProof/>
              </w:rPr>
              <w:t>Število</w:t>
            </w:r>
          </w:p>
        </w:tc>
        <w:tc>
          <w:tcPr>
            <w:tcW w:w="1417" w:type="dxa"/>
            <w:shd w:val="clear" w:color="auto" w:fill="C6EFCE"/>
            <w:noWrap/>
            <w:vAlign w:val="center"/>
          </w:tcPr>
          <w:p w14:paraId="2EF961F5" w14:textId="77777777" w:rsidR="00154E32" w:rsidRDefault="00A43E04">
            <w:pPr>
              <w:pStyle w:val="P68B1DB1-Normal5"/>
              <w:jc w:val="center"/>
              <w:rPr>
                <w:noProof/>
              </w:rPr>
            </w:pPr>
            <w:r>
              <w:rPr>
                <w:noProof/>
              </w:rPr>
              <w:t>0</w:t>
            </w:r>
          </w:p>
        </w:tc>
        <w:tc>
          <w:tcPr>
            <w:tcW w:w="1276" w:type="dxa"/>
            <w:shd w:val="clear" w:color="auto" w:fill="C6EFCE"/>
            <w:noWrap/>
            <w:vAlign w:val="center"/>
          </w:tcPr>
          <w:p w14:paraId="302FAE86" w14:textId="77777777" w:rsidR="00154E32" w:rsidRDefault="00A43E04">
            <w:pPr>
              <w:pStyle w:val="P68B1DB1-Normal5"/>
              <w:jc w:val="center"/>
              <w:rPr>
                <w:noProof/>
              </w:rPr>
            </w:pPr>
            <w:r>
              <w:rPr>
                <w:noProof/>
              </w:rPr>
              <w:t>700 000</w:t>
            </w:r>
          </w:p>
        </w:tc>
        <w:tc>
          <w:tcPr>
            <w:tcW w:w="850" w:type="dxa"/>
            <w:shd w:val="clear" w:color="auto" w:fill="C6EFCE"/>
            <w:noWrap/>
            <w:vAlign w:val="center"/>
          </w:tcPr>
          <w:p w14:paraId="30471F33" w14:textId="77777777" w:rsidR="00154E32" w:rsidRDefault="00A43E04">
            <w:pPr>
              <w:pStyle w:val="P68B1DB1-Normal5"/>
              <w:jc w:val="center"/>
              <w:rPr>
                <w:noProof/>
              </w:rPr>
            </w:pPr>
            <w:r>
              <w:rPr>
                <w:noProof/>
              </w:rPr>
              <w:t>Q4</w:t>
            </w:r>
          </w:p>
        </w:tc>
        <w:tc>
          <w:tcPr>
            <w:tcW w:w="709" w:type="dxa"/>
            <w:shd w:val="clear" w:color="auto" w:fill="C6EFCE"/>
            <w:noWrap/>
            <w:vAlign w:val="center"/>
          </w:tcPr>
          <w:p w14:paraId="3384BD2C" w14:textId="77777777" w:rsidR="00154E32" w:rsidRDefault="00A43E04">
            <w:pPr>
              <w:pStyle w:val="P68B1DB1-Normal5"/>
              <w:jc w:val="center"/>
              <w:rPr>
                <w:noProof/>
              </w:rPr>
            </w:pPr>
            <w:r>
              <w:rPr>
                <w:noProof/>
              </w:rPr>
              <w:t>2025</w:t>
            </w:r>
          </w:p>
        </w:tc>
        <w:tc>
          <w:tcPr>
            <w:tcW w:w="2835" w:type="dxa"/>
            <w:shd w:val="clear" w:color="auto" w:fill="C6EFCE"/>
            <w:noWrap/>
            <w:vAlign w:val="center"/>
          </w:tcPr>
          <w:p w14:paraId="065A0C11" w14:textId="2F52883A" w:rsidR="00154E32" w:rsidRDefault="00A43E04">
            <w:pPr>
              <w:pStyle w:val="P68B1DB1-Normal5"/>
              <w:rPr>
                <w:noProof/>
              </w:rPr>
            </w:pPr>
            <w:r>
              <w:rPr>
                <w:noProof/>
              </w:rPr>
              <w:t>Vsaj 700000 pobud za digitalno izobraževanje in/ali spodbujanje, ki vključujejo državljane in jih izvajajo organizacije, vpisane v nacionalni register organizacij za univerzalno javno službo.</w:t>
            </w:r>
          </w:p>
        </w:tc>
      </w:tr>
      <w:tr w:rsidR="00154E32" w14:paraId="35F80035" w14:textId="77777777">
        <w:trPr>
          <w:trHeight w:val="309"/>
        </w:trPr>
        <w:tc>
          <w:tcPr>
            <w:tcW w:w="1253" w:type="dxa"/>
            <w:shd w:val="clear" w:color="auto" w:fill="C6EFCE"/>
            <w:noWrap/>
            <w:vAlign w:val="center"/>
          </w:tcPr>
          <w:p w14:paraId="1E9EE715" w14:textId="77777777" w:rsidR="00154E32" w:rsidRDefault="00A43E04">
            <w:pPr>
              <w:pStyle w:val="P68B1DB1-Normal5"/>
              <w:jc w:val="center"/>
              <w:rPr>
                <w:noProof/>
              </w:rPr>
            </w:pPr>
            <w:r>
              <w:rPr>
                <w:noProof/>
              </w:rPr>
              <w:t>M1C1–25</w:t>
            </w:r>
          </w:p>
        </w:tc>
        <w:tc>
          <w:tcPr>
            <w:tcW w:w="1568" w:type="dxa"/>
            <w:shd w:val="clear" w:color="auto" w:fill="C6EFCE"/>
            <w:noWrap/>
            <w:vAlign w:val="center"/>
          </w:tcPr>
          <w:p w14:paraId="5113E1C7" w14:textId="77777777" w:rsidR="00154E32" w:rsidRDefault="00A43E04">
            <w:pPr>
              <w:pStyle w:val="P68B1DB1-Normal5"/>
              <w:jc w:val="center"/>
              <w:rPr>
                <w:noProof/>
              </w:rPr>
            </w:pPr>
            <w:r>
              <w:rPr>
                <w:noProof/>
              </w:rPr>
              <w:t>Naložba 1.6.6: Digitalizacija finančne policije</w:t>
            </w:r>
          </w:p>
        </w:tc>
        <w:tc>
          <w:tcPr>
            <w:tcW w:w="1148" w:type="dxa"/>
            <w:shd w:val="clear" w:color="auto" w:fill="C6EFCE"/>
            <w:noWrap/>
            <w:vAlign w:val="center"/>
          </w:tcPr>
          <w:p w14:paraId="02C95E45" w14:textId="77777777" w:rsidR="00154E32" w:rsidRDefault="00A43E04">
            <w:pPr>
              <w:pStyle w:val="P68B1DB1-Normal5"/>
              <w:jc w:val="center"/>
              <w:rPr>
                <w:noProof/>
              </w:rPr>
            </w:pPr>
            <w:r>
              <w:rPr>
                <w:noProof/>
              </w:rPr>
              <w:t>Mejnik</w:t>
            </w:r>
          </w:p>
        </w:tc>
        <w:tc>
          <w:tcPr>
            <w:tcW w:w="1470" w:type="dxa"/>
            <w:shd w:val="clear" w:color="auto" w:fill="C6EFCE"/>
            <w:noWrap/>
            <w:vAlign w:val="center"/>
          </w:tcPr>
          <w:p w14:paraId="023241C8" w14:textId="77777777" w:rsidR="00154E32" w:rsidRDefault="00A43E04">
            <w:pPr>
              <w:pStyle w:val="P68B1DB1-Normal5"/>
              <w:jc w:val="center"/>
              <w:rPr>
                <w:noProof/>
              </w:rPr>
            </w:pPr>
            <w:r>
              <w:rPr>
                <w:noProof/>
              </w:rPr>
              <w:t>Razvoj operativnih informacijskih sistemov, ki se uporabljajo za boj proti gospodarskemu kriminalu</w:t>
            </w:r>
          </w:p>
        </w:tc>
        <w:tc>
          <w:tcPr>
            <w:tcW w:w="1701" w:type="dxa"/>
            <w:shd w:val="clear" w:color="auto" w:fill="C6EFCE"/>
            <w:noWrap/>
            <w:vAlign w:val="center"/>
          </w:tcPr>
          <w:p w14:paraId="5D12386D" w14:textId="77777777" w:rsidR="00154E32" w:rsidRDefault="00A43E04">
            <w:pPr>
              <w:pStyle w:val="P68B1DB1-Normal5"/>
              <w:jc w:val="center"/>
              <w:rPr>
                <w:noProof/>
              </w:rPr>
            </w:pPr>
            <w:r>
              <w:rPr>
                <w:noProof/>
              </w:rPr>
              <w:t>Izboljšanje informacijskih sistemov v smislu novih funkcionalnosti, zmogljivosti in uporabniške izkušnje</w:t>
            </w:r>
          </w:p>
        </w:tc>
        <w:tc>
          <w:tcPr>
            <w:tcW w:w="1134" w:type="dxa"/>
            <w:shd w:val="clear" w:color="auto" w:fill="C6EFCE"/>
            <w:noWrap/>
            <w:vAlign w:val="center"/>
          </w:tcPr>
          <w:p w14:paraId="1F0B82DD" w14:textId="77777777" w:rsidR="00154E32" w:rsidRDefault="00A43E04">
            <w:pPr>
              <w:pStyle w:val="P68B1DB1-Normal5"/>
              <w:jc w:val="center"/>
              <w:rPr>
                <w:noProof/>
              </w:rPr>
            </w:pPr>
            <w:r>
              <w:rPr>
                <w:noProof/>
              </w:rPr>
              <w:t>JIH NI</w:t>
            </w:r>
          </w:p>
        </w:tc>
        <w:tc>
          <w:tcPr>
            <w:tcW w:w="1417" w:type="dxa"/>
            <w:shd w:val="clear" w:color="auto" w:fill="C6EFCE"/>
            <w:noWrap/>
            <w:vAlign w:val="center"/>
          </w:tcPr>
          <w:p w14:paraId="17A81F3F" w14:textId="77777777" w:rsidR="00154E32" w:rsidRDefault="00A43E04">
            <w:pPr>
              <w:pStyle w:val="P68B1DB1-Normal5"/>
              <w:jc w:val="center"/>
              <w:rPr>
                <w:noProof/>
              </w:rPr>
            </w:pPr>
            <w:r>
              <w:rPr>
                <w:noProof/>
              </w:rPr>
              <w:t>JIH NI</w:t>
            </w:r>
          </w:p>
        </w:tc>
        <w:tc>
          <w:tcPr>
            <w:tcW w:w="1276" w:type="dxa"/>
            <w:shd w:val="clear" w:color="auto" w:fill="C6EFCE"/>
            <w:noWrap/>
            <w:vAlign w:val="center"/>
          </w:tcPr>
          <w:p w14:paraId="27C367E4" w14:textId="77777777" w:rsidR="00154E32" w:rsidRDefault="00A43E04">
            <w:pPr>
              <w:pStyle w:val="P68B1DB1-Normal5"/>
              <w:jc w:val="center"/>
              <w:rPr>
                <w:noProof/>
              </w:rPr>
            </w:pPr>
            <w:r>
              <w:rPr>
                <w:noProof/>
              </w:rPr>
              <w:t>JIH NI</w:t>
            </w:r>
          </w:p>
        </w:tc>
        <w:tc>
          <w:tcPr>
            <w:tcW w:w="850" w:type="dxa"/>
            <w:shd w:val="clear" w:color="auto" w:fill="C6EFCE"/>
            <w:noWrap/>
            <w:vAlign w:val="center"/>
          </w:tcPr>
          <w:p w14:paraId="0E754B8E" w14:textId="77777777" w:rsidR="00154E32" w:rsidRDefault="00A43E04">
            <w:pPr>
              <w:pStyle w:val="P68B1DB1-Normal5"/>
              <w:jc w:val="center"/>
              <w:rPr>
                <w:noProof/>
              </w:rPr>
            </w:pPr>
            <w:r>
              <w:rPr>
                <w:noProof/>
              </w:rPr>
              <w:t>Q2</w:t>
            </w:r>
          </w:p>
        </w:tc>
        <w:tc>
          <w:tcPr>
            <w:tcW w:w="709" w:type="dxa"/>
            <w:shd w:val="clear" w:color="auto" w:fill="C6EFCE"/>
            <w:noWrap/>
            <w:vAlign w:val="center"/>
          </w:tcPr>
          <w:p w14:paraId="44E04321" w14:textId="77777777" w:rsidR="00154E32" w:rsidRDefault="00A43E04">
            <w:pPr>
              <w:pStyle w:val="P68B1DB1-Normal5"/>
              <w:jc w:val="center"/>
              <w:rPr>
                <w:noProof/>
              </w:rPr>
            </w:pPr>
            <w:r>
              <w:rPr>
                <w:noProof/>
              </w:rPr>
              <w:t>2025</w:t>
            </w:r>
          </w:p>
        </w:tc>
        <w:tc>
          <w:tcPr>
            <w:tcW w:w="2835" w:type="dxa"/>
            <w:shd w:val="clear" w:color="auto" w:fill="C6EFCE"/>
            <w:noWrap/>
            <w:vAlign w:val="center"/>
          </w:tcPr>
          <w:p w14:paraId="6A7C19D5" w14:textId="77777777" w:rsidR="00154E32" w:rsidRDefault="00A43E04">
            <w:pPr>
              <w:pStyle w:val="P68B1DB1-Normal5"/>
              <w:rPr>
                <w:noProof/>
              </w:rPr>
            </w:pPr>
            <w:r>
              <w:rPr>
                <w:noProof/>
              </w:rPr>
              <w:t>Postopno (vsako leto) novih funkcij operativnih informacijskih sistemov, da se zagotovi njihova aktualnost v skladu s hitro spreminjajočimi se pravnimi scenariji, tudi v zvezi s pandemičnimi razmerami.</w:t>
            </w:r>
          </w:p>
        </w:tc>
      </w:tr>
      <w:tr w:rsidR="00154E32" w14:paraId="0A2F7A5B" w14:textId="77777777">
        <w:trPr>
          <w:trHeight w:val="309"/>
        </w:trPr>
        <w:tc>
          <w:tcPr>
            <w:tcW w:w="1253" w:type="dxa"/>
            <w:shd w:val="clear" w:color="auto" w:fill="C6EFCE"/>
            <w:noWrap/>
            <w:vAlign w:val="center"/>
            <w:hideMark/>
          </w:tcPr>
          <w:p w14:paraId="062CC674" w14:textId="77777777" w:rsidR="00154E32" w:rsidRDefault="00A43E04">
            <w:pPr>
              <w:pStyle w:val="P68B1DB1-Normal5"/>
              <w:jc w:val="center"/>
              <w:rPr>
                <w:noProof/>
              </w:rPr>
            </w:pPr>
            <w:r>
              <w:rPr>
                <w:noProof/>
              </w:rPr>
              <w:t>M1C1–26</w:t>
            </w:r>
          </w:p>
        </w:tc>
        <w:tc>
          <w:tcPr>
            <w:tcW w:w="1568" w:type="dxa"/>
            <w:shd w:val="clear" w:color="auto" w:fill="C6EFCE"/>
            <w:noWrap/>
            <w:vAlign w:val="center"/>
            <w:hideMark/>
          </w:tcPr>
          <w:p w14:paraId="7EC5F168" w14:textId="77777777" w:rsidR="00154E32" w:rsidRDefault="00A43E04">
            <w:pPr>
              <w:pStyle w:val="P68B1DB1-Normal5"/>
              <w:jc w:val="center"/>
              <w:rPr>
                <w:noProof/>
              </w:rPr>
            </w:pPr>
            <w:r>
              <w:rPr>
                <w:noProof/>
              </w:rPr>
              <w:t>Naložba 1.1: Digitalna infrastruktura</w:t>
            </w:r>
          </w:p>
        </w:tc>
        <w:tc>
          <w:tcPr>
            <w:tcW w:w="1148" w:type="dxa"/>
            <w:shd w:val="clear" w:color="auto" w:fill="C6EFCE"/>
            <w:noWrap/>
            <w:vAlign w:val="center"/>
            <w:hideMark/>
          </w:tcPr>
          <w:p w14:paraId="0ACB1580" w14:textId="77777777" w:rsidR="00154E32" w:rsidRDefault="00A43E04">
            <w:pPr>
              <w:pStyle w:val="P68B1DB1-Normal5"/>
              <w:jc w:val="center"/>
              <w:rPr>
                <w:noProof/>
              </w:rPr>
            </w:pPr>
            <w:r>
              <w:rPr>
                <w:noProof/>
              </w:rPr>
              <w:t>Tarča</w:t>
            </w:r>
          </w:p>
        </w:tc>
        <w:tc>
          <w:tcPr>
            <w:tcW w:w="1470" w:type="dxa"/>
            <w:shd w:val="clear" w:color="auto" w:fill="C6EFCE"/>
            <w:noWrap/>
            <w:vAlign w:val="center"/>
            <w:hideMark/>
          </w:tcPr>
          <w:p w14:paraId="2C048693" w14:textId="77777777" w:rsidR="00154E32" w:rsidRDefault="00A43E04">
            <w:pPr>
              <w:pStyle w:val="P68B1DB1-Normal5"/>
              <w:jc w:val="center"/>
              <w:rPr>
                <w:noProof/>
              </w:rPr>
            </w:pPr>
            <w:r>
              <w:rPr>
                <w:noProof/>
              </w:rPr>
              <w:t>Migracije v Polo Strategico Nazionale T2</w:t>
            </w:r>
          </w:p>
        </w:tc>
        <w:tc>
          <w:tcPr>
            <w:tcW w:w="1701" w:type="dxa"/>
            <w:shd w:val="clear" w:color="auto" w:fill="C6EFCE"/>
            <w:noWrap/>
            <w:vAlign w:val="center"/>
            <w:hideMark/>
          </w:tcPr>
          <w:p w14:paraId="44AB7C49" w14:textId="77777777" w:rsidR="00154E32" w:rsidRDefault="00A43E04">
            <w:pPr>
              <w:pStyle w:val="P68B1DB1-Normal5"/>
              <w:jc w:val="center"/>
              <w:rPr>
                <w:noProof/>
              </w:rPr>
            </w:pPr>
            <w:r>
              <w:rPr>
                <w:noProof/>
              </w:rPr>
              <w:t>JIH NI</w:t>
            </w:r>
          </w:p>
        </w:tc>
        <w:tc>
          <w:tcPr>
            <w:tcW w:w="1134" w:type="dxa"/>
            <w:shd w:val="clear" w:color="auto" w:fill="C6EFCE"/>
            <w:noWrap/>
            <w:vAlign w:val="center"/>
            <w:hideMark/>
          </w:tcPr>
          <w:p w14:paraId="01CBCFEB" w14:textId="77777777" w:rsidR="00154E32" w:rsidRDefault="00A43E04">
            <w:pPr>
              <w:pStyle w:val="P68B1DB1-Normal5"/>
              <w:jc w:val="center"/>
              <w:rPr>
                <w:noProof/>
              </w:rPr>
            </w:pPr>
            <w:r>
              <w:rPr>
                <w:noProof/>
              </w:rPr>
              <w:t>Število</w:t>
            </w:r>
          </w:p>
        </w:tc>
        <w:tc>
          <w:tcPr>
            <w:tcW w:w="1417" w:type="dxa"/>
            <w:shd w:val="clear" w:color="auto" w:fill="C6EFCE"/>
            <w:noWrap/>
            <w:vAlign w:val="center"/>
            <w:hideMark/>
          </w:tcPr>
          <w:p w14:paraId="02F42438" w14:textId="77777777" w:rsidR="00154E32" w:rsidRDefault="00A43E04">
            <w:pPr>
              <w:pStyle w:val="P68B1DB1-Normal5"/>
              <w:jc w:val="center"/>
              <w:rPr>
                <w:noProof/>
              </w:rPr>
            </w:pPr>
            <w:r>
              <w:rPr>
                <w:noProof/>
              </w:rPr>
              <w:t>100</w:t>
            </w:r>
          </w:p>
        </w:tc>
        <w:tc>
          <w:tcPr>
            <w:tcW w:w="1276" w:type="dxa"/>
            <w:shd w:val="clear" w:color="auto" w:fill="C6EFCE"/>
            <w:noWrap/>
            <w:vAlign w:val="center"/>
            <w:hideMark/>
          </w:tcPr>
          <w:p w14:paraId="6B1E3483" w14:textId="77777777" w:rsidR="00154E32" w:rsidRDefault="00A43E04">
            <w:pPr>
              <w:pStyle w:val="P68B1DB1-Normal5"/>
              <w:jc w:val="center"/>
              <w:rPr>
                <w:noProof/>
              </w:rPr>
            </w:pPr>
            <w:r>
              <w:rPr>
                <w:noProof/>
              </w:rPr>
              <w:t>280</w:t>
            </w:r>
          </w:p>
        </w:tc>
        <w:tc>
          <w:tcPr>
            <w:tcW w:w="850" w:type="dxa"/>
            <w:shd w:val="clear" w:color="auto" w:fill="C6EFCE"/>
            <w:noWrap/>
            <w:vAlign w:val="center"/>
            <w:hideMark/>
          </w:tcPr>
          <w:p w14:paraId="00D170F6" w14:textId="77777777" w:rsidR="00154E32" w:rsidRDefault="00A43E04">
            <w:pPr>
              <w:pStyle w:val="P68B1DB1-Normal5"/>
              <w:jc w:val="center"/>
              <w:rPr>
                <w:noProof/>
              </w:rPr>
            </w:pPr>
            <w:r>
              <w:rPr>
                <w:noProof/>
              </w:rPr>
              <w:t>Q2</w:t>
            </w:r>
          </w:p>
        </w:tc>
        <w:tc>
          <w:tcPr>
            <w:tcW w:w="709" w:type="dxa"/>
            <w:shd w:val="clear" w:color="auto" w:fill="C6EFCE"/>
            <w:noWrap/>
            <w:vAlign w:val="center"/>
            <w:hideMark/>
          </w:tcPr>
          <w:p w14:paraId="7DE74470" w14:textId="77777777" w:rsidR="00154E32" w:rsidRDefault="00A43E04">
            <w:pPr>
              <w:pStyle w:val="P68B1DB1-Normal5"/>
              <w:jc w:val="center"/>
              <w:rPr>
                <w:noProof/>
              </w:rPr>
            </w:pPr>
            <w:r>
              <w:rPr>
                <w:noProof/>
              </w:rPr>
              <w:t>2026</w:t>
            </w:r>
          </w:p>
        </w:tc>
        <w:tc>
          <w:tcPr>
            <w:tcW w:w="2835" w:type="dxa"/>
            <w:shd w:val="clear" w:color="auto" w:fill="C6EFCE"/>
            <w:noWrap/>
            <w:vAlign w:val="center"/>
            <w:hideMark/>
          </w:tcPr>
          <w:p w14:paraId="37D8573F" w14:textId="77777777" w:rsidR="00154E32" w:rsidRDefault="00A43E04">
            <w:pPr>
              <w:pStyle w:val="P68B1DB1-Normal4"/>
              <w:spacing w:after="120"/>
              <w:rPr>
                <w:noProof/>
                <w:color w:val="006100"/>
              </w:rPr>
            </w:pPr>
            <w:r>
              <w:rPr>
                <w:noProof/>
                <w:color w:val="006100"/>
              </w:rPr>
              <w:t>Vsaj 280 centralnih javnih uprav in lokalnih organov za zdravstveno varstvo (Aziende Sanitarie Locali) se je preselilo v „Polo Strategico Nazionale“</w:t>
            </w:r>
            <w:r>
              <w:rPr>
                <w:noProof/>
              </w:rPr>
              <w:t xml:space="preserve"> </w:t>
            </w:r>
            <w:r>
              <w:rPr>
                <w:noProof/>
                <w:color w:val="006100"/>
              </w:rPr>
              <w:t xml:space="preserve">v skladu z načrtom za migracijo, ki ga je odobril oddelek za digitalno preobrazbo. </w:t>
            </w:r>
          </w:p>
          <w:p w14:paraId="3B80004E" w14:textId="77777777" w:rsidR="00154E32" w:rsidRDefault="00A43E04">
            <w:pPr>
              <w:pStyle w:val="P68B1DB1-Normal5"/>
              <w:spacing w:after="120"/>
              <w:rPr>
                <w:noProof/>
              </w:rPr>
            </w:pPr>
            <w:r>
              <w:rPr>
                <w:noProof/>
              </w:rPr>
              <w:t xml:space="preserve">Migracija na Polo Strategico Nazionale se lahko izvede na različne načine v skladu z najsodobnejšo arhitekturo IT programske opreme, ki je v lasti vsake od migracijskih javnih uprav. </w:t>
            </w:r>
          </w:p>
          <w:p w14:paraId="2C3969F0" w14:textId="0197E6DB" w:rsidR="00154E32" w:rsidRDefault="00A43E04">
            <w:pPr>
              <w:pStyle w:val="P68B1DB1-Normal5"/>
              <w:spacing w:after="120"/>
              <w:rPr>
                <w:noProof/>
              </w:rPr>
            </w:pPr>
            <w:r>
              <w:rPr>
                <w:noProof/>
              </w:rPr>
              <w:t xml:space="preserve">Te strategije se lahko razlikujejo od gostovanja ter migracij dvigal in izmen za programsko opremo, ki ni pripravljena za računalništvo v oblaku, do prehoda na infrastrukturo kot storitev (IaaS), platformo kot storitev (PaaS) ali programsko opremo kot storitev (SaaS) za programsko opremo, pripravljeno v oblaku. </w:t>
            </w:r>
          </w:p>
          <w:p w14:paraId="31A1D4C2" w14:textId="6A21A4C7" w:rsidR="00154E32" w:rsidRDefault="00A43E04">
            <w:pPr>
              <w:pStyle w:val="P68B1DB1-Normal5"/>
              <w:spacing w:after="120"/>
              <w:rPr>
                <w:noProof/>
              </w:rPr>
            </w:pPr>
            <w:r>
              <w:rPr>
                <w:noProof/>
              </w:rPr>
              <w:t>Vsaj 40 % migriranih storitev se izvaja z rešitvami IaaS, PaaS ali SaaS.</w:t>
            </w:r>
          </w:p>
          <w:p w14:paraId="286BF5A3" w14:textId="77777777" w:rsidR="00154E32" w:rsidRDefault="00A43E04">
            <w:pPr>
              <w:pStyle w:val="P68B1DB1-Normal5"/>
              <w:spacing w:after="120"/>
              <w:rPr>
                <w:noProof/>
              </w:rPr>
            </w:pPr>
            <w:r>
              <w:rPr>
                <w:noProof/>
              </w:rPr>
              <w:t>PSN vsaki selitvi javni upravi ponudi vse migracijske strategije, ki so upravičene do upoštevanja doseženega cilja „migracije v Polo Strategico Nazionale“.</w:t>
            </w:r>
          </w:p>
          <w:p w14:paraId="50BB3BEA" w14:textId="77777777" w:rsidR="00154E32" w:rsidRDefault="00A43E04">
            <w:pPr>
              <w:pStyle w:val="P68B1DB1-Normal5"/>
              <w:spacing w:after="120"/>
              <w:rPr>
                <w:noProof/>
              </w:rPr>
            </w:pPr>
            <w:r>
              <w:rPr>
                <w:noProof/>
              </w:rPr>
              <w:t>Skupne „v obsegu“ javne uprave vključujejo:</w:t>
            </w:r>
          </w:p>
          <w:p w14:paraId="39F667B6" w14:textId="77777777" w:rsidR="00154E32" w:rsidRDefault="00A43E04">
            <w:pPr>
              <w:pStyle w:val="P68B1DB1-Normal5"/>
              <w:spacing w:after="120"/>
              <w:rPr>
                <w:noProof/>
              </w:rPr>
            </w:pPr>
            <w:r>
              <w:rPr>
                <w:noProof/>
              </w:rPr>
              <w:t>• Osrednje javne uprave, ki predstavljajo največji delež porabe za informacijske in komunikacijske tehnologije (IKT) (kot je Nacionalni inštitut za socialno varnost, ministrstvo za pravosodje);</w:t>
            </w:r>
          </w:p>
          <w:p w14:paraId="3CF57394" w14:textId="77777777" w:rsidR="00154E32" w:rsidRDefault="00A43E04">
            <w:pPr>
              <w:pStyle w:val="P68B1DB1-Normal5"/>
              <w:spacing w:after="120"/>
              <w:rPr>
                <w:noProof/>
              </w:rPr>
            </w:pPr>
            <w:r>
              <w:rPr>
                <w:noProof/>
              </w:rPr>
              <w:t>• Osrednje javne uprave, ki gostijo podatke v zastarelih podatkovnih centrih v skladu z nedavno raziskavo o pripravljenosti na računalništvo v oblaku;</w:t>
            </w:r>
          </w:p>
          <w:p w14:paraId="2F5FD307" w14:textId="77777777" w:rsidR="00154E32" w:rsidRDefault="00A43E04">
            <w:pPr>
              <w:pStyle w:val="P68B1DB1-Normal5"/>
              <w:spacing w:after="120"/>
              <w:rPr>
                <w:noProof/>
              </w:rPr>
            </w:pPr>
            <w:r>
              <w:rPr>
                <w:noProof/>
              </w:rPr>
              <w:t>• Lokalni organi za zdravstveno varstvo (Aziende Sanitarie Locali), ki se nahajajo predvsem v osrednji in južni Italiji ter nimajo ustrezne infrastrukture za zagotavljanje varnosti podatkov.</w:t>
            </w:r>
          </w:p>
        </w:tc>
      </w:tr>
      <w:tr w:rsidR="00154E32" w14:paraId="281E3311" w14:textId="77777777">
        <w:trPr>
          <w:trHeight w:val="309"/>
        </w:trPr>
        <w:tc>
          <w:tcPr>
            <w:tcW w:w="1253" w:type="dxa"/>
            <w:shd w:val="clear" w:color="auto" w:fill="C6EFCE"/>
            <w:noWrap/>
            <w:vAlign w:val="center"/>
          </w:tcPr>
          <w:p w14:paraId="5A759B1F" w14:textId="77777777" w:rsidR="00154E32" w:rsidRDefault="00A43E04">
            <w:pPr>
              <w:pStyle w:val="P68B1DB1-Normal5"/>
              <w:jc w:val="center"/>
              <w:rPr>
                <w:noProof/>
              </w:rPr>
            </w:pPr>
            <w:r>
              <w:rPr>
                <w:noProof/>
              </w:rPr>
              <w:t>M1C1–27</w:t>
            </w:r>
          </w:p>
        </w:tc>
        <w:tc>
          <w:tcPr>
            <w:tcW w:w="1568" w:type="dxa"/>
            <w:shd w:val="clear" w:color="auto" w:fill="C6EFCE"/>
            <w:noWrap/>
            <w:vAlign w:val="center"/>
          </w:tcPr>
          <w:p w14:paraId="099DFB04" w14:textId="1151DE24" w:rsidR="00154E32" w:rsidRDefault="00A43E04">
            <w:pPr>
              <w:pStyle w:val="P68B1DB1-Normal5"/>
              <w:jc w:val="center"/>
              <w:rPr>
                <w:noProof/>
              </w:rPr>
            </w:pPr>
            <w:r>
              <w:rPr>
                <w:noProof/>
              </w:rPr>
              <w:t>Naložba 1.3.1: Nacionalna platforma digitalnih podatkov</w:t>
            </w:r>
          </w:p>
        </w:tc>
        <w:tc>
          <w:tcPr>
            <w:tcW w:w="1148" w:type="dxa"/>
            <w:shd w:val="clear" w:color="auto" w:fill="C6EFCE"/>
            <w:noWrap/>
            <w:vAlign w:val="center"/>
          </w:tcPr>
          <w:p w14:paraId="0CB37A22" w14:textId="77777777" w:rsidR="00154E32" w:rsidRDefault="00A43E04">
            <w:pPr>
              <w:pStyle w:val="P68B1DB1-Normal5"/>
              <w:jc w:val="center"/>
              <w:rPr>
                <w:noProof/>
              </w:rPr>
            </w:pPr>
            <w:r>
              <w:rPr>
                <w:noProof/>
              </w:rPr>
              <w:t>Tarča</w:t>
            </w:r>
          </w:p>
        </w:tc>
        <w:tc>
          <w:tcPr>
            <w:tcW w:w="1470" w:type="dxa"/>
            <w:shd w:val="clear" w:color="auto" w:fill="C6EFCE"/>
            <w:noWrap/>
            <w:vAlign w:val="center"/>
          </w:tcPr>
          <w:p w14:paraId="5C612E3C" w14:textId="77777777" w:rsidR="00154E32" w:rsidRDefault="00A43E04">
            <w:pPr>
              <w:pStyle w:val="P68B1DB1-Normal5"/>
              <w:jc w:val="center"/>
              <w:rPr>
                <w:noProof/>
              </w:rPr>
            </w:pPr>
            <w:r>
              <w:rPr>
                <w:noProof/>
              </w:rPr>
              <w:t>API v nacionalni platformi digitalnih podatkov T2</w:t>
            </w:r>
          </w:p>
        </w:tc>
        <w:tc>
          <w:tcPr>
            <w:tcW w:w="1701" w:type="dxa"/>
            <w:shd w:val="clear" w:color="auto" w:fill="C6EFCE"/>
            <w:noWrap/>
            <w:vAlign w:val="center"/>
          </w:tcPr>
          <w:p w14:paraId="1737A35E" w14:textId="77777777" w:rsidR="00154E32" w:rsidRDefault="00A43E04">
            <w:pPr>
              <w:pStyle w:val="P68B1DB1-Normal5"/>
              <w:jc w:val="center"/>
              <w:rPr>
                <w:noProof/>
              </w:rPr>
            </w:pPr>
            <w:r>
              <w:rPr>
                <w:noProof/>
              </w:rPr>
              <w:t>JIH NI</w:t>
            </w:r>
          </w:p>
        </w:tc>
        <w:tc>
          <w:tcPr>
            <w:tcW w:w="1134" w:type="dxa"/>
            <w:shd w:val="clear" w:color="auto" w:fill="C6EFCE"/>
            <w:noWrap/>
            <w:vAlign w:val="center"/>
          </w:tcPr>
          <w:p w14:paraId="4C831262" w14:textId="77777777" w:rsidR="00154E32" w:rsidRDefault="00A43E04">
            <w:pPr>
              <w:pStyle w:val="P68B1DB1-Normal5"/>
              <w:jc w:val="center"/>
              <w:rPr>
                <w:noProof/>
              </w:rPr>
            </w:pPr>
            <w:r>
              <w:rPr>
                <w:noProof/>
              </w:rPr>
              <w:t>Število</w:t>
            </w:r>
          </w:p>
        </w:tc>
        <w:tc>
          <w:tcPr>
            <w:tcW w:w="1417" w:type="dxa"/>
            <w:shd w:val="clear" w:color="auto" w:fill="C6EFCE"/>
            <w:noWrap/>
            <w:vAlign w:val="center"/>
          </w:tcPr>
          <w:p w14:paraId="5B650D25" w14:textId="77777777" w:rsidR="00154E32" w:rsidRDefault="00A43E04">
            <w:pPr>
              <w:pStyle w:val="P68B1DB1-Normal5"/>
              <w:jc w:val="center"/>
              <w:rPr>
                <w:noProof/>
              </w:rPr>
            </w:pPr>
            <w:r>
              <w:rPr>
                <w:noProof/>
              </w:rPr>
              <w:t>400</w:t>
            </w:r>
          </w:p>
        </w:tc>
        <w:tc>
          <w:tcPr>
            <w:tcW w:w="1276" w:type="dxa"/>
            <w:shd w:val="clear" w:color="auto" w:fill="C6EFCE"/>
            <w:noWrap/>
            <w:vAlign w:val="center"/>
          </w:tcPr>
          <w:p w14:paraId="4EB63296" w14:textId="77777777" w:rsidR="00154E32" w:rsidRDefault="00A43E04">
            <w:pPr>
              <w:pStyle w:val="P68B1DB1-Normal5"/>
              <w:jc w:val="center"/>
              <w:rPr>
                <w:noProof/>
              </w:rPr>
            </w:pPr>
            <w:r>
              <w:rPr>
                <w:noProof/>
              </w:rPr>
              <w:t>1 000</w:t>
            </w:r>
          </w:p>
        </w:tc>
        <w:tc>
          <w:tcPr>
            <w:tcW w:w="850" w:type="dxa"/>
            <w:shd w:val="clear" w:color="auto" w:fill="C6EFCE"/>
            <w:noWrap/>
            <w:vAlign w:val="center"/>
          </w:tcPr>
          <w:p w14:paraId="3EBF7EC8" w14:textId="77777777" w:rsidR="00154E32" w:rsidRDefault="00A43E04">
            <w:pPr>
              <w:pStyle w:val="P68B1DB1-Normal5"/>
              <w:jc w:val="center"/>
              <w:rPr>
                <w:noProof/>
              </w:rPr>
            </w:pPr>
            <w:r>
              <w:rPr>
                <w:noProof/>
              </w:rPr>
              <w:t>Q2</w:t>
            </w:r>
          </w:p>
        </w:tc>
        <w:tc>
          <w:tcPr>
            <w:tcW w:w="709" w:type="dxa"/>
            <w:shd w:val="clear" w:color="auto" w:fill="C6EFCE"/>
            <w:noWrap/>
            <w:vAlign w:val="center"/>
          </w:tcPr>
          <w:p w14:paraId="536F93C6" w14:textId="77777777" w:rsidR="00154E32" w:rsidRDefault="00A43E04">
            <w:pPr>
              <w:pStyle w:val="P68B1DB1-Normal5"/>
              <w:jc w:val="center"/>
              <w:rPr>
                <w:noProof/>
              </w:rPr>
            </w:pPr>
            <w:r>
              <w:rPr>
                <w:noProof/>
              </w:rPr>
              <w:t>2026</w:t>
            </w:r>
          </w:p>
        </w:tc>
        <w:tc>
          <w:tcPr>
            <w:tcW w:w="2835" w:type="dxa"/>
            <w:shd w:val="clear" w:color="auto" w:fill="C6EFCE"/>
            <w:noWrap/>
            <w:vAlign w:val="center"/>
          </w:tcPr>
          <w:p w14:paraId="7A84F9F4" w14:textId="75CDB062" w:rsidR="00154E32" w:rsidRDefault="00A43E04">
            <w:pPr>
              <w:pStyle w:val="P68B1DB1-Normal5"/>
              <w:spacing w:after="120"/>
              <w:rPr>
                <w:noProof/>
              </w:rPr>
            </w:pPr>
            <w:r>
              <w:rPr>
                <w:noProof/>
              </w:rPr>
              <w:t>Cilj je doseči vsaj dodatnih 600 vmesnikov za aplikacijsko programiranje (API), objavljenih v katalogu (skupaj 1000).</w:t>
            </w:r>
          </w:p>
          <w:p w14:paraId="5A75FC7A" w14:textId="77777777" w:rsidR="00154E32" w:rsidRDefault="00A43E04">
            <w:pPr>
              <w:pStyle w:val="P68B1DB1-Normal5"/>
              <w:spacing w:after="120"/>
              <w:rPr>
                <w:noProof/>
              </w:rPr>
            </w:pPr>
            <w:r>
              <w:rPr>
                <w:noProof/>
              </w:rPr>
              <w:t>Objavljeni vmesniki API vplivajo na naslednja področja:</w:t>
            </w:r>
          </w:p>
          <w:p w14:paraId="7B63B174" w14:textId="77777777" w:rsidR="00154E32" w:rsidRDefault="00A43E04">
            <w:pPr>
              <w:pStyle w:val="P68B1DB1-Normal5"/>
              <w:spacing w:after="120"/>
              <w:ind w:right="-62"/>
              <w:rPr>
                <w:noProof/>
              </w:rPr>
            </w:pPr>
            <w:r>
              <w:rPr>
                <w:noProof/>
              </w:rPr>
              <w:t>(I) do 31. decembra 2025: javni postopki, kot so zaposlovanje, upokojitev, vpis v šolo in univerze (kot sta nacionalni študentski register in register vozniških dovoljenj);</w:t>
            </w:r>
          </w:p>
          <w:p w14:paraId="3A9BA6E0" w14:textId="77777777" w:rsidR="00154E32" w:rsidRDefault="00A43E04">
            <w:pPr>
              <w:pStyle w:val="P68B1DB1-Normal5"/>
              <w:spacing w:after="120"/>
              <w:ind w:right="-62"/>
              <w:rPr>
                <w:noProof/>
              </w:rPr>
            </w:pPr>
            <w:r>
              <w:rPr>
                <w:noProof/>
              </w:rPr>
              <w:t>(II) do 30. junija 2026: socialno varstvo, upravljanje storitev javnega naročanja, nacionalni informacijski sistem za zdravstvene podatke in nujne sanitarne razmere, kot so registri pacientov in zdravnikov.</w:t>
            </w:r>
          </w:p>
          <w:p w14:paraId="005DC369" w14:textId="77777777" w:rsidR="00154E32" w:rsidRDefault="00A43E04">
            <w:pPr>
              <w:pStyle w:val="P68B1DB1-Normal5"/>
              <w:spacing w:after="120"/>
              <w:ind w:right="-62"/>
              <w:rPr>
                <w:noProof/>
              </w:rPr>
            </w:pPr>
            <w:r>
              <w:rPr>
                <w:noProof/>
              </w:rPr>
              <w:t>Vsako izvajanje in dokumentacija API sta v skladu z nacionalnimi standardi interoperabilnosti in podpirata okvir nacionalne platforme digitalnih podatkov; navedena platforma zagotavlja funkcije za oceno te skladnosti.</w:t>
            </w:r>
          </w:p>
        </w:tc>
      </w:tr>
      <w:tr w:rsidR="00154E32" w14:paraId="5B532FE4" w14:textId="77777777">
        <w:trPr>
          <w:trHeight w:val="309"/>
        </w:trPr>
        <w:tc>
          <w:tcPr>
            <w:tcW w:w="1253" w:type="dxa"/>
            <w:shd w:val="clear" w:color="auto" w:fill="C6EFCE"/>
            <w:noWrap/>
            <w:vAlign w:val="center"/>
          </w:tcPr>
          <w:p w14:paraId="2999D531" w14:textId="77777777" w:rsidR="00154E32" w:rsidRDefault="00A43E04">
            <w:pPr>
              <w:pStyle w:val="P68B1DB1-Normal5"/>
              <w:jc w:val="center"/>
              <w:rPr>
                <w:noProof/>
              </w:rPr>
            </w:pPr>
            <w:r>
              <w:rPr>
                <w:noProof/>
              </w:rPr>
              <w:t>M1C1–28</w:t>
            </w:r>
          </w:p>
        </w:tc>
        <w:tc>
          <w:tcPr>
            <w:tcW w:w="1568" w:type="dxa"/>
            <w:shd w:val="clear" w:color="auto" w:fill="C6EFCE"/>
            <w:noWrap/>
            <w:vAlign w:val="center"/>
          </w:tcPr>
          <w:p w14:paraId="1457F6F5" w14:textId="799FB2ED" w:rsidR="00154E32" w:rsidRDefault="00A43E04">
            <w:pPr>
              <w:pStyle w:val="P68B1DB1-Normal5"/>
              <w:jc w:val="center"/>
              <w:rPr>
                <w:noProof/>
              </w:rPr>
            </w:pPr>
            <w:r>
              <w:rPr>
                <w:noProof/>
              </w:rPr>
              <w:t>Naložba 1.7.2: Omrežje storitev digitalnega olajševanja</w:t>
            </w:r>
          </w:p>
        </w:tc>
        <w:tc>
          <w:tcPr>
            <w:tcW w:w="1148" w:type="dxa"/>
            <w:shd w:val="clear" w:color="auto" w:fill="C6EFCE"/>
            <w:noWrap/>
            <w:vAlign w:val="center"/>
          </w:tcPr>
          <w:p w14:paraId="0DA9C736" w14:textId="77777777" w:rsidR="00154E32" w:rsidRDefault="00A43E04">
            <w:pPr>
              <w:pStyle w:val="P68B1DB1-Normal5"/>
              <w:jc w:val="center"/>
              <w:rPr>
                <w:noProof/>
              </w:rPr>
            </w:pPr>
            <w:r>
              <w:rPr>
                <w:noProof/>
              </w:rPr>
              <w:t>Tarča</w:t>
            </w:r>
          </w:p>
        </w:tc>
        <w:tc>
          <w:tcPr>
            <w:tcW w:w="1470" w:type="dxa"/>
            <w:shd w:val="clear" w:color="auto" w:fill="C6EFCE"/>
            <w:noWrap/>
            <w:vAlign w:val="center"/>
          </w:tcPr>
          <w:p w14:paraId="454C0A8E" w14:textId="77777777" w:rsidR="00154E32" w:rsidRDefault="00A43E04">
            <w:pPr>
              <w:pStyle w:val="P68B1DB1-Normal5"/>
              <w:jc w:val="center"/>
              <w:rPr>
                <w:noProof/>
              </w:rPr>
            </w:pPr>
            <w:r>
              <w:rPr>
                <w:noProof/>
              </w:rPr>
              <w:t>Število državljanov, ki sodelujejo v novih pobudah digitalnega izobraževanja in/ali spodbujanja, ki jih zagotavljajo centri za digitalne poenostavitve</w:t>
            </w:r>
          </w:p>
        </w:tc>
        <w:tc>
          <w:tcPr>
            <w:tcW w:w="1701" w:type="dxa"/>
            <w:shd w:val="clear" w:color="auto" w:fill="C6EFCE"/>
            <w:noWrap/>
            <w:vAlign w:val="center"/>
          </w:tcPr>
          <w:p w14:paraId="113DBC4F" w14:textId="77777777" w:rsidR="00154E32" w:rsidRDefault="00A43E04">
            <w:pPr>
              <w:pStyle w:val="P68B1DB1-Normal5"/>
              <w:jc w:val="center"/>
              <w:rPr>
                <w:noProof/>
              </w:rPr>
            </w:pPr>
            <w:r>
              <w:rPr>
                <w:noProof/>
              </w:rPr>
              <w:t>JIH NI</w:t>
            </w:r>
          </w:p>
        </w:tc>
        <w:tc>
          <w:tcPr>
            <w:tcW w:w="1134" w:type="dxa"/>
            <w:shd w:val="clear" w:color="auto" w:fill="C6EFCE"/>
            <w:noWrap/>
            <w:vAlign w:val="center"/>
          </w:tcPr>
          <w:p w14:paraId="086DEA8F" w14:textId="77777777" w:rsidR="00154E32" w:rsidRDefault="00A43E04">
            <w:pPr>
              <w:pStyle w:val="P68B1DB1-Normal5"/>
              <w:jc w:val="center"/>
              <w:rPr>
                <w:noProof/>
              </w:rPr>
            </w:pPr>
            <w:r>
              <w:rPr>
                <w:noProof/>
              </w:rPr>
              <w:t>Število</w:t>
            </w:r>
          </w:p>
        </w:tc>
        <w:tc>
          <w:tcPr>
            <w:tcW w:w="1417" w:type="dxa"/>
            <w:shd w:val="clear" w:color="auto" w:fill="C6EFCE"/>
            <w:noWrap/>
            <w:vAlign w:val="center"/>
          </w:tcPr>
          <w:p w14:paraId="7BCC2AD7" w14:textId="77777777" w:rsidR="00154E32" w:rsidRDefault="00A43E04">
            <w:pPr>
              <w:pStyle w:val="P68B1DB1-Normal5"/>
              <w:jc w:val="center"/>
              <w:rPr>
                <w:noProof/>
              </w:rPr>
            </w:pPr>
            <w:r>
              <w:rPr>
                <w:noProof/>
              </w:rPr>
              <w:t>0</w:t>
            </w:r>
          </w:p>
        </w:tc>
        <w:tc>
          <w:tcPr>
            <w:tcW w:w="1276" w:type="dxa"/>
            <w:shd w:val="clear" w:color="auto" w:fill="C6EFCE"/>
            <w:noWrap/>
            <w:vAlign w:val="center"/>
          </w:tcPr>
          <w:p w14:paraId="62947177" w14:textId="77777777" w:rsidR="00154E32" w:rsidRDefault="00A43E04">
            <w:pPr>
              <w:pStyle w:val="P68B1DB1-Normal5"/>
              <w:jc w:val="center"/>
              <w:rPr>
                <w:noProof/>
              </w:rPr>
            </w:pPr>
            <w:r>
              <w:rPr>
                <w:noProof/>
              </w:rPr>
              <w:t>2 000 000</w:t>
            </w:r>
          </w:p>
        </w:tc>
        <w:tc>
          <w:tcPr>
            <w:tcW w:w="850" w:type="dxa"/>
            <w:shd w:val="clear" w:color="auto" w:fill="C6EFCE"/>
            <w:noWrap/>
            <w:vAlign w:val="center"/>
          </w:tcPr>
          <w:p w14:paraId="73D1C9B4" w14:textId="77777777" w:rsidR="00154E32" w:rsidRDefault="00A43E04">
            <w:pPr>
              <w:pStyle w:val="P68B1DB1-Normal5"/>
              <w:jc w:val="center"/>
              <w:rPr>
                <w:noProof/>
              </w:rPr>
            </w:pPr>
            <w:r>
              <w:rPr>
                <w:noProof/>
              </w:rPr>
              <w:t>Q2</w:t>
            </w:r>
          </w:p>
        </w:tc>
        <w:tc>
          <w:tcPr>
            <w:tcW w:w="709" w:type="dxa"/>
            <w:shd w:val="clear" w:color="auto" w:fill="C6EFCE"/>
            <w:noWrap/>
            <w:vAlign w:val="center"/>
          </w:tcPr>
          <w:p w14:paraId="5233F8AC" w14:textId="77777777" w:rsidR="00154E32" w:rsidRDefault="00A43E04">
            <w:pPr>
              <w:pStyle w:val="P68B1DB1-Normal5"/>
              <w:jc w:val="center"/>
              <w:rPr>
                <w:noProof/>
              </w:rPr>
            </w:pPr>
            <w:r>
              <w:rPr>
                <w:noProof/>
              </w:rPr>
              <w:t>2026</w:t>
            </w:r>
          </w:p>
        </w:tc>
        <w:tc>
          <w:tcPr>
            <w:tcW w:w="2835" w:type="dxa"/>
            <w:shd w:val="clear" w:color="auto" w:fill="C6EFCE"/>
            <w:noWrap/>
            <w:vAlign w:val="center"/>
          </w:tcPr>
          <w:p w14:paraId="2ED7C91C" w14:textId="42B7A39B" w:rsidR="00154E32" w:rsidRDefault="00A43E04">
            <w:pPr>
              <w:pStyle w:val="P68B1DB1-Normal5"/>
              <w:spacing w:after="120"/>
              <w:rPr>
                <w:noProof/>
              </w:rPr>
            </w:pPr>
            <w:r>
              <w:rPr>
                <w:noProof/>
              </w:rPr>
              <w:t>Vsaj 2000000 državljanov, ki sodelujejo v pobudah za digitalno izobraževanje in/ali olajševanje, ki jih zagotavljajo centri za digitalne poenostavitve.</w:t>
            </w:r>
          </w:p>
          <w:p w14:paraId="274AFCDB" w14:textId="77777777" w:rsidR="00154E32" w:rsidRDefault="00A43E04">
            <w:pPr>
              <w:pStyle w:val="P68B1DB1-Normal5"/>
              <w:spacing w:after="120"/>
              <w:rPr>
                <w:noProof/>
              </w:rPr>
            </w:pPr>
            <w:r>
              <w:rPr>
                <w:noProof/>
              </w:rPr>
              <w:t>Dejavnosti usposabljanja, ki naj bi dosegle cilj, so naslednje:</w:t>
            </w:r>
          </w:p>
          <w:p w14:paraId="02D3348E" w14:textId="77777777" w:rsidR="00154E32" w:rsidRDefault="00A43E04">
            <w:pPr>
              <w:pStyle w:val="P68B1DB1-Normal5"/>
              <w:rPr>
                <w:noProof/>
              </w:rPr>
            </w:pPr>
            <w:r>
              <w:rPr>
                <w:noProof/>
              </w:rPr>
              <w:t>a) posamezniku prilagojene pobude za digitalno izobraževanje in/ali olajševanje, zagotovljene z metodami digitalne poenostavitve, ki se običajno izvajajo na podlagi rezervacije storitve in evidentirajo v sistemu spremljanja;</w:t>
            </w:r>
          </w:p>
          <w:p w14:paraId="7B93DAA3" w14:textId="77777777" w:rsidR="00154E32" w:rsidRDefault="00A43E04">
            <w:pPr>
              <w:pStyle w:val="P68B1DB1-Normal5"/>
              <w:rPr>
                <w:noProof/>
              </w:rPr>
            </w:pPr>
            <w:r>
              <w:rPr>
                <w:noProof/>
              </w:rPr>
              <w:t>b) osebno in spletno digitalno izobraževanje in/ali pobude za spodbujanje, namenjene razvoju digitalnih znanj in spretnosti državljanov, ki jih sinhrono izvajajo centri za digitalne poenostavitve in se evidentirajo v sistemu spremljanja;</w:t>
            </w:r>
          </w:p>
          <w:p w14:paraId="7237A21D" w14:textId="7BA7D955" w:rsidR="00154E32" w:rsidRDefault="00A43E04">
            <w:pPr>
              <w:pStyle w:val="P68B1DB1-Normal5"/>
              <w:spacing w:after="120"/>
              <w:rPr>
                <w:noProof/>
              </w:rPr>
            </w:pPr>
            <w:r>
              <w:rPr>
                <w:noProof/>
              </w:rPr>
              <w:t>C) pobude za spletno digitalno izobraževanje in/ali spodbujanje, namenjene razvoju digitalnih znanj in spretnosti državljanov, tudi v samoučenju in asinhronem načinu, vendar nujno z registracijo, sporočeno v sistemu spremljanja, ki se izvaja kot del kataloga usposabljanja, ki ga je pripravila mreža storitev digitalnega olajševanja in je dostopen iz sistema upravljanja znanja, ki se izvaja.</w:t>
            </w:r>
          </w:p>
        </w:tc>
      </w:tr>
      <w:tr w:rsidR="00154E32" w14:paraId="0915F413"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611353" w14:textId="77777777" w:rsidR="00154E32" w:rsidRDefault="00A43E04">
            <w:pPr>
              <w:pStyle w:val="P68B1DB1-Normal5"/>
              <w:jc w:val="center"/>
              <w:rPr>
                <w:noProof/>
              </w:rPr>
            </w:pPr>
            <w:r>
              <w:rPr>
                <w:noProof/>
              </w:rPr>
              <w:t>M1C1–29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2F144C" w14:textId="77777777" w:rsidR="00154E32" w:rsidRDefault="00A43E04">
            <w:pPr>
              <w:pStyle w:val="P68B1DB1-Normal5"/>
              <w:jc w:val="center"/>
              <w:rPr>
                <w:noProof/>
              </w:rPr>
            </w:pPr>
            <w:r>
              <w:rPr>
                <w:noProof/>
              </w:rPr>
              <w:t>Reforma 1.4: Reforma civilnega pravosodja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2A637A"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371E2F" w14:textId="77777777" w:rsidR="00154E32" w:rsidRDefault="00A43E04">
            <w:pPr>
              <w:pStyle w:val="P68B1DB1-Normal5"/>
              <w:jc w:val="center"/>
              <w:rPr>
                <w:noProof/>
              </w:rPr>
            </w:pPr>
            <w:r>
              <w:rPr>
                <w:noProof/>
              </w:rPr>
              <w:t>Začetek veljavnosti pooblastitvene zakonodaje za reformo civilnega pravosodja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8DA2E7" w14:textId="77777777" w:rsidR="00154E32" w:rsidRDefault="00A43E04">
            <w:pPr>
              <w:pStyle w:val="P68B1DB1-Normal5"/>
              <w:jc w:val="center"/>
              <w:rPr>
                <w:noProof/>
              </w:rPr>
            </w:pPr>
            <w:r>
              <w:rPr>
                <w:noProof/>
              </w:rPr>
              <w:t>Določba zakona o začetku veljavnosti pooblastitvene zakonodaje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AF49BE"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ACBEFC"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27B5E5"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79DED8"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66D757" w14:textId="77777777" w:rsidR="00154E32" w:rsidRDefault="00A43E04">
            <w:pPr>
              <w:pStyle w:val="P68B1DB1-Normal5"/>
              <w:jc w:val="center"/>
              <w:rPr>
                <w:noProof/>
              </w:rPr>
            </w:pPr>
            <w:r>
              <w:rPr>
                <w:noProof/>
              </w:rPr>
              <w:t>2021</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5FFA65" w14:textId="77777777" w:rsidR="00154E32" w:rsidRDefault="00A43E04">
            <w:pPr>
              <w:pStyle w:val="P68B1DB1-Normal5"/>
              <w:rPr>
                <w:noProof/>
              </w:rPr>
            </w:pPr>
            <w:r>
              <w:rPr>
                <w:noProof/>
              </w:rPr>
              <w:t>Pooblastitvena zakonodaja vključuje vsaj naslednje ukrepe: I) uvedba poenostavljenega postopka na prvi/sodni ravni in okrepitev uporabe „postopkov filtriranja“ na stopnji pritožbe, vključno z razširjeno uporabo poenostavljenih postopkov in obsegom zadev, v katerih je za odločanje pristojen sodnik posameznik; zagotovitev dejanskega izvajanja zavezujočih časovnih okvirov za postopke in časovnega razporeda za zbiranje dokazov in elektronsko vložitev vseh ustreznih aktov in dokumentov; reformirati uporabo mediacije in alternativnega reševanja sporov skupaj s pomočjo mediacije, arbitraže in katere koli druge možne alternative, da bi ti inštituti postali učinkovitejši pri zmanjševanju pritiska na civilnopravni sistem, tudi s spodbudami; (IV) reformirati postopek prisilne izvršbe, da se skrajša sedanji povprečni čas, vključno s hitrejšim in cenejšim izvrševanjem prijavljenih zneskov; reformirati sedanji sistem količinske opredelitve in povrnitve sodnih stroškov, da bi zmanjšali število neresnih pravdnih postopkov; v) uvesti sistem spremljanja na ravni sodišča in povečati produktivnost civilnih sodišč s spodbudami za zagotovitev razumnega trajanja postopkov in enotnega delovanja na vseh sodiščih.</w:t>
            </w:r>
          </w:p>
        </w:tc>
      </w:tr>
      <w:tr w:rsidR="00154E32" w14:paraId="68B70FFE"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41284A" w14:textId="77777777" w:rsidR="00154E32" w:rsidRDefault="00A43E04">
            <w:pPr>
              <w:pStyle w:val="P68B1DB1-Normal5"/>
              <w:jc w:val="center"/>
              <w:rPr>
                <w:noProof/>
              </w:rPr>
            </w:pPr>
            <w:r>
              <w:rPr>
                <w:noProof/>
              </w:rPr>
              <w:t>M1C1–30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B358E1" w14:textId="77777777" w:rsidR="00154E32" w:rsidRDefault="00A43E04">
            <w:pPr>
              <w:pStyle w:val="P68B1DB1-Normal5"/>
              <w:jc w:val="center"/>
              <w:rPr>
                <w:noProof/>
              </w:rPr>
            </w:pPr>
            <w:r>
              <w:rPr>
                <w:noProof/>
              </w:rPr>
              <w:t>Reforma 1.5: Reforma kazenskega pravosodja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6579D8"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001F99" w14:textId="77777777" w:rsidR="00154E32" w:rsidRDefault="00A43E04">
            <w:pPr>
              <w:pStyle w:val="P68B1DB1-Normal5"/>
              <w:jc w:val="center"/>
              <w:rPr>
                <w:noProof/>
              </w:rPr>
            </w:pPr>
            <w:r>
              <w:rPr>
                <w:noProof/>
              </w:rPr>
              <w:t>Začetek veljavnosti omogočitvene zakonodaje za reformo kazenskega pravosodja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C8F909" w14:textId="77777777" w:rsidR="00154E32" w:rsidRDefault="00A43E04">
            <w:pPr>
              <w:pStyle w:val="P68B1DB1-Normal5"/>
              <w:jc w:val="center"/>
              <w:rPr>
                <w:noProof/>
              </w:rPr>
            </w:pPr>
            <w:r>
              <w:rPr>
                <w:noProof/>
              </w:rPr>
              <w:t>Določba zakona o začetku veljavnosti pooblastitvene zakonodaje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06C0E9"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238109"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1A20AA"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641743"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DD48C5" w14:textId="77777777" w:rsidR="00154E32" w:rsidRDefault="00A43E04">
            <w:pPr>
              <w:pStyle w:val="P68B1DB1-Normal5"/>
              <w:jc w:val="center"/>
              <w:rPr>
                <w:noProof/>
              </w:rPr>
            </w:pPr>
            <w:r>
              <w:rPr>
                <w:noProof/>
              </w:rPr>
              <w:t>2021</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3D88D5" w14:textId="77777777" w:rsidR="00154E32" w:rsidRDefault="00A43E04">
            <w:pPr>
              <w:pStyle w:val="P68B1DB1-Normal5"/>
              <w:spacing w:after="120"/>
              <w:rPr>
                <w:noProof/>
              </w:rPr>
            </w:pPr>
            <w:r>
              <w:rPr>
                <w:noProof/>
              </w:rPr>
              <w:t>Pooblastitvena zakonodaja, ki vključuje vsaj naslednje ukrepe: I) pregledani sistem obveščanja, ii) širša uporaba poenostavljenih postopkov, (iii) širša uporaba elektronskega vlaganja dokumentov, (iv) poenostavljena pravila o dokazih, v) opredelitev rokov za trajanje predhodne preiskave in ukrepov za preprečevanje stagnacije v preiskovalni fazi, vi) razširitev možnosti za prenehanje kaznivega dejanja, če je bila škoda povrnjena, vii) uvedba sistema spremljanja na ravni sodišča in povečanje produktivnosti kazenskih sodišč s spodbudami za zagotovitev razumnega trajanja postopkov in enotne uspešnosti na vseh sodiščih.</w:t>
            </w:r>
          </w:p>
        </w:tc>
      </w:tr>
      <w:tr w:rsidR="00154E32" w14:paraId="23353153"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ED8174" w14:textId="77777777" w:rsidR="00154E32" w:rsidRDefault="00A43E04">
            <w:pPr>
              <w:pStyle w:val="P68B1DB1-Normal5"/>
              <w:jc w:val="center"/>
              <w:rPr>
                <w:noProof/>
              </w:rPr>
            </w:pPr>
            <w:r>
              <w:rPr>
                <w:noProof/>
              </w:rPr>
              <w:t>M1C1–31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8C147C" w14:textId="77777777" w:rsidR="00154E32" w:rsidRDefault="00A43E04">
            <w:pPr>
              <w:pStyle w:val="P68B1DB1-Normal5"/>
              <w:jc w:val="center"/>
              <w:rPr>
                <w:noProof/>
              </w:rPr>
            </w:pPr>
            <w:r>
              <w:rPr>
                <w:noProof/>
              </w:rPr>
              <w:t>Reforma 1.6: Reforma insolvenčnega okvira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FAAE9D"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09A782" w14:textId="77777777" w:rsidR="00154E32" w:rsidRDefault="00A43E04">
            <w:pPr>
              <w:pStyle w:val="P68B1DB1-Normal5"/>
              <w:jc w:val="center"/>
              <w:rPr>
                <w:noProof/>
              </w:rPr>
            </w:pPr>
            <w:r>
              <w:rPr>
                <w:noProof/>
              </w:rPr>
              <w:t>Začetek veljavnosti omogočitvene zakonodaje za okvir reforme na področju insolventnosti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6C0455" w14:textId="77777777" w:rsidR="00154E32" w:rsidRDefault="00A43E04">
            <w:pPr>
              <w:pStyle w:val="P68B1DB1-Normal5"/>
              <w:jc w:val="center"/>
              <w:rPr>
                <w:noProof/>
              </w:rPr>
            </w:pPr>
            <w:r>
              <w:rPr>
                <w:noProof/>
              </w:rPr>
              <w:t>Določba zakona o začetku veljavnosti pooblastitvene zakonodaje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EF367A"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09BB11"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5A3F5C"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3D9180"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03B69D" w14:textId="77777777" w:rsidR="00154E32" w:rsidRDefault="00A43E04">
            <w:pPr>
              <w:pStyle w:val="P68B1DB1-Normal5"/>
              <w:jc w:val="center"/>
              <w:rPr>
                <w:noProof/>
              </w:rPr>
            </w:pPr>
            <w:r>
              <w:rPr>
                <w:noProof/>
              </w:rPr>
              <w:t>2021</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817A15" w14:textId="77777777" w:rsidR="00154E32" w:rsidRDefault="00A43E04">
            <w:pPr>
              <w:pStyle w:val="P68B1DB1-Normal5"/>
              <w:spacing w:after="120"/>
              <w:rPr>
                <w:noProof/>
              </w:rPr>
            </w:pPr>
            <w:r>
              <w:rPr>
                <w:noProof/>
              </w:rPr>
              <w:t>Insolvenčna reforma vključuje vsaj naslednje ukrepe: (I) pregleda ureditve izvensodne poravnave, da se opredelijo področja, na katerih so morda potrebne nadaljnje izboljšave, da bi zadevne stranke spodbudili k večji uporabi takih postopkov; vzpostaviti mehanizme zgodnjega opozarjanja in dostop do informacij pred fazo insolventnosti; III) prehod na specializacijo sodišč (gospodarsko pravo, oddelek za insolventnost/smber) in predsodnih institucij za upravljanje postopkov v primeru insolventnosti; (IV) omogočiti, da se najprej poplačajo zavarovani upniki (pred terjatvami za davek in terjatve zaposlenih); v) omogočanje podjetjem, da podelijo nepremično varnostno pravico. Kot dopolnilo reformi insolventnosti se zagotovita usposabljanje in specializacija za člane sodnih in upravnih organov, ki se ukvarjajo s postopki prestrukturiranja, ter splošna digitalizacija postopkov prestrukturiranja in postopkov v primeru insolventnosti ter vzpostavitev spletne platforme za izvensodno reševanje sporov, zlasti v fazi pred insolventnostjo, katere uporaba se spodbuja k zmanjšanju bremena sodstva (vloge za prestrukturiranje pred insolventnostjo, spodbujanje večstranskih prestrukturiranj ter omogočanje predhodno odobrenih avtomatiziranih postopkov prestrukturiranja in reševanja primerov majhne vrednosti). Taka spletna platforma zagotavlja tudi interoperabilnost z bančnimi informacijskimi sistemi ter drugimi javnimi organi in podatkovnimi zbirkami, da se zagotovi hitra in elektronska izmenjava dokumentacije in podatkov med dolžniki in upniki. V ta namen bi vložnik (dolžnik) privolil v izmenjavo svojih osebnih podatkov v skladu s splošno uredbo o varstvu podatkov, to določbo pa bi bilo treba vključiti v zakon. Z reformo se vzpostavi register zavarovanja s premoženjem.</w:t>
            </w:r>
          </w:p>
        </w:tc>
      </w:tr>
      <w:tr w:rsidR="00154E32" w14:paraId="43A2BDC6"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B211BF" w14:textId="77777777" w:rsidR="00154E32" w:rsidRDefault="00A43E04">
            <w:pPr>
              <w:pStyle w:val="P68B1DB1-Normal5"/>
              <w:jc w:val="center"/>
              <w:rPr>
                <w:noProof/>
              </w:rPr>
            </w:pPr>
            <w:r>
              <w:rPr>
                <w:noProof/>
              </w:rPr>
              <w:t>M1C1–32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5FA900" w14:textId="77777777" w:rsidR="00154E32" w:rsidRDefault="00A43E04">
            <w:pPr>
              <w:pStyle w:val="P68B1DB1-Normal5"/>
              <w:jc w:val="center"/>
              <w:rPr>
                <w:noProof/>
              </w:rPr>
            </w:pPr>
            <w:r>
              <w:rPr>
                <w:noProof/>
              </w:rPr>
              <w:t>Naložba 1.8: Postopki zaposlovanja na civilnih, kazenskih in upravnih sodiščih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E32BF4"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1A305E" w14:textId="77777777" w:rsidR="00154E32" w:rsidRDefault="00A43E04">
            <w:pPr>
              <w:pStyle w:val="P68B1DB1-Normal5"/>
              <w:jc w:val="center"/>
              <w:rPr>
                <w:noProof/>
              </w:rPr>
            </w:pPr>
            <w:r>
              <w:rPr>
                <w:noProof/>
              </w:rPr>
              <w:t>Začetek veljavnosti posebne zakonodaje, ki ureja zaposlovanje v okviru nacionalnega načrta za okrevanje in odpornost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BE6263" w14:textId="77777777" w:rsidR="00154E32" w:rsidRDefault="00A43E04">
            <w:pPr>
              <w:pStyle w:val="P68B1DB1-Normal5"/>
              <w:jc w:val="center"/>
              <w:rPr>
                <w:noProof/>
              </w:rPr>
            </w:pPr>
            <w:r>
              <w:rPr>
                <w:noProof/>
              </w:rPr>
              <w:t>Določba zakona o začetku veljavnosti posebne zakonodaje, ki ureja zaposlovanje v nacionalnem načrtu za okrevanje in odpornost</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D13A72"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BBF005"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F3CA08"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9A630E"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D6FB3B" w14:textId="77777777" w:rsidR="00154E32" w:rsidRDefault="00A43E04">
            <w:pPr>
              <w:pStyle w:val="P68B1DB1-Normal5"/>
              <w:jc w:val="center"/>
              <w:rPr>
                <w:noProof/>
              </w:rPr>
            </w:pPr>
            <w:r>
              <w:rPr>
                <w:noProof/>
              </w:rPr>
              <w:t>2021</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70FCE6" w14:textId="77777777" w:rsidR="00154E32" w:rsidRDefault="00A43E04">
            <w:pPr>
              <w:pStyle w:val="P68B1DB1-Normal5"/>
              <w:spacing w:after="120"/>
              <w:rPr>
                <w:noProof/>
              </w:rPr>
            </w:pPr>
            <w:r>
              <w:rPr>
                <w:noProof/>
              </w:rPr>
              <w:t>Odobritev posebne zakonodaje, ki ureja zaposlovanje v nacionalnem načrtu za okrevanje in odpornost z dovoljenjem za oglaševanje in zaposlovanje.</w:t>
            </w:r>
          </w:p>
        </w:tc>
      </w:tr>
      <w:tr w:rsidR="00154E32" w14:paraId="67E6CCAC"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5733F1" w14:textId="77777777" w:rsidR="00154E32" w:rsidRDefault="00A43E04">
            <w:pPr>
              <w:pStyle w:val="P68B1DB1-Normal5"/>
              <w:jc w:val="center"/>
              <w:rPr>
                <w:noProof/>
              </w:rPr>
            </w:pPr>
            <w:r>
              <w:rPr>
                <w:noProof/>
              </w:rPr>
              <w:t>M1C1–33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707B52" w14:textId="77777777" w:rsidR="00154E32" w:rsidRDefault="00A43E04">
            <w:pPr>
              <w:pStyle w:val="P68B1DB1-Normal5"/>
              <w:jc w:val="center"/>
              <w:rPr>
                <w:noProof/>
              </w:rPr>
            </w:pPr>
            <w:r>
              <w:rPr>
                <w:noProof/>
              </w:rPr>
              <w:t>Naložba 1.8: Postopki zaposlovanja na upravnih sodiščih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37B94E"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CCA7E0" w14:textId="77777777" w:rsidR="00154E32" w:rsidRDefault="00A43E04">
            <w:pPr>
              <w:pStyle w:val="P68B1DB1-Normal5"/>
              <w:jc w:val="center"/>
              <w:rPr>
                <w:noProof/>
              </w:rPr>
            </w:pPr>
            <w:r>
              <w:rPr>
                <w:noProof/>
              </w:rPr>
              <w:t>Začetek postopkov zaposlovanja na upravnih sodiščih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50FB3D"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C33C36" w14:textId="77777777" w:rsidR="00154E32" w:rsidRDefault="00A43E04">
            <w:pPr>
              <w:pStyle w:val="P68B1DB1-Normal5"/>
              <w:jc w:val="center"/>
              <w:rPr>
                <w:noProof/>
              </w:rPr>
            </w:pPr>
            <w:r>
              <w:rPr>
                <w:noProof/>
              </w:rPr>
              <w:t>Število</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E9B06C" w14:textId="77777777" w:rsidR="00154E32" w:rsidRDefault="00A43E04">
            <w:pPr>
              <w:pStyle w:val="P68B1DB1-Normal5"/>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21D9AF" w14:textId="77777777" w:rsidR="00154E32" w:rsidRDefault="00A43E04">
            <w:pPr>
              <w:pStyle w:val="P68B1DB1-Normal5"/>
              <w:jc w:val="center"/>
              <w:rPr>
                <w:noProof/>
              </w:rPr>
            </w:pPr>
            <w:r>
              <w:rPr>
                <w:noProof/>
              </w:rPr>
              <w:t>168</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A8B5C3"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51D39A" w14:textId="77777777" w:rsidR="00154E32" w:rsidRDefault="00A43E04">
            <w:pPr>
              <w:pStyle w:val="P68B1DB1-Normal5"/>
              <w:jc w:val="center"/>
              <w:rPr>
                <w:noProof/>
              </w:rPr>
            </w:pPr>
            <w:r>
              <w:rPr>
                <w:noProof/>
              </w:rPr>
              <w:t>2022</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2FAC03" w14:textId="77777777" w:rsidR="00154E32" w:rsidRDefault="00A43E04">
            <w:pPr>
              <w:pStyle w:val="P68B1DB1-Normal5"/>
              <w:spacing w:after="120"/>
              <w:rPr>
                <w:noProof/>
              </w:rPr>
            </w:pPr>
            <w:r>
              <w:rPr>
                <w:noProof/>
              </w:rPr>
              <w:t>Začeti postopke zaposlovanja vsaj 168 enot osebja za obravnavni urad in upravna sodišča ter napotiti enote v uporabo. Izhodišče je število zaposlenih na dan 31. decembra 2021.</w:t>
            </w:r>
          </w:p>
        </w:tc>
      </w:tr>
      <w:tr w:rsidR="00154E32" w14:paraId="5AC49E88"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46DDAB" w14:textId="77777777" w:rsidR="00154E32" w:rsidRDefault="00A43E04">
            <w:pPr>
              <w:pStyle w:val="P68B1DB1-Normal5"/>
              <w:jc w:val="center"/>
              <w:rPr>
                <w:noProof/>
              </w:rPr>
            </w:pPr>
            <w:r>
              <w:rPr>
                <w:noProof/>
              </w:rPr>
              <w:t>M1C1–34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B2B446" w14:textId="77777777" w:rsidR="00154E32" w:rsidRDefault="00A43E04">
            <w:pPr>
              <w:pStyle w:val="P68B1DB1-Normal5"/>
              <w:jc w:val="center"/>
              <w:rPr>
                <w:noProof/>
              </w:rPr>
            </w:pPr>
            <w:r>
              <w:rPr>
                <w:noProof/>
              </w:rPr>
              <w:t>Naložba 1.8: Postopki zaposlovanja za sodni urad na civilnih in kazenskih sodiščih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BAC264"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C02B73" w14:textId="77777777" w:rsidR="00154E32" w:rsidRDefault="00A43E04">
            <w:pPr>
              <w:pStyle w:val="P68B1DB1-Normal5"/>
              <w:jc w:val="center"/>
              <w:rPr>
                <w:noProof/>
              </w:rPr>
            </w:pPr>
            <w:r>
              <w:rPr>
                <w:noProof/>
              </w:rPr>
              <w:t>Začetek postopkov zaposlovanja na civilnih in kazenskih sodiščih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4FD2AA"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518F35" w14:textId="77777777" w:rsidR="00154E32" w:rsidRDefault="00A43E04">
            <w:pPr>
              <w:pStyle w:val="P68B1DB1-Normal5"/>
              <w:jc w:val="center"/>
              <w:rPr>
                <w:noProof/>
              </w:rPr>
            </w:pPr>
            <w:r>
              <w:rPr>
                <w:noProof/>
              </w:rPr>
              <w:t>Število</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EFE115" w14:textId="77777777" w:rsidR="00154E32" w:rsidRDefault="00A43E04">
            <w:pPr>
              <w:pStyle w:val="P68B1DB1-Normal5"/>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9AD3FE" w14:textId="24DBFD2D" w:rsidR="00154E32" w:rsidRDefault="00A43E04">
            <w:pPr>
              <w:pStyle w:val="P68B1DB1-Normal5"/>
              <w:jc w:val="center"/>
              <w:rPr>
                <w:noProof/>
              </w:rPr>
            </w:pPr>
            <w:r>
              <w:rPr>
                <w:noProof/>
              </w:rPr>
              <w:t>8 764</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C3B0A8"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5D00C3" w14:textId="77777777" w:rsidR="00154E32" w:rsidRDefault="00A43E04">
            <w:pPr>
              <w:pStyle w:val="P68B1DB1-Normal5"/>
              <w:jc w:val="center"/>
              <w:rPr>
                <w:noProof/>
              </w:rPr>
            </w:pPr>
            <w:r>
              <w:rPr>
                <w:noProof/>
              </w:rPr>
              <w:t>2022</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F3099C" w14:textId="748A5F88" w:rsidR="00154E32" w:rsidRDefault="00A43E04">
            <w:pPr>
              <w:pStyle w:val="P68B1DB1-Normal5"/>
              <w:spacing w:after="120"/>
              <w:rPr>
                <w:noProof/>
              </w:rPr>
            </w:pPr>
            <w:r>
              <w:rPr>
                <w:noProof/>
              </w:rPr>
              <w:t>Začeti postopke zaposlovanja vsaj 8764 enot osebja za sodni urad na civilnih in kazenskih sodiščih ter napotiti enote v uporabo. Izhodišče je število osebja ob koncu leta 2021.</w:t>
            </w:r>
          </w:p>
        </w:tc>
      </w:tr>
      <w:tr w:rsidR="00154E32" w14:paraId="0981C51C"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02A0B9" w14:textId="77777777" w:rsidR="00154E32" w:rsidRDefault="00A43E04">
            <w:pPr>
              <w:pStyle w:val="P68B1DB1-Normal5"/>
              <w:jc w:val="center"/>
              <w:rPr>
                <w:noProof/>
              </w:rPr>
            </w:pPr>
            <w:r>
              <w:rPr>
                <w:noProof/>
              </w:rPr>
              <w:t>M1C1–35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DCA077" w14:textId="77777777" w:rsidR="00154E32" w:rsidRDefault="00A43E04">
            <w:pPr>
              <w:pStyle w:val="P68B1DB1-Normal5"/>
              <w:jc w:val="center"/>
              <w:rPr>
                <w:noProof/>
              </w:rPr>
            </w:pPr>
            <w:r>
              <w:rPr>
                <w:noProof/>
              </w:rPr>
              <w:t>Reforma 1.7: Reforma davčnih sodišč</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04C51B"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0A6868" w14:textId="77777777" w:rsidR="00154E32" w:rsidRDefault="00A43E04">
            <w:pPr>
              <w:pStyle w:val="P68B1DB1-Normal5"/>
              <w:jc w:val="center"/>
              <w:rPr>
                <w:noProof/>
              </w:rPr>
            </w:pPr>
            <w:r>
              <w:rPr>
                <w:noProof/>
              </w:rPr>
              <w:t>Celovita reforma davčnih sodišč prve in druge stopnje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54688D" w14:textId="77777777" w:rsidR="00154E32" w:rsidRDefault="00A43E04">
            <w:pPr>
              <w:pStyle w:val="P68B1DB1-Normal5"/>
              <w:jc w:val="center"/>
              <w:rPr>
                <w:noProof/>
              </w:rPr>
            </w:pPr>
            <w:r>
              <w:rPr>
                <w:noProof/>
              </w:rPr>
              <w:t>Določba zakona o začetku veljavnosti revidiranega pravnega okvira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3BABFB"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41B652"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FC1E1C"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1C0C75"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16E11C" w14:textId="77777777" w:rsidR="00154E32" w:rsidRDefault="00A43E04">
            <w:pPr>
              <w:pStyle w:val="P68B1DB1-Normal5"/>
              <w:jc w:val="center"/>
              <w:rPr>
                <w:noProof/>
              </w:rPr>
            </w:pPr>
            <w:r>
              <w:rPr>
                <w:noProof/>
              </w:rPr>
              <w:t>2022</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C6CBB5" w14:textId="77777777" w:rsidR="00154E32" w:rsidRDefault="00A43E04">
            <w:pPr>
              <w:pStyle w:val="P68B1DB1-Normal5"/>
              <w:spacing w:after="120"/>
              <w:rPr>
                <w:noProof/>
              </w:rPr>
            </w:pPr>
            <w:r>
              <w:rPr>
                <w:noProof/>
              </w:rPr>
              <w:t>Spremenjeni pravni okvir bo povečal učinkovitost izvrševanja davčnega prava in zmanjšal visoko število pritožb na kasacijskem sodišču.</w:t>
            </w:r>
          </w:p>
        </w:tc>
      </w:tr>
      <w:tr w:rsidR="00154E32" w14:paraId="0DA5A98B"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737B71" w14:textId="77777777" w:rsidR="00154E32" w:rsidRDefault="00A43E04">
            <w:pPr>
              <w:pStyle w:val="P68B1DB1-Normal5"/>
              <w:jc w:val="center"/>
              <w:rPr>
                <w:noProof/>
              </w:rPr>
            </w:pPr>
            <w:r>
              <w:rPr>
                <w:noProof/>
              </w:rPr>
              <w:t>M1C1–36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5387B3" w14:textId="77777777" w:rsidR="00154E32" w:rsidRDefault="00A43E04">
            <w:pPr>
              <w:pStyle w:val="P68B1DB1-Normal5"/>
              <w:jc w:val="center"/>
              <w:rPr>
                <w:noProof/>
              </w:rPr>
            </w:pPr>
            <w:r>
              <w:rPr>
                <w:noProof/>
              </w:rPr>
              <w:t>Reforme 1.4, 1.5 in 1.6: Reforma civilnega in kazenskega pravosodja ter reforma insolventnosti</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89BC37"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0649D3" w14:textId="77777777" w:rsidR="00154E32" w:rsidRDefault="00A43E04">
            <w:pPr>
              <w:pStyle w:val="P68B1DB1-Normal5"/>
              <w:jc w:val="center"/>
              <w:rPr>
                <w:noProof/>
              </w:rPr>
            </w:pPr>
            <w:r>
              <w:rPr>
                <w:noProof/>
              </w:rPr>
              <w:t>Začetek veljavnosti delegiranih aktov za reformo civilnega in kazenskega pravosodja ter reformo na področju insolventnosti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4ACDD6" w14:textId="77777777" w:rsidR="00154E32" w:rsidRDefault="00A43E04">
            <w:pPr>
              <w:pStyle w:val="P68B1DB1-Normal5"/>
              <w:jc w:val="center"/>
              <w:rPr>
                <w:noProof/>
              </w:rPr>
            </w:pPr>
            <w:r>
              <w:rPr>
                <w:noProof/>
              </w:rPr>
              <w:t>Določba v delegiranih aktih o začetku veljavnosti delegiranih aktov</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C76EB2"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EE8858"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F15E19"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B3E5E3"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86F23C" w14:textId="77777777" w:rsidR="00154E32" w:rsidRDefault="00A43E04">
            <w:pPr>
              <w:pStyle w:val="P68B1DB1-Normal5"/>
              <w:jc w:val="center"/>
              <w:rPr>
                <w:noProof/>
              </w:rPr>
            </w:pPr>
            <w:r>
              <w:rPr>
                <w:noProof/>
              </w:rPr>
              <w:t>2022</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07A730" w14:textId="77777777" w:rsidR="00154E32" w:rsidRDefault="00A43E04">
            <w:pPr>
              <w:pStyle w:val="P68B1DB1-Normal5"/>
              <w:spacing w:after="120"/>
              <w:rPr>
                <w:noProof/>
              </w:rPr>
            </w:pPr>
            <w:r>
              <w:rPr>
                <w:noProof/>
              </w:rPr>
              <w:t>Začetek veljavnosti vseh delegiranih aktov, katerih vsebina je navedena v omogočitveni zakonodaji za reforme civilnega in kazenskega pravosodja ter za reformo na področju insolventnosti.</w:t>
            </w:r>
          </w:p>
        </w:tc>
      </w:tr>
      <w:tr w:rsidR="00154E32" w14:paraId="75A3D8D4"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65F4F4" w14:textId="77777777" w:rsidR="00154E32" w:rsidRDefault="00A43E04">
            <w:pPr>
              <w:pStyle w:val="P68B1DB1-Normal5"/>
              <w:jc w:val="center"/>
              <w:rPr>
                <w:noProof/>
              </w:rPr>
            </w:pPr>
            <w:r>
              <w:rPr>
                <w:noProof/>
              </w:rPr>
              <w:t>M1C1–37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73005C" w14:textId="77777777" w:rsidR="00154E32" w:rsidRDefault="00A43E04">
            <w:pPr>
              <w:pStyle w:val="P68B1DB1-Normal5"/>
              <w:jc w:val="center"/>
              <w:rPr>
                <w:noProof/>
              </w:rPr>
            </w:pPr>
            <w:r>
              <w:rPr>
                <w:noProof/>
              </w:rPr>
              <w:t>Reformi 1.4 in 1.5: Reforma civilnega in kazenskega pravosodja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E17EBD"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C7C20F" w14:textId="77777777" w:rsidR="00154E32" w:rsidRDefault="00A43E04">
            <w:pPr>
              <w:pStyle w:val="P68B1DB1-Normal5"/>
              <w:jc w:val="center"/>
              <w:rPr>
                <w:noProof/>
              </w:rPr>
            </w:pPr>
            <w:r>
              <w:rPr>
                <w:noProof/>
              </w:rPr>
              <w:t>Začetek veljavnosti reforme civilnega in kazenskega pravosodja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6C8DC9" w14:textId="77777777" w:rsidR="00154E32" w:rsidRDefault="00A43E04">
            <w:pPr>
              <w:pStyle w:val="P68B1DB1-Normal5"/>
              <w:jc w:val="center"/>
              <w:rPr>
                <w:noProof/>
              </w:rPr>
            </w:pPr>
            <w:r>
              <w:rPr>
                <w:noProof/>
              </w:rPr>
              <w:t>Določba v sekundarnih aktih, ki določa začetek veljavnosti sekundarnih aktov</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880906"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CEFD15"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CFC734"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19CEB0"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1B03A4" w14:textId="77777777" w:rsidR="00154E32" w:rsidRDefault="00A43E04">
            <w:pPr>
              <w:pStyle w:val="P68B1DB1-Normal5"/>
              <w:jc w:val="center"/>
              <w:rPr>
                <w:noProof/>
              </w:rPr>
            </w:pPr>
            <w:r>
              <w:rPr>
                <w:noProof/>
              </w:rPr>
              <w:t>2023</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676BEB" w14:textId="77777777" w:rsidR="00154E32" w:rsidRDefault="00A43E04">
            <w:pPr>
              <w:pStyle w:val="P68B1DB1-Normal5"/>
              <w:spacing w:after="120"/>
              <w:rPr>
                <w:noProof/>
              </w:rPr>
            </w:pPr>
            <w:r>
              <w:rPr>
                <w:noProof/>
              </w:rPr>
              <w:t>Dokončati sprejetje vseh predpisov in sekundarnih virov zakonodaje, potrebnih za učinkovito uporabo omogočitvenih zakonov za reforme pravosodja.</w:t>
            </w:r>
          </w:p>
        </w:tc>
      </w:tr>
      <w:tr w:rsidR="00154E32" w14:paraId="34AB677D"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C241A4" w14:textId="77777777" w:rsidR="00154E32" w:rsidRDefault="00A43E04">
            <w:pPr>
              <w:pStyle w:val="P68B1DB1-Normal5"/>
              <w:jc w:val="center"/>
              <w:rPr>
                <w:noProof/>
              </w:rPr>
            </w:pPr>
            <w:r>
              <w:rPr>
                <w:noProof/>
              </w:rPr>
              <w:t>M1C1–38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5CF78A" w14:textId="77777777" w:rsidR="00154E32" w:rsidRDefault="00A43E04">
            <w:pPr>
              <w:pStyle w:val="P68B1DB1-Normal5"/>
              <w:jc w:val="center"/>
              <w:rPr>
                <w:noProof/>
              </w:rPr>
            </w:pPr>
            <w:r>
              <w:rPr>
                <w:noProof/>
              </w:rPr>
              <w:t>Reforma 1.8: Digitalizacija pravosodja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911D22"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177D71" w14:textId="77777777" w:rsidR="00154E32" w:rsidRDefault="00A43E04">
            <w:pPr>
              <w:pStyle w:val="P68B1DB1-Normal5"/>
              <w:jc w:val="center"/>
              <w:rPr>
                <w:noProof/>
              </w:rPr>
            </w:pPr>
            <w:r>
              <w:rPr>
                <w:noProof/>
              </w:rPr>
              <w:t>Digitalizacija pravosodnega sistema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341497" w14:textId="77777777" w:rsidR="00154E32" w:rsidRDefault="00A43E04">
            <w:pPr>
              <w:pStyle w:val="P68B1DB1-Normal5"/>
              <w:jc w:val="center"/>
              <w:rPr>
                <w:noProof/>
              </w:rPr>
            </w:pPr>
            <w:r>
              <w:rPr>
                <w:noProof/>
              </w:rPr>
              <w:t>Določba v primarnih in sekundarnih aktih, ki določa začetek veljavnosti ustreznih aktov</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06DC11"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3551B6"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8CB5A5"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213E9A"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6B749B" w14:textId="77777777" w:rsidR="00154E32" w:rsidRDefault="00A43E04">
            <w:pPr>
              <w:pStyle w:val="P68B1DB1-Normal5"/>
              <w:jc w:val="center"/>
              <w:rPr>
                <w:noProof/>
              </w:rPr>
            </w:pPr>
            <w:r>
              <w:rPr>
                <w:noProof/>
              </w:rPr>
              <w:t>2023</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655644" w14:textId="77777777" w:rsidR="00154E32" w:rsidRDefault="00A43E04">
            <w:pPr>
              <w:pStyle w:val="P68B1DB1-Normal5"/>
              <w:spacing w:after="120"/>
              <w:rPr>
                <w:noProof/>
              </w:rPr>
            </w:pPr>
            <w:r>
              <w:rPr>
                <w:noProof/>
              </w:rPr>
              <w:t>Vzpostavi se obvezna elektronska vložitev vseh dokumentov in celoten elektronski delovni postopek za civilne postopke. Kazenski postopek na prvi stopnji je digitaliziran (razen urada za predhodno zaslišanje). Vzpostavitev brezplačne, v celoti dostopne zbirke podatkov o civilnih odločbah, ki jo je mogoče iskati po njih v skladu z zakonodajo.</w:t>
            </w:r>
          </w:p>
        </w:tc>
      </w:tr>
      <w:tr w:rsidR="00154E32" w14:paraId="098518EB"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ADF8C2" w14:textId="77777777" w:rsidR="00154E32" w:rsidRDefault="00A43E04">
            <w:pPr>
              <w:pStyle w:val="P68B1DB1-Normal5"/>
              <w:jc w:val="center"/>
              <w:rPr>
                <w:noProof/>
              </w:rPr>
            </w:pPr>
            <w:r>
              <w:rPr>
                <w:noProof/>
              </w:rPr>
              <w:t>M1C1–39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2CF5DA" w14:textId="77777777" w:rsidR="00154E32" w:rsidRDefault="00A43E04">
            <w:pPr>
              <w:pStyle w:val="P68B1DB1-Normal5"/>
              <w:jc w:val="center"/>
              <w:rPr>
                <w:noProof/>
              </w:rPr>
            </w:pPr>
            <w:r>
              <w:rPr>
                <w:noProof/>
              </w:rPr>
              <w:t>Naložba 1.8: Postopki zaposlovanja na civilnih in kazenskih sodiščih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E0A20F"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B5E893" w14:textId="77777777" w:rsidR="00154E32" w:rsidRDefault="00A43E04">
            <w:pPr>
              <w:pStyle w:val="P68B1DB1-Normal5"/>
              <w:jc w:val="center"/>
              <w:rPr>
                <w:noProof/>
              </w:rPr>
            </w:pPr>
            <w:r>
              <w:rPr>
                <w:noProof/>
              </w:rPr>
              <w:t>Zaključek postopkov zaposlovanja na civilnih in kazenskih sodiščih ter teritorialnih in osrednjih službah ministrstva za pravosodje, pristojnih za izvajanje načrta za okrevanje in odpornost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A8220C"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2F0D9D" w14:textId="77777777" w:rsidR="00154E32" w:rsidRDefault="00A43E04">
            <w:pPr>
              <w:pStyle w:val="P68B1DB1-Normal5"/>
              <w:jc w:val="center"/>
              <w:rPr>
                <w:noProof/>
              </w:rPr>
            </w:pPr>
            <w:r>
              <w:rPr>
                <w:noProof/>
              </w:rPr>
              <w:t>Število</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29FF0D" w14:textId="77777777" w:rsidR="00154E32" w:rsidRDefault="00A43E04">
            <w:pPr>
              <w:pStyle w:val="P68B1DB1-Normal5"/>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2A6658" w14:textId="77777777" w:rsidR="00154E32" w:rsidRDefault="00A43E04">
            <w:pPr>
              <w:pStyle w:val="P68B1DB1-Normal5"/>
              <w:jc w:val="center"/>
              <w:rPr>
                <w:noProof/>
              </w:rPr>
            </w:pPr>
            <w:r>
              <w:rPr>
                <w:noProof/>
              </w:rPr>
              <w:t>10 000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A53746"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467BA1"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01AB6C" w14:textId="27485AC8" w:rsidR="00154E32" w:rsidRDefault="00A43E04">
            <w:pPr>
              <w:pStyle w:val="P68B1DB1-Normal5"/>
              <w:spacing w:after="120"/>
              <w:rPr>
                <w:noProof/>
              </w:rPr>
            </w:pPr>
            <w:r>
              <w:rPr>
                <w:noProof/>
              </w:rPr>
              <w:t>Dokončati postopke zaposlovanja ali razširitve vsaj 10000 enot osebja za urad preskušanja in tehnično upravno osebje ter jih dati v obratovanje.</w:t>
            </w:r>
          </w:p>
          <w:p w14:paraId="161A4992" w14:textId="0EC4A00E" w:rsidR="00154E32" w:rsidRDefault="00A43E04">
            <w:pPr>
              <w:pStyle w:val="P68B1DB1-Normal5"/>
              <w:spacing w:after="120"/>
              <w:rPr>
                <w:noProof/>
              </w:rPr>
            </w:pPr>
            <w:r>
              <w:rPr>
                <w:noProof/>
              </w:rPr>
              <w:t xml:space="preserve">Izhodišče je število osebja ob koncu leta 2021. </w:t>
            </w:r>
          </w:p>
        </w:tc>
      </w:tr>
      <w:tr w:rsidR="00154E32" w14:paraId="62F9F8F7"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19AFA9" w14:textId="77777777" w:rsidR="00154E32" w:rsidRDefault="00A43E04">
            <w:pPr>
              <w:pStyle w:val="P68B1DB1-Normal5"/>
              <w:jc w:val="center"/>
              <w:rPr>
                <w:noProof/>
              </w:rPr>
            </w:pPr>
            <w:r>
              <w:rPr>
                <w:noProof/>
              </w:rPr>
              <w:t>M1C1–40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74BA64" w14:textId="77777777" w:rsidR="00154E32" w:rsidRDefault="00A43E04">
            <w:pPr>
              <w:pStyle w:val="P68B1DB1-Normal5"/>
              <w:jc w:val="center"/>
              <w:rPr>
                <w:noProof/>
              </w:rPr>
            </w:pPr>
            <w:r>
              <w:rPr>
                <w:noProof/>
              </w:rPr>
              <w:t>Naložba 1.8: Postopki zaposlovanja na upravnih sodiščih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1F598F"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BB8484" w14:textId="77777777" w:rsidR="00154E32" w:rsidRDefault="00A43E04">
            <w:pPr>
              <w:pStyle w:val="P68B1DB1-Normal5"/>
              <w:jc w:val="center"/>
              <w:rPr>
                <w:noProof/>
              </w:rPr>
            </w:pPr>
            <w:r>
              <w:rPr>
                <w:noProof/>
              </w:rPr>
              <w:t>Zaključek postopkov zaposlovanja na upravnih sodiščih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D76CF6"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7BC4E6" w14:textId="77777777" w:rsidR="00154E32" w:rsidRDefault="00A43E04">
            <w:pPr>
              <w:pStyle w:val="P68B1DB1-Normal5"/>
              <w:jc w:val="center"/>
              <w:rPr>
                <w:noProof/>
              </w:rPr>
            </w:pPr>
            <w:r>
              <w:rPr>
                <w:noProof/>
              </w:rPr>
              <w:t>Število</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3D99D9" w14:textId="77777777" w:rsidR="00154E32" w:rsidRDefault="00A43E04">
            <w:pPr>
              <w:pStyle w:val="P68B1DB1-Normal5"/>
              <w:jc w:val="center"/>
              <w:rPr>
                <w:noProof/>
              </w:rPr>
            </w:pPr>
            <w:r>
              <w:rPr>
                <w:noProof/>
              </w:rPr>
              <w:t>168</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44020E" w14:textId="77777777" w:rsidR="00154E32" w:rsidRDefault="00A43E04">
            <w:pPr>
              <w:pStyle w:val="P68B1DB1-Normal5"/>
              <w:jc w:val="center"/>
              <w:rPr>
                <w:noProof/>
              </w:rPr>
            </w:pPr>
            <w:r>
              <w:rPr>
                <w:noProof/>
              </w:rPr>
              <w:t>326</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0FC653"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3845ED"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DF84E4" w14:textId="77777777" w:rsidR="00154E32" w:rsidRDefault="00A43E04">
            <w:pPr>
              <w:pStyle w:val="P68B1DB1-Normal5"/>
              <w:spacing w:after="120"/>
              <w:rPr>
                <w:noProof/>
              </w:rPr>
            </w:pPr>
            <w:r>
              <w:rPr>
                <w:noProof/>
              </w:rPr>
              <w:t>Dokončati postopke zaposlovanja vsaj 326 enot osebja za obravnavni urad in upravna sodišča ter dati v uporabo enote. Izhodišče je število osebja v drugem četrtletju leta 2022.</w:t>
            </w:r>
          </w:p>
        </w:tc>
      </w:tr>
      <w:tr w:rsidR="00154E32" w14:paraId="14ED400D"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D10947" w14:textId="77777777" w:rsidR="00154E32" w:rsidRDefault="00A43E04">
            <w:pPr>
              <w:pStyle w:val="P68B1DB1-Normal5"/>
              <w:jc w:val="center"/>
              <w:rPr>
                <w:noProof/>
              </w:rPr>
            </w:pPr>
            <w:r>
              <w:rPr>
                <w:noProof/>
              </w:rPr>
              <w:t>M1C1–41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5DB1B3" w14:textId="77777777" w:rsidR="00154E32" w:rsidRDefault="00A43E04">
            <w:pPr>
              <w:pStyle w:val="P68B1DB1-Normal5"/>
              <w:jc w:val="center"/>
              <w:rPr>
                <w:noProof/>
              </w:rPr>
            </w:pPr>
            <w:r>
              <w:rPr>
                <w:noProof/>
              </w:rPr>
              <w:t>Naložba 1.8: Postopki zaposlovanja na upravnih sodiščih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76EFC1"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D87CC8" w14:textId="77777777" w:rsidR="00154E32" w:rsidRDefault="00A43E04">
            <w:pPr>
              <w:pStyle w:val="P68B1DB1-Normal5"/>
              <w:jc w:val="center"/>
              <w:rPr>
                <w:noProof/>
              </w:rPr>
            </w:pPr>
            <w:r>
              <w:rPr>
                <w:noProof/>
              </w:rPr>
              <w:t>Zmanjšanje zaostankov pri upravnih regionalnih sodiščih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37CAF1"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714190"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ED0C21" w14:textId="77777777" w:rsidR="00154E32" w:rsidRDefault="00A43E04">
            <w:pPr>
              <w:pStyle w:val="P68B1DB1-Normal5"/>
              <w:jc w:val="center"/>
              <w:rPr>
                <w:noProof/>
              </w:rPr>
            </w:pPr>
            <w:r>
              <w:rPr>
                <w:noProof/>
              </w:rPr>
              <w:t>100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F70729" w14:textId="77777777" w:rsidR="00154E32" w:rsidRDefault="00A43E04">
            <w:pPr>
              <w:pStyle w:val="P68B1DB1-Normal5"/>
              <w:jc w:val="center"/>
              <w:rPr>
                <w:noProof/>
              </w:rPr>
            </w:pPr>
            <w:r>
              <w:rPr>
                <w:noProof/>
              </w:rPr>
              <w:t>75</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DA7A13"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8A0980"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9B4685" w14:textId="74F9206A" w:rsidR="00154E32" w:rsidRDefault="00A43E04">
            <w:pPr>
              <w:pStyle w:val="P68B1DB1-Normal5"/>
              <w:spacing w:after="120"/>
              <w:rPr>
                <w:noProof/>
              </w:rPr>
            </w:pPr>
            <w:r>
              <w:rPr>
                <w:noProof/>
              </w:rPr>
              <w:t>Za 25 % zmanjšati število nerešenih zadev v letu 2019 (109029) na upravnih okrožnih sodiščih (upravnih sodiščih prve stopnje).</w:t>
            </w:r>
          </w:p>
        </w:tc>
      </w:tr>
      <w:tr w:rsidR="00154E32" w14:paraId="300604CF"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BEDD21" w14:textId="77777777" w:rsidR="00154E32" w:rsidRDefault="00A43E04">
            <w:pPr>
              <w:pStyle w:val="P68B1DB1-Normal5"/>
              <w:jc w:val="center"/>
              <w:rPr>
                <w:noProof/>
              </w:rPr>
            </w:pPr>
            <w:r>
              <w:rPr>
                <w:noProof/>
              </w:rPr>
              <w:t>M1C1–42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3633D8" w14:textId="77777777" w:rsidR="00154E32" w:rsidRDefault="00A43E04">
            <w:pPr>
              <w:pStyle w:val="P68B1DB1-Normal5"/>
              <w:jc w:val="center"/>
              <w:rPr>
                <w:noProof/>
              </w:rPr>
            </w:pPr>
            <w:r>
              <w:rPr>
                <w:noProof/>
              </w:rPr>
              <w:t>Naložba 1.8: Postopki zaposlovanja na upravnih sodiščih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6FE539"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B98A02" w14:textId="77777777" w:rsidR="00154E32" w:rsidRDefault="00A43E04">
            <w:pPr>
              <w:pStyle w:val="P68B1DB1-Normal5"/>
              <w:jc w:val="center"/>
              <w:rPr>
                <w:noProof/>
              </w:rPr>
            </w:pPr>
            <w:r>
              <w:rPr>
                <w:noProof/>
              </w:rPr>
              <w:t>Zmanjšanje sodnih zaostankov za državni svet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F04173"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0BA0A2"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1E481B" w14:textId="77777777" w:rsidR="00154E32" w:rsidRDefault="00A43E04">
            <w:pPr>
              <w:pStyle w:val="P68B1DB1-Normal5"/>
              <w:jc w:val="center"/>
              <w:rPr>
                <w:noProof/>
              </w:rPr>
            </w:pPr>
            <w:r>
              <w:rPr>
                <w:noProof/>
              </w:rPr>
              <w:t>100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C12B2B" w14:textId="77777777" w:rsidR="00154E32" w:rsidRDefault="00A43E04">
            <w:pPr>
              <w:pStyle w:val="P68B1DB1-Normal5"/>
              <w:jc w:val="center"/>
              <w:rPr>
                <w:noProof/>
              </w:rPr>
            </w:pPr>
            <w:r>
              <w:rPr>
                <w:noProof/>
              </w:rPr>
              <w:t>65</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A1F819"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B7AB00"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2809A0" w14:textId="5E6CFFE7" w:rsidR="00154E32" w:rsidRDefault="00A43E04">
            <w:pPr>
              <w:pStyle w:val="P68B1DB1-Normal5"/>
              <w:spacing w:after="120"/>
              <w:rPr>
                <w:noProof/>
              </w:rPr>
            </w:pPr>
            <w:r>
              <w:rPr>
                <w:noProof/>
              </w:rPr>
              <w:t>Za 35 % zmanjšati število nerešenih zadev v letu 2019 (24010) na državnem svetu (druga stopnja).</w:t>
            </w:r>
          </w:p>
        </w:tc>
      </w:tr>
      <w:tr w:rsidR="00154E32" w14:paraId="7FF8BE55"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F35030" w14:textId="77777777" w:rsidR="00154E32" w:rsidRDefault="00A43E04">
            <w:pPr>
              <w:pStyle w:val="P68B1DB1-Normal5"/>
              <w:jc w:val="center"/>
              <w:rPr>
                <w:noProof/>
              </w:rPr>
            </w:pPr>
            <w:r>
              <w:rPr>
                <w:noProof/>
              </w:rPr>
              <w:t>M1C1–43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583D39" w14:textId="77777777" w:rsidR="00154E32" w:rsidRDefault="00A43E04">
            <w:pPr>
              <w:pStyle w:val="P68B1DB1-Normal5"/>
              <w:jc w:val="center"/>
              <w:rPr>
                <w:noProof/>
              </w:rPr>
            </w:pPr>
            <w:r>
              <w:rPr>
                <w:noProof/>
              </w:rPr>
              <w:t>Reforma 1.4: Reforma civilnega pravosodja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3169E2"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B7C318" w14:textId="77777777" w:rsidR="00154E32" w:rsidRDefault="00A43E04">
            <w:pPr>
              <w:pStyle w:val="P68B1DB1-Normal5"/>
              <w:jc w:val="center"/>
              <w:rPr>
                <w:noProof/>
              </w:rPr>
            </w:pPr>
            <w:r>
              <w:rPr>
                <w:noProof/>
              </w:rPr>
              <w:t>Zmanjšanje zaostankov pri civilnih splošnih sodiščih (prva stopnja)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C427D6"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393ED1"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2BBE5A" w14:textId="77777777" w:rsidR="00154E32" w:rsidRDefault="00A43E04">
            <w:pPr>
              <w:pStyle w:val="P68B1DB1-Normal5"/>
              <w:jc w:val="center"/>
              <w:rPr>
                <w:noProof/>
              </w:rPr>
            </w:pPr>
            <w:r>
              <w:rPr>
                <w:noProof/>
              </w:rPr>
              <w:t>100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326826" w14:textId="77777777" w:rsidR="00154E32" w:rsidRDefault="00A43E04">
            <w:pPr>
              <w:pStyle w:val="P68B1DB1-Normal5"/>
              <w:jc w:val="center"/>
              <w:rPr>
                <w:noProof/>
              </w:rPr>
            </w:pPr>
            <w:r>
              <w:rPr>
                <w:noProof/>
              </w:rPr>
              <w:t>5</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D25165"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89767F"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93A1B5" w14:textId="77777777" w:rsidR="00154E32" w:rsidRDefault="00A43E04">
            <w:pPr>
              <w:pStyle w:val="P68B1DB1-Normal5"/>
              <w:spacing w:after="120"/>
              <w:rPr>
                <w:noProof/>
              </w:rPr>
            </w:pPr>
            <w:r>
              <w:rPr>
                <w:noProof/>
              </w:rPr>
              <w:t>Za 95 % zmanjšati število nerešenih zadev v letu 2019 (337740) na civilnih splošnih sodiščih (prva stopnja).</w:t>
            </w:r>
          </w:p>
          <w:p w14:paraId="41AF5FBD" w14:textId="7D995099" w:rsidR="00154E32" w:rsidRDefault="00A43E04">
            <w:pPr>
              <w:pStyle w:val="P68B1DB1-Normal5"/>
              <w:spacing w:after="120"/>
              <w:rPr>
                <w:noProof/>
              </w:rPr>
            </w:pPr>
            <w:r>
              <w:rPr>
                <w:noProof/>
              </w:rPr>
              <w:t>Izhodišče je število nerešenih zadev pred civilnimi rednimi sodišči več kot tri leta (leta 2019).</w:t>
            </w:r>
          </w:p>
        </w:tc>
      </w:tr>
      <w:tr w:rsidR="00154E32" w14:paraId="1CD1817C"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AAB992" w14:textId="77777777" w:rsidR="00154E32" w:rsidRDefault="00A43E04">
            <w:pPr>
              <w:pStyle w:val="P68B1DB1-Normal5"/>
              <w:jc w:val="center"/>
              <w:rPr>
                <w:noProof/>
              </w:rPr>
            </w:pPr>
            <w:r>
              <w:rPr>
                <w:noProof/>
              </w:rPr>
              <w:t>M1C1–44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9DBEBA" w14:textId="77777777" w:rsidR="00154E32" w:rsidRDefault="00A43E04">
            <w:pPr>
              <w:pStyle w:val="P68B1DB1-Normal5"/>
              <w:jc w:val="center"/>
              <w:rPr>
                <w:noProof/>
              </w:rPr>
            </w:pPr>
            <w:r>
              <w:rPr>
                <w:noProof/>
              </w:rPr>
              <w:t>Reforma 1.4: Reforma civilnega pravosodja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AAB13F"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5EA941" w14:textId="77777777" w:rsidR="00154E32" w:rsidRDefault="00A43E04">
            <w:pPr>
              <w:pStyle w:val="P68B1DB1-Normal5"/>
              <w:jc w:val="center"/>
              <w:rPr>
                <w:noProof/>
              </w:rPr>
            </w:pPr>
            <w:r>
              <w:rPr>
                <w:noProof/>
              </w:rPr>
              <w:t>Zmanjšanje zaostankov pri civilnem pritožbenem sodišču (druga stopnja)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902DFB"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40CA55"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9ED1AE" w14:textId="77777777" w:rsidR="00154E32" w:rsidRDefault="00A43E04">
            <w:pPr>
              <w:pStyle w:val="P68B1DB1-Normal5"/>
              <w:jc w:val="center"/>
              <w:rPr>
                <w:noProof/>
              </w:rPr>
            </w:pPr>
            <w:r>
              <w:rPr>
                <w:noProof/>
              </w:rPr>
              <w:t>100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DEDFE6" w14:textId="77777777" w:rsidR="00154E32" w:rsidRDefault="00A43E04">
            <w:pPr>
              <w:pStyle w:val="P68B1DB1-Normal5"/>
              <w:jc w:val="center"/>
              <w:rPr>
                <w:noProof/>
              </w:rPr>
            </w:pPr>
            <w:r>
              <w:rPr>
                <w:noProof/>
              </w:rPr>
              <w:t>5</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402C4F"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F09D8D"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D915AC" w14:textId="6647DADC" w:rsidR="00154E32" w:rsidRDefault="00A43E04">
            <w:pPr>
              <w:pStyle w:val="P68B1DB1-Normal5"/>
              <w:spacing w:after="120"/>
              <w:rPr>
                <w:noProof/>
              </w:rPr>
            </w:pPr>
            <w:r>
              <w:rPr>
                <w:noProof/>
              </w:rPr>
              <w:t xml:space="preserve">Za 95 % zmanjšati število nerešenih zadev v letu 2019 (98371) na civilnih pritožbenih sodiščih (druga stopnja). </w:t>
            </w:r>
          </w:p>
          <w:p w14:paraId="1D212D3F" w14:textId="77777777" w:rsidR="00154E32" w:rsidRDefault="00A43E04">
            <w:pPr>
              <w:pStyle w:val="P68B1DB1-Normal5"/>
              <w:spacing w:after="120"/>
              <w:rPr>
                <w:noProof/>
              </w:rPr>
            </w:pPr>
            <w:r>
              <w:rPr>
                <w:noProof/>
              </w:rPr>
              <w:t>Izhodišče je število nerešenih zadev pred civilnimi pritožbenimi sodišči več kot dve leti (leta 2019).</w:t>
            </w:r>
          </w:p>
        </w:tc>
      </w:tr>
      <w:tr w:rsidR="00154E32" w14:paraId="066869FA"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614358" w14:textId="3BA09B55" w:rsidR="00154E32" w:rsidRDefault="00A43E04">
            <w:pPr>
              <w:pStyle w:val="P68B1DB1-Normal5"/>
              <w:jc w:val="center"/>
              <w:rPr>
                <w:noProof/>
              </w:rPr>
            </w:pPr>
            <w:r>
              <w:rPr>
                <w:noProof/>
              </w:rPr>
              <w:t>M1C1–37a</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6163E2" w14:textId="77777777" w:rsidR="00154E32" w:rsidRDefault="00A43E04">
            <w:pPr>
              <w:pStyle w:val="P68B1DB1-Normal5"/>
              <w:jc w:val="center"/>
              <w:rPr>
                <w:noProof/>
              </w:rPr>
            </w:pPr>
            <w:r>
              <w:rPr>
                <w:noProof/>
              </w:rPr>
              <w:t>Reforma 1.4: Reforma civilnega pravosodja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419191"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8BB01B" w14:textId="77777777" w:rsidR="00154E32" w:rsidRDefault="00A43E04">
            <w:pPr>
              <w:pStyle w:val="P68B1DB1-Normal5"/>
              <w:jc w:val="center"/>
              <w:rPr>
                <w:noProof/>
              </w:rPr>
            </w:pPr>
            <w:r>
              <w:rPr>
                <w:noProof/>
              </w:rPr>
              <w:t>Začetek veljavnosti ukrepov za zmanjšanje zaostankov</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EFDEA3" w14:textId="77777777" w:rsidR="00154E32" w:rsidRDefault="00A43E04">
            <w:pPr>
              <w:pStyle w:val="P68B1DB1-Normal5"/>
              <w:jc w:val="center"/>
              <w:rPr>
                <w:noProof/>
              </w:rPr>
            </w:pPr>
            <w:r>
              <w:rPr>
                <w:noProof/>
              </w:rPr>
              <w:t>Določba zakona o začetku veljavnosti primarne zakonodaje in sekundarnih aktov za zmanjšanje zaostankov</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3D0374" w14:textId="77777777" w:rsidR="00154E32" w:rsidRDefault="00154E32">
            <w:pPr>
              <w:jc w:val="center"/>
              <w:rPr>
                <w:rFonts w:ascii="Arial Narrow" w:hAnsi="Arial Narrow" w:cs="Arial"/>
                <w:noProof/>
                <w:color w:val="006100"/>
                <w:sz w:val="20"/>
              </w:rPr>
            </w:pP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BA7D17" w14:textId="77777777" w:rsidR="00154E32" w:rsidRDefault="00154E32">
            <w:pPr>
              <w:jc w:val="center"/>
              <w:rPr>
                <w:rFonts w:ascii="Arial Narrow" w:hAnsi="Arial Narrow" w:cs="Arial"/>
                <w:noProof/>
                <w:color w:val="0061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5DB041" w14:textId="77777777" w:rsidR="00154E32" w:rsidRDefault="00154E32">
            <w:pPr>
              <w:jc w:val="center"/>
              <w:rPr>
                <w:rFonts w:ascii="Arial Narrow" w:hAnsi="Arial Narrow" w:cs="Arial"/>
                <w:noProof/>
                <w:color w:val="006100"/>
                <w:sz w:val="20"/>
              </w:rPr>
            </w:pP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3F595E"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546E58"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1A2844" w14:textId="69BE131A" w:rsidR="00154E32" w:rsidRDefault="00A43E04">
            <w:pPr>
              <w:pStyle w:val="P68B1DB1-Normal5"/>
              <w:rPr>
                <w:noProof/>
              </w:rPr>
            </w:pPr>
            <w:r>
              <w:rPr>
                <w:noProof/>
              </w:rPr>
              <w:t>Začetek veljavnosti primarne zakonodaje in sekundarnih virov zakonodaje, da se omogoči:</w:t>
            </w:r>
          </w:p>
          <w:p w14:paraId="6F87B41C" w14:textId="77777777" w:rsidR="00154E32" w:rsidRDefault="00A43E04">
            <w:pPr>
              <w:pStyle w:val="P68B1DB1-ListParagraph6"/>
              <w:numPr>
                <w:ilvl w:val="0"/>
                <w:numId w:val="113"/>
              </w:numPr>
              <w:ind w:left="304" w:hanging="142"/>
              <w:jc w:val="left"/>
              <w:rPr>
                <w:noProof/>
              </w:rPr>
            </w:pPr>
            <w:r>
              <w:rPr>
                <w:noProof/>
              </w:rPr>
              <w:t>Krepitev uradov za preskušanje, tudi s spodbudami, da bi privabili in obdržali enote osebja, najetega na podlagi sheme zaposlovanja za nacionalni načrt za okrevanje in odpornost;</w:t>
            </w:r>
          </w:p>
          <w:p w14:paraId="4415764E" w14:textId="49D383CF" w:rsidR="00154E32" w:rsidRDefault="00A43E04">
            <w:pPr>
              <w:pStyle w:val="P68B1DB1-ListParagraph6"/>
              <w:numPr>
                <w:ilvl w:val="0"/>
                <w:numId w:val="113"/>
              </w:numPr>
              <w:ind w:left="304" w:hanging="142"/>
              <w:jc w:val="left"/>
              <w:rPr>
                <w:noProof/>
              </w:rPr>
            </w:pPr>
            <w:r>
              <w:rPr>
                <w:noProof/>
              </w:rPr>
              <w:t>Oblikovanje spodbud za: (1) podpirati manj učinkovita sodišča pri zmanjševanju sodnih zaostankov v civilnih zadevah; (2) nagraditi sodne funkcije, ki dosegajo posebne letne cilje zmanjšanja števila nerešenih zadev v civilnem pravosodnem sistemu.</w:t>
            </w:r>
          </w:p>
        </w:tc>
      </w:tr>
      <w:tr w:rsidR="00154E32" w14:paraId="7DC4B2D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B654EA" w14:textId="77777777" w:rsidR="00154E32" w:rsidRDefault="00A43E04">
            <w:pPr>
              <w:pStyle w:val="P68B1DB1-Normal5"/>
              <w:jc w:val="center"/>
              <w:rPr>
                <w:noProof/>
              </w:rPr>
            </w:pPr>
            <w:r>
              <w:rPr>
                <w:noProof/>
              </w:rPr>
              <w:t>M1C1–45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E47E94" w14:textId="77777777" w:rsidR="00154E32" w:rsidRDefault="00A43E04">
            <w:pPr>
              <w:pStyle w:val="P68B1DB1-Normal5"/>
              <w:jc w:val="center"/>
              <w:rPr>
                <w:noProof/>
              </w:rPr>
            </w:pPr>
            <w:r>
              <w:rPr>
                <w:noProof/>
              </w:rPr>
              <w:t>Reformi 1.4 in 1.5: Reforma civilnega in kazenskega pravosodja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D8F16B"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B28729" w14:textId="77777777" w:rsidR="00154E32" w:rsidRDefault="00A43E04">
            <w:pPr>
              <w:pStyle w:val="P68B1DB1-Normal5"/>
              <w:jc w:val="center"/>
              <w:rPr>
                <w:noProof/>
              </w:rPr>
            </w:pPr>
            <w:r>
              <w:rPr>
                <w:noProof/>
              </w:rPr>
              <w:t>Skrajšanje trajanja civilnih postopkov</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F8224F"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49188D"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3FA9C5" w14:textId="77777777" w:rsidR="00154E32" w:rsidRDefault="00A43E04">
            <w:pPr>
              <w:pStyle w:val="P68B1DB1-Normal5"/>
              <w:jc w:val="center"/>
              <w:rPr>
                <w:noProof/>
              </w:rPr>
            </w:pPr>
            <w:r>
              <w:rPr>
                <w:noProof/>
              </w:rPr>
              <w:t>100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60CE85" w14:textId="77777777" w:rsidR="00154E32" w:rsidRDefault="00A43E04">
            <w:pPr>
              <w:pStyle w:val="P68B1DB1-Normal5"/>
              <w:jc w:val="center"/>
              <w:rPr>
                <w:noProof/>
              </w:rPr>
            </w:pPr>
            <w:r>
              <w:rPr>
                <w:noProof/>
              </w:rPr>
              <w:t>60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DFAA25"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8F2183"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0570C9" w14:textId="77777777" w:rsidR="00154E32" w:rsidRDefault="00A43E04">
            <w:pPr>
              <w:pStyle w:val="P68B1DB1-Normal5"/>
              <w:spacing w:after="120"/>
              <w:rPr>
                <w:noProof/>
              </w:rPr>
            </w:pPr>
            <w:r>
              <w:rPr>
                <w:noProof/>
              </w:rPr>
              <w:t xml:space="preserve">Skrajšati čas, potreben za izdajo sodne odločbe, za 40 % v vseh civilnih in gospodarskih pravdnih zadevah v primerjavi z letom 2019 </w:t>
            </w:r>
          </w:p>
        </w:tc>
      </w:tr>
      <w:tr w:rsidR="00154E32" w14:paraId="2C4C4A51"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0D2064" w14:textId="77777777" w:rsidR="00154E32" w:rsidRDefault="00A43E04">
            <w:pPr>
              <w:pStyle w:val="P68B1DB1-Normal5"/>
              <w:jc w:val="center"/>
              <w:rPr>
                <w:noProof/>
              </w:rPr>
            </w:pPr>
            <w:r>
              <w:rPr>
                <w:noProof/>
              </w:rPr>
              <w:t>M1C1–46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A09124" w14:textId="77777777" w:rsidR="00154E32" w:rsidRDefault="00A43E04">
            <w:pPr>
              <w:pStyle w:val="P68B1DB1-Normal5"/>
              <w:jc w:val="center"/>
              <w:rPr>
                <w:noProof/>
              </w:rPr>
            </w:pPr>
            <w:r>
              <w:rPr>
                <w:noProof/>
              </w:rPr>
              <w:t>Reformi 1.4 in 1.5: Reforma civilnega in kazenskega pravosodja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ECF2D0"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2BDC24" w14:textId="77777777" w:rsidR="00154E32" w:rsidRDefault="00A43E04">
            <w:pPr>
              <w:pStyle w:val="P68B1DB1-Normal5"/>
              <w:jc w:val="center"/>
              <w:rPr>
                <w:noProof/>
              </w:rPr>
            </w:pPr>
            <w:r>
              <w:rPr>
                <w:noProof/>
              </w:rPr>
              <w:t>Skrajšanje trajanja kazenskih postopkov</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A95553"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3B41EB"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5CBC5F" w14:textId="77777777" w:rsidR="00154E32" w:rsidRDefault="00A43E04">
            <w:pPr>
              <w:pStyle w:val="P68B1DB1-Normal5"/>
              <w:jc w:val="center"/>
              <w:rPr>
                <w:noProof/>
              </w:rPr>
            </w:pPr>
            <w:r>
              <w:rPr>
                <w:noProof/>
              </w:rPr>
              <w:t>100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B366D9" w14:textId="77777777" w:rsidR="00154E32" w:rsidRDefault="00A43E04">
            <w:pPr>
              <w:pStyle w:val="P68B1DB1-Normal5"/>
              <w:jc w:val="center"/>
              <w:rPr>
                <w:noProof/>
              </w:rPr>
            </w:pPr>
            <w:r>
              <w:rPr>
                <w:noProof/>
              </w:rPr>
              <w:t>75</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7D609C"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F008FA"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954386" w14:textId="77777777" w:rsidR="00154E32" w:rsidRDefault="00A43E04">
            <w:pPr>
              <w:pStyle w:val="P68B1DB1-Normal5"/>
              <w:spacing w:after="120"/>
              <w:rPr>
                <w:noProof/>
              </w:rPr>
            </w:pPr>
            <w:r>
              <w:rPr>
                <w:noProof/>
              </w:rPr>
              <w:t xml:space="preserve">Skrajšati čas, potreben za izdajo sodne odločbe, za 25 % v vseh kazenskih zadevah v primerjavi z letom 2019 </w:t>
            </w:r>
          </w:p>
        </w:tc>
      </w:tr>
      <w:tr w:rsidR="00154E32" w14:paraId="54A8C64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CBC8B7" w14:textId="77777777" w:rsidR="00154E32" w:rsidRDefault="00A43E04">
            <w:pPr>
              <w:pStyle w:val="P68B1DB1-Normal5"/>
              <w:jc w:val="center"/>
              <w:rPr>
                <w:noProof/>
              </w:rPr>
            </w:pPr>
            <w:r>
              <w:rPr>
                <w:noProof/>
              </w:rPr>
              <w:t>M1C1–47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DFCC4D" w14:textId="77777777" w:rsidR="00154E32" w:rsidRDefault="00A43E04">
            <w:pPr>
              <w:pStyle w:val="P68B1DB1-Normal5"/>
              <w:jc w:val="center"/>
              <w:rPr>
                <w:noProof/>
              </w:rPr>
            </w:pPr>
            <w:r>
              <w:rPr>
                <w:noProof/>
              </w:rPr>
              <w:t>Reforma 1.4: Reforma civilnega pravosodja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AD8C2D"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E76AE6" w14:textId="77777777" w:rsidR="00154E32" w:rsidRDefault="00A43E04">
            <w:pPr>
              <w:pStyle w:val="P68B1DB1-Normal5"/>
              <w:jc w:val="center"/>
              <w:rPr>
                <w:noProof/>
              </w:rPr>
            </w:pPr>
            <w:r>
              <w:rPr>
                <w:noProof/>
              </w:rPr>
              <w:t>Zmanjšanje sodnih zaostankov za civilna redna sodišča (prva stopnja)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FCB726"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0AEC1E"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112765" w14:textId="77777777" w:rsidR="00154E32" w:rsidRDefault="00A43E04">
            <w:pPr>
              <w:pStyle w:val="P68B1DB1-Normal5"/>
              <w:jc w:val="center"/>
              <w:rPr>
                <w:noProof/>
              </w:rPr>
            </w:pPr>
            <w:r>
              <w:rPr>
                <w:noProof/>
              </w:rPr>
              <w:t>100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213F23" w14:textId="77777777" w:rsidR="00154E32" w:rsidRDefault="00A43E04">
            <w:pPr>
              <w:pStyle w:val="P68B1DB1-Normal5"/>
              <w:jc w:val="center"/>
              <w:rPr>
                <w:noProof/>
              </w:rPr>
            </w:pPr>
            <w:r>
              <w:rPr>
                <w:noProof/>
              </w:rPr>
              <w:t>10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7FD557"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284A37"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B40821" w14:textId="4DBB2A8F" w:rsidR="00154E32" w:rsidRDefault="00A43E04">
            <w:pPr>
              <w:pStyle w:val="P68B1DB1-Normal5"/>
              <w:spacing w:after="120"/>
              <w:rPr>
                <w:noProof/>
              </w:rPr>
            </w:pPr>
            <w:r>
              <w:rPr>
                <w:noProof/>
              </w:rPr>
              <w:t xml:space="preserve">Za 90 % zmanjšati število nerešenih zadev, ki so bile odprte med 1. januarjem 2017 in 31. decembrom 2022 in so bile 31. decembra 2022 še vedno odprte (1197786) na civilnih splošnih sodiščih (prva stopnja). </w:t>
            </w:r>
          </w:p>
        </w:tc>
      </w:tr>
      <w:tr w:rsidR="00154E32" w14:paraId="53B3C8E4"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CABDDF" w14:textId="77777777" w:rsidR="00154E32" w:rsidRDefault="00A43E04">
            <w:pPr>
              <w:pStyle w:val="P68B1DB1-Normal5"/>
              <w:jc w:val="center"/>
              <w:rPr>
                <w:noProof/>
              </w:rPr>
            </w:pPr>
            <w:r>
              <w:rPr>
                <w:noProof/>
              </w:rPr>
              <w:t>M1C1–48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E3036F" w14:textId="77777777" w:rsidR="00154E32" w:rsidRDefault="00A43E04">
            <w:pPr>
              <w:pStyle w:val="P68B1DB1-Normal5"/>
              <w:jc w:val="center"/>
              <w:rPr>
                <w:noProof/>
              </w:rPr>
            </w:pPr>
            <w:r>
              <w:rPr>
                <w:noProof/>
              </w:rPr>
              <w:t>Reforma 1.4: Reforma civilnega pravosodja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0770A0"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785F8D" w14:textId="77777777" w:rsidR="00154E32" w:rsidRDefault="00A43E04">
            <w:pPr>
              <w:pStyle w:val="P68B1DB1-Normal5"/>
              <w:jc w:val="center"/>
              <w:rPr>
                <w:noProof/>
              </w:rPr>
            </w:pPr>
            <w:r>
              <w:rPr>
                <w:noProof/>
              </w:rPr>
              <w:t>Zmanjšanje zaostankov pri civilnem pritožbenem sodišču (druga stopnja)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F66B41"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7D7DF2"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5584E1" w14:textId="77777777" w:rsidR="00154E32" w:rsidRDefault="00A43E04">
            <w:pPr>
              <w:pStyle w:val="P68B1DB1-Normal5"/>
              <w:jc w:val="center"/>
              <w:rPr>
                <w:noProof/>
              </w:rPr>
            </w:pPr>
            <w:r>
              <w:rPr>
                <w:noProof/>
              </w:rPr>
              <w:t>100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D78F05" w14:textId="77777777" w:rsidR="00154E32" w:rsidRDefault="00A43E04">
            <w:pPr>
              <w:pStyle w:val="P68B1DB1-Normal5"/>
              <w:jc w:val="center"/>
              <w:rPr>
                <w:noProof/>
              </w:rPr>
            </w:pPr>
            <w:r>
              <w:rPr>
                <w:noProof/>
              </w:rPr>
              <w:t>10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968024"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BED04D"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49F11D" w14:textId="1C6ED5E8" w:rsidR="00154E32" w:rsidRDefault="00A43E04">
            <w:pPr>
              <w:pStyle w:val="P68B1DB1-Normal5"/>
              <w:spacing w:after="120"/>
              <w:rPr>
                <w:noProof/>
              </w:rPr>
            </w:pPr>
            <w:r>
              <w:rPr>
                <w:noProof/>
              </w:rPr>
              <w:t xml:space="preserve">Za 90 % zmanjšati število nerešenih zadev, ki so bile odprte med 1. januarjem 2018 in 31. decembrom 2022 in so bile 31. decembra 2022 še vedno odprte (179306) na civilnih pritožbenih sodiščih (druga stopnja). </w:t>
            </w:r>
          </w:p>
        </w:tc>
      </w:tr>
      <w:tr w:rsidR="00154E32" w14:paraId="0DC211CC"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2EA746" w14:textId="77777777" w:rsidR="00154E32" w:rsidRDefault="00A43E04">
            <w:pPr>
              <w:pStyle w:val="P68B1DB1-Normal5"/>
              <w:jc w:val="center"/>
              <w:rPr>
                <w:noProof/>
              </w:rPr>
            </w:pPr>
            <w:r>
              <w:rPr>
                <w:noProof/>
              </w:rPr>
              <w:t>M1C1–49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D3F71B" w14:textId="77777777" w:rsidR="00154E32" w:rsidRDefault="00A43E04">
            <w:pPr>
              <w:pStyle w:val="P68B1DB1-Normal5"/>
              <w:jc w:val="center"/>
              <w:rPr>
                <w:noProof/>
              </w:rPr>
            </w:pPr>
            <w:r>
              <w:rPr>
                <w:noProof/>
              </w:rPr>
              <w:t>Naložba 1.8: Postopki zaposlovanja na upravnih sodiščih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BB9603"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76A458" w14:textId="3CBA1AA0" w:rsidR="00154E32" w:rsidRDefault="00A43E04">
            <w:pPr>
              <w:pStyle w:val="P68B1DB1-Normal5"/>
              <w:jc w:val="center"/>
              <w:rPr>
                <w:noProof/>
              </w:rPr>
            </w:pPr>
            <w:r>
              <w:rPr>
                <w:noProof/>
              </w:rPr>
              <w:t>Zmanjšanje zaostankov za upravna regionalna sodišča (prva stopnja)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8B80BC"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D6920C"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ADC9D2" w14:textId="77777777" w:rsidR="00154E32" w:rsidRDefault="00A43E04">
            <w:pPr>
              <w:pStyle w:val="P68B1DB1-Normal5"/>
              <w:jc w:val="center"/>
              <w:rPr>
                <w:noProof/>
              </w:rPr>
            </w:pPr>
            <w:r>
              <w:rPr>
                <w:noProof/>
              </w:rPr>
              <w:t>100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247A0C" w14:textId="77777777" w:rsidR="00154E32" w:rsidRDefault="00A43E04">
            <w:pPr>
              <w:pStyle w:val="P68B1DB1-Normal5"/>
              <w:jc w:val="center"/>
              <w:rPr>
                <w:noProof/>
              </w:rPr>
            </w:pPr>
            <w:r>
              <w:rPr>
                <w:noProof/>
              </w:rPr>
              <w:t>30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6AE278"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7EF3B4"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581FA0" w14:textId="1A10285D" w:rsidR="00154E32" w:rsidRDefault="00A43E04">
            <w:pPr>
              <w:pStyle w:val="P68B1DB1-Normal5"/>
              <w:spacing w:after="120"/>
              <w:rPr>
                <w:noProof/>
              </w:rPr>
            </w:pPr>
            <w:r>
              <w:rPr>
                <w:noProof/>
              </w:rPr>
              <w:t>Zmanjšanje števila nerešenih zadev (109029) v letu 2019 na upravnih okrožnih sodiščih (upravno sodišče prve stopnje) za 70 %.</w:t>
            </w:r>
          </w:p>
        </w:tc>
      </w:tr>
      <w:tr w:rsidR="00154E32" w14:paraId="60C7F046"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317C53" w14:textId="77777777" w:rsidR="00154E32" w:rsidRDefault="00A43E04">
            <w:pPr>
              <w:pStyle w:val="P68B1DB1-Normal5"/>
              <w:jc w:val="center"/>
              <w:rPr>
                <w:noProof/>
              </w:rPr>
            </w:pPr>
            <w:r>
              <w:rPr>
                <w:noProof/>
              </w:rPr>
              <w:t>M1C1–50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7B655A" w14:textId="77777777" w:rsidR="00154E32" w:rsidRDefault="00A43E04">
            <w:pPr>
              <w:pStyle w:val="P68B1DB1-Normal5"/>
              <w:jc w:val="center"/>
              <w:rPr>
                <w:noProof/>
              </w:rPr>
            </w:pPr>
            <w:r>
              <w:rPr>
                <w:noProof/>
              </w:rPr>
              <w:t>Naložba 1.8: Postopki zaposlovanja na upravnih sodiščih</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EC086F"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0C62E4" w14:textId="77777777" w:rsidR="00154E32" w:rsidRDefault="00A43E04">
            <w:pPr>
              <w:pStyle w:val="P68B1DB1-Normal5"/>
              <w:jc w:val="center"/>
              <w:rPr>
                <w:noProof/>
              </w:rPr>
            </w:pPr>
            <w:r>
              <w:rPr>
                <w:noProof/>
              </w:rPr>
              <w:t>Zmanjšanje sodnih zaostankov za državni svet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3A9320"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2B2BB5"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38ACFA" w14:textId="77777777" w:rsidR="00154E32" w:rsidRDefault="00A43E04">
            <w:pPr>
              <w:pStyle w:val="P68B1DB1-Normal5"/>
              <w:jc w:val="center"/>
              <w:rPr>
                <w:noProof/>
              </w:rPr>
            </w:pPr>
            <w:r>
              <w:rPr>
                <w:noProof/>
              </w:rPr>
              <w:t>100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50ADB7" w14:textId="77777777" w:rsidR="00154E32" w:rsidRDefault="00A43E04">
            <w:pPr>
              <w:pStyle w:val="P68B1DB1-Normal5"/>
              <w:jc w:val="center"/>
              <w:rPr>
                <w:noProof/>
              </w:rPr>
            </w:pPr>
            <w:r>
              <w:rPr>
                <w:noProof/>
              </w:rPr>
              <w:t>30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25167B"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DC2DB8"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D2DF29" w14:textId="275AF66A" w:rsidR="00154E32" w:rsidRDefault="00A43E04">
            <w:pPr>
              <w:pStyle w:val="P68B1DB1-Normal5"/>
              <w:spacing w:after="120"/>
              <w:rPr>
                <w:noProof/>
              </w:rPr>
            </w:pPr>
            <w:r>
              <w:rPr>
                <w:noProof/>
              </w:rPr>
              <w:t>Zmanjšanje števila nerešenih zadev (24010) v letu 2019 v državnem svetu (druga stopnja) za 70 %.</w:t>
            </w:r>
          </w:p>
        </w:tc>
      </w:tr>
      <w:tr w:rsidR="00154E32" w14:paraId="79CD9148"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599919" w14:textId="77777777" w:rsidR="00154E32" w:rsidRDefault="00A43E04">
            <w:pPr>
              <w:pStyle w:val="P68B1DB1-Normal5"/>
              <w:jc w:val="center"/>
              <w:rPr>
                <w:noProof/>
              </w:rPr>
            </w:pPr>
            <w:r>
              <w:rPr>
                <w:noProof/>
              </w:rPr>
              <w:t>M1C1–51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5354F6" w14:textId="77777777" w:rsidR="00154E32" w:rsidRDefault="00A43E04">
            <w:pPr>
              <w:pStyle w:val="P68B1DB1-Normal5"/>
              <w:jc w:val="center"/>
              <w:rPr>
                <w:noProof/>
              </w:rPr>
            </w:pPr>
            <w:r>
              <w:rPr>
                <w:noProof/>
              </w:rPr>
              <w:t>Reforma 1.9: Reforma javne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EF2507"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6C5835" w14:textId="77777777" w:rsidR="00154E32" w:rsidRDefault="00A43E04">
            <w:pPr>
              <w:pStyle w:val="P68B1DB1-Normal5"/>
              <w:jc w:val="center"/>
              <w:rPr>
                <w:noProof/>
              </w:rPr>
            </w:pPr>
            <w:r>
              <w:rPr>
                <w:noProof/>
              </w:rPr>
              <w:t>Začetek veljavnosti primarne zakonodaje o upravljanju italijanskega načrta za okrevanje in odpornost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80BAD9" w14:textId="77777777" w:rsidR="00154E32" w:rsidRDefault="00A43E04">
            <w:pPr>
              <w:pStyle w:val="P68B1DB1-Normal5"/>
              <w:jc w:val="center"/>
              <w:rPr>
                <w:noProof/>
              </w:rPr>
            </w:pPr>
            <w:r>
              <w:rPr>
                <w:noProof/>
              </w:rPr>
              <w:t>Določba zakona o začetku veljavnosti zakona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8D0F9E"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9CF2BF"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1954C4"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D5B2B4"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357284" w14:textId="77777777" w:rsidR="00154E32" w:rsidRDefault="00A43E04">
            <w:pPr>
              <w:pStyle w:val="P68B1DB1-Normal5"/>
              <w:jc w:val="center"/>
              <w:rPr>
                <w:noProof/>
              </w:rPr>
            </w:pPr>
            <w:r>
              <w:rPr>
                <w:noProof/>
              </w:rPr>
              <w:t>2021</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770499" w14:textId="77777777" w:rsidR="00154E32" w:rsidRDefault="00A43E04">
            <w:pPr>
              <w:pStyle w:val="P68B1DB1-Normal5"/>
              <w:spacing w:after="120"/>
              <w:rPr>
                <w:noProof/>
              </w:rPr>
            </w:pPr>
            <w:r>
              <w:rPr>
                <w:noProof/>
              </w:rPr>
              <w:t>Primarna zakonodaja se nanaša vsaj na:</w:t>
            </w:r>
          </w:p>
          <w:p w14:paraId="4FF848D5" w14:textId="77777777" w:rsidR="00154E32" w:rsidRDefault="00A43E04">
            <w:pPr>
              <w:pStyle w:val="P68B1DB1-Normal5"/>
              <w:spacing w:after="120"/>
              <w:rPr>
                <w:noProof/>
              </w:rPr>
            </w:pPr>
            <w:r>
              <w:rPr>
                <w:noProof/>
              </w:rPr>
              <w:t>1) Usklajevanje in spremljanje projektov italijanskega načrta za okrevanje in odpornost na centralni ravni;</w:t>
            </w:r>
          </w:p>
          <w:p w14:paraId="030EF8E9" w14:textId="77777777" w:rsidR="00154E32" w:rsidRDefault="00A43E04">
            <w:pPr>
              <w:pStyle w:val="P68B1DB1-Normal5"/>
              <w:spacing w:after="120"/>
              <w:rPr>
                <w:noProof/>
              </w:rPr>
            </w:pPr>
            <w:r>
              <w:rPr>
                <w:noProof/>
              </w:rPr>
              <w:t>Opredelitev in delitev pristojnosti ter odobritev ustreznih mandatov različnih organov in uprav, ki sodelujejo pri usklajevanju, spremljanju in izvajanju italijanskega načrta za okrevanje in odpornost;</w:t>
            </w:r>
          </w:p>
          <w:p w14:paraId="706FBAD7" w14:textId="77777777" w:rsidR="00154E32" w:rsidRDefault="00A43E04">
            <w:pPr>
              <w:pStyle w:val="P68B1DB1-Normal5"/>
              <w:spacing w:after="120"/>
              <w:rPr>
                <w:noProof/>
              </w:rPr>
            </w:pPr>
            <w:r>
              <w:rPr>
                <w:noProof/>
              </w:rPr>
              <w:t>3) Opredelitev sistema za zgodnje odkrivanje težav pri izvajanju;</w:t>
            </w:r>
          </w:p>
          <w:p w14:paraId="095FACCB" w14:textId="77777777" w:rsidR="00154E32" w:rsidRDefault="00A43E04">
            <w:pPr>
              <w:pStyle w:val="P68B1DB1-Normal5"/>
              <w:spacing w:after="120"/>
              <w:rPr>
                <w:noProof/>
              </w:rPr>
            </w:pPr>
            <w:r>
              <w:rPr>
                <w:noProof/>
              </w:rPr>
              <w:t>4) predhodna opredelitev mehanizma izvrševanja za reševanje težav pri izvajanju in preprečevanje zamud, zlasti v zvezi z različnimi ravnmi uprave;</w:t>
            </w:r>
          </w:p>
          <w:p w14:paraId="36749454" w14:textId="77777777" w:rsidR="00154E32" w:rsidRDefault="00A43E04">
            <w:pPr>
              <w:pStyle w:val="P68B1DB1-Normal5"/>
              <w:spacing w:after="120"/>
              <w:rPr>
                <w:noProof/>
              </w:rPr>
            </w:pPr>
            <w:r>
              <w:rPr>
                <w:noProof/>
              </w:rPr>
              <w:t>5) Opredelitev osebja (število in strokovno znanje), namenjenega usklajevanju, spremljanju in izvajanju italijanskega načrta za okrevanje in odpornost v sodelujočih upravah;</w:t>
            </w:r>
          </w:p>
          <w:p w14:paraId="316B3747" w14:textId="77777777" w:rsidR="00154E32" w:rsidRDefault="00A43E04">
            <w:pPr>
              <w:pStyle w:val="P68B1DB1-Normal5"/>
              <w:spacing w:after="120"/>
              <w:rPr>
                <w:noProof/>
              </w:rPr>
            </w:pPr>
            <w:r>
              <w:rPr>
                <w:noProof/>
              </w:rPr>
              <w:t>6) opredelitev tehnične pomoči upravam, vključenim v izvajanje italijanskega načrta za okrevanje in odpornost, zlasti na lokalni ravni, da se zagotovi krepitev upravnih zmogljivosti v javni upravi;</w:t>
            </w:r>
          </w:p>
          <w:p w14:paraId="793473AF" w14:textId="77777777" w:rsidR="00154E32" w:rsidRDefault="00A43E04">
            <w:pPr>
              <w:pStyle w:val="P68B1DB1-Normal5"/>
              <w:spacing w:after="120"/>
              <w:rPr>
                <w:noProof/>
              </w:rPr>
            </w:pPr>
            <w:r>
              <w:rPr>
                <w:noProof/>
              </w:rPr>
              <w:t>7) Opredelitev hitrih postopkov za izvajanje italijanskega načrta za okrevanje in odpornost ter pravočasno črpanje sredstev;</w:t>
            </w:r>
          </w:p>
          <w:p w14:paraId="6C46F90E" w14:textId="77777777" w:rsidR="00154E32" w:rsidRDefault="00A43E04">
            <w:pPr>
              <w:pStyle w:val="P68B1DB1-Normal5"/>
              <w:spacing w:after="120"/>
              <w:rPr>
                <w:noProof/>
              </w:rPr>
            </w:pPr>
            <w:r>
              <w:rPr>
                <w:noProof/>
              </w:rPr>
              <w:t>Organizacija revizije in nadzora ter postopki za italijanski načrt za okrevanje in odpornost.</w:t>
            </w:r>
          </w:p>
        </w:tc>
      </w:tr>
      <w:tr w:rsidR="00154E32" w14:paraId="7EF912A8"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4B7974" w14:textId="77777777" w:rsidR="00154E32" w:rsidRDefault="00A43E04">
            <w:pPr>
              <w:pStyle w:val="P68B1DB1-Normal5"/>
              <w:jc w:val="center"/>
              <w:rPr>
                <w:noProof/>
              </w:rPr>
            </w:pPr>
            <w:r>
              <w:rPr>
                <w:noProof/>
              </w:rPr>
              <w:t>M1C1–52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7F528D" w14:textId="77777777" w:rsidR="00154E32" w:rsidRDefault="00A43E04">
            <w:pPr>
              <w:pStyle w:val="P68B1DB1-Normal5"/>
              <w:jc w:val="center"/>
              <w:rPr>
                <w:noProof/>
              </w:rPr>
            </w:pPr>
            <w:r>
              <w:rPr>
                <w:noProof/>
              </w:rPr>
              <w:t>Reforma 1.9: Reforma javne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8EA4EA"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599FF8" w14:textId="77777777" w:rsidR="00154E32" w:rsidRDefault="00A43E04">
            <w:pPr>
              <w:pStyle w:val="P68B1DB1-Normal5"/>
              <w:jc w:val="center"/>
              <w:rPr>
                <w:noProof/>
              </w:rPr>
            </w:pPr>
            <w:r>
              <w:rPr>
                <w:noProof/>
              </w:rPr>
              <w:t>Začetek veljavnosti primarne zakonodaje o poenostavitvi upravnih postopkov za izvajanje italijanskega načrta za okrevanje in odpornost.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5AA36A" w14:textId="77777777" w:rsidR="00154E32" w:rsidRDefault="00A43E04">
            <w:pPr>
              <w:pStyle w:val="P68B1DB1-Normal5"/>
              <w:jc w:val="center"/>
              <w:rPr>
                <w:noProof/>
              </w:rPr>
            </w:pPr>
            <w:r>
              <w:rPr>
                <w:noProof/>
              </w:rPr>
              <w:t>Določba zakona o začetku veljavnosti zakona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3C0DCD"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EA215A"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0E5628"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0C32EC"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0A3AE8" w14:textId="77777777" w:rsidR="00154E32" w:rsidRDefault="00A43E04">
            <w:pPr>
              <w:pStyle w:val="P68B1DB1-Normal5"/>
              <w:jc w:val="center"/>
              <w:rPr>
                <w:noProof/>
              </w:rPr>
            </w:pPr>
            <w:r>
              <w:rPr>
                <w:noProof/>
              </w:rPr>
              <w:t>2021</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82D8CE" w14:textId="77777777" w:rsidR="00154E32" w:rsidRDefault="00A43E04">
            <w:pPr>
              <w:pStyle w:val="P68B1DB1-Normal5"/>
              <w:spacing w:after="120"/>
              <w:rPr>
                <w:noProof/>
              </w:rPr>
            </w:pPr>
            <w:r>
              <w:rPr>
                <w:noProof/>
              </w:rPr>
              <w:t>Ukrepi vključujejo:</w:t>
            </w:r>
          </w:p>
          <w:p w14:paraId="37C440DC" w14:textId="1FA8C72A" w:rsidR="00154E32" w:rsidRDefault="00A43E04">
            <w:pPr>
              <w:pStyle w:val="P68B1DB1-Normal5"/>
              <w:spacing w:after="120"/>
              <w:rPr>
                <w:noProof/>
              </w:rPr>
            </w:pPr>
            <w:r>
              <w:rPr>
                <w:noProof/>
              </w:rPr>
              <w:t>1) odpravo kritičnih ozkih grl, zlasti v zvezi z oceno vplivov na okolje na državni in regionalni ravni, odobritvijo novih obratov za recikliranje odpadkov, postopki za izdajo dovoljenj za energijo iz obnovljivih virov in tistimi, ki so potrebni za doseganje energetske učinkovitosti stavb (t. i. Super Bonus) in oživljanje mest. Posebni ukrepi so namenjeni poenostavitvi postopkov v okviru konference „Conferenza di servizi“ (uradni sporazum med dvema ali več javnimi upravami.</w:t>
            </w:r>
          </w:p>
        </w:tc>
      </w:tr>
      <w:tr w:rsidR="00154E32" w14:paraId="6F9FA67E"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4DB5F6" w14:textId="77777777" w:rsidR="00154E32" w:rsidRDefault="00A43E04">
            <w:pPr>
              <w:pStyle w:val="P68B1DB1-Normal5"/>
              <w:jc w:val="center"/>
              <w:rPr>
                <w:noProof/>
              </w:rPr>
            </w:pPr>
            <w:r>
              <w:rPr>
                <w:noProof/>
              </w:rPr>
              <w:t>M1C1–53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4A6CD2" w14:textId="77777777" w:rsidR="00154E32" w:rsidRDefault="00A43E04">
            <w:pPr>
              <w:pStyle w:val="P68B1DB1-Normal5"/>
              <w:jc w:val="center"/>
              <w:rPr>
                <w:noProof/>
              </w:rPr>
            </w:pPr>
            <w:r>
              <w:rPr>
                <w:noProof/>
              </w:rPr>
              <w:t>Naložba 1.9: Zagotavljanje tehnične pomoči in krepitev krepitve zmogljivosti za izvajanje italijanskega načrta za okrevanje in odpornost</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3D6E95"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C8301C" w14:textId="77777777" w:rsidR="00154E32" w:rsidRDefault="00A43E04">
            <w:pPr>
              <w:pStyle w:val="P68B1DB1-Normal5"/>
              <w:jc w:val="center"/>
              <w:rPr>
                <w:noProof/>
              </w:rPr>
            </w:pPr>
            <w:r>
              <w:rPr>
                <w:noProof/>
              </w:rPr>
              <w:t>Začetek veljavnosti primarne zakonodaje za zagotavljanje tehnične pomoči in krepitev krepitve zmogljivosti za izvajanje italijanskega načrta za okrevanje in odpornost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EA5DD0" w14:textId="77777777" w:rsidR="00154E32" w:rsidRDefault="00A43E04">
            <w:pPr>
              <w:pStyle w:val="P68B1DB1-Normal5"/>
              <w:jc w:val="center"/>
              <w:rPr>
                <w:noProof/>
              </w:rPr>
            </w:pPr>
            <w:r>
              <w:rPr>
                <w:noProof/>
              </w:rPr>
              <w:t>Določba zakona o začetku veljavnosti zakona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1DE4E1"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E2704B"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FABDF1"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55B871"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91A47C" w14:textId="77777777" w:rsidR="00154E32" w:rsidRDefault="00A43E04">
            <w:pPr>
              <w:pStyle w:val="P68B1DB1-Normal5"/>
              <w:jc w:val="center"/>
              <w:rPr>
                <w:noProof/>
              </w:rPr>
            </w:pPr>
            <w:r>
              <w:rPr>
                <w:noProof/>
              </w:rPr>
              <w:t>2021</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60164A" w14:textId="77777777" w:rsidR="00154E32" w:rsidRDefault="00A43E04">
            <w:pPr>
              <w:pStyle w:val="P68B1DB1-Normal5"/>
              <w:spacing w:after="120"/>
              <w:rPr>
                <w:noProof/>
              </w:rPr>
            </w:pPr>
            <w:r>
              <w:rPr>
                <w:noProof/>
              </w:rPr>
              <w:t>Ukrepi vključujejo določbo, ki omogoča začasno zaposlovanje:</w:t>
            </w:r>
          </w:p>
          <w:p w14:paraId="6B440EA4" w14:textId="4E1FF529" w:rsidR="00154E32" w:rsidRDefault="00A43E04">
            <w:pPr>
              <w:pStyle w:val="P68B1DB1-Normal5"/>
              <w:spacing w:after="120"/>
              <w:rPr>
                <w:noProof/>
              </w:rPr>
            </w:pPr>
            <w:r>
              <w:rPr>
                <w:noProof/>
              </w:rPr>
              <w:t>I) 2800 tehničnih podatkov za okrepitev javnih uprav na jugu, ki se plačujejo iz državnega proračuna;</w:t>
            </w:r>
          </w:p>
          <w:p w14:paraId="2CF289DD" w14:textId="77777777" w:rsidR="00154E32" w:rsidRDefault="00A43E04">
            <w:pPr>
              <w:pStyle w:val="P68B1DB1-Normal5"/>
              <w:spacing w:after="120"/>
              <w:rPr>
                <w:noProof/>
              </w:rPr>
            </w:pPr>
            <w:r>
              <w:rPr>
                <w:noProof/>
              </w:rPr>
              <w:t>skupina 1000 strokovnjakov, ki bodo tri leta napoteni za podporo upravam pri upravljanju novih postopkov, ki zagotavljajo tehnično pomoč.</w:t>
            </w:r>
          </w:p>
        </w:tc>
      </w:tr>
      <w:tr w:rsidR="00154E32" w14:paraId="3D57D15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C32D5A" w14:textId="77777777" w:rsidR="00154E32" w:rsidRDefault="00A43E04">
            <w:pPr>
              <w:pStyle w:val="P68B1DB1-Normal5"/>
              <w:jc w:val="center"/>
              <w:rPr>
                <w:noProof/>
              </w:rPr>
            </w:pPr>
            <w:r>
              <w:rPr>
                <w:noProof/>
              </w:rPr>
              <w:t>M1C1–54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AFC006" w14:textId="77777777" w:rsidR="00154E32" w:rsidRDefault="00A43E04">
            <w:pPr>
              <w:pStyle w:val="P68B1DB1-Normal5"/>
              <w:jc w:val="center"/>
              <w:rPr>
                <w:noProof/>
              </w:rPr>
            </w:pPr>
            <w:r>
              <w:rPr>
                <w:noProof/>
              </w:rPr>
              <w:t>Naložba 1.9: Zagotavljanje tehnične pomoči in krepitev krepitve zmogljivosti za izvajanje italijanskega načrta za okrevanje in odpornost</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664FFD"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178462" w14:textId="77777777" w:rsidR="00154E32" w:rsidRDefault="00A43E04">
            <w:pPr>
              <w:pStyle w:val="P68B1DB1-Normal5"/>
              <w:jc w:val="center"/>
              <w:rPr>
                <w:noProof/>
              </w:rPr>
            </w:pPr>
            <w:r>
              <w:rPr>
                <w:noProof/>
              </w:rPr>
              <w:t>Zaključeno zaposlovanje strokovnjakov za izvajanje italijanskega načrta za okrevanje in odpornost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3E9DE2"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3BD1B9" w14:textId="77777777" w:rsidR="00154E32" w:rsidRDefault="00A43E04">
            <w:pPr>
              <w:pStyle w:val="P68B1DB1-Normal5"/>
              <w:jc w:val="center"/>
              <w:rPr>
                <w:noProof/>
              </w:rPr>
            </w:pPr>
            <w:r>
              <w:rPr>
                <w:noProof/>
              </w:rPr>
              <w:t>Število</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E99240" w14:textId="77777777" w:rsidR="00154E32" w:rsidRDefault="00A43E04">
            <w:pPr>
              <w:pStyle w:val="P68B1DB1-Normal5"/>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9C9EC1" w14:textId="77777777" w:rsidR="00154E32" w:rsidRDefault="00A43E04">
            <w:pPr>
              <w:pStyle w:val="P68B1DB1-Normal5"/>
              <w:jc w:val="center"/>
              <w:rPr>
                <w:noProof/>
              </w:rPr>
            </w:pPr>
            <w:r>
              <w:rPr>
                <w:noProof/>
              </w:rPr>
              <w:t>1 000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83358B"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A9F0C3" w14:textId="77777777" w:rsidR="00154E32" w:rsidRDefault="00A43E04">
            <w:pPr>
              <w:pStyle w:val="P68B1DB1-Normal5"/>
              <w:jc w:val="center"/>
              <w:rPr>
                <w:noProof/>
              </w:rPr>
            </w:pPr>
            <w:r>
              <w:rPr>
                <w:noProof/>
              </w:rPr>
              <w:t>2021</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862575" w14:textId="77777777" w:rsidR="00154E32" w:rsidRDefault="00A43E04">
            <w:pPr>
              <w:pStyle w:val="P68B1DB1-Normal5"/>
              <w:spacing w:after="120"/>
              <w:rPr>
                <w:noProof/>
              </w:rPr>
            </w:pPr>
            <w:r>
              <w:rPr>
                <w:noProof/>
              </w:rPr>
              <w:t>Dokončati postopke zaposlovanja v naboru 1000 strokovnjakov, ki bodo napoteni za obdobje treh let v podporo upravam pri upravljanju novih postopkov, ki zagotavljajo tehnično pomoč.</w:t>
            </w:r>
          </w:p>
        </w:tc>
      </w:tr>
      <w:tr w:rsidR="00154E32" w14:paraId="13E97EE8"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060C21" w14:textId="77777777" w:rsidR="00154E32" w:rsidRDefault="00A43E04">
            <w:pPr>
              <w:pStyle w:val="P68B1DB1-Normal5"/>
              <w:jc w:val="center"/>
              <w:rPr>
                <w:noProof/>
              </w:rPr>
            </w:pPr>
            <w:r>
              <w:rPr>
                <w:noProof/>
              </w:rPr>
              <w:t>M1C1–55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0C49EC" w14:textId="77777777" w:rsidR="00154E32" w:rsidRDefault="00A43E04">
            <w:pPr>
              <w:pStyle w:val="P68B1DB1-Normal5"/>
              <w:jc w:val="center"/>
              <w:rPr>
                <w:noProof/>
              </w:rPr>
            </w:pPr>
            <w:r>
              <w:rPr>
                <w:noProof/>
              </w:rPr>
              <w:t>Reforma 1.9: Reforma javne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7CA6FF"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1F4A52" w14:textId="77777777" w:rsidR="00154E32" w:rsidRDefault="00A43E04">
            <w:pPr>
              <w:pStyle w:val="P68B1DB1-Normal5"/>
              <w:jc w:val="center"/>
              <w:rPr>
                <w:noProof/>
              </w:rPr>
            </w:pPr>
            <w:r>
              <w:rPr>
                <w:noProof/>
              </w:rPr>
              <w:t>Razširitev metodologije, ki se uporablja za italijanski načrt za okrevanje in odpornost, na nacionalni proračun, da se poveča črpanje naložb</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7302C7" w14:textId="77777777" w:rsidR="00154E32" w:rsidRDefault="00A43E04">
            <w:pPr>
              <w:pStyle w:val="P68B1DB1-Normal5"/>
              <w:jc w:val="center"/>
              <w:rPr>
                <w:noProof/>
              </w:rPr>
            </w:pPr>
            <w:r>
              <w:rPr>
                <w:noProof/>
              </w:rPr>
              <w:t>Določba zakona o začetku veljavnosti razširitve metodologije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3E8812"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F71D70"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31381D"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4295FD"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80E281" w14:textId="77777777" w:rsidR="00154E32" w:rsidRDefault="00A43E04">
            <w:pPr>
              <w:pStyle w:val="P68B1DB1-Normal5"/>
              <w:jc w:val="center"/>
              <w:rPr>
                <w:noProof/>
              </w:rPr>
            </w:pPr>
            <w:r>
              <w:rPr>
                <w:noProof/>
              </w:rPr>
              <w:t>2021</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7E2F4D" w14:textId="4E8B3D0E" w:rsidR="00154E32" w:rsidRDefault="00A43E04">
            <w:pPr>
              <w:pStyle w:val="P68B1DB1-Normal5"/>
              <w:spacing w:after="120"/>
              <w:rPr>
                <w:noProof/>
              </w:rPr>
            </w:pPr>
            <w:r>
              <w:rPr>
                <w:noProof/>
              </w:rPr>
              <w:t>Vzpostaviti poenostavljen sistem mejnikov in ciljev, podoben mehanizmu za okrevanje in odpornost, za načrtovanje, izvajanje in financiranje projektov v okviru dopolnilnega investicijskega sklada (30,5 milijarde EUR).</w:t>
            </w:r>
          </w:p>
        </w:tc>
      </w:tr>
      <w:tr w:rsidR="00154E32" w14:paraId="6D0096AB"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B64D43" w14:textId="77777777" w:rsidR="00154E32" w:rsidRDefault="00A43E04">
            <w:pPr>
              <w:pStyle w:val="P68B1DB1-Normal5"/>
              <w:jc w:val="center"/>
              <w:rPr>
                <w:noProof/>
              </w:rPr>
            </w:pPr>
            <w:r>
              <w:rPr>
                <w:noProof/>
              </w:rPr>
              <w:t>M1C1–56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BF1262" w14:textId="77777777" w:rsidR="00154E32" w:rsidRDefault="00A43E04">
            <w:pPr>
              <w:pStyle w:val="P68B1DB1-Normal5"/>
              <w:jc w:val="center"/>
              <w:rPr>
                <w:noProof/>
              </w:rPr>
            </w:pPr>
            <w:r>
              <w:rPr>
                <w:noProof/>
              </w:rPr>
              <w:t>Reforma 1.9: Reforma javne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30E3A3"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99BA3B" w14:textId="77777777" w:rsidR="00154E32" w:rsidRDefault="00A43E04">
            <w:pPr>
              <w:pStyle w:val="P68B1DB1-Normal5"/>
              <w:jc w:val="center"/>
              <w:rPr>
                <w:noProof/>
              </w:rPr>
            </w:pPr>
            <w:r>
              <w:rPr>
                <w:noProof/>
              </w:rPr>
              <w:t>Začetek veljavnosti zakonodaje, ki omogoča reformo zaposlovanja v javnem sektorju</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8A575A" w14:textId="77777777" w:rsidR="00154E32" w:rsidRDefault="00A43E04">
            <w:pPr>
              <w:pStyle w:val="P68B1DB1-Normal5"/>
              <w:jc w:val="center"/>
              <w:rPr>
                <w:noProof/>
              </w:rPr>
            </w:pPr>
            <w:r>
              <w:rPr>
                <w:noProof/>
              </w:rPr>
              <w:t>Določba zakona o začetku veljavnosti zakona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460371"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FEE788"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05324E"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67DBBD"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65AFD0" w14:textId="77777777" w:rsidR="00154E32" w:rsidRDefault="00A43E04">
            <w:pPr>
              <w:pStyle w:val="P68B1DB1-Normal5"/>
              <w:jc w:val="center"/>
              <w:rPr>
                <w:noProof/>
              </w:rPr>
            </w:pPr>
            <w:r>
              <w:rPr>
                <w:noProof/>
              </w:rPr>
              <w:t>2022</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168358" w14:textId="77777777" w:rsidR="00154E32" w:rsidRDefault="00A43E04">
            <w:pPr>
              <w:pStyle w:val="P68B1DB1-Normal5"/>
              <w:spacing w:after="120"/>
              <w:rPr>
                <w:noProof/>
              </w:rPr>
            </w:pPr>
            <w:r>
              <w:rPr>
                <w:noProof/>
              </w:rPr>
              <w:t>Pooblastitvena zakonodaja vključuje naslednje ukrepe:</w:t>
            </w:r>
          </w:p>
          <w:p w14:paraId="7DB9BD6D" w14:textId="77777777" w:rsidR="00154E32" w:rsidRDefault="00A43E04">
            <w:pPr>
              <w:pStyle w:val="P68B1DB1-Normal5"/>
              <w:spacing w:after="120"/>
              <w:rPr>
                <w:noProof/>
              </w:rPr>
            </w:pPr>
            <w:r>
              <w:rPr>
                <w:noProof/>
              </w:rPr>
              <w:t>opredelitev profilov delovnih mest, specifičnih za javni sektor, da bi pritegnili potrebne kompetence ter znanja in spretnosti;</w:t>
            </w:r>
          </w:p>
          <w:p w14:paraId="59A50578" w14:textId="77777777" w:rsidR="00154E32" w:rsidRDefault="00A43E04">
            <w:pPr>
              <w:pStyle w:val="P68B1DB1-Normal5"/>
              <w:spacing w:after="120"/>
              <w:rPr>
                <w:noProof/>
              </w:rPr>
            </w:pPr>
            <w:r>
              <w:rPr>
                <w:noProof/>
              </w:rPr>
              <w:t>vzpostavitev enotne platforme za zaposlovanje za centralizacijo javnih postopkov zaposlovanja za vse osrednje javne uprave z zavezo, da se uporaba platforme razširi tudi na lokalne uprave;</w:t>
            </w:r>
          </w:p>
          <w:p w14:paraId="2ACFA4A3" w14:textId="5290A996" w:rsidR="00154E32" w:rsidRDefault="00A43E04">
            <w:pPr>
              <w:pStyle w:val="P68B1DB1-Normal5"/>
              <w:spacing w:after="120"/>
              <w:rPr>
                <w:noProof/>
              </w:rPr>
            </w:pPr>
            <w:r>
              <w:rPr>
                <w:noProof/>
              </w:rPr>
              <w:t>reforma postopka zaposlovanja za: I) prehod s sistema, ki temelji izključno na znanju, na sistem, ki temelji predvsem na kompetencah in ustreznih sposobnostih; (II) ocenjevanje sposobnosti za opravljanje javnih uslužbencev; III) razlikujejo postopke zaposlovanja med zaposlovanjem na začetni ravni, ki temelji izključno na kompetencah, in zaposlovanjem specializiranih profilov, ki bi morali združevati kompetence z ustreznimi delovnimi izkušnjami in bi privedli do dostopa do poklicne poti na višji ravni. Ministrstvo za javno upravo zagotavlja dosledno izvajanje novega postopka v vseh upravah;</w:t>
            </w:r>
          </w:p>
          <w:p w14:paraId="7AEBC519" w14:textId="77777777" w:rsidR="00154E32" w:rsidRDefault="00A43E04">
            <w:pPr>
              <w:pStyle w:val="P68B1DB1-Normal5"/>
              <w:spacing w:after="120"/>
              <w:rPr>
                <w:noProof/>
              </w:rPr>
            </w:pPr>
            <w:r>
              <w:rPr>
                <w:noProof/>
              </w:rPr>
              <w:t>reforma višjih javnih uslužbencev za poenotenje postopkov imenovanja v javni upravi, opredelitev profilov delovnih mest in ocenjevanje njihove uspešnosti;</w:t>
            </w:r>
          </w:p>
          <w:p w14:paraId="41F53FA7" w14:textId="77777777" w:rsidR="00154E32" w:rsidRDefault="00A43E04">
            <w:pPr>
              <w:pStyle w:val="P68B1DB1-Normal5"/>
              <w:spacing w:after="120"/>
              <w:rPr>
                <w:noProof/>
              </w:rPr>
            </w:pPr>
            <w:r>
              <w:rPr>
                <w:noProof/>
              </w:rPr>
              <w:t>okrepiti povezavo med vseživljenjskim učenjem in možnostmi usposabljanja za zaposlene ter spodbudami za udeležbo, na primer z načrtovanjem mehanizmov nagrajevanja ali posebnih poklicnih poti, s posebnim poudarkom na dvojnem prehodu;</w:t>
            </w:r>
          </w:p>
          <w:p w14:paraId="7897AEF9" w14:textId="77777777" w:rsidR="00154E32" w:rsidRDefault="00A43E04">
            <w:pPr>
              <w:pStyle w:val="P68B1DB1-Normal5"/>
              <w:spacing w:after="120"/>
              <w:rPr>
                <w:noProof/>
              </w:rPr>
            </w:pPr>
            <w:r>
              <w:rPr>
                <w:noProof/>
              </w:rPr>
              <w:t>opredelitev ali posodobitev etičnih načel javnih uprav z jasnimi pravili, kodeksi ravnanja in moduli usposabljanja o tej temi;</w:t>
            </w:r>
          </w:p>
          <w:p w14:paraId="6E208755" w14:textId="77777777" w:rsidR="00154E32" w:rsidRDefault="00A43E04">
            <w:pPr>
              <w:pStyle w:val="P68B1DB1-Normal5"/>
              <w:spacing w:after="120"/>
              <w:rPr>
                <w:noProof/>
              </w:rPr>
            </w:pPr>
            <w:r>
              <w:rPr>
                <w:noProof/>
              </w:rPr>
              <w:t>okrepiti zavezanost uravnoteženi zastopanosti spolov;</w:t>
            </w:r>
          </w:p>
          <w:p w14:paraId="70F4B1E6" w14:textId="77777777" w:rsidR="00154E32" w:rsidRDefault="00A43E04">
            <w:pPr>
              <w:pStyle w:val="P68B1DB1-Normal5"/>
              <w:spacing w:after="120"/>
              <w:rPr>
                <w:noProof/>
              </w:rPr>
            </w:pPr>
            <w:r>
              <w:rPr>
                <w:noProof/>
              </w:rPr>
              <w:t>prenoviti regulativni okvir o vertikalni mobilnosti, reformirati poklicne poti za ustvarjanje in dostop do srednjih vodstvenih položajev („quadri“) ter dostop do višjih civilnih položajev („dirigenti di prima e seconda fascia“) iz uprave. To vključuje reformo sistema ocenjevanja uspešnosti ter krepitev povezave med poklicnim napredovanjem in ocenjevanjem uspešnosti;</w:t>
            </w:r>
          </w:p>
          <w:p w14:paraId="7659C5A7" w14:textId="77777777" w:rsidR="00154E32" w:rsidRDefault="00A43E04">
            <w:pPr>
              <w:pStyle w:val="P68B1DB1-Normal5"/>
              <w:rPr>
                <w:noProof/>
              </w:rPr>
            </w:pPr>
            <w:r>
              <w:rPr>
                <w:noProof/>
              </w:rPr>
              <w:t>prenovi regulativni okvir za horizontalno mobilnost, da se doseže učinkovit trg dela v javnih upravah, vključno z (a) vzpostavitvijo preglednega enotnega sistema oglaševanja za vsa prosta delovna mesta v centralni in lokalni upravi, (b) možnostjo prijave za katero koli razpoložljivo delovno mesto kjer koli, (c) odpravo dovoljenja za mobilnost iz uprave izvora in (d) uvedbo znatnih omejitev uporabe alternativnih načinov mobilnosti, ki ne vodijo do premeščanja (tj. „comandi“ in „distacchi“), da bi bili izjemni in časovno omejeni.</w:t>
            </w:r>
          </w:p>
        </w:tc>
      </w:tr>
      <w:tr w:rsidR="00154E32" w14:paraId="371D5831"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A119D4" w14:textId="77777777" w:rsidR="00154E32" w:rsidRDefault="00A43E04">
            <w:pPr>
              <w:pStyle w:val="P68B1DB1-Normal5"/>
              <w:jc w:val="center"/>
              <w:rPr>
                <w:noProof/>
              </w:rPr>
            </w:pPr>
            <w:r>
              <w:rPr>
                <w:noProof/>
              </w:rPr>
              <w:t>M1C1–57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68AFA9" w14:textId="77777777" w:rsidR="00154E32" w:rsidRDefault="00A43E04">
            <w:pPr>
              <w:pStyle w:val="P68B1DB1-Normal5"/>
              <w:jc w:val="center"/>
              <w:rPr>
                <w:noProof/>
              </w:rPr>
            </w:pPr>
            <w:r>
              <w:rPr>
                <w:noProof/>
              </w:rPr>
              <w:t>Reforma 1.9: Reforma javne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27B179"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D048F2" w14:textId="77777777" w:rsidR="00154E32" w:rsidRDefault="00A43E04">
            <w:pPr>
              <w:pStyle w:val="P68B1DB1-Normal5"/>
              <w:jc w:val="center"/>
              <w:rPr>
                <w:noProof/>
              </w:rPr>
            </w:pPr>
            <w:r>
              <w:rPr>
                <w:noProof/>
              </w:rPr>
              <w:t>Začetek veljavnosti upravnih postopkov za reformo poenostavitve, namenjeno izvajanju mehanizma za okrevanje in odpornost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8B4B87" w14:textId="77777777" w:rsidR="00154E32" w:rsidRDefault="00A43E04">
            <w:pPr>
              <w:pStyle w:val="P68B1DB1-Normal5"/>
              <w:jc w:val="center"/>
              <w:rPr>
                <w:noProof/>
              </w:rPr>
            </w:pPr>
            <w:r>
              <w:rPr>
                <w:noProof/>
              </w:rPr>
              <w:t>Določba zakona o začetku veljavnosti sekundarne zakonodaje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DD24D5"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DAA7FE"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6B7FFD"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19AFAC"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75647B" w14:textId="77777777" w:rsidR="00154E32" w:rsidRDefault="00A43E04">
            <w:pPr>
              <w:pStyle w:val="P68B1DB1-Normal5"/>
              <w:jc w:val="center"/>
              <w:rPr>
                <w:noProof/>
              </w:rPr>
            </w:pPr>
            <w:r>
              <w:rPr>
                <w:noProof/>
              </w:rPr>
              <w:t>2022</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9C7410" w14:textId="77777777" w:rsidR="00154E32" w:rsidRDefault="00A43E04">
            <w:pPr>
              <w:pStyle w:val="P68B1DB1-Normal5"/>
              <w:spacing w:after="120"/>
              <w:rPr>
                <w:noProof/>
              </w:rPr>
            </w:pPr>
            <w:r>
              <w:rPr>
                <w:noProof/>
              </w:rPr>
              <w:t>Začetek veljavnosti vseh povezanih delegiranih aktov, ministrskih odlokov, sekundarne zakonodaje in vseh drugih uredb, potrebnih za učinkovito izvajanje poenostavitve, vključno s sporazumi z regijami v primeru izključne in hkratne regionalne pristojnosti.</w:t>
            </w:r>
          </w:p>
        </w:tc>
      </w:tr>
      <w:tr w:rsidR="00154E32" w14:paraId="3B5CA787"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CD0EA0" w14:textId="77777777" w:rsidR="00154E32" w:rsidRDefault="00A43E04">
            <w:pPr>
              <w:pStyle w:val="P68B1DB1-Normal5"/>
              <w:jc w:val="center"/>
              <w:rPr>
                <w:noProof/>
              </w:rPr>
            </w:pPr>
            <w:r>
              <w:rPr>
                <w:noProof/>
              </w:rPr>
              <w:t>M1C1–58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B708EA" w14:textId="77777777" w:rsidR="00154E32" w:rsidRDefault="00A43E04">
            <w:pPr>
              <w:pStyle w:val="P68B1DB1-Normal5"/>
              <w:jc w:val="center"/>
              <w:rPr>
                <w:noProof/>
              </w:rPr>
            </w:pPr>
            <w:r>
              <w:rPr>
                <w:noProof/>
              </w:rPr>
              <w:t>Reforma 1.9: Reforma javne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DDA4FD"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0F6FA6" w14:textId="77777777" w:rsidR="00154E32" w:rsidRDefault="00A43E04">
            <w:pPr>
              <w:pStyle w:val="P68B1DB1-Normal5"/>
              <w:jc w:val="center"/>
              <w:rPr>
                <w:noProof/>
              </w:rPr>
            </w:pPr>
            <w:r>
              <w:rPr>
                <w:noProof/>
              </w:rPr>
              <w:t>Začetek veljavnosti pravnih aktov za reformo zaposlovanja v javnem sektorju</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3B2952" w14:textId="77777777" w:rsidR="00154E32" w:rsidRDefault="00A43E04">
            <w:pPr>
              <w:pStyle w:val="P68B1DB1-Normal5"/>
              <w:jc w:val="center"/>
              <w:rPr>
                <w:noProof/>
              </w:rPr>
            </w:pPr>
            <w:r>
              <w:rPr>
                <w:noProof/>
              </w:rPr>
              <w:t>Določba o začetku veljavnosti pravnih aktov za reformo zaposlovanja v javnem sektorju</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ACE57D"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ECB6D0"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2E3190"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303FA5"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069114" w14:textId="77777777" w:rsidR="00154E32" w:rsidRDefault="00A43E04">
            <w:pPr>
              <w:pStyle w:val="P68B1DB1-Normal5"/>
              <w:jc w:val="center"/>
              <w:rPr>
                <w:noProof/>
              </w:rPr>
            </w:pPr>
            <w:r>
              <w:rPr>
                <w:noProof/>
              </w:rPr>
              <w:t>2023</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F89AEF" w14:textId="77777777" w:rsidR="00154E32" w:rsidRDefault="00A43E04">
            <w:pPr>
              <w:pStyle w:val="P68B1DB1-Normal5"/>
              <w:spacing w:after="120"/>
              <w:rPr>
                <w:noProof/>
              </w:rPr>
            </w:pPr>
            <w:r>
              <w:rPr>
                <w:noProof/>
              </w:rPr>
              <w:t>Začetek veljavnosti vseh povezanih delegiranih aktov, ministrskih odlokov, sekundarne zakonodaje in vseh drugih uredb, potrebnih za učinkovito izvajanje reforme.</w:t>
            </w:r>
          </w:p>
        </w:tc>
      </w:tr>
      <w:tr w:rsidR="00154E32" w14:paraId="37AF744E"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93C4AD" w14:textId="77777777" w:rsidR="00154E32" w:rsidRDefault="00A43E04">
            <w:pPr>
              <w:pStyle w:val="P68B1DB1-Normal5"/>
              <w:jc w:val="center"/>
              <w:rPr>
                <w:noProof/>
              </w:rPr>
            </w:pPr>
            <w:r>
              <w:rPr>
                <w:noProof/>
              </w:rPr>
              <w:t>M1C1–59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ED0A7E" w14:textId="77777777" w:rsidR="00154E32" w:rsidRDefault="00A43E04">
            <w:pPr>
              <w:pStyle w:val="P68B1DB1-Normal5"/>
              <w:jc w:val="center"/>
              <w:rPr>
                <w:noProof/>
              </w:rPr>
            </w:pPr>
            <w:r>
              <w:rPr>
                <w:noProof/>
              </w:rPr>
              <w:t>Reforma 1.9: Reforma javne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B88879"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5857CE" w14:textId="77777777" w:rsidR="00154E32" w:rsidRDefault="00A43E04">
            <w:pPr>
              <w:pStyle w:val="P68B1DB1-Normal5"/>
              <w:jc w:val="center"/>
              <w:rPr>
                <w:noProof/>
              </w:rPr>
            </w:pPr>
            <w:r>
              <w:rPr>
                <w:noProof/>
              </w:rPr>
              <w:t>Začetek veljavnosti strateškega upravljanja človeških virov v javni upravi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2D6F79" w14:textId="77777777" w:rsidR="00154E32" w:rsidRDefault="00A43E04">
            <w:pPr>
              <w:pStyle w:val="P68B1DB1-Normal5"/>
              <w:jc w:val="center"/>
              <w:rPr>
                <w:noProof/>
              </w:rPr>
            </w:pPr>
            <w:r>
              <w:rPr>
                <w:noProof/>
              </w:rPr>
              <w:t>Določba o začetku veljavnosti zakonodaje za uvedbo strateškega upravljanja človeških virov v javni upravi</w:t>
            </w:r>
          </w:p>
          <w:p w14:paraId="3F1A55B1" w14:textId="77777777" w:rsidR="00154E32" w:rsidRDefault="00154E32">
            <w:pPr>
              <w:jc w:val="center"/>
              <w:rPr>
                <w:rFonts w:ascii="Arial Narrow" w:hAnsi="Arial Narrow" w:cs="Arial"/>
                <w:noProof/>
                <w:color w:val="006100"/>
                <w:sz w:val="20"/>
              </w:rPr>
            </w:pP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562DE1"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2B14FD"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D0F850"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D2FD0F"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432D25" w14:textId="77777777" w:rsidR="00154E32" w:rsidRDefault="00A43E04">
            <w:pPr>
              <w:pStyle w:val="P68B1DB1-Normal5"/>
              <w:jc w:val="center"/>
              <w:rPr>
                <w:noProof/>
              </w:rPr>
            </w:pPr>
            <w:r>
              <w:rPr>
                <w:noProof/>
              </w:rPr>
              <w:t>2023</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27D8A7" w14:textId="19EA6DC6" w:rsidR="00154E32" w:rsidRDefault="00A43E04">
            <w:pPr>
              <w:pStyle w:val="P68B1DB1-Normal5"/>
              <w:spacing w:after="120"/>
              <w:rPr>
                <w:noProof/>
              </w:rPr>
            </w:pPr>
            <w:r>
              <w:rPr>
                <w:noProof/>
              </w:rPr>
              <w:t>Zakonodaja in delegirani akti za uvedbo strateškega upravljanja človeških virov v javni upravi vključujejo: opredelitev strateških načrtov človeških virov za zaposlovanje, poklicni razvoj in usposabljanje v okviru celostnega načrta dejavnosti in organizacije (PIAO) za vse osrednje in regionalne uprave, podprto z integrirano podatkovno zbirko s spretnostmi in profili; ustanovitev centralne enote za izvajanje, ki bo usklajevala in podpirala sistem za načrtovanje človeških virov. V drugi fazi se strateški načrti na področju človeških virov razširijo na občine, male in srednje občine pa so predmet posebnih naložb v krepitev zmogljivosti.</w:t>
            </w:r>
          </w:p>
        </w:tc>
      </w:tr>
      <w:tr w:rsidR="00154E32" w14:paraId="2BF942D5"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0DB511" w14:textId="77777777" w:rsidR="00154E32" w:rsidRDefault="00A43E04">
            <w:pPr>
              <w:pStyle w:val="P68B1DB1-Normal5"/>
              <w:jc w:val="center"/>
              <w:rPr>
                <w:noProof/>
              </w:rPr>
            </w:pPr>
            <w:r>
              <w:rPr>
                <w:noProof/>
              </w:rPr>
              <w:t>M1C1–59A</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E83A1F" w14:textId="77777777" w:rsidR="00154E32" w:rsidRDefault="00A43E04">
            <w:pPr>
              <w:pStyle w:val="P68B1DB1-Normal5"/>
              <w:jc w:val="center"/>
              <w:rPr>
                <w:noProof/>
              </w:rPr>
            </w:pPr>
            <w:r>
              <w:rPr>
                <w:noProof/>
              </w:rPr>
              <w:t>Reforma 1.9: Reforma javne uprave</w:t>
            </w:r>
          </w:p>
          <w:p w14:paraId="190A9526" w14:textId="77777777" w:rsidR="00154E32" w:rsidRDefault="00154E32">
            <w:pPr>
              <w:jc w:val="center"/>
              <w:rPr>
                <w:rFonts w:ascii="Arial Narrow" w:hAnsi="Arial Narrow" w:cs="Arial"/>
                <w:noProof/>
                <w:color w:val="006100"/>
                <w:sz w:val="20"/>
              </w:rPr>
            </w:pP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089D22"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810262" w14:textId="77777777" w:rsidR="00154E32" w:rsidRDefault="00A43E04">
            <w:pPr>
              <w:pStyle w:val="P68B1DB1-Normal5"/>
              <w:jc w:val="center"/>
              <w:rPr>
                <w:noProof/>
              </w:rPr>
            </w:pPr>
            <w:r>
              <w:rPr>
                <w:noProof/>
              </w:rPr>
              <w:t>Izvajanje strateškega upravljanja človeških virov v javni upravi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454C0F" w14:textId="77777777" w:rsidR="00154E32" w:rsidRDefault="00A43E04">
            <w:pPr>
              <w:pStyle w:val="P68B1DB1-Normal5"/>
              <w:jc w:val="center"/>
              <w:rPr>
                <w:noProof/>
              </w:rPr>
            </w:pPr>
            <w:r>
              <w:rPr>
                <w:noProof/>
              </w:rPr>
              <w:t>Objava prvega polletnega poročila o ključnih kazalnikih uspešnosti.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83A8D9"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F17F06"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A2DC20"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E39463"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C06EDC"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69C00C" w14:textId="68BD134A" w:rsidR="00154E32" w:rsidRDefault="00A43E04">
            <w:pPr>
              <w:pStyle w:val="P68B1DB1-Normal5"/>
              <w:rPr>
                <w:noProof/>
              </w:rPr>
            </w:pPr>
            <w:r>
              <w:rPr>
                <w:noProof/>
              </w:rPr>
              <w:t>Prvo polletno poročilo o ključnih kazalnikih uspešnosti se objavi.</w:t>
            </w:r>
          </w:p>
        </w:tc>
      </w:tr>
      <w:tr w:rsidR="00154E32" w14:paraId="6B0E5B89"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85C13E" w14:textId="77777777" w:rsidR="00154E32" w:rsidRDefault="00A43E04">
            <w:pPr>
              <w:pStyle w:val="P68B1DB1-Normal5"/>
              <w:jc w:val="center"/>
              <w:rPr>
                <w:noProof/>
              </w:rPr>
            </w:pPr>
            <w:r>
              <w:rPr>
                <w:noProof/>
              </w:rPr>
              <w:t>M1C1–60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533586" w14:textId="77777777" w:rsidR="00154E32" w:rsidRDefault="00A43E04">
            <w:pPr>
              <w:pStyle w:val="P68B1DB1-Normal5"/>
              <w:jc w:val="center"/>
              <w:rPr>
                <w:noProof/>
              </w:rPr>
            </w:pPr>
            <w:r>
              <w:rPr>
                <w:noProof/>
              </w:rPr>
              <w:t>Reforma 1.9: Reforma javne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3932E5"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622D2B" w14:textId="77777777" w:rsidR="00154E32" w:rsidRDefault="00A43E04">
            <w:pPr>
              <w:pStyle w:val="P68B1DB1-Normal5"/>
              <w:jc w:val="center"/>
              <w:rPr>
                <w:noProof/>
              </w:rPr>
            </w:pPr>
            <w:r>
              <w:rPr>
                <w:noProof/>
              </w:rPr>
              <w:t>Popolno izvajanje (vključno z vsemi delegiranimi akti) poenostavitve in/ali digitalizacije sklopa 200 ključnih postopkov, ki vplivajo na državljane in podjetja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6BAA62" w14:textId="77777777" w:rsidR="00154E32" w:rsidRDefault="00A43E04">
            <w:pPr>
              <w:pStyle w:val="P68B1DB1-Normal5"/>
              <w:jc w:val="center"/>
              <w:rPr>
                <w:noProof/>
              </w:rPr>
            </w:pPr>
            <w:r>
              <w:rPr>
                <w:noProof/>
              </w:rPr>
              <w:t>Začetek veljavnosti sekundarne zakonodaje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742A52"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8878E2"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9261EC"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C38330"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8C83DA"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AB43F8" w14:textId="061A31CE" w:rsidR="00154E32" w:rsidRDefault="00A43E04">
            <w:pPr>
              <w:pStyle w:val="P68B1DB1-Normal5"/>
              <w:spacing w:before="120" w:after="160" w:line="259" w:lineRule="auto"/>
              <w:contextualSpacing/>
              <w:rPr>
                <w:noProof/>
              </w:rPr>
            </w:pPr>
            <w:r>
              <w:rPr>
                <w:noProof/>
              </w:rPr>
              <w:t>Prednostna področja, opredeljena za poenostavitev, so:</w:t>
            </w:r>
          </w:p>
          <w:p w14:paraId="185B7203" w14:textId="77777777" w:rsidR="00154E32" w:rsidRDefault="00A43E04">
            <w:pPr>
              <w:pStyle w:val="P68B1DB1-ListParagraph6"/>
              <w:numPr>
                <w:ilvl w:val="0"/>
                <w:numId w:val="129"/>
              </w:numPr>
              <w:spacing w:before="0" w:after="0" w:line="259" w:lineRule="auto"/>
              <w:ind w:left="399"/>
              <w:jc w:val="left"/>
              <w:rPr>
                <w:noProof/>
              </w:rPr>
            </w:pPr>
            <w:r>
              <w:rPr>
                <w:noProof/>
              </w:rPr>
              <w:t xml:space="preserve">Okoljska dovoljenja, obnovljivi viri energije in zeleno gospodarstvo </w:t>
            </w:r>
          </w:p>
          <w:p w14:paraId="0731ACBE" w14:textId="21BAED36" w:rsidR="00154E32" w:rsidRDefault="00A43E04">
            <w:pPr>
              <w:pStyle w:val="P68B1DB1-ListParagraph6"/>
              <w:numPr>
                <w:ilvl w:val="0"/>
                <w:numId w:val="128"/>
              </w:numPr>
              <w:spacing w:before="0" w:after="0" w:line="259" w:lineRule="auto"/>
              <w:ind w:left="399"/>
              <w:jc w:val="left"/>
              <w:rPr>
                <w:noProof/>
              </w:rPr>
            </w:pPr>
            <w:r>
              <w:rPr>
                <w:noProof/>
              </w:rPr>
              <w:t>Gradbena dovoljenja in prekvalificiranje v mestih</w:t>
            </w:r>
          </w:p>
          <w:p w14:paraId="17BCABB9" w14:textId="77777777" w:rsidR="00154E32" w:rsidRDefault="00A43E04">
            <w:pPr>
              <w:pStyle w:val="P68B1DB1-ListParagraph6"/>
              <w:numPr>
                <w:ilvl w:val="0"/>
                <w:numId w:val="127"/>
              </w:numPr>
              <w:spacing w:before="0" w:after="0" w:line="259" w:lineRule="auto"/>
              <w:ind w:left="399"/>
              <w:jc w:val="left"/>
              <w:rPr>
                <w:noProof/>
              </w:rPr>
            </w:pPr>
            <w:r>
              <w:rPr>
                <w:noProof/>
              </w:rPr>
              <w:t>Digitalna infrastruktura</w:t>
            </w:r>
          </w:p>
          <w:p w14:paraId="3C14A29D" w14:textId="58CD8F42" w:rsidR="00154E32" w:rsidRDefault="00A43E04">
            <w:pPr>
              <w:pStyle w:val="P68B1DB1-ListParagraph6"/>
              <w:numPr>
                <w:ilvl w:val="0"/>
                <w:numId w:val="127"/>
              </w:numPr>
              <w:spacing w:before="0" w:after="0" w:line="259" w:lineRule="auto"/>
              <w:ind w:left="399"/>
              <w:jc w:val="left"/>
              <w:rPr>
                <w:noProof/>
              </w:rPr>
            </w:pPr>
            <w:r>
              <w:rPr>
                <w:noProof/>
              </w:rPr>
              <w:t>Poslovni postopki in običaji</w:t>
            </w:r>
          </w:p>
          <w:p w14:paraId="7EAF22AB" w14:textId="01DF17CC" w:rsidR="00154E32" w:rsidRDefault="00A43E04">
            <w:pPr>
              <w:pStyle w:val="P68B1DB1-Normal5"/>
              <w:spacing w:before="120" w:after="160" w:line="259" w:lineRule="auto"/>
              <w:contextualSpacing/>
              <w:rPr>
                <w:noProof/>
              </w:rPr>
            </w:pPr>
            <w:r>
              <w:rPr>
                <w:noProof/>
              </w:rPr>
              <w:t>Nadaljnji kritični sektorji so:</w:t>
            </w:r>
          </w:p>
          <w:p w14:paraId="1FD1FED2" w14:textId="77777777" w:rsidR="00154E32" w:rsidRDefault="00A43E04">
            <w:pPr>
              <w:pStyle w:val="P68B1DB1-ListParagraph6"/>
              <w:numPr>
                <w:ilvl w:val="0"/>
                <w:numId w:val="126"/>
              </w:numPr>
              <w:spacing w:before="0" w:after="0" w:line="259" w:lineRule="auto"/>
              <w:ind w:left="399"/>
              <w:jc w:val="left"/>
              <w:rPr>
                <w:noProof/>
              </w:rPr>
            </w:pPr>
            <w:r>
              <w:rPr>
                <w:noProof/>
              </w:rPr>
              <w:t xml:space="preserve">Delovna zakonodaja in socialna varnost </w:t>
            </w:r>
          </w:p>
          <w:p w14:paraId="56298C23" w14:textId="77777777" w:rsidR="00154E32" w:rsidRDefault="00A43E04">
            <w:pPr>
              <w:pStyle w:val="P68B1DB1-ListParagraph6"/>
              <w:numPr>
                <w:ilvl w:val="0"/>
                <w:numId w:val="125"/>
              </w:numPr>
              <w:spacing w:before="0" w:after="0" w:line="259" w:lineRule="auto"/>
              <w:ind w:left="399"/>
              <w:jc w:val="left"/>
              <w:rPr>
                <w:noProof/>
              </w:rPr>
            </w:pPr>
            <w:r>
              <w:rPr>
                <w:noProof/>
              </w:rPr>
              <w:t xml:space="preserve">Turizem </w:t>
            </w:r>
          </w:p>
          <w:p w14:paraId="12F2105B" w14:textId="3A9F5348" w:rsidR="00154E32" w:rsidRDefault="00A43E04">
            <w:pPr>
              <w:pStyle w:val="P68B1DB1-ListParagraph6"/>
              <w:numPr>
                <w:ilvl w:val="0"/>
                <w:numId w:val="124"/>
              </w:numPr>
              <w:spacing w:before="0" w:after="0" w:line="259" w:lineRule="auto"/>
              <w:ind w:left="399"/>
              <w:jc w:val="left"/>
              <w:rPr>
                <w:noProof/>
              </w:rPr>
            </w:pPr>
            <w:r>
              <w:rPr>
                <w:noProof/>
              </w:rPr>
              <w:t>Agroživilski sektor</w:t>
            </w:r>
          </w:p>
          <w:p w14:paraId="6357DBCD" w14:textId="47E9D624" w:rsidR="00154E32" w:rsidRDefault="00A43E04">
            <w:pPr>
              <w:pStyle w:val="P68B1DB1-Normal5"/>
              <w:spacing w:before="120" w:after="160" w:line="259" w:lineRule="auto"/>
              <w:contextualSpacing/>
              <w:rPr>
                <w:noProof/>
              </w:rPr>
            </w:pPr>
            <w:r>
              <w:rPr>
                <w:noProof/>
              </w:rPr>
              <w:t xml:space="preserve">Izbrani državni in regionalni postopki se lahko povzamejo na naslednjih glavnih področjih: </w:t>
            </w:r>
          </w:p>
          <w:p w14:paraId="3C982D9A" w14:textId="77777777" w:rsidR="00154E32" w:rsidRDefault="00A43E04">
            <w:pPr>
              <w:pStyle w:val="P68B1DB1-ListParagraph6"/>
              <w:numPr>
                <w:ilvl w:val="0"/>
                <w:numId w:val="123"/>
              </w:numPr>
              <w:spacing w:before="0" w:after="0" w:line="259" w:lineRule="auto"/>
              <w:jc w:val="left"/>
              <w:rPr>
                <w:noProof/>
              </w:rPr>
            </w:pPr>
            <w:r>
              <w:rPr>
                <w:noProof/>
              </w:rPr>
              <w:t xml:space="preserve">Okoljevarstvena in energetska dovoljenja: </w:t>
            </w:r>
          </w:p>
          <w:p w14:paraId="351A3687" w14:textId="77777777" w:rsidR="00154E32" w:rsidRDefault="00A43E04">
            <w:pPr>
              <w:pStyle w:val="P68B1DB1-ListParagraph6"/>
              <w:numPr>
                <w:ilvl w:val="0"/>
                <w:numId w:val="118"/>
              </w:numPr>
              <w:spacing w:before="0" w:after="0" w:line="259" w:lineRule="auto"/>
              <w:jc w:val="left"/>
              <w:rPr>
                <w:noProof/>
              </w:rPr>
            </w:pPr>
            <w:r>
              <w:rPr>
                <w:noProof/>
              </w:rPr>
              <w:t xml:space="preserve">Državni postopek presoje vplivov na okolje </w:t>
            </w:r>
          </w:p>
          <w:p w14:paraId="49AA9AC1" w14:textId="77777777" w:rsidR="00154E32" w:rsidRDefault="00A43E04">
            <w:pPr>
              <w:pStyle w:val="P68B1DB1-ListParagraph6"/>
              <w:numPr>
                <w:ilvl w:val="0"/>
                <w:numId w:val="118"/>
              </w:numPr>
              <w:spacing w:before="0" w:after="0" w:line="259" w:lineRule="auto"/>
              <w:jc w:val="left"/>
              <w:rPr>
                <w:noProof/>
              </w:rPr>
            </w:pPr>
            <w:r>
              <w:rPr>
                <w:noProof/>
              </w:rPr>
              <w:t xml:space="preserve">Regionalni postopek presoje vplivov na okolje </w:t>
            </w:r>
          </w:p>
          <w:p w14:paraId="30FFC36B" w14:textId="77777777" w:rsidR="00154E32" w:rsidRDefault="00A43E04">
            <w:pPr>
              <w:pStyle w:val="P68B1DB1-ListParagraph6"/>
              <w:numPr>
                <w:ilvl w:val="0"/>
                <w:numId w:val="118"/>
              </w:numPr>
              <w:spacing w:before="0" w:after="0" w:line="259" w:lineRule="auto"/>
              <w:jc w:val="left"/>
              <w:rPr>
                <w:noProof/>
              </w:rPr>
            </w:pPr>
            <w:r>
              <w:rPr>
                <w:noProof/>
              </w:rPr>
              <w:t xml:space="preserve">Dovoljenja za sanacijo okolja </w:t>
            </w:r>
          </w:p>
          <w:p w14:paraId="5EF8A986" w14:textId="77777777" w:rsidR="00154E32" w:rsidRDefault="00A43E04">
            <w:pPr>
              <w:pStyle w:val="P68B1DB1-ListParagraph6"/>
              <w:numPr>
                <w:ilvl w:val="0"/>
                <w:numId w:val="118"/>
              </w:numPr>
              <w:spacing w:before="0" w:after="0" w:line="259" w:lineRule="auto"/>
              <w:jc w:val="left"/>
              <w:rPr>
                <w:noProof/>
              </w:rPr>
            </w:pPr>
            <w:r>
              <w:rPr>
                <w:noProof/>
              </w:rPr>
              <w:t xml:space="preserve">Strateška okoljska presoja </w:t>
            </w:r>
          </w:p>
          <w:p w14:paraId="048C68BA" w14:textId="77777777" w:rsidR="00154E32" w:rsidRDefault="00A43E04">
            <w:pPr>
              <w:pStyle w:val="P68B1DB1-ListParagraph6"/>
              <w:numPr>
                <w:ilvl w:val="0"/>
                <w:numId w:val="118"/>
              </w:numPr>
              <w:spacing w:before="0" w:after="0" w:line="259" w:lineRule="auto"/>
              <w:jc w:val="left"/>
              <w:rPr>
                <w:noProof/>
              </w:rPr>
            </w:pPr>
            <w:r>
              <w:rPr>
                <w:noProof/>
              </w:rPr>
              <w:t xml:space="preserve">Celovito preprečevanje in nadzorovanje onesnaževanja okolja </w:t>
            </w:r>
          </w:p>
          <w:p w14:paraId="199A6264" w14:textId="77777777" w:rsidR="00154E32" w:rsidRDefault="00A43E04">
            <w:pPr>
              <w:pStyle w:val="P68B1DB1-ListParagraph6"/>
              <w:numPr>
                <w:ilvl w:val="0"/>
                <w:numId w:val="118"/>
              </w:numPr>
              <w:spacing w:before="0" w:after="0" w:line="259" w:lineRule="auto"/>
              <w:jc w:val="left"/>
              <w:rPr>
                <w:noProof/>
              </w:rPr>
            </w:pPr>
            <w:r>
              <w:rPr>
                <w:noProof/>
              </w:rPr>
              <w:t xml:space="preserve">Postopki za izdajo dovoljenj za obnovljive vire energije </w:t>
            </w:r>
          </w:p>
          <w:p w14:paraId="52BD605B" w14:textId="0674CBAE" w:rsidR="00154E32" w:rsidRDefault="00A43E04">
            <w:pPr>
              <w:pStyle w:val="P68B1DB1-ListParagraph6"/>
              <w:numPr>
                <w:ilvl w:val="0"/>
                <w:numId w:val="118"/>
              </w:numPr>
              <w:spacing w:before="0" w:after="0" w:line="259" w:lineRule="auto"/>
              <w:jc w:val="left"/>
              <w:rPr>
                <w:noProof/>
              </w:rPr>
            </w:pPr>
            <w:r>
              <w:rPr>
                <w:noProof/>
              </w:rPr>
              <w:t>Nadomestitev stare zmogljivosti z novo, prenova in obnovitev stare zmogljivosti</w:t>
            </w:r>
          </w:p>
          <w:p w14:paraId="46266E95" w14:textId="77777777" w:rsidR="00154E32" w:rsidRDefault="00A43E04">
            <w:pPr>
              <w:pStyle w:val="P68B1DB1-ListParagraph6"/>
              <w:numPr>
                <w:ilvl w:val="0"/>
                <w:numId w:val="118"/>
              </w:numPr>
              <w:spacing w:before="0" w:after="0" w:line="259" w:lineRule="auto"/>
              <w:jc w:val="left"/>
              <w:rPr>
                <w:noProof/>
              </w:rPr>
            </w:pPr>
            <w:r>
              <w:rPr>
                <w:noProof/>
              </w:rPr>
              <w:t xml:space="preserve">Postopki za izdajo dovoljenj za energetsko infrastrukturo </w:t>
            </w:r>
          </w:p>
          <w:p w14:paraId="4B6D16B5" w14:textId="787E9644" w:rsidR="00154E32" w:rsidRDefault="00A43E04">
            <w:pPr>
              <w:pStyle w:val="P68B1DB1-ListParagraph6"/>
              <w:numPr>
                <w:ilvl w:val="0"/>
                <w:numId w:val="118"/>
              </w:numPr>
              <w:spacing w:before="0" w:after="0" w:line="259" w:lineRule="auto"/>
              <w:jc w:val="left"/>
              <w:rPr>
                <w:noProof/>
              </w:rPr>
            </w:pPr>
            <w:r>
              <w:rPr>
                <w:noProof/>
              </w:rPr>
              <w:t>Dovoljenja v zvezi z odpadki</w:t>
            </w:r>
          </w:p>
          <w:p w14:paraId="330CE9A8" w14:textId="4EAF4F28" w:rsidR="00154E32" w:rsidRDefault="00A43E04">
            <w:pPr>
              <w:pStyle w:val="P68B1DB1-ListParagraph6"/>
              <w:numPr>
                <w:ilvl w:val="0"/>
                <w:numId w:val="122"/>
              </w:numPr>
              <w:spacing w:before="0" w:after="0" w:line="259" w:lineRule="auto"/>
              <w:jc w:val="left"/>
              <w:rPr>
                <w:noProof/>
              </w:rPr>
            </w:pPr>
            <w:r>
              <w:rPr>
                <w:noProof/>
              </w:rPr>
              <w:t>Gradbeništvo in prekvalificiranje v mestih:</w:t>
            </w:r>
          </w:p>
          <w:p w14:paraId="116CABF3" w14:textId="77777777" w:rsidR="00154E32" w:rsidRDefault="00A43E04">
            <w:pPr>
              <w:pStyle w:val="P68B1DB1-ListParagraph6"/>
              <w:numPr>
                <w:ilvl w:val="0"/>
                <w:numId w:val="117"/>
              </w:numPr>
              <w:spacing w:before="0" w:after="0" w:line="259" w:lineRule="auto"/>
              <w:jc w:val="left"/>
              <w:rPr>
                <w:noProof/>
              </w:rPr>
            </w:pPr>
            <w:r>
              <w:rPr>
                <w:noProof/>
              </w:rPr>
              <w:t xml:space="preserve">Postopki varčevanja z energijo in racionalizacije porabe energije (postopki skladnosti itd.) </w:t>
            </w:r>
          </w:p>
          <w:p w14:paraId="110D3B8F" w14:textId="126FF7DD" w:rsidR="00154E32" w:rsidRDefault="00A43E04">
            <w:pPr>
              <w:pStyle w:val="P68B1DB1-ListParagraph6"/>
              <w:numPr>
                <w:ilvl w:val="0"/>
                <w:numId w:val="117"/>
              </w:numPr>
              <w:spacing w:before="0" w:after="0" w:line="259" w:lineRule="auto"/>
              <w:jc w:val="left"/>
              <w:rPr>
                <w:noProof/>
              </w:rPr>
            </w:pPr>
            <w:r>
              <w:rPr>
                <w:noProof/>
              </w:rPr>
              <w:t xml:space="preserve"> Storitvena konferenca</w:t>
            </w:r>
          </w:p>
          <w:p w14:paraId="43B28BDB" w14:textId="77777777" w:rsidR="00154E32" w:rsidRDefault="00A43E04">
            <w:pPr>
              <w:pStyle w:val="P68B1DB1-ListParagraph6"/>
              <w:numPr>
                <w:ilvl w:val="0"/>
                <w:numId w:val="121"/>
              </w:numPr>
              <w:spacing w:before="0" w:after="0" w:line="259" w:lineRule="auto"/>
              <w:jc w:val="left"/>
              <w:rPr>
                <w:noProof/>
              </w:rPr>
            </w:pPr>
            <w:r>
              <w:rPr>
                <w:noProof/>
              </w:rPr>
              <w:t xml:space="preserve">Digitalna infrastruktura:  </w:t>
            </w:r>
          </w:p>
          <w:p w14:paraId="33AC1F29" w14:textId="77777777" w:rsidR="00154E32" w:rsidRDefault="00A43E04">
            <w:pPr>
              <w:pStyle w:val="P68B1DB1-ListParagraph6"/>
              <w:numPr>
                <w:ilvl w:val="0"/>
                <w:numId w:val="116"/>
              </w:numPr>
              <w:spacing w:before="0" w:after="0" w:line="259" w:lineRule="auto"/>
              <w:jc w:val="left"/>
              <w:rPr>
                <w:noProof/>
              </w:rPr>
            </w:pPr>
            <w:r>
              <w:rPr>
                <w:noProof/>
              </w:rPr>
              <w:t xml:space="preserve">Dovoljenja za komunikacijsko infrastrukturo  </w:t>
            </w:r>
          </w:p>
          <w:p w14:paraId="6D34301F" w14:textId="77777777" w:rsidR="00154E32" w:rsidRDefault="00A43E04">
            <w:pPr>
              <w:pStyle w:val="P68B1DB1-ListParagraph6"/>
              <w:numPr>
                <w:ilvl w:val="0"/>
                <w:numId w:val="120"/>
              </w:numPr>
              <w:spacing w:before="0" w:after="0" w:line="259" w:lineRule="auto"/>
              <w:jc w:val="left"/>
              <w:rPr>
                <w:noProof/>
              </w:rPr>
            </w:pPr>
            <w:r>
              <w:rPr>
                <w:noProof/>
              </w:rPr>
              <w:t xml:space="preserve">Poslovni postopki: </w:t>
            </w:r>
          </w:p>
          <w:p w14:paraId="0627195D" w14:textId="77777777" w:rsidR="00154E32" w:rsidRDefault="00A43E04">
            <w:pPr>
              <w:pStyle w:val="P68B1DB1-ListParagraph6"/>
              <w:numPr>
                <w:ilvl w:val="0"/>
                <w:numId w:val="112"/>
              </w:numPr>
              <w:spacing w:before="0" w:after="0" w:line="259" w:lineRule="auto"/>
              <w:jc w:val="left"/>
              <w:rPr>
                <w:noProof/>
              </w:rPr>
            </w:pPr>
            <w:r>
              <w:rPr>
                <w:noProof/>
              </w:rPr>
              <w:t>Postopki v maloprodajnem sektorju</w:t>
            </w:r>
          </w:p>
          <w:p w14:paraId="2504C141" w14:textId="77777777" w:rsidR="00154E32" w:rsidRDefault="00A43E04">
            <w:pPr>
              <w:pStyle w:val="P68B1DB1-ListParagraph6"/>
              <w:numPr>
                <w:ilvl w:val="0"/>
                <w:numId w:val="112"/>
              </w:numPr>
              <w:spacing w:before="0" w:after="0" w:line="259" w:lineRule="auto"/>
              <w:jc w:val="left"/>
              <w:rPr>
                <w:noProof/>
              </w:rPr>
            </w:pPr>
            <w:r>
              <w:rPr>
                <w:noProof/>
              </w:rPr>
              <w:t>Poslovni in gradbeni postopki (SUAP in SUE)</w:t>
            </w:r>
          </w:p>
          <w:p w14:paraId="4276A47E" w14:textId="77777777" w:rsidR="00154E32" w:rsidRDefault="00A43E04">
            <w:pPr>
              <w:pStyle w:val="P68B1DB1-ListParagraph6"/>
              <w:numPr>
                <w:ilvl w:val="0"/>
                <w:numId w:val="112"/>
              </w:numPr>
              <w:spacing w:before="0" w:after="0" w:line="259" w:lineRule="auto"/>
              <w:jc w:val="left"/>
              <w:rPr>
                <w:noProof/>
              </w:rPr>
            </w:pPr>
            <w:r>
              <w:rPr>
                <w:noProof/>
              </w:rPr>
              <w:t>Postopki za obrtne dejavnosti</w:t>
            </w:r>
          </w:p>
          <w:p w14:paraId="4E37C53D" w14:textId="77777777" w:rsidR="00154E32" w:rsidRDefault="00A43E04">
            <w:pPr>
              <w:pStyle w:val="P68B1DB1-ListParagraph6"/>
              <w:numPr>
                <w:ilvl w:val="0"/>
                <w:numId w:val="119"/>
              </w:numPr>
              <w:spacing w:before="0" w:after="0" w:line="259" w:lineRule="auto"/>
              <w:jc w:val="left"/>
              <w:rPr>
                <w:noProof/>
              </w:rPr>
            </w:pPr>
            <w:r>
              <w:rPr>
                <w:noProof/>
              </w:rPr>
              <w:t xml:space="preserve">Drugi postopki:  </w:t>
            </w:r>
          </w:p>
          <w:p w14:paraId="4C96A6AD" w14:textId="77777777" w:rsidR="00154E32" w:rsidRDefault="00A43E04">
            <w:pPr>
              <w:pStyle w:val="P68B1DB1-ListParagraph6"/>
              <w:numPr>
                <w:ilvl w:val="0"/>
                <w:numId w:val="115"/>
              </w:numPr>
              <w:spacing w:before="0" w:after="0" w:line="259" w:lineRule="auto"/>
              <w:jc w:val="left"/>
              <w:rPr>
                <w:noProof/>
              </w:rPr>
            </w:pPr>
            <w:r>
              <w:rPr>
                <w:noProof/>
              </w:rPr>
              <w:t xml:space="preserve">Potrditev tihe privolitve </w:t>
            </w:r>
          </w:p>
          <w:p w14:paraId="4A851BCE" w14:textId="77777777" w:rsidR="00154E32" w:rsidRDefault="00A43E04">
            <w:pPr>
              <w:pStyle w:val="P68B1DB1-ListParagraph6"/>
              <w:numPr>
                <w:ilvl w:val="0"/>
                <w:numId w:val="115"/>
              </w:numPr>
              <w:spacing w:before="0" w:after="0" w:line="259" w:lineRule="auto"/>
              <w:jc w:val="left"/>
              <w:rPr>
                <w:noProof/>
              </w:rPr>
            </w:pPr>
            <w:r>
              <w:rPr>
                <w:noProof/>
              </w:rPr>
              <w:t xml:space="preserve">Nadomestna moč </w:t>
            </w:r>
          </w:p>
          <w:p w14:paraId="6F888952" w14:textId="77777777" w:rsidR="00154E32" w:rsidRDefault="00A43E04">
            <w:pPr>
              <w:pStyle w:val="P68B1DB1-ListParagraph6"/>
              <w:numPr>
                <w:ilvl w:val="0"/>
                <w:numId w:val="115"/>
              </w:numPr>
              <w:spacing w:before="0" w:after="0" w:line="259" w:lineRule="auto"/>
              <w:jc w:val="left"/>
              <w:rPr>
                <w:noProof/>
              </w:rPr>
            </w:pPr>
            <w:r>
              <w:rPr>
                <w:noProof/>
              </w:rPr>
              <w:t xml:space="preserve">Postopki preprečevanja požarov </w:t>
            </w:r>
          </w:p>
          <w:p w14:paraId="640906AC" w14:textId="77777777" w:rsidR="00154E32" w:rsidRDefault="00A43E04">
            <w:pPr>
              <w:pStyle w:val="P68B1DB1-ListParagraph6"/>
              <w:numPr>
                <w:ilvl w:val="0"/>
                <w:numId w:val="115"/>
              </w:numPr>
              <w:spacing w:before="0" w:after="0" w:line="259" w:lineRule="auto"/>
              <w:jc w:val="left"/>
              <w:rPr>
                <w:noProof/>
              </w:rPr>
            </w:pPr>
            <w:r>
              <w:rPr>
                <w:noProof/>
              </w:rPr>
              <w:t xml:space="preserve">Dovoljenja za posebne ekonomske cone </w:t>
            </w:r>
          </w:p>
          <w:p w14:paraId="4951E64D" w14:textId="77777777" w:rsidR="00154E32" w:rsidRDefault="00A43E04">
            <w:pPr>
              <w:pStyle w:val="P68B1DB1-ListParagraph6"/>
              <w:numPr>
                <w:ilvl w:val="0"/>
                <w:numId w:val="115"/>
              </w:numPr>
              <w:spacing w:before="0" w:after="0" w:line="259" w:lineRule="auto"/>
              <w:jc w:val="left"/>
              <w:rPr>
                <w:noProof/>
              </w:rPr>
            </w:pPr>
            <w:r>
              <w:rPr>
                <w:noProof/>
              </w:rPr>
              <w:t>Pooblastila za javno varnost</w:t>
            </w:r>
          </w:p>
          <w:p w14:paraId="65FCEE70" w14:textId="77777777" w:rsidR="00154E32" w:rsidRDefault="00A43E04">
            <w:pPr>
              <w:pStyle w:val="P68B1DB1-ListParagraph6"/>
              <w:numPr>
                <w:ilvl w:val="0"/>
                <w:numId w:val="115"/>
              </w:numPr>
              <w:spacing w:before="0" w:after="0" w:line="259" w:lineRule="auto"/>
              <w:jc w:val="left"/>
              <w:rPr>
                <w:noProof/>
              </w:rPr>
            </w:pPr>
            <w:r>
              <w:rPr>
                <w:noProof/>
              </w:rPr>
              <w:t xml:space="preserve">Dovoljenja za krajino </w:t>
            </w:r>
          </w:p>
          <w:p w14:paraId="3354300E" w14:textId="77777777" w:rsidR="00154E32" w:rsidRDefault="00A43E04">
            <w:pPr>
              <w:pStyle w:val="P68B1DB1-ListParagraph6"/>
              <w:numPr>
                <w:ilvl w:val="0"/>
                <w:numId w:val="115"/>
              </w:numPr>
              <w:spacing w:before="0" w:after="0" w:line="259" w:lineRule="auto"/>
              <w:jc w:val="left"/>
              <w:rPr>
                <w:noProof/>
              </w:rPr>
            </w:pPr>
            <w:r>
              <w:rPr>
                <w:noProof/>
              </w:rPr>
              <w:t>Farmacevtska in zdravstvena dovoljenja</w:t>
            </w:r>
          </w:p>
          <w:p w14:paraId="3FC45C1B" w14:textId="2874EC2C" w:rsidR="00154E32" w:rsidRDefault="00A43E04">
            <w:pPr>
              <w:pStyle w:val="P68B1DB1-ListParagraph6"/>
              <w:numPr>
                <w:ilvl w:val="0"/>
                <w:numId w:val="115"/>
              </w:numPr>
              <w:spacing w:after="160" w:line="257" w:lineRule="auto"/>
              <w:jc w:val="left"/>
              <w:rPr>
                <w:noProof/>
              </w:rPr>
            </w:pPr>
            <w:r>
              <w:rPr>
                <w:noProof/>
              </w:rPr>
              <w:t>Seizmični in hidrogeološki postopki/odobritve</w:t>
            </w:r>
          </w:p>
        </w:tc>
      </w:tr>
      <w:tr w:rsidR="00154E32" w14:paraId="4BC4D829"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DA8DE8" w14:textId="77777777" w:rsidR="00154E32" w:rsidRDefault="00A43E04">
            <w:pPr>
              <w:pStyle w:val="P68B1DB1-Normal5"/>
              <w:jc w:val="center"/>
              <w:rPr>
                <w:noProof/>
              </w:rPr>
            </w:pPr>
            <w:r>
              <w:rPr>
                <w:noProof/>
              </w:rPr>
              <w:t>M1C1–61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82CFED" w14:textId="77777777" w:rsidR="00154E32" w:rsidRDefault="00A43E04">
            <w:pPr>
              <w:pStyle w:val="P68B1DB1-Normal5"/>
              <w:jc w:val="center"/>
              <w:rPr>
                <w:noProof/>
              </w:rPr>
            </w:pPr>
            <w:r>
              <w:rPr>
                <w:noProof/>
              </w:rPr>
              <w:t>Reforma 1.9: Reforma javne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6F9E59"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1AA1DD" w14:textId="77777777" w:rsidR="00154E32" w:rsidRDefault="00A43E04">
            <w:pPr>
              <w:pStyle w:val="P68B1DB1-Normal5"/>
              <w:jc w:val="center"/>
              <w:rPr>
                <w:noProof/>
              </w:rPr>
            </w:pPr>
            <w:r>
              <w:rPr>
                <w:noProof/>
              </w:rPr>
              <w:t xml:space="preserve"> Dokončanje izvajanja (vključno z vsemi delegiranimi akti) poenostavitve in/ali digitalizacije dodatnega sklopa 50 kritičnih postopkov, ki neposredno vplivajo na državljane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C0537A" w14:textId="77777777" w:rsidR="00154E32" w:rsidRDefault="00A43E04">
            <w:pPr>
              <w:pStyle w:val="P68B1DB1-Normal5"/>
              <w:jc w:val="center"/>
              <w:rPr>
                <w:noProof/>
              </w:rPr>
            </w:pPr>
            <w:r>
              <w:rPr>
                <w:noProof/>
              </w:rPr>
              <w:t>Začetek veljavnosti sekundarne zakonodaje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4F785D"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C96A2B"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FABA0D"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C07B09"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3CDAD7" w14:textId="77777777" w:rsidR="00154E32" w:rsidRDefault="00A43E04">
            <w:pPr>
              <w:pStyle w:val="P68B1DB1-Normal5"/>
              <w:jc w:val="center"/>
              <w:rPr>
                <w:noProof/>
              </w:rPr>
            </w:pPr>
            <w:r>
              <w:rPr>
                <w:noProof/>
              </w:rPr>
              <w:t>2025</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A44A63" w14:textId="77777777" w:rsidR="00154E32" w:rsidRDefault="00A43E04">
            <w:pPr>
              <w:pStyle w:val="P68B1DB1-Normal5"/>
              <w:spacing w:after="120"/>
              <w:contextualSpacing/>
              <w:rPr>
                <w:noProof/>
              </w:rPr>
            </w:pPr>
            <w:r>
              <w:rPr>
                <w:noProof/>
              </w:rPr>
              <w:t xml:space="preserve">Poenostavljeni postopki vplivajo na naslednja področja:  </w:t>
            </w:r>
          </w:p>
          <w:p w14:paraId="60C6A176" w14:textId="77777777" w:rsidR="00154E32" w:rsidRDefault="00A43E04">
            <w:pPr>
              <w:pStyle w:val="P68B1DB1-ListParagraph6"/>
              <w:numPr>
                <w:ilvl w:val="0"/>
                <w:numId w:val="114"/>
              </w:numPr>
              <w:spacing w:before="0" w:after="0"/>
              <w:ind w:left="173" w:hanging="141"/>
              <w:jc w:val="left"/>
              <w:rPr>
                <w:noProof/>
              </w:rPr>
            </w:pPr>
            <w:r>
              <w:rPr>
                <w:noProof/>
              </w:rPr>
              <w:t xml:space="preserve">Register in osebno stanje  </w:t>
            </w:r>
          </w:p>
          <w:p w14:paraId="3F2D227B" w14:textId="77777777" w:rsidR="00154E32" w:rsidRDefault="00A43E04">
            <w:pPr>
              <w:pStyle w:val="P68B1DB1-ListParagraph6"/>
              <w:numPr>
                <w:ilvl w:val="0"/>
                <w:numId w:val="114"/>
              </w:numPr>
              <w:spacing w:before="0" w:after="0"/>
              <w:ind w:left="173" w:hanging="141"/>
              <w:jc w:val="left"/>
              <w:rPr>
                <w:noProof/>
              </w:rPr>
            </w:pPr>
            <w:r>
              <w:rPr>
                <w:noProof/>
              </w:rPr>
              <w:t xml:space="preserve">Identiteta, digitalno prebivališče in dostop do spletnih storitev </w:t>
            </w:r>
          </w:p>
          <w:p w14:paraId="612B0DFF" w14:textId="15898B8F" w:rsidR="00154E32" w:rsidRDefault="00A43E04">
            <w:pPr>
              <w:pStyle w:val="P68B1DB1-ListParagraph6"/>
              <w:numPr>
                <w:ilvl w:val="0"/>
                <w:numId w:val="114"/>
              </w:numPr>
              <w:spacing w:before="0"/>
              <w:ind w:left="173" w:hanging="141"/>
              <w:jc w:val="left"/>
              <w:rPr>
                <w:noProof/>
              </w:rPr>
            </w:pPr>
            <w:r>
              <w:rPr>
                <w:noProof/>
              </w:rPr>
              <w:t>Invalidnost</w:t>
            </w:r>
          </w:p>
        </w:tc>
      </w:tr>
      <w:tr w:rsidR="00154E32" w14:paraId="0BBD26AA"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A585A5" w14:textId="77777777" w:rsidR="00154E32" w:rsidRDefault="00A43E04">
            <w:pPr>
              <w:pStyle w:val="P68B1DB1-Normal5"/>
              <w:jc w:val="center"/>
              <w:rPr>
                <w:noProof/>
              </w:rPr>
            </w:pPr>
            <w:r>
              <w:rPr>
                <w:noProof/>
              </w:rPr>
              <w:t>M1C1–62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04E23C" w14:textId="77777777" w:rsidR="00154E32" w:rsidRDefault="00A43E04">
            <w:pPr>
              <w:pStyle w:val="P68B1DB1-Normal5"/>
              <w:jc w:val="center"/>
              <w:rPr>
                <w:noProof/>
              </w:rPr>
            </w:pPr>
            <w:r>
              <w:rPr>
                <w:noProof/>
              </w:rPr>
              <w:t>Reforma 1.9: Reforma javne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67E2B9"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71C5A0" w14:textId="77777777" w:rsidR="00154E32" w:rsidRDefault="00A43E04">
            <w:pPr>
              <w:pStyle w:val="P68B1DB1-Normal5"/>
              <w:jc w:val="center"/>
              <w:rPr>
                <w:noProof/>
              </w:rPr>
            </w:pPr>
            <w:r>
              <w:rPr>
                <w:noProof/>
              </w:rPr>
              <w:t>Povečanje črpanja naložb</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B74C9C" w14:textId="77777777" w:rsidR="00154E32" w:rsidRDefault="00A43E04">
            <w:pPr>
              <w:pStyle w:val="P68B1DB1-Normal5"/>
              <w:jc w:val="center"/>
              <w:rPr>
                <w:noProof/>
              </w:rPr>
            </w:pPr>
            <w:r>
              <w:rPr>
                <w:noProof/>
              </w:rPr>
              <w:t>Objava poročila o izvajanju s strani ministrstva za finance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02F370"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41BF58"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565A87"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DBB26D"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58E115" w14:textId="77777777" w:rsidR="00154E32" w:rsidRDefault="00A43E04">
            <w:pPr>
              <w:pStyle w:val="P68B1DB1-Normal5"/>
              <w:jc w:val="center"/>
              <w:rPr>
                <w:noProof/>
              </w:rPr>
            </w:pPr>
            <w:r>
              <w:rPr>
                <w:noProof/>
              </w:rPr>
              <w:t>2025</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BFA22C" w14:textId="77777777" w:rsidR="00154E32" w:rsidRDefault="00A43E04">
            <w:pPr>
              <w:pStyle w:val="P68B1DB1-Normal5"/>
              <w:spacing w:after="120"/>
              <w:rPr>
                <w:noProof/>
              </w:rPr>
            </w:pPr>
            <w:r>
              <w:rPr>
                <w:noProof/>
              </w:rPr>
              <w:t>Objavi poročilo o izvajanju za merjenje učinka ukrepov, namenjenih zagotavljanju tehnične pomoči in krepitvi zmogljivosti, izboljšanju zmogljivosti za načrtovanje, upravljanje in izvrševanje naložb v osnovna sredstva, ki se financirajo iz nacionalnega proračuna, da se doseže znatna absorpcija sredstev iz dopolnilnega sklada, dodeljenih do leta 2024.</w:t>
            </w:r>
          </w:p>
        </w:tc>
      </w:tr>
      <w:tr w:rsidR="00154E32" w14:paraId="6DCBE956"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80EF78" w14:textId="77777777" w:rsidR="00154E32" w:rsidRDefault="00A43E04">
            <w:pPr>
              <w:pStyle w:val="P68B1DB1-Normal5"/>
              <w:jc w:val="center"/>
              <w:rPr>
                <w:noProof/>
              </w:rPr>
            </w:pPr>
            <w:r>
              <w:rPr>
                <w:noProof/>
              </w:rPr>
              <w:t>M1C1–63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6FB2C6" w14:textId="77777777" w:rsidR="00154E32" w:rsidRDefault="00A43E04">
            <w:pPr>
              <w:pStyle w:val="P68B1DB1-Normal5"/>
              <w:jc w:val="center"/>
              <w:rPr>
                <w:noProof/>
              </w:rPr>
            </w:pPr>
            <w:r>
              <w:rPr>
                <w:noProof/>
              </w:rPr>
              <w:t>Reforma 1.9: Reforma javne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2A2A39"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D8E3A5" w14:textId="134BF2AD" w:rsidR="00154E32" w:rsidRDefault="00A43E04">
            <w:pPr>
              <w:pStyle w:val="P68B1DB1-Normal5"/>
              <w:jc w:val="center"/>
              <w:rPr>
                <w:noProof/>
              </w:rPr>
            </w:pPr>
            <w:r>
              <w:rPr>
                <w:noProof/>
              </w:rPr>
              <w:t>Dokončati poenostavitev in ustvariti repozitorij vseh poenostavljenih postopkov in ustreznih upravnih ureditev s polno pravno veljavnostjo na celotnem nacionalnem ozemlju.</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A1E372" w14:textId="77777777" w:rsidR="00154E32" w:rsidRDefault="00A43E04">
            <w:pPr>
              <w:pStyle w:val="P68B1DB1-Normal5"/>
              <w:jc w:val="center"/>
              <w:rPr>
                <w:noProof/>
              </w:rPr>
            </w:pPr>
            <w:r>
              <w:rPr>
                <w:noProof/>
              </w:rPr>
              <w:t>Objava odložišča na spletni strani pristojnega resornega ministrstva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9F503A"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D58350"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1B370D"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1BE742"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839A6E"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C8446D" w14:textId="77777777" w:rsidR="00154E32" w:rsidRDefault="00A43E04">
            <w:pPr>
              <w:pStyle w:val="P68B1DB1-Normal5"/>
              <w:rPr>
                <w:noProof/>
              </w:rPr>
            </w:pPr>
            <w:r>
              <w:rPr>
                <w:noProof/>
              </w:rPr>
              <w:t xml:space="preserve">Preverjanje postopkovnih ureditev se opravi za vse poenostavljene postopke. </w:t>
            </w:r>
          </w:p>
          <w:p w14:paraId="5BF5FAF6" w14:textId="77777777" w:rsidR="00154E32" w:rsidRDefault="00A43E04">
            <w:pPr>
              <w:pStyle w:val="P68B1DB1-Normal5"/>
              <w:rPr>
                <w:noProof/>
              </w:rPr>
            </w:pPr>
            <w:r>
              <w:rPr>
                <w:noProof/>
              </w:rPr>
              <w:t>Preverjanje in spremljanje:</w:t>
            </w:r>
          </w:p>
          <w:p w14:paraId="06A9A8C1" w14:textId="77777777" w:rsidR="00154E32" w:rsidRDefault="00A43E04">
            <w:pPr>
              <w:pStyle w:val="P68B1DB1-ListParagraph6"/>
              <w:numPr>
                <w:ilvl w:val="0"/>
                <w:numId w:val="130"/>
              </w:numPr>
              <w:ind w:left="313" w:hanging="283"/>
              <w:jc w:val="left"/>
              <w:rPr>
                <w:noProof/>
              </w:rPr>
            </w:pPr>
            <w:r>
              <w:rPr>
                <w:noProof/>
              </w:rPr>
              <w:t xml:space="preserve">Učinkovito izvajanje poenostavljenih postopkov, </w:t>
            </w:r>
          </w:p>
          <w:p w14:paraId="35BBB17B" w14:textId="77777777" w:rsidR="00154E32" w:rsidRDefault="00A43E04">
            <w:pPr>
              <w:pStyle w:val="P68B1DB1-ListParagraph6"/>
              <w:numPr>
                <w:ilvl w:val="0"/>
                <w:numId w:val="130"/>
              </w:numPr>
              <w:ind w:left="313" w:hanging="283"/>
              <w:jc w:val="left"/>
              <w:rPr>
                <w:noProof/>
              </w:rPr>
            </w:pPr>
            <w:r>
              <w:rPr>
                <w:noProof/>
              </w:rPr>
              <w:t xml:space="preserve">novih standardiziranih obrazcev in </w:t>
            </w:r>
          </w:p>
          <w:p w14:paraId="7C948C74" w14:textId="77777777" w:rsidR="00154E32" w:rsidRDefault="00A43E04">
            <w:pPr>
              <w:pStyle w:val="P68B1DB1-ListParagraph6"/>
              <w:numPr>
                <w:ilvl w:val="0"/>
                <w:numId w:val="130"/>
              </w:numPr>
              <w:ind w:left="313" w:hanging="283"/>
              <w:jc w:val="left"/>
              <w:rPr>
                <w:noProof/>
              </w:rPr>
            </w:pPr>
            <w:r>
              <w:rPr>
                <w:noProof/>
              </w:rPr>
              <w:t>ustrezno digitalizirano upravljanje</w:t>
            </w:r>
          </w:p>
          <w:p w14:paraId="69DD36FF" w14:textId="77777777" w:rsidR="00154E32" w:rsidRDefault="00A43E04">
            <w:pPr>
              <w:pStyle w:val="P68B1DB1-Normal5"/>
              <w:rPr>
                <w:noProof/>
              </w:rPr>
            </w:pPr>
            <w:r>
              <w:rPr>
                <w:noProof/>
              </w:rPr>
              <w:t xml:space="preserve">zagotovi se, da se zagotovi. </w:t>
            </w:r>
          </w:p>
          <w:p w14:paraId="6693D463" w14:textId="77777777" w:rsidR="00154E32" w:rsidRDefault="00154E32">
            <w:pPr>
              <w:rPr>
                <w:rFonts w:ascii="Arial Narrow" w:hAnsi="Arial Narrow" w:cs="Arial"/>
                <w:noProof/>
                <w:color w:val="006100"/>
                <w:sz w:val="20"/>
              </w:rPr>
            </w:pPr>
          </w:p>
          <w:p w14:paraId="5047CE8D" w14:textId="77777777" w:rsidR="00154E32" w:rsidRDefault="00A43E04">
            <w:pPr>
              <w:pStyle w:val="P68B1DB1-Normal5"/>
              <w:spacing w:after="120"/>
              <w:rPr>
                <w:noProof/>
              </w:rPr>
            </w:pPr>
            <w:r>
              <w:rPr>
                <w:noProof/>
              </w:rPr>
              <w:t xml:space="preserve">Poenostavitev se uporablja za skupno 600 kritičnih postopkov, vključno s tistimi, ki so zajeti v mejnikih M1C1 60 in M1C1 61. </w:t>
            </w:r>
          </w:p>
        </w:tc>
      </w:tr>
      <w:tr w:rsidR="00154E32" w14:paraId="70BE381B"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C37A95" w14:textId="77777777" w:rsidR="00154E32" w:rsidRDefault="00A43E04">
            <w:pPr>
              <w:pStyle w:val="P68B1DB1-Normal5"/>
              <w:jc w:val="center"/>
              <w:rPr>
                <w:noProof/>
              </w:rPr>
            </w:pPr>
            <w:r>
              <w:rPr>
                <w:noProof/>
              </w:rPr>
              <w:t>M1C1–64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428729" w14:textId="77777777" w:rsidR="00154E32" w:rsidRDefault="00A43E04">
            <w:pPr>
              <w:pStyle w:val="P68B1DB1-Normal5"/>
              <w:jc w:val="center"/>
              <w:rPr>
                <w:noProof/>
              </w:rPr>
            </w:pPr>
            <w:r>
              <w:rPr>
                <w:noProof/>
              </w:rPr>
              <w:t>Naložba 1.9: Zagotavljanje tehnične pomoči in krepitev krepitve zmogljivosti za izvajanje italijanskega načrta za okrevanje in odpornost</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481259"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F4D419" w14:textId="77777777" w:rsidR="00154E32" w:rsidRDefault="00A43E04">
            <w:pPr>
              <w:pStyle w:val="P68B1DB1-Normal5"/>
              <w:jc w:val="center"/>
              <w:rPr>
                <w:noProof/>
              </w:rPr>
            </w:pPr>
            <w:r>
              <w:rPr>
                <w:noProof/>
              </w:rPr>
              <w:t>Izobraževanje in usposabljanje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798EFD"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6F3376" w14:textId="77777777" w:rsidR="00154E32" w:rsidRDefault="00A43E04">
            <w:pPr>
              <w:pStyle w:val="P68B1DB1-Normal5"/>
              <w:jc w:val="center"/>
              <w:rPr>
                <w:noProof/>
              </w:rPr>
            </w:pPr>
            <w:r>
              <w:rPr>
                <w:noProof/>
              </w:rPr>
              <w:t>Število</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160E82" w14:textId="77777777" w:rsidR="00154E32" w:rsidRDefault="00A43E04">
            <w:pPr>
              <w:pStyle w:val="P68B1DB1-Normal5"/>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3771FF" w14:textId="77777777" w:rsidR="00154E32" w:rsidRDefault="00A43E04">
            <w:pPr>
              <w:pStyle w:val="P68B1DB1-Normal5"/>
              <w:jc w:val="center"/>
              <w:rPr>
                <w:noProof/>
              </w:rPr>
            </w:pPr>
            <w:r>
              <w:rPr>
                <w:noProof/>
              </w:rPr>
              <w:t>350 000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1D20D9"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81FD2D"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DA60BE" w14:textId="77777777" w:rsidR="00154E32" w:rsidRDefault="00A43E04">
            <w:pPr>
              <w:pStyle w:val="P68B1DB1-Normal5"/>
              <w:spacing w:after="120"/>
              <w:rPr>
                <w:noProof/>
              </w:rPr>
            </w:pPr>
            <w:r>
              <w:rPr>
                <w:noProof/>
              </w:rPr>
              <w:t>Vsaj 350000 javnih uslužbencev osrednjih javnih uprav, vključenih v pobude za izpopolnjevanje ali preusposabljanje.</w:t>
            </w:r>
          </w:p>
        </w:tc>
      </w:tr>
      <w:tr w:rsidR="00154E32" w14:paraId="3ADE9C6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7B50E7" w14:textId="77777777" w:rsidR="00154E32" w:rsidRDefault="00A43E04">
            <w:pPr>
              <w:pStyle w:val="P68B1DB1-Normal5"/>
              <w:jc w:val="center"/>
              <w:rPr>
                <w:noProof/>
              </w:rPr>
            </w:pPr>
            <w:r>
              <w:rPr>
                <w:noProof/>
              </w:rPr>
              <w:t>M1C1–65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DB99BE" w14:textId="77777777" w:rsidR="00154E32" w:rsidRDefault="00A43E04">
            <w:pPr>
              <w:pStyle w:val="P68B1DB1-Normal5"/>
              <w:jc w:val="center"/>
              <w:rPr>
                <w:noProof/>
              </w:rPr>
            </w:pPr>
            <w:r>
              <w:rPr>
                <w:noProof/>
              </w:rPr>
              <w:t>Naložba 1.9: Zagotavljanje tehnične pomoči in krepitev krepitve zmogljivosti za izvajanje italijanskega načrta za okrevanje in odpornost</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A5D01C"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2DA3F5" w14:textId="77777777" w:rsidR="00154E32" w:rsidRDefault="00A43E04">
            <w:pPr>
              <w:pStyle w:val="P68B1DB1-Normal5"/>
              <w:jc w:val="center"/>
              <w:rPr>
                <w:noProof/>
              </w:rPr>
            </w:pPr>
            <w:r>
              <w:rPr>
                <w:noProof/>
              </w:rPr>
              <w:t>Izobraževanje in usposabljanje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F7A30D"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371AA3" w14:textId="77777777" w:rsidR="00154E32" w:rsidRDefault="00A43E04">
            <w:pPr>
              <w:pStyle w:val="P68B1DB1-Normal5"/>
              <w:jc w:val="center"/>
              <w:rPr>
                <w:noProof/>
              </w:rPr>
            </w:pPr>
            <w:r>
              <w:rPr>
                <w:noProof/>
              </w:rPr>
              <w:t>Število</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05D527" w14:textId="77777777" w:rsidR="00154E32" w:rsidRDefault="00A43E04">
            <w:pPr>
              <w:pStyle w:val="P68B1DB1-Normal5"/>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CF0F42" w14:textId="77777777" w:rsidR="00154E32" w:rsidRDefault="00A43E04">
            <w:pPr>
              <w:pStyle w:val="P68B1DB1-Normal5"/>
              <w:jc w:val="center"/>
              <w:rPr>
                <w:noProof/>
              </w:rPr>
            </w:pPr>
            <w:r>
              <w:rPr>
                <w:noProof/>
              </w:rPr>
              <w:t>400 000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894BDE"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3044EA"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D08080" w14:textId="77777777" w:rsidR="00154E32" w:rsidRDefault="00A43E04">
            <w:pPr>
              <w:pStyle w:val="P68B1DB1-Normal5"/>
              <w:spacing w:after="120"/>
              <w:rPr>
                <w:noProof/>
              </w:rPr>
            </w:pPr>
            <w:r>
              <w:rPr>
                <w:noProof/>
              </w:rPr>
              <w:t>Vsaj 400000 javnih uslužbencev drugih javnih uprav, vključenih v pobude za izpopolnjevanje ali preusposabljanje.</w:t>
            </w:r>
          </w:p>
        </w:tc>
      </w:tr>
      <w:tr w:rsidR="00154E32" w14:paraId="356DD751"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2230B9" w14:textId="77777777" w:rsidR="00154E32" w:rsidRDefault="00A43E04">
            <w:pPr>
              <w:pStyle w:val="P68B1DB1-Normal5"/>
              <w:jc w:val="center"/>
              <w:rPr>
                <w:noProof/>
              </w:rPr>
            </w:pPr>
            <w:r>
              <w:rPr>
                <w:noProof/>
              </w:rPr>
              <w:t>M1C1–66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B3E9DE" w14:textId="77777777" w:rsidR="00154E32" w:rsidRDefault="00A43E04">
            <w:pPr>
              <w:pStyle w:val="P68B1DB1-Normal5"/>
              <w:jc w:val="center"/>
              <w:rPr>
                <w:noProof/>
              </w:rPr>
            </w:pPr>
            <w:r>
              <w:rPr>
                <w:noProof/>
              </w:rPr>
              <w:t>Naložba 1.9: Zagotavljanje tehnične pomoči in krepitev krepitve zmogljivosti za izvajanje italijanskega načrta za okrevanje in odpornost</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1FE07C"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F3D22F" w14:textId="77777777" w:rsidR="00154E32" w:rsidRDefault="00A43E04">
            <w:pPr>
              <w:pStyle w:val="P68B1DB1-Normal5"/>
              <w:jc w:val="center"/>
              <w:rPr>
                <w:noProof/>
              </w:rPr>
            </w:pPr>
            <w:r>
              <w:rPr>
                <w:noProof/>
              </w:rPr>
              <w:t>Izobraževanje in usposabljanje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D32673"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76C74C" w14:textId="77777777" w:rsidR="00154E32" w:rsidRDefault="00A43E04">
            <w:pPr>
              <w:pStyle w:val="P68B1DB1-Normal5"/>
              <w:jc w:val="center"/>
              <w:rPr>
                <w:noProof/>
              </w:rPr>
            </w:pPr>
            <w:r>
              <w:rPr>
                <w:noProof/>
              </w:rPr>
              <w:t>Število</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C866F4" w14:textId="77777777" w:rsidR="00154E32" w:rsidRDefault="00A43E04">
            <w:pPr>
              <w:pStyle w:val="P68B1DB1-Normal5"/>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228F43" w14:textId="77777777" w:rsidR="00154E32" w:rsidRDefault="00A43E04">
            <w:pPr>
              <w:pStyle w:val="P68B1DB1-Normal5"/>
              <w:jc w:val="center"/>
              <w:rPr>
                <w:noProof/>
              </w:rPr>
            </w:pPr>
            <w:r>
              <w:rPr>
                <w:noProof/>
              </w:rPr>
              <w:t>245 000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DEBC81"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F27F6D"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0F34EA" w14:textId="77777777" w:rsidR="00154E32" w:rsidRDefault="00A43E04">
            <w:pPr>
              <w:pStyle w:val="P68B1DB1-Normal5"/>
              <w:spacing w:after="120"/>
              <w:rPr>
                <w:noProof/>
              </w:rPr>
            </w:pPr>
            <w:r>
              <w:rPr>
                <w:noProof/>
              </w:rPr>
              <w:t>Vsaj 245000 (70 %) javnih uslužbencev centralnih javnih uprav je uspešno zaključilo pobude za usposabljanje iz M1C1–64 (formalno certificiranje ali ocena učinka).</w:t>
            </w:r>
          </w:p>
        </w:tc>
      </w:tr>
      <w:tr w:rsidR="00154E32" w14:paraId="599A61DB"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E9FDE4" w14:textId="77777777" w:rsidR="00154E32" w:rsidRDefault="00A43E04">
            <w:pPr>
              <w:pStyle w:val="P68B1DB1-Normal5"/>
              <w:jc w:val="center"/>
              <w:rPr>
                <w:noProof/>
              </w:rPr>
            </w:pPr>
            <w:r>
              <w:rPr>
                <w:noProof/>
              </w:rPr>
              <w:t>M1C1–67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BDE7E7" w14:textId="77777777" w:rsidR="00154E32" w:rsidRDefault="00A43E04">
            <w:pPr>
              <w:pStyle w:val="P68B1DB1-Normal5"/>
              <w:jc w:val="center"/>
              <w:rPr>
                <w:noProof/>
              </w:rPr>
            </w:pPr>
            <w:r>
              <w:rPr>
                <w:noProof/>
              </w:rPr>
              <w:t>Naložba 1.9: Zagotavljanje tehnične pomoči in krepitev krepitve zmogljivosti za izvajanje italijanskega načrta za okrevanje in odpornost</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7634C0"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D28D8D" w14:textId="77777777" w:rsidR="00154E32" w:rsidRDefault="00A43E04">
            <w:pPr>
              <w:pStyle w:val="P68B1DB1-Normal5"/>
              <w:jc w:val="center"/>
              <w:rPr>
                <w:noProof/>
              </w:rPr>
            </w:pPr>
            <w:r>
              <w:rPr>
                <w:noProof/>
              </w:rPr>
              <w:t>Izobraževanje in usposabljanje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8D5854"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825CF7" w14:textId="77777777" w:rsidR="00154E32" w:rsidRDefault="00A43E04">
            <w:pPr>
              <w:pStyle w:val="P68B1DB1-Normal5"/>
              <w:jc w:val="center"/>
              <w:rPr>
                <w:noProof/>
              </w:rPr>
            </w:pPr>
            <w:r>
              <w:rPr>
                <w:noProof/>
              </w:rPr>
              <w:t>Število</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355063" w14:textId="77777777" w:rsidR="00154E32" w:rsidRDefault="00A43E04">
            <w:pPr>
              <w:pStyle w:val="P68B1DB1-Normal5"/>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59CBF2" w14:textId="77777777" w:rsidR="00154E32" w:rsidRDefault="00A43E04">
            <w:pPr>
              <w:pStyle w:val="P68B1DB1-Normal5"/>
              <w:jc w:val="center"/>
              <w:rPr>
                <w:noProof/>
              </w:rPr>
            </w:pPr>
            <w:r>
              <w:rPr>
                <w:noProof/>
              </w:rPr>
              <w:t>280 000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F1BEA2"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2B1DC6"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22155C" w14:textId="77777777" w:rsidR="00154E32" w:rsidRDefault="00A43E04">
            <w:pPr>
              <w:pStyle w:val="P68B1DB1-Normal5"/>
              <w:spacing w:after="120"/>
              <w:rPr>
                <w:noProof/>
              </w:rPr>
            </w:pPr>
            <w:r>
              <w:rPr>
                <w:noProof/>
              </w:rPr>
              <w:t>Vsaj 280000 (70 %) javnih uslužbencev drugih javnih uprav je uspešno zaključilo pobude za usposabljanje iz M1C1–65 (formalno certificiranje ali ocena učinka).</w:t>
            </w:r>
          </w:p>
        </w:tc>
      </w:tr>
      <w:tr w:rsidR="00154E32" w14:paraId="7CB7F2FF"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A8FD15" w14:textId="77777777" w:rsidR="00154E32" w:rsidRDefault="00A43E04">
            <w:pPr>
              <w:pStyle w:val="P68B1DB1-Normal5"/>
              <w:jc w:val="center"/>
              <w:rPr>
                <w:noProof/>
              </w:rPr>
            </w:pPr>
            <w:r>
              <w:rPr>
                <w:noProof/>
              </w:rPr>
              <w:t>M1C1–68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01BF08" w14:textId="77777777" w:rsidR="00154E32" w:rsidRDefault="00A43E04">
            <w:pPr>
              <w:pStyle w:val="P68B1DB1-Normal5"/>
              <w:jc w:val="center"/>
              <w:rPr>
                <w:noProof/>
              </w:rPr>
            </w:pPr>
            <w:r>
              <w:rPr>
                <w:noProof/>
              </w:rPr>
              <w:t>Reforma 1.9: Reforma javne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0A7CC8"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61EDA2" w14:textId="77777777" w:rsidR="00154E32" w:rsidRDefault="00A43E04">
            <w:pPr>
              <w:pStyle w:val="P68B1DB1-Normal5"/>
              <w:jc w:val="center"/>
              <w:rPr>
                <w:noProof/>
              </w:rPr>
            </w:pPr>
            <w:r>
              <w:rPr>
                <w:noProof/>
              </w:rPr>
              <w:t>Sistem arhivov za revizijo in nadzor: informacije za spremljanje izvajanja mehanizma za okrevanje in odpornost</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E625C2" w14:textId="77777777" w:rsidR="00154E32" w:rsidRDefault="00A43E04">
            <w:pPr>
              <w:pStyle w:val="P68B1DB1-Normal5"/>
              <w:jc w:val="center"/>
              <w:rPr>
                <w:noProof/>
              </w:rPr>
            </w:pPr>
            <w:r>
              <w:rPr>
                <w:noProof/>
              </w:rPr>
              <w:t>Revizijsko poročilo, ki potrjuje funkcije sistema repozitorija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436F61"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147EEE"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564E20"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FFD70C"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E9D4C1" w14:textId="77777777" w:rsidR="00154E32" w:rsidRDefault="00A43E04">
            <w:pPr>
              <w:pStyle w:val="P68B1DB1-Normal5"/>
              <w:jc w:val="center"/>
              <w:rPr>
                <w:noProof/>
              </w:rPr>
            </w:pPr>
            <w:r>
              <w:rPr>
                <w:noProof/>
              </w:rPr>
              <w:t>2021</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93DCE9" w14:textId="77777777" w:rsidR="00154E32" w:rsidRDefault="00A43E04">
            <w:pPr>
              <w:pStyle w:val="P68B1DB1-Normal5"/>
              <w:spacing w:after="120"/>
              <w:rPr>
                <w:noProof/>
              </w:rPr>
            </w:pPr>
            <w:r>
              <w:rPr>
                <w:noProof/>
              </w:rPr>
              <w:t>Vzpostavljen je sistem arhivov za spremljanje izvajanja mehanizma za okrevanje in odpornost, ki tudi deluje.</w:t>
            </w:r>
          </w:p>
          <w:p w14:paraId="6B8EA697" w14:textId="77777777" w:rsidR="00154E32" w:rsidRDefault="00A43E04">
            <w:pPr>
              <w:pStyle w:val="P68B1DB1-Normal5"/>
              <w:spacing w:after="120"/>
              <w:rPr>
                <w:noProof/>
              </w:rPr>
            </w:pPr>
            <w:r>
              <w:rPr>
                <w:noProof/>
              </w:rPr>
              <w:t>Sistem vključuje najmanj naslednje funkcije:</w:t>
            </w:r>
          </w:p>
          <w:p w14:paraId="5A99E7CA" w14:textId="77777777" w:rsidR="00154E32" w:rsidRDefault="00A43E04">
            <w:pPr>
              <w:pStyle w:val="P68B1DB1-Normal5"/>
              <w:spacing w:after="120"/>
              <w:rPr>
                <w:noProof/>
              </w:rPr>
            </w:pPr>
            <w:r>
              <w:rPr>
                <w:noProof/>
              </w:rPr>
              <w:t>(a) zbiranje podatkov in spremljanje doseganja mejnikov in ciljev;</w:t>
            </w:r>
          </w:p>
          <w:p w14:paraId="5D5E10D0" w14:textId="77777777" w:rsidR="00154E32" w:rsidRDefault="00A43E04">
            <w:pPr>
              <w:pStyle w:val="P68B1DB1-Normal5"/>
              <w:spacing w:after="120"/>
              <w:rPr>
                <w:noProof/>
              </w:rPr>
            </w:pPr>
            <w:r>
              <w:rPr>
                <w:noProof/>
              </w:rPr>
              <w:t>(b) zbiranje, shranjevanje in zagotavljanje dostopa do podatkov, ki se zahtevajo v skladu s členom 22(2)(d)(i) do (iii) uredbe o mehanizmu za okrevanje in odpornost.</w:t>
            </w:r>
          </w:p>
        </w:tc>
      </w:tr>
      <w:tr w:rsidR="00154E32" w14:paraId="591C2821"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F20F02" w14:textId="77777777" w:rsidR="00154E32" w:rsidRDefault="00A43E04">
            <w:pPr>
              <w:pStyle w:val="P68B1DB1-Normal5"/>
              <w:jc w:val="center"/>
              <w:rPr>
                <w:noProof/>
              </w:rPr>
            </w:pPr>
            <w:r>
              <w:rPr>
                <w:noProof/>
              </w:rPr>
              <w:t>M1C1–69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3688A1"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247E94"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18B16F" w14:textId="77777777" w:rsidR="00154E32" w:rsidRDefault="00A43E04">
            <w:pPr>
              <w:pStyle w:val="P68B1DB1-Normal5"/>
              <w:jc w:val="center"/>
              <w:rPr>
                <w:noProof/>
              </w:rPr>
            </w:pPr>
            <w:r>
              <w:rPr>
                <w:noProof/>
              </w:rPr>
              <w:t>Začetek veljavnosti Uredbe o poenostavitvi sistema javnih naročil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5BB59B" w14:textId="77777777" w:rsidR="00154E32" w:rsidRDefault="00A43E04">
            <w:pPr>
              <w:pStyle w:val="P68B1DB1-Normal5"/>
              <w:jc w:val="center"/>
              <w:rPr>
                <w:noProof/>
              </w:rPr>
            </w:pPr>
            <w:r>
              <w:rPr>
                <w:noProof/>
              </w:rPr>
              <w:t>Določba zakona o začetku veljavnosti zakonske uredbe za poenostavitev sistema javnih naročil.</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52E3B0"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F58B64"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F13480"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77DCAF"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59D24E" w14:textId="77777777" w:rsidR="00154E32" w:rsidRDefault="00A43E04">
            <w:pPr>
              <w:pStyle w:val="P68B1DB1-Normal5"/>
              <w:jc w:val="center"/>
              <w:rPr>
                <w:noProof/>
              </w:rPr>
            </w:pPr>
            <w:r>
              <w:rPr>
                <w:noProof/>
              </w:rPr>
              <w:t>2021</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E5E50A" w14:textId="77777777" w:rsidR="00154E32" w:rsidRDefault="00A43E04">
            <w:pPr>
              <w:pStyle w:val="P68B1DB1-Normal5"/>
              <w:spacing w:after="120"/>
              <w:rPr>
                <w:noProof/>
              </w:rPr>
            </w:pPr>
            <w:r>
              <w:rPr>
                <w:noProof/>
              </w:rPr>
              <w:t>Zakonski odlok poenostavi sistem javnega naročanja z vsaj naslednjimi nujnimi ukrepi:</w:t>
            </w:r>
          </w:p>
          <w:p w14:paraId="3C906276" w14:textId="77777777" w:rsidR="00154E32" w:rsidRDefault="00A43E04">
            <w:pPr>
              <w:pStyle w:val="P68B1DB1-Normal5"/>
              <w:spacing w:after="120"/>
              <w:rPr>
                <w:noProof/>
              </w:rPr>
            </w:pPr>
            <w:r>
              <w:rPr>
                <w:noProof/>
              </w:rPr>
              <w:t>I. Določi cilje za skrajšanje časa med objavo in oddajo naročila.</w:t>
            </w:r>
          </w:p>
          <w:p w14:paraId="0A1E1AB1" w14:textId="77777777" w:rsidR="00154E32" w:rsidRDefault="00A43E04">
            <w:pPr>
              <w:pStyle w:val="P68B1DB1-Normal5"/>
              <w:spacing w:after="120"/>
              <w:rPr>
                <w:noProof/>
              </w:rPr>
            </w:pPr>
            <w:r>
              <w:rPr>
                <w:noProof/>
              </w:rPr>
              <w:t>II. Določa cilje in sistem spremljanja za skrajšanje časa med oddajo naročila in dokončanjem infrastrukture („fase esecutiva“).</w:t>
            </w:r>
          </w:p>
          <w:p w14:paraId="3FF2B944" w14:textId="77777777" w:rsidR="00154E32" w:rsidRDefault="00A43E04">
            <w:pPr>
              <w:pStyle w:val="P68B1DB1-Normal5"/>
              <w:spacing w:after="120"/>
              <w:rPr>
                <w:noProof/>
              </w:rPr>
            </w:pPr>
            <w:r>
              <w:rPr>
                <w:noProof/>
              </w:rPr>
              <w:t>III. Zahteva, da se podatki o vseh pogodbah evidentirajo v protikorupcijski podatkovni zbirki nacionalnega protikorupcijskega organa (ANAC).</w:t>
            </w:r>
          </w:p>
          <w:p w14:paraId="5DBA2BAF" w14:textId="77777777" w:rsidR="00154E32" w:rsidRDefault="00A43E04">
            <w:pPr>
              <w:pStyle w:val="P68B1DB1-Normal5"/>
              <w:spacing w:after="120"/>
              <w:rPr>
                <w:noProof/>
              </w:rPr>
            </w:pPr>
            <w:r>
              <w:rPr>
                <w:noProof/>
              </w:rPr>
              <w:t>IV. Izvajanje in spodbujanje mehanizmov alternativnega reševanja sporov v fazi izvajanja javnih naročil.</w:t>
            </w:r>
          </w:p>
          <w:p w14:paraId="4A2ACB70" w14:textId="77777777" w:rsidR="00154E32" w:rsidRDefault="00A43E04">
            <w:pPr>
              <w:pStyle w:val="P68B1DB1-Normal5"/>
              <w:spacing w:after="120"/>
              <w:rPr>
                <w:noProof/>
              </w:rPr>
            </w:pPr>
            <w:r>
              <w:rPr>
                <w:noProof/>
              </w:rPr>
              <w:t>v. Ustanoviti namenske urade, pristojne za postopke javnega naročanja na ministrstvih, v regijah in metropolitanskih mestih.</w:t>
            </w:r>
          </w:p>
          <w:p w14:paraId="66CB72FC" w14:textId="77777777" w:rsidR="00154E32" w:rsidRDefault="00A43E04">
            <w:pPr>
              <w:pStyle w:val="P68B1DB1-Normal5"/>
              <w:spacing w:after="120"/>
              <w:rPr>
                <w:noProof/>
              </w:rPr>
            </w:pPr>
            <w:r>
              <w:rPr>
                <w:noProof/>
              </w:rPr>
              <w:t>Dodatne specifikacije:</w:t>
            </w:r>
          </w:p>
          <w:p w14:paraId="26070B95" w14:textId="5F65CD1E" w:rsidR="00154E32" w:rsidRDefault="00A43E04">
            <w:pPr>
              <w:pStyle w:val="P68B1DB1-Normal5"/>
              <w:spacing w:after="120"/>
              <w:rPr>
                <w:noProof/>
              </w:rPr>
            </w:pPr>
            <w:r>
              <w:rPr>
                <w:noProof/>
              </w:rPr>
              <w:t>Poenostavitev in digitalizacija postopkov osrednjih nabavnih organov („centrali diwetenza“);</w:t>
            </w:r>
          </w:p>
          <w:p w14:paraId="77542B64" w14:textId="5F7AE2F8" w:rsidR="00154E32" w:rsidRDefault="00A43E04">
            <w:pPr>
              <w:pStyle w:val="P68B1DB1-Normal5"/>
              <w:spacing w:after="120"/>
              <w:rPr>
                <w:noProof/>
              </w:rPr>
            </w:pPr>
            <w:r>
              <w:rPr>
                <w:noProof/>
              </w:rPr>
              <w:t>— Izvajanje členov 41 in 44 veljavnega zakonika o javnih naročilih;</w:t>
            </w:r>
          </w:p>
          <w:p w14:paraId="73119A7B" w14:textId="08623397" w:rsidR="00154E32" w:rsidRDefault="00A43E04">
            <w:pPr>
              <w:pStyle w:val="P68B1DB1-Normal5"/>
              <w:spacing w:after="120"/>
              <w:rPr>
                <w:noProof/>
              </w:rPr>
            </w:pPr>
            <w:r>
              <w:rPr>
                <w:noProof/>
              </w:rPr>
              <w:t>Opredeliti, kako bi bilo treba digitalizirati postopke za vsa javna naročila in koncesije, ter opredeliti zahteve glede interoperabilnosti in medsebojne povezljivosti;</w:t>
            </w:r>
          </w:p>
          <w:p w14:paraId="056043F8" w14:textId="58C60AED" w:rsidR="00154E32" w:rsidRDefault="00A43E04">
            <w:pPr>
              <w:pStyle w:val="P68B1DB1-Normal5"/>
              <w:spacing w:after="120"/>
              <w:rPr>
                <w:noProof/>
              </w:rPr>
            </w:pPr>
            <w:r>
              <w:rPr>
                <w:noProof/>
              </w:rPr>
              <w:t>— Izvajanje člena 44 veljavnega zakonika o javnih naročilih.0</w:t>
            </w:r>
          </w:p>
        </w:tc>
      </w:tr>
      <w:tr w:rsidR="00154E32" w14:paraId="60B8C90E"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3C6C2E" w14:textId="77777777" w:rsidR="00154E32" w:rsidRDefault="00A43E04">
            <w:pPr>
              <w:pStyle w:val="P68B1DB1-Normal5"/>
              <w:jc w:val="center"/>
              <w:rPr>
                <w:noProof/>
              </w:rPr>
            </w:pPr>
            <w:r>
              <w:rPr>
                <w:noProof/>
              </w:rPr>
              <w:t>M1C1–70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0EF3A8"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A650CB"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7650A3" w14:textId="77777777" w:rsidR="00154E32" w:rsidRDefault="00A43E04">
            <w:pPr>
              <w:pStyle w:val="P68B1DB1-Normal5"/>
              <w:jc w:val="center"/>
              <w:rPr>
                <w:noProof/>
              </w:rPr>
            </w:pPr>
            <w:r>
              <w:rPr>
                <w:noProof/>
              </w:rPr>
              <w:t>Začetek veljavnosti revizije zakonika o javnem naročanju (D.Lgs. n. 50/2016)</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0075B2" w14:textId="77777777" w:rsidR="00154E32" w:rsidRDefault="00A43E04">
            <w:pPr>
              <w:pStyle w:val="P68B1DB1-Normal5"/>
              <w:jc w:val="center"/>
              <w:rPr>
                <w:noProof/>
              </w:rPr>
            </w:pPr>
            <w:r>
              <w:rPr>
                <w:noProof/>
              </w:rPr>
              <w:t>Določba zakona o začetku veljavnosti zakona o prenosu pooblastil, s katerim se reformira sedanji kodeks sistema javnega naročanja (D.Lgs. št. 50/2016)</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B030DE"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4F6A39"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AAE1AC"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A082F0"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CC09FA" w14:textId="77777777" w:rsidR="00154E32" w:rsidRDefault="00A43E04">
            <w:pPr>
              <w:pStyle w:val="P68B1DB1-Normal5"/>
              <w:jc w:val="center"/>
              <w:rPr>
                <w:noProof/>
              </w:rPr>
            </w:pPr>
            <w:r>
              <w:rPr>
                <w:noProof/>
              </w:rPr>
              <w:t>2022</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A79F07" w14:textId="77777777" w:rsidR="00154E32" w:rsidRDefault="00A43E04">
            <w:pPr>
              <w:pStyle w:val="P68B1DB1-Normal5"/>
              <w:spacing w:after="120"/>
              <w:rPr>
                <w:noProof/>
              </w:rPr>
            </w:pPr>
            <w:r>
              <w:rPr>
                <w:noProof/>
              </w:rPr>
              <w:t>Ta zakon določa vsa natančna merila in načela za sistemsko reformo zakonika o javnih naročilih.</w:t>
            </w:r>
          </w:p>
          <w:p w14:paraId="628C95E6" w14:textId="77777777" w:rsidR="00154E32" w:rsidRDefault="00A43E04">
            <w:pPr>
              <w:pStyle w:val="P68B1DB1-Normal5"/>
              <w:spacing w:after="120"/>
              <w:rPr>
                <w:noProof/>
              </w:rPr>
            </w:pPr>
            <w:r>
              <w:rPr>
                <w:noProof/>
              </w:rPr>
              <w:t>Zakon o prenosu pooblastil določa vsaj naslednja načela in merila za:</w:t>
            </w:r>
          </w:p>
          <w:p w14:paraId="465F87E6" w14:textId="77777777" w:rsidR="00154E32" w:rsidRDefault="00A43E04">
            <w:pPr>
              <w:pStyle w:val="P68B1DB1-Normal5"/>
              <w:spacing w:after="120"/>
              <w:rPr>
                <w:noProof/>
              </w:rPr>
            </w:pPr>
            <w:r>
              <w:rPr>
                <w:noProof/>
              </w:rPr>
              <w:t>I. Zmanjšanje razdrobljenosti javnih naročnikov (1) določitev osnovnih elementov kvalifikacijskega sistema, (2) zahtevanje vzpostavitve e-platforme kot osnovne zahteve za sodelovanje pri ocenjevanju zmogljivosti javnega naročanja po vsej državi, (3) pooblastilo nacionalnemu protikorupcijskemu organu (ANAC), da pregleda usposobljenost javnih naročnikov v smislu zmogljivosti javnega naročanja (vrste in obseg nakupov), (4) zagotavljanje spodbud za uporabo obstoječih strokovnih osrednjih nabavnih organov.</w:t>
            </w:r>
          </w:p>
          <w:p w14:paraId="59ED593F" w14:textId="77777777" w:rsidR="00154E32" w:rsidRDefault="00A43E04">
            <w:pPr>
              <w:pStyle w:val="P68B1DB1-Normal5"/>
              <w:spacing w:after="120"/>
              <w:rPr>
                <w:noProof/>
              </w:rPr>
            </w:pPr>
            <w:r>
              <w:rPr>
                <w:noProof/>
              </w:rPr>
              <w:t>II. Poenostavitev in digitalizacija postopkov osrednjih nabavnih organov („centrali diwetenza“)</w:t>
            </w:r>
          </w:p>
          <w:p w14:paraId="0185A5CD" w14:textId="77777777" w:rsidR="00154E32" w:rsidRDefault="00A43E04">
            <w:pPr>
              <w:pStyle w:val="P68B1DB1-Normal5"/>
              <w:spacing w:after="120"/>
              <w:rPr>
                <w:noProof/>
              </w:rPr>
            </w:pPr>
            <w:r>
              <w:rPr>
                <w:noProof/>
              </w:rPr>
              <w:t>III. Opredeliti, kako se digitalizirajo postopki za vsa javna naročila in koncesije, ter opredeliti zahteve glede interoperabilnosti in medsebojne povezljivosti.</w:t>
            </w:r>
          </w:p>
          <w:p w14:paraId="7F3649C3" w14:textId="77777777" w:rsidR="00154E32" w:rsidRDefault="00A43E04">
            <w:pPr>
              <w:pStyle w:val="P68B1DB1-Normal5"/>
              <w:spacing w:after="120"/>
              <w:rPr>
                <w:noProof/>
              </w:rPr>
            </w:pPr>
            <w:r>
              <w:rPr>
                <w:noProof/>
              </w:rPr>
              <w:t>IV. Postopno zmanjšati omejitve v zvezi s sklepanjem pogodb s podizvajalci.</w:t>
            </w:r>
          </w:p>
        </w:tc>
      </w:tr>
      <w:tr w:rsidR="00154E32" w14:paraId="797BF5AD"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061633" w14:textId="77777777" w:rsidR="00154E32" w:rsidRDefault="00A43E04">
            <w:pPr>
              <w:pStyle w:val="P68B1DB1-Normal5"/>
              <w:jc w:val="center"/>
              <w:rPr>
                <w:noProof/>
              </w:rPr>
            </w:pPr>
            <w:r>
              <w:rPr>
                <w:noProof/>
              </w:rPr>
              <w:t>M1C1–71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8E5C87"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804AC8"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C1CD27" w14:textId="77777777" w:rsidR="00154E32" w:rsidRDefault="00A43E04">
            <w:pPr>
              <w:pStyle w:val="P68B1DB1-Normal5"/>
              <w:jc w:val="center"/>
              <w:rPr>
                <w:noProof/>
              </w:rPr>
            </w:pPr>
            <w:r>
              <w:rPr>
                <w:noProof/>
              </w:rPr>
              <w:t>Začetek veljavnosti vse potrebne zakonodaje, predpisov in izvedbenih aktov (vključno s sekundarno zakonodajo) za sistem javnega naročanja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E7FECD" w14:textId="77777777" w:rsidR="00154E32" w:rsidRDefault="00A43E04">
            <w:pPr>
              <w:pStyle w:val="P68B1DB1-Normal5"/>
              <w:jc w:val="center"/>
              <w:rPr>
                <w:noProof/>
              </w:rPr>
            </w:pPr>
            <w:r>
              <w:rPr>
                <w:noProof/>
              </w:rPr>
              <w:t>Začetek veljavnosti vseh potrebnih zakonodajnih predpisov in izvedbenih aktov</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26C9B3"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14BFF5"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14CB15"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BFBD7E"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D574F3" w14:textId="77777777" w:rsidR="00154E32" w:rsidRDefault="00A43E04">
            <w:pPr>
              <w:pStyle w:val="P68B1DB1-Normal5"/>
              <w:jc w:val="center"/>
              <w:rPr>
                <w:noProof/>
              </w:rPr>
            </w:pPr>
            <w:r>
              <w:rPr>
                <w:noProof/>
              </w:rPr>
              <w:t>2021</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F45097" w14:textId="77777777" w:rsidR="00154E32" w:rsidRDefault="00A43E04">
            <w:pPr>
              <w:pStyle w:val="P68B1DB1-Normal5"/>
              <w:spacing w:after="120"/>
              <w:rPr>
                <w:noProof/>
              </w:rPr>
            </w:pPr>
            <w:r>
              <w:rPr>
                <w:noProof/>
              </w:rPr>
              <w:t>Vsa potrebna zakonodaja, predpisi in izvedbeni akti (vključno s sekundarno zakonodajo, če je potrebno) imajo naslednje rezultate:</w:t>
            </w:r>
          </w:p>
          <w:p w14:paraId="7AC4812D" w14:textId="77777777" w:rsidR="00154E32" w:rsidRDefault="00A43E04">
            <w:pPr>
              <w:pStyle w:val="P68B1DB1-Normal5"/>
              <w:spacing w:after="120"/>
              <w:rPr>
                <w:noProof/>
              </w:rPr>
            </w:pPr>
            <w:r>
              <w:rPr>
                <w:noProof/>
              </w:rPr>
              <w:t>I. Enotni usklajevalni organ za politiko javnih naročil ima ustrezno raven osebja in finančnih virov (ki se določi v operativnem dogovoru), da lahko v celoti deluje, tudi zaradi podpore namenske strukture ANAC.</w:t>
            </w:r>
          </w:p>
          <w:p w14:paraId="5F9C90C2" w14:textId="77777777" w:rsidR="00154E32" w:rsidRDefault="00A43E04">
            <w:pPr>
              <w:pStyle w:val="P68B1DB1-Normal5"/>
              <w:spacing w:after="120"/>
              <w:rPr>
                <w:noProof/>
              </w:rPr>
            </w:pPr>
            <w:r>
              <w:rPr>
                <w:noProof/>
              </w:rPr>
              <w:t>II. Enotni usklajevalni organ za politiko javnega naročanja sprejme strategijo profesionalizacije (glej v povezavi s predlagano reformo NRPP Italije 2.1.6), ki vsebuje vrste usposabljanja na različnih ravneh, posebno mentorstvo in pripravo operativnih smernic ob podpori ANAC in nacionalne šole za upravo.</w:t>
            </w:r>
          </w:p>
          <w:p w14:paraId="146A5498" w14:textId="77777777" w:rsidR="00154E32" w:rsidRDefault="00A43E04">
            <w:pPr>
              <w:pStyle w:val="P68B1DB1-Normal5"/>
              <w:spacing w:after="120"/>
              <w:rPr>
                <w:noProof/>
              </w:rPr>
            </w:pPr>
            <w:r>
              <w:rPr>
                <w:noProof/>
              </w:rPr>
              <w:t>III. Dinamični nabavni sistemi so na voljo prek Consip in so v skladu z direktivami o javnih naročilih.</w:t>
            </w:r>
          </w:p>
          <w:p w14:paraId="4E3C1732" w14:textId="77777777" w:rsidR="00154E32" w:rsidRDefault="00A43E04">
            <w:pPr>
              <w:pStyle w:val="P68B1DB1-Normal5"/>
              <w:spacing w:after="120"/>
              <w:rPr>
                <w:noProof/>
              </w:rPr>
            </w:pPr>
            <w:r>
              <w:rPr>
                <w:noProof/>
              </w:rPr>
              <w:t>IV. ANAC v skladu z izvajanjem člena 38 zakonika o javnem naročanju zaključi izvajanje kvalifikacij javnih organov naročnikov v smislu zmogljivosti javnega naročanja.</w:t>
            </w:r>
          </w:p>
          <w:p w14:paraId="7252BA0B" w14:textId="77777777" w:rsidR="00154E32" w:rsidRDefault="00A43E04">
            <w:pPr>
              <w:pStyle w:val="P68B1DB1-Normal5"/>
              <w:spacing w:after="120"/>
              <w:rPr>
                <w:noProof/>
              </w:rPr>
            </w:pPr>
            <w:r>
              <w:rPr>
                <w:noProof/>
              </w:rPr>
              <w:t>v. Sistem spremljanja za čas med oddajo naročila in dokončanjem infrastrukturnih del deluje.</w:t>
            </w:r>
          </w:p>
          <w:p w14:paraId="6AB832E0" w14:textId="77777777" w:rsidR="00154E32" w:rsidRDefault="00A43E04">
            <w:pPr>
              <w:pStyle w:val="P68B1DB1-Normal5"/>
              <w:spacing w:after="120"/>
              <w:rPr>
                <w:noProof/>
              </w:rPr>
            </w:pPr>
            <w:r>
              <w:rPr>
                <w:noProof/>
              </w:rPr>
              <w:t>VI. Podatki o vseh pogodbah so evidentirani v protikorupcijski podatkovni zbirki nacionalnega protikorupcijskega organa (ANAC).</w:t>
            </w:r>
          </w:p>
          <w:p w14:paraId="3784B762" w14:textId="77777777" w:rsidR="00154E32" w:rsidRDefault="00A43E04">
            <w:pPr>
              <w:pStyle w:val="P68B1DB1-Normal5"/>
              <w:spacing w:after="120"/>
              <w:rPr>
                <w:noProof/>
              </w:rPr>
            </w:pPr>
            <w:r>
              <w:rPr>
                <w:noProof/>
              </w:rPr>
              <w:t>VII. Vsi namenski uradi, pristojni za postopke javnega naročanja na ministrstvih, v regijah in metropolitanskih mestih.</w:t>
            </w:r>
          </w:p>
        </w:tc>
      </w:tr>
      <w:tr w:rsidR="00154E32" w14:paraId="5327A261"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8CEE34" w14:textId="77777777" w:rsidR="00154E32" w:rsidRDefault="00A43E04">
            <w:pPr>
              <w:pStyle w:val="P68B1DB1-Normal5"/>
              <w:jc w:val="center"/>
              <w:rPr>
                <w:noProof/>
              </w:rPr>
            </w:pPr>
            <w:r>
              <w:rPr>
                <w:noProof/>
              </w:rPr>
              <w:t>M1C1–72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9AFA35"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7DC1BD"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7E1426" w14:textId="70AC682A" w:rsidR="00154E32" w:rsidRDefault="00A43E04">
            <w:pPr>
              <w:pStyle w:val="P68B1DB1-Normal5"/>
              <w:jc w:val="center"/>
              <w:rPr>
                <w:noProof/>
              </w:rPr>
            </w:pPr>
            <w:r>
              <w:rPr>
                <w:noProof/>
              </w:rPr>
              <w:t>Ukrepi za zmanjšanje zamud pri plačilih podjetij s strani javne uprave so odobreni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D7E140" w14:textId="77777777" w:rsidR="00154E32" w:rsidRDefault="00A43E04">
            <w:pPr>
              <w:pStyle w:val="P68B1DB1-Normal5"/>
              <w:jc w:val="center"/>
              <w:rPr>
                <w:noProof/>
              </w:rPr>
            </w:pPr>
            <w:r>
              <w:rPr>
                <w:noProof/>
              </w:rPr>
              <w:t>Določba zakona o začetku veljavnosti pravil za zmanjšanje zapoznelih plačil plačilne agencije podjetjem</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E94038"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519ACE"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ACB16A"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1F34F4"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3F61D0" w14:textId="77777777" w:rsidR="00154E32" w:rsidRDefault="00A43E04">
            <w:pPr>
              <w:pStyle w:val="P68B1DB1-Normal5"/>
              <w:jc w:val="center"/>
              <w:rPr>
                <w:noProof/>
              </w:rPr>
            </w:pPr>
            <w:r>
              <w:rPr>
                <w:noProof/>
              </w:rPr>
              <w:t>2023</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983510" w14:textId="77777777" w:rsidR="00154E32" w:rsidRDefault="00A43E04">
            <w:pPr>
              <w:pStyle w:val="P68B1DB1-Normal5"/>
              <w:spacing w:after="120"/>
              <w:rPr>
                <w:noProof/>
              </w:rPr>
            </w:pPr>
            <w:r>
              <w:rPr>
                <w:noProof/>
              </w:rPr>
              <w:t>Začetek veljavnosti novih pravil za zmanjšanje zamud pri plačilih s strani javne uprave podjetjem.</w:t>
            </w:r>
          </w:p>
          <w:p w14:paraId="1E38921D" w14:textId="77777777" w:rsidR="00154E32" w:rsidRDefault="00A43E04">
            <w:pPr>
              <w:pStyle w:val="P68B1DB1-Normal5"/>
              <w:spacing w:after="120"/>
              <w:rPr>
                <w:noProof/>
              </w:rPr>
            </w:pPr>
            <w:r>
              <w:rPr>
                <w:noProof/>
              </w:rPr>
              <w:t>Ukrepi vključujejo vsaj naslednje ključne elemente:</w:t>
            </w:r>
          </w:p>
          <w:p w14:paraId="7B4A1A34" w14:textId="0B6D0976" w:rsidR="00154E32" w:rsidRDefault="00A43E04">
            <w:pPr>
              <w:pStyle w:val="P68B1DB1-Normal4"/>
              <w:spacing w:after="120"/>
              <w:rPr>
                <w:noProof/>
                <w:color w:val="006100"/>
              </w:rPr>
            </w:pPr>
            <w:r>
              <w:rPr>
                <w:noProof/>
                <w:color w:val="006100"/>
              </w:rPr>
              <w:t>I. Sistem</w:t>
            </w:r>
            <w:r>
              <w:rPr>
                <w:noProof/>
              </w:rPr>
              <w:t xml:space="preserve"> </w:t>
            </w:r>
            <w:r>
              <w:rPr>
                <w:noProof/>
                <w:color w:val="006100"/>
              </w:rPr>
              <w:t>InIT se uporablja v centralni javni upravi v podporo ekonomskemu in finančnemu računovodstvu ter izvrševanju javnih izdatkov.</w:t>
            </w:r>
          </w:p>
          <w:p w14:paraId="64DC3B84" w14:textId="2CFFE001" w:rsidR="00154E32" w:rsidRDefault="00A43E04">
            <w:pPr>
              <w:pStyle w:val="P68B1DB1-Normal4"/>
              <w:spacing w:after="120"/>
              <w:rPr>
                <w:noProof/>
                <w:color w:val="006100"/>
              </w:rPr>
            </w:pPr>
            <w:r>
              <w:rPr>
                <w:noProof/>
                <w:color w:val="006100"/>
              </w:rPr>
              <w:t>II.</w:t>
            </w:r>
            <w:r>
              <w:rPr>
                <w:noProof/>
              </w:rPr>
              <w:t xml:space="preserve"> </w:t>
            </w:r>
            <w:r>
              <w:rPr>
                <w:noProof/>
                <w:color w:val="006100"/>
              </w:rPr>
              <w:t>Zamude pri plačilih: kazalniki, ki temeljijo na podatkovni zbirki informacijskega sistema MoF (komercialna kreditna platforma – PCC), so ponderirani povprečni plačilni čas javnih organov podjetjem in ponderirana povprečna plačilna zamuda javnih organov podjetjem za vsako od naslednjih ravni javne uprave:</w:t>
            </w:r>
          </w:p>
          <w:p w14:paraId="6FE43641" w14:textId="77777777" w:rsidR="00154E32" w:rsidRDefault="00A43E04">
            <w:pPr>
              <w:pStyle w:val="P68B1DB1-Normal5"/>
              <w:numPr>
                <w:ilvl w:val="0"/>
                <w:numId w:val="83"/>
              </w:numPr>
              <w:spacing w:after="120"/>
              <w:rPr>
                <w:noProof/>
              </w:rPr>
            </w:pPr>
            <w:r>
              <w:rPr>
                <w:noProof/>
              </w:rPr>
              <w:t>osrednji organi (Amministrazioni dello Stato, enti pubblici nazionali e altri enti)</w:t>
            </w:r>
          </w:p>
          <w:p w14:paraId="21024CC2" w14:textId="77777777" w:rsidR="00154E32" w:rsidRDefault="00A43E04">
            <w:pPr>
              <w:pStyle w:val="P68B1DB1-Normal5"/>
              <w:numPr>
                <w:ilvl w:val="0"/>
                <w:numId w:val="83"/>
              </w:numPr>
              <w:spacing w:after="120"/>
              <w:rPr>
                <w:noProof/>
              </w:rPr>
            </w:pPr>
            <w:r>
              <w:rPr>
                <w:noProof/>
              </w:rPr>
              <w:t>regionalne oblasti (Regioni in provinca Autonome),</w:t>
            </w:r>
          </w:p>
          <w:p w14:paraId="70476CBD" w14:textId="77777777" w:rsidR="00154E32" w:rsidRDefault="00A43E04">
            <w:pPr>
              <w:pStyle w:val="P68B1DB1-Normal5"/>
              <w:numPr>
                <w:ilvl w:val="0"/>
                <w:numId w:val="83"/>
              </w:numPr>
              <w:spacing w:after="120"/>
              <w:rPr>
                <w:noProof/>
              </w:rPr>
            </w:pPr>
            <w:r>
              <w:rPr>
                <w:noProof/>
              </w:rPr>
              <w:t>lokalni organi (enti locali)</w:t>
            </w:r>
          </w:p>
          <w:p w14:paraId="11D929DC" w14:textId="37823A2E" w:rsidR="00154E32" w:rsidRDefault="00A43E04">
            <w:pPr>
              <w:pStyle w:val="P68B1DB1-Normal5"/>
              <w:numPr>
                <w:ilvl w:val="0"/>
                <w:numId w:val="83"/>
              </w:numPr>
              <w:spacing w:after="120"/>
              <w:rPr>
                <w:noProof/>
              </w:rPr>
            </w:pPr>
            <w:r>
              <w:rPr>
                <w:noProof/>
              </w:rPr>
              <w:t>javnozdravstveni organi (enti del Servizio sanitario nazionale).</w:t>
            </w:r>
          </w:p>
        </w:tc>
      </w:tr>
      <w:tr w:rsidR="00154E32" w14:paraId="6FFE874C"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8D4BB1" w14:textId="77777777" w:rsidR="00154E32" w:rsidRDefault="00A43E04">
            <w:pPr>
              <w:pStyle w:val="P68B1DB1-Normal5"/>
              <w:jc w:val="center"/>
              <w:rPr>
                <w:noProof/>
              </w:rPr>
            </w:pPr>
            <w:r>
              <w:rPr>
                <w:noProof/>
              </w:rPr>
              <w:t>M1C1–72a</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9D80B7"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5FEE42"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442487" w14:textId="77777777" w:rsidR="00154E32" w:rsidRDefault="00A43E04">
            <w:pPr>
              <w:pStyle w:val="P68B1DB1-Normal5"/>
              <w:jc w:val="center"/>
              <w:rPr>
                <w:noProof/>
              </w:rPr>
            </w:pPr>
            <w:r>
              <w:rPr>
                <w:noProof/>
              </w:rPr>
              <w:t>Zakonodajni in posebni ukrepi za zmanjšanje zamud pri plačilih na centralni/lokalni ravni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3A44FB" w14:textId="739779D4" w:rsidR="00154E32" w:rsidRDefault="00A43E04">
            <w:pPr>
              <w:pStyle w:val="P68B1DB1-Normal5"/>
              <w:jc w:val="center"/>
              <w:rPr>
                <w:noProof/>
              </w:rPr>
            </w:pPr>
            <w:r>
              <w:rPr>
                <w:noProof/>
              </w:rPr>
              <w:t>Določba zakona o začetku veljavnosti primarne zakonodaje in sprejetju ukrepov za zmanjšanje zamud pri plačilih iz plačilne agencije podjetjem</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75276E"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765D0F"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DCE7D5"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B6B8FD"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E376E2"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E7E985" w14:textId="6C392237" w:rsidR="00154E32" w:rsidRDefault="00A43E04">
            <w:pPr>
              <w:pStyle w:val="P68B1DB1-Normal5"/>
              <w:spacing w:after="120"/>
              <w:rPr>
                <w:noProof/>
              </w:rPr>
            </w:pPr>
            <w:r>
              <w:rPr>
                <w:noProof/>
              </w:rPr>
              <w:t>Veljati začnejo naslednji zakonodajni in posebni ukrepi:</w:t>
            </w:r>
          </w:p>
          <w:p w14:paraId="2654A60D" w14:textId="19FEC0D1" w:rsidR="00154E32" w:rsidRDefault="00A43E04">
            <w:pPr>
              <w:pStyle w:val="P68B1DB1-Normal5"/>
              <w:spacing w:after="120"/>
              <w:rPr>
                <w:noProof/>
              </w:rPr>
            </w:pPr>
            <w:r>
              <w:rPr>
                <w:noProof/>
              </w:rPr>
              <w:t xml:space="preserve">smernice, ki pojasnjujejo obseg komercialnih in nekomercialnih poslov v skladu z direktivo o zamudah pri plačilih; </w:t>
            </w:r>
          </w:p>
          <w:p w14:paraId="18731492" w14:textId="2CDCB9CE" w:rsidR="00154E32" w:rsidRDefault="00A43E04">
            <w:pPr>
              <w:pStyle w:val="P68B1DB1-Normal5"/>
              <w:spacing w:after="120"/>
              <w:rPr>
                <w:noProof/>
              </w:rPr>
            </w:pPr>
            <w:r>
              <w:rPr>
                <w:noProof/>
              </w:rPr>
              <w:t>— smernice, ki pojasnjujejo področje uporabe člena 4(6) direktive o zamudah pri plačilih v skladu s slednjo;</w:t>
            </w:r>
          </w:p>
          <w:p w14:paraId="11E8E255" w14:textId="1F34520D" w:rsidR="00154E32" w:rsidRDefault="00A43E04">
            <w:pPr>
              <w:pStyle w:val="P68B1DB1-Normal5"/>
              <w:spacing w:after="120"/>
              <w:rPr>
                <w:noProof/>
              </w:rPr>
            </w:pPr>
            <w:r>
              <w:rPr>
                <w:noProof/>
              </w:rPr>
              <w:t>zakonodaja, ki bo zagotovila, da bodo lokalne in regionalne oblasti pravočasno prejele sredstva za plačilo računov na centralni ravni;</w:t>
            </w:r>
          </w:p>
          <w:p w14:paraId="2E3FA0AF" w14:textId="356FFB36" w:rsidR="00154E32" w:rsidRDefault="00A43E04">
            <w:pPr>
              <w:pStyle w:val="P68B1DB1-Normal5"/>
              <w:spacing w:after="120"/>
              <w:rPr>
                <w:noProof/>
              </w:rPr>
            </w:pPr>
            <w:r>
              <w:rPr>
                <w:noProof/>
              </w:rPr>
              <w:t>zakonodaja, ki od javnih organov zahteva, da sprejmejo letne načrte denarnega toka, ki zagotavljajo spoštovanje zakonskih plačilnih rokov;</w:t>
            </w:r>
          </w:p>
          <w:p w14:paraId="5A043031" w14:textId="0A0BB698" w:rsidR="00154E32" w:rsidRDefault="00A43E04">
            <w:pPr>
              <w:pStyle w:val="P68B1DB1-Normal5"/>
              <w:spacing w:after="120"/>
              <w:rPr>
                <w:noProof/>
              </w:rPr>
            </w:pPr>
            <w:r>
              <w:rPr>
                <w:noProof/>
              </w:rPr>
              <w:t>— zmogljivosti ministrstev in regij za notranjo revizijo in nadzor za spremljanje stanja računov, ki niso plačani pravočasno.</w:t>
            </w:r>
          </w:p>
          <w:p w14:paraId="6DB9A0BD" w14:textId="7773B477" w:rsidR="00154E32" w:rsidRDefault="00A43E04">
            <w:pPr>
              <w:pStyle w:val="P68B1DB1-Normal5"/>
              <w:spacing w:after="120"/>
              <w:rPr>
                <w:noProof/>
              </w:rPr>
            </w:pPr>
            <w:r>
              <w:rPr>
                <w:noProof/>
              </w:rPr>
              <w:t>Naslednji posebni ukrepi se sprejmejo na naslednjih področjih:</w:t>
            </w:r>
          </w:p>
          <w:p w14:paraId="055863CE" w14:textId="77777777" w:rsidR="00154E32" w:rsidRDefault="00A43E04">
            <w:pPr>
              <w:pStyle w:val="P68B1DB1-Normal7"/>
              <w:rPr>
                <w:noProof/>
              </w:rPr>
            </w:pPr>
            <w:r>
              <w:rPr>
                <w:noProof/>
              </w:rPr>
              <w:t xml:space="preserve">Osrednja raven: </w:t>
            </w:r>
          </w:p>
          <w:p w14:paraId="2AF9941A" w14:textId="5D37DE0D" w:rsidR="00154E32" w:rsidRDefault="00A43E04">
            <w:pPr>
              <w:pStyle w:val="P68B1DB1-Normal5"/>
              <w:spacing w:after="120"/>
              <w:rPr>
                <w:noProof/>
              </w:rPr>
            </w:pPr>
            <w:r>
              <w:rPr>
                <w:noProof/>
              </w:rPr>
              <w:t xml:space="preserve">— Sprejme ukrepe za zagotovitev, da ministrstva in centralne uprave, ki jih italijanski organi do konca leta 2023 opredelijo kot strukturno zapoznele plačnike, plačajo posamezno v roku 30 dni (kot je ministrstvo za kmetijstvo, pravosodje, obrambo, notranje zadeve, infrastrukturo); </w:t>
            </w:r>
          </w:p>
          <w:p w14:paraId="43B3811D" w14:textId="36B2ABC6" w:rsidR="00154E32" w:rsidRDefault="00A43E04">
            <w:pPr>
              <w:pStyle w:val="P68B1DB1-Normal5"/>
              <w:spacing w:after="120"/>
              <w:rPr>
                <w:noProof/>
              </w:rPr>
            </w:pPr>
            <w:r>
              <w:rPr>
                <w:noProof/>
              </w:rPr>
              <w:t>Objava stanja zaostalih plačil s strani teh ministrstev, ki se posodablja vsako četrtletje;</w:t>
            </w:r>
          </w:p>
          <w:p w14:paraId="586CFCF1" w14:textId="77777777" w:rsidR="00154E32" w:rsidRDefault="00A43E04">
            <w:pPr>
              <w:pStyle w:val="P68B1DB1-Normal5"/>
              <w:spacing w:after="120"/>
              <w:rPr>
                <w:noProof/>
              </w:rPr>
            </w:pPr>
            <w:r>
              <w:rPr>
                <w:noProof/>
              </w:rPr>
              <w:t xml:space="preserve">Krepitev obstoječih projektnih skupin in vzpostavitev projektnih skupin, če še niso bile aktivirane; zagotavljanje bolj samodejne aktivacije projektnih skupin v primeru strukturno zapoznelih plačnikov. </w:t>
            </w:r>
          </w:p>
          <w:p w14:paraId="6830875C" w14:textId="5F1363B4" w:rsidR="00154E32" w:rsidRDefault="00A43E04">
            <w:pPr>
              <w:pStyle w:val="P68B1DB1-Normal5"/>
              <w:spacing w:after="120"/>
              <w:rPr>
                <w:b/>
                <w:noProof/>
              </w:rPr>
            </w:pPr>
            <w:r>
              <w:rPr>
                <w:noProof/>
              </w:rPr>
              <w:t xml:space="preserve">Na </w:t>
            </w:r>
            <w:r>
              <w:rPr>
                <w:b/>
                <w:noProof/>
              </w:rPr>
              <w:t>lokalni ravni</w:t>
            </w:r>
            <w:r>
              <w:rPr>
                <w:noProof/>
              </w:rPr>
              <w:t xml:space="preserve"> se sprejmejo naslednji posebni ukrepi:</w:t>
            </w:r>
            <w:r>
              <w:rPr>
                <w:b/>
                <w:noProof/>
              </w:rPr>
              <w:t xml:space="preserve"> </w:t>
            </w:r>
          </w:p>
          <w:p w14:paraId="28C5BE26" w14:textId="535276BD" w:rsidR="00154E32" w:rsidRDefault="00A43E04">
            <w:pPr>
              <w:pStyle w:val="P68B1DB1-Normal5"/>
              <w:spacing w:after="120"/>
              <w:rPr>
                <w:noProof/>
              </w:rPr>
            </w:pPr>
            <w:r>
              <w:rPr>
                <w:noProof/>
              </w:rPr>
              <w:t xml:space="preserve">— Sprejme ukrepe za zagotovitev, da lokalne uprave, ki jih italijanski organi do konca leta [2023] plačajo v roku 30 dni, identificirajo kot strukturno zapoznele plačnike (na primer občine Neapelj, Lecce in Salerno); </w:t>
            </w:r>
          </w:p>
          <w:p w14:paraId="451C7698" w14:textId="77777777" w:rsidR="00154E32" w:rsidRDefault="00A43E04">
            <w:pPr>
              <w:pStyle w:val="P68B1DB1-Normal5"/>
              <w:spacing w:after="120"/>
              <w:rPr>
                <w:noProof/>
              </w:rPr>
            </w:pPr>
            <w:r>
              <w:rPr>
                <w:noProof/>
              </w:rPr>
              <w:t>— Objava stanja zaostalih plačil s strani teh organov, ki se posodablja vsako četrtletje.</w:t>
            </w:r>
          </w:p>
        </w:tc>
      </w:tr>
      <w:tr w:rsidR="00154E32" w14:paraId="226D165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9965E6" w14:textId="77777777" w:rsidR="00154E32" w:rsidRDefault="00A43E04">
            <w:pPr>
              <w:pStyle w:val="P68B1DB1-Normal5"/>
              <w:jc w:val="center"/>
              <w:rPr>
                <w:noProof/>
              </w:rPr>
            </w:pPr>
            <w:r>
              <w:rPr>
                <w:noProof/>
              </w:rPr>
              <w:t>M1C1–72b</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E6E2A0"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90E533"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B59D89" w14:textId="77777777" w:rsidR="00154E32" w:rsidRDefault="00A43E04">
            <w:pPr>
              <w:pStyle w:val="P68B1DB1-Normal5"/>
              <w:jc w:val="center"/>
              <w:rPr>
                <w:noProof/>
              </w:rPr>
            </w:pPr>
            <w:r>
              <w:rPr>
                <w:noProof/>
              </w:rPr>
              <w:t>Povečanje človeških virov, ki se ukvarjajo z zamudami pri plačilih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69599A" w14:textId="5F56AAC0" w:rsidR="00154E32" w:rsidRDefault="00A43E04">
            <w:pPr>
              <w:pStyle w:val="P68B1DB1-Normal5"/>
              <w:jc w:val="center"/>
              <w:rPr>
                <w:noProof/>
              </w:rPr>
            </w:pPr>
            <w:r>
              <w:rPr>
                <w:noProof/>
              </w:rPr>
              <w:t>Določba o začetku veljavnosti zakonodaje za povečanje človeških virov, ki se ukvarjajo z zamudami pri plačilih</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9F31B4"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42882E"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6F129F"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2A234B"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98E3AA"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87FBCA" w14:textId="78D0A283" w:rsidR="00154E32" w:rsidRDefault="00A43E04">
            <w:pPr>
              <w:pStyle w:val="P68B1DB1-Normal5"/>
              <w:spacing w:after="120"/>
              <w:rPr>
                <w:noProof/>
              </w:rPr>
            </w:pPr>
            <w:r>
              <w:rPr>
                <w:noProof/>
              </w:rPr>
              <w:t>Začetek veljavnosti zakonodaje, ki predvideva povečanje človeških virov, ki se ukvarjajo s plačili v:</w:t>
            </w:r>
          </w:p>
          <w:p w14:paraId="6462CE7E" w14:textId="67F836E0" w:rsidR="00154E32" w:rsidRDefault="00A43E04">
            <w:pPr>
              <w:pStyle w:val="P68B1DB1-Normal5"/>
              <w:spacing w:after="120"/>
              <w:rPr>
                <w:noProof/>
              </w:rPr>
            </w:pPr>
            <w:r>
              <w:rPr>
                <w:noProof/>
              </w:rPr>
              <w:t>Ministrstva in centralne uprave, odvisno od posebnih organizacijskih potreb vključene osrednje uprave;</w:t>
            </w:r>
          </w:p>
          <w:p w14:paraId="3D989A88" w14:textId="4BFE830A" w:rsidR="00154E32" w:rsidRDefault="00A43E04">
            <w:pPr>
              <w:pStyle w:val="P68B1DB1-Normal5"/>
              <w:spacing w:after="120"/>
              <w:rPr>
                <w:noProof/>
              </w:rPr>
            </w:pPr>
            <w:r>
              <w:rPr>
                <w:noProof/>
              </w:rPr>
              <w:t>— uprave lokalne uprave, odvisno od posebnih organizacijskih potreb vključene lokalne uprave.</w:t>
            </w:r>
          </w:p>
        </w:tc>
      </w:tr>
      <w:tr w:rsidR="00154E32" w14:paraId="234A8A7E"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FE0322" w14:textId="77777777" w:rsidR="00154E32" w:rsidRDefault="00A43E04">
            <w:pPr>
              <w:pStyle w:val="P68B1DB1-Normal5"/>
              <w:jc w:val="center"/>
              <w:rPr>
                <w:noProof/>
              </w:rPr>
            </w:pPr>
            <w:r>
              <w:rPr>
                <w:noProof/>
              </w:rPr>
              <w:t>M1C1–72c</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CB03CC"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5D77C9"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C92937" w14:textId="26287738" w:rsidR="00154E32" w:rsidRDefault="00A43E04">
            <w:pPr>
              <w:pStyle w:val="P68B1DB1-Normal5"/>
              <w:rPr>
                <w:noProof/>
              </w:rPr>
            </w:pPr>
            <w:r>
              <w:rPr>
                <w:noProof/>
              </w:rPr>
              <w:t>Uvedba odstopa kredita tretjim osebam</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3F22F6" w14:textId="77777777" w:rsidR="00154E32" w:rsidRDefault="00A43E04">
            <w:pPr>
              <w:pStyle w:val="P68B1DB1-Normal5"/>
              <w:jc w:val="center"/>
              <w:rPr>
                <w:noProof/>
              </w:rPr>
            </w:pPr>
            <w:r>
              <w:rPr>
                <w:noProof/>
              </w:rPr>
              <w:t>Določba zakona o začetku veljavnosti primarne zakonodaje.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2CF422"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9EA21A"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BDB2E8"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856AF6"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6542CC"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C0675F" w14:textId="0A354296" w:rsidR="00154E32" w:rsidRDefault="00A43E04">
            <w:pPr>
              <w:pStyle w:val="P68B1DB1-Normal5"/>
              <w:spacing w:after="120"/>
              <w:rPr>
                <w:noProof/>
              </w:rPr>
            </w:pPr>
            <w:r>
              <w:rPr>
                <w:noProof/>
              </w:rPr>
              <w:t>Začetek veljavnosti zakonodaje, ki uvaja določbe, ki dovoljujejo odstop kredita tretjim osebam po 30 dneh molka/neukrepanja javne uprave</w:t>
            </w:r>
          </w:p>
        </w:tc>
      </w:tr>
      <w:tr w:rsidR="00154E32" w14:paraId="1F049C2C"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AFDB96" w14:textId="77777777" w:rsidR="00154E32" w:rsidRDefault="00A43E04">
            <w:pPr>
              <w:pStyle w:val="P68B1DB1-Normal5"/>
              <w:jc w:val="center"/>
              <w:rPr>
                <w:noProof/>
              </w:rPr>
            </w:pPr>
            <w:r>
              <w:rPr>
                <w:noProof/>
              </w:rPr>
              <w:t>M1C1–72quinquis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880532"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3C4B2C"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1CA210" w14:textId="77777777" w:rsidR="00154E32" w:rsidRDefault="00A43E04">
            <w:pPr>
              <w:pStyle w:val="P68B1DB1-Normal5"/>
              <w:jc w:val="center"/>
              <w:rPr>
                <w:noProof/>
              </w:rPr>
            </w:pPr>
            <w:r>
              <w:rPr>
                <w:noProof/>
              </w:rPr>
              <w:t xml:space="preserve">Izvrševanje plačil v podatkovni zbirki InIT </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8219CC" w14:textId="77777777" w:rsidR="00154E32" w:rsidRDefault="00A43E04">
            <w:pPr>
              <w:pStyle w:val="P68B1DB1-Normal5"/>
              <w:jc w:val="center"/>
              <w:rPr>
                <w:noProof/>
              </w:rPr>
            </w:pPr>
            <w:r>
              <w:rPr>
                <w:noProof/>
              </w:rPr>
              <w:t>Podatkovna zbirka INIT deluje za izvrševanje plačil.</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24AD15"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10CFC7"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FFD445"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7F1FC6"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F2DE6D"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4BB9DE" w14:textId="77777777" w:rsidR="00154E32" w:rsidRDefault="00A43E04">
            <w:pPr>
              <w:pStyle w:val="P68B1DB1-Normal5"/>
              <w:spacing w:after="120"/>
              <w:rPr>
                <w:noProof/>
              </w:rPr>
            </w:pPr>
            <w:r>
              <w:rPr>
                <w:noProof/>
              </w:rPr>
              <w:t>Podatkovna zbirka InIT deluje v celoti in ima naslednje zmogljivosti:</w:t>
            </w:r>
          </w:p>
          <w:p w14:paraId="37262AF4" w14:textId="45018645" w:rsidR="00154E32" w:rsidRDefault="00A43E04">
            <w:pPr>
              <w:pStyle w:val="P68B1DB1-Normal5"/>
              <w:spacing w:after="120"/>
              <w:rPr>
                <w:noProof/>
              </w:rPr>
            </w:pPr>
            <w:r>
              <w:rPr>
                <w:noProof/>
              </w:rPr>
              <w:t>Omogoča izvrševanje plačil brez zanašanja na interoperabilnost s starimi platformami za obdelavo plačil.</w:t>
            </w:r>
          </w:p>
          <w:p w14:paraId="4E4A9A0C" w14:textId="77777777" w:rsidR="00154E32" w:rsidRDefault="00A43E04">
            <w:pPr>
              <w:pStyle w:val="P68B1DB1-Normal5"/>
              <w:spacing w:after="120"/>
              <w:rPr>
                <w:noProof/>
              </w:rPr>
            </w:pPr>
            <w:r>
              <w:rPr>
                <w:noProof/>
              </w:rPr>
              <w:t>Zagotavlja, da lahko revizijske in kontrolne funkcije ministrstev in italijanskega računskega sodišča nadzorujejo zamude pri plačilih.</w:t>
            </w:r>
          </w:p>
        </w:tc>
      </w:tr>
      <w:tr w:rsidR="00154E32" w14:paraId="2D9166D5"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E80759" w14:textId="77777777" w:rsidR="00154E32" w:rsidRDefault="00A43E04">
            <w:pPr>
              <w:pStyle w:val="P68B1DB1-Normal5"/>
              <w:jc w:val="center"/>
              <w:rPr>
                <w:noProof/>
              </w:rPr>
            </w:pPr>
            <w:r>
              <w:rPr>
                <w:noProof/>
              </w:rPr>
              <w:t>M1C1–72ixies</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6EA01E"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01A759"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7DABF8" w14:textId="77777777" w:rsidR="00154E32" w:rsidRDefault="00A43E04">
            <w:pPr>
              <w:pStyle w:val="P68B1DB1-Normal5"/>
              <w:jc w:val="center"/>
              <w:rPr>
                <w:noProof/>
              </w:rPr>
            </w:pPr>
            <w:r>
              <w:rPr>
                <w:noProof/>
              </w:rPr>
              <w:t>Horizontalni ukrepi za zmanjšanje zamud pri plačilih iz plačilne agencije podjetjem</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3B0A21" w14:textId="77777777" w:rsidR="00154E32" w:rsidRDefault="00A43E04">
            <w:pPr>
              <w:pStyle w:val="P68B1DB1-Normal5"/>
              <w:jc w:val="center"/>
              <w:rPr>
                <w:noProof/>
              </w:rPr>
            </w:pPr>
            <w:r>
              <w:rPr>
                <w:noProof/>
              </w:rPr>
              <w:t>Platforma deluje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00874E"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5383B8"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F0EF26"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1385AE"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FC4E3C"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522E76" w14:textId="6AE7FF3D" w:rsidR="00154E32" w:rsidRDefault="00A43E04">
            <w:pPr>
              <w:pStyle w:val="P68B1DB1-Normal5"/>
              <w:spacing w:after="120"/>
              <w:rPr>
                <w:noProof/>
              </w:rPr>
            </w:pPr>
            <w:r>
              <w:rPr>
                <w:noProof/>
              </w:rPr>
              <w:t>Delovati morajo namenske informacije o komercialnih kreditih za podjetja, upravičena do terjatev, in javne uprave dolžnice. Platforma zagotavlja vsaj naslednje:</w:t>
            </w:r>
          </w:p>
          <w:p w14:paraId="72CD3676" w14:textId="2AD63F43" w:rsidR="00154E32" w:rsidRDefault="00A43E04">
            <w:pPr>
              <w:pStyle w:val="P68B1DB1-Normal5"/>
              <w:spacing w:after="120"/>
              <w:rPr>
                <w:noProof/>
              </w:rPr>
            </w:pPr>
            <w:r>
              <w:rPr>
                <w:noProof/>
              </w:rPr>
              <w:t xml:space="preserve">informacije za družbe (upnike) o pravnem okviru za kredite za javno upravo, pravicah družbe upnice, pravnih ukrepih, ki jih je mogoče sprejeti v primeru zamud pri prejemu plačila, delovanju plačilnega mehanizma dobaviteljev, kontaktni točki za družbe upnice. </w:t>
            </w:r>
          </w:p>
          <w:p w14:paraId="45AF45A7" w14:textId="77777777" w:rsidR="00154E32" w:rsidRDefault="00A43E04">
            <w:pPr>
              <w:pStyle w:val="P68B1DB1-Normal5"/>
              <w:spacing w:after="120"/>
              <w:rPr>
                <w:noProof/>
              </w:rPr>
            </w:pPr>
            <w:r>
              <w:rPr>
                <w:noProof/>
              </w:rPr>
              <w:t>Informacije za javne uprave (dolžnike) o pravnih zahtevah za plačilo komercialnih dolgov, upravne smernice, orodja za spremljanje, ki so na voljo javni upravi, in možne najboljše prakse za izboljšanje plačilne uspešnosti.</w:t>
            </w:r>
          </w:p>
          <w:p w14:paraId="700FEA03" w14:textId="09238198" w:rsidR="00154E32" w:rsidRDefault="00A43E04">
            <w:pPr>
              <w:pStyle w:val="P68B1DB1-Normal5"/>
              <w:spacing w:after="120"/>
              <w:rPr>
                <w:noProof/>
              </w:rPr>
            </w:pPr>
            <w:r>
              <w:rPr>
                <w:noProof/>
              </w:rPr>
              <w:t>Vsa spletišča ministrstva imajo povezavo do te platforme.</w:t>
            </w:r>
          </w:p>
        </w:tc>
      </w:tr>
      <w:tr w:rsidR="00154E32" w14:paraId="78A8CBBA"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22C907" w14:textId="77777777" w:rsidR="00154E32" w:rsidRDefault="00A43E04">
            <w:pPr>
              <w:pStyle w:val="P68B1DB1-Normal5"/>
              <w:jc w:val="center"/>
              <w:rPr>
                <w:noProof/>
              </w:rPr>
            </w:pPr>
            <w:r>
              <w:rPr>
                <w:noProof/>
              </w:rPr>
              <w:t>M1C1–73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86EE9A"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7C7AB6"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7C801E" w14:textId="77777777" w:rsidR="00154E32" w:rsidRDefault="00A43E04">
            <w:pPr>
              <w:pStyle w:val="P68B1DB1-Normal5"/>
              <w:jc w:val="center"/>
              <w:rPr>
                <w:noProof/>
              </w:rPr>
            </w:pPr>
            <w:r>
              <w:rPr>
                <w:noProof/>
              </w:rPr>
              <w:t>Začetek veljavnosti reforme zakonika o javnih naročilih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4BDD3C" w14:textId="77777777" w:rsidR="00154E32" w:rsidRDefault="00A43E04">
            <w:pPr>
              <w:pStyle w:val="P68B1DB1-Normal5"/>
              <w:jc w:val="center"/>
              <w:rPr>
                <w:noProof/>
              </w:rPr>
            </w:pPr>
            <w:r>
              <w:rPr>
                <w:noProof/>
              </w:rPr>
              <w:t>Določba zakona o začetku veljavnosti zakonodajnega odloka za izvajanje vseh določb zakona o reformi zakonika o javnih naročilih.</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731492"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E913B6"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A5EB75"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46C624"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2C2D5F" w14:textId="77777777" w:rsidR="00154E32" w:rsidRDefault="00A43E04">
            <w:pPr>
              <w:pStyle w:val="P68B1DB1-Normal5"/>
              <w:jc w:val="center"/>
              <w:rPr>
                <w:noProof/>
              </w:rPr>
            </w:pPr>
            <w:r>
              <w:rPr>
                <w:noProof/>
              </w:rPr>
              <w:t>2023</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D54445" w14:textId="77777777" w:rsidR="00154E32" w:rsidRDefault="00A43E04">
            <w:pPr>
              <w:pStyle w:val="P68B1DB1-Normal5"/>
              <w:spacing w:before="100" w:beforeAutospacing="1" w:after="120"/>
              <w:rPr>
                <w:noProof/>
              </w:rPr>
            </w:pPr>
            <w:r>
              <w:rPr>
                <w:noProof/>
              </w:rPr>
              <w:t>Začetek veljavnosti zakonodajnega odloka za izvajanje vseh določb zakona o prenosu pooblastil za reformo zakonika o javnih naročilih.</w:t>
            </w:r>
          </w:p>
        </w:tc>
      </w:tr>
      <w:tr w:rsidR="00154E32" w14:paraId="0530D713"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9C9567" w14:textId="77777777" w:rsidR="00154E32" w:rsidRDefault="00A43E04">
            <w:pPr>
              <w:pStyle w:val="P68B1DB1-Normal5"/>
              <w:jc w:val="center"/>
              <w:rPr>
                <w:noProof/>
              </w:rPr>
            </w:pPr>
            <w:r>
              <w:rPr>
                <w:noProof/>
              </w:rPr>
              <w:t>M1C1–74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1C93EA"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636FD1"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C58FC7" w14:textId="77777777" w:rsidR="00154E32" w:rsidRDefault="00A43E04">
            <w:pPr>
              <w:pStyle w:val="P68B1DB1-Normal5"/>
              <w:jc w:val="center"/>
              <w:rPr>
                <w:noProof/>
              </w:rPr>
            </w:pPr>
            <w:r>
              <w:rPr>
                <w:noProof/>
              </w:rPr>
              <w:t>Začetek veljavnosti vseh potrebnih izvedbenih ukrepov in sekundarne zakonodaje za reformo poenostavitve zakonika o javnih naročilih</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297986" w14:textId="74512641" w:rsidR="00154E32" w:rsidRDefault="00A43E04">
            <w:pPr>
              <w:pStyle w:val="P68B1DB1-Normal5"/>
              <w:jc w:val="center"/>
              <w:rPr>
                <w:noProof/>
              </w:rPr>
            </w:pPr>
            <w:r>
              <w:rPr>
                <w:noProof/>
              </w:rPr>
              <w:t>Začetek veljavnosti vseh potrebnih izvedbenih ukrepov in sekundarne zakonodaje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27ADF3"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48F376"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B0A17A"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2FA29A"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7D979A" w14:textId="77777777" w:rsidR="00154E32" w:rsidRDefault="00A43E04">
            <w:pPr>
              <w:pStyle w:val="P68B1DB1-Normal5"/>
              <w:jc w:val="center"/>
              <w:rPr>
                <w:noProof/>
              </w:rPr>
            </w:pPr>
            <w:r>
              <w:rPr>
                <w:noProof/>
              </w:rPr>
              <w:t>2023</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2DEEDA" w14:textId="77777777" w:rsidR="00154E32" w:rsidRDefault="00A43E04">
            <w:pPr>
              <w:pStyle w:val="P68B1DB1-Normal5"/>
              <w:spacing w:before="100" w:beforeAutospacing="1" w:after="120"/>
              <w:rPr>
                <w:noProof/>
              </w:rPr>
            </w:pPr>
            <w:r>
              <w:rPr>
                <w:noProof/>
              </w:rPr>
              <w:t>Začetek veljavnosti vseh potrebnih izvedbenih ukrepov in sekundarne zakonodaje za reformo/poenostavitev sistema javnih naročil (ki izhajajo tudi iz revizije zakonika o javnih naročilih).</w:t>
            </w:r>
          </w:p>
        </w:tc>
      </w:tr>
      <w:tr w:rsidR="00154E32" w14:paraId="3C00C955"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B79805" w14:textId="77777777" w:rsidR="00154E32" w:rsidRDefault="00A43E04">
            <w:pPr>
              <w:pStyle w:val="P68B1DB1-Normal5"/>
              <w:jc w:val="center"/>
              <w:rPr>
                <w:noProof/>
              </w:rPr>
            </w:pPr>
            <w:r>
              <w:rPr>
                <w:noProof/>
              </w:rPr>
              <w:t>M1C1–73a</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4FC06C"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95C972"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5E0EED" w14:textId="77777777" w:rsidR="00154E32" w:rsidRDefault="00A43E04">
            <w:pPr>
              <w:pStyle w:val="P68B1DB1-Normal5"/>
              <w:spacing w:before="100" w:beforeAutospacing="1" w:after="120"/>
              <w:jc w:val="center"/>
              <w:rPr>
                <w:noProof/>
              </w:rPr>
            </w:pPr>
            <w:r>
              <w:rPr>
                <w:noProof/>
              </w:rPr>
              <w:t>Sprejetje smernic o izvajanju kvalifikacijskega sistema za javne naročnike.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6F853F" w14:textId="5B9498FD" w:rsidR="00154E32" w:rsidRDefault="00A43E04">
            <w:pPr>
              <w:pStyle w:val="P68B1DB1-Normal5"/>
              <w:spacing w:before="100" w:beforeAutospacing="1" w:after="120"/>
              <w:jc w:val="center"/>
              <w:rPr>
                <w:noProof/>
              </w:rPr>
            </w:pPr>
            <w:r>
              <w:rPr>
                <w:noProof/>
              </w:rPr>
              <w:t>Sprejetje smernic o izvajanju kvalifikacijskega sistema za zakonik javnih naročnikov o javnih naročilih.</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5791FC"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88510F"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9A5E21"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19DBE0"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14E994"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51BE5D" w14:textId="20835F4B" w:rsidR="00154E32" w:rsidRDefault="00A43E04">
            <w:pPr>
              <w:pStyle w:val="P68B1DB1-Normal5"/>
              <w:spacing w:before="100" w:beforeAutospacing="1" w:after="120"/>
              <w:rPr>
                <w:noProof/>
              </w:rPr>
            </w:pPr>
            <w:r>
              <w:rPr>
                <w:noProof/>
              </w:rPr>
              <w:t>Sprejetje okrožnice, po posvetovanju z ANAC, s smernicami za sistematizacijo veljavnih pravil in razlago, da je tudi dodelitev pod pragovi še vedno mogoča in priporočljiva, ter za spodbujanje uporabe (kvalificiranih) centralnih nabavnih organov, kadar kvalifikacija ni prisotna ali ni mogoča (člen 62(6)(a) D.lgs 36/2023).</w:t>
            </w:r>
          </w:p>
        </w:tc>
      </w:tr>
      <w:tr w:rsidR="00154E32" w14:paraId="791D4E66"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3889AA" w14:textId="77777777" w:rsidR="00154E32" w:rsidRDefault="00A43E04">
            <w:pPr>
              <w:pStyle w:val="P68B1DB1-Normal5"/>
              <w:jc w:val="center"/>
              <w:rPr>
                <w:noProof/>
              </w:rPr>
            </w:pPr>
            <w:r>
              <w:rPr>
                <w:noProof/>
              </w:rPr>
              <w:t>M1C1–73b</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05F2AE"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3BF8B2" w14:textId="77777777" w:rsidR="00154E32" w:rsidRDefault="00A43E04">
            <w:pPr>
              <w:pStyle w:val="P68B1DB1-Normal5"/>
              <w:spacing w:before="100" w:beforeAutospacing="1" w:after="120"/>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C08555" w14:textId="49FB7A90" w:rsidR="00154E32" w:rsidRDefault="00A43E04">
            <w:pPr>
              <w:pStyle w:val="P68B1DB1-Normal5"/>
              <w:spacing w:before="100" w:beforeAutospacing="1" w:after="120"/>
              <w:jc w:val="center"/>
              <w:rPr>
                <w:noProof/>
              </w:rPr>
            </w:pPr>
            <w:r>
              <w:rPr>
                <w:noProof/>
              </w:rPr>
              <w:t>Spodbude za usposobljenost in profesionalizacijo javnih organov naročnikov.</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C7B7FC" w14:textId="0B1935B7" w:rsidR="00154E32" w:rsidRDefault="00A43E04">
            <w:pPr>
              <w:pStyle w:val="P68B1DB1-Normal5"/>
              <w:spacing w:before="100" w:beforeAutospacing="1" w:after="120"/>
              <w:jc w:val="center"/>
              <w:rPr>
                <w:noProof/>
              </w:rPr>
            </w:pPr>
            <w:r>
              <w:rPr>
                <w:noProof/>
              </w:rPr>
              <w:t>Sprejetje izvedbenih ukrepov in določb zakona o začetku veljavnosti zakonodaje.</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EA41E6"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EED810"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E3D0E6"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D207C1"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806F27"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34DE31" w14:textId="7442E20B" w:rsidR="00154E32" w:rsidRDefault="00A43E04">
            <w:pPr>
              <w:pStyle w:val="P68B1DB1-Normal5"/>
              <w:spacing w:before="100" w:beforeAutospacing="1" w:after="120"/>
              <w:rPr>
                <w:noProof/>
              </w:rPr>
            </w:pPr>
            <w:r>
              <w:rPr>
                <w:noProof/>
              </w:rPr>
              <w:t xml:space="preserve">Ocena Cabina di Regia ex člena 221 zakonika o javnih naročilih, po posvetovanju z ANAC, o vplivu izvajanja kodeksa javnih naročil na: </w:t>
            </w:r>
          </w:p>
          <w:p w14:paraId="5C3CF263" w14:textId="77777777" w:rsidR="00154E32" w:rsidRDefault="00A43E04">
            <w:pPr>
              <w:pStyle w:val="P68B1DB1-ListParagraph6"/>
              <w:numPr>
                <w:ilvl w:val="0"/>
                <w:numId w:val="131"/>
              </w:numPr>
              <w:spacing w:before="100" w:beforeAutospacing="1"/>
              <w:jc w:val="left"/>
              <w:rPr>
                <w:noProof/>
              </w:rPr>
            </w:pPr>
            <w:r>
              <w:rPr>
                <w:noProof/>
              </w:rPr>
              <w:t xml:space="preserve">število usposobljenih javnih naročnikov in centraliziranih nabavnih organov; </w:t>
            </w:r>
          </w:p>
          <w:p w14:paraId="292BB215" w14:textId="77777777" w:rsidR="00154E32" w:rsidRDefault="00A43E04">
            <w:pPr>
              <w:pStyle w:val="P68B1DB1-ListParagraph6"/>
              <w:numPr>
                <w:ilvl w:val="0"/>
                <w:numId w:val="131"/>
              </w:numPr>
              <w:spacing w:before="100" w:beforeAutospacing="1"/>
              <w:jc w:val="left"/>
              <w:rPr>
                <w:noProof/>
              </w:rPr>
            </w:pPr>
            <w:r>
              <w:rPr>
                <w:noProof/>
              </w:rPr>
              <w:t xml:space="preserve">število in vrednost javnih naročil, ki jih upravljajo v svojem imenu in v imenu nekvalificiranih subjektov; </w:t>
            </w:r>
          </w:p>
          <w:p w14:paraId="0C5B9B9C" w14:textId="77777777" w:rsidR="00154E32" w:rsidRDefault="00A43E04">
            <w:pPr>
              <w:pStyle w:val="P68B1DB1-ListParagraph6"/>
              <w:numPr>
                <w:ilvl w:val="0"/>
                <w:numId w:val="131"/>
              </w:numPr>
              <w:spacing w:before="100" w:beforeAutospacing="1"/>
              <w:jc w:val="left"/>
              <w:rPr>
                <w:noProof/>
              </w:rPr>
            </w:pPr>
            <w:r>
              <w:rPr>
                <w:noProof/>
              </w:rPr>
              <w:t xml:space="preserve">vpliv sistema v smislu časovnega razporeda oddaje javnega naročila in dokončanja javnih naročil.  </w:t>
            </w:r>
          </w:p>
          <w:p w14:paraId="316D6A31" w14:textId="77777777" w:rsidR="00154E32" w:rsidRDefault="00A43E04">
            <w:pPr>
              <w:pStyle w:val="P68B1DB1-Normal5"/>
              <w:spacing w:before="100" w:beforeAutospacing="1" w:after="120"/>
              <w:rPr>
                <w:noProof/>
              </w:rPr>
            </w:pPr>
            <w:r>
              <w:rPr>
                <w:noProof/>
              </w:rPr>
              <w:t xml:space="preserve">Objava rezultatov kartiranja udeležbe nekvalificiranih subjektov pri dejavnostih krepitve zmogljivosti. </w:t>
            </w:r>
          </w:p>
          <w:p w14:paraId="4D8FAE52" w14:textId="474BE35D" w:rsidR="00154E32" w:rsidRDefault="00A43E04">
            <w:pPr>
              <w:pStyle w:val="P68B1DB1-Normal5"/>
              <w:spacing w:before="100" w:beforeAutospacing="1" w:after="120"/>
              <w:rPr>
                <w:noProof/>
              </w:rPr>
            </w:pPr>
            <w:r>
              <w:rPr>
                <w:noProof/>
              </w:rPr>
              <w:t>Po posvetovanju z ANAC se sprejmejo nadaljnje pobude za spodbujanje kvalifikacij javnih naročnikov, zmanjšanje razdrobljenosti in profesionalizacijo nekvalificiranih subjektov.</w:t>
            </w:r>
          </w:p>
          <w:p w14:paraId="1C1F556F" w14:textId="77777777" w:rsidR="00154E32" w:rsidRDefault="00A43E04">
            <w:pPr>
              <w:pStyle w:val="P68B1DB1-Normal5"/>
              <w:spacing w:before="100" w:beforeAutospacing="1" w:after="120"/>
              <w:rPr>
                <w:noProof/>
              </w:rPr>
            </w:pPr>
            <w:r>
              <w:rPr>
                <w:noProof/>
              </w:rPr>
              <w:t>Sprejmejo in začnejo delovati dodatni instrumenti za tehnično/upravno podporo lokalnim ali nekvalificiranim javnim organom naročnikom, kadar centralizacija ni na voljo ali izvedljiva.</w:t>
            </w:r>
          </w:p>
        </w:tc>
      </w:tr>
      <w:tr w:rsidR="00154E32" w14:paraId="5D66E614"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559F67" w14:textId="77777777" w:rsidR="00154E32" w:rsidRDefault="00A43E04">
            <w:pPr>
              <w:pStyle w:val="P68B1DB1-Normal5"/>
              <w:jc w:val="center"/>
              <w:rPr>
                <w:noProof/>
              </w:rPr>
            </w:pPr>
            <w:r>
              <w:rPr>
                <w:noProof/>
              </w:rPr>
              <w:t>M1C1–73c</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D13878"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70056B"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8CD20E" w14:textId="79725909" w:rsidR="00154E32" w:rsidRDefault="00A43E04">
            <w:pPr>
              <w:pStyle w:val="P68B1DB1-Normal5"/>
              <w:spacing w:before="100" w:beforeAutospacing="1" w:after="120"/>
              <w:jc w:val="center"/>
              <w:rPr>
                <w:noProof/>
              </w:rPr>
            </w:pPr>
            <w:r>
              <w:rPr>
                <w:noProof/>
              </w:rPr>
              <w:t>Začetek veljavnosti smernic o javnih naročilih pod pragom EU</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634A69" w14:textId="32CEA93A" w:rsidR="00154E32" w:rsidRDefault="00A43E04">
            <w:pPr>
              <w:pStyle w:val="P68B1DB1-Normal5"/>
              <w:spacing w:before="100" w:beforeAutospacing="1" w:after="120"/>
              <w:jc w:val="center"/>
              <w:rPr>
                <w:noProof/>
              </w:rPr>
            </w:pPr>
            <w:r>
              <w:rPr>
                <w:noProof/>
              </w:rPr>
              <w:t>Začetek veljavnosti smernic o javnih naročilih pod pragom EU</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2A8A7F"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0FD047"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B5F8BA"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13D59B"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F67392" w14:textId="77777777" w:rsidR="00154E32" w:rsidRDefault="00A43E04">
            <w:pPr>
              <w:pStyle w:val="P68B1DB1-Normal5"/>
              <w:jc w:val="center"/>
              <w:rPr>
                <w:noProof/>
              </w:rPr>
            </w:pPr>
            <w:r>
              <w:rPr>
                <w:noProof/>
              </w:rPr>
              <w:t>2023</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BCA732" w14:textId="19D7EC6C" w:rsidR="00154E32" w:rsidRDefault="00A43E04">
            <w:pPr>
              <w:pStyle w:val="P68B1DB1-Normal5"/>
              <w:spacing w:before="100" w:beforeAutospacing="1" w:after="120"/>
              <w:rPr>
                <w:noProof/>
              </w:rPr>
            </w:pPr>
            <w:r>
              <w:rPr>
                <w:noProof/>
              </w:rPr>
              <w:t>Okrožnica o javnih naročilih pod pragom EU, sprejeta in objavljena v italijanskem Uradnem listu. V okrožnici je pojasnjeno, da lahko javni naročniki uporabijo odprte in omejene postopke za javna naročila pod pragom EU.</w:t>
            </w:r>
          </w:p>
        </w:tc>
      </w:tr>
      <w:tr w:rsidR="00154E32" w14:paraId="607443A0"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9580F4" w14:textId="77777777" w:rsidR="00154E32" w:rsidRDefault="00A43E04">
            <w:pPr>
              <w:pStyle w:val="P68B1DB1-Normal5"/>
              <w:jc w:val="center"/>
              <w:rPr>
                <w:noProof/>
              </w:rPr>
            </w:pPr>
            <w:r>
              <w:rPr>
                <w:noProof/>
              </w:rPr>
              <w:t>M1C1–73quinqui</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80FBDD"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4B245A"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BE6D15" w14:textId="390E6152" w:rsidR="00154E32" w:rsidRDefault="00A43E04">
            <w:pPr>
              <w:pStyle w:val="P68B1DB1-Normal5"/>
              <w:spacing w:before="100" w:beforeAutospacing="1" w:after="120"/>
              <w:jc w:val="center"/>
              <w:rPr>
                <w:noProof/>
              </w:rPr>
            </w:pPr>
            <w:r>
              <w:rPr>
                <w:noProof/>
              </w:rPr>
              <w:t>Začetek veljavnosti novih pravnih določb o financiranju projektov</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6B970C" w14:textId="188568FE" w:rsidR="00154E32" w:rsidRDefault="00A43E04">
            <w:pPr>
              <w:pStyle w:val="P68B1DB1-Normal5"/>
              <w:spacing w:before="100" w:beforeAutospacing="1" w:after="120"/>
              <w:jc w:val="center"/>
              <w:rPr>
                <w:noProof/>
              </w:rPr>
            </w:pPr>
            <w:r>
              <w:rPr>
                <w:noProof/>
              </w:rPr>
              <w:t>Določba zakona o začetku veljavnosti novih pravnih določb</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8E67B9"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2DFF2B"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A30218"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9414A7"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E944E0"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A9C194" w14:textId="0B7DFE79" w:rsidR="00154E32" w:rsidRDefault="00A43E04">
            <w:pPr>
              <w:pStyle w:val="P68B1DB1-Normal5"/>
              <w:spacing w:before="100" w:beforeAutospacing="1" w:after="120"/>
              <w:rPr>
                <w:noProof/>
              </w:rPr>
            </w:pPr>
            <w:r>
              <w:rPr>
                <w:noProof/>
              </w:rPr>
              <w:t>Začetek veljavnosti novih pravnih določb o financiranju projektov, namenjenih povečanju učinkovitosti in konkurenčnosti, zlasti za povečanje tekmovalnosti koncesij.</w:t>
            </w:r>
          </w:p>
        </w:tc>
      </w:tr>
      <w:tr w:rsidR="00154E32" w14:paraId="5869C06C"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532A70" w14:textId="77777777" w:rsidR="00154E32" w:rsidRDefault="00A43E04">
            <w:pPr>
              <w:pStyle w:val="P68B1DB1-Normal5"/>
              <w:jc w:val="center"/>
              <w:rPr>
                <w:noProof/>
              </w:rPr>
            </w:pPr>
            <w:r>
              <w:rPr>
                <w:noProof/>
              </w:rPr>
              <w:t>M1C1–75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8FF84E"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35BE93"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DCD928" w14:textId="77777777" w:rsidR="00154E32" w:rsidRDefault="00A43E04">
            <w:pPr>
              <w:pStyle w:val="P68B1DB1-Normal5"/>
              <w:jc w:val="center"/>
              <w:rPr>
                <w:noProof/>
              </w:rPr>
            </w:pPr>
            <w:r>
              <w:rPr>
                <w:noProof/>
              </w:rPr>
              <w:t>Polno delovanje nacionalnega sistema e-javnih naročil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839F82" w14:textId="77777777" w:rsidR="00154E32" w:rsidRDefault="00A43E04">
            <w:pPr>
              <w:pStyle w:val="P68B1DB1-Normal5"/>
              <w:jc w:val="center"/>
              <w:rPr>
                <w:noProof/>
              </w:rPr>
            </w:pPr>
            <w:r>
              <w:rPr>
                <w:noProof/>
              </w:rPr>
              <w:t>Razpoložljivost funkcij, opredeljenih v študiji izvedljivosti (se opredeli kot projektna naloga 1)</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8B1F1B"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3549B1"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58E0F3"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BA6EFE"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40E044" w14:textId="77777777" w:rsidR="00154E32" w:rsidRDefault="00A43E04">
            <w:pPr>
              <w:pStyle w:val="P68B1DB1-Normal5"/>
              <w:jc w:val="center"/>
              <w:rPr>
                <w:noProof/>
              </w:rPr>
            </w:pPr>
            <w:r>
              <w:rPr>
                <w:noProof/>
              </w:rPr>
              <w:t>2023</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E849F3" w14:textId="77777777" w:rsidR="00154E32" w:rsidRDefault="00A43E04">
            <w:pPr>
              <w:pStyle w:val="P68B1DB1-Normal5"/>
              <w:spacing w:before="100" w:beforeAutospacing="1" w:after="120"/>
              <w:rPr>
                <w:noProof/>
              </w:rPr>
            </w:pPr>
            <w:r>
              <w:rPr>
                <w:noProof/>
              </w:rPr>
              <w:t>Nacionalni sistem e-javnih naročil deluje in je v celoti skladen z direktivami EU o javnih naročilih ter vključuje popolno digitalizacijo postopkov do izvedbe naročila (pametno javno naročanje), je interoperabilen s sistemi upravljanja javne uprave, vsebuje digitalno habilitacijo organizacij proizvajalcev, dražbenih sej, strojnega učenja za odkrivanje trendov, kritičnih surovin s klepetalnimi boti, digitalnega sodelovanja in verige statusa.</w:t>
            </w:r>
          </w:p>
        </w:tc>
      </w:tr>
      <w:tr w:rsidR="00154E32" w14:paraId="762CE4B7"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07E492" w14:textId="77777777" w:rsidR="00154E32" w:rsidRDefault="00A43E04">
            <w:pPr>
              <w:pStyle w:val="P68B1DB1-Normal5"/>
              <w:jc w:val="center"/>
              <w:rPr>
                <w:noProof/>
              </w:rPr>
            </w:pPr>
            <w:r>
              <w:rPr>
                <w:noProof/>
              </w:rPr>
              <w:t>M1C1–75a</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D8A01E" w14:textId="77777777" w:rsidR="00154E32" w:rsidRDefault="00A43E04">
            <w:pPr>
              <w:pStyle w:val="P68B1DB1-Normal5"/>
              <w:jc w:val="center"/>
              <w:rPr>
                <w:noProof/>
              </w:rPr>
            </w:pPr>
            <w:r>
              <w:rPr>
                <w:noProof/>
              </w:rPr>
              <w:t>Naložba 1.10: Podpora kvalifikacijam in e-javnim naročilom</w:t>
            </w:r>
          </w:p>
          <w:p w14:paraId="628341BD" w14:textId="77777777" w:rsidR="00154E32" w:rsidRDefault="00154E32">
            <w:pPr>
              <w:jc w:val="center"/>
              <w:rPr>
                <w:rFonts w:ascii="Arial Narrow" w:hAnsi="Arial Narrow" w:cs="Arial"/>
                <w:noProof/>
                <w:color w:val="006100"/>
                <w:sz w:val="20"/>
              </w:rPr>
            </w:pP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7DDB41"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514685" w14:textId="77777777" w:rsidR="00154E32" w:rsidRDefault="00A43E04">
            <w:pPr>
              <w:pStyle w:val="P68B1DB1-Normal5"/>
              <w:jc w:val="center"/>
              <w:rPr>
                <w:noProof/>
              </w:rPr>
            </w:pPr>
            <w:r>
              <w:rPr>
                <w:noProof/>
              </w:rPr>
              <w:t>Podpora kvalifikacijam in e-javnim naročilom</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0B4A76" w14:textId="77777777" w:rsidR="00154E32" w:rsidRDefault="00A43E04">
            <w:pPr>
              <w:pStyle w:val="P68B1DB1-Normal5"/>
              <w:jc w:val="center"/>
              <w:rPr>
                <w:noProof/>
              </w:rPr>
            </w:pPr>
            <w:r>
              <w:rPr>
                <w:noProof/>
              </w:rPr>
              <w:t xml:space="preserve">Začetek uporabe podporne funkcije za javno naročanje </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346B28"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FFB2A7"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757156"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899A59"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F34BAE"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AB3C15" w14:textId="464B9341" w:rsidR="00154E32" w:rsidRDefault="00A43E04">
            <w:pPr>
              <w:pStyle w:val="P68B1DB1-Normal5"/>
              <w:spacing w:before="100" w:beforeAutospacing="1" w:after="120"/>
              <w:rPr>
                <w:noProof/>
              </w:rPr>
            </w:pPr>
            <w:r>
              <w:rPr>
                <w:noProof/>
              </w:rPr>
              <w:t>V okviru strategije za profesionalizacijo javnih kupcev se vzpostavi podporna funkcija pri javnem naročanju. Podporna funkcija pri javnem naročanju je namenjena javnim naročnikom, da izpolnijo zahteve iz Priloge II.4 k zakoniku o javnih naročilih in jih podpirajo v postopku e-javnega naročanja, podpirajo pridobivanje digitalnih znanj in spretnosti ter zagotavljajo tehnično podporo pri sprejemanju digitalizacije javnega naročanja, vključno z uporabo dinamičnih nabavnih sistemov.</w:t>
            </w:r>
          </w:p>
        </w:tc>
      </w:tr>
      <w:tr w:rsidR="00154E32" w14:paraId="27C9FDEE"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4F40AF" w14:textId="77777777" w:rsidR="00154E32" w:rsidRDefault="00A43E04">
            <w:pPr>
              <w:pStyle w:val="P68B1DB1-Normal5"/>
              <w:jc w:val="center"/>
              <w:rPr>
                <w:noProof/>
              </w:rPr>
            </w:pPr>
            <w:r>
              <w:rPr>
                <w:noProof/>
              </w:rPr>
              <w:t>M1C1–76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714B53"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636925"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C5A0EA" w14:textId="77777777" w:rsidR="00154E32" w:rsidRDefault="00A43E04">
            <w:pPr>
              <w:pStyle w:val="P68B1DB1-Normal5"/>
              <w:jc w:val="center"/>
              <w:rPr>
                <w:noProof/>
              </w:rPr>
            </w:pPr>
            <w:r>
              <w:rPr>
                <w:noProof/>
              </w:rPr>
              <w:t>Povprečno število dni, ki jih centralne javne uprave potrebujejo za plačilo podjetjem, se zmanjša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BAEDC6"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40AAB0" w14:textId="77777777" w:rsidR="00154E32" w:rsidRDefault="00A43E04">
            <w:pPr>
              <w:pStyle w:val="P68B1DB1-Normal5"/>
              <w:jc w:val="center"/>
              <w:rPr>
                <w:noProof/>
              </w:rPr>
            </w:pPr>
            <w:r>
              <w:rPr>
                <w:noProof/>
              </w:rPr>
              <w:t>Tehtani povprečni čas plačila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E0C8AD"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7F6B2A" w14:textId="77777777" w:rsidR="00154E32" w:rsidRDefault="00A43E04">
            <w:pPr>
              <w:pStyle w:val="P68B1DB1-Normal5"/>
              <w:jc w:val="center"/>
              <w:rPr>
                <w:noProof/>
              </w:rPr>
            </w:pPr>
            <w:r>
              <w:rPr>
                <w:noProof/>
              </w:rPr>
              <w:t>30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3F1930"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B63062" w14:textId="77777777" w:rsidR="00154E32" w:rsidRDefault="00A43E04">
            <w:pPr>
              <w:pStyle w:val="P68B1DB1-Normal5"/>
              <w:jc w:val="center"/>
              <w:rPr>
                <w:noProof/>
              </w:rPr>
            </w:pPr>
            <w:r>
              <w:rPr>
                <w:noProof/>
              </w:rPr>
              <w:t>2025</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6B19D0" w14:textId="77777777" w:rsidR="00154E32" w:rsidRDefault="00A43E04">
            <w:pPr>
              <w:pStyle w:val="P68B1DB1-Normal5"/>
              <w:spacing w:before="100" w:beforeAutospacing="1" w:after="120"/>
              <w:rPr>
                <w:noProof/>
              </w:rPr>
            </w:pPr>
            <w:r>
              <w:rPr>
                <w:noProof/>
              </w:rPr>
              <w:t>Na podlagi komercialne kreditne platforme (PCC) je tehtani povprečni čas plačila („tempo di pagamento“) osrednjih javnih organov (</w:t>
            </w:r>
            <w:r>
              <w:rPr>
                <w:i/>
                <w:noProof/>
              </w:rPr>
              <w:t>Amministrazioni dello Stato, enti pubblici nazionali e altri enti</w:t>
            </w:r>
            <w:r>
              <w:rPr>
                <w:noProof/>
              </w:rPr>
              <w:t>) podjetjem enak ali krajši od 30 dni.</w:t>
            </w:r>
          </w:p>
        </w:tc>
      </w:tr>
      <w:tr w:rsidR="00154E32" w14:paraId="4805C87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1F643D" w14:textId="77777777" w:rsidR="00154E32" w:rsidRDefault="00A43E04">
            <w:pPr>
              <w:pStyle w:val="P68B1DB1-Normal5"/>
              <w:jc w:val="center"/>
              <w:rPr>
                <w:noProof/>
              </w:rPr>
            </w:pPr>
            <w:r>
              <w:rPr>
                <w:noProof/>
              </w:rPr>
              <w:t>M1C1–77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552FCB"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1766B6"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CC1BBF" w14:textId="77777777" w:rsidR="00154E32" w:rsidRDefault="00A43E04">
            <w:pPr>
              <w:pStyle w:val="P68B1DB1-Normal5"/>
              <w:jc w:val="center"/>
              <w:rPr>
                <w:noProof/>
              </w:rPr>
            </w:pPr>
            <w:r>
              <w:rPr>
                <w:noProof/>
              </w:rPr>
              <w:t>Povprečno število dni za regionalne javne uprave za plačilo podjetjem se zmanjša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516119"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06FFCF" w14:textId="77777777" w:rsidR="00154E32" w:rsidRDefault="00A43E04">
            <w:pPr>
              <w:pStyle w:val="P68B1DB1-Normal5"/>
              <w:jc w:val="center"/>
              <w:rPr>
                <w:noProof/>
              </w:rPr>
            </w:pPr>
            <w:r>
              <w:rPr>
                <w:noProof/>
              </w:rPr>
              <w:t>Tehtani povprečni čas plačila (v dnevih)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906843"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FCB7CB" w14:textId="77777777" w:rsidR="00154E32" w:rsidRDefault="00A43E04">
            <w:pPr>
              <w:pStyle w:val="P68B1DB1-Normal5"/>
              <w:jc w:val="center"/>
              <w:rPr>
                <w:noProof/>
              </w:rPr>
            </w:pPr>
            <w:r>
              <w:rPr>
                <w:noProof/>
              </w:rPr>
              <w:t>30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23BE57"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49D00C" w14:textId="77777777" w:rsidR="00154E32" w:rsidRDefault="00A43E04">
            <w:pPr>
              <w:pStyle w:val="P68B1DB1-Normal5"/>
              <w:jc w:val="center"/>
              <w:rPr>
                <w:noProof/>
              </w:rPr>
            </w:pPr>
            <w:r>
              <w:rPr>
                <w:noProof/>
              </w:rPr>
              <w:t>2025</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BF17EE" w14:textId="77777777" w:rsidR="00154E32" w:rsidRDefault="00A43E04">
            <w:pPr>
              <w:pStyle w:val="P68B1DB1-Normal5"/>
              <w:spacing w:before="100" w:beforeAutospacing="1" w:after="120"/>
              <w:rPr>
                <w:noProof/>
              </w:rPr>
            </w:pPr>
            <w:r>
              <w:rPr>
                <w:noProof/>
              </w:rPr>
              <w:t>Na podlagi komercialne kreditne platforme (PCC) je tehtani povprečni čas plačila („tempo di pagamento“) regionalnih javnih organov (</w:t>
            </w:r>
            <w:r>
              <w:rPr>
                <w:i/>
                <w:noProof/>
              </w:rPr>
              <w:t>Regioni in provinca Autonome</w:t>
            </w:r>
            <w:r>
              <w:rPr>
                <w:noProof/>
              </w:rPr>
              <w:t>) podjetjem enak ali krajši od 30 dni.</w:t>
            </w:r>
          </w:p>
        </w:tc>
      </w:tr>
      <w:tr w:rsidR="00154E32" w14:paraId="36D027EA"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E7A617" w14:textId="77777777" w:rsidR="00154E32" w:rsidRDefault="00A43E04">
            <w:pPr>
              <w:pStyle w:val="P68B1DB1-Normal5"/>
              <w:jc w:val="center"/>
              <w:rPr>
                <w:noProof/>
              </w:rPr>
            </w:pPr>
            <w:r>
              <w:rPr>
                <w:noProof/>
              </w:rPr>
              <w:t>M1C1–78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DB90AD"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4A3243"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770018" w14:textId="77777777" w:rsidR="00154E32" w:rsidRDefault="00A43E04">
            <w:pPr>
              <w:pStyle w:val="P68B1DB1-Normal5"/>
              <w:jc w:val="center"/>
              <w:rPr>
                <w:noProof/>
              </w:rPr>
            </w:pPr>
            <w:r>
              <w:rPr>
                <w:noProof/>
              </w:rPr>
              <w:t>Povprečno število dni, ko lokalne javne uprave plačajo podjetjem, se zmanjša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4B64B2"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62E18C" w14:textId="77777777" w:rsidR="00154E32" w:rsidRDefault="00A43E04">
            <w:pPr>
              <w:pStyle w:val="P68B1DB1-Normal5"/>
              <w:jc w:val="center"/>
              <w:rPr>
                <w:rFonts w:eastAsiaTheme="minorEastAsia"/>
                <w:noProof/>
              </w:rPr>
            </w:pPr>
            <w:r>
              <w:rPr>
                <w:noProof/>
              </w:rPr>
              <w:t>Tehtani povprečni čas plačila</w:t>
            </w:r>
          </w:p>
          <w:p w14:paraId="23738C75" w14:textId="77777777" w:rsidR="00154E32" w:rsidRDefault="00A43E04">
            <w:pPr>
              <w:pStyle w:val="P68B1DB1-Normal5"/>
              <w:jc w:val="center"/>
              <w:rPr>
                <w:noProof/>
              </w:rPr>
            </w:pPr>
            <w:r>
              <w:rPr>
                <w:noProof/>
              </w:rPr>
              <w:t>(v dnevih)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E01AC1"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6F2513" w14:textId="77777777" w:rsidR="00154E32" w:rsidRDefault="00A43E04">
            <w:pPr>
              <w:pStyle w:val="P68B1DB1-Normal5"/>
              <w:jc w:val="center"/>
              <w:rPr>
                <w:noProof/>
              </w:rPr>
            </w:pPr>
            <w:r>
              <w:rPr>
                <w:noProof/>
              </w:rPr>
              <w:t>30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EDFDE7"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326302" w14:textId="77777777" w:rsidR="00154E32" w:rsidRDefault="00A43E04">
            <w:pPr>
              <w:pStyle w:val="P68B1DB1-Normal5"/>
              <w:jc w:val="center"/>
              <w:rPr>
                <w:noProof/>
              </w:rPr>
            </w:pPr>
            <w:r>
              <w:rPr>
                <w:noProof/>
              </w:rPr>
              <w:t>2025</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0D0045" w14:textId="77777777" w:rsidR="00154E32" w:rsidRDefault="00A43E04">
            <w:pPr>
              <w:pStyle w:val="P68B1DB1-Normal5"/>
              <w:spacing w:before="100" w:beforeAutospacing="1" w:after="120"/>
              <w:rPr>
                <w:noProof/>
              </w:rPr>
            </w:pPr>
            <w:r>
              <w:rPr>
                <w:noProof/>
              </w:rPr>
              <w:t>Na podlagi komercialne kreditne platforme (PCC) je tehtani povprečni čas plačila („tempo di pagamento“) lokalnih javnih organov (</w:t>
            </w:r>
            <w:r>
              <w:rPr>
                <w:i/>
                <w:noProof/>
              </w:rPr>
              <w:t>enti locali</w:t>
            </w:r>
            <w:r>
              <w:rPr>
                <w:noProof/>
              </w:rPr>
              <w:t>) podjetjem 30 dni ali manj.</w:t>
            </w:r>
          </w:p>
        </w:tc>
      </w:tr>
      <w:tr w:rsidR="00154E32" w14:paraId="3A82AF2A"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981578" w14:textId="77777777" w:rsidR="00154E32" w:rsidRDefault="00A43E04">
            <w:pPr>
              <w:pStyle w:val="P68B1DB1-Normal5"/>
              <w:jc w:val="center"/>
              <w:rPr>
                <w:noProof/>
              </w:rPr>
            </w:pPr>
            <w:r>
              <w:rPr>
                <w:noProof/>
              </w:rPr>
              <w:t>M1C1–79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7C9826"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E5D7CD"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949FD3" w14:textId="77777777" w:rsidR="00154E32" w:rsidRDefault="00A43E04">
            <w:pPr>
              <w:pStyle w:val="P68B1DB1-Normal5"/>
              <w:jc w:val="center"/>
              <w:rPr>
                <w:noProof/>
              </w:rPr>
            </w:pPr>
            <w:r>
              <w:rPr>
                <w:noProof/>
              </w:rPr>
              <w:t>Povprečno število dni za javne zdravstvene uprave, da plačajo podjetjem, se zmanjša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C43F04"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B23C5E" w14:textId="77777777" w:rsidR="00154E32" w:rsidRDefault="00A43E04">
            <w:pPr>
              <w:pStyle w:val="P68B1DB1-Normal5"/>
              <w:jc w:val="center"/>
              <w:rPr>
                <w:rFonts w:eastAsiaTheme="minorEastAsia"/>
                <w:noProof/>
              </w:rPr>
            </w:pPr>
            <w:r>
              <w:rPr>
                <w:noProof/>
              </w:rPr>
              <w:t>Tehtani povprečni čas plačila</w:t>
            </w:r>
          </w:p>
          <w:p w14:paraId="04C2B9AB" w14:textId="77777777" w:rsidR="00154E32" w:rsidRDefault="00A43E04">
            <w:pPr>
              <w:pStyle w:val="P68B1DB1-Normal5"/>
              <w:jc w:val="center"/>
              <w:rPr>
                <w:noProof/>
              </w:rPr>
            </w:pPr>
            <w:r>
              <w:rPr>
                <w:noProof/>
              </w:rPr>
              <w:t>(v dnevih)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598E97"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C01CE9" w14:textId="77777777" w:rsidR="00154E32" w:rsidRDefault="00A43E04">
            <w:pPr>
              <w:pStyle w:val="P68B1DB1-Normal5"/>
              <w:jc w:val="center"/>
              <w:rPr>
                <w:noProof/>
              </w:rPr>
            </w:pPr>
            <w:r>
              <w:rPr>
                <w:noProof/>
              </w:rPr>
              <w:t>60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21D941"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987ECF" w14:textId="77777777" w:rsidR="00154E32" w:rsidRDefault="00A43E04">
            <w:pPr>
              <w:pStyle w:val="P68B1DB1-Normal5"/>
              <w:jc w:val="center"/>
              <w:rPr>
                <w:noProof/>
              </w:rPr>
            </w:pPr>
            <w:r>
              <w:rPr>
                <w:noProof/>
              </w:rPr>
              <w:t>2025</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45B022" w14:textId="77777777" w:rsidR="00154E32" w:rsidRDefault="00A43E04">
            <w:pPr>
              <w:pStyle w:val="P68B1DB1-Normal5"/>
              <w:spacing w:before="100" w:beforeAutospacing="1" w:after="120"/>
              <w:rPr>
                <w:noProof/>
              </w:rPr>
            </w:pPr>
            <w:r>
              <w:rPr>
                <w:noProof/>
              </w:rPr>
              <w:t>Ponderirani povprečni čas plačila („tempo di pagamento“) organov javnega zdravstva (</w:t>
            </w:r>
            <w:r>
              <w:rPr>
                <w:i/>
                <w:noProof/>
              </w:rPr>
              <w:t>enti del Servizio sanitario nazionale</w:t>
            </w:r>
            <w:r>
              <w:rPr>
                <w:noProof/>
              </w:rPr>
              <w:t>) podjetjem je na podlagi komercialne kreditne platforme (PCC) enak ali krajši od 60 dni.</w:t>
            </w:r>
          </w:p>
        </w:tc>
      </w:tr>
      <w:tr w:rsidR="00154E32" w14:paraId="40795325"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86BB8B" w14:textId="77777777" w:rsidR="00154E32" w:rsidRDefault="00A43E04">
            <w:pPr>
              <w:pStyle w:val="P68B1DB1-Normal5"/>
              <w:jc w:val="center"/>
              <w:rPr>
                <w:noProof/>
              </w:rPr>
            </w:pPr>
            <w:r>
              <w:rPr>
                <w:noProof/>
              </w:rPr>
              <w:t>M1C1–80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D5A2CE"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D39479"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F3C56A" w14:textId="77777777" w:rsidR="00154E32" w:rsidRDefault="00A43E04">
            <w:pPr>
              <w:pStyle w:val="P68B1DB1-Normal5"/>
              <w:jc w:val="center"/>
              <w:rPr>
                <w:noProof/>
              </w:rPr>
            </w:pPr>
            <w:r>
              <w:rPr>
                <w:noProof/>
              </w:rPr>
              <w:t>Povprečno število dni zamude centralnih javnih uprav pri plačevanju podjetij se zmanjša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E95D15"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A4C5D8" w14:textId="77777777" w:rsidR="00154E32" w:rsidRDefault="00A43E04">
            <w:pPr>
              <w:pStyle w:val="P68B1DB1-Normal5"/>
              <w:jc w:val="center"/>
              <w:rPr>
                <w:rFonts w:eastAsiaTheme="minorEastAsia"/>
                <w:noProof/>
              </w:rPr>
            </w:pPr>
            <w:r>
              <w:rPr>
                <w:noProof/>
              </w:rPr>
              <w:t>Tehtana povprečna zamuda pri plačilu</w:t>
            </w:r>
          </w:p>
          <w:p w14:paraId="4F46D9CB" w14:textId="77777777" w:rsidR="00154E32" w:rsidRDefault="00A43E04">
            <w:pPr>
              <w:pStyle w:val="P68B1DB1-Normal5"/>
              <w:jc w:val="center"/>
              <w:rPr>
                <w:rFonts w:eastAsiaTheme="minorEastAsia"/>
                <w:noProof/>
              </w:rPr>
            </w:pPr>
            <w:r>
              <w:rPr>
                <w:noProof/>
              </w:rPr>
              <w:t>(v dnevih)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1E10EB"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7BEED9" w14:textId="77777777" w:rsidR="00154E32" w:rsidRDefault="00A43E04">
            <w:pPr>
              <w:pStyle w:val="P68B1DB1-Normal5"/>
              <w:jc w:val="center"/>
              <w:rPr>
                <w:noProof/>
              </w:rPr>
            </w:pPr>
            <w:r>
              <w:rPr>
                <w:noProof/>
              </w:rPr>
              <w:t>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86CED4"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B9663E" w14:textId="77777777" w:rsidR="00154E32" w:rsidRDefault="00A43E04">
            <w:pPr>
              <w:pStyle w:val="P68B1DB1-Normal5"/>
              <w:jc w:val="center"/>
              <w:rPr>
                <w:noProof/>
              </w:rPr>
            </w:pPr>
            <w:r>
              <w:rPr>
                <w:noProof/>
              </w:rPr>
              <w:t>2025</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944073" w14:textId="77777777" w:rsidR="00154E32" w:rsidRDefault="00A43E04">
            <w:pPr>
              <w:pStyle w:val="P68B1DB1-Normal5"/>
              <w:spacing w:before="100" w:beforeAutospacing="1" w:after="120"/>
              <w:rPr>
                <w:rFonts w:eastAsiaTheme="minorEastAsia"/>
                <w:noProof/>
              </w:rPr>
            </w:pPr>
            <w:r>
              <w:rPr>
                <w:noProof/>
              </w:rPr>
              <w:t>Na podlagi komercialne kreditne platforme (PCC) je tehtana povprečna zamuda pri plačilu („tempo di ritardo“) centralnih organov (</w:t>
            </w:r>
            <w:r>
              <w:rPr>
                <w:i/>
                <w:noProof/>
              </w:rPr>
              <w:t>Amministrazioni dello Stato, enti pubblici nazionali e altri enti</w:t>
            </w:r>
            <w:r>
              <w:rPr>
                <w:noProof/>
              </w:rPr>
              <w:t>) podjetjem največ 0 dni.</w:t>
            </w:r>
          </w:p>
        </w:tc>
      </w:tr>
      <w:tr w:rsidR="00154E32" w14:paraId="1E4F6D99"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778457" w14:textId="77777777" w:rsidR="00154E32" w:rsidRDefault="00A43E04">
            <w:pPr>
              <w:pStyle w:val="P68B1DB1-Normal5"/>
              <w:jc w:val="center"/>
              <w:rPr>
                <w:noProof/>
              </w:rPr>
            </w:pPr>
            <w:r>
              <w:rPr>
                <w:noProof/>
              </w:rPr>
              <w:t>M1C1–81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1CC589"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D300FE"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DA0384" w14:textId="77777777" w:rsidR="00154E32" w:rsidRDefault="00A43E04">
            <w:pPr>
              <w:pStyle w:val="P68B1DB1-Normal5"/>
              <w:jc w:val="center"/>
              <w:rPr>
                <w:noProof/>
              </w:rPr>
            </w:pPr>
            <w:r>
              <w:rPr>
                <w:noProof/>
              </w:rPr>
              <w:t>Povprečno število dni zamude regionalnih javnih uprav pri plačevanju podjetij se zmanjša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C5A084"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ABBF53" w14:textId="77777777" w:rsidR="00154E32" w:rsidRDefault="00A43E04">
            <w:pPr>
              <w:pStyle w:val="P68B1DB1-Normal5"/>
              <w:jc w:val="center"/>
              <w:rPr>
                <w:rFonts w:eastAsiaTheme="minorEastAsia"/>
                <w:noProof/>
              </w:rPr>
            </w:pPr>
            <w:r>
              <w:rPr>
                <w:noProof/>
              </w:rPr>
              <w:t>Tehtana povprečna zamuda pri plačilu</w:t>
            </w:r>
          </w:p>
          <w:p w14:paraId="61D77EAF" w14:textId="77777777" w:rsidR="00154E32" w:rsidRDefault="00A43E04">
            <w:pPr>
              <w:pStyle w:val="P68B1DB1-Normal5"/>
              <w:jc w:val="center"/>
              <w:rPr>
                <w:rFonts w:eastAsiaTheme="minorEastAsia"/>
                <w:noProof/>
              </w:rPr>
            </w:pPr>
            <w:r>
              <w:rPr>
                <w:noProof/>
              </w:rPr>
              <w:t>(v dnevih)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23EDDF"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6945E0" w14:textId="77777777" w:rsidR="00154E32" w:rsidRDefault="00A43E04">
            <w:pPr>
              <w:pStyle w:val="P68B1DB1-Normal5"/>
              <w:jc w:val="center"/>
              <w:rPr>
                <w:noProof/>
              </w:rPr>
            </w:pPr>
            <w:r>
              <w:rPr>
                <w:noProof/>
              </w:rPr>
              <w:t>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AA6F40"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7AD207" w14:textId="77777777" w:rsidR="00154E32" w:rsidRDefault="00A43E04">
            <w:pPr>
              <w:pStyle w:val="P68B1DB1-Normal5"/>
              <w:jc w:val="center"/>
              <w:rPr>
                <w:noProof/>
              </w:rPr>
            </w:pPr>
            <w:r>
              <w:rPr>
                <w:noProof/>
              </w:rPr>
              <w:t>2025</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D81FFA" w14:textId="77777777" w:rsidR="00154E32" w:rsidRDefault="00A43E04">
            <w:pPr>
              <w:pStyle w:val="P68B1DB1-Normal5"/>
              <w:spacing w:before="100" w:beforeAutospacing="1" w:after="120"/>
              <w:rPr>
                <w:rFonts w:eastAsiaTheme="minorEastAsia"/>
                <w:noProof/>
              </w:rPr>
            </w:pPr>
            <w:r>
              <w:rPr>
                <w:noProof/>
              </w:rPr>
              <w:t>Na podlagi komercialne kreditne platforme (PCC) je tehtana povprečna zamuda pri plačilu („tempo di ritardo“) regionalnih organov (</w:t>
            </w:r>
            <w:r>
              <w:rPr>
                <w:i/>
                <w:noProof/>
              </w:rPr>
              <w:t>Regioni in provinca Autonome</w:t>
            </w:r>
            <w:r>
              <w:rPr>
                <w:noProof/>
              </w:rPr>
              <w:t>) podjetjem največ 0 dni.</w:t>
            </w:r>
          </w:p>
        </w:tc>
      </w:tr>
      <w:tr w:rsidR="00154E32" w14:paraId="7D14A909"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2C4DC3" w14:textId="77777777" w:rsidR="00154E32" w:rsidRDefault="00A43E04">
            <w:pPr>
              <w:pStyle w:val="P68B1DB1-Normal5"/>
              <w:jc w:val="center"/>
              <w:rPr>
                <w:noProof/>
              </w:rPr>
            </w:pPr>
            <w:r>
              <w:rPr>
                <w:noProof/>
              </w:rPr>
              <w:t>M1C1–82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B0211D"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F2FEE6"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297B38" w14:textId="77777777" w:rsidR="00154E32" w:rsidRDefault="00A43E04">
            <w:pPr>
              <w:pStyle w:val="P68B1DB1-Normal5"/>
              <w:jc w:val="center"/>
              <w:rPr>
                <w:noProof/>
              </w:rPr>
            </w:pPr>
            <w:r>
              <w:rPr>
                <w:noProof/>
              </w:rPr>
              <w:t>Povprečno število dni zamude lokalnih javnih uprav pri plačevanju podjetij se zmanjša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68FFFD"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317548" w14:textId="77777777" w:rsidR="00154E32" w:rsidRDefault="00A43E04">
            <w:pPr>
              <w:pStyle w:val="P68B1DB1-Normal5"/>
              <w:jc w:val="center"/>
              <w:rPr>
                <w:rFonts w:eastAsiaTheme="minorEastAsia"/>
                <w:noProof/>
              </w:rPr>
            </w:pPr>
            <w:r>
              <w:rPr>
                <w:noProof/>
              </w:rPr>
              <w:t>Tehtana povprečna zamuda pri plačilu</w:t>
            </w:r>
          </w:p>
          <w:p w14:paraId="576D4C68" w14:textId="77777777" w:rsidR="00154E32" w:rsidRDefault="00A43E04">
            <w:pPr>
              <w:pStyle w:val="P68B1DB1-Normal5"/>
              <w:jc w:val="center"/>
              <w:rPr>
                <w:rFonts w:eastAsiaTheme="minorEastAsia"/>
                <w:noProof/>
              </w:rPr>
            </w:pPr>
            <w:r>
              <w:rPr>
                <w:noProof/>
              </w:rPr>
              <w:t>(v dnevih)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19185C"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C84E73" w14:textId="77777777" w:rsidR="00154E32" w:rsidRDefault="00A43E04">
            <w:pPr>
              <w:pStyle w:val="P68B1DB1-Normal5"/>
              <w:jc w:val="center"/>
              <w:rPr>
                <w:noProof/>
              </w:rPr>
            </w:pPr>
            <w:r>
              <w:rPr>
                <w:noProof/>
              </w:rPr>
              <w:t>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766120"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78F02E" w14:textId="77777777" w:rsidR="00154E32" w:rsidRDefault="00A43E04">
            <w:pPr>
              <w:pStyle w:val="P68B1DB1-Normal5"/>
              <w:jc w:val="center"/>
              <w:rPr>
                <w:noProof/>
              </w:rPr>
            </w:pPr>
            <w:r>
              <w:rPr>
                <w:noProof/>
              </w:rPr>
              <w:t>2025</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A2C963" w14:textId="77777777" w:rsidR="00154E32" w:rsidRDefault="00A43E04">
            <w:pPr>
              <w:pStyle w:val="P68B1DB1-Normal5"/>
              <w:spacing w:before="100" w:beforeAutospacing="1" w:after="120"/>
              <w:rPr>
                <w:rFonts w:eastAsiaTheme="minorEastAsia"/>
                <w:noProof/>
              </w:rPr>
            </w:pPr>
            <w:r>
              <w:rPr>
                <w:noProof/>
              </w:rPr>
              <w:t>Na podlagi komercialne kreditne platforme (PCC) je tehtana povprečna zamuda pri plačilu („tempo di ritardo“) lokalnih organov (</w:t>
            </w:r>
            <w:r>
              <w:rPr>
                <w:i/>
                <w:noProof/>
              </w:rPr>
              <w:t>enti locali</w:t>
            </w:r>
            <w:r>
              <w:rPr>
                <w:noProof/>
              </w:rPr>
              <w:t>) podjetjem največ 0 dni.</w:t>
            </w:r>
          </w:p>
        </w:tc>
      </w:tr>
      <w:tr w:rsidR="00154E32" w14:paraId="023716C3"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A5C8D0" w14:textId="77777777" w:rsidR="00154E32" w:rsidRDefault="00A43E04">
            <w:pPr>
              <w:pStyle w:val="P68B1DB1-Normal5"/>
              <w:jc w:val="center"/>
              <w:rPr>
                <w:noProof/>
              </w:rPr>
            </w:pPr>
            <w:r>
              <w:rPr>
                <w:noProof/>
              </w:rPr>
              <w:t>M1C1–83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15A7DC"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D563AA"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5D21D6" w14:textId="77777777" w:rsidR="00154E32" w:rsidRDefault="00A43E04">
            <w:pPr>
              <w:pStyle w:val="P68B1DB1-Normal5"/>
              <w:jc w:val="center"/>
              <w:rPr>
                <w:noProof/>
              </w:rPr>
            </w:pPr>
            <w:r>
              <w:rPr>
                <w:noProof/>
              </w:rPr>
              <w:t>Povprečno število dni zamude zdravstvenih javnih uprav pri plačevanju podjetij se zmanjša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E7E79C"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AD0F7B" w14:textId="77777777" w:rsidR="00154E32" w:rsidRDefault="00A43E04">
            <w:pPr>
              <w:pStyle w:val="P68B1DB1-Normal5"/>
              <w:jc w:val="center"/>
              <w:rPr>
                <w:rFonts w:eastAsiaTheme="minorEastAsia"/>
                <w:noProof/>
              </w:rPr>
            </w:pPr>
            <w:r>
              <w:rPr>
                <w:noProof/>
              </w:rPr>
              <w:t>Tehtana povprečna zamuda pri plačilu</w:t>
            </w:r>
          </w:p>
          <w:p w14:paraId="2537CA49" w14:textId="77777777" w:rsidR="00154E32" w:rsidRDefault="00A43E04">
            <w:pPr>
              <w:pStyle w:val="P68B1DB1-Normal5"/>
              <w:jc w:val="center"/>
              <w:rPr>
                <w:rFonts w:eastAsiaTheme="minorEastAsia"/>
                <w:noProof/>
              </w:rPr>
            </w:pPr>
            <w:r>
              <w:rPr>
                <w:noProof/>
              </w:rPr>
              <w:t>(v dnevih)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581BDF"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32338C" w14:textId="77777777" w:rsidR="00154E32" w:rsidRDefault="00A43E04">
            <w:pPr>
              <w:pStyle w:val="P68B1DB1-Normal5"/>
              <w:jc w:val="center"/>
              <w:rPr>
                <w:noProof/>
              </w:rPr>
            </w:pPr>
            <w:r>
              <w:rPr>
                <w:noProof/>
              </w:rPr>
              <w:t>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F04D29"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CD0CCA" w14:textId="77777777" w:rsidR="00154E32" w:rsidRDefault="00A43E04">
            <w:pPr>
              <w:pStyle w:val="P68B1DB1-Normal5"/>
              <w:jc w:val="center"/>
              <w:rPr>
                <w:noProof/>
              </w:rPr>
            </w:pPr>
            <w:r>
              <w:rPr>
                <w:noProof/>
              </w:rPr>
              <w:t>2025</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7074A0" w14:textId="77777777" w:rsidR="00154E32" w:rsidRDefault="00A43E04">
            <w:pPr>
              <w:pStyle w:val="P68B1DB1-Normal5"/>
              <w:spacing w:before="100" w:beforeAutospacing="1" w:after="120"/>
              <w:rPr>
                <w:rFonts w:eastAsiaTheme="minorEastAsia"/>
                <w:noProof/>
              </w:rPr>
            </w:pPr>
            <w:r>
              <w:rPr>
                <w:noProof/>
              </w:rPr>
              <w:t>Na podlagi komercialne kreditne platforme (PCC) je tehtana povprečna zamuda pri plačilu („tempo di ritardo“) organov javnega zdravja</w:t>
            </w:r>
            <w:r>
              <w:rPr>
                <w:i/>
                <w:noProof/>
              </w:rPr>
              <w:t>(enti del Servizio sanitario nazionale</w:t>
            </w:r>
            <w:r>
              <w:rPr>
                <w:noProof/>
              </w:rPr>
              <w:t>) podjetjem največ 0 dni.</w:t>
            </w:r>
          </w:p>
        </w:tc>
      </w:tr>
      <w:tr w:rsidR="00154E32" w14:paraId="74F972CF"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70FB67" w14:textId="77777777" w:rsidR="00154E32" w:rsidRDefault="00A43E04">
            <w:pPr>
              <w:pStyle w:val="P68B1DB1-Normal5"/>
              <w:jc w:val="center"/>
              <w:rPr>
                <w:noProof/>
              </w:rPr>
            </w:pPr>
            <w:r>
              <w:rPr>
                <w:noProof/>
              </w:rPr>
              <w:t>M1C1–84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69599E"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9FB98B"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9DFDB5" w14:textId="77777777" w:rsidR="00154E32" w:rsidRDefault="00A43E04">
            <w:pPr>
              <w:pStyle w:val="P68B1DB1-Normal5"/>
              <w:jc w:val="center"/>
              <w:rPr>
                <w:noProof/>
              </w:rPr>
            </w:pPr>
            <w:r>
              <w:rPr>
                <w:noProof/>
              </w:rPr>
              <w:t>Povprečni čas med objavo in oddajo naročila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1AFE78"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A102C8" w14:textId="77777777" w:rsidR="00154E32" w:rsidRDefault="00A43E04">
            <w:pPr>
              <w:pStyle w:val="P68B1DB1-Normal5"/>
              <w:jc w:val="center"/>
              <w:rPr>
                <w:noProof/>
              </w:rPr>
            </w:pPr>
            <w:r>
              <w:rPr>
                <w:noProof/>
              </w:rPr>
              <w:t>Število</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F48D8B" w14:textId="77777777" w:rsidR="00154E32" w:rsidRDefault="00A43E04">
            <w:pPr>
              <w:pStyle w:val="P68B1DB1-Normal5"/>
              <w:jc w:val="center"/>
              <w:rPr>
                <w:noProof/>
              </w:rPr>
            </w:pPr>
            <w:r>
              <w:rPr>
                <w:noProof/>
              </w:rPr>
              <w:t>139</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E6F3FF" w14:textId="77777777" w:rsidR="00154E32" w:rsidRDefault="00A43E04">
            <w:pPr>
              <w:pStyle w:val="P68B1DB1-Normal5"/>
              <w:jc w:val="center"/>
              <w:rPr>
                <w:noProof/>
              </w:rPr>
            </w:pPr>
            <w:r>
              <w:rPr>
                <w:noProof/>
              </w:rPr>
              <w:t>100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2B6A0E"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9094EB" w14:textId="77777777" w:rsidR="00154E32" w:rsidRDefault="00A43E04">
            <w:pPr>
              <w:pStyle w:val="P68B1DB1-Normal5"/>
              <w:jc w:val="center"/>
              <w:rPr>
                <w:noProof/>
              </w:rPr>
            </w:pPr>
            <w:r>
              <w:rPr>
                <w:noProof/>
              </w:rPr>
              <w:t>2023</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D8F345" w14:textId="404D2F39" w:rsidR="00154E32" w:rsidRDefault="00A43E04">
            <w:pPr>
              <w:pStyle w:val="P68B1DB1-Normal5"/>
              <w:spacing w:before="100" w:beforeAutospacing="1" w:after="120"/>
              <w:rPr>
                <w:noProof/>
              </w:rPr>
            </w:pPr>
            <w:r>
              <w:rPr>
                <w:noProof/>
              </w:rPr>
              <w:t xml:space="preserve">Na podlagi metod, sprejetih v Uradnem listu EU (podatkovna zbirka TED), z uporabo podatkov iz nacionalne podatkovne zbirke IT za javna naročila (BDNCP), ki jo upravlja ANAC, se povprečni čas med rokom za oddajo ponudb in oddajo naročila skrajša na manj kot 100 dni za naročila, ki presegajo mejne vrednosti iz direktiv EU o javnih naročilih. </w:t>
            </w:r>
          </w:p>
        </w:tc>
      </w:tr>
      <w:tr w:rsidR="00154E32" w14:paraId="2A93BADE"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B659C0" w14:textId="77777777" w:rsidR="00154E32" w:rsidRDefault="00A43E04">
            <w:pPr>
              <w:pStyle w:val="P68B1DB1-Normal5"/>
              <w:jc w:val="center"/>
              <w:rPr>
                <w:noProof/>
              </w:rPr>
            </w:pPr>
            <w:r>
              <w:rPr>
                <w:noProof/>
              </w:rPr>
              <w:t>M1C1–84a</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9DD99E"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B24515"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1129CB" w14:textId="77777777" w:rsidR="00154E32" w:rsidRDefault="00A43E04">
            <w:pPr>
              <w:pStyle w:val="P68B1DB1-Normal5"/>
              <w:jc w:val="center"/>
              <w:rPr>
                <w:noProof/>
              </w:rPr>
            </w:pPr>
            <w:r>
              <w:rPr>
                <w:noProof/>
              </w:rPr>
              <w:t>Ukrepi za izboljšanje hitrosti odločanja pri oddaji javnih naročil javnim organom naročnikom</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7D318F" w14:textId="77777777" w:rsidR="00154E32" w:rsidRDefault="00A43E04">
            <w:pPr>
              <w:pStyle w:val="P68B1DB1-Normal5"/>
              <w:jc w:val="center"/>
              <w:rPr>
                <w:noProof/>
              </w:rPr>
            </w:pPr>
            <w:r>
              <w:rPr>
                <w:noProof/>
              </w:rPr>
              <w:t>Sprejetje izvedbenih ukrepov</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E2E223"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0A327B"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3F6363"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D4AA7A"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9CD82B"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1DDF42" w14:textId="7C8E9C5A" w:rsidR="00154E32" w:rsidRDefault="00A43E04">
            <w:pPr>
              <w:pStyle w:val="P68B1DB1-Normal5"/>
              <w:spacing w:before="100" w:beforeAutospacing="1" w:after="120"/>
              <w:rPr>
                <w:noProof/>
              </w:rPr>
            </w:pPr>
            <w:r>
              <w:rPr>
                <w:noProof/>
              </w:rPr>
              <w:t>Da bi se izboljšala hitrost odločanja pri oddaji javnih naročil in pospešil postopek, ki se je začel z reformo zakonika o javnih naročilih z digitalizacijo javnih naročil in profesionalizacijo javnih naročnikov, Cabina di regia, prej člen 221 zakonika o javnih naročilih, po posvetovanju z ANAC izvaja:</w:t>
            </w:r>
          </w:p>
          <w:p w14:paraId="550AC7B5" w14:textId="77777777" w:rsidR="00154E32" w:rsidRDefault="00A43E04">
            <w:pPr>
              <w:pStyle w:val="P68B1DB1-Normal5"/>
              <w:spacing w:before="100" w:beforeAutospacing="1" w:after="120"/>
              <w:rPr>
                <w:noProof/>
              </w:rPr>
            </w:pPr>
            <w:r>
              <w:rPr>
                <w:noProof/>
              </w:rPr>
              <w:t>analizo vpliva e-javnih naročil na čas oddaje naročila do sklenitve pogodbe;</w:t>
            </w:r>
          </w:p>
          <w:p w14:paraId="199C57B4" w14:textId="77777777" w:rsidR="00154E32" w:rsidRDefault="00A43E04">
            <w:pPr>
              <w:pStyle w:val="P68B1DB1-Normal5"/>
              <w:spacing w:before="100" w:beforeAutospacing="1" w:after="120"/>
              <w:rPr>
                <w:noProof/>
              </w:rPr>
            </w:pPr>
            <w:r>
              <w:rPr>
                <w:noProof/>
              </w:rPr>
              <w:t xml:space="preserve">ocena najsodobnejše hitrosti odločanja; </w:t>
            </w:r>
          </w:p>
          <w:p w14:paraId="1DDD4BEA" w14:textId="71C6F01B" w:rsidR="00154E32" w:rsidRDefault="00A43E04">
            <w:pPr>
              <w:pStyle w:val="P68B1DB1-Normal5"/>
              <w:spacing w:before="100" w:beforeAutospacing="1" w:after="120"/>
              <w:rPr>
                <w:noProof/>
              </w:rPr>
            </w:pPr>
            <w:r>
              <w:rPr>
                <w:noProof/>
              </w:rPr>
              <w:t xml:space="preserve">spremljanje najboljših praks javnih naročnikov, da bi skrajšali čas oddaje javnih naročil; </w:t>
            </w:r>
          </w:p>
          <w:p w14:paraId="4DB61A56" w14:textId="77777777" w:rsidR="00154E32" w:rsidRDefault="00A43E04">
            <w:pPr>
              <w:pStyle w:val="P68B1DB1-Normal5"/>
              <w:spacing w:before="100" w:beforeAutospacing="1" w:after="120"/>
              <w:rPr>
                <w:noProof/>
              </w:rPr>
            </w:pPr>
            <w:r>
              <w:rPr>
                <w:noProof/>
              </w:rPr>
              <w:t>analiza zakonodajnega okvira, katere cilj je opredeliti vsa kritična vprašanja v postopkih oddaje javnih naročil, na podlagi analize pa tudi predlog dokončanih pobud za skrajšanje časa odločanja.</w:t>
            </w:r>
          </w:p>
          <w:p w14:paraId="5E1D3646" w14:textId="77777777" w:rsidR="00154E32" w:rsidRDefault="00A43E04">
            <w:pPr>
              <w:pStyle w:val="P68B1DB1-Normal5"/>
              <w:spacing w:before="100" w:beforeAutospacing="1" w:after="120"/>
              <w:rPr>
                <w:noProof/>
              </w:rPr>
            </w:pPr>
            <w:r>
              <w:rPr>
                <w:noProof/>
              </w:rPr>
              <w:t xml:space="preserve">ANAC od podatkov za leto 2024 letno spremlja povprečno hitrost odločanja javnih naročnikov na podlagi pooblastil, ki so mu podeljena s členom 222 zakonika o javnem naročanju. </w:t>
            </w:r>
          </w:p>
          <w:p w14:paraId="21B7FDE3" w14:textId="77777777" w:rsidR="00154E32" w:rsidRDefault="00A43E04">
            <w:pPr>
              <w:pStyle w:val="P68B1DB1-Normal5"/>
              <w:spacing w:before="100" w:beforeAutospacing="1" w:after="120"/>
              <w:rPr>
                <w:noProof/>
              </w:rPr>
            </w:pPr>
            <w:r>
              <w:rPr>
                <w:noProof/>
              </w:rPr>
              <w:t>Javni organi naročniki, katerih povprečna hitrost odločanja je na portalu TED daljša od 160 dni, morajo sodelovati pri pridobivanju kvalifikacij in profesionalizacije.</w:t>
            </w:r>
          </w:p>
        </w:tc>
      </w:tr>
      <w:tr w:rsidR="00154E32" w14:paraId="1EB64685"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74A27B" w14:textId="77777777" w:rsidR="00154E32" w:rsidRDefault="00A43E04">
            <w:pPr>
              <w:pStyle w:val="P68B1DB1-Normal5"/>
              <w:jc w:val="center"/>
              <w:rPr>
                <w:noProof/>
              </w:rPr>
            </w:pPr>
            <w:r>
              <w:rPr>
                <w:noProof/>
              </w:rPr>
              <w:t>M1C1–85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89F545"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930E77"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9ECBA0" w14:textId="77777777" w:rsidR="00154E32" w:rsidRDefault="00A43E04">
            <w:pPr>
              <w:pStyle w:val="P68B1DB1-Normal5"/>
              <w:jc w:val="center"/>
              <w:rPr>
                <w:noProof/>
              </w:rPr>
            </w:pPr>
            <w:r>
              <w:rPr>
                <w:noProof/>
              </w:rPr>
              <w:t>Povprečni čas med oddajo naročila in izgradnjo infrastrukture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F699EF"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7C335F"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CBC3A3" w14:textId="77777777" w:rsidR="00154E32" w:rsidRDefault="00A43E04">
            <w:pPr>
              <w:pStyle w:val="P68B1DB1-Normal5"/>
              <w:jc w:val="center"/>
              <w:rPr>
                <w:noProof/>
              </w:rPr>
            </w:pPr>
            <w:r>
              <w:rPr>
                <w:noProof/>
              </w:rPr>
              <w:t>100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1D3549" w14:textId="77777777" w:rsidR="00154E32" w:rsidRDefault="00A43E04">
            <w:pPr>
              <w:pStyle w:val="P68B1DB1-Normal5"/>
              <w:jc w:val="center"/>
              <w:rPr>
                <w:noProof/>
              </w:rPr>
            </w:pPr>
            <w:r>
              <w:rPr>
                <w:noProof/>
              </w:rPr>
              <w:t>90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91E8AB"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97B5F9" w14:textId="77777777" w:rsidR="00154E32" w:rsidRDefault="00A43E04">
            <w:pPr>
              <w:pStyle w:val="P68B1DB1-Normal5"/>
              <w:jc w:val="center"/>
              <w:rPr>
                <w:noProof/>
              </w:rPr>
            </w:pPr>
            <w:r>
              <w:rPr>
                <w:noProof/>
              </w:rPr>
              <w:t>2023</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2CE0BB" w14:textId="77777777" w:rsidR="00154E32" w:rsidRDefault="00A43E04">
            <w:pPr>
              <w:pStyle w:val="P68B1DB1-Normal5"/>
              <w:spacing w:before="100" w:beforeAutospacing="1" w:after="120"/>
              <w:rPr>
                <w:noProof/>
              </w:rPr>
            </w:pPr>
            <w:r>
              <w:rPr>
                <w:noProof/>
              </w:rPr>
              <w:t>Povprečni čas med oddajo naročila in izgradnjo infrastrukture („fase esecutiva“) se skrajša za vsaj 10 %.</w:t>
            </w:r>
          </w:p>
        </w:tc>
      </w:tr>
      <w:tr w:rsidR="00154E32" w14:paraId="75F8565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BC14F6" w14:textId="77777777" w:rsidR="00154E32" w:rsidRDefault="00A43E04">
            <w:pPr>
              <w:pStyle w:val="P68B1DB1-Normal5"/>
              <w:jc w:val="center"/>
              <w:rPr>
                <w:noProof/>
              </w:rPr>
            </w:pPr>
            <w:r>
              <w:rPr>
                <w:noProof/>
              </w:rPr>
              <w:t>M1C1–86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7D077F"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955CB7"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12C08E" w14:textId="77777777" w:rsidR="00154E32" w:rsidRDefault="00A43E04">
            <w:pPr>
              <w:pStyle w:val="P68B1DB1-Normal5"/>
              <w:jc w:val="center"/>
              <w:rPr>
                <w:noProof/>
              </w:rPr>
            </w:pPr>
            <w:r>
              <w:rPr>
                <w:noProof/>
              </w:rPr>
              <w:t>Javni uslužbenci, usposobljeni v okviru strategije za profesionalizacijo javnih kupcev</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71ECE4"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99B07B"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144DBB" w14:textId="77777777" w:rsidR="00154E32" w:rsidRDefault="00A43E04">
            <w:pPr>
              <w:pStyle w:val="P68B1DB1-Normal5"/>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F6B9E7" w14:textId="77777777" w:rsidR="00154E32" w:rsidRDefault="00A43E04">
            <w:pPr>
              <w:pStyle w:val="P68B1DB1-Normal5"/>
              <w:jc w:val="center"/>
              <w:rPr>
                <w:noProof/>
              </w:rPr>
            </w:pPr>
            <w:r>
              <w:rPr>
                <w:noProof/>
              </w:rPr>
              <w:t>20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46AAE3"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168363" w14:textId="77777777" w:rsidR="00154E32" w:rsidRDefault="00A43E04">
            <w:pPr>
              <w:pStyle w:val="P68B1DB1-Normal5"/>
              <w:jc w:val="center"/>
              <w:rPr>
                <w:noProof/>
              </w:rPr>
            </w:pPr>
            <w:r>
              <w:rPr>
                <w:noProof/>
              </w:rPr>
              <w:t>2023</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BB13ED" w14:textId="0B67EA93" w:rsidR="00154E32" w:rsidRDefault="00A43E04">
            <w:pPr>
              <w:pStyle w:val="P68B1DB1-Normal5"/>
              <w:spacing w:before="100" w:beforeAutospacing="1" w:after="120"/>
              <w:rPr>
                <w:noProof/>
              </w:rPr>
            </w:pPr>
            <w:r>
              <w:rPr>
                <w:noProof/>
              </w:rPr>
              <w:t>Vsaj 20 % javnih uslužbencev se je usposabljalo v okviru strategije za profesionalizacijo javnih kupcev, pri čemer se upošteva skupno število javnih uslužbencev, ki dejavno sodelujejo pri javnem naročanju, tj. 100000 javnih kupcev, registriranih do 30. aprila 2021 v nacionalni sistem e-javnih naročil, ki ga upravlja Consip v imenu MEF.</w:t>
            </w:r>
          </w:p>
        </w:tc>
      </w:tr>
      <w:tr w:rsidR="00154E32" w14:paraId="2F23B8F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146C91" w14:textId="77777777" w:rsidR="00154E32" w:rsidRDefault="00A43E04">
            <w:pPr>
              <w:pStyle w:val="P68B1DB1-Normal5"/>
              <w:jc w:val="center"/>
              <w:rPr>
                <w:noProof/>
              </w:rPr>
            </w:pPr>
            <w:r>
              <w:rPr>
                <w:noProof/>
              </w:rPr>
              <w:t>M1C1–87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95DC5A"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335530"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58133D" w14:textId="77777777" w:rsidR="00154E32" w:rsidRDefault="00A43E04">
            <w:pPr>
              <w:pStyle w:val="P68B1DB1-Normal5"/>
              <w:jc w:val="center"/>
              <w:rPr>
                <w:noProof/>
              </w:rPr>
            </w:pPr>
            <w:r>
              <w:rPr>
                <w:noProof/>
              </w:rPr>
              <w:t>Javni naročniki, ki uporabljajo dinamične nabavne sisteme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E6EE4B"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5072A3"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4AA451" w14:textId="77777777" w:rsidR="00154E32" w:rsidRDefault="00A43E04">
            <w:pPr>
              <w:pStyle w:val="P68B1DB1-Normal5"/>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8E8DBE" w14:textId="77777777" w:rsidR="00154E32" w:rsidRDefault="00A43E04">
            <w:pPr>
              <w:pStyle w:val="P68B1DB1-Normal5"/>
              <w:jc w:val="center"/>
              <w:rPr>
                <w:noProof/>
              </w:rPr>
            </w:pPr>
            <w:r>
              <w:rPr>
                <w:noProof/>
              </w:rPr>
              <w:t>15</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E09575"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D25E67" w14:textId="77777777" w:rsidR="00154E32" w:rsidRDefault="00A43E04">
            <w:pPr>
              <w:pStyle w:val="P68B1DB1-Normal5"/>
              <w:jc w:val="center"/>
              <w:rPr>
                <w:noProof/>
              </w:rPr>
            </w:pPr>
            <w:r>
              <w:rPr>
                <w:noProof/>
              </w:rPr>
              <w:t>2023</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7C7866" w14:textId="77777777" w:rsidR="00154E32" w:rsidRDefault="00A43E04">
            <w:pPr>
              <w:pStyle w:val="P68B1DB1-Normal5"/>
              <w:spacing w:before="100" w:beforeAutospacing="1" w:after="120"/>
              <w:rPr>
                <w:noProof/>
              </w:rPr>
            </w:pPr>
            <w:r>
              <w:rPr>
                <w:noProof/>
              </w:rPr>
              <w:t>Vsaj 15 % javnih naročnikov uporablja dinamične nabavne sisteme v skladu z Direktivo 2014/24 (dve leti obdobja opazovanja in ob upoštevanju, da je v Italiji uporaba dinamičnih nabavnih sistemov usmerjena predvsem na nakupe nad pragom, saj se pod pragom večinoma izvajajo z uporabo e-tržnih mest). Cilj se nanaša na osrednje vladne naročnike (250 plačilnih agencij, kot so bile evidentirane 30. aprila 2021 v nacionalni sistem e-javnih naročil, ki ga upravlja Consip v imenu MEF).</w:t>
            </w:r>
          </w:p>
        </w:tc>
      </w:tr>
      <w:tr w:rsidR="00154E32" w14:paraId="1B56307E"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7AF83B" w14:textId="77777777" w:rsidR="00154E32" w:rsidRDefault="00A43E04">
            <w:pPr>
              <w:pStyle w:val="P68B1DB1-Normal5"/>
              <w:jc w:val="center"/>
              <w:rPr>
                <w:noProof/>
              </w:rPr>
            </w:pPr>
            <w:r>
              <w:rPr>
                <w:noProof/>
              </w:rPr>
              <w:t>M1C1–88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919A84"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E1A4CE"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7C2737" w14:textId="77777777" w:rsidR="00154E32" w:rsidRDefault="00A43E04">
            <w:pPr>
              <w:pStyle w:val="P68B1DB1-Normal5"/>
              <w:jc w:val="center"/>
              <w:rPr>
                <w:noProof/>
              </w:rPr>
            </w:pPr>
            <w:r>
              <w:rPr>
                <w:noProof/>
              </w:rPr>
              <w:t>Povprečno število dni, ki jih centralne javne uprave potrebujejo za plačilo podjetjem, se zmanjša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F91B30"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94A860" w14:textId="77777777" w:rsidR="00154E32" w:rsidRDefault="00A43E04">
            <w:pPr>
              <w:pStyle w:val="P68B1DB1-Normal5"/>
              <w:jc w:val="center"/>
              <w:rPr>
                <w:noProof/>
              </w:rPr>
            </w:pPr>
            <w:r>
              <w:rPr>
                <w:noProof/>
              </w:rPr>
              <w:t>Tehtani povprečni čas plačila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0C3D99" w14:textId="77777777" w:rsidR="00154E32" w:rsidRDefault="00A43E04">
            <w:pPr>
              <w:pStyle w:val="P68B1DB1-Normal5"/>
              <w:jc w:val="center"/>
              <w:rPr>
                <w:noProof/>
              </w:rPr>
            </w:pPr>
            <w:r>
              <w:rPr>
                <w:noProof/>
              </w:rPr>
              <w:t>30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A3DE71" w14:textId="77777777" w:rsidR="00154E32" w:rsidRDefault="00A43E04">
            <w:pPr>
              <w:pStyle w:val="P68B1DB1-Normal5"/>
              <w:jc w:val="center"/>
              <w:rPr>
                <w:noProof/>
              </w:rPr>
            </w:pPr>
            <w:r>
              <w:rPr>
                <w:noProof/>
              </w:rPr>
              <w:t>30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994FF3"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9CC7EA"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AE288C" w14:textId="77777777" w:rsidR="00154E32" w:rsidRDefault="00A43E04">
            <w:pPr>
              <w:pStyle w:val="P68B1DB1-Normal5"/>
              <w:spacing w:before="100" w:beforeAutospacing="1" w:after="120"/>
              <w:rPr>
                <w:noProof/>
              </w:rPr>
            </w:pPr>
            <w:r>
              <w:rPr>
                <w:noProof/>
              </w:rPr>
              <w:t>Na podlagi komercialne kreditne platforme (PCC) je tehtani povprečni čas plačila („tempo di pagamento“) osrednjih javnih organov (</w:t>
            </w:r>
            <w:r>
              <w:rPr>
                <w:i/>
                <w:noProof/>
              </w:rPr>
              <w:t>Amministrazioni dello Stato, enti pubblici nazionali e altri enti</w:t>
            </w:r>
            <w:r>
              <w:rPr>
                <w:noProof/>
              </w:rPr>
              <w:t>) podjetjem enak ali krajši od 30 dni.</w:t>
            </w:r>
          </w:p>
        </w:tc>
      </w:tr>
      <w:tr w:rsidR="00154E32" w14:paraId="0A13472E"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8F1D00" w14:textId="77777777" w:rsidR="00154E32" w:rsidRDefault="00A43E04">
            <w:pPr>
              <w:pStyle w:val="P68B1DB1-Normal5"/>
              <w:jc w:val="center"/>
              <w:rPr>
                <w:noProof/>
              </w:rPr>
            </w:pPr>
            <w:r>
              <w:rPr>
                <w:noProof/>
              </w:rPr>
              <w:t>M1C1–89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5870EE"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F10B78"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51A621" w14:textId="77777777" w:rsidR="00154E32" w:rsidRDefault="00A43E04">
            <w:pPr>
              <w:pStyle w:val="P68B1DB1-Normal5"/>
              <w:jc w:val="center"/>
              <w:rPr>
                <w:noProof/>
              </w:rPr>
            </w:pPr>
            <w:r>
              <w:rPr>
                <w:noProof/>
              </w:rPr>
              <w:t>Povprečno število dni za regionalne javne uprave za plačilo podjetjem se zmanjša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5F07EC"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BFAA99" w14:textId="77777777" w:rsidR="00154E32" w:rsidRDefault="00A43E04">
            <w:pPr>
              <w:pStyle w:val="P68B1DB1-Normal5"/>
              <w:jc w:val="center"/>
              <w:rPr>
                <w:noProof/>
              </w:rPr>
            </w:pPr>
            <w:r>
              <w:rPr>
                <w:noProof/>
              </w:rPr>
              <w:t>Tehtani povprečni čas plačila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007C75" w14:textId="77777777" w:rsidR="00154E32" w:rsidRDefault="00A43E04">
            <w:pPr>
              <w:pStyle w:val="P68B1DB1-Normal5"/>
              <w:jc w:val="center"/>
              <w:rPr>
                <w:noProof/>
              </w:rPr>
            </w:pPr>
            <w:r>
              <w:rPr>
                <w:noProof/>
              </w:rPr>
              <w:t>30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B37C48" w14:textId="77777777" w:rsidR="00154E32" w:rsidRDefault="00A43E04">
            <w:pPr>
              <w:pStyle w:val="P68B1DB1-Normal5"/>
              <w:jc w:val="center"/>
              <w:rPr>
                <w:noProof/>
              </w:rPr>
            </w:pPr>
            <w:r>
              <w:rPr>
                <w:noProof/>
              </w:rPr>
              <w:t>30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B39F97"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FE17A2"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DD6909" w14:textId="77777777" w:rsidR="00154E32" w:rsidRDefault="00A43E04">
            <w:pPr>
              <w:pStyle w:val="P68B1DB1-Normal5"/>
              <w:spacing w:before="100" w:beforeAutospacing="1" w:after="120"/>
              <w:rPr>
                <w:noProof/>
              </w:rPr>
            </w:pPr>
            <w:r>
              <w:rPr>
                <w:noProof/>
              </w:rPr>
              <w:t>Na podlagi komercialne kreditne platforme (PCC) je tehtani povprečni čas plačila („tempo di pagamento“) regionalnih javnih organov (</w:t>
            </w:r>
            <w:r>
              <w:rPr>
                <w:i/>
                <w:noProof/>
              </w:rPr>
              <w:t>Regioni in provinca Autonome</w:t>
            </w:r>
            <w:r>
              <w:rPr>
                <w:noProof/>
              </w:rPr>
              <w:t>) podjetjem enak ali krajši od 30 dni.</w:t>
            </w:r>
          </w:p>
        </w:tc>
      </w:tr>
      <w:tr w:rsidR="00154E32" w14:paraId="25F346AD"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9E5913" w14:textId="77777777" w:rsidR="00154E32" w:rsidRDefault="00A43E04">
            <w:pPr>
              <w:pStyle w:val="P68B1DB1-Normal5"/>
              <w:jc w:val="center"/>
              <w:rPr>
                <w:noProof/>
              </w:rPr>
            </w:pPr>
            <w:r>
              <w:rPr>
                <w:noProof/>
              </w:rPr>
              <w:t>M1C1–90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CBEB91"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190653"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146050" w14:textId="77777777" w:rsidR="00154E32" w:rsidRDefault="00A43E04">
            <w:pPr>
              <w:pStyle w:val="P68B1DB1-Normal5"/>
              <w:jc w:val="center"/>
              <w:rPr>
                <w:noProof/>
              </w:rPr>
            </w:pPr>
            <w:r>
              <w:rPr>
                <w:noProof/>
              </w:rPr>
              <w:t>Povprečno število dni, ko lokalne javne uprave plačajo podjetjem, se zmanjša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BFC5CF"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A149401" w14:textId="77777777" w:rsidR="00154E32" w:rsidRDefault="00A43E04">
            <w:pPr>
              <w:pStyle w:val="P68B1DB1-Normal5"/>
              <w:jc w:val="center"/>
              <w:rPr>
                <w:noProof/>
              </w:rPr>
            </w:pPr>
            <w:r>
              <w:rPr>
                <w:noProof/>
              </w:rPr>
              <w:t>Tehtani povprečni čas plačila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7EC34D" w14:textId="77777777" w:rsidR="00154E32" w:rsidRDefault="00A43E04">
            <w:pPr>
              <w:pStyle w:val="P68B1DB1-Normal5"/>
              <w:jc w:val="center"/>
              <w:rPr>
                <w:noProof/>
              </w:rPr>
            </w:pPr>
            <w:r>
              <w:rPr>
                <w:noProof/>
              </w:rPr>
              <w:t>30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17521E" w14:textId="77777777" w:rsidR="00154E32" w:rsidRDefault="00A43E04">
            <w:pPr>
              <w:pStyle w:val="P68B1DB1-Normal5"/>
              <w:jc w:val="center"/>
              <w:rPr>
                <w:noProof/>
              </w:rPr>
            </w:pPr>
            <w:r>
              <w:rPr>
                <w:noProof/>
              </w:rPr>
              <w:t>30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B6072B"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B3DADED"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462482" w14:textId="77777777" w:rsidR="00154E32" w:rsidRDefault="00A43E04">
            <w:pPr>
              <w:pStyle w:val="P68B1DB1-Normal5"/>
              <w:spacing w:before="100" w:beforeAutospacing="1" w:after="120"/>
              <w:rPr>
                <w:noProof/>
              </w:rPr>
            </w:pPr>
            <w:r>
              <w:rPr>
                <w:noProof/>
              </w:rPr>
              <w:t>Na podlagi komercialne kreditne platforme (PCC) je tehtani povprečni čas plačila („tempo di pagamento“) lokalnih javnih organov (</w:t>
            </w:r>
            <w:r>
              <w:rPr>
                <w:i/>
                <w:noProof/>
              </w:rPr>
              <w:t>enti locali</w:t>
            </w:r>
            <w:r>
              <w:rPr>
                <w:noProof/>
              </w:rPr>
              <w:t>) podjetjem 30 dni ali manj.</w:t>
            </w:r>
          </w:p>
        </w:tc>
      </w:tr>
      <w:tr w:rsidR="00154E32" w14:paraId="55DABAEC"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EB1E36" w14:textId="77777777" w:rsidR="00154E32" w:rsidRDefault="00A43E04">
            <w:pPr>
              <w:pStyle w:val="P68B1DB1-Normal5"/>
              <w:jc w:val="center"/>
              <w:rPr>
                <w:noProof/>
              </w:rPr>
            </w:pPr>
            <w:r>
              <w:rPr>
                <w:noProof/>
              </w:rPr>
              <w:t>M1C1–91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F2BC68"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32C3DD"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90D1AB" w14:textId="77777777" w:rsidR="00154E32" w:rsidRDefault="00A43E04">
            <w:pPr>
              <w:pStyle w:val="P68B1DB1-Normal5"/>
              <w:jc w:val="center"/>
              <w:rPr>
                <w:noProof/>
              </w:rPr>
            </w:pPr>
            <w:r>
              <w:rPr>
                <w:noProof/>
              </w:rPr>
              <w:t>Povprečno število dni za javne zdravstvene uprave, da plačajo podjetjem, se zmanjša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C88BE7"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ABDD49" w14:textId="77777777" w:rsidR="00154E32" w:rsidRDefault="00A43E04">
            <w:pPr>
              <w:pStyle w:val="P68B1DB1-Normal5"/>
              <w:jc w:val="center"/>
              <w:rPr>
                <w:noProof/>
              </w:rPr>
            </w:pPr>
            <w:r>
              <w:rPr>
                <w:noProof/>
              </w:rPr>
              <w:t>Tehtani povprečni čas plačila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54EE1F" w14:textId="77777777" w:rsidR="00154E32" w:rsidRDefault="00A43E04">
            <w:pPr>
              <w:pStyle w:val="P68B1DB1-Normal5"/>
              <w:jc w:val="center"/>
              <w:rPr>
                <w:noProof/>
              </w:rPr>
            </w:pPr>
            <w:r>
              <w:rPr>
                <w:noProof/>
              </w:rPr>
              <w:t>60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3FE260" w14:textId="77777777" w:rsidR="00154E32" w:rsidRDefault="00A43E04">
            <w:pPr>
              <w:pStyle w:val="P68B1DB1-Normal5"/>
              <w:jc w:val="center"/>
              <w:rPr>
                <w:noProof/>
              </w:rPr>
            </w:pPr>
            <w:r>
              <w:rPr>
                <w:noProof/>
              </w:rPr>
              <w:t>60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DC2F73"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153FEB"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41FEDA" w14:textId="77777777" w:rsidR="00154E32" w:rsidRDefault="00A43E04">
            <w:pPr>
              <w:pStyle w:val="P68B1DB1-Normal5"/>
              <w:spacing w:before="100" w:beforeAutospacing="1" w:after="120"/>
              <w:rPr>
                <w:noProof/>
              </w:rPr>
            </w:pPr>
            <w:r>
              <w:rPr>
                <w:noProof/>
              </w:rPr>
              <w:t>Ponderirani povprečni čas plačila („tempo di pagamento“) organov javnega zdravstva (</w:t>
            </w:r>
            <w:r>
              <w:rPr>
                <w:i/>
                <w:noProof/>
              </w:rPr>
              <w:t>enti del Servizio sanitario nazionale</w:t>
            </w:r>
            <w:r>
              <w:rPr>
                <w:noProof/>
              </w:rPr>
              <w:t>) podjetjem je na podlagi komercialne kreditne platforme (PCC) enak ali krajši od 60 dni.</w:t>
            </w:r>
          </w:p>
        </w:tc>
      </w:tr>
      <w:tr w:rsidR="00154E32" w14:paraId="5B6B04F5"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41E5BF" w14:textId="77777777" w:rsidR="00154E32" w:rsidRDefault="00A43E04">
            <w:pPr>
              <w:pStyle w:val="P68B1DB1-Normal5"/>
              <w:jc w:val="center"/>
              <w:rPr>
                <w:noProof/>
              </w:rPr>
            </w:pPr>
            <w:r>
              <w:rPr>
                <w:noProof/>
              </w:rPr>
              <w:t>M1C1–92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17AD72"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65DF2E"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2FCFB6" w14:textId="77777777" w:rsidR="00154E32" w:rsidRDefault="00A43E04">
            <w:pPr>
              <w:pStyle w:val="P68B1DB1-Normal5"/>
              <w:jc w:val="center"/>
              <w:rPr>
                <w:noProof/>
              </w:rPr>
            </w:pPr>
            <w:r>
              <w:rPr>
                <w:noProof/>
              </w:rPr>
              <w:t>Povprečno število dni zamude centralnih javnih uprav pri plačevanju podjetij se zmanjša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1405775"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67CAFE" w14:textId="77777777" w:rsidR="00154E32" w:rsidRDefault="00A43E04">
            <w:pPr>
              <w:pStyle w:val="P68B1DB1-Normal5"/>
              <w:jc w:val="center"/>
              <w:rPr>
                <w:rFonts w:eastAsiaTheme="minorEastAsia"/>
                <w:noProof/>
              </w:rPr>
            </w:pPr>
            <w:r>
              <w:rPr>
                <w:noProof/>
              </w:rPr>
              <w:t>Tehtana povprečna zamuda pri plačilu</w:t>
            </w:r>
          </w:p>
          <w:p w14:paraId="54E3418C" w14:textId="77777777" w:rsidR="00154E32" w:rsidRDefault="00A43E04">
            <w:pPr>
              <w:pStyle w:val="P68B1DB1-Normal5"/>
              <w:jc w:val="center"/>
              <w:rPr>
                <w:noProof/>
              </w:rPr>
            </w:pPr>
            <w:r>
              <w:rPr>
                <w:noProof/>
              </w:rPr>
              <w:t>(v dnevih)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5683F2" w14:textId="77777777" w:rsidR="00154E32" w:rsidRDefault="00A43E04">
            <w:pPr>
              <w:pStyle w:val="P68B1DB1-Normal5"/>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10A23E" w14:textId="77777777" w:rsidR="00154E32" w:rsidRDefault="00A43E04">
            <w:pPr>
              <w:pStyle w:val="P68B1DB1-Normal5"/>
              <w:jc w:val="center"/>
              <w:rPr>
                <w:noProof/>
              </w:rPr>
            </w:pPr>
            <w:r>
              <w:rPr>
                <w:noProof/>
              </w:rPr>
              <w:t>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2D21BA"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73CA7D"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2C093B" w14:textId="77777777" w:rsidR="00154E32" w:rsidRDefault="00A43E04">
            <w:pPr>
              <w:pStyle w:val="P68B1DB1-Normal5"/>
              <w:spacing w:before="100" w:beforeAutospacing="1" w:after="120"/>
              <w:rPr>
                <w:noProof/>
              </w:rPr>
            </w:pPr>
            <w:r>
              <w:rPr>
                <w:noProof/>
              </w:rPr>
              <w:t>Na podlagi komercialne kreditne platforme (PCC) je tehtana povprečna zamuda pri plačilu („tempo di ritardo“) osrednjih organov (Amministrazioni dello Stato, enti pubblici nazionali e altri enti) podjetjem največ 0 dni.</w:t>
            </w:r>
          </w:p>
        </w:tc>
      </w:tr>
      <w:tr w:rsidR="00154E32" w14:paraId="44EC8A89"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AA13C1" w14:textId="77777777" w:rsidR="00154E32" w:rsidRDefault="00A43E04">
            <w:pPr>
              <w:pStyle w:val="P68B1DB1-Normal5"/>
              <w:jc w:val="center"/>
              <w:rPr>
                <w:noProof/>
              </w:rPr>
            </w:pPr>
            <w:r>
              <w:rPr>
                <w:noProof/>
              </w:rPr>
              <w:t>M1C1–93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C4AA68"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CA22B5"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A26C2B" w14:textId="77777777" w:rsidR="00154E32" w:rsidRDefault="00A43E04">
            <w:pPr>
              <w:pStyle w:val="P68B1DB1-Normal5"/>
              <w:jc w:val="center"/>
              <w:rPr>
                <w:noProof/>
              </w:rPr>
            </w:pPr>
            <w:r>
              <w:rPr>
                <w:noProof/>
              </w:rPr>
              <w:t>Povprečno število dni zamude regionalnih javnih uprav pri plačevanju podjetij se zmanjša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1C958C"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A1F339" w14:textId="77777777" w:rsidR="00154E32" w:rsidRDefault="00A43E04">
            <w:pPr>
              <w:pStyle w:val="P68B1DB1-Normal5"/>
              <w:jc w:val="center"/>
              <w:rPr>
                <w:rFonts w:eastAsiaTheme="minorEastAsia"/>
                <w:noProof/>
              </w:rPr>
            </w:pPr>
            <w:r>
              <w:rPr>
                <w:noProof/>
              </w:rPr>
              <w:t>Tehtana povprečna zamuda pri plačilu</w:t>
            </w:r>
          </w:p>
          <w:p w14:paraId="1AFCC9F8" w14:textId="77777777" w:rsidR="00154E32" w:rsidRDefault="00A43E04">
            <w:pPr>
              <w:pStyle w:val="P68B1DB1-Normal5"/>
              <w:jc w:val="center"/>
              <w:rPr>
                <w:noProof/>
              </w:rPr>
            </w:pPr>
            <w:r>
              <w:rPr>
                <w:noProof/>
              </w:rPr>
              <w:t>(v dnevih)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DCF719" w14:textId="77777777" w:rsidR="00154E32" w:rsidRDefault="00A43E04">
            <w:pPr>
              <w:pStyle w:val="P68B1DB1-Normal5"/>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006947" w14:textId="77777777" w:rsidR="00154E32" w:rsidRDefault="00A43E04">
            <w:pPr>
              <w:pStyle w:val="P68B1DB1-Normal5"/>
              <w:jc w:val="center"/>
              <w:rPr>
                <w:noProof/>
              </w:rPr>
            </w:pPr>
            <w:r>
              <w:rPr>
                <w:noProof/>
              </w:rPr>
              <w:t>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D3918C"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839003"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53888FF" w14:textId="77777777" w:rsidR="00154E32" w:rsidRDefault="00A43E04">
            <w:pPr>
              <w:pStyle w:val="P68B1DB1-Normal5"/>
              <w:spacing w:before="100" w:beforeAutospacing="1" w:after="120"/>
              <w:rPr>
                <w:noProof/>
              </w:rPr>
            </w:pPr>
            <w:r>
              <w:rPr>
                <w:noProof/>
              </w:rPr>
              <w:t>Na podlagi komercialne kreditne platforme (PCC) je tehtana povprečna zamuda pri plačilu („tempo di ritardo“) regionalnih organov (Regioni in provinca Autonome) podjetjem največ 0 dni.</w:t>
            </w:r>
          </w:p>
        </w:tc>
      </w:tr>
      <w:tr w:rsidR="00154E32" w14:paraId="3EC2FCBE"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8B72D3" w14:textId="77777777" w:rsidR="00154E32" w:rsidRDefault="00A43E04">
            <w:pPr>
              <w:pStyle w:val="P68B1DB1-Normal5"/>
              <w:jc w:val="center"/>
              <w:rPr>
                <w:noProof/>
              </w:rPr>
            </w:pPr>
            <w:r>
              <w:rPr>
                <w:noProof/>
              </w:rPr>
              <w:t>M1C1–94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C0E651"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5066DA"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86803B" w14:textId="77777777" w:rsidR="00154E32" w:rsidRDefault="00A43E04">
            <w:pPr>
              <w:pStyle w:val="P68B1DB1-Normal5"/>
              <w:jc w:val="center"/>
              <w:rPr>
                <w:noProof/>
              </w:rPr>
            </w:pPr>
            <w:r>
              <w:rPr>
                <w:noProof/>
              </w:rPr>
              <w:t>Povprečno število dni zamude lokalnih javnih uprav pri plačevanju podjetij se zmanjša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F21267"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6B8D162" w14:textId="77777777" w:rsidR="00154E32" w:rsidRDefault="00A43E04">
            <w:pPr>
              <w:pStyle w:val="P68B1DB1-Normal5"/>
              <w:jc w:val="center"/>
              <w:rPr>
                <w:rFonts w:eastAsiaTheme="minorEastAsia"/>
                <w:noProof/>
              </w:rPr>
            </w:pPr>
            <w:r>
              <w:rPr>
                <w:noProof/>
              </w:rPr>
              <w:t>Tehtana povprečna zamuda pri plačilu</w:t>
            </w:r>
          </w:p>
          <w:p w14:paraId="6B457FE1" w14:textId="77777777" w:rsidR="00154E32" w:rsidRDefault="00A43E04">
            <w:pPr>
              <w:pStyle w:val="P68B1DB1-Normal5"/>
              <w:jc w:val="center"/>
              <w:rPr>
                <w:noProof/>
              </w:rPr>
            </w:pPr>
            <w:r>
              <w:rPr>
                <w:noProof/>
              </w:rPr>
              <w:t>(v dnevih)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47CE6D" w14:textId="77777777" w:rsidR="00154E32" w:rsidRDefault="00A43E04">
            <w:pPr>
              <w:pStyle w:val="P68B1DB1-Normal5"/>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C716D2" w14:textId="77777777" w:rsidR="00154E32" w:rsidRDefault="00A43E04">
            <w:pPr>
              <w:pStyle w:val="P68B1DB1-Normal5"/>
              <w:jc w:val="center"/>
              <w:rPr>
                <w:noProof/>
              </w:rPr>
            </w:pPr>
            <w:r>
              <w:rPr>
                <w:noProof/>
              </w:rPr>
              <w:t>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C34D5B"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7B7873"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C885D5" w14:textId="77777777" w:rsidR="00154E32" w:rsidRDefault="00A43E04">
            <w:pPr>
              <w:pStyle w:val="P68B1DB1-Normal5"/>
              <w:spacing w:before="100" w:beforeAutospacing="1" w:after="120"/>
              <w:rPr>
                <w:noProof/>
              </w:rPr>
            </w:pPr>
            <w:r>
              <w:rPr>
                <w:noProof/>
              </w:rPr>
              <w:t>Na podlagi komercialne kreditne platforme (PCC) je tehtana povprečna zamuda pri plačilu („tempo di ritardo“) lokalnih organov (enti locali) podjetjem največ 0 dni.</w:t>
            </w:r>
          </w:p>
        </w:tc>
      </w:tr>
      <w:tr w:rsidR="00154E32" w14:paraId="11A809F0"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66DFFC" w14:textId="77777777" w:rsidR="00154E32" w:rsidRDefault="00A43E04">
            <w:pPr>
              <w:pStyle w:val="P68B1DB1-Normal5"/>
              <w:jc w:val="center"/>
              <w:rPr>
                <w:noProof/>
              </w:rPr>
            </w:pPr>
            <w:r>
              <w:rPr>
                <w:noProof/>
              </w:rPr>
              <w:t>M1C1–95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ABB404" w14:textId="77777777" w:rsidR="00154E32" w:rsidRDefault="00A43E04">
            <w:pPr>
              <w:pStyle w:val="P68B1DB1-Normal5"/>
              <w:jc w:val="center"/>
              <w:rPr>
                <w:noProof/>
              </w:rPr>
            </w:pPr>
            <w:r>
              <w:rPr>
                <w:noProof/>
              </w:rPr>
              <w:t>Reforma 1.11: Zmanjšanje zamud pri plačilih javnih uprav in zdravstvenih organov</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25E5C2"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EBF0F6" w14:textId="77777777" w:rsidR="00154E32" w:rsidRDefault="00A43E04">
            <w:pPr>
              <w:pStyle w:val="P68B1DB1-Normal5"/>
              <w:jc w:val="center"/>
              <w:rPr>
                <w:noProof/>
              </w:rPr>
            </w:pPr>
            <w:r>
              <w:rPr>
                <w:noProof/>
              </w:rPr>
              <w:t>Povprečno število dni zamude zdravstvenih javnih uprav pri plačevanju podjetij se zmanjša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87CAA8"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767F34" w14:textId="77777777" w:rsidR="00154E32" w:rsidRDefault="00A43E04">
            <w:pPr>
              <w:pStyle w:val="P68B1DB1-Normal5"/>
              <w:jc w:val="center"/>
              <w:rPr>
                <w:rFonts w:eastAsiaTheme="minorEastAsia"/>
                <w:noProof/>
              </w:rPr>
            </w:pPr>
            <w:r>
              <w:rPr>
                <w:noProof/>
              </w:rPr>
              <w:t>Tehtana povprečna zamuda pri plačilu</w:t>
            </w:r>
          </w:p>
          <w:p w14:paraId="16FA9E26" w14:textId="77777777" w:rsidR="00154E32" w:rsidRDefault="00A43E04">
            <w:pPr>
              <w:pStyle w:val="P68B1DB1-Normal5"/>
              <w:jc w:val="center"/>
              <w:rPr>
                <w:noProof/>
              </w:rPr>
            </w:pPr>
            <w:r>
              <w:rPr>
                <w:noProof/>
              </w:rPr>
              <w:t>(v dnevih)</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91CA63" w14:textId="77777777" w:rsidR="00154E32" w:rsidRDefault="00A43E04">
            <w:pPr>
              <w:pStyle w:val="P68B1DB1-Normal5"/>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0DF363" w14:textId="77777777" w:rsidR="00154E32" w:rsidRDefault="00A43E04">
            <w:pPr>
              <w:pStyle w:val="P68B1DB1-Normal5"/>
              <w:jc w:val="center"/>
              <w:rPr>
                <w:noProof/>
              </w:rPr>
            </w:pPr>
            <w:r>
              <w:rPr>
                <w:noProof/>
              </w:rPr>
              <w:t>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3ED203"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0BAE03"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1F5261" w14:textId="77777777" w:rsidR="00154E32" w:rsidRDefault="00A43E04">
            <w:pPr>
              <w:pStyle w:val="P68B1DB1-Normal5"/>
              <w:spacing w:before="100" w:beforeAutospacing="1" w:after="120"/>
              <w:rPr>
                <w:noProof/>
              </w:rPr>
            </w:pPr>
            <w:r>
              <w:rPr>
                <w:noProof/>
              </w:rPr>
              <w:t>Na podlagi komercialne kreditne platforme (PCC) je tehtana povprečna zamuda pri plačilu („tempo di ritardo“) organov javnega zdravja (enti del Servizio sanitario nazionale) podjetjem največ 0 dni.</w:t>
            </w:r>
          </w:p>
        </w:tc>
      </w:tr>
      <w:tr w:rsidR="00154E32" w14:paraId="38E922A7"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920697" w14:textId="77777777" w:rsidR="00154E32" w:rsidRDefault="00A43E04">
            <w:pPr>
              <w:pStyle w:val="P68B1DB1-Normal5"/>
              <w:jc w:val="center"/>
              <w:rPr>
                <w:noProof/>
              </w:rPr>
            </w:pPr>
            <w:r>
              <w:rPr>
                <w:noProof/>
              </w:rPr>
              <w:t>M1C1–96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13B6DB"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E5ACDE5"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9997F8" w14:textId="77777777" w:rsidR="00154E32" w:rsidRDefault="00A43E04">
            <w:pPr>
              <w:pStyle w:val="P68B1DB1-Normal5"/>
              <w:jc w:val="center"/>
              <w:rPr>
                <w:noProof/>
              </w:rPr>
            </w:pPr>
            <w:r>
              <w:rPr>
                <w:noProof/>
              </w:rPr>
              <w:t>Povprečni čas med objavo in oddajo naročila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67CD66"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3FA6C2" w14:textId="77777777" w:rsidR="00154E32" w:rsidRDefault="00A43E04">
            <w:pPr>
              <w:pStyle w:val="P68B1DB1-Normal5"/>
              <w:jc w:val="center"/>
              <w:rPr>
                <w:noProof/>
              </w:rPr>
            </w:pPr>
            <w:r>
              <w:rPr>
                <w:noProof/>
              </w:rPr>
              <w:t>Število</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CED3F1C" w14:textId="77777777" w:rsidR="00154E32" w:rsidRDefault="00A43E04">
            <w:pPr>
              <w:pStyle w:val="P68B1DB1-Normal5"/>
              <w:jc w:val="center"/>
              <w:rPr>
                <w:noProof/>
              </w:rPr>
            </w:pPr>
            <w:r>
              <w:rPr>
                <w:noProof/>
              </w:rPr>
              <w:t>193</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9AFED2" w14:textId="77777777" w:rsidR="00154E32" w:rsidRDefault="00A43E04">
            <w:pPr>
              <w:pStyle w:val="P68B1DB1-Normal5"/>
              <w:jc w:val="center"/>
              <w:rPr>
                <w:noProof/>
              </w:rPr>
            </w:pPr>
            <w:r>
              <w:rPr>
                <w:noProof/>
              </w:rPr>
              <w:t>115</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2E9CA0"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3B73E6" w14:textId="62CA6AFA" w:rsidR="00154E32" w:rsidRDefault="00A43E04">
            <w:pPr>
              <w:pStyle w:val="P68B1DB1-Normal5"/>
              <w:jc w:val="center"/>
              <w:rPr>
                <w:noProof/>
              </w:rPr>
            </w:pPr>
            <w:r>
              <w:rPr>
                <w:noProof/>
              </w:rPr>
              <w:t>2025</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DA2D3A" w14:textId="77777777" w:rsidR="00154E32" w:rsidRDefault="00A43E04">
            <w:pPr>
              <w:pStyle w:val="P68B1DB1-Normal5"/>
              <w:spacing w:before="100" w:beforeAutospacing="1" w:after="120"/>
              <w:rPr>
                <w:noProof/>
              </w:rPr>
            </w:pPr>
            <w:r>
              <w:rPr>
                <w:noProof/>
              </w:rPr>
              <w:t>Na podlagi podatkov iz Uradnega lista EU (podatkovna zbirka TED) se povprečni čas med rokom za oddajo ponudb in datumom podpisa pogodbe skrajša na največ 115 dni za pogodbe, ki presegajo mejne vrednosti iz direktiv EU o javnih naročilih.</w:t>
            </w:r>
          </w:p>
          <w:p w14:paraId="4005C87C" w14:textId="77777777" w:rsidR="00154E32" w:rsidRDefault="00A43E04">
            <w:pPr>
              <w:pStyle w:val="P68B1DB1-Normal5"/>
              <w:spacing w:before="100" w:beforeAutospacing="1" w:after="120"/>
              <w:rPr>
                <w:noProof/>
              </w:rPr>
            </w:pPr>
            <w:r>
              <w:rPr>
                <w:noProof/>
              </w:rPr>
              <w:t>Zagotoviti popolno skladnost in odsotnost časovnega zamika med objavo podatkov o sklenitvi pogodbe v TED in BDNCP (ANAC).</w:t>
            </w:r>
          </w:p>
        </w:tc>
      </w:tr>
      <w:tr w:rsidR="00154E32" w14:paraId="4A47B931"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E31FD5" w14:textId="77777777" w:rsidR="00154E32" w:rsidRDefault="00A43E04">
            <w:pPr>
              <w:pStyle w:val="P68B1DB1-Normal5"/>
              <w:jc w:val="center"/>
              <w:rPr>
                <w:noProof/>
              </w:rPr>
            </w:pPr>
            <w:r>
              <w:rPr>
                <w:noProof/>
              </w:rPr>
              <w:t>M1C1–97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490CF0"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8235DF"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5967F5" w14:textId="77777777" w:rsidR="00154E32" w:rsidRDefault="00A43E04">
            <w:pPr>
              <w:pStyle w:val="P68B1DB1-Normal5"/>
              <w:jc w:val="center"/>
              <w:rPr>
                <w:noProof/>
              </w:rPr>
            </w:pPr>
            <w:r>
              <w:rPr>
                <w:noProof/>
              </w:rPr>
              <w:t>Povprečni čas med oddajo naročila in izgradnjo infrastrukture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1F5E178"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D78CA9"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3C27F4" w14:textId="77777777" w:rsidR="00154E32" w:rsidRDefault="00A43E04">
            <w:pPr>
              <w:pStyle w:val="P68B1DB1-Normal5"/>
              <w:jc w:val="center"/>
              <w:rPr>
                <w:noProof/>
              </w:rPr>
            </w:pPr>
            <w:r>
              <w:rPr>
                <w:noProof/>
              </w:rPr>
              <w:t>100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D59F72" w14:textId="77777777" w:rsidR="00154E32" w:rsidRDefault="00A43E04">
            <w:pPr>
              <w:pStyle w:val="P68B1DB1-Normal5"/>
              <w:jc w:val="center"/>
              <w:rPr>
                <w:noProof/>
              </w:rPr>
            </w:pPr>
            <w:r>
              <w:rPr>
                <w:noProof/>
              </w:rPr>
              <w:t>88</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52B029"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3CBCE8"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27E9F8" w14:textId="77777777" w:rsidR="00154E32" w:rsidRDefault="00A43E04">
            <w:pPr>
              <w:pStyle w:val="P68B1DB1-Normal5"/>
              <w:spacing w:before="100" w:beforeAutospacing="1" w:after="120"/>
              <w:rPr>
                <w:noProof/>
              </w:rPr>
            </w:pPr>
            <w:r>
              <w:rPr>
                <w:noProof/>
              </w:rPr>
              <w:t>Povprečni čas med oddajo naročila in izgradnjo infrastrukture („fase esecutiva“) se skrajša za vsaj 12 %.</w:t>
            </w:r>
          </w:p>
        </w:tc>
      </w:tr>
      <w:tr w:rsidR="00154E32" w14:paraId="17EF5DAC"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986E6F" w14:textId="77777777" w:rsidR="00154E32" w:rsidRDefault="00A43E04">
            <w:pPr>
              <w:pStyle w:val="P68B1DB1-Normal5"/>
              <w:jc w:val="center"/>
              <w:rPr>
                <w:noProof/>
              </w:rPr>
            </w:pPr>
            <w:r>
              <w:rPr>
                <w:noProof/>
              </w:rPr>
              <w:t>M1C1–97a</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D165CD"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3B3C46"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83F1E4" w14:textId="77777777" w:rsidR="00154E32" w:rsidRDefault="00A43E04">
            <w:pPr>
              <w:pStyle w:val="P68B1DB1-Normal5"/>
              <w:jc w:val="center"/>
              <w:rPr>
                <w:noProof/>
              </w:rPr>
            </w:pPr>
            <w:r>
              <w:rPr>
                <w:noProof/>
              </w:rPr>
              <w:t>Povprečni čas med oddajo naročila in izgradnjo infrastrukture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E394F8"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D6B01B"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12ED69E" w14:textId="77777777" w:rsidR="00154E32" w:rsidRDefault="00A43E04">
            <w:pPr>
              <w:pStyle w:val="P68B1DB1-Normal5"/>
              <w:jc w:val="center"/>
              <w:rPr>
                <w:noProof/>
              </w:rPr>
            </w:pPr>
            <w:r>
              <w:rPr>
                <w:noProof/>
              </w:rPr>
              <w:t>100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EC714C" w14:textId="77777777" w:rsidR="00154E32" w:rsidRDefault="00A43E04">
            <w:pPr>
              <w:pStyle w:val="P68B1DB1-Normal5"/>
              <w:jc w:val="center"/>
              <w:rPr>
                <w:noProof/>
              </w:rPr>
            </w:pPr>
            <w:r>
              <w:rPr>
                <w:noProof/>
              </w:rPr>
              <w:t>85</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C33ADE"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B60A5A" w14:textId="77777777" w:rsidR="00154E32" w:rsidRDefault="00A43E04">
            <w:pPr>
              <w:pStyle w:val="P68B1DB1-Normal5"/>
              <w:jc w:val="center"/>
              <w:rPr>
                <w:noProof/>
              </w:rPr>
            </w:pPr>
            <w:r>
              <w:rPr>
                <w:noProof/>
              </w:rPr>
              <w:t>2025</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B7DEE9" w14:textId="77777777" w:rsidR="00154E32" w:rsidRDefault="00A43E04">
            <w:pPr>
              <w:pStyle w:val="P68B1DB1-Normal5"/>
              <w:spacing w:before="100" w:beforeAutospacing="1" w:after="120"/>
              <w:rPr>
                <w:noProof/>
              </w:rPr>
            </w:pPr>
            <w:r>
              <w:rPr>
                <w:noProof/>
              </w:rPr>
              <w:t>Povprečni čas med oddajo naročila in izgradnjo infrastrukture („fase esecutiva“) se skrajša za vsaj 15 %.</w:t>
            </w:r>
          </w:p>
        </w:tc>
      </w:tr>
      <w:tr w:rsidR="00154E32" w14:paraId="0C9E644D"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E95ED5" w14:textId="77777777" w:rsidR="00154E32" w:rsidRDefault="00A43E04">
            <w:pPr>
              <w:pStyle w:val="P68B1DB1-Normal5"/>
              <w:jc w:val="center"/>
              <w:rPr>
                <w:noProof/>
              </w:rPr>
            </w:pPr>
            <w:r>
              <w:rPr>
                <w:noProof/>
              </w:rPr>
              <w:t>M1C1–98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E7F8EF"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459D5A"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B245D6" w14:textId="77777777" w:rsidR="00154E32" w:rsidRDefault="00A43E04">
            <w:pPr>
              <w:pStyle w:val="P68B1DB1-Normal5"/>
              <w:jc w:val="center"/>
              <w:rPr>
                <w:noProof/>
              </w:rPr>
            </w:pPr>
            <w:r>
              <w:rPr>
                <w:noProof/>
              </w:rPr>
              <w:t>Javni uslužbenci, usposobljeni v okviru strategije za profesionalizacijo javnih kupcev</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82DE8CD"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48D3F1"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F7ABBB" w14:textId="77777777" w:rsidR="00154E32" w:rsidRDefault="00A43E04">
            <w:pPr>
              <w:pStyle w:val="P68B1DB1-Normal5"/>
              <w:jc w:val="center"/>
              <w:rPr>
                <w:noProof/>
              </w:rPr>
            </w:pPr>
            <w:r>
              <w:rPr>
                <w:noProof/>
              </w:rPr>
              <w:t>20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83DD0E" w14:textId="77777777" w:rsidR="00154E32" w:rsidRDefault="00A43E04">
            <w:pPr>
              <w:pStyle w:val="P68B1DB1-Normal5"/>
              <w:jc w:val="center"/>
              <w:rPr>
                <w:noProof/>
              </w:rPr>
            </w:pPr>
            <w:r>
              <w:rPr>
                <w:noProof/>
              </w:rPr>
              <w:t>40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C43DCD"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C83A18A"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D8EA39" w14:textId="7DBC39D8" w:rsidR="00154E32" w:rsidRDefault="00A43E04">
            <w:pPr>
              <w:pStyle w:val="P68B1DB1-Normal4"/>
              <w:spacing w:before="100" w:beforeAutospacing="1" w:after="120"/>
              <w:rPr>
                <w:noProof/>
                <w:color w:val="006100"/>
              </w:rPr>
            </w:pPr>
            <w:r>
              <w:rPr>
                <w:noProof/>
                <w:color w:val="006100"/>
              </w:rPr>
              <w:t>Vsaj 40 % javnih uslužbencev se je usposabljalo v okviru strategije za profesionalizacijo javnih kupcev, da bi pridobili kvalifikacije. Pri tem odstotku se upošteva skupno število javnih uslužbencev, ki dejavno sodelujejo pri javnem naročanju, tj. 100000 javnih kupcev, registriranih do 30. aprila 2021 v nacionalni sistem e-javnih naročil, ki ga upravlja Consip v imenu MEF.</w:t>
            </w:r>
          </w:p>
        </w:tc>
      </w:tr>
      <w:tr w:rsidR="00154E32" w14:paraId="0D97638B"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7A9E69" w14:textId="77777777" w:rsidR="00154E32" w:rsidRDefault="00A43E04">
            <w:pPr>
              <w:pStyle w:val="P68B1DB1-Normal5"/>
              <w:jc w:val="center"/>
              <w:rPr>
                <w:noProof/>
              </w:rPr>
            </w:pPr>
            <w:r>
              <w:rPr>
                <w:noProof/>
              </w:rPr>
              <w:t>M1C1–98a</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1C0414"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D53641"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8F1DEE" w14:textId="77777777" w:rsidR="00154E32" w:rsidRDefault="00A43E04">
            <w:pPr>
              <w:pStyle w:val="P68B1DB1-Normal5"/>
              <w:jc w:val="center"/>
              <w:rPr>
                <w:noProof/>
              </w:rPr>
            </w:pPr>
            <w:r>
              <w:rPr>
                <w:noProof/>
              </w:rPr>
              <w:t>Javni uslužbenci, usposobljeni v okviru strategije za profesionalizacijo javnih kupcev</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7BF46B"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85C639C"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661260" w14:textId="77777777" w:rsidR="00154E32" w:rsidRDefault="00A43E04">
            <w:pPr>
              <w:pStyle w:val="P68B1DB1-Normal5"/>
              <w:jc w:val="center"/>
              <w:rPr>
                <w:noProof/>
              </w:rPr>
            </w:pPr>
            <w:r>
              <w:rPr>
                <w:noProof/>
              </w:rPr>
              <w:t>20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DBE5FE" w14:textId="77777777" w:rsidR="00154E32" w:rsidRDefault="00A43E04">
            <w:pPr>
              <w:pStyle w:val="P68B1DB1-Normal5"/>
              <w:jc w:val="center"/>
              <w:rPr>
                <w:noProof/>
              </w:rPr>
            </w:pPr>
            <w:r>
              <w:rPr>
                <w:noProof/>
              </w:rPr>
              <w:t>60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134633"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78CEFE" w14:textId="77777777" w:rsidR="00154E32" w:rsidRDefault="00A43E04">
            <w:pPr>
              <w:pStyle w:val="P68B1DB1-Normal5"/>
              <w:jc w:val="center"/>
              <w:rPr>
                <w:noProof/>
              </w:rPr>
            </w:pPr>
            <w:r>
              <w:rPr>
                <w:noProof/>
              </w:rPr>
              <w:t>2025</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A9D685" w14:textId="695A22EC" w:rsidR="00154E32" w:rsidRDefault="00A43E04">
            <w:pPr>
              <w:pStyle w:val="P68B1DB1-Normal5"/>
              <w:spacing w:before="100" w:beforeAutospacing="1" w:after="120"/>
              <w:rPr>
                <w:noProof/>
              </w:rPr>
            </w:pPr>
            <w:r>
              <w:rPr>
                <w:noProof/>
              </w:rPr>
              <w:t>Vsaj 60 % javnih uslužbencev se je usposabljalo v okviru strategije za profesionalizacijo javnih kupcev, da bi pridobili kvalifikacije. Pri tem odstotku se upošteva skupno število javnih uslužbencev, ki dejavno sodelujejo pri javnem naročanju, tj. 100000 javnih kupcev, registriranih do 30. aprila 2021 v nacionalni sistem e-javnih naročil, ki ga upravlja Consip v imenu MEF.</w:t>
            </w:r>
          </w:p>
        </w:tc>
      </w:tr>
      <w:tr w:rsidR="00154E32" w14:paraId="0098BD0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D279F5" w14:textId="77777777" w:rsidR="00154E32" w:rsidRDefault="00A43E04">
            <w:pPr>
              <w:pStyle w:val="P68B1DB1-Normal5"/>
              <w:jc w:val="center"/>
              <w:rPr>
                <w:noProof/>
              </w:rPr>
            </w:pPr>
            <w:r>
              <w:rPr>
                <w:noProof/>
              </w:rPr>
              <w:t>M1C1–99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9D50CB" w14:textId="77777777" w:rsidR="00154E32" w:rsidRDefault="00A43E04">
            <w:pPr>
              <w:pStyle w:val="P68B1DB1-Normal5"/>
              <w:jc w:val="center"/>
              <w:rPr>
                <w:noProof/>
              </w:rPr>
            </w:pPr>
            <w:r>
              <w:rPr>
                <w:noProof/>
              </w:rPr>
              <w:t>Reforma 1.10: Reforma zakonodajnega okvira za javna naročila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315CB3"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BE40E1" w14:textId="77777777" w:rsidR="00154E32" w:rsidRDefault="00A43E04">
            <w:pPr>
              <w:pStyle w:val="P68B1DB1-Normal5"/>
              <w:jc w:val="center"/>
              <w:rPr>
                <w:noProof/>
              </w:rPr>
            </w:pPr>
            <w:r>
              <w:rPr>
                <w:noProof/>
              </w:rPr>
              <w:t>Javni naročniki, ki uporabljajo dinamične nabavne sisteme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CBC955" w14:textId="77777777" w:rsidR="00154E32" w:rsidRDefault="00A43E04">
            <w:pPr>
              <w:pStyle w:val="P68B1DB1-Normal5"/>
              <w:jc w:val="center"/>
              <w:rPr>
                <w:noProof/>
              </w:rPr>
            </w:pPr>
            <w:r>
              <w:rPr>
                <w:noProof/>
              </w:rPr>
              <w:t>Odstotek osrednjih vladnih naročnikov, ki uporabljajo dinamične nabavne sisteme v skladu z Direktivo 2014/24</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F7BAAB"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C0DE1B" w14:textId="77777777" w:rsidR="00154E32" w:rsidRDefault="00A43E04">
            <w:pPr>
              <w:pStyle w:val="P68B1DB1-Normal5"/>
              <w:jc w:val="center"/>
              <w:rPr>
                <w:noProof/>
              </w:rPr>
            </w:pPr>
            <w:r>
              <w:rPr>
                <w:noProof/>
              </w:rPr>
              <w:t>15</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157D2F" w14:textId="77777777" w:rsidR="00154E32" w:rsidRDefault="00A43E04">
            <w:pPr>
              <w:pStyle w:val="P68B1DB1-Normal5"/>
              <w:jc w:val="center"/>
              <w:rPr>
                <w:noProof/>
              </w:rPr>
            </w:pPr>
            <w:r>
              <w:rPr>
                <w:noProof/>
              </w:rPr>
              <w:t>20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7069EF"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9CEB51"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FC2EB5" w14:textId="77777777" w:rsidR="00154E32" w:rsidRDefault="00A43E04">
            <w:pPr>
              <w:pStyle w:val="P68B1DB1-Normal5"/>
              <w:spacing w:before="100" w:beforeAutospacing="1" w:after="120"/>
              <w:rPr>
                <w:noProof/>
              </w:rPr>
            </w:pPr>
            <w:r>
              <w:rPr>
                <w:noProof/>
              </w:rPr>
              <w:t>Vsaj 20 % javnih naročnikov uporablja dinamične nabavne sisteme v skladu z Direktivo 2014/24 (obdobje opazovanja dveh let in ob upoštevanju, da je v Italiji uporaba dinamičnih nabavnih sistemov usmerjena predvsem na nakupe nad pragom, saj se pod pragom večinoma izvajajo z uporabo e-tržnih mest). Cilj se nanaša na osrednje vladne naročnike (250 plačilnih agencij, kot so bile evidentirane 30. aprila 2021 v nacionalni sistem e-javnih naročil, ki ga upravlja Consip v imenu MEF).</w:t>
            </w:r>
          </w:p>
        </w:tc>
      </w:tr>
      <w:tr w:rsidR="00154E32" w14:paraId="43E61560"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97B4BD" w14:textId="77777777" w:rsidR="00154E32" w:rsidRDefault="00A43E04">
            <w:pPr>
              <w:pStyle w:val="P68B1DB1-Normal5"/>
              <w:jc w:val="center"/>
              <w:rPr>
                <w:noProof/>
              </w:rPr>
            </w:pPr>
            <w:r>
              <w:rPr>
                <w:noProof/>
              </w:rPr>
              <w:t>M1C1–99a</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FDADA6" w14:textId="77777777" w:rsidR="00154E32" w:rsidRDefault="00A43E04">
            <w:pPr>
              <w:pStyle w:val="P68B1DB1-Normal5"/>
              <w:jc w:val="center"/>
              <w:rPr>
                <w:noProof/>
              </w:rPr>
            </w:pPr>
            <w:r>
              <w:rPr>
                <w:noProof/>
              </w:rPr>
              <w:t>Reforma 1.10: Reforma zakonodajnega okvira za javna naročila</w:t>
            </w:r>
          </w:p>
          <w:p w14:paraId="4AFB8967" w14:textId="77777777" w:rsidR="00154E32" w:rsidRDefault="00154E32">
            <w:pPr>
              <w:jc w:val="center"/>
              <w:rPr>
                <w:rFonts w:ascii="Arial Narrow" w:hAnsi="Arial Narrow" w:cs="Arial"/>
                <w:noProof/>
                <w:color w:val="006100"/>
                <w:sz w:val="20"/>
              </w:rPr>
            </w:pPr>
          </w:p>
          <w:p w14:paraId="2ED314ED" w14:textId="77777777" w:rsidR="00154E32" w:rsidRDefault="00A43E04">
            <w:pPr>
              <w:pStyle w:val="P68B1DB1-Normal5"/>
              <w:jc w:val="center"/>
              <w:rPr>
                <w:noProof/>
              </w:rPr>
            </w:pPr>
            <w:r>
              <w:rPr>
                <w:noProof/>
              </w:rPr>
              <w:t>Naložba 1.10: Podpora kvalifikacijam in e-javnim naročilom</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D6A023"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CA48F7" w14:textId="77777777" w:rsidR="00154E32" w:rsidRDefault="00A43E04">
            <w:pPr>
              <w:pStyle w:val="P68B1DB1-Normal5"/>
              <w:jc w:val="center"/>
              <w:rPr>
                <w:noProof/>
              </w:rPr>
            </w:pPr>
            <w:r>
              <w:rPr>
                <w:noProof/>
              </w:rPr>
              <w:t xml:space="preserve">Digitalne kompetence javnih naročnikov </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5DF516" w14:textId="125A0AA3" w:rsidR="00154E32" w:rsidRDefault="00A43E04">
            <w:pPr>
              <w:pStyle w:val="P68B1DB1-Normal5"/>
              <w:jc w:val="center"/>
              <w:rPr>
                <w:noProof/>
              </w:rPr>
            </w:pPr>
            <w:r>
              <w:rPr>
                <w:noProof/>
              </w:rPr>
              <w:t>Delež organov lokalnih javnih naročnikov, ki so digitalno pristojni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90202A"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2EB690" w14:textId="77777777" w:rsidR="00154E32" w:rsidRDefault="00A43E04">
            <w:pPr>
              <w:pStyle w:val="P68B1DB1-Normal5"/>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1E7AD9" w14:textId="77777777" w:rsidR="00154E32" w:rsidRDefault="00A43E04">
            <w:pPr>
              <w:pStyle w:val="P68B1DB1-Normal5"/>
              <w:jc w:val="center"/>
              <w:rPr>
                <w:noProof/>
              </w:rPr>
            </w:pPr>
            <w:r>
              <w:rPr>
                <w:noProof/>
              </w:rPr>
              <w:t>50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5B83B7"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D8D5C0" w14:textId="77777777" w:rsidR="00154E32" w:rsidRDefault="00A43E04">
            <w:pPr>
              <w:pStyle w:val="P68B1DB1-Normal5"/>
              <w:jc w:val="center"/>
              <w:rPr>
                <w:noProof/>
              </w:rPr>
            </w:pPr>
            <w:r>
              <w:rPr>
                <w:noProof/>
              </w:rPr>
              <w:t>2025</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C9E76B" w14:textId="29207C3F" w:rsidR="00154E32" w:rsidRDefault="00A43E04">
            <w:pPr>
              <w:pStyle w:val="P68B1DB1-Normal5"/>
              <w:spacing w:before="100" w:beforeAutospacing="1" w:after="120"/>
              <w:jc w:val="center"/>
              <w:rPr>
                <w:noProof/>
              </w:rPr>
            </w:pPr>
            <w:r>
              <w:rPr>
                <w:noProof/>
              </w:rPr>
              <w:t>Vsaj 50 % lokalnih javnih naročnikov ima digitalne kompetence, ki jih zahteva kvalifikacija.</w:t>
            </w:r>
          </w:p>
          <w:p w14:paraId="498D1186" w14:textId="51344F6B" w:rsidR="00154E32" w:rsidRDefault="00A43E04">
            <w:pPr>
              <w:pStyle w:val="P68B1DB1-Normal5"/>
              <w:spacing w:before="100" w:beforeAutospacing="1" w:after="120"/>
              <w:rPr>
                <w:noProof/>
              </w:rPr>
            </w:pPr>
            <w:r>
              <w:rPr>
                <w:noProof/>
              </w:rPr>
              <w:t>Javni organi naročniki, ki izpolnjujejo iste zahteve prek centraliziranih nabavnih organov, se prav tako upoštevajo pri doseganju cilja.</w:t>
            </w:r>
          </w:p>
        </w:tc>
      </w:tr>
      <w:tr w:rsidR="00154E32" w14:paraId="1F820DAD"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9505F79" w14:textId="77777777" w:rsidR="00154E32" w:rsidRDefault="00A43E04">
            <w:pPr>
              <w:pStyle w:val="P68B1DB1-Normal5"/>
              <w:jc w:val="center"/>
              <w:rPr>
                <w:noProof/>
              </w:rPr>
            </w:pPr>
            <w:r>
              <w:rPr>
                <w:noProof/>
              </w:rPr>
              <w:t>M1C1–100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6B611F" w14:textId="77777777" w:rsidR="00154E32" w:rsidRDefault="00A43E04">
            <w:pPr>
              <w:pStyle w:val="P68B1DB1-Normal5"/>
              <w:jc w:val="center"/>
              <w:rPr>
                <w:noProof/>
              </w:rPr>
            </w:pPr>
            <w:r>
              <w:rPr>
                <w:noProof/>
              </w:rPr>
              <w:t>Reforma 1.13: Reforma okvira za pregled porabe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79DCFF"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1FEA7F" w14:textId="77777777" w:rsidR="00154E32" w:rsidRDefault="00A43E04">
            <w:pPr>
              <w:pStyle w:val="P68B1DB1-Normal5"/>
              <w:jc w:val="center"/>
              <w:rPr>
                <w:noProof/>
              </w:rPr>
            </w:pPr>
            <w:r>
              <w:rPr>
                <w:noProof/>
              </w:rPr>
              <w:t>Začetek veljavnosti zakonodajnih določb za izboljšanje učinkovitosti pregleda porabe – okrepitev ministrstva za finance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73C507" w14:textId="77777777" w:rsidR="00154E32" w:rsidRDefault="00A43E04">
            <w:pPr>
              <w:pStyle w:val="P68B1DB1-Normal5"/>
              <w:jc w:val="center"/>
              <w:rPr>
                <w:noProof/>
              </w:rPr>
            </w:pPr>
            <w:r>
              <w:rPr>
                <w:noProof/>
              </w:rPr>
              <w:t>Določba zakona o začetku veljavnosti zakona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5A94E8"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0F4952"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7C9BBE"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6F9067"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03AB17" w14:textId="77777777" w:rsidR="00154E32" w:rsidRDefault="00A43E04">
            <w:pPr>
              <w:pStyle w:val="P68B1DB1-Normal5"/>
              <w:jc w:val="center"/>
              <w:rPr>
                <w:noProof/>
              </w:rPr>
            </w:pPr>
            <w:r>
              <w:rPr>
                <w:noProof/>
              </w:rPr>
              <w:t>2021</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C76BDF" w14:textId="77777777" w:rsidR="00154E32" w:rsidRDefault="00A43E04">
            <w:pPr>
              <w:pStyle w:val="P68B1DB1-Normal5"/>
              <w:spacing w:before="100" w:beforeAutospacing="1" w:after="120"/>
              <w:rPr>
                <w:noProof/>
              </w:rPr>
            </w:pPr>
            <w:r>
              <w:rPr>
                <w:noProof/>
              </w:rPr>
              <w:t>Revidirani okvir za preglede porabe v osrednjih državnih upravah (ministrstva) bo izboljšal njegovo učinkovitost s krepitvijo vloge ministrstva za gospodarstvo in finance. Zlasti zagotavlja okrepljeno vlogo ministrstva za gospodarstvo in finance pri predhodnem vrednotenju, postopkih spremljanja in naknadnem vrednotenju, kar omogoča temeljito izvajanje pregledov in doseganje zastavljenih ciljev.</w:t>
            </w:r>
          </w:p>
        </w:tc>
      </w:tr>
      <w:tr w:rsidR="00154E32" w14:paraId="709C4259"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535A25" w14:textId="77777777" w:rsidR="00154E32" w:rsidRDefault="00A43E04">
            <w:pPr>
              <w:pStyle w:val="P68B1DB1-Normal5"/>
              <w:jc w:val="center"/>
              <w:rPr>
                <w:noProof/>
              </w:rPr>
            </w:pPr>
            <w:r>
              <w:rPr>
                <w:noProof/>
              </w:rPr>
              <w:t>M1C1–1001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B63567" w14:textId="77777777" w:rsidR="00154E32" w:rsidRDefault="00A43E04">
            <w:pPr>
              <w:pStyle w:val="P68B1DB1-Normal5"/>
              <w:jc w:val="center"/>
              <w:rPr>
                <w:noProof/>
              </w:rPr>
            </w:pPr>
            <w:r>
              <w:rPr>
                <w:noProof/>
              </w:rPr>
              <w:t>Reforma 1.12:</w:t>
            </w:r>
          </w:p>
          <w:p w14:paraId="142B82D8" w14:textId="77777777" w:rsidR="00154E32" w:rsidRDefault="00A43E04">
            <w:pPr>
              <w:pStyle w:val="P68B1DB1-Normal5"/>
              <w:jc w:val="center"/>
              <w:rPr>
                <w:noProof/>
              </w:rPr>
            </w:pPr>
            <w:r>
              <w:rPr>
                <w:noProof/>
              </w:rPr>
              <w:t>Reforma davčne uprave</w:t>
            </w:r>
          </w:p>
          <w:p w14:paraId="64474473" w14:textId="77777777" w:rsidR="00154E32" w:rsidRDefault="00154E32">
            <w:pPr>
              <w:jc w:val="center"/>
              <w:rPr>
                <w:rFonts w:ascii="Arial Narrow" w:hAnsi="Arial Narrow" w:cs="Arial"/>
                <w:noProof/>
                <w:color w:val="006100"/>
                <w:sz w:val="20"/>
              </w:rPr>
            </w:pP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19E185"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ED7AD2" w14:textId="77777777" w:rsidR="00154E32" w:rsidRDefault="00A43E04">
            <w:pPr>
              <w:pStyle w:val="P68B1DB1-Normal5"/>
              <w:jc w:val="center"/>
              <w:rPr>
                <w:noProof/>
              </w:rPr>
            </w:pPr>
            <w:r>
              <w:rPr>
                <w:noProof/>
              </w:rPr>
              <w:t>Sprejetje pregleda možnih ukrepov za zmanjšanje davčnih utaj</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8D730D" w14:textId="77777777" w:rsidR="00154E32" w:rsidRDefault="00A43E04">
            <w:pPr>
              <w:pStyle w:val="P68B1DB1-Normal5"/>
              <w:jc w:val="center"/>
              <w:rPr>
                <w:noProof/>
              </w:rPr>
            </w:pPr>
            <w:r>
              <w:rPr>
                <w:noProof/>
              </w:rPr>
              <w:t>Objava pregleda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838C5E"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ACD966"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1D036F"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1989F2"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CDF3D6" w14:textId="77777777" w:rsidR="00154E32" w:rsidRDefault="00A43E04">
            <w:pPr>
              <w:pStyle w:val="P68B1DB1-Normal5"/>
              <w:jc w:val="center"/>
              <w:rPr>
                <w:noProof/>
              </w:rPr>
            </w:pPr>
            <w:r>
              <w:rPr>
                <w:noProof/>
              </w:rPr>
              <w:t>2021</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103A60" w14:textId="77777777" w:rsidR="00154E32" w:rsidRDefault="00A43E04">
            <w:pPr>
              <w:pStyle w:val="P68B1DB1-Normal5"/>
              <w:spacing w:before="100" w:beforeAutospacing="1" w:after="120"/>
              <w:rPr>
                <w:noProof/>
              </w:rPr>
            </w:pPr>
            <w:r>
              <w:rPr>
                <w:noProof/>
              </w:rPr>
              <w:t>Sprejeti poročilo, ki bo podlaga vladnim ukrepom za zmanjšanje davčnih utaj zaradi opustitve izdajanja računov, zlasti v sektorjih, ki so najbolj izpostavljeni davčnim utajam, tudi s ciljno usmerjenimi spodbudami za potrošnike.</w:t>
            </w:r>
          </w:p>
        </w:tc>
      </w:tr>
      <w:tr w:rsidR="00154E32" w14:paraId="26C5D416"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5AA497E" w14:textId="77777777" w:rsidR="00154E32" w:rsidRDefault="00A43E04">
            <w:pPr>
              <w:pStyle w:val="P68B1DB1-Normal5"/>
              <w:jc w:val="center"/>
              <w:rPr>
                <w:noProof/>
              </w:rPr>
            </w:pPr>
            <w:r>
              <w:rPr>
                <w:noProof/>
              </w:rPr>
              <w:t>M1C1–102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D235AC" w14:textId="77777777" w:rsidR="00154E32" w:rsidRDefault="00A43E04">
            <w:pPr>
              <w:pStyle w:val="P68B1DB1-Normal5"/>
              <w:jc w:val="center"/>
              <w:rPr>
                <w:noProof/>
              </w:rPr>
            </w:pPr>
            <w:r>
              <w:rPr>
                <w:noProof/>
              </w:rPr>
              <w:t>Reforma 1.13: Reforma okvira za pregled porabe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61EB96"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97CD1B" w14:textId="77777777" w:rsidR="00154E32" w:rsidRDefault="00A43E04">
            <w:pPr>
              <w:pStyle w:val="P68B1DB1-Normal5"/>
              <w:jc w:val="center"/>
              <w:rPr>
                <w:noProof/>
              </w:rPr>
            </w:pPr>
            <w:r>
              <w:rPr>
                <w:noProof/>
              </w:rPr>
              <w:t>Sprejetje poročila o učinkovitosti praks, ki jih izbrane javne uprave uporabljajo za oblikovanje in izvajanje načrtov varčevanja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8A46923" w14:textId="77777777" w:rsidR="00154E32" w:rsidRDefault="00A43E04">
            <w:pPr>
              <w:pStyle w:val="P68B1DB1-Normal5"/>
              <w:jc w:val="center"/>
              <w:rPr>
                <w:noProof/>
              </w:rPr>
            </w:pPr>
            <w:r>
              <w:rPr>
                <w:noProof/>
              </w:rPr>
              <w:t>Objava poročila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6245F3"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2233C6"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290B1E"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9C7615"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6AEAF5" w14:textId="77777777" w:rsidR="00154E32" w:rsidRDefault="00A43E04">
            <w:pPr>
              <w:pStyle w:val="P68B1DB1-Normal5"/>
              <w:jc w:val="center"/>
              <w:rPr>
                <w:noProof/>
              </w:rPr>
            </w:pPr>
            <w:r>
              <w:rPr>
                <w:noProof/>
              </w:rPr>
              <w:t>2022</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C47EFD" w14:textId="77777777" w:rsidR="00154E32" w:rsidRDefault="00A43E04">
            <w:pPr>
              <w:pStyle w:val="P68B1DB1-Normal5"/>
              <w:spacing w:before="100" w:beforeAutospacing="1" w:after="120"/>
              <w:rPr>
                <w:noProof/>
              </w:rPr>
            </w:pPr>
            <w:r>
              <w:rPr>
                <w:noProof/>
              </w:rPr>
              <w:t>Poročilo pripravi oddelek za računovodstvo ministrstva za finance v sodelovanju z izbranimi upravami, da:</w:t>
            </w:r>
          </w:p>
          <w:p w14:paraId="29487C6A" w14:textId="77777777" w:rsidR="00154E32" w:rsidRDefault="00A43E04">
            <w:pPr>
              <w:pStyle w:val="P68B1DB1-ListParagraph6"/>
              <w:numPr>
                <w:ilvl w:val="0"/>
                <w:numId w:val="76"/>
              </w:numPr>
              <w:ind w:left="324" w:hanging="283"/>
              <w:jc w:val="left"/>
              <w:rPr>
                <w:noProof/>
              </w:rPr>
            </w:pPr>
            <w:r>
              <w:rPr>
                <w:noProof/>
              </w:rPr>
              <w:t>Ocenijo svoje prakse pri oblikovanju in izvajanju načrtov varčevanja.</w:t>
            </w:r>
          </w:p>
          <w:p w14:paraId="5CD9B371" w14:textId="77777777" w:rsidR="00154E32" w:rsidRDefault="00A43E04">
            <w:pPr>
              <w:pStyle w:val="P68B1DB1-ListParagraph6"/>
              <w:numPr>
                <w:ilvl w:val="0"/>
                <w:numId w:val="76"/>
              </w:numPr>
              <w:ind w:left="324" w:hanging="283"/>
              <w:jc w:val="left"/>
              <w:rPr>
                <w:noProof/>
              </w:rPr>
            </w:pPr>
            <w:r>
              <w:rPr>
                <w:noProof/>
              </w:rPr>
              <w:t>Opredelitev smernic za vse javne uprave.</w:t>
            </w:r>
          </w:p>
        </w:tc>
      </w:tr>
      <w:tr w:rsidR="00154E32" w14:paraId="0D98A4FF"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662843" w14:textId="77777777" w:rsidR="00154E32" w:rsidRDefault="00A43E04">
            <w:pPr>
              <w:pStyle w:val="P68B1DB1-Normal5"/>
              <w:jc w:val="center"/>
              <w:rPr>
                <w:noProof/>
              </w:rPr>
            </w:pPr>
            <w:r>
              <w:rPr>
                <w:noProof/>
              </w:rPr>
              <w:t>M1C1–1003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2344C5" w14:textId="77777777" w:rsidR="00154E32" w:rsidRDefault="00A43E04">
            <w:pPr>
              <w:pStyle w:val="P68B1DB1-Normal5"/>
              <w:jc w:val="center"/>
              <w:rPr>
                <w:noProof/>
              </w:rPr>
            </w:pPr>
            <w:r>
              <w:rPr>
                <w:noProof/>
              </w:rPr>
              <w:t>Reforma 1.12: Reforma davčne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11F668"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26E082" w14:textId="77777777" w:rsidR="00154E32" w:rsidRDefault="00A43E04">
            <w:pPr>
              <w:pStyle w:val="P68B1DB1-Normal5"/>
              <w:jc w:val="center"/>
              <w:rPr>
                <w:noProof/>
              </w:rPr>
            </w:pPr>
            <w:r>
              <w:rPr>
                <w:noProof/>
              </w:rPr>
              <w:t>Začetek veljavnosti primarne in sekundarne zakonodaje in regulativnih določb ter dokončanje upravnih postopkov za spodbujanje izpolnjevanja davčnih obveznosti ter izboljšanje revizij in kontrol</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7F8C3C" w14:textId="77777777" w:rsidR="00154E32" w:rsidRDefault="00A43E04">
            <w:pPr>
              <w:pStyle w:val="P68B1DB1-Normal5"/>
              <w:jc w:val="center"/>
              <w:rPr>
                <w:noProof/>
              </w:rPr>
            </w:pPr>
            <w:r>
              <w:rPr>
                <w:noProof/>
              </w:rPr>
              <w:t>Določbe zakonov in drugih predpisov, ki označujejo začetek veljavnosti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338554"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8ED5D0"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AD4E6C"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A67878"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68A1BB" w14:textId="77777777" w:rsidR="00154E32" w:rsidRDefault="00A43E04">
            <w:pPr>
              <w:pStyle w:val="P68B1DB1-Normal5"/>
              <w:jc w:val="center"/>
              <w:rPr>
                <w:noProof/>
              </w:rPr>
            </w:pPr>
            <w:r>
              <w:rPr>
                <w:noProof/>
              </w:rPr>
              <w:t>2022</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1172CD" w14:textId="77777777" w:rsidR="00154E32" w:rsidRDefault="00A43E04">
            <w:pPr>
              <w:pStyle w:val="P68B1DB1-Normal5"/>
              <w:spacing w:after="120"/>
              <w:rPr>
                <w:noProof/>
              </w:rPr>
            </w:pPr>
            <w:r>
              <w:rPr>
                <w:noProof/>
              </w:rPr>
              <w:t>Določbe vključujejo:</w:t>
            </w:r>
          </w:p>
          <w:p w14:paraId="686E0394" w14:textId="77777777" w:rsidR="00154E32" w:rsidRDefault="00A43E04">
            <w:pPr>
              <w:pStyle w:val="P68B1DB1-Normal5"/>
              <w:spacing w:after="120"/>
              <w:rPr>
                <w:noProof/>
              </w:rPr>
            </w:pPr>
            <w:r>
              <w:rPr>
                <w:noProof/>
              </w:rPr>
              <w:t>I) popolna operacionalizacija podatkovne zbirke in namenske infrastrukture IT za objavo predhodno izpolnjenega obračuna DDV, kot je določeno v členu 4(1) zakonodajnega odloka št. 127/2015.</w:t>
            </w:r>
          </w:p>
          <w:p w14:paraId="5F8C2E30" w14:textId="77777777" w:rsidR="00154E32" w:rsidRDefault="00A43E04">
            <w:pPr>
              <w:pStyle w:val="P68B1DB1-Normal5"/>
              <w:spacing w:after="120"/>
              <w:rPr>
                <w:noProof/>
              </w:rPr>
            </w:pPr>
            <w:r>
              <w:rPr>
                <w:noProof/>
              </w:rPr>
              <w:t>(II) podatkovna zbirka, ki se uporablja za „pise o skladnosti“ (za zgodnje obveščanje davkoplačevalcev, za katere se odkrijejo nepravilnosti), je okrepljena, da bi se zmanjšalo število lažno pozitivnih sporočil in povečalo število sporočil, poslanih davkoplačevalcem.</w:t>
            </w:r>
          </w:p>
          <w:p w14:paraId="1FD4D715" w14:textId="77777777" w:rsidR="00154E32" w:rsidRDefault="00A43E04">
            <w:pPr>
              <w:pStyle w:val="P68B1DB1-Normal5"/>
              <w:spacing w:after="120"/>
              <w:rPr>
                <w:noProof/>
              </w:rPr>
            </w:pPr>
            <w:r>
              <w:rPr>
                <w:noProof/>
              </w:rPr>
              <w:t>(III) Začetek veljavnosti reformirane zakonodaje za zagotovitev učinkovitih upravnih sankcij v primeru zavrnitve zasebnih ponudnikov, da sprejmejo elektronska plačila (prvotni člen 23 uredbe-zakona št. 124/2019, ki je bil razveljavljen po preoblikovanju v zakon, predstavlja sklic).</w:t>
            </w:r>
          </w:p>
          <w:p w14:paraId="434C0CD5" w14:textId="77777777" w:rsidR="00154E32" w:rsidRDefault="00A43E04">
            <w:pPr>
              <w:pStyle w:val="P68B1DB1-Normal5"/>
              <w:spacing w:after="120"/>
              <w:rPr>
                <w:noProof/>
              </w:rPr>
            </w:pPr>
            <w:r>
              <w:rPr>
                <w:noProof/>
              </w:rPr>
              <w:t>(IV) Dokončanje postopka psevdonimizacije podatkov iz odstavkov 681–686 člena 1 zakona št. 160/2019 in vzpostavitev digitalne infrastrukture za analizo velepodatkov, ustvarjenih z interoperabilnostjo v celoti psevdonimiziranih podatkovnih zbirk, da bi se povečala učinkovitost analize tveganja, na kateri temelji izbirni postopek.</w:t>
            </w:r>
          </w:p>
          <w:p w14:paraId="579516CD" w14:textId="77777777" w:rsidR="00154E32" w:rsidRDefault="00A43E04">
            <w:pPr>
              <w:pStyle w:val="P68B1DB1-Normal5"/>
              <w:spacing w:after="120"/>
              <w:rPr>
                <w:noProof/>
              </w:rPr>
            </w:pPr>
            <w:r>
              <w:rPr>
                <w:noProof/>
              </w:rPr>
              <w:t>(v) Začetek veljavnosti primarne in sekundarne zakonodaje, s katero se izvajajo dodatni učinkoviti ukrepi na podlagi ugotovitev pregleda možnih ukrepov za zmanjšanje davčnih utaj zaradi opustitve izdajanja računov.</w:t>
            </w:r>
          </w:p>
        </w:tc>
      </w:tr>
      <w:tr w:rsidR="00154E32" w14:paraId="2293823B"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FE7B0B" w14:textId="77777777" w:rsidR="00154E32" w:rsidRDefault="00A43E04">
            <w:pPr>
              <w:pStyle w:val="P68B1DB1-Normal5"/>
              <w:jc w:val="center"/>
              <w:rPr>
                <w:noProof/>
              </w:rPr>
            </w:pPr>
            <w:r>
              <w:rPr>
                <w:noProof/>
              </w:rPr>
              <w:t>M1C1–104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C31582" w14:textId="77777777" w:rsidR="00154E32" w:rsidRDefault="00A43E04">
            <w:pPr>
              <w:pStyle w:val="P68B1DB1-Normal5"/>
              <w:jc w:val="center"/>
              <w:rPr>
                <w:noProof/>
              </w:rPr>
            </w:pPr>
            <w:r>
              <w:rPr>
                <w:noProof/>
              </w:rPr>
              <w:t>Reforma 1.13: Reforma okvira za pregled porabe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1D0521"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5A81DA" w14:textId="77777777" w:rsidR="00154E32" w:rsidRDefault="00A43E04">
            <w:pPr>
              <w:pStyle w:val="P68B1DB1-Normal5"/>
              <w:jc w:val="center"/>
              <w:rPr>
                <w:noProof/>
              </w:rPr>
            </w:pPr>
            <w:r>
              <w:rPr>
                <w:noProof/>
              </w:rPr>
              <w:t>Sprejetje ciljev glede prihrankov za preglede porabe za obdobje 2023–2025</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34713E" w14:textId="77777777" w:rsidR="00154E32" w:rsidRDefault="00A43E04">
            <w:pPr>
              <w:pStyle w:val="P68B1DB1-Normal5"/>
              <w:jc w:val="center"/>
              <w:rPr>
                <w:noProof/>
              </w:rPr>
            </w:pPr>
            <w:r>
              <w:rPr>
                <w:noProof/>
              </w:rPr>
              <w:t>Količinski cilj varčevanja za skupne centralne državne uprave, opredeljen v dokumentu o gospodarstvu in financah – v eurih</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0E94AD6"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E8E28F"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487A97"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93C966"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A22006" w14:textId="77777777" w:rsidR="00154E32" w:rsidRDefault="00A43E04">
            <w:pPr>
              <w:pStyle w:val="P68B1DB1-Normal5"/>
              <w:jc w:val="center"/>
              <w:rPr>
                <w:noProof/>
              </w:rPr>
            </w:pPr>
            <w:r>
              <w:rPr>
                <w:noProof/>
              </w:rPr>
              <w:t>2022</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B37B72" w14:textId="77777777" w:rsidR="00154E32" w:rsidRDefault="00A43E04">
            <w:pPr>
              <w:pStyle w:val="P68B1DB1-Normal5"/>
              <w:spacing w:before="100" w:beforeAutospacing="1" w:after="120"/>
              <w:rPr>
                <w:noProof/>
              </w:rPr>
            </w:pPr>
            <w:r>
              <w:rPr>
                <w:noProof/>
              </w:rPr>
              <w:t>Na podlagi uredb-zakonov 90 in 93 iz leta 2016 ter zakona 163/2016 so bili v ekonomskem finančnem dokumentu določeni cilji za letne preglede porabe za skupne centralne državne uprave za leta 2023, 2024 in 2025. Cilji varčevanja odražajo ustrezno raven ambicij.</w:t>
            </w:r>
          </w:p>
        </w:tc>
      </w:tr>
      <w:tr w:rsidR="00154E32" w14:paraId="48C54B58"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F7E5A8" w14:textId="77777777" w:rsidR="00154E32" w:rsidRDefault="00A43E04">
            <w:pPr>
              <w:pStyle w:val="P68B1DB1-Normal5"/>
              <w:jc w:val="center"/>
              <w:rPr>
                <w:noProof/>
              </w:rPr>
            </w:pPr>
            <w:r>
              <w:rPr>
                <w:noProof/>
              </w:rPr>
              <w:t>M1C1–005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3217CD" w14:textId="77777777" w:rsidR="00154E32" w:rsidRDefault="00A43E04">
            <w:pPr>
              <w:pStyle w:val="P68B1DB1-Normal5"/>
              <w:jc w:val="center"/>
              <w:rPr>
                <w:noProof/>
              </w:rPr>
            </w:pPr>
            <w:r>
              <w:rPr>
                <w:noProof/>
              </w:rPr>
              <w:t>Reforma 1.12: Reforma davčne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C7EF0A"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2A04C3" w14:textId="77777777" w:rsidR="00154E32" w:rsidRDefault="00A43E04">
            <w:pPr>
              <w:pStyle w:val="P68B1DB1-Normal5"/>
              <w:jc w:val="center"/>
              <w:rPr>
                <w:noProof/>
              </w:rPr>
            </w:pPr>
            <w:r>
              <w:rPr>
                <w:noProof/>
              </w:rPr>
              <w:t>Večje število „pisem o skladnosti“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05742D"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469E54" w14:textId="77777777" w:rsidR="00154E32" w:rsidRDefault="00A43E04">
            <w:pPr>
              <w:pStyle w:val="P68B1DB1-Normal5"/>
              <w:jc w:val="center"/>
              <w:rPr>
                <w:noProof/>
              </w:rPr>
            </w:pPr>
            <w:r>
              <w:rPr>
                <w:noProof/>
              </w:rPr>
              <w:t>Število</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34D2A6" w14:textId="27DD306F" w:rsidR="00154E32" w:rsidRDefault="00A43E04">
            <w:pPr>
              <w:pStyle w:val="P68B1DB1-Normal5"/>
              <w:jc w:val="center"/>
              <w:rPr>
                <w:noProof/>
              </w:rPr>
            </w:pPr>
            <w:r>
              <w:rPr>
                <w:noProof/>
              </w:rPr>
              <w:t>2 150 908</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81E922" w14:textId="4595621E" w:rsidR="00154E32" w:rsidRDefault="00A43E04">
            <w:pPr>
              <w:pStyle w:val="P68B1DB1-Normal5"/>
              <w:jc w:val="center"/>
              <w:rPr>
                <w:noProof/>
              </w:rPr>
            </w:pPr>
            <w:r>
              <w:rPr>
                <w:noProof/>
              </w:rPr>
              <w:t>2 581 090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D98FBD"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6C0157" w14:textId="77777777" w:rsidR="00154E32" w:rsidRDefault="00A43E04">
            <w:pPr>
              <w:pStyle w:val="P68B1DB1-Normal5"/>
              <w:jc w:val="center"/>
              <w:rPr>
                <w:noProof/>
              </w:rPr>
            </w:pPr>
            <w:r>
              <w:rPr>
                <w:noProof/>
              </w:rPr>
              <w:t>2022</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67C4739" w14:textId="77777777" w:rsidR="00154E32" w:rsidRDefault="00A43E04">
            <w:pPr>
              <w:pStyle w:val="P68B1DB1-Normal5"/>
              <w:spacing w:before="100" w:beforeAutospacing="1" w:after="120"/>
              <w:rPr>
                <w:noProof/>
              </w:rPr>
            </w:pPr>
            <w:r>
              <w:rPr>
                <w:noProof/>
              </w:rPr>
              <w:t>Število „pisov o skladnosti“, ki zagotavljajo zgodnje obveščanje davčnih zavezancev, za katere so bile ugotovljene nepravilnosti, se v primerjavi z letom 2019 poveča za vsaj 20 %.</w:t>
            </w:r>
          </w:p>
        </w:tc>
      </w:tr>
      <w:tr w:rsidR="00154E32" w14:paraId="18BADCD4"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E84F8D" w14:textId="77777777" w:rsidR="00154E32" w:rsidRDefault="00A43E04">
            <w:pPr>
              <w:pStyle w:val="P68B1DB1-Normal5"/>
              <w:jc w:val="center"/>
              <w:rPr>
                <w:noProof/>
              </w:rPr>
            </w:pPr>
            <w:r>
              <w:rPr>
                <w:noProof/>
              </w:rPr>
              <w:t>M1C1–106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40B33C" w14:textId="77777777" w:rsidR="00154E32" w:rsidRDefault="00A43E04">
            <w:pPr>
              <w:pStyle w:val="P68B1DB1-Normal5"/>
              <w:jc w:val="center"/>
              <w:rPr>
                <w:noProof/>
              </w:rPr>
            </w:pPr>
            <w:r>
              <w:rPr>
                <w:noProof/>
              </w:rPr>
              <w:t>Reforma 1.12: Reforma davčne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28C48F"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0991E4" w14:textId="77777777" w:rsidR="00154E32" w:rsidRDefault="00A43E04">
            <w:pPr>
              <w:pStyle w:val="P68B1DB1-Normal5"/>
              <w:jc w:val="center"/>
              <w:rPr>
                <w:noProof/>
              </w:rPr>
            </w:pPr>
            <w:r>
              <w:rPr>
                <w:noProof/>
              </w:rPr>
              <w:t>Zmanjšanje števila lažno pozitivnih črk „skladnosti“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2EBFE7"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84E639" w14:textId="77777777" w:rsidR="00154E32" w:rsidRDefault="00A43E04">
            <w:pPr>
              <w:pStyle w:val="P68B1DB1-Normal5"/>
              <w:jc w:val="center"/>
              <w:rPr>
                <w:noProof/>
              </w:rPr>
            </w:pPr>
            <w:r>
              <w:rPr>
                <w:noProof/>
              </w:rPr>
              <w:t>Število</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80E25D" w14:textId="0A83ACDB" w:rsidR="00154E32" w:rsidRDefault="00A43E04">
            <w:pPr>
              <w:pStyle w:val="P68B1DB1-Normal5"/>
              <w:jc w:val="center"/>
              <w:rPr>
                <w:noProof/>
              </w:rPr>
            </w:pPr>
            <w:r>
              <w:rPr>
                <w:noProof/>
              </w:rPr>
              <w:t>126 500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78D277" w14:textId="09A7B171" w:rsidR="00154E32" w:rsidRDefault="00A43E04">
            <w:pPr>
              <w:pStyle w:val="P68B1DB1-Normal5"/>
              <w:jc w:val="center"/>
              <w:rPr>
                <w:noProof/>
              </w:rPr>
            </w:pPr>
            <w:r>
              <w:rPr>
                <w:noProof/>
              </w:rPr>
              <w:t>132 825</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22F006A"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2FAC8B" w14:textId="77777777" w:rsidR="00154E32" w:rsidRDefault="00A43E04">
            <w:pPr>
              <w:pStyle w:val="P68B1DB1-Normal5"/>
              <w:jc w:val="center"/>
              <w:rPr>
                <w:noProof/>
              </w:rPr>
            </w:pPr>
            <w:r>
              <w:rPr>
                <w:noProof/>
              </w:rPr>
              <w:t>2022</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FAEF4B" w14:textId="77777777" w:rsidR="00154E32" w:rsidRDefault="00A43E04">
            <w:pPr>
              <w:pStyle w:val="P68B1DB1-Normal5"/>
              <w:spacing w:before="100" w:beforeAutospacing="1" w:after="120"/>
              <w:rPr>
                <w:noProof/>
              </w:rPr>
            </w:pPr>
            <w:r>
              <w:rPr>
                <w:noProof/>
              </w:rPr>
              <w:t>Število lažno pozitivnih „pisov o skladnosti“ (ki zagotavljajo zgodnje obveščanje davkoplačevalcev, za katere so bile ugotovljene nepravilnosti, vendar v zvezi s katerimi se naknadno ne odkrijejo goljufije) se zmanjša za vsaj 5 % glede na leto 2019.</w:t>
            </w:r>
          </w:p>
        </w:tc>
      </w:tr>
      <w:tr w:rsidR="00154E32" w14:paraId="7CD23B89"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B664F1" w14:textId="77777777" w:rsidR="00154E32" w:rsidRDefault="00A43E04">
            <w:pPr>
              <w:pStyle w:val="P68B1DB1-Normal5"/>
              <w:jc w:val="center"/>
              <w:rPr>
                <w:noProof/>
              </w:rPr>
            </w:pPr>
            <w:r>
              <w:rPr>
                <w:noProof/>
              </w:rPr>
              <w:t>M1C1–107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4B46AC" w14:textId="77777777" w:rsidR="00154E32" w:rsidRDefault="00A43E04">
            <w:pPr>
              <w:pStyle w:val="P68B1DB1-Normal5"/>
              <w:jc w:val="center"/>
              <w:rPr>
                <w:noProof/>
              </w:rPr>
            </w:pPr>
            <w:r>
              <w:rPr>
                <w:noProof/>
              </w:rPr>
              <w:t>Reforma 1.12: Reforma davčne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DE2F526"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E38347" w14:textId="77777777" w:rsidR="00154E32" w:rsidRDefault="00A43E04">
            <w:pPr>
              <w:pStyle w:val="P68B1DB1-Normal5"/>
              <w:jc w:val="center"/>
              <w:rPr>
                <w:noProof/>
              </w:rPr>
            </w:pPr>
            <w:r>
              <w:rPr>
                <w:noProof/>
              </w:rPr>
              <w:t>Povečanje davčnih prihodkov, ustvarjenih z „pismi o skladnosti“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3017C8"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0D1717" w14:textId="77777777" w:rsidR="00154E32" w:rsidRDefault="00A43E04">
            <w:pPr>
              <w:pStyle w:val="P68B1DB1-Normal5"/>
              <w:jc w:val="center"/>
              <w:rPr>
                <w:noProof/>
              </w:rPr>
            </w:pPr>
            <w:r>
              <w:rPr>
                <w:noProof/>
              </w:rPr>
              <w:t>Euro</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3BB97B" w14:textId="04E8BBE9" w:rsidR="00154E32" w:rsidRDefault="00A43E04">
            <w:pPr>
              <w:pStyle w:val="P68B1DB1-Normal5"/>
              <w:jc w:val="center"/>
              <w:rPr>
                <w:noProof/>
              </w:rPr>
            </w:pPr>
            <w:r>
              <w:rPr>
                <w:noProof/>
              </w:rPr>
              <w:t>2 130 000 000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475B48" w14:textId="774BF37B" w:rsidR="00154E32" w:rsidRDefault="00A43E04">
            <w:pPr>
              <w:pStyle w:val="P68B1DB1-Normal5"/>
              <w:jc w:val="center"/>
              <w:rPr>
                <w:noProof/>
              </w:rPr>
            </w:pPr>
            <w:r>
              <w:rPr>
                <w:noProof/>
              </w:rPr>
              <w:t>2 449 500 000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C85AA74"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E9010D" w14:textId="77777777" w:rsidR="00154E32" w:rsidRDefault="00A43E04">
            <w:pPr>
              <w:pStyle w:val="P68B1DB1-Normal5"/>
              <w:jc w:val="center"/>
              <w:rPr>
                <w:noProof/>
              </w:rPr>
            </w:pPr>
            <w:r>
              <w:rPr>
                <w:noProof/>
              </w:rPr>
              <w:t>2022</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DA328D" w14:textId="77777777" w:rsidR="00154E32" w:rsidRDefault="00A43E04">
            <w:pPr>
              <w:pStyle w:val="P68B1DB1-Normal5"/>
              <w:spacing w:before="100" w:beforeAutospacing="1" w:after="120"/>
              <w:rPr>
                <w:noProof/>
              </w:rPr>
            </w:pPr>
            <w:r>
              <w:rPr>
                <w:noProof/>
              </w:rPr>
              <w:t>Davčni prihodki, ustvarjeni z „dopisi o skladnosti“, se povečajo za 15 % glede na leto 2019.</w:t>
            </w:r>
          </w:p>
        </w:tc>
      </w:tr>
      <w:tr w:rsidR="00154E32" w14:paraId="6D048708"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4301C3" w14:textId="77777777" w:rsidR="00154E32" w:rsidRDefault="00A43E04">
            <w:pPr>
              <w:pStyle w:val="P68B1DB1-Normal5"/>
              <w:jc w:val="center"/>
              <w:rPr>
                <w:noProof/>
              </w:rPr>
            </w:pPr>
            <w:r>
              <w:rPr>
                <w:noProof/>
              </w:rPr>
              <w:t>M1C1–108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A76D95" w14:textId="77777777" w:rsidR="00154E32" w:rsidRDefault="00A43E04">
            <w:pPr>
              <w:pStyle w:val="P68B1DB1-Normal5"/>
              <w:jc w:val="center"/>
              <w:rPr>
                <w:noProof/>
              </w:rPr>
            </w:pPr>
            <w:r>
              <w:rPr>
                <w:noProof/>
              </w:rPr>
              <w:t>Reforma 1.15: Reforma pravil javnega računovodstva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23BB82"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DD1D8D" w14:textId="77777777" w:rsidR="00154E32" w:rsidRDefault="00A43E04">
            <w:pPr>
              <w:pStyle w:val="P68B1DB1-Normal5"/>
              <w:jc w:val="center"/>
              <w:rPr>
                <w:noProof/>
              </w:rPr>
            </w:pPr>
            <w:r>
              <w:rPr>
                <w:noProof/>
              </w:rPr>
              <w:t>Odobritev temeljnega okvira, sklopa računovodskih standardov na podlagi nastanka poslovnega dogodka in večdimenzionalnega kontnega načrta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C39452" w14:textId="77777777" w:rsidR="00154E32" w:rsidRDefault="00A43E04">
            <w:pPr>
              <w:pStyle w:val="P68B1DB1-Normal5"/>
              <w:jc w:val="center"/>
              <w:rPr>
                <w:noProof/>
              </w:rPr>
            </w:pPr>
            <w:r>
              <w:rPr>
                <w:noProof/>
              </w:rPr>
              <w:t>Sklep oddelka za računovodstvo Ministrstva za finance o odobritvi strukture upravljanja računovodstva na podlagi nastanka poslovnega dogodka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1DEF6C"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76CFB6"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30B4BE9"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6C1ED5"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E7AE84"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1ECF53" w14:textId="77777777" w:rsidR="00154E32" w:rsidRDefault="00A43E04">
            <w:pPr>
              <w:pStyle w:val="P68B1DB1-Normal4"/>
              <w:spacing w:before="100" w:beforeAutospacing="1" w:after="120"/>
              <w:rPr>
                <w:noProof/>
                <w:color w:val="006100"/>
              </w:rPr>
            </w:pPr>
            <w:r>
              <w:rPr>
                <w:noProof/>
                <w:color w:val="006100"/>
              </w:rPr>
              <w:t>Dokončanje konceptualnega okvira kot referenčnega okvira za sistem računovodstva na podlagi nastanka poslovnega dogodka v skladu s kvalitativnimi značilnostmi, ki jih je opredelil Eurostat (delovna skupina EPSO);</w:t>
            </w:r>
            <w:r>
              <w:rPr>
                <w:noProof/>
              </w:rPr>
              <w:t xml:space="preserve"> </w:t>
            </w:r>
            <w:r>
              <w:rPr>
                <w:noProof/>
              </w:rPr>
              <w:br/>
            </w:r>
            <w:r>
              <w:rPr>
                <w:noProof/>
                <w:color w:val="006100"/>
              </w:rPr>
              <w:t xml:space="preserve"> Določitev računovodskih standardov na podlagi nastanka poslovnega dogodka na podlagi IPSAS/EPSAS; Oblikovati večdimenzionalni kontni načrt na več ravneh.</w:t>
            </w:r>
          </w:p>
        </w:tc>
      </w:tr>
      <w:tr w:rsidR="00154E32" w14:paraId="508CA77C"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BD1C9D" w14:textId="77777777" w:rsidR="00154E32" w:rsidRDefault="00A43E04">
            <w:pPr>
              <w:pStyle w:val="P68B1DB1-Normal5"/>
              <w:jc w:val="center"/>
              <w:rPr>
                <w:noProof/>
              </w:rPr>
            </w:pPr>
            <w:r>
              <w:rPr>
                <w:noProof/>
              </w:rPr>
              <w:t>M1C1–109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FFA3A7" w14:textId="77777777" w:rsidR="00154E32" w:rsidRDefault="00A43E04">
            <w:pPr>
              <w:pStyle w:val="P68B1DB1-Normal5"/>
              <w:jc w:val="center"/>
              <w:rPr>
                <w:noProof/>
              </w:rPr>
            </w:pPr>
            <w:r>
              <w:rPr>
                <w:noProof/>
              </w:rPr>
              <w:t>Reforma 1.12: Reforma davčne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3617BC"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394782" w14:textId="77777777" w:rsidR="00154E32" w:rsidRDefault="00A43E04">
            <w:pPr>
              <w:pStyle w:val="P68B1DB1-Normal5"/>
              <w:jc w:val="center"/>
              <w:rPr>
                <w:noProof/>
              </w:rPr>
            </w:pPr>
            <w:r>
              <w:rPr>
                <w:noProof/>
              </w:rPr>
              <w:t>Pošiljanje prvih predhodno obremenjenih davčnih napovedi DDV</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79399D"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A431C0" w14:textId="77777777" w:rsidR="00154E32" w:rsidRDefault="00A43E04">
            <w:pPr>
              <w:pStyle w:val="P68B1DB1-Normal5"/>
              <w:jc w:val="center"/>
              <w:rPr>
                <w:noProof/>
              </w:rPr>
            </w:pPr>
            <w:r>
              <w:rPr>
                <w:noProof/>
              </w:rPr>
              <w:t>Število</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155404" w14:textId="77777777" w:rsidR="00154E32" w:rsidRDefault="00A43E04">
            <w:pPr>
              <w:pStyle w:val="P68B1DB1-Normal5"/>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E44D8F2" w14:textId="57F01C7C" w:rsidR="00154E32" w:rsidRDefault="00A43E04">
            <w:pPr>
              <w:pStyle w:val="P68B1DB1-Normal5"/>
              <w:jc w:val="center"/>
              <w:rPr>
                <w:noProof/>
              </w:rPr>
            </w:pPr>
            <w:r>
              <w:rPr>
                <w:noProof/>
              </w:rPr>
              <w:t>2 300 000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439E4B"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1C900B" w14:textId="77777777" w:rsidR="00154E32" w:rsidRDefault="00A43E04">
            <w:pPr>
              <w:pStyle w:val="P68B1DB1-Normal5"/>
              <w:jc w:val="center"/>
              <w:rPr>
                <w:noProof/>
              </w:rPr>
            </w:pPr>
            <w:r>
              <w:rPr>
                <w:noProof/>
              </w:rPr>
              <w:t>2023</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CEC5F3" w14:textId="6DC236A5" w:rsidR="00154E32" w:rsidRDefault="00A43E04">
            <w:pPr>
              <w:pStyle w:val="P68B1DB1-Normal5"/>
              <w:spacing w:before="100" w:beforeAutospacing="1" w:after="120"/>
              <w:rPr>
                <w:noProof/>
              </w:rPr>
            </w:pPr>
            <w:r>
              <w:rPr>
                <w:noProof/>
              </w:rPr>
              <w:t>Vsaj 2300000 davčnih zavezancev prejme predhodno obremenjene obračune DDV za davčno leto 2022.</w:t>
            </w:r>
          </w:p>
        </w:tc>
      </w:tr>
      <w:tr w:rsidR="00154E32" w14:paraId="455B19D5"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022055" w14:textId="77777777" w:rsidR="00154E32" w:rsidRDefault="00A43E04">
            <w:pPr>
              <w:pStyle w:val="P68B1DB1-Normal5"/>
              <w:jc w:val="center"/>
              <w:rPr>
                <w:noProof/>
              </w:rPr>
            </w:pPr>
            <w:r>
              <w:rPr>
                <w:noProof/>
              </w:rPr>
              <w:t>M1C1–110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9F2004" w14:textId="77777777" w:rsidR="00154E32" w:rsidRDefault="00A43E04">
            <w:pPr>
              <w:pStyle w:val="P68B1DB1-Normal5"/>
              <w:jc w:val="center"/>
              <w:rPr>
                <w:noProof/>
              </w:rPr>
            </w:pPr>
            <w:r>
              <w:rPr>
                <w:noProof/>
              </w:rPr>
              <w:t>Reforma 1.13: Reforma okvira za pregled porabe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9C09B4"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2D0679" w14:textId="77777777" w:rsidR="00154E32" w:rsidRDefault="00A43E04">
            <w:pPr>
              <w:pStyle w:val="P68B1DB1-Normal5"/>
              <w:jc w:val="center"/>
              <w:rPr>
                <w:noProof/>
              </w:rPr>
            </w:pPr>
            <w:r>
              <w:rPr>
                <w:noProof/>
              </w:rPr>
              <w:t>Prerazvrstitev splošnega državnega proračuna glede na okoljske odhodke in odhodke, ki spodbujajo enakost spolov</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5E1FC2" w14:textId="77777777" w:rsidR="00154E32" w:rsidRDefault="00A43E04">
            <w:pPr>
              <w:pStyle w:val="P68B1DB1-Normal5"/>
              <w:jc w:val="center"/>
              <w:rPr>
                <w:noProof/>
              </w:rPr>
            </w:pPr>
            <w:r>
              <w:rPr>
                <w:noProof/>
              </w:rPr>
              <w:t>Vključitev prerazvrstitve splošnega državnega proračuna glede na okoljske odhodke in odhodke, ki spodbujajo enakost spolov, v zakon o proračunu za leto 2024</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F51A1C"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F78CB3"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DD716A"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54C6CE"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5B7166" w14:textId="77777777" w:rsidR="00154E32" w:rsidRDefault="00A43E04">
            <w:pPr>
              <w:pStyle w:val="P68B1DB1-Normal5"/>
              <w:jc w:val="center"/>
              <w:rPr>
                <w:noProof/>
              </w:rPr>
            </w:pPr>
            <w:r>
              <w:rPr>
                <w:noProof/>
              </w:rPr>
              <w:t>2023</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1A487A" w14:textId="77777777" w:rsidR="00154E32" w:rsidRDefault="00A43E04">
            <w:pPr>
              <w:pStyle w:val="P68B1DB1-Normal5"/>
              <w:spacing w:before="100" w:beforeAutospacing="1" w:after="120"/>
              <w:rPr>
                <w:noProof/>
              </w:rPr>
            </w:pPr>
            <w:r>
              <w:rPr>
                <w:noProof/>
              </w:rPr>
              <w:t>Z zakonom o proračunu za leto 2024 se parlamentu zagotovi proračun za trajnostni razvoj, sestavljen iz klasifikacije splošnega državnega proračuna glede na okoljske odhodke in odhodke, ki spodbujajo enakost spolov. Razvrstitev je skladna z merili, na katerih temelji opredelitev ciljev trajnostnega razvoja in ciljev Agende 2030.</w:t>
            </w:r>
          </w:p>
        </w:tc>
      </w:tr>
      <w:tr w:rsidR="00154E32" w14:paraId="77C08858"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2FACBFC" w14:textId="77777777" w:rsidR="00154E32" w:rsidRDefault="00A43E04">
            <w:pPr>
              <w:pStyle w:val="P68B1DB1-Normal5"/>
              <w:jc w:val="center"/>
              <w:rPr>
                <w:noProof/>
              </w:rPr>
            </w:pPr>
            <w:r>
              <w:rPr>
                <w:noProof/>
              </w:rPr>
              <w:t>M1C1–111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705796" w14:textId="77777777" w:rsidR="00154E32" w:rsidRDefault="00A43E04">
            <w:pPr>
              <w:pStyle w:val="P68B1DB1-Normal5"/>
              <w:jc w:val="center"/>
              <w:rPr>
                <w:noProof/>
              </w:rPr>
            </w:pPr>
            <w:r>
              <w:rPr>
                <w:noProof/>
              </w:rPr>
              <w:t>Reforma 1.13: Reforma okvira za pregled porabe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2DD1BEA"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84B4C1" w14:textId="77777777" w:rsidR="00154E32" w:rsidRDefault="00A43E04">
            <w:pPr>
              <w:pStyle w:val="P68B1DB1-Normal5"/>
              <w:jc w:val="center"/>
              <w:rPr>
                <w:noProof/>
              </w:rPr>
            </w:pPr>
            <w:r>
              <w:rPr>
                <w:noProof/>
              </w:rPr>
              <w:t>Zaključek letnega pregleda porabe za leto 2023 glede na cilj prihranka, določen za leto 2022 za leto 2023</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17144B" w14:textId="77777777" w:rsidR="00154E32" w:rsidRDefault="00A43E04">
            <w:pPr>
              <w:pStyle w:val="P68B1DB1-Normal5"/>
              <w:jc w:val="center"/>
              <w:rPr>
                <w:noProof/>
              </w:rPr>
            </w:pPr>
            <w:r>
              <w:rPr>
                <w:noProof/>
              </w:rPr>
              <w:t>Sprejetje poročila ministrstva za finance o pregledu porabe v letu 2023, ki potrjuje zaključek postopka in doseganje cilja.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728CB1"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8C1721"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6002A4"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520327"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4FC423"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244BCF" w14:textId="77777777" w:rsidR="00154E32" w:rsidRDefault="00A43E04">
            <w:pPr>
              <w:pStyle w:val="P68B1DB1-Normal5"/>
              <w:spacing w:after="120"/>
              <w:rPr>
                <w:noProof/>
              </w:rPr>
            </w:pPr>
            <w:r>
              <w:rPr>
                <w:noProof/>
              </w:rPr>
              <w:t>Poročilo ministrstva za finance, ki se pošlje svetu ministrov v skladu z uredbama-zakonoma št. 90 in 93 iz leta 2016 ter zakonom 163/2016:</w:t>
            </w:r>
          </w:p>
          <w:p w14:paraId="087CF68E" w14:textId="77777777" w:rsidR="00154E32" w:rsidRDefault="00A43E04">
            <w:pPr>
              <w:pStyle w:val="P68B1DB1-Normal5"/>
              <w:spacing w:after="120"/>
              <w:rPr>
                <w:noProof/>
              </w:rPr>
            </w:pPr>
            <w:r>
              <w:rPr>
                <w:noProof/>
              </w:rPr>
              <w:t>potrditev zaključka postopka pregleda porabe za leto 2023 v zvezi z določbo za okvir za pregled porabe.</w:t>
            </w:r>
          </w:p>
          <w:p w14:paraId="3D0B5B76" w14:textId="77777777" w:rsidR="00154E32" w:rsidRDefault="00A43E04">
            <w:pPr>
              <w:pStyle w:val="P68B1DB1-Normal5"/>
              <w:spacing w:after="120"/>
              <w:rPr>
                <w:noProof/>
              </w:rPr>
            </w:pPr>
            <w:r>
              <w:rPr>
                <w:noProof/>
              </w:rPr>
              <w:t>potrditev doseganja cilja, določenega leta 2022.</w:t>
            </w:r>
          </w:p>
        </w:tc>
      </w:tr>
      <w:tr w:rsidR="00154E32" w14:paraId="399B1FBF"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3B86F0" w14:textId="77777777" w:rsidR="00154E32" w:rsidRDefault="00A43E04">
            <w:pPr>
              <w:pStyle w:val="P68B1DB1-Normal5"/>
              <w:jc w:val="center"/>
              <w:rPr>
                <w:noProof/>
              </w:rPr>
            </w:pPr>
            <w:r>
              <w:rPr>
                <w:noProof/>
              </w:rPr>
              <w:t>M1C1–112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B47F79" w14:textId="77777777" w:rsidR="00154E32" w:rsidRDefault="00A43E04">
            <w:pPr>
              <w:pStyle w:val="P68B1DB1-Normal5"/>
              <w:jc w:val="center"/>
              <w:rPr>
                <w:noProof/>
              </w:rPr>
            </w:pPr>
            <w:r>
              <w:rPr>
                <w:noProof/>
              </w:rPr>
              <w:t>Reforma 1.12: Reforma davčne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8B4071"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33EFB7" w14:textId="77777777" w:rsidR="00154E32" w:rsidRDefault="00A43E04">
            <w:pPr>
              <w:pStyle w:val="P68B1DB1-Normal5"/>
              <w:jc w:val="center"/>
              <w:rPr>
                <w:noProof/>
              </w:rPr>
            </w:pPr>
            <w:r>
              <w:rPr>
                <w:noProof/>
              </w:rPr>
              <w:t>Izboljšanje operativne zmogljivosti davčne uprave, kot je navedeno v načrtu uspešnosti za obdobje 2021–2023 agencije za prihodke</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5800FF4"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F0E0A0" w14:textId="77777777" w:rsidR="00154E32" w:rsidRDefault="00A43E04">
            <w:pPr>
              <w:pStyle w:val="P68B1DB1-Normal5"/>
              <w:jc w:val="center"/>
              <w:rPr>
                <w:noProof/>
              </w:rPr>
            </w:pPr>
            <w:r>
              <w:rPr>
                <w:noProof/>
              </w:rPr>
              <w:t>Število zaposlitev</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E643ED" w14:textId="77777777" w:rsidR="00154E32" w:rsidRDefault="00A43E04">
            <w:pPr>
              <w:pStyle w:val="P68B1DB1-Normal5"/>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C8A0DB" w14:textId="3181B45D" w:rsidR="00154E32" w:rsidRDefault="00A43E04">
            <w:pPr>
              <w:pStyle w:val="P68B1DB1-Normal5"/>
              <w:jc w:val="center"/>
              <w:rPr>
                <w:noProof/>
              </w:rPr>
            </w:pPr>
            <w:r>
              <w:rPr>
                <w:noProof/>
              </w:rPr>
              <w:t>4 113</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CFCF85"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58F29C"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604DF2" w14:textId="77777777" w:rsidR="00154E32" w:rsidRDefault="00A43E04">
            <w:pPr>
              <w:pStyle w:val="P68B1DB1-Normal5"/>
              <w:spacing w:before="100" w:beforeAutospacing="1" w:after="120"/>
              <w:rPr>
                <w:noProof/>
              </w:rPr>
            </w:pPr>
            <w:r>
              <w:rPr>
                <w:noProof/>
              </w:rPr>
              <w:t>Število zaposlenih v agenciji za prihodke se poveča za 4113 enot, kot je navedeno v „načrtu izvedbe za obdobje 2021–2023“.</w:t>
            </w:r>
          </w:p>
        </w:tc>
      </w:tr>
      <w:tr w:rsidR="00154E32" w14:paraId="63A9CFDC"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1DAC58" w14:textId="77777777" w:rsidR="00154E32" w:rsidRDefault="00A43E04">
            <w:pPr>
              <w:pStyle w:val="P68B1DB1-Normal5"/>
              <w:jc w:val="center"/>
              <w:rPr>
                <w:noProof/>
              </w:rPr>
            </w:pPr>
            <w:r>
              <w:rPr>
                <w:noProof/>
              </w:rPr>
              <w:t>M1C1–113</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0696A2A" w14:textId="77777777" w:rsidR="00154E32" w:rsidRDefault="00A43E04">
            <w:pPr>
              <w:pStyle w:val="P68B1DB1-Normal5"/>
              <w:jc w:val="center"/>
              <w:rPr>
                <w:noProof/>
              </w:rPr>
            </w:pPr>
            <w:r>
              <w:rPr>
                <w:noProof/>
              </w:rPr>
              <w:t>Reforma 1.12: Reforma davčne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71A7797"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6ACDBF" w14:textId="77777777" w:rsidR="00154E32" w:rsidRDefault="00A43E04">
            <w:pPr>
              <w:pStyle w:val="P68B1DB1-Normal5"/>
              <w:jc w:val="center"/>
              <w:rPr>
                <w:noProof/>
              </w:rPr>
            </w:pPr>
            <w:r>
              <w:rPr>
                <w:noProof/>
              </w:rPr>
              <w:t>Večje število „pisem o skladnosti“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640436"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024DC7" w14:textId="77777777" w:rsidR="00154E32" w:rsidRDefault="00A43E04">
            <w:pPr>
              <w:pStyle w:val="P68B1DB1-Normal5"/>
              <w:jc w:val="center"/>
              <w:rPr>
                <w:noProof/>
              </w:rPr>
            </w:pPr>
            <w:r>
              <w:rPr>
                <w:noProof/>
              </w:rPr>
              <w:t>Število</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6EB40C" w14:textId="1C8BC852" w:rsidR="00154E32" w:rsidRDefault="00A43E04">
            <w:pPr>
              <w:pStyle w:val="P68B1DB1-Normal5"/>
              <w:jc w:val="center"/>
              <w:rPr>
                <w:noProof/>
              </w:rPr>
            </w:pPr>
            <w:r>
              <w:rPr>
                <w:noProof/>
              </w:rPr>
              <w:t>2 150 908</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FDE149" w14:textId="13F3207C" w:rsidR="00154E32" w:rsidRDefault="00A43E04">
            <w:pPr>
              <w:pStyle w:val="P68B1DB1-Normal5"/>
              <w:jc w:val="center"/>
              <w:rPr>
                <w:noProof/>
              </w:rPr>
            </w:pPr>
            <w:r>
              <w:rPr>
                <w:noProof/>
              </w:rPr>
              <w:t>3 011 271</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B89ED0"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B15D9E"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6137E3" w14:textId="77777777" w:rsidR="00154E32" w:rsidRDefault="00A43E04">
            <w:pPr>
              <w:pStyle w:val="P68B1DB1-Normal5"/>
              <w:spacing w:before="100" w:beforeAutospacing="1" w:after="120"/>
              <w:rPr>
                <w:noProof/>
              </w:rPr>
            </w:pPr>
            <w:r>
              <w:rPr>
                <w:noProof/>
              </w:rPr>
              <w:t>Število „pisov o skladnosti“, ki zagotavljajo zgodnje obveščanje davčnih zavezancev, za katere so bile ugotovljene nepravilnosti, se v primerjavi z letom 2019 poveča za vsaj 40 %.</w:t>
            </w:r>
          </w:p>
        </w:tc>
      </w:tr>
      <w:tr w:rsidR="00154E32" w14:paraId="2E167BF2"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98274F" w14:textId="77777777" w:rsidR="00154E32" w:rsidRDefault="00A43E04">
            <w:pPr>
              <w:pStyle w:val="P68B1DB1-Normal5"/>
              <w:jc w:val="center"/>
              <w:rPr>
                <w:noProof/>
              </w:rPr>
            </w:pPr>
            <w:r>
              <w:rPr>
                <w:noProof/>
              </w:rPr>
              <w:t>M1C1–114</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28A2E4" w14:textId="77777777" w:rsidR="00154E32" w:rsidRDefault="00A43E04">
            <w:pPr>
              <w:pStyle w:val="P68B1DB1-Normal5"/>
              <w:jc w:val="center"/>
              <w:rPr>
                <w:noProof/>
              </w:rPr>
            </w:pPr>
            <w:r>
              <w:rPr>
                <w:noProof/>
              </w:rPr>
              <w:t>Reforma 1.12: Reforma davčne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FDF094"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0318E3" w14:textId="77777777" w:rsidR="00154E32" w:rsidRDefault="00A43E04">
            <w:pPr>
              <w:pStyle w:val="P68B1DB1-Normal5"/>
              <w:jc w:val="center"/>
              <w:rPr>
                <w:noProof/>
              </w:rPr>
            </w:pPr>
            <w:r>
              <w:rPr>
                <w:noProof/>
              </w:rPr>
              <w:t>Povečanje davčnih prihodkov, ustvarjenih z „pismi o skladnosti“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DE7C01"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480D66" w14:textId="77777777" w:rsidR="00154E32" w:rsidRDefault="00A43E04">
            <w:pPr>
              <w:pStyle w:val="P68B1DB1-Normal5"/>
              <w:jc w:val="center"/>
              <w:rPr>
                <w:noProof/>
              </w:rPr>
            </w:pPr>
            <w:r>
              <w:rPr>
                <w:noProof/>
              </w:rPr>
              <w:t>Euro</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36F67F" w14:textId="6FEDE554" w:rsidR="00154E32" w:rsidRDefault="00A43E04">
            <w:pPr>
              <w:pStyle w:val="P68B1DB1-Normal5"/>
              <w:jc w:val="center"/>
              <w:rPr>
                <w:noProof/>
              </w:rPr>
            </w:pPr>
            <w:r>
              <w:rPr>
                <w:noProof/>
              </w:rPr>
              <w:t>2 130 000 000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9B23F3" w14:textId="2B08698E" w:rsidR="00154E32" w:rsidRDefault="00A43E04">
            <w:pPr>
              <w:pStyle w:val="P68B1DB1-Normal5"/>
              <w:jc w:val="center"/>
              <w:rPr>
                <w:noProof/>
              </w:rPr>
            </w:pPr>
            <w:r>
              <w:rPr>
                <w:noProof/>
              </w:rPr>
              <w:t>2 769 000 000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BF1BDC"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9CA70D" w14:textId="77777777" w:rsidR="00154E32" w:rsidRDefault="00A43E04">
            <w:pPr>
              <w:pStyle w:val="P68B1DB1-Normal5"/>
              <w:jc w:val="center"/>
              <w:rPr>
                <w:noProof/>
              </w:rPr>
            </w:pPr>
            <w:r>
              <w:rPr>
                <w:noProof/>
              </w:rPr>
              <w:t>2024</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C19FA6" w14:textId="77777777" w:rsidR="00154E32" w:rsidRDefault="00A43E04">
            <w:pPr>
              <w:pStyle w:val="P68B1DB1-Normal5"/>
              <w:spacing w:before="100" w:beforeAutospacing="1" w:after="120"/>
              <w:rPr>
                <w:noProof/>
              </w:rPr>
            </w:pPr>
            <w:r>
              <w:rPr>
                <w:noProof/>
              </w:rPr>
              <w:t>Davčni prihodki, ustvarjeni z „dopisi o skladnosti“, se povečajo za 30 % glede na leto 2019.</w:t>
            </w:r>
          </w:p>
        </w:tc>
      </w:tr>
      <w:tr w:rsidR="00154E32" w14:paraId="0B804C8E"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9DC82F" w14:textId="77777777" w:rsidR="00154E32" w:rsidRDefault="00A43E04">
            <w:pPr>
              <w:pStyle w:val="P68B1DB1-Normal5"/>
              <w:jc w:val="center"/>
              <w:rPr>
                <w:noProof/>
              </w:rPr>
            </w:pPr>
            <w:r>
              <w:rPr>
                <w:noProof/>
              </w:rPr>
              <w:t>M1C1–115</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1581AC" w14:textId="77777777" w:rsidR="00154E32" w:rsidRDefault="00A43E04">
            <w:pPr>
              <w:pStyle w:val="P68B1DB1-Normal5"/>
              <w:jc w:val="center"/>
              <w:rPr>
                <w:noProof/>
              </w:rPr>
            </w:pPr>
            <w:r>
              <w:rPr>
                <w:noProof/>
              </w:rPr>
              <w:t>Reforma 1.13: Reforma okvira za pregled porabe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1C9213"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1CE701" w14:textId="77777777" w:rsidR="00154E32" w:rsidRDefault="00A43E04">
            <w:pPr>
              <w:pStyle w:val="P68B1DB1-Normal5"/>
              <w:jc w:val="center"/>
              <w:rPr>
                <w:noProof/>
              </w:rPr>
            </w:pPr>
            <w:r>
              <w:rPr>
                <w:noProof/>
              </w:rPr>
              <w:t>Zaključek letnega pregleda porabe za leto 2024 glede na cilj prihranka, določen za leti 2022 in 2023 za leto 2024</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D6CDD4" w14:textId="77777777" w:rsidR="00154E32" w:rsidRDefault="00A43E04">
            <w:pPr>
              <w:pStyle w:val="P68B1DB1-Normal5"/>
              <w:jc w:val="center"/>
              <w:rPr>
                <w:noProof/>
              </w:rPr>
            </w:pPr>
            <w:r>
              <w:rPr>
                <w:noProof/>
              </w:rPr>
              <w:t>Sprejetje poročila finančnega ministrstva o pregledu porabe v letu 2024, ki potrjuje zaključek postopka in doseganje cilja.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A32E42"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3277B6"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2763DF"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2F4B4A"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968113A" w14:textId="77777777" w:rsidR="00154E32" w:rsidRDefault="00A43E04">
            <w:pPr>
              <w:pStyle w:val="P68B1DB1-Normal5"/>
              <w:jc w:val="center"/>
              <w:rPr>
                <w:noProof/>
              </w:rPr>
            </w:pPr>
            <w:r>
              <w:rPr>
                <w:noProof/>
              </w:rPr>
              <w:t>2025</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869B283" w14:textId="77777777" w:rsidR="00154E32" w:rsidRDefault="00A43E04">
            <w:pPr>
              <w:pStyle w:val="P68B1DB1-Normal5"/>
              <w:spacing w:after="120"/>
              <w:rPr>
                <w:noProof/>
              </w:rPr>
            </w:pPr>
            <w:r>
              <w:rPr>
                <w:noProof/>
              </w:rPr>
              <w:t>Poročilo ministrstva za finance, ki se pošlje svetu ministrov v skladu z uredbama-zakonoma št. 90 in 93 iz leta 2016 ter zakonom 163/2016:</w:t>
            </w:r>
          </w:p>
          <w:p w14:paraId="39F240A1" w14:textId="77777777" w:rsidR="00154E32" w:rsidRDefault="00A43E04">
            <w:pPr>
              <w:pStyle w:val="P68B1DB1-Normal5"/>
              <w:spacing w:after="120"/>
              <w:rPr>
                <w:noProof/>
              </w:rPr>
            </w:pPr>
            <w:r>
              <w:rPr>
                <w:noProof/>
              </w:rPr>
              <w:t>potrdi zaključek postopka pregleda porabe za leto 2024 v zvezi z določbo za okvir za pregled porabe.</w:t>
            </w:r>
          </w:p>
          <w:p w14:paraId="1DA62FB1" w14:textId="77777777" w:rsidR="00154E32" w:rsidRDefault="00A43E04">
            <w:pPr>
              <w:pStyle w:val="P68B1DB1-Normal5"/>
              <w:spacing w:after="120"/>
              <w:rPr>
                <w:noProof/>
              </w:rPr>
            </w:pPr>
            <w:r>
              <w:rPr>
                <w:noProof/>
              </w:rPr>
              <w:t>potrjuje doseganje cilja, določenega v letih 2022 in 2023.</w:t>
            </w:r>
          </w:p>
        </w:tc>
      </w:tr>
      <w:tr w:rsidR="00154E32" w14:paraId="1BACA453"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405A05A" w14:textId="77777777" w:rsidR="00154E32" w:rsidRDefault="00A43E04">
            <w:pPr>
              <w:pStyle w:val="P68B1DB1-Normal5"/>
              <w:jc w:val="center"/>
              <w:rPr>
                <w:noProof/>
              </w:rPr>
            </w:pPr>
            <w:r>
              <w:rPr>
                <w:noProof/>
              </w:rPr>
              <w:t>M1C1–116</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E58272" w14:textId="77777777" w:rsidR="00154E32" w:rsidRDefault="00A43E04">
            <w:pPr>
              <w:pStyle w:val="P68B1DB1-Normal5"/>
              <w:jc w:val="center"/>
              <w:rPr>
                <w:noProof/>
              </w:rPr>
            </w:pPr>
            <w:r>
              <w:rPr>
                <w:noProof/>
              </w:rPr>
              <w:t>Reforma 1.12: Reforma davčne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CA42E1"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748822" w14:textId="77777777" w:rsidR="00154E32" w:rsidRDefault="00A43E04">
            <w:pPr>
              <w:pStyle w:val="P68B1DB1-Normal5"/>
              <w:jc w:val="center"/>
              <w:rPr>
                <w:noProof/>
              </w:rPr>
            </w:pPr>
            <w:r>
              <w:rPr>
                <w:noProof/>
              </w:rPr>
              <w:t>Zmanjšanje davčne utaje, kot je opredeljeno s kazalnikom „sorazmernost izogibanja“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8974464"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27611A"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C52C2A" w14:textId="77777777" w:rsidR="00154E32" w:rsidRDefault="00A43E04">
            <w:pPr>
              <w:pStyle w:val="P68B1DB1-Normal5"/>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3C1BB3" w14:textId="77777777" w:rsidR="00154E32" w:rsidRDefault="00A43E04">
            <w:pPr>
              <w:pStyle w:val="P68B1DB1-Normal5"/>
              <w:jc w:val="center"/>
              <w:rPr>
                <w:noProof/>
              </w:rPr>
            </w:pPr>
            <w:r>
              <w:rPr>
                <w:noProof/>
              </w:rPr>
              <w:t>—5</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FF9712" w14:textId="77777777" w:rsidR="00154E32" w:rsidRDefault="00A43E04">
            <w:pPr>
              <w:pStyle w:val="P68B1DB1-Normal5"/>
              <w:jc w:val="center"/>
              <w:rPr>
                <w:noProof/>
              </w:rPr>
            </w:pPr>
            <w:r>
              <w:rPr>
                <w:noProof/>
              </w:rPr>
              <w:t>Q4</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533687" w14:textId="77777777" w:rsidR="00154E32" w:rsidRDefault="00A43E04">
            <w:pPr>
              <w:pStyle w:val="P68B1DB1-Normal5"/>
              <w:jc w:val="center"/>
              <w:rPr>
                <w:noProof/>
              </w:rPr>
            </w:pPr>
            <w:r>
              <w:rPr>
                <w:noProof/>
              </w:rPr>
              <w:t>2025</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5F9A3C" w14:textId="12FEC9DB" w:rsidR="00154E32" w:rsidRDefault="00A43E04">
            <w:pPr>
              <w:pStyle w:val="P68B1DB1-Normal5"/>
              <w:spacing w:before="100" w:beforeAutospacing="1" w:after="120"/>
              <w:rPr>
                <w:noProof/>
              </w:rPr>
            </w:pPr>
            <w:r>
              <w:rPr>
                <w:noProof/>
              </w:rPr>
              <w:t>„Sorazmernost izogibanja“ pri vseh davkih, razen davkov na nepremičnine (Imposta Municipale Unica) in trošarin, je v letu 2023 nižja v primerjavi z letom 2019 za 5 % glede na izhodišče za leto 2019. Referenčna ocena za leto 2019 se vključi v posodobljeno vladno poročilo o sivi ekonomiji, ki bo objavljeno novembra 2021 v skladu z določbami člena 2 zakonodajnega odloka št. 160/2015. 5-odstotno znižanje se upošteva glede na ocene, vključene v posodobljeni letnik istega poročila, ki bo objavljen novembra 2025 na podlagi podatkov za davčno leto 2023.</w:t>
            </w:r>
          </w:p>
        </w:tc>
      </w:tr>
      <w:tr w:rsidR="00154E32" w14:paraId="218B16D6"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28C44A" w14:textId="77777777" w:rsidR="00154E32" w:rsidRDefault="00A43E04">
            <w:pPr>
              <w:pStyle w:val="P68B1DB1-Normal5"/>
              <w:jc w:val="center"/>
              <w:rPr>
                <w:noProof/>
              </w:rPr>
            </w:pPr>
            <w:r>
              <w:rPr>
                <w:noProof/>
              </w:rPr>
              <w:t>M1C1–117</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FF374E" w14:textId="77777777" w:rsidR="00154E32" w:rsidRDefault="00A43E04">
            <w:pPr>
              <w:pStyle w:val="P68B1DB1-Normal5"/>
              <w:spacing w:line="276" w:lineRule="auto"/>
              <w:jc w:val="center"/>
              <w:rPr>
                <w:noProof/>
              </w:rPr>
            </w:pPr>
            <w:r>
              <w:rPr>
                <w:noProof/>
              </w:rPr>
              <w:t>Reforma 1.15:</w:t>
            </w:r>
          </w:p>
          <w:p w14:paraId="48F97ECE" w14:textId="77777777" w:rsidR="00154E32" w:rsidRDefault="00A43E04">
            <w:pPr>
              <w:pStyle w:val="P68B1DB1-Normal5"/>
              <w:spacing w:line="276" w:lineRule="auto"/>
              <w:jc w:val="center"/>
              <w:rPr>
                <w:noProof/>
              </w:rPr>
            </w:pPr>
            <w:r>
              <w:rPr>
                <w:noProof/>
              </w:rPr>
              <w:t>Reforma pravil javnega računovodstva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6828C04"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422D7F" w14:textId="77777777" w:rsidR="00154E32" w:rsidRDefault="00A43E04">
            <w:pPr>
              <w:pStyle w:val="P68B1DB1-Normal5"/>
              <w:jc w:val="center"/>
              <w:rPr>
                <w:noProof/>
              </w:rPr>
            </w:pPr>
            <w:r>
              <w:rPr>
                <w:noProof/>
              </w:rPr>
              <w:t>Javni subjekti, usposobljeni za prehod na nov računovodski sistem na podlagi nastanka poslovnega dogodka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D85C3E"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57A125" w14:textId="77777777" w:rsidR="00154E32" w:rsidRDefault="00A43E04">
            <w:pPr>
              <w:pStyle w:val="P68B1DB1-Normal5"/>
              <w:jc w:val="center"/>
              <w:rPr>
                <w:noProof/>
              </w:rPr>
            </w:pPr>
            <w:r>
              <w:rPr>
                <w:noProof/>
              </w:rPr>
              <w:t>Število</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CDF491" w14:textId="77777777" w:rsidR="00154E32" w:rsidRDefault="00A43E04">
            <w:pPr>
              <w:pStyle w:val="P68B1DB1-Normal5"/>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2C1646" w14:textId="597DC3D3" w:rsidR="00154E32" w:rsidRDefault="00A43E04">
            <w:pPr>
              <w:pStyle w:val="P68B1DB1-Normal5"/>
              <w:jc w:val="center"/>
              <w:rPr>
                <w:noProof/>
              </w:rPr>
            </w:pPr>
            <w:r>
              <w:rPr>
                <w:noProof/>
              </w:rPr>
              <w:t>18 000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5F4CBB"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0F587C"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C24983" w14:textId="4EB75153" w:rsidR="00154E32" w:rsidRDefault="00A43E04">
            <w:pPr>
              <w:pStyle w:val="P68B1DB1-Normal5"/>
              <w:rPr>
                <w:noProof/>
              </w:rPr>
            </w:pPr>
            <w:r>
              <w:rPr>
                <w:noProof/>
              </w:rPr>
              <w:t>Konec prvega kroga usposabljanja za prehod na nov računovodski sistem na podlagi nastanka poslovnega dogodka za predstavnike 18000 javnih subjektov.</w:t>
            </w:r>
          </w:p>
        </w:tc>
      </w:tr>
      <w:tr w:rsidR="00154E32" w14:paraId="345E9791"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FF7C71D" w14:textId="77777777" w:rsidR="00154E32" w:rsidRDefault="00A43E04">
            <w:pPr>
              <w:pStyle w:val="P68B1DB1-Normal5"/>
              <w:jc w:val="center"/>
              <w:rPr>
                <w:noProof/>
              </w:rPr>
            </w:pPr>
            <w:r>
              <w:rPr>
                <w:noProof/>
              </w:rPr>
              <w:t>M1C1–118</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9E864B" w14:textId="77777777" w:rsidR="00154E32" w:rsidRDefault="00A43E04">
            <w:pPr>
              <w:pStyle w:val="P68B1DB1-Normal5"/>
              <w:spacing w:line="276" w:lineRule="auto"/>
              <w:jc w:val="center"/>
              <w:rPr>
                <w:noProof/>
              </w:rPr>
            </w:pPr>
            <w:r>
              <w:rPr>
                <w:noProof/>
              </w:rPr>
              <w:t>Reforma 1.15:</w:t>
            </w:r>
          </w:p>
          <w:p w14:paraId="4F92AE4E" w14:textId="77777777" w:rsidR="00154E32" w:rsidRDefault="00A43E04">
            <w:pPr>
              <w:pStyle w:val="P68B1DB1-Normal5"/>
              <w:spacing w:line="276" w:lineRule="auto"/>
              <w:jc w:val="center"/>
              <w:rPr>
                <w:noProof/>
              </w:rPr>
            </w:pPr>
            <w:r>
              <w:rPr>
                <w:noProof/>
              </w:rPr>
              <w:t>Reforma pravil javnega računovodstva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35D5FB"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15ECA63" w14:textId="55E66242" w:rsidR="00154E32" w:rsidRDefault="00A43E04">
            <w:pPr>
              <w:pStyle w:val="P68B1DB1-Normal5"/>
              <w:jc w:val="center"/>
              <w:rPr>
                <w:noProof/>
              </w:rPr>
            </w:pPr>
            <w:r>
              <w:rPr>
                <w:noProof/>
              </w:rPr>
              <w:t xml:space="preserve">Začetek veljavnosti reforme računovodstva na podlagi nastanka poslovnega dogodka za vsaj 90 % celotnega javnega sektorja. </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870764" w14:textId="5D3B545A" w:rsidR="00154E32" w:rsidRDefault="00A43E04">
            <w:pPr>
              <w:pStyle w:val="P68B1DB1-Normal5"/>
              <w:jc w:val="center"/>
              <w:rPr>
                <w:noProof/>
              </w:rPr>
            </w:pPr>
            <w:r>
              <w:rPr>
                <w:noProof/>
              </w:rPr>
              <w:t>Določba zakona o začetku veljavnosti vseh izvedbenih ukrepov (vključno s smernicami, operativnimi priročniki in programom usposabljanja) računovodstva na podlagi nastanka poslovnega dogodka za vsaj 90 % celotnega javnega sektorja.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3334F7D"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7D1ED0"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13F870"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2EE098"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6ADD18"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B0AC34" w14:textId="0D99FA46" w:rsidR="00154E32" w:rsidRDefault="00A43E04">
            <w:pPr>
              <w:pStyle w:val="P68B1DB1-Normal5"/>
              <w:spacing w:after="120"/>
              <w:rPr>
                <w:noProof/>
              </w:rPr>
            </w:pPr>
            <w:r>
              <w:rPr>
                <w:noProof/>
              </w:rPr>
              <w:t>Objavijo se računovodski izkazi javne uprave, ki zajemajo vsaj 90 % celotnega javnega sektorja.</w:t>
            </w:r>
          </w:p>
          <w:p w14:paraId="739FF2C5" w14:textId="77777777" w:rsidR="00154E32" w:rsidRDefault="00A43E04">
            <w:pPr>
              <w:pStyle w:val="P68B1DB1-Normal8"/>
              <w:spacing w:after="120"/>
              <w:rPr>
                <w:noProof/>
                <w:color w:val="006100"/>
                <w:sz w:val="20"/>
              </w:rPr>
            </w:pPr>
            <w:r>
              <w:rPr>
                <w:noProof/>
                <w:color w:val="006100"/>
                <w:sz w:val="20"/>
              </w:rPr>
              <w:t>Sprejme se zakonodajna reforma, s katero se zagotovi uvedba novega sistema računovodstva na podlagi nastanka poslovnega dogodka za vsaj 90 % javnih uprav od leta 2027.</w:t>
            </w:r>
            <w:r>
              <w:rPr>
                <w:noProof/>
              </w:rPr>
              <w:br/>
            </w:r>
          </w:p>
          <w:p w14:paraId="18957BD6" w14:textId="77777777" w:rsidR="00154E32" w:rsidRDefault="00A43E04">
            <w:pPr>
              <w:pStyle w:val="P68B1DB1-Normal8"/>
              <w:spacing w:after="120"/>
              <w:rPr>
                <w:noProof/>
                <w:color w:val="006100"/>
                <w:sz w:val="20"/>
              </w:rPr>
            </w:pPr>
            <w:r>
              <w:rPr>
                <w:noProof/>
                <w:color w:val="006100"/>
                <w:sz w:val="20"/>
              </w:rPr>
              <w:t>Sprejme se sekundarna zakonodaja, ki določa: Smernice in operativni priročniki za uporabo računovodskih standardov, skupaj s primeri in praktičnimi predstavitvami za podporo izvajalcem;</w:t>
            </w:r>
            <w:r>
              <w:rPr>
                <w:noProof/>
              </w:rPr>
              <w:br/>
            </w:r>
          </w:p>
          <w:p w14:paraId="65CAE922" w14:textId="341B5B97" w:rsidR="00154E32" w:rsidRDefault="00A43E04">
            <w:pPr>
              <w:pStyle w:val="P68B1DB1-Normal5"/>
              <w:spacing w:after="120"/>
              <w:rPr>
                <w:noProof/>
              </w:rPr>
            </w:pPr>
            <w:r>
              <w:rPr>
                <w:noProof/>
              </w:rPr>
              <w:t>Program usposabljanja: vzpostavitev programov usposabljanja za prehod na nov računovodski sistem na podlagi nastanka poslovnega dogodka.</w:t>
            </w:r>
          </w:p>
        </w:tc>
      </w:tr>
      <w:tr w:rsidR="00154E32" w14:paraId="68B00B28"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E963D4" w14:textId="77777777" w:rsidR="00154E32" w:rsidRDefault="00A43E04">
            <w:pPr>
              <w:pStyle w:val="P68B1DB1-Normal5"/>
              <w:jc w:val="center"/>
              <w:rPr>
                <w:noProof/>
              </w:rPr>
            </w:pPr>
            <w:r>
              <w:rPr>
                <w:noProof/>
              </w:rPr>
              <w:t>M1C1–119</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A780CD" w14:textId="77777777" w:rsidR="00154E32" w:rsidRDefault="00A43E04">
            <w:pPr>
              <w:pStyle w:val="P68B1DB1-Normal5"/>
              <w:spacing w:line="276" w:lineRule="auto"/>
              <w:jc w:val="center"/>
              <w:rPr>
                <w:noProof/>
              </w:rPr>
            </w:pPr>
            <w:r>
              <w:rPr>
                <w:noProof/>
              </w:rPr>
              <w:t>Reforma 1.14:</w:t>
            </w:r>
          </w:p>
          <w:p w14:paraId="3C050892" w14:textId="77777777" w:rsidR="00154E32" w:rsidRDefault="00A43E04">
            <w:pPr>
              <w:pStyle w:val="P68B1DB1-Normal5"/>
              <w:spacing w:line="276" w:lineRule="auto"/>
              <w:jc w:val="center"/>
              <w:rPr>
                <w:noProof/>
              </w:rPr>
            </w:pPr>
            <w:r>
              <w:rPr>
                <w:noProof/>
              </w:rPr>
              <w:t>Reforma podnacionalnega fiskalnega okvira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826A98C"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4337E6" w14:textId="77777777" w:rsidR="00154E32" w:rsidRDefault="00A43E04">
            <w:pPr>
              <w:pStyle w:val="P68B1DB1-Normal5"/>
              <w:jc w:val="center"/>
              <w:rPr>
                <w:noProof/>
              </w:rPr>
            </w:pPr>
            <w:r>
              <w:rPr>
                <w:noProof/>
              </w:rPr>
              <w:t>Začetek veljavnosti primarne in sekundarne zakonodaje za izvajanje regionalnega fiskalnega federalizma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C45CCE" w14:textId="77777777" w:rsidR="00154E32" w:rsidRDefault="00A43E04">
            <w:pPr>
              <w:pStyle w:val="P68B1DB1-Normal5"/>
              <w:jc w:val="center"/>
              <w:rPr>
                <w:noProof/>
              </w:rPr>
            </w:pPr>
            <w:r>
              <w:rPr>
                <w:noProof/>
              </w:rPr>
              <w:t>Določba zakona o začetku veljavnosti fiskalnega federalizma za regije z običajnim statusom.</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291431"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F86EF9"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C611C3"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A42E5F"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93C5C2"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1675C0" w14:textId="37DECB41" w:rsidR="00154E32" w:rsidRDefault="00A43E04">
            <w:pPr>
              <w:pStyle w:val="P68B1DB1-Normal5"/>
              <w:spacing w:after="120"/>
              <w:rPr>
                <w:noProof/>
              </w:rPr>
            </w:pPr>
            <w:r>
              <w:rPr>
                <w:noProof/>
              </w:rPr>
              <w:t>Začetek veljavnosti regulativnega okvira fiskalnega federalizma („Federalismo fiscale“), kot je določen v veljavnem zakonu o prenosu pooblastil št. 42/2009. Primarna in sekundarna zakonodaja zlasti opredeljujeta ustrezne parametre za izvajanje fiskalnega federalizma za regije z običajnim statusom, kot je opredeljen v uredbi-zakonu 68/2011 (členi 1–15), kakor je bil nazadnje spremenjen z zakonom 176/2020 (člen 31).</w:t>
            </w:r>
          </w:p>
        </w:tc>
      </w:tr>
      <w:tr w:rsidR="00154E32" w14:paraId="070E5A7B"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A8F784" w14:textId="77777777" w:rsidR="00154E32" w:rsidRDefault="00A43E04">
            <w:pPr>
              <w:pStyle w:val="P68B1DB1-Normal5"/>
              <w:jc w:val="center"/>
              <w:rPr>
                <w:noProof/>
              </w:rPr>
            </w:pPr>
            <w:r>
              <w:rPr>
                <w:noProof/>
              </w:rPr>
              <w:t>M1C1–120</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2C51B4" w14:textId="77777777" w:rsidR="00154E32" w:rsidRDefault="00A43E04">
            <w:pPr>
              <w:pStyle w:val="P68B1DB1-Normal5"/>
              <w:spacing w:line="276" w:lineRule="auto"/>
              <w:jc w:val="center"/>
              <w:rPr>
                <w:noProof/>
              </w:rPr>
            </w:pPr>
            <w:r>
              <w:rPr>
                <w:noProof/>
              </w:rPr>
              <w:t>Reforma 1.14:</w:t>
            </w:r>
          </w:p>
          <w:p w14:paraId="3C473C8F" w14:textId="77777777" w:rsidR="00154E32" w:rsidRDefault="00A43E04">
            <w:pPr>
              <w:pStyle w:val="P68B1DB1-Normal5"/>
              <w:spacing w:line="276" w:lineRule="auto"/>
              <w:jc w:val="center"/>
              <w:rPr>
                <w:noProof/>
              </w:rPr>
            </w:pPr>
            <w:r>
              <w:rPr>
                <w:noProof/>
              </w:rPr>
              <w:t>Reforma podnacionalnega fiskalnega okvira</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EB0F72"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BC458E" w14:textId="77777777" w:rsidR="00154E32" w:rsidRDefault="00A43E04">
            <w:pPr>
              <w:pStyle w:val="P68B1DB1-Normal5"/>
              <w:jc w:val="center"/>
              <w:rPr>
                <w:noProof/>
              </w:rPr>
            </w:pPr>
            <w:r>
              <w:rPr>
                <w:noProof/>
              </w:rPr>
              <w:t>Začetek veljavnosti primarne in sekundarne zakonodaje za izvajanje regionalnega fiskalnega federalizma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C53AD1" w14:textId="77777777" w:rsidR="00154E32" w:rsidRDefault="00A43E04">
            <w:pPr>
              <w:pStyle w:val="P68B1DB1-Normal5"/>
              <w:jc w:val="center"/>
              <w:rPr>
                <w:noProof/>
              </w:rPr>
            </w:pPr>
            <w:r>
              <w:rPr>
                <w:noProof/>
              </w:rPr>
              <w:t>Določba zakona o začetku veljavnosti fiskalnega federalizma za province in metropolitanska mesta.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6E42C8"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04F136"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A67670"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B1A8E03" w14:textId="77777777" w:rsidR="00154E32" w:rsidRDefault="00A43E04">
            <w:pPr>
              <w:pStyle w:val="P68B1DB1-Normal5"/>
              <w:jc w:val="center"/>
              <w:rPr>
                <w:noProof/>
              </w:rPr>
            </w:pPr>
            <w:r>
              <w:rPr>
                <w:noProof/>
              </w:rPr>
              <w:t>ČETRTLETJE 1</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C6F570"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C29657" w14:textId="6466F39E" w:rsidR="00154E32" w:rsidRDefault="00A43E04">
            <w:pPr>
              <w:pStyle w:val="P68B1DB1-Normal5"/>
              <w:rPr>
                <w:noProof/>
              </w:rPr>
            </w:pPr>
            <w:r>
              <w:rPr>
                <w:noProof/>
              </w:rPr>
              <w:t>Začetek veljavnosti regulativnega okvira fiskalnega federalizma (v nadaljnjem besedilu: Federalismo fiscale), kot je določen v veljavnem zakonu o prenosu pooblastil št. 42/2009. Primarna in sekundarna zakonodaja zlasti opredeljujeta ustrezne parametre za izvajanje fiskalnega federalizma za province in metropolitanska mesta, kot je opredeljen v uredbi-zakonu 68/2011 (členi 1–15), kakor je bila nazadnje spremenjena z zakonom 178/2020 (člen 1, vejica 783).</w:t>
            </w:r>
          </w:p>
        </w:tc>
      </w:tr>
      <w:tr w:rsidR="00154E32" w14:paraId="65E5CCBC"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B1D01D" w14:textId="77777777" w:rsidR="00154E32" w:rsidRDefault="00A43E04">
            <w:pPr>
              <w:pStyle w:val="P68B1DB1-Normal5"/>
              <w:jc w:val="center"/>
              <w:rPr>
                <w:noProof/>
              </w:rPr>
            </w:pPr>
            <w:r>
              <w:rPr>
                <w:noProof/>
              </w:rPr>
              <w:t>M1C1–121</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89C18C" w14:textId="77777777" w:rsidR="00154E32" w:rsidRDefault="00A43E04">
            <w:pPr>
              <w:pStyle w:val="P68B1DB1-Normal5"/>
              <w:spacing w:line="276" w:lineRule="auto"/>
              <w:jc w:val="center"/>
              <w:rPr>
                <w:noProof/>
              </w:rPr>
            </w:pPr>
            <w:r>
              <w:rPr>
                <w:noProof/>
              </w:rPr>
              <w:t>Reforma 1.12:</w:t>
            </w:r>
          </w:p>
          <w:p w14:paraId="2BD30FF9" w14:textId="77777777" w:rsidR="00154E32" w:rsidRDefault="00A43E04">
            <w:pPr>
              <w:pStyle w:val="P68B1DB1-Normal5"/>
              <w:spacing w:line="276" w:lineRule="auto"/>
              <w:jc w:val="center"/>
              <w:rPr>
                <w:noProof/>
              </w:rPr>
            </w:pPr>
            <w:r>
              <w:rPr>
                <w:noProof/>
              </w:rPr>
              <w:t>Reforma davčne uprave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187D73" w14:textId="77777777" w:rsidR="00154E32" w:rsidRDefault="00A43E04">
            <w:pPr>
              <w:pStyle w:val="P68B1DB1-Normal5"/>
              <w:jc w:val="center"/>
              <w:rPr>
                <w:noProof/>
              </w:rPr>
            </w:pPr>
            <w:r>
              <w:rPr>
                <w:noProof/>
              </w:rPr>
              <w:t>Tarča</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91953E" w14:textId="77777777" w:rsidR="00154E32" w:rsidRDefault="00A43E04">
            <w:pPr>
              <w:pStyle w:val="P68B1DB1-Normal5"/>
              <w:jc w:val="center"/>
              <w:rPr>
                <w:noProof/>
              </w:rPr>
            </w:pPr>
            <w:r>
              <w:rPr>
                <w:noProof/>
              </w:rPr>
              <w:t>Zmanjšanje davčne utaje, kot je opredeljeno s kazalnikom „sorazmernost izogibanja“</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D175E03" w14:textId="77777777" w:rsidR="00154E32" w:rsidRDefault="00A43E04">
            <w:pPr>
              <w:pStyle w:val="P68B1DB1-Normal5"/>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7E87E9" w14:textId="77777777" w:rsidR="00154E32" w:rsidRDefault="00A43E04">
            <w:pPr>
              <w:pStyle w:val="P68B1DB1-Normal5"/>
              <w:jc w:val="center"/>
              <w:rPr>
                <w:noProof/>
              </w:rPr>
            </w:pPr>
            <w:r>
              <w:rPr>
                <w:noProof/>
              </w:rPr>
              <w:t>Delež</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530C1EC" w14:textId="77777777" w:rsidR="00154E32" w:rsidRDefault="00A43E04">
            <w:pPr>
              <w:pStyle w:val="P68B1DB1-Normal5"/>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8C5120" w14:textId="77777777" w:rsidR="00154E32" w:rsidRDefault="00A43E04">
            <w:pPr>
              <w:pStyle w:val="P68B1DB1-Normal5"/>
              <w:jc w:val="center"/>
              <w:rPr>
                <w:noProof/>
              </w:rPr>
            </w:pPr>
            <w:r>
              <w:rPr>
                <w:noProof/>
              </w:rPr>
              <w:t>—15</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112307"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797453"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705124" w14:textId="15BA7ACE" w:rsidR="00154E32" w:rsidRDefault="00A43E04">
            <w:pPr>
              <w:pStyle w:val="P68B1DB1-Normal5"/>
              <w:spacing w:after="120"/>
              <w:rPr>
                <w:noProof/>
              </w:rPr>
            </w:pPr>
            <w:r>
              <w:rPr>
                <w:noProof/>
              </w:rPr>
              <w:t>„Sorazmernost izogibanja“ pri vseh davkih, razen davkov na nepremičnine (Imposta Municipale Unica) in trošarin, je leta 2024 nižja v primerjavi z letom 2019, in sicer za 15 % glede na izhodišče za leto 2019. Referenčna ocena za leto 2019 se vključi v posodobljeno vladno poročilo o sivi ekonomiji, ki bo objavljeno novembra 2021 v skladu z določbami člena 2 zakonodajnega odloka št. 160/2015. 15-odstotno znižanje se upošteva glede na oceno za davčno leto 2024, vključeno v posebno poročilo, ki ga ministrstvo za finance pripravi do junija 2026 na podlagi iste metodologije, kot je bila uporabljena za poročilo, zahtevano v členu 2 zakonske uredbe št. 160/2015.</w:t>
            </w:r>
          </w:p>
        </w:tc>
      </w:tr>
      <w:tr w:rsidR="00154E32" w14:paraId="75097C37" w14:textId="77777777">
        <w:trPr>
          <w:trHeight w:val="309"/>
        </w:trPr>
        <w:tc>
          <w:tcPr>
            <w:tcW w:w="125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BEC2F79" w14:textId="77777777" w:rsidR="00154E32" w:rsidRDefault="00A43E04">
            <w:pPr>
              <w:pStyle w:val="P68B1DB1-Normal5"/>
              <w:jc w:val="center"/>
              <w:rPr>
                <w:noProof/>
              </w:rPr>
            </w:pPr>
            <w:r>
              <w:rPr>
                <w:noProof/>
              </w:rPr>
              <w:t>M1C1–122</w:t>
            </w:r>
          </w:p>
        </w:tc>
        <w:tc>
          <w:tcPr>
            <w:tcW w:w="156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E6135D" w14:textId="77777777" w:rsidR="00154E32" w:rsidRDefault="00A43E04">
            <w:pPr>
              <w:pStyle w:val="P68B1DB1-Normal5"/>
              <w:spacing w:line="276" w:lineRule="auto"/>
              <w:jc w:val="center"/>
              <w:rPr>
                <w:noProof/>
              </w:rPr>
            </w:pPr>
            <w:r>
              <w:rPr>
                <w:noProof/>
              </w:rPr>
              <w:t>Reforma 1.13: Reforma okvira za pregled porabe</w:t>
            </w:r>
          </w:p>
        </w:tc>
        <w:tc>
          <w:tcPr>
            <w:tcW w:w="114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B81D1E5" w14:textId="77777777" w:rsidR="00154E32" w:rsidRDefault="00A43E04">
            <w:pPr>
              <w:pStyle w:val="P68B1DB1-Normal5"/>
              <w:jc w:val="center"/>
              <w:rPr>
                <w:noProof/>
              </w:rPr>
            </w:pPr>
            <w:r>
              <w:rPr>
                <w:noProof/>
              </w:rPr>
              <w:t>Mejnik</w:t>
            </w:r>
          </w:p>
        </w:tc>
        <w:tc>
          <w:tcPr>
            <w:tcW w:w="147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5E0274" w14:textId="77777777" w:rsidR="00154E32" w:rsidRDefault="00A43E04">
            <w:pPr>
              <w:pStyle w:val="P68B1DB1-Normal5"/>
              <w:jc w:val="center"/>
              <w:rPr>
                <w:noProof/>
              </w:rPr>
            </w:pPr>
            <w:r>
              <w:rPr>
                <w:noProof/>
              </w:rPr>
              <w:t>Zaključek letnega pregleda porabe za leto 2025 s sklicevanjem na cilj prihranka, določen za leta 2022, 2023 in 2024 za leto 2025.</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790E1D3" w14:textId="77777777" w:rsidR="00154E32" w:rsidRDefault="00A43E04">
            <w:pPr>
              <w:pStyle w:val="P68B1DB1-Normal5"/>
              <w:jc w:val="center"/>
              <w:rPr>
                <w:noProof/>
              </w:rPr>
            </w:pPr>
            <w:r>
              <w:rPr>
                <w:noProof/>
              </w:rPr>
              <w:t>Sprejetje poročila finančnega ministrstva o pregledu porabe v letu 2025, ki potrjuje zaključek postopka in doseganje cilja.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3432A6" w14:textId="77777777" w:rsidR="00154E32" w:rsidRDefault="00A43E04">
            <w:pPr>
              <w:pStyle w:val="P68B1DB1-Normal5"/>
              <w:jc w:val="center"/>
              <w:rPr>
                <w:noProof/>
              </w:rPr>
            </w:pPr>
            <w:r>
              <w:rPr>
                <w:noProof/>
              </w:rPr>
              <w:t>JIH NI</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87B95D" w14:textId="77777777" w:rsidR="00154E32" w:rsidRDefault="00A43E04">
            <w:pPr>
              <w:pStyle w:val="P68B1DB1-Normal5"/>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6DEDAF6" w14:textId="77777777" w:rsidR="00154E32" w:rsidRDefault="00A43E04">
            <w:pPr>
              <w:pStyle w:val="P68B1DB1-Normal5"/>
              <w:jc w:val="center"/>
              <w:rPr>
                <w:noProof/>
              </w:rPr>
            </w:pPr>
            <w:r>
              <w:rPr>
                <w:noProof/>
              </w:rPr>
              <w:t>JIH NI</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82CF5B" w14:textId="77777777" w:rsidR="00154E32" w:rsidRDefault="00A43E04">
            <w:pPr>
              <w:pStyle w:val="P68B1DB1-Normal5"/>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59B48A" w14:textId="77777777" w:rsidR="00154E32" w:rsidRDefault="00A43E04">
            <w:pPr>
              <w:pStyle w:val="P68B1DB1-Normal5"/>
              <w:jc w:val="center"/>
              <w:rPr>
                <w:noProof/>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701435" w14:textId="77777777" w:rsidR="00154E32" w:rsidRDefault="00A43E04">
            <w:pPr>
              <w:pStyle w:val="P68B1DB1-Normal5"/>
              <w:spacing w:after="120"/>
              <w:rPr>
                <w:noProof/>
              </w:rPr>
            </w:pPr>
            <w:r>
              <w:rPr>
                <w:noProof/>
              </w:rPr>
              <w:t>Poročilo ministrstva za finance, ki se pošlje svetu ministrov v skladu z uredbama-zakonoma št. 90 in 93 iz leta 2016 ter zakonom 163/2016:</w:t>
            </w:r>
          </w:p>
          <w:p w14:paraId="45C41BAE" w14:textId="77777777" w:rsidR="00154E32" w:rsidRDefault="00A43E04">
            <w:pPr>
              <w:pStyle w:val="P68B1DB1-Normal5"/>
              <w:spacing w:after="120"/>
              <w:rPr>
                <w:noProof/>
              </w:rPr>
            </w:pPr>
            <w:r>
              <w:rPr>
                <w:noProof/>
              </w:rPr>
              <w:t>potrdi zaključek postopka pregleda porabe za leto 2025 v zvezi z določbo za okvir za pregled porabe.</w:t>
            </w:r>
          </w:p>
          <w:p w14:paraId="0F66C7BE" w14:textId="77777777" w:rsidR="00154E32" w:rsidRDefault="00A43E04">
            <w:pPr>
              <w:pStyle w:val="P68B1DB1-Normal5"/>
              <w:spacing w:after="120"/>
              <w:rPr>
                <w:noProof/>
              </w:rPr>
            </w:pPr>
            <w:r>
              <w:rPr>
                <w:noProof/>
              </w:rPr>
              <w:t>potrjuje doseganje cilja, določenega v letih 2022, 2023 in 2024.</w:t>
            </w:r>
          </w:p>
        </w:tc>
      </w:tr>
    </w:tbl>
    <w:p w14:paraId="07EF5307" w14:textId="77777777" w:rsidR="00154E32" w:rsidRDefault="00154E32">
      <w:pPr>
        <w:tabs>
          <w:tab w:val="left" w:pos="4252"/>
        </w:tabs>
        <w:rPr>
          <w:i/>
          <w:noProof/>
        </w:rPr>
        <w:sectPr w:rsidR="00154E32" w:rsidSect="001354D1">
          <w:headerReference w:type="even" r:id="rId24"/>
          <w:headerReference w:type="default" r:id="rId25"/>
          <w:footerReference w:type="even" r:id="rId26"/>
          <w:footerReference w:type="default" r:id="rId27"/>
          <w:headerReference w:type="first" r:id="rId28"/>
          <w:footerReference w:type="first" r:id="rId29"/>
          <w:pgSz w:w="16838" w:h="11906" w:orient="landscape" w:code="9"/>
          <w:pgMar w:top="1134" w:right="1134" w:bottom="1134" w:left="1134" w:header="567" w:footer="567" w:gutter="0"/>
          <w:cols w:space="720"/>
          <w:docGrid w:linePitch="360"/>
        </w:sectPr>
      </w:pPr>
    </w:p>
    <w:p w14:paraId="0350EF91" w14:textId="77777777" w:rsidR="00154E32" w:rsidRDefault="00A43E04">
      <w:pPr>
        <w:pStyle w:val="Heading3"/>
        <w:numPr>
          <w:ilvl w:val="0"/>
          <w:numId w:val="0"/>
        </w:numPr>
        <w:ind w:left="850" w:hanging="850"/>
        <w:rPr>
          <w:b/>
          <w:i w:val="0"/>
          <w:noProof/>
          <w:u w:val="single"/>
        </w:rPr>
      </w:pPr>
      <w:r>
        <w:rPr>
          <w:b/>
          <w:i w:val="0"/>
          <w:noProof/>
          <w:u w:val="single"/>
        </w:rPr>
        <w:t xml:space="preserve">A.3. </w:t>
      </w:r>
      <w:r>
        <w:rPr>
          <w:noProof/>
        </w:rPr>
        <w:tab/>
      </w:r>
      <w:r>
        <w:rPr>
          <w:b/>
          <w:i w:val="0"/>
          <w:noProof/>
          <w:u w:val="single"/>
        </w:rPr>
        <w:t xml:space="preserve">Opis reform in naložb za posojilo </w:t>
      </w:r>
    </w:p>
    <w:p w14:paraId="53032DBF" w14:textId="77777777" w:rsidR="00154E32" w:rsidRDefault="00154E32">
      <w:pPr>
        <w:spacing w:before="120" w:after="120"/>
        <w:jc w:val="both"/>
        <w:rPr>
          <w:rFonts w:eastAsiaTheme="minorHAnsi"/>
          <w:b/>
          <w:noProof/>
        </w:rPr>
      </w:pPr>
    </w:p>
    <w:p w14:paraId="3BFEC857" w14:textId="6754B07D" w:rsidR="00154E32" w:rsidRDefault="00A43E04">
      <w:pPr>
        <w:pStyle w:val="P68B1DB1-Normal2"/>
        <w:spacing w:before="120" w:after="120"/>
        <w:jc w:val="both"/>
        <w:rPr>
          <w:rFonts w:eastAsiaTheme="minorHAnsi"/>
          <w:noProof/>
        </w:rPr>
      </w:pPr>
      <w:r>
        <w:rPr>
          <w:noProof/>
        </w:rPr>
        <w:t>Naložba 1.2 – Omogočanje oblaka za lokalne pripravljalne ukrepe</w:t>
      </w:r>
    </w:p>
    <w:p w14:paraId="385874D1" w14:textId="0ABCD1D6" w:rsidR="00154E32" w:rsidRDefault="00A43E04">
      <w:pPr>
        <w:pStyle w:val="Descriptiontitle"/>
        <w:ind w:left="0"/>
        <w:rPr>
          <w:noProof/>
        </w:rPr>
      </w:pPr>
      <w:r>
        <w:rPr>
          <w:noProof/>
        </w:rPr>
        <w:t xml:space="preserve">Cilj te naložbe je prenesti nabore podatkov in aplikacije znatnega dela lokalne javne uprave na varno infrastrukturo v oblaku, kar bo vsaki upravi omogočilo svobodno izbiro v sklopu certificiranih javnih okolij v oblaku. </w:t>
      </w:r>
    </w:p>
    <w:p w14:paraId="34864D25" w14:textId="77777777" w:rsidR="00154E32" w:rsidRDefault="00A43E04">
      <w:pPr>
        <w:pStyle w:val="Descriptiontitle"/>
        <w:ind w:left="0"/>
        <w:rPr>
          <w:noProof/>
        </w:rPr>
      </w:pPr>
      <w:r>
        <w:rPr>
          <w:noProof/>
        </w:rPr>
        <w:t>Ukrep predvideva tudi podporni paket „migracije kot storitve“ za uprave, ki zajema: (I) začetno presojo, (ii) postopkovno/upravno podporo, potrebno za začetek prizadevanj, (iii) pogajanja o potrebni zunanji podpori in (iv) splošno vodenje projekta med izvajanjem. Skupina, ki jo nadzoruje ministrstvo za tehnološke inovacije in digitalni prehod (MITD), naj bi opredelila in certificirala širok seznam kvalificiranih ponudnikov ter se pogajala o sklopu standardnih podpornih svežnjev, prilagojenih velikosti uprave in služb, vključenih v migracijo.</w:t>
      </w:r>
    </w:p>
    <w:p w14:paraId="1F4A4867" w14:textId="6CA04898" w:rsidR="00154E32" w:rsidRDefault="00A43E04">
      <w:pPr>
        <w:pStyle w:val="P68B1DB1-Normal2"/>
        <w:spacing w:before="120" w:after="120"/>
        <w:jc w:val="both"/>
        <w:rPr>
          <w:rFonts w:eastAsiaTheme="minorHAnsi"/>
          <w:noProof/>
        </w:rPr>
      </w:pPr>
      <w:r>
        <w:rPr>
          <w:noProof/>
        </w:rPr>
        <w:t>Naložba 1.4 – Digitalne storitve in izkušnje državljanov</w:t>
      </w:r>
    </w:p>
    <w:p w14:paraId="7FC86796" w14:textId="77777777" w:rsidR="00154E32" w:rsidRDefault="00A43E04">
      <w:pPr>
        <w:pStyle w:val="Descriptiontitle"/>
        <w:ind w:left="0"/>
        <w:rPr>
          <w:noProof/>
        </w:rPr>
      </w:pPr>
      <w:r>
        <w:rPr>
          <w:noProof/>
        </w:rPr>
        <w:t xml:space="preserve">Cilj te naložbe je razviti integrirano in usklajeno ponudbo najsodobnejših digitalnih storitev, usmerjenih v državljane, zagotoviti njihovo široko uporabo v centralni in lokalni upravi ter izboljšati izkušnje uporabnikov. </w:t>
      </w:r>
    </w:p>
    <w:p w14:paraId="463AF355" w14:textId="77777777" w:rsidR="00154E32" w:rsidRDefault="00A43E04">
      <w:pPr>
        <w:pStyle w:val="Descriptiontitle"/>
        <w:ind w:left="0"/>
        <w:rPr>
          <w:noProof/>
        </w:rPr>
      </w:pPr>
      <w:r>
        <w:rPr>
          <w:noProof/>
        </w:rPr>
        <w:t xml:space="preserve">Ukrep: </w:t>
      </w:r>
    </w:p>
    <w:p w14:paraId="5E95D7DF" w14:textId="77777777" w:rsidR="00154E32" w:rsidRDefault="00A43E04">
      <w:pPr>
        <w:pStyle w:val="Descriptiontitle"/>
        <w:numPr>
          <w:ilvl w:val="0"/>
          <w:numId w:val="82"/>
        </w:numPr>
        <w:ind w:left="578" w:hanging="578"/>
        <w:rPr>
          <w:noProof/>
        </w:rPr>
      </w:pPr>
      <w:r>
        <w:rPr>
          <w:noProof/>
        </w:rPr>
        <w:t>izboljšati izkušnje z digitalnimi javnimi storitvami z opredelitvijo modelov zagotavljanja storitev, ki jih je mogoče ponovno uporabiti in ki zagotavljajo zahteve glede popolne dostopnosti (naložbe 1.4.1 – Izkušnje državljanov – Izboljšanje kakovosti in uporabnosti digitalnih javnih storitev);</w:t>
      </w:r>
    </w:p>
    <w:p w14:paraId="3587779B" w14:textId="77777777" w:rsidR="00154E32" w:rsidRDefault="00A43E04">
      <w:pPr>
        <w:pStyle w:val="Descriptiontitle"/>
        <w:numPr>
          <w:ilvl w:val="0"/>
          <w:numId w:val="82"/>
        </w:numPr>
        <w:ind w:left="578" w:hanging="578"/>
        <w:rPr>
          <w:noProof/>
        </w:rPr>
      </w:pPr>
      <w:r>
        <w:rPr>
          <w:noProof/>
        </w:rPr>
        <w:t>izboljšanje dostopnosti digitalnih javnih storitev (Naložba 1.4.2 – Vključevanje državljanov: Izboljšanje dostopnosti digitalnih javnih storitev);</w:t>
      </w:r>
    </w:p>
    <w:p w14:paraId="290436DF" w14:textId="77777777" w:rsidR="00154E32" w:rsidRDefault="00A43E04">
      <w:pPr>
        <w:pStyle w:val="Descriptiontitle"/>
        <w:numPr>
          <w:ilvl w:val="0"/>
          <w:numId w:val="82"/>
        </w:numPr>
        <w:ind w:left="578" w:hanging="578"/>
        <w:rPr>
          <w:noProof/>
        </w:rPr>
      </w:pPr>
      <w:r>
        <w:rPr>
          <w:noProof/>
        </w:rPr>
        <w:t>spodbujati sprejetje digitalne aplikacije za plačila med državljani in javnimi upravami (PagoPA) ter sprejetje aplikacije „IO“ kot ključne digitalne točke med državljani in upravo za najrazličnejše storitve (vključno z obvestili) v skladu z logiko „vse na enem mestu“ (Naložba 1.4.3 – sprejetje razširitve storitev platforme PagoPA in aplikacije „IO“);</w:t>
      </w:r>
    </w:p>
    <w:p w14:paraId="21B9E061" w14:textId="77777777" w:rsidR="00154E32" w:rsidRDefault="00A43E04">
      <w:pPr>
        <w:pStyle w:val="Descriptiontitle"/>
        <w:numPr>
          <w:ilvl w:val="0"/>
          <w:numId w:val="82"/>
        </w:numPr>
        <w:ind w:left="578" w:hanging="578"/>
        <w:rPr>
          <w:noProof/>
        </w:rPr>
      </w:pPr>
      <w:r>
        <w:rPr>
          <w:noProof/>
        </w:rPr>
        <w:t>spodbujati sprejetje nacionalnih platform za digitalno identiteto (Sistema Pubblico di Identità Digitale, SPID in Carta d’Identità Elettronica, CIE) in nacionalnega registra (Anagrafe nazionale della popolazione residente, ANPR) (naložbe 1.4.4 – Sprejetje nacionalnih platform za digitalno identiteto (SPID, CIE) in nacionalnega registra (ANPR));</w:t>
      </w:r>
    </w:p>
    <w:p w14:paraId="72E1BB22" w14:textId="77777777" w:rsidR="00154E32" w:rsidRDefault="00A43E04">
      <w:pPr>
        <w:pStyle w:val="Descriptiontitle"/>
        <w:numPr>
          <w:ilvl w:val="0"/>
          <w:numId w:val="82"/>
        </w:numPr>
        <w:ind w:left="578" w:hanging="578"/>
        <w:rPr>
          <w:noProof/>
        </w:rPr>
      </w:pPr>
      <w:r>
        <w:rPr>
          <w:noProof/>
        </w:rPr>
        <w:t>razviti enotno platformo za priglasitve (Naložba 1.4.5 – Digitizacija javnih objav);</w:t>
      </w:r>
    </w:p>
    <w:p w14:paraId="58D4F5A5" w14:textId="77777777" w:rsidR="00154E32" w:rsidRDefault="00A43E04">
      <w:pPr>
        <w:pStyle w:val="Descriptiontitle"/>
        <w:numPr>
          <w:ilvl w:val="0"/>
          <w:numId w:val="82"/>
        </w:numPr>
        <w:ind w:left="578" w:hanging="578"/>
        <w:rPr>
          <w:noProof/>
        </w:rPr>
      </w:pPr>
      <w:r>
        <w:rPr>
          <w:noProof/>
        </w:rPr>
        <w:t>spodbujati uvedbo paradigm mobilnosti kot storitve (MaaS) v metropolitanskih mestih, da bi digitalizirali lokalni promet in uporabnikom zagotovili celovito izkušnjo mobilnosti od načrtovanja potovanj do plačil za več načinov prevoza (naložbe 1.4.6 – Mobilnost kot storitev za Italijo, pri čemer se zadnji ukrep financira na podlagi nepovratne finančne podpore).</w:t>
      </w:r>
    </w:p>
    <w:p w14:paraId="7CE0A32A" w14:textId="77777777" w:rsidR="00154E32" w:rsidRDefault="00154E32">
      <w:pPr>
        <w:spacing w:before="120" w:after="120"/>
        <w:jc w:val="both"/>
        <w:rPr>
          <w:rFonts w:eastAsiaTheme="minorHAnsi"/>
          <w:b/>
          <w:noProof/>
        </w:rPr>
      </w:pPr>
    </w:p>
    <w:p w14:paraId="50E0757F" w14:textId="5EAB8A7B" w:rsidR="00154E32" w:rsidRDefault="00A43E04">
      <w:pPr>
        <w:pStyle w:val="P68B1DB1-Normal2"/>
        <w:spacing w:before="120" w:after="120"/>
        <w:jc w:val="both"/>
        <w:rPr>
          <w:rFonts w:eastAsiaTheme="minorHAnsi"/>
          <w:noProof/>
        </w:rPr>
      </w:pPr>
      <w:r>
        <w:rPr>
          <w:noProof/>
        </w:rPr>
        <w:t>Naložba 1.6 – Digitalna preobrazba velikih osrednjih uprav</w:t>
      </w:r>
    </w:p>
    <w:p w14:paraId="4E087110" w14:textId="77777777" w:rsidR="00154E32" w:rsidRDefault="00A43E04">
      <w:pPr>
        <w:pStyle w:val="Descriptiontitle"/>
        <w:ind w:left="0"/>
        <w:rPr>
          <w:noProof/>
        </w:rPr>
      </w:pPr>
      <w:r>
        <w:rPr>
          <w:noProof/>
        </w:rPr>
        <w:t>Cilj te naložbe je preoblikovati in digitalizirati sklop prednostnih procesov, dejavnosti in storitev v glavnih osrednjih upravah, da se poveča učinkovitost teh uprav in poenostavijo postopki. Med zadevnimi centralnimi upravami so: (I) nacionalni zavod za socialno varnost (INPS) in nacionalni inštitut za zavarovanje pred nesrečami pri delu (INAIL), (ii) pravosodni sistem, (iii) ministrstvo za obrambo, (iv) ministrstvo za notranje zadeve, (v) finančna policija.</w:t>
      </w:r>
    </w:p>
    <w:p w14:paraId="34E64A2E" w14:textId="77777777" w:rsidR="00154E32" w:rsidRDefault="00A43E04">
      <w:pPr>
        <w:pStyle w:val="Descriptiontitle"/>
        <w:ind w:left="0"/>
        <w:rPr>
          <w:noProof/>
        </w:rPr>
      </w:pPr>
      <w:r>
        <w:rPr>
          <w:noProof/>
        </w:rPr>
        <w:t>Kar zadeva ministrstvo za notranje zadeve, projekt predvideva (i) digitalizacijo storitev za državljane in preoblikovanje osnovnih notranjih procesov; (II) razvoj notranjih aplikacij in sistemov upravljanja za razvoj notranjega centraliziranega sistema preverjanja fizične in digitalne identitete ter povezanih atributov, ki javnim uradnikom (npr. policija) omogoča, da na daljavo preverijo osebne dokumente in dovoljenja (npr. zdravstveno izkaznico, vozniško dovoljenje itd.), ki so v lasti državljanov in so povezani z vrednotenjem vpliva na podlagi hipotetičnega scenarija; (III) izpopolnjevanje osebja za krepitev digitalnih zmogljivosti (1.6.1 – Digitizacija ministrstva za notranje zadeve).</w:t>
      </w:r>
    </w:p>
    <w:p w14:paraId="01B8989D" w14:textId="7C9D2AAD" w:rsidR="00154E32" w:rsidRDefault="00A43E04">
      <w:pPr>
        <w:pStyle w:val="Descriptiontitle"/>
        <w:ind w:left="0"/>
        <w:rPr>
          <w:noProof/>
        </w:rPr>
      </w:pPr>
      <w:r>
        <w:rPr>
          <w:noProof/>
        </w:rPr>
        <w:t>Kar zadeva pravosodni sistem, projekt predvideva (i) digitalizacijo arhivov (7750000 sodnih spisov) v zadnjih dvajsetih letih (01/01/2006–30/06/2026) v zvezi s civilnimi postopki nižjih sodišč (Tribunali ordinari), prizivnimi sodišči in sodnimi spisi vrhovnega sodišča, mirovnimi sodniki okrožnih prestolnic, uradi za mladoletnike, kazenskimi oddelki sodišč in pritožbenih sodišč ter državnimi tožilstvi; (II) vzpostavitev podatkovnega jezera (programske plasti), ki deluje kot enotna točka dostopa do celotnega niza neobdelanih podatkov, ki jih ustvari pravosodni sistem. Informacije, shranjene v podatkovnem jezeru, se izkoriščajo z uporabo rešitev umetne inteligence za: anonimizirajo civilne in kazenske obsodbe; (II) Samodejna identifikacija razmerja med žrtvijo in storilcem v pravnih določbah; (III) upravlja, analizira in organizira predhodno sodno prakso, da se olajša posvetovanje civilnih sodnikov in državnih tožilcev; (IV) izvaja napredno statistično analizo učinkovitosti in uspešnosti pravosodnega sistema; (v) upravlja in spremlja čas obdelave dejavnosti, ki jih izvajajo sodni uradi (naložbe 1.6.2 – Digitizacija ministrstva za pravosodje in 1.6.5 – Digitizacija državnega sveta, ki se financira na podlagi nepovratne finančne podpore).</w:t>
      </w:r>
    </w:p>
    <w:p w14:paraId="21C3609B" w14:textId="77777777" w:rsidR="00154E32" w:rsidRDefault="00A43E04">
      <w:pPr>
        <w:pStyle w:val="Descriptiontitle"/>
        <w:ind w:left="0"/>
        <w:rPr>
          <w:noProof/>
        </w:rPr>
      </w:pPr>
      <w:r>
        <w:rPr>
          <w:noProof/>
        </w:rPr>
        <w:t>Kar zadeva INPS in INAIL, projekt zajema obsežen pregled njunih notranjih sistemov in postopkov ter razvoj njunih digitalnih točk za stike z rezidenti, podjetji in drugimi javnimi upravami, da bi uporabnikom zagotovili nemoteno digitalno izkušnjo (1.6.3 – Digitizacija nacionalnega inštituta za socialno varnost (INPS) in Nacionalnega inštituta za zavarovanje pred nesrečami pri delu (INAIL)).</w:t>
      </w:r>
    </w:p>
    <w:p w14:paraId="5F5DDC2C" w14:textId="1183B056" w:rsidR="00154E32" w:rsidRDefault="00A43E04">
      <w:pPr>
        <w:pStyle w:val="Descriptiontitle"/>
        <w:ind w:left="0"/>
        <w:rPr>
          <w:noProof/>
        </w:rPr>
      </w:pPr>
      <w:r>
        <w:rPr>
          <w:noProof/>
        </w:rPr>
        <w:t>Kar zadeva ministrstvo za obrambo, projekt zajema (i) izboljšanje varnosti treh temeljnih sklopov informacij (osebje, upravna dokumentacija, notranja in zunanja komunikacija) ter (ii) prehod vseh sistemov in aplikacij na odprtokodno paradigmo, skladno z varnostnimi politikami, opredeljenimi v referenčnem regulativnem okviru (Naložba 1.6.4 – Digitizacija ministrstva za obrambo).</w:t>
      </w:r>
    </w:p>
    <w:p w14:paraId="2ED467DD" w14:textId="77777777" w:rsidR="00154E32" w:rsidRDefault="00A43E04">
      <w:pPr>
        <w:pStyle w:val="Descriptiontitle"/>
        <w:ind w:left="0"/>
        <w:rPr>
          <w:noProof/>
        </w:rPr>
      </w:pPr>
      <w:r>
        <w:rPr>
          <w:noProof/>
        </w:rPr>
        <w:t>Kar zadeva finančno policijo, je projekt namenjen zlasti (i) reorganizaciji podatkovnih zbirk; (II) uvedba podatkovne znanosti v operativne postopke in postopke odločanja (Naložba 1.6.6 – Digitizacija finančne policije, ki se financira na podlagi nepovratne finančne podpore).</w:t>
      </w:r>
    </w:p>
    <w:p w14:paraId="25A167FF" w14:textId="77777777" w:rsidR="00154E32" w:rsidRDefault="00154E32">
      <w:pPr>
        <w:jc w:val="both"/>
        <w:rPr>
          <w:noProof/>
        </w:rPr>
      </w:pPr>
    </w:p>
    <w:p w14:paraId="3C1F6BE4" w14:textId="77777777" w:rsidR="00154E32" w:rsidRDefault="00154E32">
      <w:pPr>
        <w:spacing w:before="120" w:after="120"/>
        <w:ind w:left="709"/>
        <w:jc w:val="both"/>
        <w:rPr>
          <w:b/>
          <w:i/>
          <w:noProof/>
          <w:color w:val="4F81BD" w:themeColor="accent1"/>
        </w:rPr>
      </w:pPr>
    </w:p>
    <w:p w14:paraId="1C7AE3E5" w14:textId="77777777" w:rsidR="00154E32" w:rsidRDefault="00154E32">
      <w:pPr>
        <w:spacing w:before="120" w:after="120"/>
        <w:ind w:left="709"/>
        <w:jc w:val="both"/>
        <w:rPr>
          <w:b/>
          <w:i/>
          <w:noProof/>
          <w:color w:val="4F81BD" w:themeColor="accent1"/>
        </w:rPr>
        <w:sectPr w:rsidR="00154E32" w:rsidSect="001354D1">
          <w:headerReference w:type="even" r:id="rId30"/>
          <w:headerReference w:type="default" r:id="rId31"/>
          <w:footerReference w:type="even" r:id="rId32"/>
          <w:footerReference w:type="default" r:id="rId33"/>
          <w:headerReference w:type="first" r:id="rId34"/>
          <w:footerReference w:type="first" r:id="rId35"/>
          <w:pgSz w:w="11906" w:h="16838" w:code="12"/>
          <w:pgMar w:top="1134" w:right="1134" w:bottom="1134" w:left="1134" w:header="567" w:footer="567" w:gutter="0"/>
          <w:cols w:space="720"/>
          <w:docGrid w:linePitch="360"/>
        </w:sectPr>
      </w:pPr>
    </w:p>
    <w:p w14:paraId="31858868" w14:textId="77777777" w:rsidR="00154E32" w:rsidRDefault="00A43E04">
      <w:pPr>
        <w:pStyle w:val="Heading3"/>
        <w:numPr>
          <w:ilvl w:val="0"/>
          <w:numId w:val="0"/>
        </w:numPr>
        <w:ind w:left="850" w:hanging="850"/>
        <w:rPr>
          <w:b/>
          <w:i w:val="0"/>
          <w:noProof/>
          <w:u w:val="single"/>
        </w:rPr>
      </w:pPr>
      <w:r>
        <w:rPr>
          <w:b/>
          <w:i w:val="0"/>
          <w:noProof/>
          <w:u w:val="single"/>
        </w:rPr>
        <w:t xml:space="preserve">A.4. </w:t>
      </w:r>
      <w:r>
        <w:rPr>
          <w:noProof/>
        </w:rPr>
        <w:tab/>
      </w:r>
      <w:r>
        <w:rPr>
          <w:b/>
          <w:i w:val="0"/>
          <w:noProof/>
          <w:u w:val="single"/>
        </w:rPr>
        <w:t xml:space="preserve">Mejniki, cilji, kazalniki in časovni razpored za spremljanje in izvajanje posojila </w:t>
      </w:r>
    </w:p>
    <w:tbl>
      <w:tblPr>
        <w:tblW w:w="15678"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284"/>
        <w:gridCol w:w="1746"/>
        <w:gridCol w:w="992"/>
        <w:gridCol w:w="2126"/>
        <w:gridCol w:w="1701"/>
        <w:gridCol w:w="1134"/>
        <w:gridCol w:w="1276"/>
        <w:gridCol w:w="1417"/>
        <w:gridCol w:w="793"/>
        <w:gridCol w:w="625"/>
        <w:gridCol w:w="2584"/>
      </w:tblGrid>
      <w:tr w:rsidR="00154E32" w14:paraId="6517F44F" w14:textId="77777777">
        <w:trPr>
          <w:trHeight w:val="774"/>
          <w:tblHeader/>
        </w:trPr>
        <w:tc>
          <w:tcPr>
            <w:tcW w:w="1284" w:type="dxa"/>
            <w:vMerge w:val="restart"/>
            <w:shd w:val="clear" w:color="auto" w:fill="BDD7EE"/>
            <w:vAlign w:val="center"/>
            <w:hideMark/>
          </w:tcPr>
          <w:p w14:paraId="6ACECACE" w14:textId="77777777" w:rsidR="00154E32" w:rsidRDefault="00A43E04">
            <w:pPr>
              <w:pStyle w:val="P68B1DB1-Normal9"/>
              <w:jc w:val="center"/>
              <w:rPr>
                <w:noProof/>
              </w:rPr>
            </w:pPr>
            <w:r>
              <w:rPr>
                <w:noProof/>
              </w:rPr>
              <w:t>Zaporedna številka</w:t>
            </w:r>
          </w:p>
        </w:tc>
        <w:tc>
          <w:tcPr>
            <w:tcW w:w="1746" w:type="dxa"/>
            <w:vMerge w:val="restart"/>
            <w:shd w:val="clear" w:color="auto" w:fill="BDD7EE"/>
            <w:vAlign w:val="center"/>
            <w:hideMark/>
          </w:tcPr>
          <w:p w14:paraId="1A47368D" w14:textId="77777777" w:rsidR="00154E32" w:rsidRDefault="00A43E04">
            <w:pPr>
              <w:pStyle w:val="P68B1DB1-Normal9"/>
              <w:jc w:val="center"/>
              <w:rPr>
                <w:noProof/>
              </w:rPr>
            </w:pPr>
            <w:r>
              <w:rPr>
                <w:noProof/>
              </w:rPr>
              <w:t>Povezani ukrep (reforma ali naložba)</w:t>
            </w:r>
          </w:p>
        </w:tc>
        <w:tc>
          <w:tcPr>
            <w:tcW w:w="992" w:type="dxa"/>
            <w:vMerge w:val="restart"/>
            <w:shd w:val="clear" w:color="auto" w:fill="BDD7EE"/>
            <w:vAlign w:val="center"/>
            <w:hideMark/>
          </w:tcPr>
          <w:p w14:paraId="3904807C" w14:textId="77777777" w:rsidR="00154E32" w:rsidRDefault="00A43E04">
            <w:pPr>
              <w:pStyle w:val="P68B1DB1-Normal9"/>
              <w:jc w:val="center"/>
              <w:rPr>
                <w:noProof/>
              </w:rPr>
            </w:pPr>
            <w:r>
              <w:rPr>
                <w:noProof/>
              </w:rPr>
              <w:t>Mejnik</w:t>
            </w:r>
          </w:p>
          <w:p w14:paraId="7CC1F6E6" w14:textId="77777777" w:rsidR="00154E32" w:rsidRDefault="00A43E04">
            <w:pPr>
              <w:pStyle w:val="P68B1DB1-Normal9"/>
              <w:jc w:val="center"/>
              <w:rPr>
                <w:noProof/>
              </w:rPr>
            </w:pPr>
            <w:r>
              <w:rPr>
                <w:noProof/>
              </w:rPr>
              <w:t>/Ciljni cilj</w:t>
            </w:r>
          </w:p>
        </w:tc>
        <w:tc>
          <w:tcPr>
            <w:tcW w:w="2126" w:type="dxa"/>
            <w:vMerge w:val="restart"/>
            <w:shd w:val="clear" w:color="auto" w:fill="BDD7EE"/>
            <w:vAlign w:val="center"/>
            <w:hideMark/>
          </w:tcPr>
          <w:p w14:paraId="3829DE4D" w14:textId="77777777" w:rsidR="00154E32" w:rsidRDefault="00A43E04">
            <w:pPr>
              <w:pStyle w:val="P68B1DB1-Normal9"/>
              <w:jc w:val="center"/>
              <w:rPr>
                <w:noProof/>
              </w:rPr>
            </w:pPr>
            <w:r>
              <w:rPr>
                <w:noProof/>
              </w:rPr>
              <w:t>Ime</w:t>
            </w:r>
          </w:p>
        </w:tc>
        <w:tc>
          <w:tcPr>
            <w:tcW w:w="1701" w:type="dxa"/>
            <w:vMerge w:val="restart"/>
            <w:shd w:val="clear" w:color="auto" w:fill="BDD7EE"/>
            <w:vAlign w:val="center"/>
            <w:hideMark/>
          </w:tcPr>
          <w:p w14:paraId="3941F67B" w14:textId="77777777" w:rsidR="00154E32" w:rsidRDefault="00A43E04">
            <w:pPr>
              <w:pStyle w:val="P68B1DB1-Normal10"/>
              <w:jc w:val="center"/>
              <w:rPr>
                <w:b/>
                <w:noProof/>
                <w:sz w:val="20"/>
              </w:rPr>
            </w:pPr>
            <w:r>
              <w:rPr>
                <w:b/>
                <w:noProof/>
                <w:sz w:val="20"/>
              </w:rPr>
              <w:t>Kakovostni kazalniki</w:t>
            </w:r>
            <w:r>
              <w:rPr>
                <w:noProof/>
              </w:rPr>
              <w:t xml:space="preserve"> </w:t>
            </w:r>
            <w:r>
              <w:rPr>
                <w:noProof/>
              </w:rPr>
              <w:br/>
            </w:r>
            <w:r>
              <w:rPr>
                <w:b/>
                <w:noProof/>
                <w:sz w:val="20"/>
              </w:rPr>
              <w:t>(za mejnike)</w:t>
            </w:r>
          </w:p>
        </w:tc>
        <w:tc>
          <w:tcPr>
            <w:tcW w:w="3827" w:type="dxa"/>
            <w:gridSpan w:val="3"/>
            <w:shd w:val="clear" w:color="auto" w:fill="BDD7EE"/>
            <w:vAlign w:val="center"/>
            <w:hideMark/>
          </w:tcPr>
          <w:p w14:paraId="3299A39A" w14:textId="77777777" w:rsidR="00154E32" w:rsidRDefault="00A43E04">
            <w:pPr>
              <w:pStyle w:val="P68B1DB1-Normal10"/>
              <w:jc w:val="center"/>
              <w:rPr>
                <w:b/>
                <w:noProof/>
                <w:sz w:val="20"/>
              </w:rPr>
            </w:pPr>
            <w:r>
              <w:rPr>
                <w:b/>
                <w:noProof/>
                <w:sz w:val="20"/>
              </w:rPr>
              <w:t>Kvantitativni kazalniki</w:t>
            </w:r>
            <w:r>
              <w:rPr>
                <w:noProof/>
              </w:rPr>
              <w:t xml:space="preserve"> </w:t>
            </w:r>
            <w:r>
              <w:rPr>
                <w:noProof/>
              </w:rPr>
              <w:br/>
            </w:r>
            <w:r>
              <w:rPr>
                <w:b/>
                <w:noProof/>
                <w:sz w:val="20"/>
              </w:rPr>
              <w:t>(za ciljne vrednosti)</w:t>
            </w:r>
          </w:p>
        </w:tc>
        <w:tc>
          <w:tcPr>
            <w:tcW w:w="1418" w:type="dxa"/>
            <w:gridSpan w:val="2"/>
            <w:shd w:val="clear" w:color="auto" w:fill="BDD7EE"/>
            <w:vAlign w:val="center"/>
            <w:hideMark/>
          </w:tcPr>
          <w:p w14:paraId="4B261965" w14:textId="77777777" w:rsidR="00154E32" w:rsidRDefault="00A43E04">
            <w:pPr>
              <w:pStyle w:val="P68B1DB1-Normal9"/>
              <w:jc w:val="center"/>
              <w:rPr>
                <w:noProof/>
              </w:rPr>
            </w:pPr>
            <w:r>
              <w:rPr>
                <w:noProof/>
              </w:rPr>
              <w:t>Okvirni časovni razpored za dokončanje</w:t>
            </w:r>
          </w:p>
        </w:tc>
        <w:tc>
          <w:tcPr>
            <w:tcW w:w="2584" w:type="dxa"/>
            <w:vMerge w:val="restart"/>
            <w:shd w:val="clear" w:color="auto" w:fill="BDD7EE"/>
            <w:vAlign w:val="center"/>
            <w:hideMark/>
          </w:tcPr>
          <w:p w14:paraId="0FA9185A" w14:textId="77777777" w:rsidR="00154E32" w:rsidRDefault="00A43E04">
            <w:pPr>
              <w:pStyle w:val="P68B1DB1-Normal9"/>
              <w:jc w:val="center"/>
              <w:rPr>
                <w:noProof/>
              </w:rPr>
            </w:pPr>
            <w:r>
              <w:rPr>
                <w:noProof/>
              </w:rPr>
              <w:t>Opis vsakega mejnika in cilja</w:t>
            </w:r>
          </w:p>
        </w:tc>
      </w:tr>
      <w:tr w:rsidR="00154E32" w14:paraId="5FE3D8DB" w14:textId="77777777">
        <w:trPr>
          <w:trHeight w:val="686"/>
          <w:tblHeader/>
        </w:trPr>
        <w:tc>
          <w:tcPr>
            <w:tcW w:w="1284" w:type="dxa"/>
            <w:vMerge/>
            <w:vAlign w:val="center"/>
            <w:hideMark/>
          </w:tcPr>
          <w:p w14:paraId="63045CB4" w14:textId="77777777" w:rsidR="00154E32" w:rsidRDefault="00154E32">
            <w:pPr>
              <w:jc w:val="center"/>
              <w:rPr>
                <w:rFonts w:ascii="Arial Narrow" w:hAnsi="Arial Narrow"/>
                <w:b/>
                <w:noProof/>
                <w:sz w:val="20"/>
              </w:rPr>
            </w:pPr>
          </w:p>
        </w:tc>
        <w:tc>
          <w:tcPr>
            <w:tcW w:w="1746" w:type="dxa"/>
            <w:vMerge/>
            <w:vAlign w:val="center"/>
            <w:hideMark/>
          </w:tcPr>
          <w:p w14:paraId="396555B5" w14:textId="77777777" w:rsidR="00154E32" w:rsidRDefault="00154E32">
            <w:pPr>
              <w:jc w:val="center"/>
              <w:rPr>
                <w:rFonts w:ascii="Arial Narrow" w:hAnsi="Arial Narrow"/>
                <w:b/>
                <w:noProof/>
                <w:sz w:val="20"/>
              </w:rPr>
            </w:pPr>
          </w:p>
        </w:tc>
        <w:tc>
          <w:tcPr>
            <w:tcW w:w="992" w:type="dxa"/>
            <w:vMerge/>
            <w:vAlign w:val="center"/>
            <w:hideMark/>
          </w:tcPr>
          <w:p w14:paraId="7F95E54E" w14:textId="77777777" w:rsidR="00154E32" w:rsidRDefault="00154E32">
            <w:pPr>
              <w:jc w:val="center"/>
              <w:rPr>
                <w:rFonts w:ascii="Arial Narrow" w:hAnsi="Arial Narrow"/>
                <w:b/>
                <w:noProof/>
                <w:sz w:val="20"/>
              </w:rPr>
            </w:pPr>
          </w:p>
        </w:tc>
        <w:tc>
          <w:tcPr>
            <w:tcW w:w="2126" w:type="dxa"/>
            <w:vMerge/>
            <w:vAlign w:val="center"/>
            <w:hideMark/>
          </w:tcPr>
          <w:p w14:paraId="348AD866" w14:textId="77777777" w:rsidR="00154E32" w:rsidRDefault="00154E32">
            <w:pPr>
              <w:jc w:val="center"/>
              <w:rPr>
                <w:rFonts w:ascii="Arial Narrow" w:hAnsi="Arial Narrow"/>
                <w:b/>
                <w:noProof/>
                <w:sz w:val="20"/>
              </w:rPr>
            </w:pPr>
          </w:p>
        </w:tc>
        <w:tc>
          <w:tcPr>
            <w:tcW w:w="1701" w:type="dxa"/>
            <w:vMerge/>
            <w:vAlign w:val="center"/>
            <w:hideMark/>
          </w:tcPr>
          <w:p w14:paraId="4D9C8CA8" w14:textId="77777777" w:rsidR="00154E32" w:rsidRDefault="00154E32">
            <w:pPr>
              <w:jc w:val="center"/>
              <w:rPr>
                <w:rFonts w:ascii="Arial Narrow" w:hAnsi="Arial Narrow"/>
                <w:b/>
                <w:noProof/>
                <w:sz w:val="20"/>
              </w:rPr>
            </w:pPr>
          </w:p>
        </w:tc>
        <w:tc>
          <w:tcPr>
            <w:tcW w:w="1134" w:type="dxa"/>
            <w:shd w:val="clear" w:color="auto" w:fill="BDD7EE"/>
            <w:vAlign w:val="center"/>
            <w:hideMark/>
          </w:tcPr>
          <w:p w14:paraId="09CCED70" w14:textId="77777777" w:rsidR="00154E32" w:rsidRDefault="00A43E04">
            <w:pPr>
              <w:pStyle w:val="P68B1DB1-Normal9"/>
              <w:jc w:val="center"/>
              <w:rPr>
                <w:noProof/>
              </w:rPr>
            </w:pPr>
            <w:r>
              <w:rPr>
                <w:noProof/>
              </w:rPr>
              <w:t>Enota</w:t>
            </w:r>
          </w:p>
          <w:p w14:paraId="15BDA474" w14:textId="77777777" w:rsidR="00154E32" w:rsidRDefault="00A43E04">
            <w:pPr>
              <w:pStyle w:val="P68B1DB1-Normal9"/>
              <w:jc w:val="center"/>
              <w:rPr>
                <w:noProof/>
              </w:rPr>
            </w:pPr>
            <w:r>
              <w:rPr>
                <w:noProof/>
              </w:rPr>
              <w:t>ukrep</w:t>
            </w:r>
          </w:p>
        </w:tc>
        <w:tc>
          <w:tcPr>
            <w:tcW w:w="1276" w:type="dxa"/>
            <w:shd w:val="clear" w:color="auto" w:fill="BDD7EE"/>
            <w:vAlign w:val="center"/>
            <w:hideMark/>
          </w:tcPr>
          <w:p w14:paraId="275AA38D" w14:textId="77777777" w:rsidR="00154E32" w:rsidRDefault="00A43E04">
            <w:pPr>
              <w:pStyle w:val="P68B1DB1-Normal9"/>
              <w:jc w:val="center"/>
              <w:rPr>
                <w:noProof/>
              </w:rPr>
            </w:pPr>
            <w:r>
              <w:rPr>
                <w:noProof/>
              </w:rPr>
              <w:t>Izhodišče</w:t>
            </w:r>
          </w:p>
        </w:tc>
        <w:tc>
          <w:tcPr>
            <w:tcW w:w="1417" w:type="dxa"/>
            <w:shd w:val="clear" w:color="auto" w:fill="BDD7EE"/>
            <w:vAlign w:val="center"/>
            <w:hideMark/>
          </w:tcPr>
          <w:p w14:paraId="5B410E8B" w14:textId="77777777" w:rsidR="00154E32" w:rsidRDefault="00A43E04">
            <w:pPr>
              <w:pStyle w:val="P68B1DB1-Normal9"/>
              <w:jc w:val="center"/>
              <w:rPr>
                <w:noProof/>
              </w:rPr>
            </w:pPr>
            <w:r>
              <w:rPr>
                <w:noProof/>
              </w:rPr>
              <w:t>Cilj</w:t>
            </w:r>
          </w:p>
        </w:tc>
        <w:tc>
          <w:tcPr>
            <w:tcW w:w="793" w:type="dxa"/>
            <w:shd w:val="clear" w:color="auto" w:fill="BDD7EE"/>
            <w:vAlign w:val="center"/>
            <w:hideMark/>
          </w:tcPr>
          <w:p w14:paraId="69D7DEC8" w14:textId="77777777" w:rsidR="00154E32" w:rsidRDefault="00A43E04">
            <w:pPr>
              <w:pStyle w:val="P68B1DB1-Normal9"/>
              <w:jc w:val="center"/>
              <w:rPr>
                <w:noProof/>
              </w:rPr>
            </w:pPr>
            <w:r>
              <w:rPr>
                <w:noProof/>
              </w:rPr>
              <w:t>Četrtletje</w:t>
            </w:r>
          </w:p>
        </w:tc>
        <w:tc>
          <w:tcPr>
            <w:tcW w:w="625" w:type="dxa"/>
            <w:shd w:val="clear" w:color="auto" w:fill="BDD7EE"/>
            <w:vAlign w:val="center"/>
            <w:hideMark/>
          </w:tcPr>
          <w:p w14:paraId="198A9B44" w14:textId="77777777" w:rsidR="00154E32" w:rsidRDefault="00A43E04">
            <w:pPr>
              <w:pStyle w:val="P68B1DB1-Normal9"/>
              <w:jc w:val="center"/>
              <w:rPr>
                <w:noProof/>
              </w:rPr>
            </w:pPr>
            <w:r>
              <w:rPr>
                <w:noProof/>
              </w:rPr>
              <w:t>Leto</w:t>
            </w:r>
          </w:p>
        </w:tc>
        <w:tc>
          <w:tcPr>
            <w:tcW w:w="2584" w:type="dxa"/>
            <w:vMerge/>
            <w:vAlign w:val="center"/>
            <w:hideMark/>
          </w:tcPr>
          <w:p w14:paraId="757335CC" w14:textId="77777777" w:rsidR="00154E32" w:rsidRDefault="00154E32">
            <w:pPr>
              <w:rPr>
                <w:rFonts w:ascii="Arial Narrow" w:hAnsi="Arial Narrow"/>
                <w:b/>
                <w:noProof/>
                <w:sz w:val="20"/>
              </w:rPr>
            </w:pPr>
          </w:p>
        </w:tc>
      </w:tr>
      <w:tr w:rsidR="00154E32" w14:paraId="49DA65BD" w14:textId="77777777">
        <w:trPr>
          <w:trHeight w:val="81"/>
        </w:trPr>
        <w:tc>
          <w:tcPr>
            <w:tcW w:w="12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059BE6" w14:textId="25E3DA6D" w:rsidR="00154E32" w:rsidRDefault="00A43E04">
            <w:pPr>
              <w:pStyle w:val="P68B1DB1-Normal11"/>
              <w:jc w:val="center"/>
              <w:rPr>
                <w:noProof/>
              </w:rPr>
            </w:pPr>
            <w:r>
              <w:rPr>
                <w:noProof/>
              </w:rPr>
              <w:t>M1C1–14</w:t>
            </w:r>
          </w:p>
        </w:tc>
        <w:tc>
          <w:tcPr>
            <w:tcW w:w="174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43A9A07" w14:textId="313F3B99" w:rsidR="00154E32" w:rsidRDefault="00A43E04">
            <w:pPr>
              <w:pStyle w:val="P68B1DB1-Normal11"/>
              <w:jc w:val="center"/>
              <w:rPr>
                <w:noProof/>
              </w:rPr>
            </w:pPr>
            <w:r>
              <w:rPr>
                <w:noProof/>
              </w:rPr>
              <w:t>Naložba 1.6.5: Digitalizacija državnega sveta</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733BF5A" w14:textId="61DE38AB" w:rsidR="00154E32" w:rsidRDefault="00A43E04">
            <w:pPr>
              <w:pStyle w:val="P68B1DB1-Normal11"/>
              <w:jc w:val="center"/>
              <w:rPr>
                <w:noProof/>
              </w:rPr>
            </w:pPr>
            <w:r>
              <w:rPr>
                <w:noProof/>
              </w:rPr>
              <w:t>Tarča</w:t>
            </w:r>
          </w:p>
        </w:tc>
        <w:tc>
          <w:tcPr>
            <w:tcW w:w="212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40E479" w14:textId="2530DB07" w:rsidR="00154E32" w:rsidRDefault="00A43E04">
            <w:pPr>
              <w:pStyle w:val="P68B1DB1-Normal11"/>
              <w:jc w:val="center"/>
              <w:rPr>
                <w:noProof/>
              </w:rPr>
            </w:pPr>
            <w:r>
              <w:rPr>
                <w:noProof/>
              </w:rPr>
              <w:t>Državni svet – sodni dokumenti, ki so na voljo za analizo v podatkovnem skladišču T1</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F89A457" w14:textId="5E4F6C64" w:rsidR="00154E32" w:rsidRDefault="00A43E04">
            <w:pPr>
              <w:pStyle w:val="P68B1DB1-Normal11"/>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7261CA" w14:textId="27FE11CB" w:rsidR="00154E32" w:rsidRDefault="00A43E04">
            <w:pPr>
              <w:pStyle w:val="P68B1DB1-Normal11"/>
              <w:jc w:val="center"/>
              <w:rPr>
                <w:noProof/>
              </w:rPr>
            </w:pPr>
            <w:r>
              <w:rPr>
                <w:noProof/>
              </w:rPr>
              <w:t>Število</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1E6777" w14:textId="58FD6DF0" w:rsidR="00154E32" w:rsidRDefault="00A43E04">
            <w:pPr>
              <w:pStyle w:val="P68B1DB1-Normal11"/>
              <w:jc w:val="center"/>
              <w:rPr>
                <w:noProof/>
              </w:rPr>
            </w:pPr>
            <w:r>
              <w:rPr>
                <w:noProof/>
              </w:rPr>
              <w:t>0</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A73F4FB" w14:textId="0D6F7E30" w:rsidR="00154E32" w:rsidRDefault="00A43E04">
            <w:pPr>
              <w:pStyle w:val="P68B1DB1-Normal11"/>
              <w:jc w:val="center"/>
              <w:rPr>
                <w:noProof/>
              </w:rPr>
            </w:pPr>
            <w:r>
              <w:rPr>
                <w:noProof/>
              </w:rPr>
              <w:t>800 000</w:t>
            </w:r>
          </w:p>
        </w:tc>
        <w:tc>
          <w:tcPr>
            <w:tcW w:w="79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8A163A" w14:textId="09489D6E" w:rsidR="00154E32" w:rsidRDefault="00A43E04">
            <w:pPr>
              <w:pStyle w:val="P68B1DB1-Normal11"/>
              <w:jc w:val="center"/>
              <w:rPr>
                <w:noProof/>
              </w:rPr>
            </w:pPr>
            <w:r>
              <w:rPr>
                <w:noProof/>
              </w:rPr>
              <w:t>Q4</w:t>
            </w:r>
          </w:p>
        </w:tc>
        <w:tc>
          <w:tcPr>
            <w:tcW w:w="6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838F22" w14:textId="41CC3BF5" w:rsidR="00154E32" w:rsidRDefault="00A43E04">
            <w:pPr>
              <w:pStyle w:val="P68B1DB1-Normal11"/>
              <w:jc w:val="center"/>
              <w:rPr>
                <w:noProof/>
              </w:rPr>
            </w:pPr>
            <w:r>
              <w:rPr>
                <w:noProof/>
              </w:rPr>
              <w:t>2023</w:t>
            </w:r>
          </w:p>
        </w:tc>
        <w:tc>
          <w:tcPr>
            <w:tcW w:w="25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16B994" w14:textId="53250C48" w:rsidR="00154E32" w:rsidRDefault="00A43E04">
            <w:pPr>
              <w:pStyle w:val="P68B1DB1-Normal11"/>
              <w:spacing w:after="120"/>
              <w:rPr>
                <w:noProof/>
              </w:rPr>
            </w:pPr>
            <w:r>
              <w:rPr>
                <w:noProof/>
              </w:rPr>
              <w:t>Število sodnih dokumentov, povezanih s sistemom upravne pristojnosti (kot so obsodbe, mnenja in odredbe), ki so v celoti na voljo v podatkovnem skladišču.</w:t>
            </w:r>
          </w:p>
        </w:tc>
      </w:tr>
      <w:tr w:rsidR="00154E32" w14:paraId="259CE2EC" w14:textId="77777777">
        <w:trPr>
          <w:trHeight w:val="81"/>
        </w:trPr>
        <w:tc>
          <w:tcPr>
            <w:tcW w:w="12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048742" w14:textId="09A5BAB6" w:rsidR="00154E32" w:rsidRDefault="00A43E04">
            <w:pPr>
              <w:pStyle w:val="P68B1DB1-Normal11"/>
              <w:jc w:val="center"/>
              <w:rPr>
                <w:noProof/>
              </w:rPr>
            </w:pPr>
            <w:r>
              <w:rPr>
                <w:noProof/>
              </w:rPr>
              <w:t>M1C1–16</w:t>
            </w:r>
          </w:p>
        </w:tc>
        <w:tc>
          <w:tcPr>
            <w:tcW w:w="174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C5C105" w14:textId="35F88E97" w:rsidR="00154E32" w:rsidRDefault="00A43E04">
            <w:pPr>
              <w:pStyle w:val="P68B1DB1-Normal11"/>
              <w:jc w:val="center"/>
              <w:rPr>
                <w:noProof/>
              </w:rPr>
            </w:pPr>
            <w:r>
              <w:rPr>
                <w:noProof/>
              </w:rPr>
              <w:t>Naložba 1.6.5: Digitalizacija državnega sveta</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18AD90D" w14:textId="1B8312B8" w:rsidR="00154E32" w:rsidRDefault="00A43E04">
            <w:pPr>
              <w:pStyle w:val="P68B1DB1-Normal11"/>
              <w:jc w:val="center"/>
              <w:rPr>
                <w:noProof/>
              </w:rPr>
            </w:pPr>
            <w:r>
              <w:rPr>
                <w:noProof/>
              </w:rPr>
              <w:t>Tarča</w:t>
            </w:r>
          </w:p>
        </w:tc>
        <w:tc>
          <w:tcPr>
            <w:tcW w:w="212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B58158" w14:textId="0E71EAD9" w:rsidR="00154E32" w:rsidRDefault="00A43E04">
            <w:pPr>
              <w:pStyle w:val="P68B1DB1-Normal11"/>
              <w:jc w:val="center"/>
              <w:rPr>
                <w:noProof/>
              </w:rPr>
            </w:pPr>
            <w:r>
              <w:rPr>
                <w:noProof/>
              </w:rPr>
              <w:t>Državni svet – sodni dokumenti, ki so na voljo za analizo v podatkovnem skladišču T2</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2FDA98" w14:textId="434B3DAE" w:rsidR="00154E32" w:rsidRDefault="00A43E04">
            <w:pPr>
              <w:pStyle w:val="P68B1DB1-Normal11"/>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2E1D9F3" w14:textId="388A148D" w:rsidR="00154E32" w:rsidRDefault="00A43E04">
            <w:pPr>
              <w:pStyle w:val="P68B1DB1-Normal11"/>
              <w:jc w:val="center"/>
              <w:rPr>
                <w:noProof/>
              </w:rPr>
            </w:pPr>
            <w:r>
              <w:rPr>
                <w:noProof/>
              </w:rPr>
              <w:t>Število</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732C3A" w14:textId="244344FC" w:rsidR="00154E32" w:rsidRDefault="00A43E04">
            <w:pPr>
              <w:pStyle w:val="P68B1DB1-Normal11"/>
              <w:jc w:val="center"/>
              <w:rPr>
                <w:noProof/>
              </w:rPr>
            </w:pPr>
            <w:r>
              <w:rPr>
                <w:noProof/>
              </w:rPr>
              <w:t>800 000</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746498" w14:textId="43BA3045" w:rsidR="00154E32" w:rsidRDefault="00A43E04">
            <w:pPr>
              <w:pStyle w:val="P68B1DB1-Normal11"/>
              <w:jc w:val="center"/>
              <w:rPr>
                <w:noProof/>
              </w:rPr>
            </w:pPr>
            <w:r>
              <w:rPr>
                <w:noProof/>
              </w:rPr>
              <w:t>2 500 000</w:t>
            </w:r>
          </w:p>
        </w:tc>
        <w:tc>
          <w:tcPr>
            <w:tcW w:w="79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43E58D" w14:textId="063FD2A1" w:rsidR="00154E32" w:rsidRDefault="00A43E04">
            <w:pPr>
              <w:pStyle w:val="P68B1DB1-Normal11"/>
              <w:jc w:val="center"/>
              <w:rPr>
                <w:noProof/>
              </w:rPr>
            </w:pPr>
            <w:r>
              <w:rPr>
                <w:noProof/>
              </w:rPr>
              <w:t>Q4</w:t>
            </w:r>
          </w:p>
        </w:tc>
        <w:tc>
          <w:tcPr>
            <w:tcW w:w="6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CA0CE4" w14:textId="6399BAF9" w:rsidR="00154E32" w:rsidRDefault="00A43E04">
            <w:pPr>
              <w:pStyle w:val="P68B1DB1-Normal11"/>
              <w:jc w:val="center"/>
              <w:rPr>
                <w:noProof/>
              </w:rPr>
            </w:pPr>
            <w:r>
              <w:rPr>
                <w:noProof/>
              </w:rPr>
              <w:t>2023</w:t>
            </w:r>
          </w:p>
        </w:tc>
        <w:tc>
          <w:tcPr>
            <w:tcW w:w="25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75D694A" w14:textId="3F3CB0E9" w:rsidR="00154E32" w:rsidRDefault="00A43E04">
            <w:pPr>
              <w:pStyle w:val="P68B1DB1-Normal11"/>
              <w:spacing w:after="120"/>
              <w:rPr>
                <w:noProof/>
              </w:rPr>
            </w:pPr>
            <w:r>
              <w:rPr>
                <w:noProof/>
              </w:rPr>
              <w:t>Število sodnih dokumentov, povezanih s sistemom upravne pristojnosti (kot so sodbe, mnenja in odredbe), ki so v celoti na voljo v podatkovnem skladišču.</w:t>
            </w:r>
          </w:p>
        </w:tc>
      </w:tr>
      <w:tr w:rsidR="00154E32" w14:paraId="52DDB9CD" w14:textId="77777777">
        <w:trPr>
          <w:trHeight w:val="81"/>
        </w:trPr>
        <w:tc>
          <w:tcPr>
            <w:tcW w:w="12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032C3D" w14:textId="77777777" w:rsidR="00154E32" w:rsidRDefault="00A43E04">
            <w:pPr>
              <w:pStyle w:val="P68B1DB1-Normal11"/>
              <w:jc w:val="center"/>
              <w:rPr>
                <w:noProof/>
              </w:rPr>
            </w:pPr>
            <w:r>
              <w:rPr>
                <w:noProof/>
              </w:rPr>
              <w:t>M1C1–123</w:t>
            </w:r>
          </w:p>
        </w:tc>
        <w:tc>
          <w:tcPr>
            <w:tcW w:w="174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C50277" w14:textId="77777777" w:rsidR="00154E32" w:rsidRDefault="00A43E04">
            <w:pPr>
              <w:pStyle w:val="P68B1DB1-Normal11"/>
              <w:jc w:val="center"/>
              <w:rPr>
                <w:noProof/>
              </w:rPr>
            </w:pPr>
            <w:r>
              <w:rPr>
                <w:noProof/>
              </w:rPr>
              <w:t>Naložba 1.6.3 – Digitizacija nacionalnega zavoda za socialno varnost (INPS) in Nacionalnega inštituta za zavarovanje pred nesrečami pri delu (INAIL)</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FC750E" w14:textId="77777777" w:rsidR="00154E32" w:rsidRDefault="00A43E04">
            <w:pPr>
              <w:pStyle w:val="P68B1DB1-Normal11"/>
              <w:jc w:val="center"/>
              <w:rPr>
                <w:noProof/>
              </w:rPr>
            </w:pPr>
            <w:r>
              <w:rPr>
                <w:noProof/>
              </w:rPr>
              <w:t>Tarča</w:t>
            </w:r>
          </w:p>
        </w:tc>
        <w:tc>
          <w:tcPr>
            <w:tcW w:w="212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3239499" w14:textId="77777777" w:rsidR="00154E32" w:rsidRDefault="00A43E04">
            <w:pPr>
              <w:pStyle w:val="P68B1DB1-Normal11"/>
              <w:jc w:val="center"/>
              <w:rPr>
                <w:noProof/>
              </w:rPr>
            </w:pPr>
            <w:r>
              <w:rPr>
                <w:noProof/>
              </w:rPr>
              <w:t>INPS – storitve/vsebine T1</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086475" w14:textId="77777777" w:rsidR="00154E32" w:rsidRDefault="00A43E04">
            <w:pPr>
              <w:pStyle w:val="P68B1DB1-Normal11"/>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02C327" w14:textId="77777777" w:rsidR="00154E32" w:rsidRDefault="00A43E04">
            <w:pPr>
              <w:pStyle w:val="P68B1DB1-Normal11"/>
              <w:jc w:val="center"/>
              <w:rPr>
                <w:noProof/>
              </w:rPr>
            </w:pPr>
            <w:r>
              <w:rPr>
                <w:noProof/>
              </w:rPr>
              <w:t>Število</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05A987" w14:textId="77777777" w:rsidR="00154E32" w:rsidRDefault="00A43E04">
            <w:pPr>
              <w:pStyle w:val="P68B1DB1-Normal11"/>
              <w:jc w:val="center"/>
              <w:rPr>
                <w:noProof/>
              </w:rPr>
            </w:pPr>
            <w:r>
              <w:rPr>
                <w:noProof/>
              </w:rPr>
              <w:t>0</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456B58" w14:textId="77777777" w:rsidR="00154E32" w:rsidRDefault="00A43E04">
            <w:pPr>
              <w:pStyle w:val="P68B1DB1-Normal11"/>
              <w:jc w:val="center"/>
              <w:rPr>
                <w:noProof/>
              </w:rPr>
            </w:pPr>
            <w:r>
              <w:rPr>
                <w:noProof/>
              </w:rPr>
              <w:t>35</w:t>
            </w:r>
          </w:p>
        </w:tc>
        <w:tc>
          <w:tcPr>
            <w:tcW w:w="79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33FDDC" w14:textId="77777777" w:rsidR="00154E32" w:rsidRDefault="00A43E04">
            <w:pPr>
              <w:pStyle w:val="P68B1DB1-Normal11"/>
              <w:jc w:val="center"/>
              <w:rPr>
                <w:noProof/>
              </w:rPr>
            </w:pPr>
            <w:r>
              <w:rPr>
                <w:noProof/>
              </w:rPr>
              <w:t>Q4</w:t>
            </w:r>
          </w:p>
        </w:tc>
        <w:tc>
          <w:tcPr>
            <w:tcW w:w="6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49EDA88" w14:textId="77777777" w:rsidR="00154E32" w:rsidRDefault="00A43E04">
            <w:pPr>
              <w:pStyle w:val="P68B1DB1-Normal11"/>
              <w:jc w:val="center"/>
              <w:rPr>
                <w:noProof/>
              </w:rPr>
            </w:pPr>
            <w:r>
              <w:rPr>
                <w:noProof/>
              </w:rPr>
              <w:t>2022</w:t>
            </w:r>
          </w:p>
        </w:tc>
        <w:tc>
          <w:tcPr>
            <w:tcW w:w="25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D3265C1" w14:textId="5DA5204D" w:rsidR="00154E32" w:rsidRDefault="00A43E04">
            <w:pPr>
              <w:spacing w:after="120"/>
              <w:rPr>
                <w:rFonts w:ascii="Arial Narrow" w:hAnsi="Arial Narrow"/>
                <w:noProof/>
                <w:color w:val="006100"/>
                <w:sz w:val="20"/>
              </w:rPr>
            </w:pPr>
            <w:r>
              <w:rPr>
                <w:rFonts w:ascii="Arial Narrow" w:hAnsi="Arial Narrow"/>
                <w:noProof/>
                <w:color w:val="006100"/>
                <w:sz w:val="20"/>
              </w:rPr>
              <w:t>35 dodatnih storitev, uvedenih na institucionalni spletni strani nacionalnih akcijskih načrtov (</w:t>
            </w:r>
            <w:hyperlink r:id="rId36" w:history="1">
              <w:r>
                <w:rPr>
                  <w:rStyle w:val="Hyperlink"/>
                  <w:rFonts w:ascii="Arial Narrow" w:hAnsi="Arial Narrow"/>
                  <w:noProof/>
                  <w:sz w:val="20"/>
                </w:rPr>
                <w:t>www.inps.it</w:t>
              </w:r>
            </w:hyperlink>
            <w:r>
              <w:rPr>
                <w:rFonts w:ascii="Arial Narrow" w:hAnsi="Arial Narrow"/>
                <w:noProof/>
                <w:color w:val="006100"/>
                <w:sz w:val="20"/>
              </w:rPr>
              <w:t>).</w:t>
            </w:r>
          </w:p>
          <w:p w14:paraId="3176687E" w14:textId="77777777" w:rsidR="00154E32" w:rsidRDefault="00A43E04">
            <w:pPr>
              <w:pStyle w:val="P68B1DB1-Normal11"/>
              <w:spacing w:after="120"/>
              <w:rPr>
                <w:noProof/>
              </w:rPr>
            </w:pPr>
            <w:r>
              <w:rPr>
                <w:noProof/>
              </w:rPr>
              <w:t>Storitve so dostopne na institucionalni spletni strani z ustreznimi logikami profiliranja (sistem bo predlagal storitve, ki bi lahko bile zanimive na podlagi starosti, delovnih značilnosti, zaznanih koristi in uporabniške zgodovine).</w:t>
            </w:r>
          </w:p>
          <w:p w14:paraId="26937946" w14:textId="77777777" w:rsidR="00154E32" w:rsidRDefault="00A43E04">
            <w:pPr>
              <w:pStyle w:val="P68B1DB1-Normal11"/>
              <w:spacing w:after="120"/>
              <w:rPr>
                <w:noProof/>
              </w:rPr>
            </w:pPr>
            <w:r>
              <w:rPr>
                <w:noProof/>
              </w:rPr>
              <w:t>35 storitev je povezanih z naslednjimi institucionalnimi področji INPS:</w:t>
            </w:r>
          </w:p>
          <w:p w14:paraId="02A0418F" w14:textId="77777777" w:rsidR="00154E32" w:rsidRDefault="00A43E04">
            <w:pPr>
              <w:pStyle w:val="P68B1DB1-Normal11"/>
              <w:spacing w:after="120"/>
              <w:contextualSpacing/>
              <w:rPr>
                <w:noProof/>
              </w:rPr>
            </w:pPr>
            <w:r>
              <w:rPr>
                <w:noProof/>
              </w:rPr>
              <w:t>•Pokojninski prejemki</w:t>
            </w:r>
          </w:p>
          <w:p w14:paraId="58FFB73B" w14:textId="77777777" w:rsidR="00154E32" w:rsidRDefault="00A43E04">
            <w:pPr>
              <w:pStyle w:val="P68B1DB1-Normal11"/>
              <w:spacing w:after="120"/>
              <w:contextualSpacing/>
              <w:rPr>
                <w:noProof/>
              </w:rPr>
            </w:pPr>
            <w:r>
              <w:rPr>
                <w:noProof/>
              </w:rPr>
              <w:t>•Družbeni absorberji</w:t>
            </w:r>
          </w:p>
          <w:p w14:paraId="652539AF" w14:textId="77777777" w:rsidR="00154E32" w:rsidRDefault="00A43E04">
            <w:pPr>
              <w:pStyle w:val="P68B1DB1-Normal11"/>
              <w:spacing w:after="120"/>
              <w:contextualSpacing/>
              <w:rPr>
                <w:noProof/>
              </w:rPr>
            </w:pPr>
            <w:r>
              <w:rPr>
                <w:noProof/>
              </w:rPr>
              <w:t>•Nadomestila za brezposelnost</w:t>
            </w:r>
          </w:p>
          <w:p w14:paraId="6022EAF4" w14:textId="77777777" w:rsidR="00154E32" w:rsidRDefault="00A43E04">
            <w:pPr>
              <w:pStyle w:val="P68B1DB1-Normal11"/>
              <w:spacing w:after="120"/>
              <w:contextualSpacing/>
              <w:rPr>
                <w:noProof/>
              </w:rPr>
            </w:pPr>
            <w:r>
              <w:rPr>
                <w:noProof/>
              </w:rPr>
              <w:t>•Koristi za invalidnost</w:t>
            </w:r>
          </w:p>
          <w:p w14:paraId="369C8090" w14:textId="77777777" w:rsidR="00154E32" w:rsidRDefault="00A43E04">
            <w:pPr>
              <w:pStyle w:val="P68B1DB1-Normal11"/>
              <w:spacing w:after="120"/>
              <w:contextualSpacing/>
              <w:rPr>
                <w:noProof/>
              </w:rPr>
            </w:pPr>
            <w:r>
              <w:rPr>
                <w:noProof/>
              </w:rPr>
              <w:t>•Prevzem</w:t>
            </w:r>
          </w:p>
          <w:p w14:paraId="2CFCD9B3" w14:textId="77777777" w:rsidR="00154E32" w:rsidRDefault="00A43E04">
            <w:pPr>
              <w:pStyle w:val="P68B1DB1-Normal11"/>
              <w:spacing w:after="120"/>
              <w:contextualSpacing/>
              <w:rPr>
                <w:noProof/>
              </w:rPr>
            </w:pPr>
            <w:r>
              <w:rPr>
                <w:noProof/>
              </w:rPr>
              <w:t>•Pobiranje prispevkov s strani podjetij</w:t>
            </w:r>
          </w:p>
          <w:p w14:paraId="7B386324" w14:textId="77777777" w:rsidR="00154E32" w:rsidRDefault="00A43E04">
            <w:pPr>
              <w:pStyle w:val="P68B1DB1-Normal11"/>
              <w:spacing w:after="120"/>
              <w:contextualSpacing/>
              <w:rPr>
                <w:noProof/>
              </w:rPr>
            </w:pPr>
            <w:r>
              <w:rPr>
                <w:noProof/>
              </w:rPr>
              <w:t>•Storitve delavcev v kmetijstvu</w:t>
            </w:r>
          </w:p>
          <w:p w14:paraId="3D406858" w14:textId="77777777" w:rsidR="00154E32" w:rsidRDefault="00A43E04">
            <w:pPr>
              <w:pStyle w:val="P68B1DB1-Normal11"/>
              <w:spacing w:after="120"/>
              <w:rPr>
                <w:noProof/>
              </w:rPr>
            </w:pPr>
            <w:r>
              <w:rPr>
                <w:noProof/>
              </w:rPr>
              <w:t>•Storitve za boj proti goljufijam, korupciji in preglednosti</w:t>
            </w:r>
          </w:p>
          <w:p w14:paraId="6AEFD301" w14:textId="77777777" w:rsidR="00154E32" w:rsidRDefault="00A43E04">
            <w:pPr>
              <w:pStyle w:val="P68B1DB1-Normal11"/>
              <w:spacing w:before="120" w:after="120"/>
              <w:rPr>
                <w:noProof/>
              </w:rPr>
            </w:pPr>
            <w:r>
              <w:rPr>
                <w:noProof/>
              </w:rPr>
              <w:t>Na navedenih institucionalnih področjih se bodo storitve, ki se bodo izvajale, nanašale na digitalno predložitev zahtevkov za storitve, preverjanje zahtev v korist, spremljanje stanja prakse s strani uporabnikov, proaktivni predlog storitev, ki temelji na potrebah uporabnikov, samodejno podaljšanje ugodnosti brez potrebe po novih vlogah.</w:t>
            </w:r>
          </w:p>
          <w:p w14:paraId="0D7EC1CE" w14:textId="77777777" w:rsidR="00154E32" w:rsidRDefault="00A43E04">
            <w:pPr>
              <w:pStyle w:val="P68B1DB1-Normal11"/>
              <w:spacing w:after="120"/>
              <w:rPr>
                <w:noProof/>
              </w:rPr>
            </w:pPr>
            <w:r>
              <w:rPr>
                <w:noProof/>
              </w:rPr>
              <w:t>Poleg tega bodo na voljo preglednice spremljanja, ki bodo omogočale spremljanje zagotovljenih koristi s strani INPS in podporo, ki temelji na podatkih, za odločitve oblikovalcev politik.</w:t>
            </w:r>
          </w:p>
        </w:tc>
      </w:tr>
      <w:tr w:rsidR="00154E32" w14:paraId="2BF47167" w14:textId="77777777">
        <w:trPr>
          <w:trHeight w:val="309"/>
        </w:trPr>
        <w:tc>
          <w:tcPr>
            <w:tcW w:w="1284" w:type="dxa"/>
            <w:shd w:val="clear" w:color="auto" w:fill="C6EFCE"/>
            <w:noWrap/>
            <w:vAlign w:val="center"/>
          </w:tcPr>
          <w:p w14:paraId="1F2DCFA2" w14:textId="77777777" w:rsidR="00154E32" w:rsidRDefault="00A43E04">
            <w:pPr>
              <w:pStyle w:val="P68B1DB1-Normal11"/>
              <w:jc w:val="center"/>
              <w:rPr>
                <w:noProof/>
              </w:rPr>
            </w:pPr>
            <w:r>
              <w:rPr>
                <w:noProof/>
              </w:rPr>
              <w:t>M1C1–124</w:t>
            </w:r>
          </w:p>
        </w:tc>
        <w:tc>
          <w:tcPr>
            <w:tcW w:w="1746" w:type="dxa"/>
            <w:shd w:val="clear" w:color="auto" w:fill="C6EFCE"/>
            <w:noWrap/>
            <w:vAlign w:val="center"/>
          </w:tcPr>
          <w:p w14:paraId="3B832B61" w14:textId="77777777" w:rsidR="00154E32" w:rsidRDefault="00A43E04">
            <w:pPr>
              <w:pStyle w:val="P68B1DB1-Normal11"/>
              <w:jc w:val="center"/>
              <w:rPr>
                <w:noProof/>
              </w:rPr>
            </w:pPr>
            <w:r>
              <w:rPr>
                <w:noProof/>
              </w:rPr>
              <w:t>Naložba 1.6.3 – Digitizacija nacionalnega zavoda za socialno varnost (INPS) in Nacionalnega inštituta za zavarovanje pred nesrečami pri delu (INAIL)</w:t>
            </w:r>
          </w:p>
        </w:tc>
        <w:tc>
          <w:tcPr>
            <w:tcW w:w="992" w:type="dxa"/>
            <w:shd w:val="clear" w:color="auto" w:fill="C6EFCE"/>
            <w:noWrap/>
            <w:vAlign w:val="center"/>
          </w:tcPr>
          <w:p w14:paraId="3224048D"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2ACF66AC" w14:textId="77777777" w:rsidR="00154E32" w:rsidRDefault="00A43E04">
            <w:pPr>
              <w:pStyle w:val="P68B1DB1-Normal11"/>
              <w:jc w:val="center"/>
              <w:rPr>
                <w:noProof/>
              </w:rPr>
            </w:pPr>
            <w:r>
              <w:rPr>
                <w:noProof/>
              </w:rPr>
              <w:t>INPS – zaposleni z izboljšanimi znanji in spretnostmi na področju informacijskih in komunikacijskih tehnologij (IKT) T1</w:t>
            </w:r>
          </w:p>
        </w:tc>
        <w:tc>
          <w:tcPr>
            <w:tcW w:w="1701" w:type="dxa"/>
            <w:shd w:val="clear" w:color="auto" w:fill="C6EFCE"/>
            <w:noWrap/>
            <w:vAlign w:val="center"/>
          </w:tcPr>
          <w:p w14:paraId="71A298F7"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05D33CB0"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13CBD048" w14:textId="77777777" w:rsidR="00154E32" w:rsidRDefault="00A43E04">
            <w:pPr>
              <w:pStyle w:val="P68B1DB1-Normal11"/>
              <w:jc w:val="center"/>
              <w:rPr>
                <w:noProof/>
              </w:rPr>
            </w:pPr>
            <w:r>
              <w:rPr>
                <w:noProof/>
              </w:rPr>
              <w:t>0</w:t>
            </w:r>
          </w:p>
        </w:tc>
        <w:tc>
          <w:tcPr>
            <w:tcW w:w="1417" w:type="dxa"/>
            <w:shd w:val="clear" w:color="auto" w:fill="C6EFCE"/>
            <w:noWrap/>
            <w:vAlign w:val="center"/>
          </w:tcPr>
          <w:p w14:paraId="0D02114F" w14:textId="77777777" w:rsidR="00154E32" w:rsidRDefault="00A43E04">
            <w:pPr>
              <w:pStyle w:val="P68B1DB1-Normal11"/>
              <w:jc w:val="center"/>
              <w:rPr>
                <w:noProof/>
              </w:rPr>
            </w:pPr>
            <w:r>
              <w:rPr>
                <w:noProof/>
              </w:rPr>
              <w:t>4 250</w:t>
            </w:r>
          </w:p>
        </w:tc>
        <w:tc>
          <w:tcPr>
            <w:tcW w:w="793" w:type="dxa"/>
            <w:shd w:val="clear" w:color="auto" w:fill="C6EFCE"/>
            <w:noWrap/>
            <w:vAlign w:val="center"/>
          </w:tcPr>
          <w:p w14:paraId="235EAB30" w14:textId="77777777" w:rsidR="00154E32" w:rsidRDefault="00A43E04">
            <w:pPr>
              <w:pStyle w:val="P68B1DB1-Normal11"/>
              <w:jc w:val="center"/>
              <w:rPr>
                <w:noProof/>
              </w:rPr>
            </w:pPr>
            <w:r>
              <w:rPr>
                <w:noProof/>
              </w:rPr>
              <w:t>Q4</w:t>
            </w:r>
          </w:p>
        </w:tc>
        <w:tc>
          <w:tcPr>
            <w:tcW w:w="625" w:type="dxa"/>
            <w:shd w:val="clear" w:color="auto" w:fill="C6EFCE"/>
            <w:noWrap/>
            <w:vAlign w:val="center"/>
          </w:tcPr>
          <w:p w14:paraId="01DA1FB7" w14:textId="77777777" w:rsidR="00154E32" w:rsidRDefault="00A43E04">
            <w:pPr>
              <w:pStyle w:val="P68B1DB1-Normal11"/>
              <w:jc w:val="center"/>
              <w:rPr>
                <w:noProof/>
              </w:rPr>
            </w:pPr>
            <w:r>
              <w:rPr>
                <w:noProof/>
              </w:rPr>
              <w:t>2022</w:t>
            </w:r>
          </w:p>
        </w:tc>
        <w:tc>
          <w:tcPr>
            <w:tcW w:w="2584" w:type="dxa"/>
            <w:shd w:val="clear" w:color="auto" w:fill="C6EFCE"/>
            <w:noWrap/>
            <w:vAlign w:val="center"/>
          </w:tcPr>
          <w:p w14:paraId="54818958" w14:textId="77777777" w:rsidR="00154E32" w:rsidRDefault="00A43E04">
            <w:pPr>
              <w:pStyle w:val="P68B1DB1-Normal11"/>
              <w:spacing w:after="120"/>
              <w:rPr>
                <w:noProof/>
              </w:rPr>
            </w:pPr>
            <w:r>
              <w:rPr>
                <w:noProof/>
              </w:rPr>
              <w:t>Vsaj 4250 zaposlenih v INPS ocenjenih glede na njihove informacije in certificiranih izboljšanih znanj in spretnosti na naslednjih področjih evropskega okvira za e-usposobljenost: (I) načrt; (II)gradnja; (III) Run (iv) možnost; (v) Upravljanje.</w:t>
            </w:r>
          </w:p>
          <w:p w14:paraId="0C86D70B" w14:textId="77777777" w:rsidR="00154E32" w:rsidRDefault="00A43E04">
            <w:pPr>
              <w:pStyle w:val="P68B1DB1-Normal11"/>
              <w:spacing w:after="120"/>
              <w:rPr>
                <w:noProof/>
              </w:rPr>
            </w:pPr>
            <w:r>
              <w:rPr>
                <w:noProof/>
              </w:rPr>
              <w:t>Področja za izboljšanje kompetenc bodo opredeljena glede na ciljno skupino učečih se.</w:t>
            </w:r>
          </w:p>
        </w:tc>
      </w:tr>
      <w:tr w:rsidR="00154E32" w14:paraId="1C14BB81" w14:textId="77777777">
        <w:trPr>
          <w:trHeight w:val="309"/>
        </w:trPr>
        <w:tc>
          <w:tcPr>
            <w:tcW w:w="1284" w:type="dxa"/>
            <w:shd w:val="clear" w:color="auto" w:fill="C6EFCE"/>
            <w:noWrap/>
            <w:vAlign w:val="center"/>
          </w:tcPr>
          <w:p w14:paraId="5BAF3CEE" w14:textId="77777777" w:rsidR="00154E32" w:rsidRDefault="00A43E04">
            <w:pPr>
              <w:pStyle w:val="P68B1DB1-Normal11"/>
              <w:jc w:val="center"/>
              <w:rPr>
                <w:noProof/>
              </w:rPr>
            </w:pPr>
            <w:r>
              <w:rPr>
                <w:noProof/>
              </w:rPr>
              <w:t>M1C1–125</w:t>
            </w:r>
          </w:p>
        </w:tc>
        <w:tc>
          <w:tcPr>
            <w:tcW w:w="1746" w:type="dxa"/>
            <w:shd w:val="clear" w:color="auto" w:fill="C6EFCE"/>
            <w:noWrap/>
            <w:vAlign w:val="center"/>
          </w:tcPr>
          <w:p w14:paraId="6CC15F5C" w14:textId="77777777" w:rsidR="00154E32" w:rsidRDefault="00A43E04">
            <w:pPr>
              <w:pStyle w:val="P68B1DB1-Normal11"/>
              <w:jc w:val="center"/>
              <w:rPr>
                <w:noProof/>
              </w:rPr>
            </w:pPr>
            <w:r>
              <w:rPr>
                <w:noProof/>
              </w:rPr>
              <w:t>Naložba 1.2 – Omogočanje oblaka za lokalne pripravljalne ukrepe</w:t>
            </w:r>
          </w:p>
        </w:tc>
        <w:tc>
          <w:tcPr>
            <w:tcW w:w="992" w:type="dxa"/>
            <w:shd w:val="clear" w:color="auto" w:fill="C6EFCE"/>
            <w:noWrap/>
            <w:vAlign w:val="center"/>
          </w:tcPr>
          <w:p w14:paraId="517431A6" w14:textId="77777777" w:rsidR="00154E32" w:rsidRDefault="00A43E04">
            <w:pPr>
              <w:pStyle w:val="P68B1DB1-Normal11"/>
              <w:jc w:val="center"/>
              <w:rPr>
                <w:noProof/>
              </w:rPr>
            </w:pPr>
            <w:r>
              <w:rPr>
                <w:noProof/>
              </w:rPr>
              <w:t>Mejnik</w:t>
            </w:r>
          </w:p>
        </w:tc>
        <w:tc>
          <w:tcPr>
            <w:tcW w:w="2126" w:type="dxa"/>
            <w:shd w:val="clear" w:color="auto" w:fill="C6EFCE"/>
            <w:noWrap/>
            <w:vAlign w:val="center"/>
          </w:tcPr>
          <w:p w14:paraId="71A1966D" w14:textId="77777777" w:rsidR="00154E32" w:rsidRDefault="00A43E04">
            <w:pPr>
              <w:pStyle w:val="P68B1DB1-Normal11"/>
              <w:jc w:val="center"/>
              <w:rPr>
                <w:noProof/>
              </w:rPr>
            </w:pPr>
            <w:r>
              <w:rPr>
                <w:noProof/>
              </w:rPr>
              <w:t>Oddaja (vseh) javnih razpisov za omogočanje računalništva v oblaku za razpise za lokalno javno upravo</w:t>
            </w:r>
          </w:p>
        </w:tc>
        <w:tc>
          <w:tcPr>
            <w:tcW w:w="1701" w:type="dxa"/>
            <w:shd w:val="clear" w:color="auto" w:fill="C6EFCE"/>
            <w:noWrap/>
            <w:vAlign w:val="center"/>
          </w:tcPr>
          <w:p w14:paraId="5F14CDBB" w14:textId="77777777" w:rsidR="00154E32" w:rsidRDefault="00A43E04">
            <w:pPr>
              <w:pStyle w:val="P68B1DB1-Normal11"/>
              <w:jc w:val="center"/>
              <w:rPr>
                <w:noProof/>
              </w:rPr>
            </w:pPr>
            <w:r>
              <w:rPr>
                <w:noProof/>
              </w:rPr>
              <w:t>Obvestilo o oddaji (vseh) javnih naročil za zagotavljanje storitev v oblaku za razpise lokalne javne uprave</w:t>
            </w:r>
          </w:p>
        </w:tc>
        <w:tc>
          <w:tcPr>
            <w:tcW w:w="1134" w:type="dxa"/>
            <w:shd w:val="clear" w:color="auto" w:fill="C6EFCE"/>
            <w:noWrap/>
            <w:vAlign w:val="center"/>
          </w:tcPr>
          <w:p w14:paraId="3C255BC5" w14:textId="77777777" w:rsidR="00154E32" w:rsidRDefault="00A43E04">
            <w:pPr>
              <w:pStyle w:val="P68B1DB1-Normal11"/>
              <w:jc w:val="center"/>
              <w:rPr>
                <w:noProof/>
              </w:rPr>
            </w:pPr>
            <w:r>
              <w:rPr>
                <w:noProof/>
              </w:rPr>
              <w:t>JIH NI</w:t>
            </w:r>
          </w:p>
        </w:tc>
        <w:tc>
          <w:tcPr>
            <w:tcW w:w="1276" w:type="dxa"/>
            <w:shd w:val="clear" w:color="auto" w:fill="C6EFCE"/>
            <w:noWrap/>
            <w:vAlign w:val="center"/>
          </w:tcPr>
          <w:p w14:paraId="003E706F" w14:textId="77777777" w:rsidR="00154E32" w:rsidRDefault="00A43E04">
            <w:pPr>
              <w:pStyle w:val="P68B1DB1-Normal11"/>
              <w:jc w:val="center"/>
              <w:rPr>
                <w:noProof/>
              </w:rPr>
            </w:pPr>
            <w:r>
              <w:rPr>
                <w:noProof/>
              </w:rPr>
              <w:t>JIH NI</w:t>
            </w:r>
          </w:p>
        </w:tc>
        <w:tc>
          <w:tcPr>
            <w:tcW w:w="1417" w:type="dxa"/>
            <w:shd w:val="clear" w:color="auto" w:fill="C6EFCE"/>
            <w:noWrap/>
            <w:vAlign w:val="center"/>
          </w:tcPr>
          <w:p w14:paraId="766BF9F5" w14:textId="77777777" w:rsidR="00154E32" w:rsidRDefault="00A43E04">
            <w:pPr>
              <w:pStyle w:val="P68B1DB1-Normal11"/>
              <w:jc w:val="center"/>
              <w:rPr>
                <w:noProof/>
              </w:rPr>
            </w:pPr>
            <w:r>
              <w:rPr>
                <w:noProof/>
              </w:rPr>
              <w:t>JIH NI</w:t>
            </w:r>
          </w:p>
        </w:tc>
        <w:tc>
          <w:tcPr>
            <w:tcW w:w="793" w:type="dxa"/>
            <w:shd w:val="clear" w:color="auto" w:fill="C6EFCE"/>
            <w:noWrap/>
            <w:vAlign w:val="center"/>
          </w:tcPr>
          <w:p w14:paraId="27612F95" w14:textId="77777777" w:rsidR="00154E32" w:rsidRDefault="00A43E04">
            <w:pPr>
              <w:pStyle w:val="P68B1DB1-Normal11"/>
              <w:jc w:val="center"/>
              <w:rPr>
                <w:noProof/>
              </w:rPr>
            </w:pPr>
            <w:r>
              <w:rPr>
                <w:noProof/>
              </w:rPr>
              <w:t>ČETRTLETJE 1</w:t>
            </w:r>
          </w:p>
        </w:tc>
        <w:tc>
          <w:tcPr>
            <w:tcW w:w="625" w:type="dxa"/>
            <w:shd w:val="clear" w:color="auto" w:fill="C6EFCE"/>
            <w:noWrap/>
            <w:vAlign w:val="center"/>
          </w:tcPr>
          <w:p w14:paraId="566B277E" w14:textId="77777777" w:rsidR="00154E32" w:rsidRDefault="00A43E04">
            <w:pPr>
              <w:pStyle w:val="P68B1DB1-Normal11"/>
              <w:jc w:val="center"/>
              <w:rPr>
                <w:noProof/>
              </w:rPr>
            </w:pPr>
            <w:r>
              <w:rPr>
                <w:noProof/>
              </w:rPr>
              <w:t>2023</w:t>
            </w:r>
          </w:p>
        </w:tc>
        <w:tc>
          <w:tcPr>
            <w:tcW w:w="2584" w:type="dxa"/>
            <w:shd w:val="clear" w:color="auto" w:fill="C6EFCE"/>
            <w:noWrap/>
            <w:vAlign w:val="center"/>
          </w:tcPr>
          <w:p w14:paraId="67D6E7BC" w14:textId="77777777" w:rsidR="00154E32" w:rsidRDefault="00A43E04">
            <w:pPr>
              <w:pStyle w:val="P68B1DB1-Normal11"/>
              <w:spacing w:after="120"/>
              <w:rPr>
                <w:noProof/>
              </w:rPr>
            </w:pPr>
            <w:r>
              <w:rPr>
                <w:noProof/>
              </w:rPr>
              <w:t>Obvestilo o dodelitvi (vseh) javnih razpisov za vsako vrsto javne uprave (občine, šole, lokalne zdravstvene agencije) za zbiranje in oceno načrtov migracije. Izdaja treh namenskih razpisov ministrstvu za tehnološke inovacije in digitalni prehod omogoča, da oceni zelo specifične potrebe vsake vrste vključene javne uprave.</w:t>
            </w:r>
          </w:p>
          <w:p w14:paraId="3A8504C5" w14:textId="77777777" w:rsidR="00154E32" w:rsidRDefault="00A43E04">
            <w:pPr>
              <w:pStyle w:val="P68B1DB1-Normal11"/>
              <w:spacing w:after="120"/>
              <w:rPr>
                <w:noProof/>
              </w:rPr>
            </w:pPr>
            <w:r>
              <w:rPr>
                <w:noProof/>
              </w:rPr>
              <w:t>Oddani razpisi (tj. objava seznama javnih uprav, ki so upravičene do financiranja) so se nanašali na tri javne razpise za zbiranje predlogov za občine, šole in lokalne zdravstvene agencije za zbiranje in ocenjevanje načrtov migracije v skladu s tehničnimi smernicami „Doda se ne škoduje bistveno“ (2021/C58/01) z uporabo seznama za izključitev in zahtevo po skladnosti z ustrezno okoljsko zakonodajo EU in nacionalno okoljsko zakonodajo.</w:t>
            </w:r>
          </w:p>
        </w:tc>
      </w:tr>
      <w:tr w:rsidR="00154E32" w14:paraId="0E7C9058" w14:textId="77777777">
        <w:trPr>
          <w:trHeight w:val="309"/>
        </w:trPr>
        <w:tc>
          <w:tcPr>
            <w:tcW w:w="1284" w:type="dxa"/>
            <w:shd w:val="clear" w:color="auto" w:fill="C6EFCE"/>
            <w:noWrap/>
            <w:vAlign w:val="center"/>
          </w:tcPr>
          <w:p w14:paraId="626A17B5" w14:textId="77777777" w:rsidR="00154E32" w:rsidRDefault="00A43E04">
            <w:pPr>
              <w:pStyle w:val="P68B1DB1-Normal11"/>
              <w:jc w:val="center"/>
              <w:rPr>
                <w:noProof/>
              </w:rPr>
            </w:pPr>
            <w:r>
              <w:rPr>
                <w:noProof/>
              </w:rPr>
              <w:t>M1C1–126</w:t>
            </w:r>
          </w:p>
        </w:tc>
        <w:tc>
          <w:tcPr>
            <w:tcW w:w="1746" w:type="dxa"/>
            <w:shd w:val="clear" w:color="auto" w:fill="C6EFCE"/>
            <w:noWrap/>
            <w:vAlign w:val="center"/>
          </w:tcPr>
          <w:p w14:paraId="1B1C5E69" w14:textId="77777777" w:rsidR="00154E32" w:rsidRDefault="00A43E04">
            <w:pPr>
              <w:pStyle w:val="P68B1DB1-Normal11"/>
              <w:jc w:val="center"/>
              <w:rPr>
                <w:noProof/>
              </w:rPr>
            </w:pPr>
            <w:r>
              <w:rPr>
                <w:noProof/>
              </w:rPr>
              <w:t>Naložba 1.4.3 – sprejetje razširitve storitev platforme PagoPA in aplikacije „IO“</w:t>
            </w:r>
          </w:p>
        </w:tc>
        <w:tc>
          <w:tcPr>
            <w:tcW w:w="992" w:type="dxa"/>
            <w:shd w:val="clear" w:color="auto" w:fill="C6EFCE"/>
            <w:noWrap/>
            <w:vAlign w:val="center"/>
          </w:tcPr>
          <w:p w14:paraId="2A5EABF3"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0CF75FE6" w14:textId="77777777" w:rsidR="00154E32" w:rsidRDefault="00A43E04">
            <w:pPr>
              <w:pStyle w:val="P68B1DB1-Normal11"/>
              <w:jc w:val="center"/>
              <w:rPr>
                <w:noProof/>
              </w:rPr>
            </w:pPr>
            <w:r>
              <w:rPr>
                <w:noProof/>
              </w:rPr>
              <w:t>Razširitev sprejetja storitev platforme PagoPA T1</w:t>
            </w:r>
          </w:p>
        </w:tc>
        <w:tc>
          <w:tcPr>
            <w:tcW w:w="1701" w:type="dxa"/>
            <w:shd w:val="clear" w:color="auto" w:fill="C6EFCE"/>
            <w:noWrap/>
            <w:vAlign w:val="center"/>
          </w:tcPr>
          <w:p w14:paraId="0926AD23"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2BCCBC22"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685A2277" w14:textId="77777777" w:rsidR="00154E32" w:rsidRDefault="00A43E04">
            <w:pPr>
              <w:pStyle w:val="P68B1DB1-Normal11"/>
              <w:jc w:val="center"/>
              <w:rPr>
                <w:noProof/>
              </w:rPr>
            </w:pPr>
            <w:r>
              <w:rPr>
                <w:noProof/>
              </w:rPr>
              <w:t>9 000</w:t>
            </w:r>
          </w:p>
        </w:tc>
        <w:tc>
          <w:tcPr>
            <w:tcW w:w="1417" w:type="dxa"/>
            <w:shd w:val="clear" w:color="auto" w:fill="C6EFCE"/>
            <w:noWrap/>
            <w:vAlign w:val="center"/>
          </w:tcPr>
          <w:p w14:paraId="64E91F52" w14:textId="77777777" w:rsidR="00154E32" w:rsidRDefault="00A43E04">
            <w:pPr>
              <w:pStyle w:val="P68B1DB1-Normal11"/>
              <w:jc w:val="center"/>
              <w:rPr>
                <w:noProof/>
              </w:rPr>
            </w:pPr>
            <w:r>
              <w:rPr>
                <w:noProof/>
              </w:rPr>
              <w:t xml:space="preserve">11 450 </w:t>
            </w:r>
          </w:p>
        </w:tc>
        <w:tc>
          <w:tcPr>
            <w:tcW w:w="793" w:type="dxa"/>
            <w:shd w:val="clear" w:color="auto" w:fill="C6EFCE"/>
            <w:noWrap/>
            <w:vAlign w:val="center"/>
          </w:tcPr>
          <w:p w14:paraId="5E6382CD" w14:textId="77777777" w:rsidR="00154E32" w:rsidRDefault="00A43E04">
            <w:pPr>
              <w:pStyle w:val="P68B1DB1-Normal11"/>
              <w:jc w:val="center"/>
              <w:rPr>
                <w:noProof/>
              </w:rPr>
            </w:pPr>
            <w:r>
              <w:rPr>
                <w:noProof/>
              </w:rPr>
              <w:t>Q4</w:t>
            </w:r>
          </w:p>
        </w:tc>
        <w:tc>
          <w:tcPr>
            <w:tcW w:w="625" w:type="dxa"/>
            <w:shd w:val="clear" w:color="auto" w:fill="C6EFCE"/>
            <w:noWrap/>
            <w:vAlign w:val="center"/>
          </w:tcPr>
          <w:p w14:paraId="2A9DCF89" w14:textId="77777777" w:rsidR="00154E32" w:rsidRDefault="00A43E04">
            <w:pPr>
              <w:pStyle w:val="P68B1DB1-Normal11"/>
              <w:jc w:val="center"/>
              <w:rPr>
                <w:noProof/>
              </w:rPr>
            </w:pPr>
            <w:r>
              <w:rPr>
                <w:noProof/>
              </w:rPr>
              <w:t>2023</w:t>
            </w:r>
          </w:p>
        </w:tc>
        <w:tc>
          <w:tcPr>
            <w:tcW w:w="2584" w:type="dxa"/>
            <w:shd w:val="clear" w:color="auto" w:fill="C6EFCE"/>
            <w:noWrap/>
            <w:vAlign w:val="center"/>
          </w:tcPr>
          <w:p w14:paraId="032F852D" w14:textId="77777777" w:rsidR="00154E32" w:rsidRDefault="00A43E04">
            <w:pPr>
              <w:pStyle w:val="P68B1DB1-Normal11"/>
              <w:spacing w:after="120"/>
              <w:rPr>
                <w:noProof/>
              </w:rPr>
            </w:pPr>
            <w:r>
              <w:rPr>
                <w:noProof/>
              </w:rPr>
              <w:t>Zagotoviti povečanje števila storitev, vključenih v platformo, za:</w:t>
            </w:r>
          </w:p>
          <w:p w14:paraId="5114D0FC" w14:textId="77777777" w:rsidR="00154E32" w:rsidRDefault="00A43E04">
            <w:pPr>
              <w:pStyle w:val="P68B1DB1-Normal11"/>
              <w:rPr>
                <w:noProof/>
              </w:rPr>
            </w:pPr>
            <w:r>
              <w:rPr>
                <w:noProof/>
              </w:rPr>
              <w:t>— javne uprave že v izhodišču (9000 subjektov)</w:t>
            </w:r>
          </w:p>
          <w:p w14:paraId="26A231E3" w14:textId="77777777" w:rsidR="00154E32" w:rsidRDefault="00A43E04">
            <w:pPr>
              <w:pStyle w:val="P68B1DB1-Normal11"/>
              <w:spacing w:after="120"/>
              <w:rPr>
                <w:noProof/>
              </w:rPr>
            </w:pPr>
            <w:r>
              <w:rPr>
                <w:noProof/>
              </w:rPr>
              <w:t>— nove javne uprave, ki se pridružijo platformi (2450 novih subjektov).</w:t>
            </w:r>
          </w:p>
          <w:p w14:paraId="37608FE2" w14:textId="20BEA91E" w:rsidR="00154E32" w:rsidRDefault="00A43E04">
            <w:pPr>
              <w:pStyle w:val="P68B1DB1-Normal11"/>
              <w:spacing w:before="120" w:after="120"/>
              <w:rPr>
                <w:noProof/>
              </w:rPr>
            </w:pPr>
            <w:r>
              <w:rPr>
                <w:noProof/>
              </w:rPr>
              <w:t>V obeh primerih se mora skupno število storitev javnih uprav, ki se pridružijo platformi, povečati za vsaj 20 % v primerjavi z osnovnim scenarijem storitev za leto 2021 (31. marec 2021). Število storitev, ki jih je treba vključiti, je odvisno od vrste uprave (končni cilj za leto 2026 je povprečno 35 storitev za občine, 15 storitev za regije, 15 storitev za zdravstvene organe, 8 storitev za šole in univerze).</w:t>
            </w:r>
          </w:p>
        </w:tc>
      </w:tr>
      <w:tr w:rsidR="00154E32" w14:paraId="33AD25EA" w14:textId="77777777">
        <w:trPr>
          <w:trHeight w:val="309"/>
        </w:trPr>
        <w:tc>
          <w:tcPr>
            <w:tcW w:w="1284" w:type="dxa"/>
            <w:shd w:val="clear" w:color="auto" w:fill="C6EFCE"/>
            <w:noWrap/>
            <w:vAlign w:val="center"/>
          </w:tcPr>
          <w:p w14:paraId="5BBA3F22" w14:textId="77777777" w:rsidR="00154E32" w:rsidRDefault="00A43E04">
            <w:pPr>
              <w:pStyle w:val="P68B1DB1-Normal11"/>
              <w:jc w:val="center"/>
              <w:rPr>
                <w:noProof/>
              </w:rPr>
            </w:pPr>
            <w:r>
              <w:rPr>
                <w:noProof/>
              </w:rPr>
              <w:t>M1C1–127</w:t>
            </w:r>
          </w:p>
        </w:tc>
        <w:tc>
          <w:tcPr>
            <w:tcW w:w="1746" w:type="dxa"/>
            <w:shd w:val="clear" w:color="auto" w:fill="C6EFCE"/>
            <w:noWrap/>
            <w:vAlign w:val="center"/>
          </w:tcPr>
          <w:p w14:paraId="1314D9EA" w14:textId="77777777" w:rsidR="00154E32" w:rsidRDefault="00A43E04">
            <w:pPr>
              <w:pStyle w:val="P68B1DB1-Normal11"/>
              <w:jc w:val="center"/>
              <w:rPr>
                <w:noProof/>
              </w:rPr>
            </w:pPr>
            <w:r>
              <w:rPr>
                <w:noProof/>
              </w:rPr>
              <w:t>Naložba 1.4.3 – sprejetje razširitve storitev platforme PagoPA in aplikacije „IO“</w:t>
            </w:r>
          </w:p>
        </w:tc>
        <w:tc>
          <w:tcPr>
            <w:tcW w:w="992" w:type="dxa"/>
            <w:shd w:val="clear" w:color="auto" w:fill="C6EFCE"/>
            <w:noWrap/>
            <w:vAlign w:val="center"/>
          </w:tcPr>
          <w:p w14:paraId="21F8A254"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5A782C75" w14:textId="77777777" w:rsidR="00154E32" w:rsidRDefault="00A43E04">
            <w:pPr>
              <w:pStyle w:val="P68B1DB1-Normal11"/>
              <w:jc w:val="center"/>
              <w:rPr>
                <w:noProof/>
              </w:rPr>
            </w:pPr>
            <w:r>
              <w:rPr>
                <w:noProof/>
              </w:rPr>
              <w:t>Razširitev sprejetja aplikacije T1 „IO“</w:t>
            </w:r>
          </w:p>
        </w:tc>
        <w:tc>
          <w:tcPr>
            <w:tcW w:w="1701" w:type="dxa"/>
            <w:shd w:val="clear" w:color="auto" w:fill="C6EFCE"/>
            <w:noWrap/>
            <w:vAlign w:val="center"/>
          </w:tcPr>
          <w:p w14:paraId="4F4E6A55"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0E5212F4"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7DADC678" w14:textId="77777777" w:rsidR="00154E32" w:rsidRDefault="00A43E04">
            <w:pPr>
              <w:pStyle w:val="P68B1DB1-Normal11"/>
              <w:jc w:val="center"/>
              <w:rPr>
                <w:noProof/>
              </w:rPr>
            </w:pPr>
            <w:r>
              <w:rPr>
                <w:noProof/>
              </w:rPr>
              <w:t>2 700</w:t>
            </w:r>
          </w:p>
        </w:tc>
        <w:tc>
          <w:tcPr>
            <w:tcW w:w="1417" w:type="dxa"/>
            <w:shd w:val="clear" w:color="auto" w:fill="C6EFCE"/>
            <w:noWrap/>
            <w:vAlign w:val="center"/>
          </w:tcPr>
          <w:p w14:paraId="0EA3F3C4" w14:textId="7AB74CB6" w:rsidR="00154E32" w:rsidRDefault="00A43E04">
            <w:pPr>
              <w:pStyle w:val="P68B1DB1-Normal11"/>
              <w:jc w:val="center"/>
              <w:rPr>
                <w:noProof/>
              </w:rPr>
            </w:pPr>
            <w:r>
              <w:rPr>
                <w:noProof/>
              </w:rPr>
              <w:t>7 000</w:t>
            </w:r>
          </w:p>
        </w:tc>
        <w:tc>
          <w:tcPr>
            <w:tcW w:w="793" w:type="dxa"/>
            <w:shd w:val="clear" w:color="auto" w:fill="C6EFCE"/>
            <w:noWrap/>
            <w:vAlign w:val="center"/>
          </w:tcPr>
          <w:p w14:paraId="42CB5795" w14:textId="77777777" w:rsidR="00154E32" w:rsidRDefault="00A43E04">
            <w:pPr>
              <w:pStyle w:val="P68B1DB1-Normal11"/>
              <w:jc w:val="center"/>
              <w:rPr>
                <w:noProof/>
              </w:rPr>
            </w:pPr>
            <w:r>
              <w:rPr>
                <w:noProof/>
              </w:rPr>
              <w:t>Q4</w:t>
            </w:r>
          </w:p>
        </w:tc>
        <w:tc>
          <w:tcPr>
            <w:tcW w:w="625" w:type="dxa"/>
            <w:shd w:val="clear" w:color="auto" w:fill="C6EFCE"/>
            <w:noWrap/>
            <w:vAlign w:val="center"/>
          </w:tcPr>
          <w:p w14:paraId="0DEBBD82" w14:textId="77777777" w:rsidR="00154E32" w:rsidRDefault="00A43E04">
            <w:pPr>
              <w:pStyle w:val="P68B1DB1-Normal11"/>
              <w:jc w:val="center"/>
              <w:rPr>
                <w:noProof/>
              </w:rPr>
            </w:pPr>
            <w:r>
              <w:rPr>
                <w:noProof/>
              </w:rPr>
              <w:t>2023</w:t>
            </w:r>
          </w:p>
        </w:tc>
        <w:tc>
          <w:tcPr>
            <w:tcW w:w="2584" w:type="dxa"/>
            <w:shd w:val="clear" w:color="auto" w:fill="C6EFCE"/>
            <w:noWrap/>
            <w:vAlign w:val="center"/>
          </w:tcPr>
          <w:p w14:paraId="27D1D78E" w14:textId="77777777" w:rsidR="00154E32" w:rsidRDefault="00A43E04">
            <w:pPr>
              <w:pStyle w:val="P68B1DB1-Normal11"/>
              <w:spacing w:after="120"/>
              <w:rPr>
                <w:noProof/>
              </w:rPr>
            </w:pPr>
            <w:r>
              <w:rPr>
                <w:noProof/>
              </w:rPr>
              <w:t>Zagotoviti povečanje števila storitev, vključenih v „IO“, ki se potegujejo za:</w:t>
            </w:r>
          </w:p>
          <w:p w14:paraId="38472652" w14:textId="77777777" w:rsidR="00154E32" w:rsidRDefault="00A43E04">
            <w:pPr>
              <w:pStyle w:val="P68B1DB1-Normal11"/>
              <w:spacing w:before="120" w:after="120"/>
              <w:rPr>
                <w:noProof/>
              </w:rPr>
            </w:pPr>
            <w:r>
              <w:rPr>
                <w:noProof/>
              </w:rPr>
              <w:t>— javne uprave že v izhodišču (2700 subjektov)</w:t>
            </w:r>
          </w:p>
          <w:p w14:paraId="1C95F96C" w14:textId="77777777" w:rsidR="00154E32" w:rsidRDefault="00A43E04">
            <w:pPr>
              <w:pStyle w:val="P68B1DB1-Normal11"/>
              <w:spacing w:before="120" w:after="120"/>
              <w:rPr>
                <w:noProof/>
              </w:rPr>
            </w:pPr>
            <w:r>
              <w:rPr>
                <w:noProof/>
              </w:rPr>
              <w:t>— nove javne uprave, ki se pridružijo platformi (4300 novih subjektov).</w:t>
            </w:r>
          </w:p>
          <w:p w14:paraId="408E71B6" w14:textId="3DCE8CD9" w:rsidR="00154E32" w:rsidRDefault="00A43E04">
            <w:pPr>
              <w:pStyle w:val="P68B1DB1-Normal11"/>
              <w:spacing w:before="120" w:after="120"/>
              <w:rPr>
                <w:noProof/>
              </w:rPr>
            </w:pPr>
            <w:r>
              <w:rPr>
                <w:noProof/>
              </w:rPr>
              <w:t>V obeh primerih se mora skupno število storitev javnih uprav, ki se pridružijo platformi, povečati za vsaj 20 % v primerjavi z osnovnim scenarijem storitev za leto 2021 (31. marec 2021). Število storitev, ki jih je treba vključiti, je odvisno od vrste uprave (končni cilj za leto 2026 je povprečno 35 storitev za občine, 15 storitev za regije, 15 storitev za zdravstvene organe, 8 storitev za šole in univerze).</w:t>
            </w:r>
          </w:p>
        </w:tc>
      </w:tr>
      <w:tr w:rsidR="00154E32" w14:paraId="00B6E001" w14:textId="77777777">
        <w:trPr>
          <w:trHeight w:val="309"/>
        </w:trPr>
        <w:tc>
          <w:tcPr>
            <w:tcW w:w="1284" w:type="dxa"/>
            <w:shd w:val="clear" w:color="auto" w:fill="C6EFCE"/>
            <w:noWrap/>
            <w:vAlign w:val="center"/>
          </w:tcPr>
          <w:p w14:paraId="149450D6" w14:textId="77777777" w:rsidR="00154E32" w:rsidRDefault="00A43E04">
            <w:pPr>
              <w:pStyle w:val="P68B1DB1-Normal11"/>
              <w:jc w:val="center"/>
              <w:rPr>
                <w:noProof/>
              </w:rPr>
            </w:pPr>
            <w:r>
              <w:rPr>
                <w:noProof/>
              </w:rPr>
              <w:t>M1C1–128</w:t>
            </w:r>
          </w:p>
        </w:tc>
        <w:tc>
          <w:tcPr>
            <w:tcW w:w="1746" w:type="dxa"/>
            <w:shd w:val="clear" w:color="auto" w:fill="C6EFCE"/>
            <w:noWrap/>
            <w:vAlign w:val="center"/>
          </w:tcPr>
          <w:p w14:paraId="18EDD884" w14:textId="77777777" w:rsidR="00154E32" w:rsidRDefault="00A43E04">
            <w:pPr>
              <w:pStyle w:val="P68B1DB1-Normal11"/>
              <w:jc w:val="center"/>
              <w:rPr>
                <w:noProof/>
              </w:rPr>
            </w:pPr>
            <w:r>
              <w:rPr>
                <w:noProof/>
              </w:rPr>
              <w:t>Naložba 1.4.5 – Digitalizacija javnih obvestil</w:t>
            </w:r>
          </w:p>
        </w:tc>
        <w:tc>
          <w:tcPr>
            <w:tcW w:w="992" w:type="dxa"/>
            <w:shd w:val="clear" w:color="auto" w:fill="C6EFCE"/>
            <w:noWrap/>
            <w:vAlign w:val="center"/>
          </w:tcPr>
          <w:p w14:paraId="77981152"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1FDD8109" w14:textId="77777777" w:rsidR="00154E32" w:rsidRDefault="00A43E04">
            <w:pPr>
              <w:pStyle w:val="P68B1DB1-Normal11"/>
              <w:jc w:val="center"/>
              <w:rPr>
                <w:noProof/>
              </w:rPr>
            </w:pPr>
            <w:r>
              <w:rPr>
                <w:noProof/>
              </w:rPr>
              <w:t>Povečanje sprejetja digitalnih javnih obvestil T1</w:t>
            </w:r>
          </w:p>
        </w:tc>
        <w:tc>
          <w:tcPr>
            <w:tcW w:w="1701" w:type="dxa"/>
            <w:shd w:val="clear" w:color="auto" w:fill="C6EFCE"/>
            <w:noWrap/>
            <w:vAlign w:val="center"/>
          </w:tcPr>
          <w:p w14:paraId="0FABEEB2"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51F0CD86"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1E0963A0" w14:textId="77777777" w:rsidR="00154E32" w:rsidRDefault="00A43E04">
            <w:pPr>
              <w:pStyle w:val="P68B1DB1-Normal11"/>
              <w:jc w:val="center"/>
              <w:rPr>
                <w:noProof/>
              </w:rPr>
            </w:pPr>
            <w:r>
              <w:rPr>
                <w:noProof/>
              </w:rPr>
              <w:t>0</w:t>
            </w:r>
          </w:p>
        </w:tc>
        <w:tc>
          <w:tcPr>
            <w:tcW w:w="1417" w:type="dxa"/>
            <w:shd w:val="clear" w:color="auto" w:fill="C6EFCE"/>
            <w:noWrap/>
            <w:vAlign w:val="center"/>
          </w:tcPr>
          <w:p w14:paraId="693FB1B6" w14:textId="77777777" w:rsidR="00154E32" w:rsidRDefault="00A43E04">
            <w:pPr>
              <w:pStyle w:val="P68B1DB1-Normal11"/>
              <w:jc w:val="center"/>
              <w:rPr>
                <w:noProof/>
              </w:rPr>
            </w:pPr>
            <w:r>
              <w:rPr>
                <w:noProof/>
              </w:rPr>
              <w:t>800</w:t>
            </w:r>
          </w:p>
        </w:tc>
        <w:tc>
          <w:tcPr>
            <w:tcW w:w="793" w:type="dxa"/>
            <w:shd w:val="clear" w:color="auto" w:fill="C6EFCE"/>
            <w:noWrap/>
            <w:vAlign w:val="center"/>
          </w:tcPr>
          <w:p w14:paraId="4B9182FC" w14:textId="77777777" w:rsidR="00154E32" w:rsidRDefault="00A43E04">
            <w:pPr>
              <w:pStyle w:val="P68B1DB1-Normal11"/>
              <w:jc w:val="center"/>
              <w:rPr>
                <w:noProof/>
              </w:rPr>
            </w:pPr>
            <w:r>
              <w:rPr>
                <w:noProof/>
              </w:rPr>
              <w:t>Q4</w:t>
            </w:r>
          </w:p>
        </w:tc>
        <w:tc>
          <w:tcPr>
            <w:tcW w:w="625" w:type="dxa"/>
            <w:shd w:val="clear" w:color="auto" w:fill="C6EFCE"/>
            <w:noWrap/>
            <w:vAlign w:val="center"/>
          </w:tcPr>
          <w:p w14:paraId="285ADEA8" w14:textId="77777777" w:rsidR="00154E32" w:rsidRDefault="00A43E04">
            <w:pPr>
              <w:pStyle w:val="P68B1DB1-Normal11"/>
              <w:jc w:val="center"/>
              <w:rPr>
                <w:noProof/>
              </w:rPr>
            </w:pPr>
            <w:r>
              <w:rPr>
                <w:noProof/>
              </w:rPr>
              <w:t>2023</w:t>
            </w:r>
          </w:p>
        </w:tc>
        <w:tc>
          <w:tcPr>
            <w:tcW w:w="2584" w:type="dxa"/>
            <w:shd w:val="clear" w:color="auto" w:fill="C6EFCE"/>
            <w:noWrap/>
            <w:vAlign w:val="center"/>
          </w:tcPr>
          <w:p w14:paraId="411C9618" w14:textId="77777777" w:rsidR="00154E32" w:rsidRDefault="00A43E04">
            <w:pPr>
              <w:pStyle w:val="P68B1DB1-Normal11"/>
              <w:spacing w:after="120"/>
              <w:rPr>
                <w:noProof/>
              </w:rPr>
            </w:pPr>
            <w:r>
              <w:rPr>
                <w:noProof/>
              </w:rPr>
              <w:t>Vsaj 800 osrednjih javnih uprav in občin v zvezi s platformo za digitalno obveščanje (DNP) zagotavlja digitalna pravno zavezujoča obvestila državljanom, pravnim subjektom, združenjem in drugim javnim ali zasebnim subjektom.</w:t>
            </w:r>
          </w:p>
        </w:tc>
      </w:tr>
      <w:tr w:rsidR="00154E32" w14:paraId="27E292D6" w14:textId="77777777">
        <w:trPr>
          <w:trHeight w:val="309"/>
        </w:trPr>
        <w:tc>
          <w:tcPr>
            <w:tcW w:w="1284" w:type="dxa"/>
            <w:shd w:val="clear" w:color="auto" w:fill="C6EFCE"/>
            <w:noWrap/>
            <w:vAlign w:val="center"/>
          </w:tcPr>
          <w:p w14:paraId="02BC2C35" w14:textId="77777777" w:rsidR="00154E32" w:rsidRDefault="00A43E04">
            <w:pPr>
              <w:pStyle w:val="P68B1DB1-Normal11"/>
              <w:jc w:val="center"/>
              <w:rPr>
                <w:noProof/>
              </w:rPr>
            </w:pPr>
            <w:r>
              <w:rPr>
                <w:noProof/>
              </w:rPr>
              <w:t>M1C1–129</w:t>
            </w:r>
          </w:p>
        </w:tc>
        <w:tc>
          <w:tcPr>
            <w:tcW w:w="1746" w:type="dxa"/>
            <w:shd w:val="clear" w:color="auto" w:fill="C6EFCE"/>
            <w:noWrap/>
            <w:vAlign w:val="center"/>
          </w:tcPr>
          <w:p w14:paraId="07F89652" w14:textId="77777777" w:rsidR="00154E32" w:rsidRDefault="00A43E04">
            <w:pPr>
              <w:pStyle w:val="P68B1DB1-Normal11"/>
              <w:jc w:val="center"/>
              <w:rPr>
                <w:noProof/>
              </w:rPr>
            </w:pPr>
            <w:r>
              <w:rPr>
                <w:noProof/>
              </w:rPr>
              <w:t>Naložba 1.6.1 – Digitalizacija ministrstva za notranje zadeve</w:t>
            </w:r>
          </w:p>
        </w:tc>
        <w:tc>
          <w:tcPr>
            <w:tcW w:w="992" w:type="dxa"/>
            <w:shd w:val="clear" w:color="auto" w:fill="C6EFCE"/>
            <w:noWrap/>
            <w:vAlign w:val="center"/>
          </w:tcPr>
          <w:p w14:paraId="66AB7514"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5AB7750D" w14:textId="77777777" w:rsidR="00154E32" w:rsidRDefault="00A43E04">
            <w:pPr>
              <w:pStyle w:val="P68B1DB1-Normal11"/>
              <w:jc w:val="center"/>
              <w:rPr>
                <w:noProof/>
              </w:rPr>
            </w:pPr>
            <w:r>
              <w:rPr>
                <w:noProof/>
              </w:rPr>
              <w:t>Ministrstvo za notranje zadeve – popolnoma preoblikovani in digitalizirani postopki T1</w:t>
            </w:r>
          </w:p>
        </w:tc>
        <w:tc>
          <w:tcPr>
            <w:tcW w:w="1701" w:type="dxa"/>
            <w:shd w:val="clear" w:color="auto" w:fill="C6EFCE"/>
            <w:noWrap/>
            <w:vAlign w:val="center"/>
          </w:tcPr>
          <w:p w14:paraId="4B124CF6"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181F6006"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06B373D1" w14:textId="77777777" w:rsidR="00154E32" w:rsidRDefault="00A43E04">
            <w:pPr>
              <w:pStyle w:val="P68B1DB1-Normal11"/>
              <w:jc w:val="center"/>
              <w:rPr>
                <w:noProof/>
              </w:rPr>
            </w:pPr>
            <w:r>
              <w:rPr>
                <w:noProof/>
              </w:rPr>
              <w:t>0</w:t>
            </w:r>
          </w:p>
        </w:tc>
        <w:tc>
          <w:tcPr>
            <w:tcW w:w="1417" w:type="dxa"/>
            <w:shd w:val="clear" w:color="auto" w:fill="C6EFCE"/>
            <w:noWrap/>
            <w:vAlign w:val="center"/>
          </w:tcPr>
          <w:p w14:paraId="2D6EBDCB" w14:textId="77777777" w:rsidR="00154E32" w:rsidRDefault="00A43E04">
            <w:pPr>
              <w:pStyle w:val="P68B1DB1-Normal11"/>
              <w:jc w:val="center"/>
              <w:rPr>
                <w:noProof/>
              </w:rPr>
            </w:pPr>
            <w:r>
              <w:rPr>
                <w:noProof/>
              </w:rPr>
              <w:t>7</w:t>
            </w:r>
          </w:p>
        </w:tc>
        <w:tc>
          <w:tcPr>
            <w:tcW w:w="793" w:type="dxa"/>
            <w:shd w:val="clear" w:color="auto" w:fill="C6EFCE"/>
            <w:noWrap/>
            <w:vAlign w:val="center"/>
          </w:tcPr>
          <w:p w14:paraId="0C73D650" w14:textId="77777777" w:rsidR="00154E32" w:rsidRDefault="00A43E04">
            <w:pPr>
              <w:pStyle w:val="P68B1DB1-Normal11"/>
              <w:jc w:val="center"/>
              <w:rPr>
                <w:noProof/>
              </w:rPr>
            </w:pPr>
            <w:r>
              <w:rPr>
                <w:noProof/>
              </w:rPr>
              <w:t>Q4</w:t>
            </w:r>
          </w:p>
        </w:tc>
        <w:tc>
          <w:tcPr>
            <w:tcW w:w="625" w:type="dxa"/>
            <w:shd w:val="clear" w:color="auto" w:fill="C6EFCE"/>
            <w:noWrap/>
            <w:vAlign w:val="center"/>
          </w:tcPr>
          <w:p w14:paraId="52F16C11" w14:textId="77777777" w:rsidR="00154E32" w:rsidRDefault="00A43E04">
            <w:pPr>
              <w:pStyle w:val="P68B1DB1-Normal11"/>
              <w:jc w:val="center"/>
              <w:rPr>
                <w:noProof/>
              </w:rPr>
            </w:pPr>
            <w:r>
              <w:rPr>
                <w:noProof/>
              </w:rPr>
              <w:t>2023</w:t>
            </w:r>
          </w:p>
        </w:tc>
        <w:tc>
          <w:tcPr>
            <w:tcW w:w="2584" w:type="dxa"/>
            <w:shd w:val="clear" w:color="auto" w:fill="C6EFCE"/>
            <w:noWrap/>
            <w:vAlign w:val="center"/>
          </w:tcPr>
          <w:p w14:paraId="12CB9A13" w14:textId="77777777" w:rsidR="00154E32" w:rsidRDefault="00A43E04">
            <w:pPr>
              <w:pStyle w:val="P68B1DB1-Normal11"/>
              <w:spacing w:after="120"/>
              <w:rPr>
                <w:noProof/>
              </w:rPr>
            </w:pPr>
            <w:r>
              <w:rPr>
                <w:noProof/>
              </w:rPr>
              <w:t>Notranji postopki in procesi so bili v celoti preoblikovani (7 procesov do 31. decembra 2023) in jih je mogoče v celoti dokončati prek spleta (kot so pisarniška avtomatizacija, storitve mobilnosti in e-učenje).</w:t>
            </w:r>
          </w:p>
        </w:tc>
      </w:tr>
      <w:tr w:rsidR="00154E32" w14:paraId="64DB2BAA" w14:textId="77777777">
        <w:trPr>
          <w:trHeight w:val="309"/>
        </w:trPr>
        <w:tc>
          <w:tcPr>
            <w:tcW w:w="1284" w:type="dxa"/>
            <w:shd w:val="clear" w:color="auto" w:fill="C6EFCE"/>
            <w:noWrap/>
            <w:vAlign w:val="center"/>
          </w:tcPr>
          <w:p w14:paraId="3A27DD9B" w14:textId="77777777" w:rsidR="00154E32" w:rsidRDefault="00A43E04">
            <w:pPr>
              <w:pStyle w:val="P68B1DB1-Normal11"/>
              <w:jc w:val="center"/>
              <w:rPr>
                <w:noProof/>
              </w:rPr>
            </w:pPr>
            <w:r>
              <w:rPr>
                <w:noProof/>
              </w:rPr>
              <w:t>M1C1–130</w:t>
            </w:r>
          </w:p>
        </w:tc>
        <w:tc>
          <w:tcPr>
            <w:tcW w:w="1746" w:type="dxa"/>
            <w:shd w:val="clear" w:color="auto" w:fill="C6EFCE"/>
            <w:noWrap/>
            <w:vAlign w:val="center"/>
          </w:tcPr>
          <w:p w14:paraId="266D5030" w14:textId="77777777" w:rsidR="00154E32" w:rsidRDefault="00A43E04">
            <w:pPr>
              <w:pStyle w:val="P68B1DB1-Normal11"/>
              <w:jc w:val="center"/>
              <w:rPr>
                <w:noProof/>
              </w:rPr>
            </w:pPr>
            <w:r>
              <w:rPr>
                <w:noProof/>
              </w:rPr>
              <w:t>Naložba 1.6.2 – Digitizacija ministrstva za pravosodje</w:t>
            </w:r>
          </w:p>
        </w:tc>
        <w:tc>
          <w:tcPr>
            <w:tcW w:w="992" w:type="dxa"/>
            <w:shd w:val="clear" w:color="auto" w:fill="C6EFCE"/>
            <w:noWrap/>
            <w:vAlign w:val="center"/>
          </w:tcPr>
          <w:p w14:paraId="4AAA02D9"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773C2E9F" w14:textId="77777777" w:rsidR="00154E32" w:rsidRDefault="00A43E04">
            <w:pPr>
              <w:pStyle w:val="P68B1DB1-Normal11"/>
              <w:jc w:val="center"/>
              <w:rPr>
                <w:noProof/>
              </w:rPr>
            </w:pPr>
            <w:r>
              <w:rPr>
                <w:noProof/>
              </w:rPr>
              <w:t>Digitalizirani sodni spisi T1</w:t>
            </w:r>
          </w:p>
        </w:tc>
        <w:tc>
          <w:tcPr>
            <w:tcW w:w="1701" w:type="dxa"/>
            <w:shd w:val="clear" w:color="auto" w:fill="C6EFCE"/>
            <w:noWrap/>
            <w:vAlign w:val="center"/>
          </w:tcPr>
          <w:p w14:paraId="5AD58A43"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4D2619F6"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49BEC23E" w14:textId="77777777" w:rsidR="00154E32" w:rsidRDefault="00A43E04">
            <w:pPr>
              <w:pStyle w:val="P68B1DB1-Normal11"/>
              <w:jc w:val="center"/>
              <w:rPr>
                <w:noProof/>
              </w:rPr>
            </w:pPr>
            <w:r>
              <w:rPr>
                <w:noProof/>
              </w:rPr>
              <w:t>0</w:t>
            </w:r>
          </w:p>
        </w:tc>
        <w:tc>
          <w:tcPr>
            <w:tcW w:w="1417" w:type="dxa"/>
            <w:shd w:val="clear" w:color="auto" w:fill="C6EFCE"/>
            <w:noWrap/>
            <w:vAlign w:val="center"/>
          </w:tcPr>
          <w:p w14:paraId="362E9021" w14:textId="339F791C" w:rsidR="00154E32" w:rsidRDefault="00A43E04">
            <w:pPr>
              <w:pStyle w:val="P68B1DB1-Normal12"/>
              <w:jc w:val="center"/>
              <w:rPr>
                <w:rFonts w:ascii="Arial Narrow" w:hAnsi="Arial Narrow"/>
                <w:noProof/>
              </w:rPr>
            </w:pPr>
            <w:r>
              <w:rPr>
                <w:rFonts w:ascii="Arial Narrow" w:hAnsi="Arial Narrow"/>
                <w:noProof/>
              </w:rPr>
              <w:t>3 500</w:t>
            </w:r>
            <w:r>
              <w:rPr>
                <w:noProof/>
              </w:rPr>
              <w:t xml:space="preserve"> </w:t>
            </w:r>
            <w:r>
              <w:rPr>
                <w:rFonts w:ascii="Arial Narrow" w:hAnsi="Arial Narrow"/>
                <w:noProof/>
              </w:rPr>
              <w:t>000</w:t>
            </w:r>
          </w:p>
        </w:tc>
        <w:tc>
          <w:tcPr>
            <w:tcW w:w="793" w:type="dxa"/>
            <w:shd w:val="clear" w:color="auto" w:fill="C6EFCE"/>
            <w:noWrap/>
            <w:vAlign w:val="center"/>
          </w:tcPr>
          <w:p w14:paraId="335C0008" w14:textId="77777777" w:rsidR="00154E32" w:rsidRDefault="00A43E04">
            <w:pPr>
              <w:pStyle w:val="P68B1DB1-Normal11"/>
              <w:jc w:val="center"/>
              <w:rPr>
                <w:noProof/>
              </w:rPr>
            </w:pPr>
            <w:r>
              <w:rPr>
                <w:noProof/>
              </w:rPr>
              <w:t>Q4</w:t>
            </w:r>
          </w:p>
        </w:tc>
        <w:tc>
          <w:tcPr>
            <w:tcW w:w="625" w:type="dxa"/>
            <w:shd w:val="clear" w:color="auto" w:fill="C6EFCE"/>
            <w:noWrap/>
            <w:vAlign w:val="center"/>
          </w:tcPr>
          <w:p w14:paraId="6B79F5AA" w14:textId="77777777" w:rsidR="00154E32" w:rsidRDefault="00A43E04">
            <w:pPr>
              <w:pStyle w:val="P68B1DB1-Normal11"/>
              <w:jc w:val="center"/>
              <w:rPr>
                <w:noProof/>
              </w:rPr>
            </w:pPr>
            <w:r>
              <w:rPr>
                <w:noProof/>
              </w:rPr>
              <w:t>2023</w:t>
            </w:r>
          </w:p>
        </w:tc>
        <w:tc>
          <w:tcPr>
            <w:tcW w:w="2584" w:type="dxa"/>
            <w:shd w:val="clear" w:color="auto" w:fill="C6EFCE"/>
            <w:noWrap/>
            <w:vAlign w:val="center"/>
          </w:tcPr>
          <w:p w14:paraId="40D274E4" w14:textId="0241B772" w:rsidR="00154E32" w:rsidRDefault="00A43E04">
            <w:pPr>
              <w:pStyle w:val="P68B1DB1-Normal12"/>
              <w:spacing w:after="120"/>
              <w:rPr>
                <w:rFonts w:ascii="Arial Narrow" w:hAnsi="Arial Narrow"/>
                <w:noProof/>
              </w:rPr>
            </w:pPr>
            <w:r>
              <w:rPr>
                <w:rFonts w:ascii="Arial Narrow" w:hAnsi="Arial Narrow"/>
                <w:noProof/>
              </w:rPr>
              <w:t>Digitalizacija 3500000 sodnih</w:t>
            </w:r>
            <w:r>
              <w:rPr>
                <w:noProof/>
              </w:rPr>
              <w:t xml:space="preserve">  </w:t>
            </w:r>
            <w:r>
              <w:rPr>
                <w:rFonts w:ascii="Arial Narrow" w:hAnsi="Arial Narrow"/>
                <w:noProof/>
              </w:rPr>
              <w:t>spisov iz zadnjih 20 let (01/01/2006–30/06/2026) v zvezi z zaključenimi ali tekočimi sodnimi postopki na sodiščih.</w:t>
            </w:r>
          </w:p>
        </w:tc>
      </w:tr>
      <w:tr w:rsidR="00154E32" w14:paraId="23B3FE24" w14:textId="77777777">
        <w:trPr>
          <w:trHeight w:val="309"/>
        </w:trPr>
        <w:tc>
          <w:tcPr>
            <w:tcW w:w="1284" w:type="dxa"/>
            <w:shd w:val="clear" w:color="auto" w:fill="C6EFCE"/>
            <w:noWrap/>
            <w:vAlign w:val="center"/>
          </w:tcPr>
          <w:p w14:paraId="4726F49F" w14:textId="77777777" w:rsidR="00154E32" w:rsidRDefault="00A43E04">
            <w:pPr>
              <w:pStyle w:val="P68B1DB1-Normal11"/>
              <w:jc w:val="center"/>
              <w:rPr>
                <w:noProof/>
              </w:rPr>
            </w:pPr>
            <w:r>
              <w:rPr>
                <w:noProof/>
              </w:rPr>
              <w:t>M1C1–131</w:t>
            </w:r>
          </w:p>
        </w:tc>
        <w:tc>
          <w:tcPr>
            <w:tcW w:w="1746" w:type="dxa"/>
            <w:shd w:val="clear" w:color="auto" w:fill="C6EFCE"/>
            <w:noWrap/>
            <w:vAlign w:val="center"/>
          </w:tcPr>
          <w:p w14:paraId="3C8345C3" w14:textId="77777777" w:rsidR="00154E32" w:rsidRDefault="00A43E04">
            <w:pPr>
              <w:pStyle w:val="P68B1DB1-Normal11"/>
              <w:jc w:val="center"/>
              <w:rPr>
                <w:noProof/>
              </w:rPr>
            </w:pPr>
            <w:r>
              <w:rPr>
                <w:noProof/>
              </w:rPr>
              <w:t>Naložba 1.6.2 – Digitizacija ministrstva za pravosodje</w:t>
            </w:r>
          </w:p>
        </w:tc>
        <w:tc>
          <w:tcPr>
            <w:tcW w:w="992" w:type="dxa"/>
            <w:shd w:val="clear" w:color="auto" w:fill="C6EFCE"/>
            <w:noWrap/>
            <w:vAlign w:val="center"/>
          </w:tcPr>
          <w:p w14:paraId="1318270E" w14:textId="77777777" w:rsidR="00154E32" w:rsidRDefault="00A43E04">
            <w:pPr>
              <w:pStyle w:val="P68B1DB1-Normal11"/>
              <w:jc w:val="center"/>
              <w:rPr>
                <w:noProof/>
              </w:rPr>
            </w:pPr>
            <w:r>
              <w:rPr>
                <w:noProof/>
              </w:rPr>
              <w:t>Mejnik</w:t>
            </w:r>
          </w:p>
        </w:tc>
        <w:tc>
          <w:tcPr>
            <w:tcW w:w="2126" w:type="dxa"/>
            <w:shd w:val="clear" w:color="auto" w:fill="C6EFCE"/>
            <w:noWrap/>
            <w:vAlign w:val="center"/>
          </w:tcPr>
          <w:p w14:paraId="209EF611" w14:textId="77777777" w:rsidR="00154E32" w:rsidRDefault="00A43E04">
            <w:pPr>
              <w:pStyle w:val="P68B1DB1-Normal11"/>
              <w:jc w:val="center"/>
              <w:rPr>
                <w:noProof/>
              </w:rPr>
            </w:pPr>
            <w:r>
              <w:rPr>
                <w:noProof/>
              </w:rPr>
              <w:t>Sistemi znanja o pravosodnem jezeru T1</w:t>
            </w:r>
          </w:p>
        </w:tc>
        <w:tc>
          <w:tcPr>
            <w:tcW w:w="1701" w:type="dxa"/>
            <w:shd w:val="clear" w:color="auto" w:fill="C6EFCE"/>
            <w:noWrap/>
            <w:vAlign w:val="center"/>
          </w:tcPr>
          <w:p w14:paraId="0D52A393" w14:textId="77777777" w:rsidR="00154E32" w:rsidRDefault="00A43E04">
            <w:pPr>
              <w:pStyle w:val="P68B1DB1-Normal11"/>
              <w:jc w:val="center"/>
              <w:rPr>
                <w:noProof/>
              </w:rPr>
            </w:pPr>
            <w:r>
              <w:rPr>
                <w:noProof/>
              </w:rPr>
              <w:t>Poročilo o začetku izvajanja pogodbe</w:t>
            </w:r>
          </w:p>
        </w:tc>
        <w:tc>
          <w:tcPr>
            <w:tcW w:w="1134" w:type="dxa"/>
            <w:shd w:val="clear" w:color="auto" w:fill="C6EFCE"/>
            <w:noWrap/>
            <w:vAlign w:val="center"/>
          </w:tcPr>
          <w:p w14:paraId="3659F720" w14:textId="77777777" w:rsidR="00154E32" w:rsidRDefault="00A43E04">
            <w:pPr>
              <w:pStyle w:val="P68B1DB1-Normal11"/>
              <w:jc w:val="center"/>
              <w:rPr>
                <w:noProof/>
              </w:rPr>
            </w:pPr>
            <w:r>
              <w:rPr>
                <w:noProof/>
              </w:rPr>
              <w:t>JIH NI</w:t>
            </w:r>
          </w:p>
        </w:tc>
        <w:tc>
          <w:tcPr>
            <w:tcW w:w="1276" w:type="dxa"/>
            <w:shd w:val="clear" w:color="auto" w:fill="C6EFCE"/>
            <w:noWrap/>
            <w:vAlign w:val="center"/>
          </w:tcPr>
          <w:p w14:paraId="346A4D5C" w14:textId="77777777" w:rsidR="00154E32" w:rsidRDefault="00A43E04">
            <w:pPr>
              <w:pStyle w:val="P68B1DB1-Normal11"/>
              <w:jc w:val="center"/>
              <w:rPr>
                <w:noProof/>
              </w:rPr>
            </w:pPr>
            <w:r>
              <w:rPr>
                <w:noProof/>
              </w:rPr>
              <w:t>JIH NI</w:t>
            </w:r>
          </w:p>
        </w:tc>
        <w:tc>
          <w:tcPr>
            <w:tcW w:w="1417" w:type="dxa"/>
            <w:shd w:val="clear" w:color="auto" w:fill="C6EFCE"/>
            <w:noWrap/>
            <w:vAlign w:val="center"/>
          </w:tcPr>
          <w:p w14:paraId="6D2687E1" w14:textId="77777777" w:rsidR="00154E32" w:rsidRDefault="00A43E04">
            <w:pPr>
              <w:pStyle w:val="P68B1DB1-Normal11"/>
              <w:jc w:val="center"/>
              <w:rPr>
                <w:noProof/>
              </w:rPr>
            </w:pPr>
            <w:r>
              <w:rPr>
                <w:noProof/>
              </w:rPr>
              <w:t>JIH NI</w:t>
            </w:r>
          </w:p>
        </w:tc>
        <w:tc>
          <w:tcPr>
            <w:tcW w:w="793" w:type="dxa"/>
            <w:shd w:val="clear" w:color="auto" w:fill="C6EFCE"/>
            <w:noWrap/>
            <w:vAlign w:val="center"/>
          </w:tcPr>
          <w:p w14:paraId="7A37AB2F" w14:textId="77777777" w:rsidR="00154E32" w:rsidRDefault="00A43E04">
            <w:pPr>
              <w:pStyle w:val="P68B1DB1-Normal11"/>
              <w:jc w:val="center"/>
              <w:rPr>
                <w:noProof/>
              </w:rPr>
            </w:pPr>
            <w:r>
              <w:rPr>
                <w:noProof/>
              </w:rPr>
              <w:t>Q4</w:t>
            </w:r>
          </w:p>
        </w:tc>
        <w:tc>
          <w:tcPr>
            <w:tcW w:w="625" w:type="dxa"/>
            <w:shd w:val="clear" w:color="auto" w:fill="C6EFCE"/>
            <w:noWrap/>
            <w:vAlign w:val="center"/>
          </w:tcPr>
          <w:p w14:paraId="44AF325E" w14:textId="77777777" w:rsidR="00154E32" w:rsidRDefault="00A43E04">
            <w:pPr>
              <w:pStyle w:val="P68B1DB1-Normal11"/>
              <w:jc w:val="center"/>
              <w:rPr>
                <w:noProof/>
              </w:rPr>
            </w:pPr>
            <w:r>
              <w:rPr>
                <w:noProof/>
              </w:rPr>
              <w:t>2023</w:t>
            </w:r>
          </w:p>
        </w:tc>
        <w:tc>
          <w:tcPr>
            <w:tcW w:w="2584" w:type="dxa"/>
            <w:shd w:val="clear" w:color="auto" w:fill="C6EFCE"/>
            <w:noWrap/>
            <w:vAlign w:val="center"/>
          </w:tcPr>
          <w:p w14:paraId="102C2993" w14:textId="77777777" w:rsidR="00154E32" w:rsidRDefault="00A43E04">
            <w:pPr>
              <w:pStyle w:val="P68B1DB1-Normal11"/>
              <w:spacing w:after="120"/>
              <w:rPr>
                <w:noProof/>
              </w:rPr>
            </w:pPr>
            <w:r>
              <w:rPr>
                <w:noProof/>
              </w:rPr>
              <w:t>Začetek izvajanja pogodbe za izvedbo šestih novih sistemov znanja o podatkovnih jezerih:</w:t>
            </w:r>
          </w:p>
          <w:p w14:paraId="0943B5B0" w14:textId="77777777" w:rsidR="00154E32" w:rsidRDefault="00A43E04">
            <w:pPr>
              <w:pStyle w:val="P68B1DB1-ListParagraph13"/>
              <w:numPr>
                <w:ilvl w:val="0"/>
                <w:numId w:val="79"/>
              </w:numPr>
              <w:spacing w:before="0"/>
              <w:ind w:left="357" w:hanging="357"/>
              <w:jc w:val="left"/>
              <w:rPr>
                <w:noProof/>
              </w:rPr>
            </w:pPr>
            <w:r>
              <w:rPr>
                <w:noProof/>
              </w:rPr>
              <w:t>Sistem anonimizacije civilnih in kazenskih sankcij</w:t>
            </w:r>
          </w:p>
          <w:p w14:paraId="059DC6C8" w14:textId="77777777" w:rsidR="00154E32" w:rsidRDefault="00A43E04">
            <w:pPr>
              <w:pStyle w:val="P68B1DB1-ListParagraph13"/>
              <w:numPr>
                <w:ilvl w:val="0"/>
                <w:numId w:val="79"/>
              </w:numPr>
              <w:spacing w:before="0"/>
              <w:ind w:left="357" w:hanging="357"/>
              <w:jc w:val="left"/>
              <w:rPr>
                <w:noProof/>
              </w:rPr>
            </w:pPr>
            <w:r>
              <w:rPr>
                <w:noProof/>
              </w:rPr>
              <w:t>Integrirani sistem upravljanja</w:t>
            </w:r>
          </w:p>
          <w:p w14:paraId="10DF8FB8" w14:textId="77777777" w:rsidR="00154E32" w:rsidRDefault="00A43E04">
            <w:pPr>
              <w:pStyle w:val="P68B1DB1-ListParagraph13"/>
              <w:numPr>
                <w:ilvl w:val="0"/>
                <w:numId w:val="79"/>
              </w:numPr>
              <w:spacing w:before="0"/>
              <w:ind w:left="357" w:hanging="357"/>
              <w:jc w:val="left"/>
              <w:rPr>
                <w:noProof/>
              </w:rPr>
            </w:pPr>
            <w:r>
              <w:rPr>
                <w:noProof/>
              </w:rPr>
              <w:t>Sistem upravljanja in analize civilnih sojenj</w:t>
            </w:r>
          </w:p>
          <w:p w14:paraId="6B994DFF" w14:textId="77777777" w:rsidR="00154E32" w:rsidRDefault="00A43E04">
            <w:pPr>
              <w:pStyle w:val="P68B1DB1-ListParagraph13"/>
              <w:numPr>
                <w:ilvl w:val="0"/>
                <w:numId w:val="79"/>
              </w:numPr>
              <w:spacing w:before="0"/>
              <w:ind w:left="357" w:hanging="357"/>
              <w:jc w:val="left"/>
              <w:rPr>
                <w:noProof/>
              </w:rPr>
            </w:pPr>
            <w:r>
              <w:rPr>
                <w:noProof/>
              </w:rPr>
              <w:t>Sistem upravljanja in analize za sojenje v kazenskih zadevah</w:t>
            </w:r>
          </w:p>
          <w:p w14:paraId="73522CC4" w14:textId="77777777" w:rsidR="00154E32" w:rsidRDefault="00A43E04">
            <w:pPr>
              <w:pStyle w:val="P68B1DB1-ListParagraph13"/>
              <w:numPr>
                <w:ilvl w:val="0"/>
                <w:numId w:val="79"/>
              </w:numPr>
              <w:spacing w:before="0"/>
              <w:ind w:left="357" w:hanging="357"/>
              <w:jc w:val="left"/>
              <w:rPr>
                <w:noProof/>
              </w:rPr>
            </w:pPr>
            <w:r>
              <w:rPr>
                <w:noProof/>
              </w:rPr>
              <w:t>Napredni statistični sistem o civilnih in kazenskih sojenjih</w:t>
            </w:r>
          </w:p>
          <w:p w14:paraId="328C423B" w14:textId="77777777" w:rsidR="00154E32" w:rsidRDefault="00A43E04">
            <w:pPr>
              <w:pStyle w:val="P68B1DB1-ListParagraph13"/>
              <w:numPr>
                <w:ilvl w:val="0"/>
                <w:numId w:val="79"/>
              </w:numPr>
              <w:spacing w:before="0"/>
              <w:ind w:left="357" w:hanging="357"/>
              <w:jc w:val="left"/>
              <w:rPr>
                <w:noProof/>
              </w:rPr>
            </w:pPr>
            <w:r>
              <w:rPr>
                <w:noProof/>
              </w:rPr>
              <w:t xml:space="preserve">Avtomatiziran sistem za ugotavljanje krivde žrtev. </w:t>
            </w:r>
          </w:p>
          <w:p w14:paraId="49D5A1FB" w14:textId="77777777" w:rsidR="00154E32" w:rsidRDefault="00A43E04">
            <w:pPr>
              <w:pStyle w:val="P68B1DB1-Normal11"/>
              <w:spacing w:after="120"/>
              <w:rPr>
                <w:noProof/>
              </w:rPr>
            </w:pPr>
            <w:r>
              <w:rPr>
                <w:noProof/>
              </w:rPr>
              <w:t>Izvajanje vsakega javnega naročila se začne s posebnim upravnim aktom odgovorne za postopek, imenovanim „začetek izvajanja“.</w:t>
            </w:r>
          </w:p>
        </w:tc>
      </w:tr>
      <w:tr w:rsidR="00154E32" w14:paraId="6A9D850D" w14:textId="77777777">
        <w:trPr>
          <w:trHeight w:val="309"/>
        </w:trPr>
        <w:tc>
          <w:tcPr>
            <w:tcW w:w="1284" w:type="dxa"/>
            <w:shd w:val="clear" w:color="auto" w:fill="C6EFCE"/>
            <w:noWrap/>
            <w:vAlign w:val="center"/>
          </w:tcPr>
          <w:p w14:paraId="4B296A64" w14:textId="77777777" w:rsidR="00154E32" w:rsidRDefault="00A43E04">
            <w:pPr>
              <w:pStyle w:val="P68B1DB1-Normal11"/>
              <w:jc w:val="center"/>
              <w:rPr>
                <w:noProof/>
              </w:rPr>
            </w:pPr>
            <w:r>
              <w:rPr>
                <w:noProof/>
              </w:rPr>
              <w:t>M1C1–132</w:t>
            </w:r>
          </w:p>
        </w:tc>
        <w:tc>
          <w:tcPr>
            <w:tcW w:w="1746" w:type="dxa"/>
            <w:shd w:val="clear" w:color="auto" w:fill="C6EFCE"/>
            <w:noWrap/>
            <w:vAlign w:val="center"/>
          </w:tcPr>
          <w:p w14:paraId="0EE36AD4" w14:textId="77777777" w:rsidR="00154E32" w:rsidRDefault="00A43E04">
            <w:pPr>
              <w:pStyle w:val="P68B1DB1-Normal11"/>
              <w:jc w:val="center"/>
              <w:rPr>
                <w:noProof/>
              </w:rPr>
            </w:pPr>
            <w:r>
              <w:rPr>
                <w:noProof/>
              </w:rPr>
              <w:t>Naložba 1.6.3 – Digitizacija nacionalnega zavoda za socialno varnost (INPS) in Nacionalnega inštituta za zavarovanje pred nesrečami pri delu (INAIL)</w:t>
            </w:r>
          </w:p>
        </w:tc>
        <w:tc>
          <w:tcPr>
            <w:tcW w:w="992" w:type="dxa"/>
            <w:shd w:val="clear" w:color="auto" w:fill="C6EFCE"/>
            <w:noWrap/>
            <w:vAlign w:val="center"/>
          </w:tcPr>
          <w:p w14:paraId="4585FB17"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3FFE8469" w14:textId="77777777" w:rsidR="00154E32" w:rsidRDefault="00A43E04">
            <w:pPr>
              <w:pStyle w:val="P68B1DB1-Normal11"/>
              <w:jc w:val="center"/>
              <w:rPr>
                <w:noProof/>
              </w:rPr>
            </w:pPr>
            <w:r>
              <w:rPr>
                <w:noProof/>
              </w:rPr>
              <w:t>INPS – storitve/vsebine T2</w:t>
            </w:r>
          </w:p>
        </w:tc>
        <w:tc>
          <w:tcPr>
            <w:tcW w:w="1701" w:type="dxa"/>
            <w:shd w:val="clear" w:color="auto" w:fill="C6EFCE"/>
            <w:noWrap/>
            <w:vAlign w:val="center"/>
          </w:tcPr>
          <w:p w14:paraId="222A8EEE"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55BA11AF"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5E453C84" w14:textId="77777777" w:rsidR="00154E32" w:rsidRDefault="00A43E04">
            <w:pPr>
              <w:pStyle w:val="P68B1DB1-Normal11"/>
              <w:jc w:val="center"/>
              <w:rPr>
                <w:noProof/>
              </w:rPr>
            </w:pPr>
            <w:r>
              <w:rPr>
                <w:noProof/>
              </w:rPr>
              <w:t>35</w:t>
            </w:r>
          </w:p>
        </w:tc>
        <w:tc>
          <w:tcPr>
            <w:tcW w:w="1417" w:type="dxa"/>
            <w:shd w:val="clear" w:color="auto" w:fill="C6EFCE"/>
            <w:noWrap/>
            <w:vAlign w:val="center"/>
          </w:tcPr>
          <w:p w14:paraId="212F7AE8" w14:textId="77777777" w:rsidR="00154E32" w:rsidRDefault="00A43E04">
            <w:pPr>
              <w:pStyle w:val="P68B1DB1-Normal11"/>
              <w:jc w:val="center"/>
              <w:rPr>
                <w:noProof/>
              </w:rPr>
            </w:pPr>
            <w:r>
              <w:rPr>
                <w:noProof/>
              </w:rPr>
              <w:t>70</w:t>
            </w:r>
          </w:p>
        </w:tc>
        <w:tc>
          <w:tcPr>
            <w:tcW w:w="793" w:type="dxa"/>
            <w:shd w:val="clear" w:color="auto" w:fill="C6EFCE"/>
            <w:noWrap/>
            <w:vAlign w:val="center"/>
          </w:tcPr>
          <w:p w14:paraId="358ADFC9" w14:textId="77777777" w:rsidR="00154E32" w:rsidRDefault="00A43E04">
            <w:pPr>
              <w:pStyle w:val="P68B1DB1-Normal11"/>
              <w:jc w:val="center"/>
              <w:rPr>
                <w:noProof/>
              </w:rPr>
            </w:pPr>
            <w:r>
              <w:rPr>
                <w:noProof/>
              </w:rPr>
              <w:t>Q4</w:t>
            </w:r>
          </w:p>
        </w:tc>
        <w:tc>
          <w:tcPr>
            <w:tcW w:w="625" w:type="dxa"/>
            <w:shd w:val="clear" w:color="auto" w:fill="C6EFCE"/>
            <w:noWrap/>
            <w:vAlign w:val="center"/>
          </w:tcPr>
          <w:p w14:paraId="2BB80321" w14:textId="77777777" w:rsidR="00154E32" w:rsidRDefault="00A43E04">
            <w:pPr>
              <w:pStyle w:val="P68B1DB1-Normal11"/>
              <w:jc w:val="center"/>
              <w:rPr>
                <w:noProof/>
              </w:rPr>
            </w:pPr>
            <w:r>
              <w:rPr>
                <w:noProof/>
              </w:rPr>
              <w:t>2023</w:t>
            </w:r>
          </w:p>
        </w:tc>
        <w:tc>
          <w:tcPr>
            <w:tcW w:w="2584" w:type="dxa"/>
            <w:shd w:val="clear" w:color="auto" w:fill="C6EFCE"/>
            <w:noWrap/>
            <w:vAlign w:val="center"/>
          </w:tcPr>
          <w:p w14:paraId="4D5CCC0C" w14:textId="77777777" w:rsidR="00154E32" w:rsidRDefault="00A43E04">
            <w:pPr>
              <w:spacing w:after="120"/>
              <w:rPr>
                <w:rFonts w:ascii="Arial Narrow" w:hAnsi="Arial Narrow"/>
                <w:noProof/>
                <w:color w:val="006100"/>
                <w:sz w:val="20"/>
              </w:rPr>
            </w:pPr>
            <w:r>
              <w:rPr>
                <w:rFonts w:ascii="Arial Narrow" w:hAnsi="Arial Narrow"/>
                <w:noProof/>
                <w:color w:val="006100"/>
                <w:sz w:val="20"/>
              </w:rPr>
              <w:t>35 dodatnih storitev na institucionalni spletni strani Inps (</w:t>
            </w:r>
            <w:hyperlink r:id="rId37" w:history="1">
              <w:r>
                <w:rPr>
                  <w:rStyle w:val="Hyperlink"/>
                  <w:rFonts w:ascii="Arial Narrow" w:hAnsi="Arial Narrow"/>
                  <w:noProof/>
                  <w:sz w:val="20"/>
                </w:rPr>
                <w:t>www.inps.it</w:t>
              </w:r>
            </w:hyperlink>
            <w:r>
              <w:rPr>
                <w:rFonts w:ascii="Arial Narrow" w:hAnsi="Arial Narrow"/>
                <w:noProof/>
                <w:color w:val="006100"/>
                <w:sz w:val="20"/>
              </w:rPr>
              <w:t>).</w:t>
            </w:r>
          </w:p>
          <w:p w14:paraId="7C0CD800" w14:textId="77777777" w:rsidR="00154E32" w:rsidRDefault="00A43E04">
            <w:pPr>
              <w:pStyle w:val="P68B1DB1-Normal11"/>
              <w:rPr>
                <w:noProof/>
              </w:rPr>
            </w:pPr>
            <w:r>
              <w:rPr>
                <w:noProof/>
              </w:rPr>
              <w:t>Storitve so dostopne na institucionalni spletni strani z ustreznimi logikami profiliranja (sistem predlaga storitve, ki bi lahko bile zanimive na podlagi starosti, delovnih značilnosti, zaznanih koristi in uporabniške zgodovine).</w:t>
            </w:r>
          </w:p>
          <w:p w14:paraId="13C76A92" w14:textId="77777777" w:rsidR="00154E32" w:rsidRDefault="00A43E04">
            <w:pPr>
              <w:pStyle w:val="P68B1DB1-Normal11"/>
              <w:spacing w:before="120"/>
              <w:rPr>
                <w:noProof/>
              </w:rPr>
            </w:pPr>
            <w:r>
              <w:rPr>
                <w:noProof/>
              </w:rPr>
              <w:t>35 storitev je povezanih z naslednjimi institucionalnimi področji INPS:</w:t>
            </w:r>
          </w:p>
          <w:p w14:paraId="64500C2C" w14:textId="77777777" w:rsidR="00154E32" w:rsidRDefault="00A43E04">
            <w:pPr>
              <w:pStyle w:val="P68B1DB1-Normal11"/>
              <w:ind w:left="292" w:hanging="76"/>
              <w:rPr>
                <w:noProof/>
              </w:rPr>
            </w:pPr>
            <w:r>
              <w:rPr>
                <w:noProof/>
              </w:rPr>
              <w:t>•Pokojninski prejemki</w:t>
            </w:r>
          </w:p>
          <w:p w14:paraId="6DEFE978" w14:textId="77777777" w:rsidR="00154E32" w:rsidRDefault="00A43E04">
            <w:pPr>
              <w:pStyle w:val="P68B1DB1-Normal11"/>
              <w:ind w:left="292" w:hanging="76"/>
              <w:rPr>
                <w:noProof/>
              </w:rPr>
            </w:pPr>
            <w:r>
              <w:rPr>
                <w:noProof/>
              </w:rPr>
              <w:t>•Družbeni absorberji</w:t>
            </w:r>
          </w:p>
          <w:p w14:paraId="27DC999B" w14:textId="77777777" w:rsidR="00154E32" w:rsidRDefault="00A43E04">
            <w:pPr>
              <w:pStyle w:val="P68B1DB1-Normal11"/>
              <w:ind w:left="292" w:hanging="76"/>
              <w:rPr>
                <w:noProof/>
              </w:rPr>
            </w:pPr>
            <w:r>
              <w:rPr>
                <w:noProof/>
              </w:rPr>
              <w:t>•Nadomestila za brezposelnost</w:t>
            </w:r>
          </w:p>
          <w:p w14:paraId="54FD9045" w14:textId="77777777" w:rsidR="00154E32" w:rsidRDefault="00A43E04">
            <w:pPr>
              <w:pStyle w:val="P68B1DB1-Normal11"/>
              <w:ind w:left="292" w:hanging="76"/>
              <w:rPr>
                <w:noProof/>
              </w:rPr>
            </w:pPr>
            <w:r>
              <w:rPr>
                <w:noProof/>
              </w:rPr>
              <w:t>•Koristi za invalidnost</w:t>
            </w:r>
          </w:p>
          <w:p w14:paraId="1E94936A" w14:textId="77777777" w:rsidR="00154E32" w:rsidRDefault="00A43E04">
            <w:pPr>
              <w:pStyle w:val="P68B1DB1-Normal11"/>
              <w:ind w:left="292" w:hanging="76"/>
              <w:rPr>
                <w:noProof/>
              </w:rPr>
            </w:pPr>
            <w:r>
              <w:rPr>
                <w:noProof/>
              </w:rPr>
              <w:t>•Prevzem</w:t>
            </w:r>
          </w:p>
          <w:p w14:paraId="44E81602" w14:textId="77777777" w:rsidR="00154E32" w:rsidRDefault="00A43E04">
            <w:pPr>
              <w:pStyle w:val="P68B1DB1-Normal11"/>
              <w:ind w:left="292" w:hanging="76"/>
              <w:rPr>
                <w:noProof/>
              </w:rPr>
            </w:pPr>
            <w:r>
              <w:rPr>
                <w:noProof/>
              </w:rPr>
              <w:t>•Pobiranje prispevkov s strani podjetij</w:t>
            </w:r>
          </w:p>
          <w:p w14:paraId="16A13607" w14:textId="77777777" w:rsidR="00154E32" w:rsidRDefault="00A43E04">
            <w:pPr>
              <w:pStyle w:val="P68B1DB1-Normal11"/>
              <w:ind w:left="292" w:hanging="76"/>
              <w:rPr>
                <w:noProof/>
              </w:rPr>
            </w:pPr>
            <w:r>
              <w:rPr>
                <w:noProof/>
              </w:rPr>
              <w:t>•Storitve delavcev v kmetijstvu</w:t>
            </w:r>
          </w:p>
          <w:p w14:paraId="41A26237" w14:textId="77777777" w:rsidR="00154E32" w:rsidRDefault="00A43E04">
            <w:pPr>
              <w:pStyle w:val="P68B1DB1-Normal11"/>
              <w:ind w:left="292" w:hanging="76"/>
              <w:rPr>
                <w:noProof/>
              </w:rPr>
            </w:pPr>
            <w:r>
              <w:rPr>
                <w:noProof/>
              </w:rPr>
              <w:t>•Storitve za boj proti goljufijam, korupciji in preglednosti</w:t>
            </w:r>
          </w:p>
          <w:p w14:paraId="0D9EB040" w14:textId="77777777" w:rsidR="00154E32" w:rsidRDefault="00A43E04">
            <w:pPr>
              <w:pStyle w:val="P68B1DB1-Normal11"/>
              <w:spacing w:before="120"/>
              <w:rPr>
                <w:noProof/>
              </w:rPr>
            </w:pPr>
            <w:r>
              <w:rPr>
                <w:noProof/>
              </w:rPr>
              <w:t>Na navedenih institucionalnih področjih se storitve, ki se bodo izvajale, nanašajo na digitalno predložitev zahtevkov za storitve, preverjanje zahtev v korist, spremljanje stanja prakse s strani uporabnikov, proaktivni predlog storitev, ki temelji na potrebah uporabnikov, samodejno podaljšanje ugodnosti brez potrebe po novih vlogah.</w:t>
            </w:r>
          </w:p>
          <w:p w14:paraId="1BDC39AE" w14:textId="77777777" w:rsidR="00154E32" w:rsidRDefault="00A43E04">
            <w:pPr>
              <w:pStyle w:val="P68B1DB1-Normal11"/>
              <w:spacing w:before="120" w:after="120"/>
              <w:rPr>
                <w:noProof/>
              </w:rPr>
            </w:pPr>
            <w:r>
              <w:rPr>
                <w:noProof/>
              </w:rPr>
              <w:t>Poleg tega bodo na voljo preglednice spremljanja, ki bodo omogočale spremljanje zagotovljenih koristi s strani INPS in podporo, ki temelji na podatkih, za odločitve oblikovalcev politik.</w:t>
            </w:r>
          </w:p>
        </w:tc>
      </w:tr>
      <w:tr w:rsidR="00154E32" w14:paraId="6C2F823A" w14:textId="77777777">
        <w:trPr>
          <w:trHeight w:val="4119"/>
        </w:trPr>
        <w:tc>
          <w:tcPr>
            <w:tcW w:w="1284" w:type="dxa"/>
            <w:shd w:val="clear" w:color="auto" w:fill="C6EFCE"/>
            <w:noWrap/>
            <w:vAlign w:val="center"/>
          </w:tcPr>
          <w:p w14:paraId="38063072" w14:textId="77777777" w:rsidR="00154E32" w:rsidRDefault="00A43E04">
            <w:pPr>
              <w:pStyle w:val="P68B1DB1-Normal11"/>
              <w:jc w:val="center"/>
              <w:rPr>
                <w:noProof/>
              </w:rPr>
            </w:pPr>
            <w:r>
              <w:rPr>
                <w:noProof/>
              </w:rPr>
              <w:t>M1C1–133</w:t>
            </w:r>
          </w:p>
        </w:tc>
        <w:tc>
          <w:tcPr>
            <w:tcW w:w="1746" w:type="dxa"/>
            <w:shd w:val="clear" w:color="auto" w:fill="C6EFCE"/>
            <w:noWrap/>
            <w:vAlign w:val="center"/>
          </w:tcPr>
          <w:p w14:paraId="607D4E64" w14:textId="77777777" w:rsidR="00154E32" w:rsidRDefault="00A43E04">
            <w:pPr>
              <w:pStyle w:val="P68B1DB1-Normal11"/>
              <w:jc w:val="center"/>
              <w:rPr>
                <w:noProof/>
              </w:rPr>
            </w:pPr>
            <w:r>
              <w:rPr>
                <w:noProof/>
              </w:rPr>
              <w:t>Naložba 1.6.3 – Digitizacija nacionalnega zavoda za socialno varnost (INPS) in Nacionalnega inštituta za zavarovanje pred nesrečami pri delu (INAIL)</w:t>
            </w:r>
          </w:p>
        </w:tc>
        <w:tc>
          <w:tcPr>
            <w:tcW w:w="992" w:type="dxa"/>
            <w:shd w:val="clear" w:color="auto" w:fill="C6EFCE"/>
            <w:noWrap/>
            <w:vAlign w:val="center"/>
          </w:tcPr>
          <w:p w14:paraId="42354F62"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12334283" w14:textId="77777777" w:rsidR="00154E32" w:rsidRDefault="00A43E04">
            <w:pPr>
              <w:pStyle w:val="P68B1DB1-Normal11"/>
              <w:jc w:val="center"/>
              <w:rPr>
                <w:noProof/>
              </w:rPr>
            </w:pPr>
            <w:r>
              <w:rPr>
                <w:noProof/>
              </w:rPr>
              <w:t>INPS – zaposleni z izboljšanimi znanji in spretnostmi na področju informacijskih in komunikacijskih tehnologij (IKT) T2</w:t>
            </w:r>
          </w:p>
        </w:tc>
        <w:tc>
          <w:tcPr>
            <w:tcW w:w="1701" w:type="dxa"/>
            <w:shd w:val="clear" w:color="auto" w:fill="C6EFCE"/>
            <w:noWrap/>
            <w:vAlign w:val="center"/>
          </w:tcPr>
          <w:p w14:paraId="538B623F"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2544EFBE"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60AE123B" w14:textId="77777777" w:rsidR="00154E32" w:rsidRDefault="00A43E04">
            <w:pPr>
              <w:pStyle w:val="P68B1DB1-Normal11"/>
              <w:jc w:val="center"/>
              <w:rPr>
                <w:noProof/>
              </w:rPr>
            </w:pPr>
            <w:r>
              <w:rPr>
                <w:noProof/>
              </w:rPr>
              <w:t>4 250</w:t>
            </w:r>
          </w:p>
        </w:tc>
        <w:tc>
          <w:tcPr>
            <w:tcW w:w="1417" w:type="dxa"/>
            <w:shd w:val="clear" w:color="auto" w:fill="C6EFCE"/>
            <w:noWrap/>
            <w:vAlign w:val="center"/>
          </w:tcPr>
          <w:p w14:paraId="10FE42D8" w14:textId="77777777" w:rsidR="00154E32" w:rsidRDefault="00A43E04">
            <w:pPr>
              <w:pStyle w:val="P68B1DB1-Normal11"/>
              <w:jc w:val="center"/>
              <w:rPr>
                <w:noProof/>
              </w:rPr>
            </w:pPr>
            <w:r>
              <w:rPr>
                <w:noProof/>
              </w:rPr>
              <w:t>8 500</w:t>
            </w:r>
          </w:p>
        </w:tc>
        <w:tc>
          <w:tcPr>
            <w:tcW w:w="793" w:type="dxa"/>
            <w:shd w:val="clear" w:color="auto" w:fill="C6EFCE"/>
            <w:noWrap/>
            <w:vAlign w:val="center"/>
          </w:tcPr>
          <w:p w14:paraId="0557110B" w14:textId="77777777" w:rsidR="00154E32" w:rsidRDefault="00A43E04">
            <w:pPr>
              <w:pStyle w:val="P68B1DB1-Normal11"/>
              <w:jc w:val="center"/>
              <w:rPr>
                <w:noProof/>
              </w:rPr>
            </w:pPr>
            <w:r>
              <w:rPr>
                <w:noProof/>
              </w:rPr>
              <w:t>Q4</w:t>
            </w:r>
          </w:p>
        </w:tc>
        <w:tc>
          <w:tcPr>
            <w:tcW w:w="625" w:type="dxa"/>
            <w:shd w:val="clear" w:color="auto" w:fill="C6EFCE"/>
            <w:noWrap/>
            <w:vAlign w:val="center"/>
          </w:tcPr>
          <w:p w14:paraId="78358BCA" w14:textId="77777777" w:rsidR="00154E32" w:rsidRDefault="00A43E04">
            <w:pPr>
              <w:pStyle w:val="P68B1DB1-Normal11"/>
              <w:jc w:val="center"/>
              <w:rPr>
                <w:noProof/>
              </w:rPr>
            </w:pPr>
            <w:r>
              <w:rPr>
                <w:noProof/>
              </w:rPr>
              <w:t>2023</w:t>
            </w:r>
          </w:p>
        </w:tc>
        <w:tc>
          <w:tcPr>
            <w:tcW w:w="2584" w:type="dxa"/>
            <w:shd w:val="clear" w:color="auto" w:fill="C6EFCE"/>
            <w:noWrap/>
            <w:vAlign w:val="center"/>
          </w:tcPr>
          <w:p w14:paraId="3940B873" w14:textId="77777777" w:rsidR="00154E32" w:rsidRDefault="00A43E04">
            <w:pPr>
              <w:pStyle w:val="P68B1DB1-Normal11"/>
              <w:spacing w:after="120"/>
              <w:rPr>
                <w:noProof/>
              </w:rPr>
            </w:pPr>
            <w:r>
              <w:rPr>
                <w:noProof/>
              </w:rPr>
              <w:t>Dodatnih 4250 zaposlenih v INPS, ocenjenih s potrjenimi izboljšanimi znanji in spretnostmi na naslednjih področjih evropskega okvira za e-usposobljenost: (I) načrt; (II)gradnja; (III) Run (iv) možnost; (v) Upravljanje.</w:t>
            </w:r>
          </w:p>
          <w:p w14:paraId="02F0D532" w14:textId="77777777" w:rsidR="00154E32" w:rsidRDefault="00A43E04">
            <w:pPr>
              <w:pStyle w:val="P68B1DB1-Normal11"/>
              <w:spacing w:after="120"/>
              <w:rPr>
                <w:noProof/>
              </w:rPr>
            </w:pPr>
            <w:r>
              <w:rPr>
                <w:noProof/>
              </w:rPr>
              <w:t>Področja za izboljšanje kompetenc se opredelijo glede na ciljno skupino učečih se.</w:t>
            </w:r>
          </w:p>
        </w:tc>
      </w:tr>
      <w:tr w:rsidR="00154E32" w14:paraId="51073374" w14:textId="77777777">
        <w:trPr>
          <w:trHeight w:val="3086"/>
        </w:trPr>
        <w:tc>
          <w:tcPr>
            <w:tcW w:w="12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A3EB92" w14:textId="77777777" w:rsidR="00154E32" w:rsidRDefault="00A43E04">
            <w:pPr>
              <w:pStyle w:val="P68B1DB1-Normal11"/>
              <w:jc w:val="center"/>
              <w:rPr>
                <w:noProof/>
              </w:rPr>
            </w:pPr>
            <w:r>
              <w:rPr>
                <w:noProof/>
              </w:rPr>
              <w:t>M1C1–134</w:t>
            </w:r>
          </w:p>
        </w:tc>
        <w:tc>
          <w:tcPr>
            <w:tcW w:w="174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914497" w14:textId="77777777" w:rsidR="00154E32" w:rsidRDefault="00A43E04">
            <w:pPr>
              <w:pStyle w:val="P68B1DB1-Normal11"/>
              <w:jc w:val="center"/>
              <w:rPr>
                <w:noProof/>
              </w:rPr>
            </w:pPr>
            <w:r>
              <w:rPr>
                <w:noProof/>
              </w:rPr>
              <w:t>Naložba 1.6.3 – Digitizacija nacionalnega zavoda za socialno varnost (INPS) in Nacionalnega inštituta za zavarovanje pred nesrečami pri delu (INAIL)</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0114C5" w14:textId="77777777" w:rsidR="00154E32" w:rsidRDefault="00A43E04">
            <w:pPr>
              <w:pStyle w:val="P68B1DB1-Normal11"/>
              <w:jc w:val="center"/>
              <w:rPr>
                <w:noProof/>
              </w:rPr>
            </w:pPr>
            <w:r>
              <w:rPr>
                <w:noProof/>
              </w:rPr>
              <w:t>Tarča</w:t>
            </w:r>
          </w:p>
        </w:tc>
        <w:tc>
          <w:tcPr>
            <w:tcW w:w="212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86A115" w14:textId="77777777" w:rsidR="00154E32" w:rsidRDefault="00A43E04">
            <w:pPr>
              <w:pStyle w:val="P68B1DB1-Normal11"/>
              <w:jc w:val="center"/>
              <w:rPr>
                <w:noProof/>
              </w:rPr>
            </w:pPr>
            <w:r>
              <w:rPr>
                <w:noProof/>
              </w:rPr>
              <w:t>INAIL – V celoti preoblikovani in digitalizirani postopki/storitve T1</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7DE8277" w14:textId="77777777" w:rsidR="00154E32" w:rsidRDefault="00A43E04">
            <w:pPr>
              <w:pStyle w:val="P68B1DB1-Normal11"/>
              <w:jc w:val="center"/>
              <w:rPr>
                <w:noProof/>
              </w:rPr>
            </w:pPr>
            <w:r>
              <w:rPr>
                <w:noProof/>
              </w:rPr>
              <w:t>JIH NI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3FCEEB" w14:textId="77777777" w:rsidR="00154E32" w:rsidRDefault="00A43E04">
            <w:pPr>
              <w:pStyle w:val="P68B1DB1-Normal11"/>
              <w:jc w:val="center"/>
              <w:rPr>
                <w:noProof/>
              </w:rPr>
            </w:pPr>
            <w:r>
              <w:rPr>
                <w:noProof/>
              </w:rPr>
              <w:t>Število</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F1F659" w14:textId="77777777" w:rsidR="00154E32" w:rsidRDefault="00A43E04">
            <w:pPr>
              <w:pStyle w:val="P68B1DB1-Normal11"/>
              <w:jc w:val="center"/>
              <w:rPr>
                <w:noProof/>
              </w:rPr>
            </w:pPr>
            <w:r>
              <w:rPr>
                <w:noProof/>
              </w:rPr>
              <w:t>29</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D847A3D" w14:textId="77777777" w:rsidR="00154E32" w:rsidRDefault="00A43E04">
            <w:pPr>
              <w:pStyle w:val="P68B1DB1-Normal11"/>
              <w:jc w:val="center"/>
              <w:rPr>
                <w:noProof/>
              </w:rPr>
            </w:pPr>
            <w:r>
              <w:rPr>
                <w:noProof/>
              </w:rPr>
              <w:t>53</w:t>
            </w:r>
          </w:p>
        </w:tc>
        <w:tc>
          <w:tcPr>
            <w:tcW w:w="79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52620E" w14:textId="77777777" w:rsidR="00154E32" w:rsidRDefault="00A43E04">
            <w:pPr>
              <w:pStyle w:val="P68B1DB1-Normal11"/>
              <w:jc w:val="center"/>
              <w:rPr>
                <w:noProof/>
              </w:rPr>
            </w:pPr>
            <w:r>
              <w:rPr>
                <w:noProof/>
              </w:rPr>
              <w:t>Q4</w:t>
            </w:r>
          </w:p>
        </w:tc>
        <w:tc>
          <w:tcPr>
            <w:tcW w:w="62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988A282" w14:textId="77777777" w:rsidR="00154E32" w:rsidRDefault="00A43E04">
            <w:pPr>
              <w:pStyle w:val="P68B1DB1-Normal11"/>
              <w:jc w:val="center"/>
              <w:rPr>
                <w:noProof/>
              </w:rPr>
            </w:pPr>
            <w:r>
              <w:rPr>
                <w:noProof/>
              </w:rPr>
              <w:t>2023</w:t>
            </w:r>
          </w:p>
        </w:tc>
        <w:tc>
          <w:tcPr>
            <w:tcW w:w="25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CF0C86" w14:textId="77777777" w:rsidR="00154E32" w:rsidRDefault="00A43E04">
            <w:pPr>
              <w:pStyle w:val="P68B1DB1-Normal11"/>
              <w:spacing w:after="120"/>
              <w:rPr>
                <w:noProof/>
              </w:rPr>
            </w:pPr>
            <w:r>
              <w:rPr>
                <w:noProof/>
              </w:rPr>
              <w:t xml:space="preserve">Cilj je doseči 53 (52 %) preoblikovanih institucionalnih procesov in storitev, da bi bile v celoti digitalizirane. </w:t>
            </w:r>
          </w:p>
          <w:p w14:paraId="07204C78" w14:textId="77777777" w:rsidR="00154E32" w:rsidRDefault="00A43E04">
            <w:pPr>
              <w:pStyle w:val="P68B1DB1-Normal11"/>
              <w:spacing w:after="120"/>
              <w:rPr>
                <w:noProof/>
              </w:rPr>
            </w:pPr>
            <w:r>
              <w:rPr>
                <w:noProof/>
              </w:rPr>
              <w:t>Vključena področja INAIL so: Zavarovalniške, socialne in zdravstvene storitve, Preprečevanje in varnost, spričevala in preverjanja.</w:t>
            </w:r>
          </w:p>
          <w:p w14:paraId="7D225E9F" w14:textId="77777777" w:rsidR="00154E32" w:rsidRDefault="00A43E04">
            <w:pPr>
              <w:pStyle w:val="P68B1DB1-Normal11"/>
              <w:spacing w:after="120"/>
              <w:rPr>
                <w:noProof/>
              </w:rPr>
            </w:pPr>
            <w:r>
              <w:rPr>
                <w:noProof/>
              </w:rPr>
              <w:t xml:space="preserve">Zlasti je zgoraj naveden pričakovani cilj za vsako območje: </w:t>
            </w:r>
          </w:p>
          <w:p w14:paraId="2A950175" w14:textId="77777777" w:rsidR="00154E32" w:rsidRDefault="00A43E04">
            <w:pPr>
              <w:pStyle w:val="P68B1DB1-ListParagraph13"/>
              <w:numPr>
                <w:ilvl w:val="0"/>
                <w:numId w:val="84"/>
              </w:numPr>
              <w:ind w:left="377" w:hanging="283"/>
              <w:jc w:val="left"/>
              <w:rPr>
                <w:noProof/>
              </w:rPr>
            </w:pPr>
            <w:r>
              <w:rPr>
                <w:noProof/>
              </w:rPr>
              <w:t xml:space="preserve">Zavarovanje: 8 (25 %); </w:t>
            </w:r>
          </w:p>
          <w:p w14:paraId="3165BD8C" w14:textId="77777777" w:rsidR="00154E32" w:rsidRDefault="00A43E04">
            <w:pPr>
              <w:pStyle w:val="P68B1DB1-ListParagraph13"/>
              <w:numPr>
                <w:ilvl w:val="0"/>
                <w:numId w:val="84"/>
              </w:numPr>
              <w:ind w:left="377" w:hanging="283"/>
              <w:jc w:val="left"/>
              <w:rPr>
                <w:noProof/>
              </w:rPr>
            </w:pPr>
            <w:r>
              <w:rPr>
                <w:noProof/>
              </w:rPr>
              <w:t>Socialne in zdravstvene storitve: 18 (50 %);</w:t>
            </w:r>
          </w:p>
          <w:p w14:paraId="272567BF" w14:textId="77777777" w:rsidR="00154E32" w:rsidRDefault="00A43E04">
            <w:pPr>
              <w:pStyle w:val="P68B1DB1-ListParagraph13"/>
              <w:numPr>
                <w:ilvl w:val="0"/>
                <w:numId w:val="84"/>
              </w:numPr>
              <w:ind w:left="377" w:hanging="283"/>
              <w:jc w:val="left"/>
              <w:rPr>
                <w:noProof/>
              </w:rPr>
            </w:pPr>
            <w:r>
              <w:rPr>
                <w:noProof/>
              </w:rPr>
              <w:t>Preprečevanje in varnost pri delu: 9 (80 %);</w:t>
            </w:r>
          </w:p>
          <w:p w14:paraId="6109D397" w14:textId="77777777" w:rsidR="00154E32" w:rsidRDefault="00A43E04">
            <w:pPr>
              <w:pStyle w:val="P68B1DB1-ListParagraph13"/>
              <w:numPr>
                <w:ilvl w:val="0"/>
                <w:numId w:val="84"/>
              </w:numPr>
              <w:ind w:left="377" w:hanging="283"/>
              <w:jc w:val="left"/>
              <w:rPr>
                <w:noProof/>
              </w:rPr>
            </w:pPr>
            <w:r>
              <w:rPr>
                <w:noProof/>
              </w:rPr>
              <w:t>Certifikacije in preverjanja: 18 (80 %).</w:t>
            </w:r>
          </w:p>
        </w:tc>
      </w:tr>
      <w:tr w:rsidR="00154E32" w14:paraId="343029C7" w14:textId="77777777">
        <w:trPr>
          <w:trHeight w:val="309"/>
        </w:trPr>
        <w:tc>
          <w:tcPr>
            <w:tcW w:w="1284" w:type="dxa"/>
            <w:shd w:val="clear" w:color="auto" w:fill="C6EFCE"/>
            <w:noWrap/>
            <w:vAlign w:val="center"/>
          </w:tcPr>
          <w:p w14:paraId="1C4DBCB0" w14:textId="77777777" w:rsidR="00154E32" w:rsidRDefault="00A43E04">
            <w:pPr>
              <w:pStyle w:val="P68B1DB1-Normal11"/>
              <w:jc w:val="center"/>
              <w:rPr>
                <w:noProof/>
              </w:rPr>
            </w:pPr>
            <w:r>
              <w:rPr>
                <w:noProof/>
              </w:rPr>
              <w:t>M1C1–135</w:t>
            </w:r>
          </w:p>
        </w:tc>
        <w:tc>
          <w:tcPr>
            <w:tcW w:w="1746" w:type="dxa"/>
            <w:shd w:val="clear" w:color="auto" w:fill="C6EFCE"/>
            <w:noWrap/>
            <w:vAlign w:val="center"/>
          </w:tcPr>
          <w:p w14:paraId="6D4C73B7" w14:textId="77777777" w:rsidR="00154E32" w:rsidRDefault="00A43E04">
            <w:pPr>
              <w:pStyle w:val="P68B1DB1-Normal11"/>
              <w:jc w:val="center"/>
              <w:rPr>
                <w:noProof/>
              </w:rPr>
            </w:pPr>
            <w:r>
              <w:rPr>
                <w:noProof/>
              </w:rPr>
              <w:t>Naložba 1.6.4 – Digitalizacija ministrstva za obrambo</w:t>
            </w:r>
          </w:p>
        </w:tc>
        <w:tc>
          <w:tcPr>
            <w:tcW w:w="992" w:type="dxa"/>
            <w:shd w:val="clear" w:color="auto" w:fill="C6EFCE"/>
            <w:noWrap/>
            <w:vAlign w:val="center"/>
          </w:tcPr>
          <w:p w14:paraId="29003422"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07DCD18C" w14:textId="77777777" w:rsidR="00154E32" w:rsidRDefault="00A43E04">
            <w:pPr>
              <w:pStyle w:val="P68B1DB1-Normal11"/>
              <w:jc w:val="center"/>
              <w:rPr>
                <w:noProof/>
              </w:rPr>
            </w:pPr>
            <w:r>
              <w:rPr>
                <w:noProof/>
              </w:rPr>
              <w:t>Ministrstvo za obrambo – Digitalizacija postopkov T1</w:t>
            </w:r>
          </w:p>
        </w:tc>
        <w:tc>
          <w:tcPr>
            <w:tcW w:w="1701" w:type="dxa"/>
            <w:shd w:val="clear" w:color="auto" w:fill="C6EFCE"/>
            <w:noWrap/>
            <w:vAlign w:val="center"/>
          </w:tcPr>
          <w:p w14:paraId="3D5FAF7E"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1ADC4121"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0EBB45FD" w14:textId="77777777" w:rsidR="00154E32" w:rsidRDefault="00A43E04">
            <w:pPr>
              <w:pStyle w:val="P68B1DB1-Normal11"/>
              <w:jc w:val="center"/>
              <w:rPr>
                <w:noProof/>
              </w:rPr>
            </w:pPr>
            <w:r>
              <w:rPr>
                <w:noProof/>
              </w:rPr>
              <w:t>4</w:t>
            </w:r>
          </w:p>
        </w:tc>
        <w:tc>
          <w:tcPr>
            <w:tcW w:w="1417" w:type="dxa"/>
            <w:shd w:val="clear" w:color="auto" w:fill="C6EFCE"/>
            <w:noWrap/>
            <w:vAlign w:val="center"/>
          </w:tcPr>
          <w:p w14:paraId="4178BAD3" w14:textId="77777777" w:rsidR="00154E32" w:rsidRDefault="00A43E04">
            <w:pPr>
              <w:pStyle w:val="P68B1DB1-Normal11"/>
              <w:jc w:val="center"/>
              <w:rPr>
                <w:noProof/>
              </w:rPr>
            </w:pPr>
            <w:r>
              <w:rPr>
                <w:noProof/>
              </w:rPr>
              <w:t>15</w:t>
            </w:r>
          </w:p>
        </w:tc>
        <w:tc>
          <w:tcPr>
            <w:tcW w:w="793" w:type="dxa"/>
            <w:shd w:val="clear" w:color="auto" w:fill="C6EFCE"/>
            <w:noWrap/>
            <w:vAlign w:val="center"/>
          </w:tcPr>
          <w:p w14:paraId="4FA4082B" w14:textId="77777777" w:rsidR="00154E32" w:rsidRDefault="00A43E04">
            <w:pPr>
              <w:pStyle w:val="P68B1DB1-Normal11"/>
              <w:jc w:val="center"/>
              <w:rPr>
                <w:noProof/>
              </w:rPr>
            </w:pPr>
            <w:r>
              <w:rPr>
                <w:noProof/>
              </w:rPr>
              <w:t>Q4</w:t>
            </w:r>
          </w:p>
        </w:tc>
        <w:tc>
          <w:tcPr>
            <w:tcW w:w="625" w:type="dxa"/>
            <w:shd w:val="clear" w:color="auto" w:fill="C6EFCE"/>
            <w:noWrap/>
            <w:vAlign w:val="center"/>
          </w:tcPr>
          <w:p w14:paraId="62DA3974" w14:textId="77777777" w:rsidR="00154E32" w:rsidRDefault="00A43E04">
            <w:pPr>
              <w:pStyle w:val="P68B1DB1-Normal11"/>
              <w:jc w:val="center"/>
              <w:rPr>
                <w:noProof/>
              </w:rPr>
            </w:pPr>
            <w:r>
              <w:rPr>
                <w:noProof/>
              </w:rPr>
              <w:t>2023</w:t>
            </w:r>
          </w:p>
        </w:tc>
        <w:tc>
          <w:tcPr>
            <w:tcW w:w="2584" w:type="dxa"/>
            <w:shd w:val="clear" w:color="auto" w:fill="C6EFCE"/>
            <w:noWrap/>
            <w:vAlign w:val="center"/>
          </w:tcPr>
          <w:p w14:paraId="68DAFD31" w14:textId="77777777" w:rsidR="00154E32" w:rsidRDefault="00A43E04">
            <w:pPr>
              <w:pStyle w:val="P68B1DB1-Normal11"/>
              <w:spacing w:after="120"/>
              <w:rPr>
                <w:noProof/>
              </w:rPr>
            </w:pPr>
            <w:r>
              <w:rPr>
                <w:noProof/>
              </w:rPr>
              <w:t>Digitalizacija, revizija in avtomatizacija 15 postopkov v zvezi z upravljanjem osebja na področju obrambe (kot so zaposlovanje, zaposlovanje in upokojitev, zdravje zaposlenih), začenši z izhodiščem štirih že digitaliziranih postopkov.</w:t>
            </w:r>
          </w:p>
        </w:tc>
      </w:tr>
      <w:tr w:rsidR="00154E32" w14:paraId="73256F26" w14:textId="77777777">
        <w:trPr>
          <w:trHeight w:val="309"/>
        </w:trPr>
        <w:tc>
          <w:tcPr>
            <w:tcW w:w="1284" w:type="dxa"/>
            <w:shd w:val="clear" w:color="auto" w:fill="C6EFCE"/>
            <w:noWrap/>
            <w:vAlign w:val="center"/>
          </w:tcPr>
          <w:p w14:paraId="36BF7D21" w14:textId="77777777" w:rsidR="00154E32" w:rsidRDefault="00A43E04">
            <w:pPr>
              <w:pStyle w:val="P68B1DB1-Normal11"/>
              <w:jc w:val="center"/>
              <w:rPr>
                <w:noProof/>
              </w:rPr>
            </w:pPr>
            <w:r>
              <w:rPr>
                <w:noProof/>
              </w:rPr>
              <w:t>M1C1–136</w:t>
            </w:r>
          </w:p>
        </w:tc>
        <w:tc>
          <w:tcPr>
            <w:tcW w:w="1746" w:type="dxa"/>
            <w:shd w:val="clear" w:color="auto" w:fill="C6EFCE"/>
            <w:noWrap/>
            <w:vAlign w:val="center"/>
          </w:tcPr>
          <w:p w14:paraId="6B30198D" w14:textId="77777777" w:rsidR="00154E32" w:rsidRDefault="00A43E04">
            <w:pPr>
              <w:pStyle w:val="P68B1DB1-Normal11"/>
              <w:jc w:val="center"/>
              <w:rPr>
                <w:noProof/>
              </w:rPr>
            </w:pPr>
            <w:r>
              <w:rPr>
                <w:noProof/>
              </w:rPr>
              <w:t>Naložba 1.6.4 – Digitalizacija ministrstva za obrambo</w:t>
            </w:r>
          </w:p>
        </w:tc>
        <w:tc>
          <w:tcPr>
            <w:tcW w:w="992" w:type="dxa"/>
            <w:shd w:val="clear" w:color="auto" w:fill="C6EFCE"/>
            <w:noWrap/>
            <w:vAlign w:val="center"/>
          </w:tcPr>
          <w:p w14:paraId="2F5129C3"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57BBFB46" w14:textId="77777777" w:rsidR="00154E32" w:rsidRDefault="00A43E04">
            <w:pPr>
              <w:pStyle w:val="P68B1DB1-Normal11"/>
              <w:jc w:val="center"/>
              <w:rPr>
                <w:noProof/>
              </w:rPr>
            </w:pPr>
            <w:r>
              <w:rPr>
                <w:noProof/>
              </w:rPr>
              <w:t>Ministrstvo za obrambo – Digitalizacija potrdil T1</w:t>
            </w:r>
          </w:p>
        </w:tc>
        <w:tc>
          <w:tcPr>
            <w:tcW w:w="1701" w:type="dxa"/>
            <w:shd w:val="clear" w:color="auto" w:fill="C6EFCE"/>
            <w:noWrap/>
            <w:vAlign w:val="center"/>
          </w:tcPr>
          <w:p w14:paraId="61A399AC"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5C4B553E" w14:textId="77777777" w:rsidR="00154E32" w:rsidRDefault="00A43E04">
            <w:pPr>
              <w:pStyle w:val="P68B1DB1-Normal11"/>
              <w:jc w:val="center"/>
              <w:rPr>
                <w:noProof/>
              </w:rPr>
            </w:pPr>
            <w:r>
              <w:rPr>
                <w:noProof/>
              </w:rPr>
              <w:t>Število digitaliziranih potrdil</w:t>
            </w:r>
          </w:p>
        </w:tc>
        <w:tc>
          <w:tcPr>
            <w:tcW w:w="1276" w:type="dxa"/>
            <w:shd w:val="clear" w:color="auto" w:fill="C6EFCE"/>
            <w:noWrap/>
            <w:vAlign w:val="center"/>
          </w:tcPr>
          <w:p w14:paraId="51120BBB" w14:textId="77777777" w:rsidR="00154E32" w:rsidRDefault="00A43E04">
            <w:pPr>
              <w:pStyle w:val="P68B1DB1-Normal11"/>
              <w:jc w:val="center"/>
              <w:rPr>
                <w:noProof/>
              </w:rPr>
            </w:pPr>
            <w:r>
              <w:rPr>
                <w:noProof/>
              </w:rPr>
              <w:t>190 000</w:t>
            </w:r>
          </w:p>
        </w:tc>
        <w:tc>
          <w:tcPr>
            <w:tcW w:w="1417" w:type="dxa"/>
            <w:shd w:val="clear" w:color="auto" w:fill="C6EFCE"/>
            <w:noWrap/>
            <w:vAlign w:val="center"/>
          </w:tcPr>
          <w:p w14:paraId="3C58E777" w14:textId="77777777" w:rsidR="00154E32" w:rsidRDefault="00A43E04">
            <w:pPr>
              <w:pStyle w:val="P68B1DB1-Normal11"/>
              <w:jc w:val="center"/>
              <w:rPr>
                <w:noProof/>
              </w:rPr>
            </w:pPr>
            <w:r>
              <w:rPr>
                <w:noProof/>
              </w:rPr>
              <w:t>450 000</w:t>
            </w:r>
          </w:p>
        </w:tc>
        <w:tc>
          <w:tcPr>
            <w:tcW w:w="793" w:type="dxa"/>
            <w:shd w:val="clear" w:color="auto" w:fill="C6EFCE"/>
            <w:noWrap/>
            <w:vAlign w:val="center"/>
          </w:tcPr>
          <w:p w14:paraId="39B4949A" w14:textId="77777777" w:rsidR="00154E32" w:rsidRDefault="00A43E04">
            <w:pPr>
              <w:pStyle w:val="P68B1DB1-Normal11"/>
              <w:jc w:val="center"/>
              <w:rPr>
                <w:noProof/>
              </w:rPr>
            </w:pPr>
            <w:r>
              <w:rPr>
                <w:noProof/>
              </w:rPr>
              <w:t>Q4</w:t>
            </w:r>
          </w:p>
        </w:tc>
        <w:tc>
          <w:tcPr>
            <w:tcW w:w="625" w:type="dxa"/>
            <w:shd w:val="clear" w:color="auto" w:fill="C6EFCE"/>
            <w:noWrap/>
            <w:vAlign w:val="center"/>
          </w:tcPr>
          <w:p w14:paraId="5FB59FA6" w14:textId="77777777" w:rsidR="00154E32" w:rsidRDefault="00A43E04">
            <w:pPr>
              <w:pStyle w:val="P68B1DB1-Normal11"/>
              <w:jc w:val="center"/>
              <w:rPr>
                <w:noProof/>
              </w:rPr>
            </w:pPr>
            <w:r>
              <w:rPr>
                <w:noProof/>
              </w:rPr>
              <w:t>2023</w:t>
            </w:r>
          </w:p>
        </w:tc>
        <w:tc>
          <w:tcPr>
            <w:tcW w:w="2584" w:type="dxa"/>
            <w:shd w:val="clear" w:color="auto" w:fill="C6EFCE"/>
            <w:noWrap/>
            <w:vAlign w:val="center"/>
          </w:tcPr>
          <w:p w14:paraId="55BA9CFD" w14:textId="77777777" w:rsidR="00154E32" w:rsidRDefault="00A43E04">
            <w:pPr>
              <w:pStyle w:val="P68B1DB1-Normal11"/>
              <w:spacing w:after="120"/>
              <w:rPr>
                <w:noProof/>
              </w:rPr>
            </w:pPr>
            <w:r>
              <w:rPr>
                <w:noProof/>
              </w:rPr>
              <w:t>Število digitaliziranih potrdil o identiteti (450000), ki jih je izdalo ministrstvo za obrambo in ki obratujejo na infrastrukturo, dopolnjeno z lokacijo ponovne vzpostavitve delovanja po nesreči, ki se začne z izhodiščem 190000 že digitaliziranih potrdil.</w:t>
            </w:r>
          </w:p>
        </w:tc>
      </w:tr>
      <w:tr w:rsidR="00154E32" w14:paraId="338C8004" w14:textId="77777777">
        <w:trPr>
          <w:trHeight w:val="309"/>
        </w:trPr>
        <w:tc>
          <w:tcPr>
            <w:tcW w:w="1284" w:type="dxa"/>
            <w:shd w:val="clear" w:color="auto" w:fill="C6EFCE"/>
            <w:noWrap/>
            <w:vAlign w:val="center"/>
          </w:tcPr>
          <w:p w14:paraId="7E25EB74" w14:textId="77777777" w:rsidR="00154E32" w:rsidRDefault="00A43E04">
            <w:pPr>
              <w:pStyle w:val="P68B1DB1-Normal11"/>
              <w:jc w:val="center"/>
              <w:rPr>
                <w:noProof/>
              </w:rPr>
            </w:pPr>
            <w:r>
              <w:rPr>
                <w:noProof/>
              </w:rPr>
              <w:t>M1C1–137</w:t>
            </w:r>
          </w:p>
        </w:tc>
        <w:tc>
          <w:tcPr>
            <w:tcW w:w="1746" w:type="dxa"/>
            <w:shd w:val="clear" w:color="auto" w:fill="C6EFCE"/>
            <w:noWrap/>
            <w:vAlign w:val="center"/>
          </w:tcPr>
          <w:p w14:paraId="0FC6BBA7" w14:textId="77777777" w:rsidR="00154E32" w:rsidRDefault="00A43E04">
            <w:pPr>
              <w:pStyle w:val="P68B1DB1-Normal11"/>
              <w:jc w:val="center"/>
              <w:rPr>
                <w:noProof/>
              </w:rPr>
            </w:pPr>
            <w:r>
              <w:rPr>
                <w:noProof/>
              </w:rPr>
              <w:t>Naložba 1.6.4 – Digitalizacija ministrstva za obrambo</w:t>
            </w:r>
          </w:p>
        </w:tc>
        <w:tc>
          <w:tcPr>
            <w:tcW w:w="992" w:type="dxa"/>
            <w:shd w:val="clear" w:color="auto" w:fill="C6EFCE"/>
            <w:noWrap/>
            <w:vAlign w:val="center"/>
          </w:tcPr>
          <w:p w14:paraId="5619A88B" w14:textId="77777777" w:rsidR="00154E32" w:rsidRDefault="00A43E04">
            <w:pPr>
              <w:pStyle w:val="P68B1DB1-Normal11"/>
              <w:jc w:val="center"/>
              <w:rPr>
                <w:noProof/>
              </w:rPr>
            </w:pPr>
            <w:r>
              <w:rPr>
                <w:noProof/>
              </w:rPr>
              <w:t>Mejnik</w:t>
            </w:r>
          </w:p>
        </w:tc>
        <w:tc>
          <w:tcPr>
            <w:tcW w:w="2126" w:type="dxa"/>
            <w:shd w:val="clear" w:color="auto" w:fill="C6EFCE"/>
            <w:noWrap/>
            <w:vAlign w:val="center"/>
          </w:tcPr>
          <w:p w14:paraId="3163C326" w14:textId="77777777" w:rsidR="00154E32" w:rsidRDefault="00A43E04">
            <w:pPr>
              <w:pStyle w:val="P68B1DB1-Normal11"/>
              <w:jc w:val="center"/>
              <w:rPr>
                <w:noProof/>
              </w:rPr>
            </w:pPr>
            <w:r>
              <w:rPr>
                <w:noProof/>
              </w:rPr>
              <w:t>Ministrstvo za obrambo – začetek delovanja institucionalnih spletnih portalov in intranetnih portalov</w:t>
            </w:r>
          </w:p>
        </w:tc>
        <w:tc>
          <w:tcPr>
            <w:tcW w:w="1701" w:type="dxa"/>
            <w:shd w:val="clear" w:color="auto" w:fill="C6EFCE"/>
            <w:noWrap/>
            <w:vAlign w:val="center"/>
          </w:tcPr>
          <w:p w14:paraId="5B425CCC" w14:textId="77777777" w:rsidR="00154E32" w:rsidRDefault="00A43E04">
            <w:pPr>
              <w:pStyle w:val="P68B1DB1-Normal11"/>
              <w:jc w:val="center"/>
              <w:rPr>
                <w:noProof/>
              </w:rPr>
            </w:pPr>
            <w:r>
              <w:rPr>
                <w:noProof/>
              </w:rPr>
              <w:t>Institucionalni spletni portali in intranetni spletni portali v celoti delujejo</w:t>
            </w:r>
          </w:p>
        </w:tc>
        <w:tc>
          <w:tcPr>
            <w:tcW w:w="1134" w:type="dxa"/>
            <w:shd w:val="clear" w:color="auto" w:fill="C6EFCE"/>
            <w:noWrap/>
            <w:vAlign w:val="center"/>
          </w:tcPr>
          <w:p w14:paraId="1BEEEFB4" w14:textId="77777777" w:rsidR="00154E32" w:rsidRDefault="00A43E04">
            <w:pPr>
              <w:pStyle w:val="P68B1DB1-Normal11"/>
              <w:jc w:val="center"/>
              <w:rPr>
                <w:noProof/>
              </w:rPr>
            </w:pPr>
            <w:r>
              <w:rPr>
                <w:noProof/>
              </w:rPr>
              <w:t>JIH NI</w:t>
            </w:r>
          </w:p>
        </w:tc>
        <w:tc>
          <w:tcPr>
            <w:tcW w:w="1276" w:type="dxa"/>
            <w:shd w:val="clear" w:color="auto" w:fill="C6EFCE"/>
            <w:noWrap/>
            <w:vAlign w:val="center"/>
          </w:tcPr>
          <w:p w14:paraId="386E8DF4" w14:textId="77777777" w:rsidR="00154E32" w:rsidRDefault="00A43E04">
            <w:pPr>
              <w:pStyle w:val="P68B1DB1-Normal11"/>
              <w:jc w:val="center"/>
              <w:rPr>
                <w:noProof/>
              </w:rPr>
            </w:pPr>
            <w:r>
              <w:rPr>
                <w:noProof/>
              </w:rPr>
              <w:t>JIH NI</w:t>
            </w:r>
          </w:p>
        </w:tc>
        <w:tc>
          <w:tcPr>
            <w:tcW w:w="1417" w:type="dxa"/>
            <w:shd w:val="clear" w:color="auto" w:fill="C6EFCE"/>
            <w:noWrap/>
            <w:vAlign w:val="center"/>
          </w:tcPr>
          <w:p w14:paraId="0448A103" w14:textId="77777777" w:rsidR="00154E32" w:rsidRDefault="00A43E04">
            <w:pPr>
              <w:pStyle w:val="P68B1DB1-Normal11"/>
              <w:jc w:val="center"/>
              <w:rPr>
                <w:noProof/>
              </w:rPr>
            </w:pPr>
            <w:r>
              <w:rPr>
                <w:noProof/>
              </w:rPr>
              <w:t>JIH NI</w:t>
            </w:r>
          </w:p>
        </w:tc>
        <w:tc>
          <w:tcPr>
            <w:tcW w:w="793" w:type="dxa"/>
            <w:shd w:val="clear" w:color="auto" w:fill="C6EFCE"/>
            <w:noWrap/>
            <w:vAlign w:val="center"/>
          </w:tcPr>
          <w:p w14:paraId="71559B9F" w14:textId="77777777" w:rsidR="00154E32" w:rsidRDefault="00A43E04">
            <w:pPr>
              <w:pStyle w:val="P68B1DB1-Normal11"/>
              <w:jc w:val="center"/>
              <w:rPr>
                <w:noProof/>
              </w:rPr>
            </w:pPr>
            <w:r>
              <w:rPr>
                <w:noProof/>
              </w:rPr>
              <w:t>Q4</w:t>
            </w:r>
          </w:p>
        </w:tc>
        <w:tc>
          <w:tcPr>
            <w:tcW w:w="625" w:type="dxa"/>
            <w:shd w:val="clear" w:color="auto" w:fill="C6EFCE"/>
            <w:noWrap/>
            <w:vAlign w:val="center"/>
          </w:tcPr>
          <w:p w14:paraId="7C40110E" w14:textId="77777777" w:rsidR="00154E32" w:rsidRDefault="00A43E04">
            <w:pPr>
              <w:pStyle w:val="P68B1DB1-Normal11"/>
              <w:jc w:val="center"/>
              <w:rPr>
                <w:noProof/>
              </w:rPr>
            </w:pPr>
            <w:r>
              <w:rPr>
                <w:noProof/>
              </w:rPr>
              <w:t>2023</w:t>
            </w:r>
          </w:p>
        </w:tc>
        <w:tc>
          <w:tcPr>
            <w:tcW w:w="2584" w:type="dxa"/>
            <w:shd w:val="clear" w:color="auto" w:fill="C6EFCE"/>
            <w:noWrap/>
            <w:vAlign w:val="center"/>
          </w:tcPr>
          <w:p w14:paraId="40DB2E50" w14:textId="77777777" w:rsidR="00154E32" w:rsidRDefault="00A43E04">
            <w:pPr>
              <w:pStyle w:val="P68B1DB1-Normal11"/>
              <w:spacing w:after="120"/>
              <w:rPr>
                <w:noProof/>
              </w:rPr>
            </w:pPr>
            <w:r>
              <w:rPr>
                <w:noProof/>
              </w:rPr>
              <w:t>Razvoj in izvajanje (i) institucionalnih spletnih portalov in (ii) intranetnih portalov za posebne potrebe notranje komunikacije.</w:t>
            </w:r>
          </w:p>
        </w:tc>
      </w:tr>
      <w:tr w:rsidR="00154E32" w14:paraId="4493EB78" w14:textId="77777777">
        <w:trPr>
          <w:trHeight w:val="309"/>
        </w:trPr>
        <w:tc>
          <w:tcPr>
            <w:tcW w:w="1284" w:type="dxa"/>
            <w:shd w:val="clear" w:color="auto" w:fill="C6EFCE"/>
            <w:noWrap/>
            <w:vAlign w:val="center"/>
          </w:tcPr>
          <w:p w14:paraId="3017E1D6" w14:textId="77777777" w:rsidR="00154E32" w:rsidRDefault="00A43E04">
            <w:pPr>
              <w:pStyle w:val="P68B1DB1-Normal11"/>
              <w:jc w:val="center"/>
              <w:rPr>
                <w:noProof/>
              </w:rPr>
            </w:pPr>
            <w:r>
              <w:rPr>
                <w:noProof/>
              </w:rPr>
              <w:t>M1C1–138</w:t>
            </w:r>
          </w:p>
        </w:tc>
        <w:tc>
          <w:tcPr>
            <w:tcW w:w="1746" w:type="dxa"/>
            <w:shd w:val="clear" w:color="auto" w:fill="C6EFCE"/>
            <w:noWrap/>
            <w:vAlign w:val="center"/>
          </w:tcPr>
          <w:p w14:paraId="1F3F940E" w14:textId="77777777" w:rsidR="00154E32" w:rsidRDefault="00A43E04">
            <w:pPr>
              <w:pStyle w:val="P68B1DB1-Normal11"/>
              <w:jc w:val="center"/>
              <w:rPr>
                <w:noProof/>
              </w:rPr>
            </w:pPr>
            <w:r>
              <w:rPr>
                <w:noProof/>
              </w:rPr>
              <w:t>Naložba 1.6.4 – Digitalizacija ministrstva za obrambo</w:t>
            </w:r>
          </w:p>
        </w:tc>
        <w:tc>
          <w:tcPr>
            <w:tcW w:w="992" w:type="dxa"/>
            <w:shd w:val="clear" w:color="auto" w:fill="C6EFCE"/>
            <w:noWrap/>
            <w:vAlign w:val="center"/>
          </w:tcPr>
          <w:p w14:paraId="651F913C"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071394D3" w14:textId="77777777" w:rsidR="00154E32" w:rsidRDefault="00A43E04">
            <w:pPr>
              <w:pStyle w:val="P68B1DB1-Normal11"/>
              <w:jc w:val="center"/>
              <w:rPr>
                <w:noProof/>
              </w:rPr>
            </w:pPr>
            <w:r>
              <w:rPr>
                <w:noProof/>
              </w:rPr>
              <w:t>Ministrstvo za obrambo – Migracija nemisijskih kritičnih aplikacij v rešitev za popolno zaščito informacij z odprtostjo infrastrukture (S.C.I.P.I.O.) T1</w:t>
            </w:r>
          </w:p>
        </w:tc>
        <w:tc>
          <w:tcPr>
            <w:tcW w:w="1701" w:type="dxa"/>
            <w:shd w:val="clear" w:color="auto" w:fill="C6EFCE"/>
            <w:noWrap/>
            <w:vAlign w:val="center"/>
          </w:tcPr>
          <w:p w14:paraId="154116F5"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7D1A603C"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77EAD694" w14:textId="77777777" w:rsidR="00154E32" w:rsidRDefault="00A43E04">
            <w:pPr>
              <w:pStyle w:val="P68B1DB1-Normal11"/>
              <w:jc w:val="center"/>
              <w:rPr>
                <w:noProof/>
              </w:rPr>
            </w:pPr>
            <w:r>
              <w:rPr>
                <w:noProof/>
              </w:rPr>
              <w:t>0</w:t>
            </w:r>
          </w:p>
        </w:tc>
        <w:tc>
          <w:tcPr>
            <w:tcW w:w="1417" w:type="dxa"/>
            <w:shd w:val="clear" w:color="auto" w:fill="C6EFCE"/>
            <w:noWrap/>
            <w:vAlign w:val="center"/>
          </w:tcPr>
          <w:p w14:paraId="0736E47B" w14:textId="77777777" w:rsidR="00154E32" w:rsidRDefault="00A43E04">
            <w:pPr>
              <w:pStyle w:val="P68B1DB1-Normal11"/>
              <w:jc w:val="center"/>
              <w:rPr>
                <w:noProof/>
              </w:rPr>
            </w:pPr>
            <w:r>
              <w:rPr>
                <w:noProof/>
              </w:rPr>
              <w:t>10</w:t>
            </w:r>
          </w:p>
        </w:tc>
        <w:tc>
          <w:tcPr>
            <w:tcW w:w="793" w:type="dxa"/>
            <w:shd w:val="clear" w:color="auto" w:fill="C6EFCE"/>
            <w:noWrap/>
            <w:vAlign w:val="center"/>
          </w:tcPr>
          <w:p w14:paraId="5FE7E7C5" w14:textId="77777777" w:rsidR="00154E32" w:rsidRDefault="00A43E04">
            <w:pPr>
              <w:pStyle w:val="P68B1DB1-Normal11"/>
              <w:jc w:val="center"/>
              <w:rPr>
                <w:noProof/>
              </w:rPr>
            </w:pPr>
            <w:r>
              <w:rPr>
                <w:noProof/>
              </w:rPr>
              <w:t>Q4</w:t>
            </w:r>
          </w:p>
        </w:tc>
        <w:tc>
          <w:tcPr>
            <w:tcW w:w="625" w:type="dxa"/>
            <w:shd w:val="clear" w:color="auto" w:fill="C6EFCE"/>
            <w:noWrap/>
            <w:vAlign w:val="center"/>
          </w:tcPr>
          <w:p w14:paraId="5EB36D65" w14:textId="77777777" w:rsidR="00154E32" w:rsidRDefault="00A43E04">
            <w:pPr>
              <w:pStyle w:val="P68B1DB1-Normal11"/>
              <w:jc w:val="center"/>
              <w:rPr>
                <w:noProof/>
              </w:rPr>
            </w:pPr>
            <w:r>
              <w:rPr>
                <w:noProof/>
              </w:rPr>
              <w:t>2023</w:t>
            </w:r>
          </w:p>
        </w:tc>
        <w:tc>
          <w:tcPr>
            <w:tcW w:w="2584" w:type="dxa"/>
            <w:shd w:val="clear" w:color="auto" w:fill="C6EFCE"/>
            <w:noWrap/>
            <w:vAlign w:val="center"/>
          </w:tcPr>
          <w:p w14:paraId="2478AD0F" w14:textId="2D96C4CE" w:rsidR="00154E32" w:rsidRDefault="00A43E04">
            <w:pPr>
              <w:pStyle w:val="P68B1DB1-Normal11"/>
              <w:spacing w:after="120"/>
              <w:rPr>
                <w:noProof/>
              </w:rPr>
            </w:pPr>
            <w:r>
              <w:rPr>
                <w:noProof/>
              </w:rPr>
              <w:t>Začetna migracija in operativna razpoložljivost nenujnih aplikacij na novo odprtokodno infrastrukturo. To vključuje izvajanje okolja strojne opreme, namestitev odprtokodnih komponent vmesne programske opreme in preoblikovanje aplikacij.</w:t>
            </w:r>
          </w:p>
        </w:tc>
      </w:tr>
      <w:tr w:rsidR="00154E32" w14:paraId="719AAC2A" w14:textId="77777777">
        <w:trPr>
          <w:trHeight w:val="309"/>
        </w:trPr>
        <w:tc>
          <w:tcPr>
            <w:tcW w:w="1284" w:type="dxa"/>
            <w:shd w:val="clear" w:color="auto" w:fill="C6EFCE"/>
            <w:noWrap/>
            <w:vAlign w:val="center"/>
          </w:tcPr>
          <w:p w14:paraId="79BD3E52" w14:textId="77777777" w:rsidR="00154E32" w:rsidRDefault="00A43E04">
            <w:pPr>
              <w:pStyle w:val="P68B1DB1-Normal11"/>
              <w:jc w:val="center"/>
              <w:rPr>
                <w:noProof/>
              </w:rPr>
            </w:pPr>
            <w:r>
              <w:rPr>
                <w:noProof/>
              </w:rPr>
              <w:t>M1C1–139</w:t>
            </w:r>
          </w:p>
        </w:tc>
        <w:tc>
          <w:tcPr>
            <w:tcW w:w="1746" w:type="dxa"/>
            <w:shd w:val="clear" w:color="auto" w:fill="C6EFCE"/>
            <w:noWrap/>
            <w:vAlign w:val="center"/>
          </w:tcPr>
          <w:p w14:paraId="6C0CC6EC" w14:textId="77777777" w:rsidR="00154E32" w:rsidRDefault="00A43E04">
            <w:pPr>
              <w:pStyle w:val="P68B1DB1-Normal11"/>
              <w:jc w:val="center"/>
              <w:rPr>
                <w:noProof/>
              </w:rPr>
            </w:pPr>
            <w:r>
              <w:rPr>
                <w:noProof/>
              </w:rPr>
              <w:t>Naložba 1.2 – Omogočanje oblaka za lokalne pripravljalne ukrepe</w:t>
            </w:r>
          </w:p>
        </w:tc>
        <w:tc>
          <w:tcPr>
            <w:tcW w:w="992" w:type="dxa"/>
            <w:shd w:val="clear" w:color="auto" w:fill="C6EFCE"/>
            <w:noWrap/>
            <w:vAlign w:val="center"/>
          </w:tcPr>
          <w:p w14:paraId="413844BE"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26B2145A" w14:textId="77777777" w:rsidR="00154E32" w:rsidRDefault="00A43E04">
            <w:pPr>
              <w:pStyle w:val="P68B1DB1-Normal11"/>
              <w:jc w:val="center"/>
              <w:rPr>
                <w:noProof/>
              </w:rPr>
            </w:pPr>
            <w:r>
              <w:rPr>
                <w:noProof/>
              </w:rPr>
              <w:t>Omogočanje oblaka za lokalno javno upravo T1</w:t>
            </w:r>
          </w:p>
        </w:tc>
        <w:tc>
          <w:tcPr>
            <w:tcW w:w="1701" w:type="dxa"/>
            <w:shd w:val="clear" w:color="auto" w:fill="C6EFCE"/>
            <w:noWrap/>
            <w:vAlign w:val="center"/>
          </w:tcPr>
          <w:p w14:paraId="18C386AE"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20128DB7"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02D36A6B" w14:textId="77777777" w:rsidR="00154E32" w:rsidRDefault="00A43E04">
            <w:pPr>
              <w:pStyle w:val="P68B1DB1-Normal11"/>
              <w:jc w:val="center"/>
              <w:rPr>
                <w:noProof/>
              </w:rPr>
            </w:pPr>
            <w:r>
              <w:rPr>
                <w:noProof/>
              </w:rPr>
              <w:t>0</w:t>
            </w:r>
          </w:p>
        </w:tc>
        <w:tc>
          <w:tcPr>
            <w:tcW w:w="1417" w:type="dxa"/>
            <w:shd w:val="clear" w:color="auto" w:fill="C6EFCE"/>
            <w:noWrap/>
            <w:vAlign w:val="center"/>
          </w:tcPr>
          <w:p w14:paraId="03A6428C" w14:textId="77777777" w:rsidR="00154E32" w:rsidRDefault="00A43E04">
            <w:pPr>
              <w:pStyle w:val="P68B1DB1-Normal11"/>
              <w:jc w:val="center"/>
              <w:rPr>
                <w:noProof/>
              </w:rPr>
            </w:pPr>
            <w:r>
              <w:rPr>
                <w:noProof/>
              </w:rPr>
              <w:t>4 083</w:t>
            </w:r>
          </w:p>
        </w:tc>
        <w:tc>
          <w:tcPr>
            <w:tcW w:w="793" w:type="dxa"/>
            <w:shd w:val="clear" w:color="auto" w:fill="C6EFCE"/>
            <w:noWrap/>
            <w:vAlign w:val="center"/>
          </w:tcPr>
          <w:p w14:paraId="1C53A6C4" w14:textId="77777777" w:rsidR="00154E32" w:rsidRDefault="00A43E04">
            <w:pPr>
              <w:pStyle w:val="P68B1DB1-Normal11"/>
              <w:jc w:val="center"/>
              <w:rPr>
                <w:noProof/>
              </w:rPr>
            </w:pPr>
            <w:r>
              <w:rPr>
                <w:noProof/>
              </w:rPr>
              <w:t>Q3</w:t>
            </w:r>
          </w:p>
        </w:tc>
        <w:tc>
          <w:tcPr>
            <w:tcW w:w="625" w:type="dxa"/>
            <w:shd w:val="clear" w:color="auto" w:fill="C6EFCE"/>
            <w:noWrap/>
            <w:vAlign w:val="center"/>
          </w:tcPr>
          <w:p w14:paraId="5031769F" w14:textId="77777777" w:rsidR="00154E32" w:rsidRDefault="00A43E04">
            <w:pPr>
              <w:pStyle w:val="P68B1DB1-Normal11"/>
              <w:jc w:val="center"/>
              <w:rPr>
                <w:noProof/>
              </w:rPr>
            </w:pPr>
            <w:r>
              <w:rPr>
                <w:noProof/>
              </w:rPr>
              <w:t>2024</w:t>
            </w:r>
          </w:p>
        </w:tc>
        <w:tc>
          <w:tcPr>
            <w:tcW w:w="2584" w:type="dxa"/>
            <w:shd w:val="clear" w:color="auto" w:fill="C6EFCE"/>
            <w:noWrap/>
            <w:vAlign w:val="center"/>
          </w:tcPr>
          <w:p w14:paraId="14A0A305" w14:textId="0F42F1BF" w:rsidR="00154E32" w:rsidRDefault="00A43E04">
            <w:pPr>
              <w:pStyle w:val="P68B1DB1-Normal12"/>
              <w:spacing w:after="120"/>
              <w:rPr>
                <w:rFonts w:ascii="Arial Narrow" w:hAnsi="Arial Narrow"/>
                <w:noProof/>
              </w:rPr>
            </w:pPr>
            <w:r>
              <w:rPr>
                <w:rFonts w:ascii="Arial Narrow" w:hAnsi="Arial Narrow"/>
                <w:noProof/>
              </w:rPr>
              <w:t>Štejese, da je prehod 4083 lokalnih javnih uprav na certificirana okolja oblakov dosežen, ko je uspešno testiranje vseh sistemov, naborov podatkov in migracij aplikacij, vključenih v vsak načrt migracije.</w:t>
            </w:r>
          </w:p>
        </w:tc>
      </w:tr>
      <w:tr w:rsidR="00154E32" w14:paraId="003659B2" w14:textId="77777777">
        <w:trPr>
          <w:trHeight w:val="309"/>
        </w:trPr>
        <w:tc>
          <w:tcPr>
            <w:tcW w:w="1284" w:type="dxa"/>
            <w:shd w:val="clear" w:color="auto" w:fill="C6EFCE"/>
            <w:noWrap/>
            <w:vAlign w:val="center"/>
          </w:tcPr>
          <w:p w14:paraId="55CBADAF" w14:textId="77777777" w:rsidR="00154E32" w:rsidRDefault="00A43E04">
            <w:pPr>
              <w:pStyle w:val="P68B1DB1-Normal11"/>
              <w:jc w:val="center"/>
              <w:rPr>
                <w:noProof/>
              </w:rPr>
            </w:pPr>
            <w:r>
              <w:rPr>
                <w:noProof/>
              </w:rPr>
              <w:t>M1C1–140</w:t>
            </w:r>
          </w:p>
        </w:tc>
        <w:tc>
          <w:tcPr>
            <w:tcW w:w="1746" w:type="dxa"/>
            <w:shd w:val="clear" w:color="auto" w:fill="C6EFCE"/>
            <w:noWrap/>
            <w:vAlign w:val="center"/>
          </w:tcPr>
          <w:p w14:paraId="01D2F81B" w14:textId="77777777" w:rsidR="00154E32" w:rsidRDefault="00A43E04">
            <w:pPr>
              <w:pStyle w:val="P68B1DB1-Normal11"/>
              <w:jc w:val="center"/>
              <w:rPr>
                <w:noProof/>
              </w:rPr>
            </w:pPr>
            <w:r>
              <w:rPr>
                <w:noProof/>
              </w:rPr>
              <w:t>Naložba 1.4.1 – Izkušnje državljanov – Izboljšanje kakovosti in uporabnosti digitalnih javnih storitev</w:t>
            </w:r>
          </w:p>
        </w:tc>
        <w:tc>
          <w:tcPr>
            <w:tcW w:w="992" w:type="dxa"/>
            <w:shd w:val="clear" w:color="auto" w:fill="C6EFCE"/>
            <w:noWrap/>
            <w:vAlign w:val="center"/>
          </w:tcPr>
          <w:p w14:paraId="1584DC02"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24F8F50C" w14:textId="77777777" w:rsidR="00154E32" w:rsidRDefault="00A43E04">
            <w:pPr>
              <w:pStyle w:val="P68B1DB1-Normal11"/>
              <w:jc w:val="center"/>
              <w:rPr>
                <w:noProof/>
              </w:rPr>
            </w:pPr>
            <w:r>
              <w:rPr>
                <w:noProof/>
              </w:rPr>
              <w:t>Izboljšanje kakovosti in uporabnosti digitalnih javnih storitev T1</w:t>
            </w:r>
          </w:p>
        </w:tc>
        <w:tc>
          <w:tcPr>
            <w:tcW w:w="1701" w:type="dxa"/>
            <w:shd w:val="clear" w:color="auto" w:fill="C6EFCE"/>
            <w:noWrap/>
            <w:vAlign w:val="center"/>
          </w:tcPr>
          <w:p w14:paraId="7DDDA04D"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3A5BAD19" w14:textId="77777777" w:rsidR="00154E32" w:rsidRDefault="00A43E04">
            <w:pPr>
              <w:pStyle w:val="P68B1DB1-Normal11"/>
              <w:jc w:val="center"/>
              <w:rPr>
                <w:noProof/>
              </w:rPr>
            </w:pPr>
            <w:r>
              <w:rPr>
                <w:noProof/>
              </w:rPr>
              <w:t>Delež</w:t>
            </w:r>
          </w:p>
        </w:tc>
        <w:tc>
          <w:tcPr>
            <w:tcW w:w="1276" w:type="dxa"/>
            <w:shd w:val="clear" w:color="auto" w:fill="C6EFCE"/>
            <w:noWrap/>
            <w:vAlign w:val="center"/>
          </w:tcPr>
          <w:p w14:paraId="6A0C6D20" w14:textId="77777777" w:rsidR="00154E32" w:rsidRDefault="00A43E04">
            <w:pPr>
              <w:pStyle w:val="P68B1DB1-Normal11"/>
              <w:jc w:val="center"/>
              <w:rPr>
                <w:noProof/>
              </w:rPr>
            </w:pPr>
            <w:r>
              <w:rPr>
                <w:noProof/>
              </w:rPr>
              <w:t>0,1</w:t>
            </w:r>
          </w:p>
        </w:tc>
        <w:tc>
          <w:tcPr>
            <w:tcW w:w="1417" w:type="dxa"/>
            <w:shd w:val="clear" w:color="auto" w:fill="C6EFCE"/>
            <w:noWrap/>
            <w:vAlign w:val="center"/>
          </w:tcPr>
          <w:p w14:paraId="79C344AE" w14:textId="77777777" w:rsidR="00154E32" w:rsidRDefault="00A43E04">
            <w:pPr>
              <w:pStyle w:val="P68B1DB1-Normal11"/>
              <w:jc w:val="center"/>
              <w:rPr>
                <w:noProof/>
              </w:rPr>
            </w:pPr>
            <w:r>
              <w:rPr>
                <w:noProof/>
              </w:rPr>
              <w:t>40</w:t>
            </w:r>
          </w:p>
        </w:tc>
        <w:tc>
          <w:tcPr>
            <w:tcW w:w="793" w:type="dxa"/>
            <w:shd w:val="clear" w:color="auto" w:fill="C6EFCE"/>
            <w:noWrap/>
            <w:vAlign w:val="center"/>
          </w:tcPr>
          <w:p w14:paraId="532EC22B" w14:textId="77777777" w:rsidR="00154E32" w:rsidRDefault="00A43E04">
            <w:pPr>
              <w:pStyle w:val="P68B1DB1-Normal11"/>
              <w:jc w:val="center"/>
              <w:rPr>
                <w:noProof/>
              </w:rPr>
            </w:pPr>
            <w:r>
              <w:rPr>
                <w:noProof/>
              </w:rPr>
              <w:t>Q4</w:t>
            </w:r>
          </w:p>
        </w:tc>
        <w:tc>
          <w:tcPr>
            <w:tcW w:w="625" w:type="dxa"/>
            <w:shd w:val="clear" w:color="auto" w:fill="C6EFCE"/>
            <w:noWrap/>
            <w:vAlign w:val="center"/>
          </w:tcPr>
          <w:p w14:paraId="43DBC84F" w14:textId="77777777" w:rsidR="00154E32" w:rsidRDefault="00A43E04">
            <w:pPr>
              <w:pStyle w:val="P68B1DB1-Normal11"/>
              <w:jc w:val="center"/>
              <w:rPr>
                <w:noProof/>
              </w:rPr>
            </w:pPr>
            <w:r>
              <w:rPr>
                <w:noProof/>
              </w:rPr>
              <w:t>2024</w:t>
            </w:r>
          </w:p>
        </w:tc>
        <w:tc>
          <w:tcPr>
            <w:tcW w:w="2584" w:type="dxa"/>
            <w:shd w:val="clear" w:color="auto" w:fill="C6EFCE"/>
            <w:noWrap/>
            <w:vAlign w:val="center"/>
          </w:tcPr>
          <w:p w14:paraId="61A04C9F" w14:textId="77777777" w:rsidR="00154E32" w:rsidRDefault="00A43E04">
            <w:pPr>
              <w:pStyle w:val="P68B1DB1-Normal11"/>
              <w:spacing w:after="120"/>
              <w:rPr>
                <w:noProof/>
              </w:rPr>
            </w:pPr>
            <w:r>
              <w:rPr>
                <w:noProof/>
              </w:rPr>
              <w:t xml:space="preserve">Uprave (občine, osnovne in sekundarne izobraževalne ustanove prve in druge stopnje ter posebni pilotni subjekti zdravstvenega varstva in kulturne dediščine), ki spoštujejo skupni model in sistem oblikovanja, poenostavljajo interakcijo med uporabniki in olajšajo vzdrževanje v prihodnjih letih. </w:t>
            </w:r>
          </w:p>
          <w:p w14:paraId="5DA86C5E" w14:textId="77777777" w:rsidR="00154E32" w:rsidRDefault="00A43E04">
            <w:pPr>
              <w:pStyle w:val="P68B1DB1-Normal11"/>
              <w:spacing w:after="120"/>
              <w:rPr>
                <w:noProof/>
              </w:rPr>
            </w:pPr>
            <w:r>
              <w:rPr>
                <w:noProof/>
              </w:rPr>
              <w:t xml:space="preserve">Upoštevanje skupnega oblikovanja/vzorca spletišč/storitev zajema: </w:t>
            </w:r>
          </w:p>
          <w:p w14:paraId="21522E9D" w14:textId="77777777" w:rsidR="00154E32" w:rsidRDefault="00A43E04">
            <w:pPr>
              <w:pStyle w:val="P68B1DB1-Normal11"/>
              <w:spacing w:after="120"/>
              <w:rPr>
                <w:noProof/>
              </w:rPr>
            </w:pPr>
            <w:r>
              <w:rPr>
                <w:noProof/>
              </w:rPr>
              <w:t>(1) Vrednotenje predloženih projektov;</w:t>
            </w:r>
          </w:p>
          <w:p w14:paraId="68D2F60E" w14:textId="77777777" w:rsidR="00154E32" w:rsidRDefault="00A43E04">
            <w:pPr>
              <w:pStyle w:val="P68B1DB1-Normal11"/>
              <w:spacing w:after="120"/>
              <w:rPr>
                <w:noProof/>
              </w:rPr>
            </w:pPr>
            <w:r>
              <w:rPr>
                <w:noProof/>
              </w:rPr>
              <w:t>(2) Ocena dokončanja projekta v zvezi s ključnimi metrikami uporabnosti (ocene digitalne uporabnosti) prek namenske platforme, ki je že na voljo.</w:t>
            </w:r>
          </w:p>
        </w:tc>
      </w:tr>
      <w:tr w:rsidR="00154E32" w14:paraId="2D55F0F0" w14:textId="77777777">
        <w:trPr>
          <w:trHeight w:val="309"/>
        </w:trPr>
        <w:tc>
          <w:tcPr>
            <w:tcW w:w="1284" w:type="dxa"/>
            <w:shd w:val="clear" w:color="auto" w:fill="C6EFCE"/>
            <w:noWrap/>
            <w:vAlign w:val="center"/>
          </w:tcPr>
          <w:p w14:paraId="401BB6A4" w14:textId="77777777" w:rsidR="00154E32" w:rsidRDefault="00A43E04">
            <w:pPr>
              <w:pStyle w:val="P68B1DB1-Normal11"/>
              <w:jc w:val="center"/>
              <w:rPr>
                <w:noProof/>
              </w:rPr>
            </w:pPr>
            <w:r>
              <w:rPr>
                <w:noProof/>
              </w:rPr>
              <w:t>M1C1–141</w:t>
            </w:r>
          </w:p>
        </w:tc>
        <w:tc>
          <w:tcPr>
            <w:tcW w:w="1746" w:type="dxa"/>
            <w:shd w:val="clear" w:color="auto" w:fill="C6EFCE"/>
            <w:noWrap/>
            <w:vAlign w:val="center"/>
          </w:tcPr>
          <w:p w14:paraId="023A752B" w14:textId="77777777" w:rsidR="00154E32" w:rsidRDefault="00A43E04">
            <w:pPr>
              <w:pStyle w:val="P68B1DB1-Normal11"/>
              <w:jc w:val="center"/>
              <w:rPr>
                <w:noProof/>
              </w:rPr>
            </w:pPr>
            <w:r>
              <w:rPr>
                <w:noProof/>
              </w:rPr>
              <w:t>Naložba 1.6.4 – Digitalizacija ministrstva za obrambo</w:t>
            </w:r>
          </w:p>
        </w:tc>
        <w:tc>
          <w:tcPr>
            <w:tcW w:w="992" w:type="dxa"/>
            <w:shd w:val="clear" w:color="auto" w:fill="C6EFCE"/>
            <w:noWrap/>
            <w:vAlign w:val="center"/>
          </w:tcPr>
          <w:p w14:paraId="17ADAE57"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7D061087" w14:textId="77777777" w:rsidR="00154E32" w:rsidRDefault="00A43E04">
            <w:pPr>
              <w:pStyle w:val="P68B1DB1-Normal11"/>
              <w:jc w:val="center"/>
              <w:rPr>
                <w:noProof/>
              </w:rPr>
            </w:pPr>
            <w:r>
              <w:rPr>
                <w:noProof/>
              </w:rPr>
              <w:t>Digitalizacija postopkov ministrstva za obrambo T2</w:t>
            </w:r>
          </w:p>
        </w:tc>
        <w:tc>
          <w:tcPr>
            <w:tcW w:w="1701" w:type="dxa"/>
            <w:shd w:val="clear" w:color="auto" w:fill="C6EFCE"/>
            <w:noWrap/>
            <w:vAlign w:val="center"/>
          </w:tcPr>
          <w:p w14:paraId="6CB5027A"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772CF0D6"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12203EF3" w14:textId="77777777" w:rsidR="00154E32" w:rsidRDefault="00A43E04">
            <w:pPr>
              <w:pStyle w:val="P68B1DB1-Normal11"/>
              <w:jc w:val="center"/>
              <w:rPr>
                <w:noProof/>
              </w:rPr>
            </w:pPr>
            <w:r>
              <w:rPr>
                <w:noProof/>
              </w:rPr>
              <w:t>15</w:t>
            </w:r>
          </w:p>
        </w:tc>
        <w:tc>
          <w:tcPr>
            <w:tcW w:w="1417" w:type="dxa"/>
            <w:shd w:val="clear" w:color="auto" w:fill="C6EFCE"/>
            <w:noWrap/>
            <w:vAlign w:val="center"/>
          </w:tcPr>
          <w:p w14:paraId="7A1BB7D5" w14:textId="77777777" w:rsidR="00154E32" w:rsidRDefault="00A43E04">
            <w:pPr>
              <w:pStyle w:val="P68B1DB1-Normal11"/>
              <w:jc w:val="center"/>
              <w:rPr>
                <w:noProof/>
              </w:rPr>
            </w:pPr>
            <w:r>
              <w:rPr>
                <w:noProof/>
              </w:rPr>
              <w:t>20</w:t>
            </w:r>
          </w:p>
        </w:tc>
        <w:tc>
          <w:tcPr>
            <w:tcW w:w="793" w:type="dxa"/>
            <w:shd w:val="clear" w:color="auto" w:fill="C6EFCE"/>
            <w:noWrap/>
            <w:vAlign w:val="center"/>
          </w:tcPr>
          <w:p w14:paraId="14685221" w14:textId="77777777" w:rsidR="00154E32" w:rsidRDefault="00A43E04">
            <w:pPr>
              <w:pStyle w:val="P68B1DB1-Normal11"/>
              <w:jc w:val="center"/>
              <w:rPr>
                <w:noProof/>
              </w:rPr>
            </w:pPr>
            <w:r>
              <w:rPr>
                <w:noProof/>
              </w:rPr>
              <w:t>Q4</w:t>
            </w:r>
          </w:p>
        </w:tc>
        <w:tc>
          <w:tcPr>
            <w:tcW w:w="625" w:type="dxa"/>
            <w:shd w:val="clear" w:color="auto" w:fill="C6EFCE"/>
            <w:noWrap/>
            <w:vAlign w:val="center"/>
          </w:tcPr>
          <w:p w14:paraId="01237743" w14:textId="77777777" w:rsidR="00154E32" w:rsidRDefault="00A43E04">
            <w:pPr>
              <w:pStyle w:val="P68B1DB1-Normal11"/>
              <w:jc w:val="center"/>
              <w:rPr>
                <w:noProof/>
              </w:rPr>
            </w:pPr>
            <w:r>
              <w:rPr>
                <w:noProof/>
              </w:rPr>
              <w:t>2024</w:t>
            </w:r>
          </w:p>
        </w:tc>
        <w:tc>
          <w:tcPr>
            <w:tcW w:w="2584" w:type="dxa"/>
            <w:shd w:val="clear" w:color="auto" w:fill="C6EFCE"/>
            <w:noWrap/>
            <w:vAlign w:val="center"/>
          </w:tcPr>
          <w:p w14:paraId="48A2EC74" w14:textId="77777777" w:rsidR="00154E32" w:rsidRDefault="00A43E04">
            <w:pPr>
              <w:pStyle w:val="P68B1DB1-Normal11"/>
              <w:spacing w:after="120"/>
              <w:rPr>
                <w:noProof/>
              </w:rPr>
            </w:pPr>
            <w:r>
              <w:rPr>
                <w:noProof/>
              </w:rPr>
              <w:t>Digitalizacija, revizija in avtomatizacija 20 postopkov, povezanih z upravljanjem osebja na področju obrambe (kot so zaposlovanje, zaposlovanje in upokojitev, zdravje zaposlenih), začenši z izhodiščem petnajstih že digitaliziranih postopkov s ciljem 1.</w:t>
            </w:r>
          </w:p>
        </w:tc>
      </w:tr>
      <w:tr w:rsidR="00154E32" w14:paraId="0120E029" w14:textId="77777777">
        <w:trPr>
          <w:trHeight w:val="309"/>
        </w:trPr>
        <w:tc>
          <w:tcPr>
            <w:tcW w:w="1284" w:type="dxa"/>
            <w:shd w:val="clear" w:color="auto" w:fill="C6EFCE"/>
            <w:noWrap/>
            <w:vAlign w:val="center"/>
          </w:tcPr>
          <w:p w14:paraId="5509017A" w14:textId="77777777" w:rsidR="00154E32" w:rsidRDefault="00A43E04">
            <w:pPr>
              <w:pStyle w:val="P68B1DB1-Normal11"/>
              <w:jc w:val="center"/>
              <w:rPr>
                <w:noProof/>
              </w:rPr>
            </w:pPr>
            <w:r>
              <w:rPr>
                <w:noProof/>
              </w:rPr>
              <w:t>M1C1–142</w:t>
            </w:r>
          </w:p>
        </w:tc>
        <w:tc>
          <w:tcPr>
            <w:tcW w:w="1746" w:type="dxa"/>
            <w:shd w:val="clear" w:color="auto" w:fill="C6EFCE"/>
            <w:noWrap/>
            <w:vAlign w:val="center"/>
          </w:tcPr>
          <w:p w14:paraId="558A7A70" w14:textId="77777777" w:rsidR="00154E32" w:rsidRDefault="00A43E04">
            <w:pPr>
              <w:pStyle w:val="P68B1DB1-Normal11"/>
              <w:jc w:val="center"/>
              <w:rPr>
                <w:noProof/>
              </w:rPr>
            </w:pPr>
            <w:r>
              <w:rPr>
                <w:noProof/>
              </w:rPr>
              <w:t>Naložba 1.6.4 – Digitalizacija ministrstva za obrambo</w:t>
            </w:r>
          </w:p>
        </w:tc>
        <w:tc>
          <w:tcPr>
            <w:tcW w:w="992" w:type="dxa"/>
            <w:shd w:val="clear" w:color="auto" w:fill="C6EFCE"/>
            <w:noWrap/>
            <w:vAlign w:val="center"/>
          </w:tcPr>
          <w:p w14:paraId="3C8801B7"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48B699F4" w14:textId="77777777" w:rsidR="00154E32" w:rsidRDefault="00A43E04">
            <w:pPr>
              <w:pStyle w:val="P68B1DB1-Normal11"/>
              <w:jc w:val="center"/>
              <w:rPr>
                <w:noProof/>
              </w:rPr>
            </w:pPr>
            <w:r>
              <w:rPr>
                <w:noProof/>
              </w:rPr>
              <w:t>Digitalizacija potrdil ministrstva za obrambo T2</w:t>
            </w:r>
          </w:p>
        </w:tc>
        <w:tc>
          <w:tcPr>
            <w:tcW w:w="1701" w:type="dxa"/>
            <w:shd w:val="clear" w:color="auto" w:fill="C6EFCE"/>
            <w:noWrap/>
            <w:vAlign w:val="center"/>
          </w:tcPr>
          <w:p w14:paraId="203D02A1"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5F9A9DEC" w14:textId="77777777" w:rsidR="00154E32" w:rsidRDefault="00A43E04">
            <w:pPr>
              <w:pStyle w:val="P68B1DB1-Normal11"/>
              <w:jc w:val="center"/>
              <w:rPr>
                <w:noProof/>
              </w:rPr>
            </w:pPr>
            <w:r>
              <w:rPr>
                <w:noProof/>
              </w:rPr>
              <w:t>Število digitaliziranih potrdil</w:t>
            </w:r>
          </w:p>
        </w:tc>
        <w:tc>
          <w:tcPr>
            <w:tcW w:w="1276" w:type="dxa"/>
            <w:shd w:val="clear" w:color="auto" w:fill="C6EFCE"/>
            <w:noWrap/>
            <w:vAlign w:val="center"/>
          </w:tcPr>
          <w:p w14:paraId="49A952DB" w14:textId="77777777" w:rsidR="00154E32" w:rsidRDefault="00A43E04">
            <w:pPr>
              <w:pStyle w:val="P68B1DB1-Normal11"/>
              <w:jc w:val="center"/>
              <w:rPr>
                <w:noProof/>
              </w:rPr>
            </w:pPr>
            <w:r>
              <w:rPr>
                <w:noProof/>
              </w:rPr>
              <w:t>450 000</w:t>
            </w:r>
          </w:p>
        </w:tc>
        <w:tc>
          <w:tcPr>
            <w:tcW w:w="1417" w:type="dxa"/>
            <w:shd w:val="clear" w:color="auto" w:fill="C6EFCE"/>
            <w:noWrap/>
            <w:vAlign w:val="center"/>
          </w:tcPr>
          <w:p w14:paraId="7FDC7984" w14:textId="77777777" w:rsidR="00154E32" w:rsidRDefault="00A43E04">
            <w:pPr>
              <w:pStyle w:val="P68B1DB1-Normal11"/>
              <w:jc w:val="center"/>
              <w:rPr>
                <w:noProof/>
              </w:rPr>
            </w:pPr>
            <w:r>
              <w:rPr>
                <w:noProof/>
              </w:rPr>
              <w:t>750 000</w:t>
            </w:r>
          </w:p>
        </w:tc>
        <w:tc>
          <w:tcPr>
            <w:tcW w:w="793" w:type="dxa"/>
            <w:shd w:val="clear" w:color="auto" w:fill="C6EFCE"/>
            <w:noWrap/>
            <w:vAlign w:val="center"/>
          </w:tcPr>
          <w:p w14:paraId="482EB49D" w14:textId="77777777" w:rsidR="00154E32" w:rsidRDefault="00A43E04">
            <w:pPr>
              <w:pStyle w:val="P68B1DB1-Normal11"/>
              <w:jc w:val="center"/>
              <w:rPr>
                <w:noProof/>
              </w:rPr>
            </w:pPr>
            <w:r>
              <w:rPr>
                <w:noProof/>
              </w:rPr>
              <w:t>Q4</w:t>
            </w:r>
          </w:p>
        </w:tc>
        <w:tc>
          <w:tcPr>
            <w:tcW w:w="625" w:type="dxa"/>
            <w:shd w:val="clear" w:color="auto" w:fill="C6EFCE"/>
            <w:noWrap/>
            <w:vAlign w:val="center"/>
          </w:tcPr>
          <w:p w14:paraId="42D3C805" w14:textId="77777777" w:rsidR="00154E32" w:rsidRDefault="00A43E04">
            <w:pPr>
              <w:pStyle w:val="P68B1DB1-Normal11"/>
              <w:jc w:val="center"/>
              <w:rPr>
                <w:noProof/>
              </w:rPr>
            </w:pPr>
            <w:r>
              <w:rPr>
                <w:noProof/>
              </w:rPr>
              <w:t>2024</w:t>
            </w:r>
          </w:p>
        </w:tc>
        <w:tc>
          <w:tcPr>
            <w:tcW w:w="2584" w:type="dxa"/>
            <w:shd w:val="clear" w:color="auto" w:fill="C6EFCE"/>
            <w:noWrap/>
            <w:vAlign w:val="center"/>
          </w:tcPr>
          <w:p w14:paraId="51AD519D" w14:textId="77777777" w:rsidR="00154E32" w:rsidRDefault="00A43E04">
            <w:pPr>
              <w:pStyle w:val="P68B1DB1-Normal11"/>
              <w:spacing w:after="120"/>
              <w:rPr>
                <w:noProof/>
              </w:rPr>
            </w:pPr>
            <w:r>
              <w:rPr>
                <w:noProof/>
              </w:rPr>
              <w:t>Število digitaliziranih potrdil o identiteti (750000), ki jih je izdalo ministrstvo za obrambo in ki obratujejo na infrastrukturo, dopolnjeno z lokacijo za ponovno vzpostavitev delovanja po nesreči, začenši z izhodiščem 450000 že digitaliziranih potrdil s ciljem 1.</w:t>
            </w:r>
          </w:p>
        </w:tc>
      </w:tr>
      <w:tr w:rsidR="00154E32" w14:paraId="6077FB90" w14:textId="77777777">
        <w:trPr>
          <w:trHeight w:val="309"/>
        </w:trPr>
        <w:tc>
          <w:tcPr>
            <w:tcW w:w="1284" w:type="dxa"/>
            <w:shd w:val="clear" w:color="auto" w:fill="C6EFCE"/>
            <w:noWrap/>
            <w:vAlign w:val="center"/>
          </w:tcPr>
          <w:p w14:paraId="65443C7D" w14:textId="77777777" w:rsidR="00154E32" w:rsidRDefault="00A43E04">
            <w:pPr>
              <w:pStyle w:val="P68B1DB1-Normal11"/>
              <w:jc w:val="center"/>
              <w:rPr>
                <w:noProof/>
              </w:rPr>
            </w:pPr>
            <w:r>
              <w:rPr>
                <w:noProof/>
              </w:rPr>
              <w:t>M1C1–143</w:t>
            </w:r>
          </w:p>
        </w:tc>
        <w:tc>
          <w:tcPr>
            <w:tcW w:w="1746" w:type="dxa"/>
            <w:shd w:val="clear" w:color="auto" w:fill="C6EFCE"/>
            <w:noWrap/>
            <w:vAlign w:val="center"/>
          </w:tcPr>
          <w:p w14:paraId="05D17F13" w14:textId="77777777" w:rsidR="00154E32" w:rsidRDefault="00A43E04">
            <w:pPr>
              <w:pStyle w:val="P68B1DB1-Normal11"/>
              <w:jc w:val="center"/>
              <w:rPr>
                <w:noProof/>
              </w:rPr>
            </w:pPr>
            <w:r>
              <w:rPr>
                <w:noProof/>
              </w:rPr>
              <w:t>Naložba 1.6.4 – Digitalizacija ministrstva za obrambo</w:t>
            </w:r>
          </w:p>
        </w:tc>
        <w:tc>
          <w:tcPr>
            <w:tcW w:w="992" w:type="dxa"/>
            <w:shd w:val="clear" w:color="auto" w:fill="C6EFCE"/>
            <w:noWrap/>
            <w:vAlign w:val="center"/>
          </w:tcPr>
          <w:p w14:paraId="5104BDEA"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3DF694D2" w14:textId="77777777" w:rsidR="00154E32" w:rsidRDefault="00A43E04">
            <w:pPr>
              <w:pStyle w:val="P68B1DB1-Normal11"/>
              <w:jc w:val="center"/>
              <w:rPr>
                <w:noProof/>
              </w:rPr>
            </w:pPr>
            <w:r>
              <w:rPr>
                <w:noProof/>
              </w:rPr>
              <w:t>Ministrstvo za obrambo – Migracija nemisijskih kritičnih aplikacij v rešitev za popolno zaščito informacij z odprtostjo infrastrukture (S.C.I.P.I.O.) T2</w:t>
            </w:r>
          </w:p>
        </w:tc>
        <w:tc>
          <w:tcPr>
            <w:tcW w:w="1701" w:type="dxa"/>
            <w:shd w:val="clear" w:color="auto" w:fill="C6EFCE"/>
            <w:noWrap/>
            <w:vAlign w:val="center"/>
          </w:tcPr>
          <w:p w14:paraId="37B81BD3"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2D1037D5"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623AB979" w14:textId="77777777" w:rsidR="00154E32" w:rsidRDefault="00A43E04">
            <w:pPr>
              <w:pStyle w:val="P68B1DB1-Normal11"/>
              <w:jc w:val="center"/>
              <w:rPr>
                <w:noProof/>
              </w:rPr>
            </w:pPr>
            <w:r>
              <w:rPr>
                <w:noProof/>
              </w:rPr>
              <w:t>10</w:t>
            </w:r>
          </w:p>
        </w:tc>
        <w:tc>
          <w:tcPr>
            <w:tcW w:w="1417" w:type="dxa"/>
            <w:shd w:val="clear" w:color="auto" w:fill="C6EFCE"/>
            <w:noWrap/>
            <w:vAlign w:val="center"/>
          </w:tcPr>
          <w:p w14:paraId="01EA41A9" w14:textId="77777777" w:rsidR="00154E32" w:rsidRDefault="00A43E04">
            <w:pPr>
              <w:pStyle w:val="P68B1DB1-Normal11"/>
              <w:jc w:val="center"/>
              <w:rPr>
                <w:noProof/>
              </w:rPr>
            </w:pPr>
            <w:r>
              <w:rPr>
                <w:noProof/>
              </w:rPr>
              <w:t>15</w:t>
            </w:r>
          </w:p>
        </w:tc>
        <w:tc>
          <w:tcPr>
            <w:tcW w:w="793" w:type="dxa"/>
            <w:shd w:val="clear" w:color="auto" w:fill="C6EFCE"/>
            <w:noWrap/>
            <w:vAlign w:val="center"/>
          </w:tcPr>
          <w:p w14:paraId="12E596B0" w14:textId="77777777" w:rsidR="00154E32" w:rsidRDefault="00A43E04">
            <w:pPr>
              <w:pStyle w:val="P68B1DB1-Normal11"/>
              <w:jc w:val="center"/>
              <w:rPr>
                <w:noProof/>
              </w:rPr>
            </w:pPr>
            <w:r>
              <w:rPr>
                <w:noProof/>
              </w:rPr>
              <w:t>Q4</w:t>
            </w:r>
          </w:p>
        </w:tc>
        <w:tc>
          <w:tcPr>
            <w:tcW w:w="625" w:type="dxa"/>
            <w:shd w:val="clear" w:color="auto" w:fill="C6EFCE"/>
            <w:noWrap/>
            <w:vAlign w:val="center"/>
          </w:tcPr>
          <w:p w14:paraId="0CD28A73" w14:textId="77777777" w:rsidR="00154E32" w:rsidRDefault="00A43E04">
            <w:pPr>
              <w:pStyle w:val="P68B1DB1-Normal11"/>
              <w:jc w:val="center"/>
              <w:rPr>
                <w:noProof/>
              </w:rPr>
            </w:pPr>
            <w:r>
              <w:rPr>
                <w:noProof/>
              </w:rPr>
              <w:t>2024</w:t>
            </w:r>
          </w:p>
        </w:tc>
        <w:tc>
          <w:tcPr>
            <w:tcW w:w="2584" w:type="dxa"/>
            <w:shd w:val="clear" w:color="auto" w:fill="C6EFCE"/>
            <w:noWrap/>
            <w:vAlign w:val="center"/>
          </w:tcPr>
          <w:p w14:paraId="04162437" w14:textId="495EC935" w:rsidR="00154E32" w:rsidRDefault="00A43E04">
            <w:pPr>
              <w:pStyle w:val="P68B1DB1-Normal11"/>
              <w:spacing w:after="120"/>
              <w:rPr>
                <w:noProof/>
              </w:rPr>
            </w:pPr>
            <w:r>
              <w:rPr>
                <w:noProof/>
              </w:rPr>
              <w:t>Končna migracija štirih kritičnih in enajstih nemisijskih kritičnih aplikacij v novo odprtokodno infrastrukturo, ki zajema izvajanje strojne opreme v okolju, namestitev odprtokodnih komponent vmesne programske opreme, preoblikovanje aplikacij, začenši z izhodiščem desetih, ki so že bili migrirani s ciljem 1.</w:t>
            </w:r>
          </w:p>
        </w:tc>
      </w:tr>
      <w:tr w:rsidR="00154E32" w14:paraId="30C34615" w14:textId="77777777">
        <w:trPr>
          <w:trHeight w:val="309"/>
        </w:trPr>
        <w:tc>
          <w:tcPr>
            <w:tcW w:w="1284" w:type="dxa"/>
            <w:shd w:val="clear" w:color="auto" w:fill="C6EFCE"/>
            <w:noWrap/>
            <w:vAlign w:val="center"/>
          </w:tcPr>
          <w:p w14:paraId="75FABC3E" w14:textId="77777777" w:rsidR="00154E32" w:rsidRDefault="00A43E04">
            <w:pPr>
              <w:pStyle w:val="P68B1DB1-Normal11"/>
              <w:jc w:val="center"/>
              <w:rPr>
                <w:noProof/>
              </w:rPr>
            </w:pPr>
            <w:r>
              <w:rPr>
                <w:noProof/>
              </w:rPr>
              <w:t>M1C1–144</w:t>
            </w:r>
          </w:p>
        </w:tc>
        <w:tc>
          <w:tcPr>
            <w:tcW w:w="1746" w:type="dxa"/>
            <w:shd w:val="clear" w:color="auto" w:fill="C6EFCE"/>
            <w:noWrap/>
            <w:vAlign w:val="center"/>
          </w:tcPr>
          <w:p w14:paraId="2F149D2C" w14:textId="77777777" w:rsidR="00154E32" w:rsidRDefault="00A43E04">
            <w:pPr>
              <w:pStyle w:val="P68B1DB1-Normal11"/>
              <w:jc w:val="center"/>
              <w:rPr>
                <w:noProof/>
              </w:rPr>
            </w:pPr>
            <w:r>
              <w:rPr>
                <w:noProof/>
              </w:rPr>
              <w:t>Naložba 1.4.2 – Vključevanje državljanov – izboljšanje dostopnosti digitalnih javnih storitev</w:t>
            </w:r>
          </w:p>
        </w:tc>
        <w:tc>
          <w:tcPr>
            <w:tcW w:w="992" w:type="dxa"/>
            <w:shd w:val="clear" w:color="auto" w:fill="C6EFCE"/>
            <w:noWrap/>
            <w:vAlign w:val="center"/>
          </w:tcPr>
          <w:p w14:paraId="44DE6432"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22B6A962" w14:textId="77777777" w:rsidR="00154E32" w:rsidRDefault="00A43E04">
            <w:pPr>
              <w:pStyle w:val="P68B1DB1-Normal11"/>
              <w:jc w:val="center"/>
              <w:rPr>
                <w:noProof/>
              </w:rPr>
            </w:pPr>
            <w:r>
              <w:rPr>
                <w:noProof/>
              </w:rPr>
              <w:t>Izboljšanje dostopnosti digitalnih javnih storitev</w:t>
            </w:r>
          </w:p>
        </w:tc>
        <w:tc>
          <w:tcPr>
            <w:tcW w:w="1701" w:type="dxa"/>
            <w:shd w:val="clear" w:color="auto" w:fill="C6EFCE"/>
            <w:noWrap/>
            <w:vAlign w:val="center"/>
          </w:tcPr>
          <w:p w14:paraId="548CD890"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3A5CDC7D"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17836887" w14:textId="77777777" w:rsidR="00154E32" w:rsidRDefault="00A43E04">
            <w:pPr>
              <w:pStyle w:val="P68B1DB1-Normal11"/>
              <w:jc w:val="center"/>
              <w:rPr>
                <w:noProof/>
              </w:rPr>
            </w:pPr>
            <w:r>
              <w:rPr>
                <w:noProof/>
              </w:rPr>
              <w:t>0</w:t>
            </w:r>
          </w:p>
        </w:tc>
        <w:tc>
          <w:tcPr>
            <w:tcW w:w="1417" w:type="dxa"/>
            <w:shd w:val="clear" w:color="auto" w:fill="C6EFCE"/>
            <w:noWrap/>
            <w:vAlign w:val="center"/>
          </w:tcPr>
          <w:p w14:paraId="274DB09A" w14:textId="77777777" w:rsidR="00154E32" w:rsidRDefault="00A43E04">
            <w:pPr>
              <w:pStyle w:val="P68B1DB1-Normal11"/>
              <w:jc w:val="center"/>
              <w:rPr>
                <w:noProof/>
              </w:rPr>
            </w:pPr>
            <w:r>
              <w:rPr>
                <w:noProof/>
              </w:rPr>
              <w:t>55</w:t>
            </w:r>
          </w:p>
        </w:tc>
        <w:tc>
          <w:tcPr>
            <w:tcW w:w="793" w:type="dxa"/>
            <w:shd w:val="clear" w:color="auto" w:fill="C6EFCE"/>
            <w:noWrap/>
            <w:vAlign w:val="center"/>
          </w:tcPr>
          <w:p w14:paraId="6A7CC834" w14:textId="77777777" w:rsidR="00154E32" w:rsidRDefault="00A43E04">
            <w:pPr>
              <w:pStyle w:val="P68B1DB1-Normal11"/>
              <w:jc w:val="center"/>
              <w:rPr>
                <w:noProof/>
              </w:rPr>
            </w:pPr>
            <w:r>
              <w:rPr>
                <w:noProof/>
              </w:rPr>
              <w:t>Q2</w:t>
            </w:r>
          </w:p>
        </w:tc>
        <w:tc>
          <w:tcPr>
            <w:tcW w:w="625" w:type="dxa"/>
            <w:shd w:val="clear" w:color="auto" w:fill="C6EFCE"/>
            <w:noWrap/>
            <w:vAlign w:val="center"/>
          </w:tcPr>
          <w:p w14:paraId="50195EF0" w14:textId="77777777" w:rsidR="00154E32" w:rsidRDefault="00A43E04">
            <w:pPr>
              <w:pStyle w:val="P68B1DB1-Normal11"/>
              <w:jc w:val="center"/>
              <w:rPr>
                <w:noProof/>
              </w:rPr>
            </w:pPr>
            <w:r>
              <w:rPr>
                <w:noProof/>
              </w:rPr>
              <w:t>2025</w:t>
            </w:r>
          </w:p>
        </w:tc>
        <w:tc>
          <w:tcPr>
            <w:tcW w:w="2584" w:type="dxa"/>
            <w:shd w:val="clear" w:color="auto" w:fill="C6EFCE"/>
            <w:noWrap/>
            <w:vAlign w:val="center"/>
          </w:tcPr>
          <w:p w14:paraId="785BF42D" w14:textId="77777777" w:rsidR="00154E32" w:rsidRDefault="00A43E04">
            <w:pPr>
              <w:pStyle w:val="P68B1DB1-Normal11"/>
              <w:spacing w:after="120"/>
              <w:rPr>
                <w:noProof/>
              </w:rPr>
            </w:pPr>
            <w:r>
              <w:rPr>
                <w:noProof/>
              </w:rPr>
              <w:t>Agencija AgID do drugega četrtletja-2025 zagotovi podporo 55 lokalnim javnim upravam, da bi:</w:t>
            </w:r>
          </w:p>
          <w:p w14:paraId="7AB35E20" w14:textId="77777777" w:rsidR="00154E32" w:rsidRDefault="00A43E04">
            <w:pPr>
              <w:pStyle w:val="P68B1DB1-Normal11"/>
              <w:spacing w:after="120"/>
              <w:rPr>
                <w:noProof/>
              </w:rPr>
            </w:pPr>
            <w:r>
              <w:rPr>
                <w:noProof/>
              </w:rPr>
              <w:t>—Zagotoviti 28 tehničnih in strokovnih strokovnjakov</w:t>
            </w:r>
          </w:p>
          <w:p w14:paraId="4E2EF486" w14:textId="77777777" w:rsidR="00154E32" w:rsidRDefault="00A43E04">
            <w:pPr>
              <w:pStyle w:val="P68B1DB1-Normal11"/>
              <w:spacing w:after="120"/>
              <w:rPr>
                <w:noProof/>
              </w:rPr>
            </w:pPr>
            <w:r>
              <w:rPr>
                <w:noProof/>
              </w:rPr>
              <w:t>Zmanjšanje števila napak za vsaj dve digitalni storitvi, ki ju zagotavlja vsaka uprava, za 50 %.</w:t>
            </w:r>
          </w:p>
          <w:p w14:paraId="7A679F1A" w14:textId="77777777" w:rsidR="00154E32" w:rsidRDefault="00A43E04">
            <w:pPr>
              <w:pStyle w:val="P68B1DB1-Normal11"/>
              <w:spacing w:after="120"/>
              <w:rPr>
                <w:noProof/>
              </w:rPr>
            </w:pPr>
            <w:r>
              <w:rPr>
                <w:noProof/>
              </w:rPr>
              <w:t>— Razširjanje in usposabljanje vsaj treh orodij za preoblikovanje in razvoj najbolj uporabljenih digitalnih storitev v lasti vsake uprave</w:t>
            </w:r>
          </w:p>
          <w:p w14:paraId="744FB442" w14:textId="77777777" w:rsidR="00154E32" w:rsidRDefault="00A43E04">
            <w:pPr>
              <w:pStyle w:val="P68B1DB1-Normal11"/>
              <w:spacing w:before="120" w:after="120"/>
              <w:rPr>
                <w:noProof/>
              </w:rPr>
            </w:pPr>
            <w:r>
              <w:rPr>
                <w:noProof/>
              </w:rPr>
              <w:t>Zagotoviti, da se vsaj 50 % podpornih tehnologij in potreb po programski opremi nameni invalidnim delavcem.</w:t>
            </w:r>
          </w:p>
        </w:tc>
      </w:tr>
      <w:tr w:rsidR="00154E32" w14:paraId="5809D984" w14:textId="77777777">
        <w:trPr>
          <w:trHeight w:val="309"/>
        </w:trPr>
        <w:tc>
          <w:tcPr>
            <w:tcW w:w="1284" w:type="dxa"/>
            <w:shd w:val="clear" w:color="auto" w:fill="C6EFCE"/>
            <w:noWrap/>
            <w:vAlign w:val="center"/>
          </w:tcPr>
          <w:p w14:paraId="4E646214" w14:textId="77777777" w:rsidR="00154E32" w:rsidRDefault="00A43E04">
            <w:pPr>
              <w:pStyle w:val="P68B1DB1-Normal11"/>
              <w:jc w:val="center"/>
              <w:rPr>
                <w:noProof/>
              </w:rPr>
            </w:pPr>
            <w:r>
              <w:rPr>
                <w:noProof/>
              </w:rPr>
              <w:t>M1C1–145</w:t>
            </w:r>
          </w:p>
        </w:tc>
        <w:tc>
          <w:tcPr>
            <w:tcW w:w="1746" w:type="dxa"/>
            <w:shd w:val="clear" w:color="auto" w:fill="C6EFCE"/>
            <w:noWrap/>
            <w:vAlign w:val="center"/>
          </w:tcPr>
          <w:p w14:paraId="7C1379EB" w14:textId="77777777" w:rsidR="00154E32" w:rsidRDefault="00A43E04">
            <w:pPr>
              <w:pStyle w:val="P68B1DB1-Normal11"/>
              <w:jc w:val="center"/>
              <w:rPr>
                <w:noProof/>
              </w:rPr>
            </w:pPr>
            <w:r>
              <w:rPr>
                <w:noProof/>
              </w:rPr>
              <w:t>Naložba 1.4.4 – možnost razširitve nacionalnih platform za digitalno identiteto (SPID, CIE) in nacionalnega registra (ANPR)</w:t>
            </w:r>
          </w:p>
        </w:tc>
        <w:tc>
          <w:tcPr>
            <w:tcW w:w="992" w:type="dxa"/>
            <w:shd w:val="clear" w:color="auto" w:fill="C6EFCE"/>
            <w:noWrap/>
            <w:vAlign w:val="center"/>
          </w:tcPr>
          <w:p w14:paraId="123938B7"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38418033" w14:textId="77777777" w:rsidR="00154E32" w:rsidRDefault="00A43E04">
            <w:pPr>
              <w:pStyle w:val="P68B1DB1-Normal11"/>
              <w:jc w:val="center"/>
              <w:rPr>
                <w:noProof/>
              </w:rPr>
            </w:pPr>
            <w:r>
              <w:rPr>
                <w:noProof/>
              </w:rPr>
              <w:t>Nacionalne platforme za digitalno identiteto (SPID, CIE) in nacionalni register (ANPR)</w:t>
            </w:r>
          </w:p>
        </w:tc>
        <w:tc>
          <w:tcPr>
            <w:tcW w:w="1701" w:type="dxa"/>
            <w:shd w:val="clear" w:color="auto" w:fill="C6EFCE"/>
            <w:noWrap/>
            <w:vAlign w:val="center"/>
          </w:tcPr>
          <w:p w14:paraId="43DFF573"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01D81D37" w14:textId="77777777" w:rsidR="00154E32" w:rsidRDefault="00A43E04">
            <w:pPr>
              <w:pStyle w:val="P68B1DB1-Normal11"/>
              <w:jc w:val="center"/>
              <w:rPr>
                <w:noProof/>
              </w:rPr>
            </w:pPr>
            <w:r>
              <w:rPr>
                <w:noProof/>
              </w:rPr>
              <w:t>Število državljanov z elektronsko identifikacijo</w:t>
            </w:r>
          </w:p>
        </w:tc>
        <w:tc>
          <w:tcPr>
            <w:tcW w:w="1276" w:type="dxa"/>
            <w:shd w:val="clear" w:color="auto" w:fill="C6EFCE"/>
            <w:noWrap/>
            <w:vAlign w:val="center"/>
          </w:tcPr>
          <w:p w14:paraId="5AE571B0" w14:textId="24C3F8F7" w:rsidR="00154E32" w:rsidRDefault="00A43E04">
            <w:pPr>
              <w:pStyle w:val="P68B1DB1-Normal11"/>
              <w:jc w:val="center"/>
              <w:rPr>
                <w:noProof/>
              </w:rPr>
            </w:pPr>
            <w:r>
              <w:rPr>
                <w:noProof/>
              </w:rPr>
              <w:t>17 500 000</w:t>
            </w:r>
          </w:p>
        </w:tc>
        <w:tc>
          <w:tcPr>
            <w:tcW w:w="1417" w:type="dxa"/>
            <w:shd w:val="clear" w:color="auto" w:fill="C6EFCE"/>
            <w:noWrap/>
            <w:vAlign w:val="center"/>
          </w:tcPr>
          <w:p w14:paraId="2F475B50" w14:textId="39455118" w:rsidR="00154E32" w:rsidRDefault="00A43E04">
            <w:pPr>
              <w:pStyle w:val="P68B1DB1-Normal11"/>
              <w:jc w:val="center"/>
              <w:rPr>
                <w:noProof/>
              </w:rPr>
            </w:pPr>
            <w:r>
              <w:rPr>
                <w:noProof/>
              </w:rPr>
              <w:t>42 300 000</w:t>
            </w:r>
          </w:p>
        </w:tc>
        <w:tc>
          <w:tcPr>
            <w:tcW w:w="793" w:type="dxa"/>
            <w:shd w:val="clear" w:color="auto" w:fill="C6EFCE"/>
            <w:noWrap/>
            <w:vAlign w:val="center"/>
          </w:tcPr>
          <w:p w14:paraId="5F86C588" w14:textId="77777777" w:rsidR="00154E32" w:rsidRDefault="00A43E04">
            <w:pPr>
              <w:pStyle w:val="P68B1DB1-Normal11"/>
              <w:jc w:val="center"/>
              <w:rPr>
                <w:noProof/>
              </w:rPr>
            </w:pPr>
            <w:r>
              <w:rPr>
                <w:noProof/>
              </w:rPr>
              <w:t>Q4</w:t>
            </w:r>
          </w:p>
        </w:tc>
        <w:tc>
          <w:tcPr>
            <w:tcW w:w="625" w:type="dxa"/>
            <w:shd w:val="clear" w:color="auto" w:fill="C6EFCE"/>
            <w:noWrap/>
            <w:vAlign w:val="center"/>
          </w:tcPr>
          <w:p w14:paraId="5054D875" w14:textId="77777777" w:rsidR="00154E32" w:rsidRDefault="00A43E04">
            <w:pPr>
              <w:pStyle w:val="P68B1DB1-Normal11"/>
              <w:jc w:val="center"/>
              <w:rPr>
                <w:noProof/>
              </w:rPr>
            </w:pPr>
            <w:r>
              <w:rPr>
                <w:noProof/>
              </w:rPr>
              <w:t>2025</w:t>
            </w:r>
          </w:p>
        </w:tc>
        <w:tc>
          <w:tcPr>
            <w:tcW w:w="2584" w:type="dxa"/>
            <w:shd w:val="clear" w:color="auto" w:fill="C6EFCE"/>
            <w:noWrap/>
            <w:vAlign w:val="center"/>
          </w:tcPr>
          <w:p w14:paraId="6200E97A" w14:textId="77777777" w:rsidR="00154E32" w:rsidRDefault="00A43E04">
            <w:pPr>
              <w:pStyle w:val="P68B1DB1-Normal11"/>
              <w:spacing w:after="120"/>
              <w:rPr>
                <w:noProof/>
              </w:rPr>
            </w:pPr>
            <w:r>
              <w:rPr>
                <w:noProof/>
              </w:rPr>
              <w:t>Število italijanskih državljanov z veljavno digitalno identiteto na nacionalni platformi za digitalno identiteto.</w:t>
            </w:r>
          </w:p>
        </w:tc>
      </w:tr>
      <w:tr w:rsidR="00154E32" w14:paraId="480062A5" w14:textId="77777777">
        <w:trPr>
          <w:trHeight w:val="309"/>
        </w:trPr>
        <w:tc>
          <w:tcPr>
            <w:tcW w:w="1284" w:type="dxa"/>
            <w:shd w:val="clear" w:color="auto" w:fill="C6EFCE"/>
            <w:noWrap/>
            <w:vAlign w:val="center"/>
          </w:tcPr>
          <w:p w14:paraId="0CEA81E3" w14:textId="77777777" w:rsidR="00154E32" w:rsidRDefault="00A43E04">
            <w:pPr>
              <w:pStyle w:val="P68B1DB1-Normal11"/>
              <w:jc w:val="center"/>
              <w:rPr>
                <w:noProof/>
              </w:rPr>
            </w:pPr>
            <w:r>
              <w:rPr>
                <w:noProof/>
              </w:rPr>
              <w:t>M1C1–146</w:t>
            </w:r>
          </w:p>
        </w:tc>
        <w:tc>
          <w:tcPr>
            <w:tcW w:w="1746" w:type="dxa"/>
            <w:shd w:val="clear" w:color="auto" w:fill="C6EFCE"/>
            <w:noWrap/>
            <w:vAlign w:val="center"/>
          </w:tcPr>
          <w:p w14:paraId="1B858848" w14:textId="77777777" w:rsidR="00154E32" w:rsidRDefault="00A43E04">
            <w:pPr>
              <w:pStyle w:val="P68B1DB1-Normal11"/>
              <w:jc w:val="center"/>
              <w:rPr>
                <w:noProof/>
              </w:rPr>
            </w:pPr>
            <w:r>
              <w:rPr>
                <w:noProof/>
              </w:rPr>
              <w:t>Naložba 1.4.4 – sprejetje razširitve nacionalnih platform za digitalno identiteto (SPID, CIE) in nacionalnega registra (ANPR)</w:t>
            </w:r>
          </w:p>
        </w:tc>
        <w:tc>
          <w:tcPr>
            <w:tcW w:w="992" w:type="dxa"/>
            <w:shd w:val="clear" w:color="auto" w:fill="C6EFCE"/>
            <w:noWrap/>
            <w:vAlign w:val="center"/>
          </w:tcPr>
          <w:p w14:paraId="6CC9E914"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18FF8394" w14:textId="77777777" w:rsidR="00154E32" w:rsidRDefault="00A43E04">
            <w:pPr>
              <w:pStyle w:val="P68B1DB1-Normal11"/>
              <w:jc w:val="center"/>
              <w:rPr>
                <w:noProof/>
              </w:rPr>
            </w:pPr>
            <w:r>
              <w:rPr>
                <w:noProof/>
              </w:rPr>
              <w:t>Nacionalne platforme za digitalno identiteto (SPID, CIE) in nacionalni register (ANPR)</w:t>
            </w:r>
          </w:p>
        </w:tc>
        <w:tc>
          <w:tcPr>
            <w:tcW w:w="1701" w:type="dxa"/>
            <w:shd w:val="clear" w:color="auto" w:fill="C6EFCE"/>
            <w:noWrap/>
            <w:vAlign w:val="center"/>
          </w:tcPr>
          <w:p w14:paraId="1D677A0B"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25C1B118"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12B3A8EF" w14:textId="77777777" w:rsidR="00154E32" w:rsidRDefault="00A43E04">
            <w:pPr>
              <w:pStyle w:val="P68B1DB1-Normal11"/>
              <w:jc w:val="center"/>
              <w:rPr>
                <w:noProof/>
              </w:rPr>
            </w:pPr>
            <w:r>
              <w:rPr>
                <w:noProof/>
              </w:rPr>
              <w:t>6 283</w:t>
            </w:r>
          </w:p>
        </w:tc>
        <w:tc>
          <w:tcPr>
            <w:tcW w:w="1417" w:type="dxa"/>
            <w:shd w:val="clear" w:color="auto" w:fill="C6EFCE"/>
            <w:noWrap/>
            <w:vAlign w:val="center"/>
          </w:tcPr>
          <w:p w14:paraId="116489AE" w14:textId="77777777" w:rsidR="00154E32" w:rsidRDefault="00A43E04">
            <w:pPr>
              <w:pStyle w:val="P68B1DB1-Normal11"/>
              <w:jc w:val="center"/>
              <w:rPr>
                <w:noProof/>
              </w:rPr>
            </w:pPr>
            <w:r>
              <w:rPr>
                <w:noProof/>
              </w:rPr>
              <w:t>16 500</w:t>
            </w:r>
          </w:p>
        </w:tc>
        <w:tc>
          <w:tcPr>
            <w:tcW w:w="793" w:type="dxa"/>
            <w:shd w:val="clear" w:color="auto" w:fill="C6EFCE"/>
            <w:noWrap/>
            <w:vAlign w:val="center"/>
          </w:tcPr>
          <w:p w14:paraId="59029C2B" w14:textId="77777777" w:rsidR="00154E32" w:rsidRDefault="00A43E04">
            <w:pPr>
              <w:pStyle w:val="P68B1DB1-Normal11"/>
              <w:jc w:val="center"/>
              <w:rPr>
                <w:noProof/>
              </w:rPr>
            </w:pPr>
            <w:r>
              <w:rPr>
                <w:noProof/>
              </w:rPr>
              <w:t>ČETRTLETJE 1</w:t>
            </w:r>
          </w:p>
        </w:tc>
        <w:tc>
          <w:tcPr>
            <w:tcW w:w="625" w:type="dxa"/>
            <w:shd w:val="clear" w:color="auto" w:fill="C6EFCE"/>
            <w:noWrap/>
            <w:vAlign w:val="center"/>
          </w:tcPr>
          <w:p w14:paraId="542E1428" w14:textId="77777777" w:rsidR="00154E32" w:rsidRDefault="00A43E04">
            <w:pPr>
              <w:pStyle w:val="P68B1DB1-Normal11"/>
              <w:jc w:val="center"/>
              <w:rPr>
                <w:noProof/>
              </w:rPr>
            </w:pPr>
            <w:r>
              <w:rPr>
                <w:noProof/>
              </w:rPr>
              <w:t>2026</w:t>
            </w:r>
          </w:p>
        </w:tc>
        <w:tc>
          <w:tcPr>
            <w:tcW w:w="2584" w:type="dxa"/>
            <w:shd w:val="clear" w:color="auto" w:fill="C6EFCE"/>
            <w:noWrap/>
            <w:vAlign w:val="center"/>
          </w:tcPr>
          <w:p w14:paraId="06C82A03" w14:textId="77777777" w:rsidR="00154E32" w:rsidRDefault="00A43E04">
            <w:pPr>
              <w:pStyle w:val="P68B1DB1-Normal11"/>
              <w:spacing w:after="120"/>
              <w:rPr>
                <w:noProof/>
              </w:rPr>
            </w:pPr>
            <w:r>
              <w:rPr>
                <w:noProof/>
              </w:rPr>
              <w:t>Število javnih uprav (od skupaj 16500), ki so sprejele elektronsko identifikacijo (eID) (SPID ali CIE).</w:t>
            </w:r>
          </w:p>
        </w:tc>
      </w:tr>
      <w:tr w:rsidR="00154E32" w14:paraId="3222B5FF" w14:textId="77777777">
        <w:trPr>
          <w:trHeight w:val="309"/>
        </w:trPr>
        <w:tc>
          <w:tcPr>
            <w:tcW w:w="1284" w:type="dxa"/>
            <w:shd w:val="clear" w:color="auto" w:fill="C6EFCE"/>
            <w:noWrap/>
            <w:vAlign w:val="center"/>
          </w:tcPr>
          <w:p w14:paraId="51D53E90" w14:textId="77777777" w:rsidR="00154E32" w:rsidRDefault="00A43E04">
            <w:pPr>
              <w:pStyle w:val="P68B1DB1-Normal11"/>
              <w:jc w:val="center"/>
              <w:rPr>
                <w:noProof/>
              </w:rPr>
            </w:pPr>
            <w:r>
              <w:rPr>
                <w:noProof/>
              </w:rPr>
              <w:t>M1C1–147</w:t>
            </w:r>
          </w:p>
        </w:tc>
        <w:tc>
          <w:tcPr>
            <w:tcW w:w="1746" w:type="dxa"/>
            <w:shd w:val="clear" w:color="auto" w:fill="C6EFCE"/>
            <w:noWrap/>
            <w:vAlign w:val="center"/>
          </w:tcPr>
          <w:p w14:paraId="7CCE065B" w14:textId="77777777" w:rsidR="00154E32" w:rsidRDefault="00A43E04">
            <w:pPr>
              <w:pStyle w:val="P68B1DB1-Normal11"/>
              <w:jc w:val="center"/>
              <w:rPr>
                <w:noProof/>
              </w:rPr>
            </w:pPr>
            <w:r>
              <w:rPr>
                <w:noProof/>
              </w:rPr>
              <w:t>Naložba 1.2 – Omogočanje oblaka za lokalne pripravljalne ukrepe</w:t>
            </w:r>
          </w:p>
        </w:tc>
        <w:tc>
          <w:tcPr>
            <w:tcW w:w="992" w:type="dxa"/>
            <w:shd w:val="clear" w:color="auto" w:fill="C6EFCE"/>
            <w:noWrap/>
            <w:vAlign w:val="center"/>
          </w:tcPr>
          <w:p w14:paraId="06D6CE6B"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79B98DFF" w14:textId="77777777" w:rsidR="00154E32" w:rsidRDefault="00A43E04">
            <w:pPr>
              <w:pStyle w:val="P68B1DB1-Normal11"/>
              <w:jc w:val="center"/>
              <w:rPr>
                <w:noProof/>
              </w:rPr>
            </w:pPr>
            <w:r>
              <w:rPr>
                <w:noProof/>
              </w:rPr>
              <w:t>Omogočanje oblaka za lokalno javno upravo T2</w:t>
            </w:r>
          </w:p>
        </w:tc>
        <w:tc>
          <w:tcPr>
            <w:tcW w:w="1701" w:type="dxa"/>
            <w:shd w:val="clear" w:color="auto" w:fill="C6EFCE"/>
            <w:noWrap/>
            <w:vAlign w:val="center"/>
          </w:tcPr>
          <w:p w14:paraId="5E897981"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5B072C18"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3D337394" w14:textId="77777777" w:rsidR="00154E32" w:rsidRDefault="00A43E04">
            <w:pPr>
              <w:pStyle w:val="P68B1DB1-Normal11"/>
              <w:jc w:val="center"/>
              <w:rPr>
                <w:noProof/>
              </w:rPr>
            </w:pPr>
            <w:r>
              <w:rPr>
                <w:noProof/>
              </w:rPr>
              <w:t>4 083</w:t>
            </w:r>
          </w:p>
        </w:tc>
        <w:tc>
          <w:tcPr>
            <w:tcW w:w="1417" w:type="dxa"/>
            <w:shd w:val="clear" w:color="auto" w:fill="C6EFCE"/>
            <w:noWrap/>
            <w:vAlign w:val="center"/>
          </w:tcPr>
          <w:p w14:paraId="79E5CCF4" w14:textId="77777777" w:rsidR="00154E32" w:rsidRDefault="00A43E04">
            <w:pPr>
              <w:pStyle w:val="P68B1DB1-Normal11"/>
              <w:jc w:val="center"/>
              <w:rPr>
                <w:noProof/>
              </w:rPr>
            </w:pPr>
            <w:r>
              <w:rPr>
                <w:noProof/>
              </w:rPr>
              <w:t>12 464</w:t>
            </w:r>
          </w:p>
        </w:tc>
        <w:tc>
          <w:tcPr>
            <w:tcW w:w="793" w:type="dxa"/>
            <w:shd w:val="clear" w:color="auto" w:fill="C6EFCE"/>
            <w:noWrap/>
            <w:vAlign w:val="center"/>
          </w:tcPr>
          <w:p w14:paraId="7FF4A4D2" w14:textId="77777777" w:rsidR="00154E32" w:rsidRDefault="00A43E04">
            <w:pPr>
              <w:pStyle w:val="P68B1DB1-Normal11"/>
              <w:jc w:val="center"/>
              <w:rPr>
                <w:noProof/>
              </w:rPr>
            </w:pPr>
            <w:r>
              <w:rPr>
                <w:noProof/>
              </w:rPr>
              <w:t>Q2</w:t>
            </w:r>
          </w:p>
        </w:tc>
        <w:tc>
          <w:tcPr>
            <w:tcW w:w="625" w:type="dxa"/>
            <w:shd w:val="clear" w:color="auto" w:fill="C6EFCE"/>
            <w:noWrap/>
            <w:vAlign w:val="center"/>
          </w:tcPr>
          <w:p w14:paraId="676419FA" w14:textId="77777777" w:rsidR="00154E32" w:rsidRDefault="00A43E04">
            <w:pPr>
              <w:pStyle w:val="P68B1DB1-Normal11"/>
              <w:jc w:val="center"/>
              <w:rPr>
                <w:noProof/>
              </w:rPr>
            </w:pPr>
            <w:r>
              <w:rPr>
                <w:noProof/>
              </w:rPr>
              <w:t>2026</w:t>
            </w:r>
          </w:p>
        </w:tc>
        <w:tc>
          <w:tcPr>
            <w:tcW w:w="2584" w:type="dxa"/>
            <w:shd w:val="clear" w:color="auto" w:fill="C6EFCE"/>
            <w:noWrap/>
            <w:vAlign w:val="center"/>
          </w:tcPr>
          <w:p w14:paraId="0645783F" w14:textId="77777777" w:rsidR="00154E32" w:rsidRDefault="00A43E04">
            <w:pPr>
              <w:pStyle w:val="P68B1DB1-Normal11"/>
              <w:spacing w:after="120"/>
              <w:rPr>
                <w:noProof/>
              </w:rPr>
            </w:pPr>
            <w:r>
              <w:rPr>
                <w:noProof/>
              </w:rPr>
              <w:t>Šteje se, da je migracija 12464 lokalnih javnih uprav na certificirana okolja oblakov dosežena, ko je uspešno testiranje vseh sistemov, naborov podatkov in migracij aplikacij, vključenih v vsak načrt migracije.</w:t>
            </w:r>
          </w:p>
        </w:tc>
      </w:tr>
      <w:tr w:rsidR="00154E32" w14:paraId="72830464" w14:textId="77777777">
        <w:trPr>
          <w:trHeight w:val="309"/>
        </w:trPr>
        <w:tc>
          <w:tcPr>
            <w:tcW w:w="1284" w:type="dxa"/>
            <w:shd w:val="clear" w:color="auto" w:fill="C6EFCE"/>
            <w:noWrap/>
            <w:vAlign w:val="center"/>
          </w:tcPr>
          <w:p w14:paraId="78ACB872" w14:textId="77777777" w:rsidR="00154E32" w:rsidRDefault="00A43E04">
            <w:pPr>
              <w:pStyle w:val="P68B1DB1-Normal11"/>
              <w:jc w:val="center"/>
              <w:rPr>
                <w:noProof/>
              </w:rPr>
            </w:pPr>
            <w:r>
              <w:rPr>
                <w:noProof/>
              </w:rPr>
              <w:t>M1C1–148</w:t>
            </w:r>
          </w:p>
        </w:tc>
        <w:tc>
          <w:tcPr>
            <w:tcW w:w="1746" w:type="dxa"/>
            <w:shd w:val="clear" w:color="auto" w:fill="C6EFCE"/>
            <w:noWrap/>
            <w:vAlign w:val="center"/>
          </w:tcPr>
          <w:p w14:paraId="152CF231" w14:textId="77777777" w:rsidR="00154E32" w:rsidRDefault="00A43E04">
            <w:pPr>
              <w:pStyle w:val="P68B1DB1-Normal11"/>
              <w:jc w:val="center"/>
              <w:rPr>
                <w:noProof/>
              </w:rPr>
            </w:pPr>
            <w:r>
              <w:rPr>
                <w:noProof/>
              </w:rPr>
              <w:t>Naložba 1.4.1 – Izkušnje državljanov – Izboljšanje kakovosti in uporabnosti digitalnih javnih storitev</w:t>
            </w:r>
          </w:p>
        </w:tc>
        <w:tc>
          <w:tcPr>
            <w:tcW w:w="992" w:type="dxa"/>
            <w:shd w:val="clear" w:color="auto" w:fill="C6EFCE"/>
            <w:noWrap/>
            <w:vAlign w:val="center"/>
          </w:tcPr>
          <w:p w14:paraId="7853F02E"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4731FF42" w14:textId="77777777" w:rsidR="00154E32" w:rsidRDefault="00A43E04">
            <w:pPr>
              <w:pStyle w:val="P68B1DB1-Normal11"/>
              <w:jc w:val="center"/>
              <w:rPr>
                <w:noProof/>
              </w:rPr>
            </w:pPr>
            <w:r>
              <w:rPr>
                <w:noProof/>
              </w:rPr>
              <w:t>Izboljšanje kakovosti in uporabnosti digitalnih javnih storitev T2</w:t>
            </w:r>
          </w:p>
        </w:tc>
        <w:tc>
          <w:tcPr>
            <w:tcW w:w="1701" w:type="dxa"/>
            <w:shd w:val="clear" w:color="auto" w:fill="C6EFCE"/>
            <w:noWrap/>
            <w:vAlign w:val="center"/>
          </w:tcPr>
          <w:p w14:paraId="641A6C34"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64B5EFF0" w14:textId="77777777" w:rsidR="00154E32" w:rsidRDefault="00A43E04">
            <w:pPr>
              <w:pStyle w:val="P68B1DB1-Normal11"/>
              <w:jc w:val="center"/>
              <w:rPr>
                <w:noProof/>
              </w:rPr>
            </w:pPr>
            <w:r>
              <w:rPr>
                <w:noProof/>
              </w:rPr>
              <w:t>Delež</w:t>
            </w:r>
          </w:p>
        </w:tc>
        <w:tc>
          <w:tcPr>
            <w:tcW w:w="1276" w:type="dxa"/>
            <w:shd w:val="clear" w:color="auto" w:fill="C6EFCE"/>
            <w:noWrap/>
            <w:vAlign w:val="center"/>
          </w:tcPr>
          <w:p w14:paraId="32C2BD5A" w14:textId="77777777" w:rsidR="00154E32" w:rsidRDefault="00A43E04">
            <w:pPr>
              <w:pStyle w:val="P68B1DB1-Normal11"/>
              <w:jc w:val="center"/>
              <w:rPr>
                <w:noProof/>
              </w:rPr>
            </w:pPr>
            <w:r>
              <w:rPr>
                <w:noProof/>
              </w:rPr>
              <w:t>40</w:t>
            </w:r>
          </w:p>
        </w:tc>
        <w:tc>
          <w:tcPr>
            <w:tcW w:w="1417" w:type="dxa"/>
            <w:shd w:val="clear" w:color="auto" w:fill="C6EFCE"/>
            <w:noWrap/>
            <w:vAlign w:val="center"/>
          </w:tcPr>
          <w:p w14:paraId="73E70680" w14:textId="77777777" w:rsidR="00154E32" w:rsidRDefault="00A43E04">
            <w:pPr>
              <w:pStyle w:val="P68B1DB1-Normal11"/>
              <w:jc w:val="center"/>
              <w:rPr>
                <w:noProof/>
              </w:rPr>
            </w:pPr>
            <w:r>
              <w:rPr>
                <w:noProof/>
              </w:rPr>
              <w:t>80</w:t>
            </w:r>
          </w:p>
        </w:tc>
        <w:tc>
          <w:tcPr>
            <w:tcW w:w="793" w:type="dxa"/>
            <w:shd w:val="clear" w:color="auto" w:fill="C6EFCE"/>
            <w:noWrap/>
            <w:vAlign w:val="center"/>
          </w:tcPr>
          <w:p w14:paraId="00F1506B" w14:textId="77777777" w:rsidR="00154E32" w:rsidRDefault="00A43E04">
            <w:pPr>
              <w:pStyle w:val="P68B1DB1-Normal11"/>
              <w:jc w:val="center"/>
              <w:rPr>
                <w:noProof/>
              </w:rPr>
            </w:pPr>
            <w:r>
              <w:rPr>
                <w:noProof/>
              </w:rPr>
              <w:t>Q2</w:t>
            </w:r>
          </w:p>
        </w:tc>
        <w:tc>
          <w:tcPr>
            <w:tcW w:w="625" w:type="dxa"/>
            <w:shd w:val="clear" w:color="auto" w:fill="C6EFCE"/>
            <w:noWrap/>
            <w:vAlign w:val="center"/>
          </w:tcPr>
          <w:p w14:paraId="44A6CC59" w14:textId="77777777" w:rsidR="00154E32" w:rsidRDefault="00A43E04">
            <w:pPr>
              <w:pStyle w:val="P68B1DB1-Normal11"/>
              <w:jc w:val="center"/>
              <w:rPr>
                <w:noProof/>
              </w:rPr>
            </w:pPr>
            <w:r>
              <w:rPr>
                <w:noProof/>
              </w:rPr>
              <w:t>2026</w:t>
            </w:r>
          </w:p>
        </w:tc>
        <w:tc>
          <w:tcPr>
            <w:tcW w:w="2584" w:type="dxa"/>
            <w:shd w:val="clear" w:color="auto" w:fill="C6EFCE"/>
            <w:noWrap/>
            <w:vAlign w:val="center"/>
          </w:tcPr>
          <w:p w14:paraId="4DFA4401" w14:textId="369D4FBF" w:rsidR="00154E32" w:rsidRDefault="00A43E04">
            <w:pPr>
              <w:pStyle w:val="P68B1DB1-Normal11"/>
              <w:spacing w:after="120"/>
              <w:rPr>
                <w:noProof/>
              </w:rPr>
            </w:pPr>
            <w:r>
              <w:rPr>
                <w:noProof/>
              </w:rPr>
              <w:t>Uprave (občine, osnovne in sekundarne izobraževalne</w:t>
            </w:r>
            <w:r>
              <w:rPr>
                <w:noProof/>
                <w:vertAlign w:val="superscript"/>
              </w:rPr>
              <w:t>ustanove</w:t>
            </w:r>
            <w:r>
              <w:rPr>
                <w:noProof/>
              </w:rPr>
              <w:t xml:space="preserve"> 1- in</w:t>
            </w:r>
            <w:r>
              <w:rPr>
                <w:noProof/>
                <w:vertAlign w:val="superscript"/>
              </w:rPr>
              <w:t>2</w:t>
            </w:r>
            <w:r>
              <w:rPr>
                <w:noProof/>
              </w:rPr>
              <w:t xml:space="preserve"> -stopenjska raven ter posebni pilotni subjekti zdravstvenega varstva in kulturne dediščine), ki spoštujejo skupni model in sistem oblikovanja, poenostavljajo interakcijo uporabnikov in olajšajo vzdrževanje v prihodnjih letih.</w:t>
            </w:r>
          </w:p>
          <w:p w14:paraId="150FBF38" w14:textId="77777777" w:rsidR="00154E32" w:rsidRDefault="00A43E04">
            <w:pPr>
              <w:pStyle w:val="P68B1DB1-Normal11"/>
              <w:spacing w:after="120"/>
              <w:rPr>
                <w:noProof/>
              </w:rPr>
            </w:pPr>
            <w:r>
              <w:rPr>
                <w:noProof/>
              </w:rPr>
              <w:t xml:space="preserve">Upoštevanje skupnega oblikovanja/vzorca spletišč/storitev zajema: </w:t>
            </w:r>
          </w:p>
          <w:p w14:paraId="18278D8E" w14:textId="77777777" w:rsidR="00154E32" w:rsidRDefault="00A43E04">
            <w:pPr>
              <w:pStyle w:val="P68B1DB1-Normal11"/>
              <w:spacing w:after="120"/>
              <w:rPr>
                <w:noProof/>
              </w:rPr>
            </w:pPr>
            <w:r>
              <w:rPr>
                <w:noProof/>
              </w:rPr>
              <w:t>(1) Vrednotenje predloženih projektov;</w:t>
            </w:r>
          </w:p>
          <w:p w14:paraId="406E3BA1" w14:textId="77777777" w:rsidR="00154E32" w:rsidRDefault="00A43E04">
            <w:pPr>
              <w:pStyle w:val="P68B1DB1-Normal11"/>
              <w:spacing w:after="120"/>
              <w:rPr>
                <w:noProof/>
              </w:rPr>
            </w:pPr>
            <w:r>
              <w:rPr>
                <w:noProof/>
              </w:rPr>
              <w:t>(2) Ocena dokončanja projekta v zvezi s ključnimi metrikami uporabnosti (ocene digitalne uporabnosti) prek namenske platforme, ki je že na voljo.</w:t>
            </w:r>
          </w:p>
          <w:p w14:paraId="5FF26E6C" w14:textId="77777777" w:rsidR="00154E32" w:rsidRDefault="00A43E04">
            <w:pPr>
              <w:pStyle w:val="P68B1DB1-Normal11"/>
              <w:spacing w:after="120"/>
              <w:rPr>
                <w:noProof/>
              </w:rPr>
            </w:pPr>
            <w:r>
              <w:rPr>
                <w:noProof/>
              </w:rPr>
              <w:t>Občine morajo zagotoviti, da vse občine, ki prispevajo k cilju, upoštevajo model storitev skupnega oblikovanja za povprečno najmanj 3,5.</w:t>
            </w:r>
          </w:p>
        </w:tc>
      </w:tr>
      <w:tr w:rsidR="00154E32" w14:paraId="61EF54D4" w14:textId="77777777">
        <w:trPr>
          <w:trHeight w:val="309"/>
        </w:trPr>
        <w:tc>
          <w:tcPr>
            <w:tcW w:w="1284" w:type="dxa"/>
            <w:shd w:val="clear" w:color="auto" w:fill="C6EFCE"/>
            <w:noWrap/>
            <w:vAlign w:val="center"/>
          </w:tcPr>
          <w:p w14:paraId="274C6465" w14:textId="77777777" w:rsidR="00154E32" w:rsidRDefault="00A43E04">
            <w:pPr>
              <w:pStyle w:val="P68B1DB1-Normal11"/>
              <w:jc w:val="center"/>
              <w:rPr>
                <w:noProof/>
              </w:rPr>
            </w:pPr>
            <w:r>
              <w:rPr>
                <w:noProof/>
              </w:rPr>
              <w:t>M1C1–149</w:t>
            </w:r>
          </w:p>
        </w:tc>
        <w:tc>
          <w:tcPr>
            <w:tcW w:w="1746" w:type="dxa"/>
            <w:shd w:val="clear" w:color="auto" w:fill="C6EFCE"/>
            <w:noWrap/>
            <w:vAlign w:val="center"/>
          </w:tcPr>
          <w:p w14:paraId="38B4381B" w14:textId="77777777" w:rsidR="00154E32" w:rsidRDefault="00A43E04">
            <w:pPr>
              <w:pStyle w:val="P68B1DB1-Normal11"/>
              <w:jc w:val="center"/>
              <w:rPr>
                <w:noProof/>
              </w:rPr>
            </w:pPr>
            <w:r>
              <w:rPr>
                <w:noProof/>
              </w:rPr>
              <w:t>Naložba 1.4.3 – sprejetje razširitve storitev platforme PagoPA in aplikacije „IO“</w:t>
            </w:r>
          </w:p>
        </w:tc>
        <w:tc>
          <w:tcPr>
            <w:tcW w:w="992" w:type="dxa"/>
            <w:shd w:val="clear" w:color="auto" w:fill="C6EFCE"/>
            <w:noWrap/>
            <w:vAlign w:val="center"/>
          </w:tcPr>
          <w:p w14:paraId="74D92D3C"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4AA9574C" w14:textId="77777777" w:rsidR="00154E32" w:rsidRDefault="00A43E04">
            <w:pPr>
              <w:pStyle w:val="P68B1DB1-Normal11"/>
              <w:jc w:val="center"/>
              <w:rPr>
                <w:noProof/>
              </w:rPr>
            </w:pPr>
            <w:r>
              <w:rPr>
                <w:noProof/>
              </w:rPr>
              <w:t>Razširitev sprejetja storitev platforme PagoPA T2</w:t>
            </w:r>
          </w:p>
        </w:tc>
        <w:tc>
          <w:tcPr>
            <w:tcW w:w="1701" w:type="dxa"/>
            <w:shd w:val="clear" w:color="auto" w:fill="C6EFCE"/>
            <w:noWrap/>
            <w:vAlign w:val="center"/>
          </w:tcPr>
          <w:p w14:paraId="5D86EC3A"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1C21634F"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47EB994D" w14:textId="77777777" w:rsidR="00154E32" w:rsidRDefault="00A43E04">
            <w:pPr>
              <w:pStyle w:val="P68B1DB1-Normal11"/>
              <w:jc w:val="center"/>
              <w:rPr>
                <w:noProof/>
              </w:rPr>
            </w:pPr>
            <w:r>
              <w:rPr>
                <w:noProof/>
              </w:rPr>
              <w:t>11 450</w:t>
            </w:r>
          </w:p>
        </w:tc>
        <w:tc>
          <w:tcPr>
            <w:tcW w:w="1417" w:type="dxa"/>
            <w:shd w:val="clear" w:color="auto" w:fill="C6EFCE"/>
            <w:noWrap/>
            <w:vAlign w:val="center"/>
          </w:tcPr>
          <w:p w14:paraId="34650361" w14:textId="77777777" w:rsidR="00154E32" w:rsidRDefault="00A43E04">
            <w:pPr>
              <w:pStyle w:val="P68B1DB1-Normal11"/>
              <w:jc w:val="center"/>
              <w:rPr>
                <w:noProof/>
              </w:rPr>
            </w:pPr>
            <w:r>
              <w:rPr>
                <w:noProof/>
              </w:rPr>
              <w:t>14 100</w:t>
            </w:r>
          </w:p>
        </w:tc>
        <w:tc>
          <w:tcPr>
            <w:tcW w:w="793" w:type="dxa"/>
            <w:shd w:val="clear" w:color="auto" w:fill="C6EFCE"/>
            <w:noWrap/>
            <w:vAlign w:val="center"/>
          </w:tcPr>
          <w:p w14:paraId="223F6300" w14:textId="77777777" w:rsidR="00154E32" w:rsidRDefault="00A43E04">
            <w:pPr>
              <w:pStyle w:val="P68B1DB1-Normal11"/>
              <w:jc w:val="center"/>
              <w:rPr>
                <w:noProof/>
              </w:rPr>
            </w:pPr>
            <w:r>
              <w:rPr>
                <w:noProof/>
              </w:rPr>
              <w:t>Q2</w:t>
            </w:r>
          </w:p>
        </w:tc>
        <w:tc>
          <w:tcPr>
            <w:tcW w:w="625" w:type="dxa"/>
            <w:shd w:val="clear" w:color="auto" w:fill="C6EFCE"/>
            <w:noWrap/>
            <w:vAlign w:val="center"/>
          </w:tcPr>
          <w:p w14:paraId="74C5CAC4" w14:textId="77777777" w:rsidR="00154E32" w:rsidRDefault="00A43E04">
            <w:pPr>
              <w:pStyle w:val="P68B1DB1-Normal11"/>
              <w:jc w:val="center"/>
              <w:rPr>
                <w:noProof/>
              </w:rPr>
            </w:pPr>
            <w:r>
              <w:rPr>
                <w:noProof/>
              </w:rPr>
              <w:t>2026</w:t>
            </w:r>
          </w:p>
        </w:tc>
        <w:tc>
          <w:tcPr>
            <w:tcW w:w="2584" w:type="dxa"/>
            <w:shd w:val="clear" w:color="auto" w:fill="C6EFCE"/>
            <w:noWrap/>
            <w:vAlign w:val="center"/>
          </w:tcPr>
          <w:p w14:paraId="6300C440" w14:textId="77777777" w:rsidR="00154E32" w:rsidRDefault="00A43E04">
            <w:pPr>
              <w:pStyle w:val="P68B1DB1-Normal11"/>
              <w:spacing w:after="120"/>
              <w:rPr>
                <w:noProof/>
              </w:rPr>
            </w:pPr>
            <w:r>
              <w:rPr>
                <w:noProof/>
              </w:rPr>
              <w:t>Zagotoviti povečanje števila storitev, vključenih v platformo, za:</w:t>
            </w:r>
          </w:p>
          <w:p w14:paraId="2F75BF9D" w14:textId="77777777" w:rsidR="00154E32" w:rsidRDefault="00A43E04">
            <w:pPr>
              <w:pStyle w:val="P68B1DB1-Normal11"/>
              <w:spacing w:after="120"/>
              <w:rPr>
                <w:noProof/>
              </w:rPr>
            </w:pPr>
            <w:r>
              <w:rPr>
                <w:noProof/>
              </w:rPr>
              <w:t>— javne uprave, ki so se že pridružile platformi (11450 subjektov);</w:t>
            </w:r>
          </w:p>
          <w:p w14:paraId="5344C73F" w14:textId="77777777" w:rsidR="00154E32" w:rsidRDefault="00A43E04">
            <w:pPr>
              <w:pStyle w:val="P68B1DB1-Normal11"/>
              <w:spacing w:after="120"/>
              <w:rPr>
                <w:noProof/>
              </w:rPr>
            </w:pPr>
            <w:r>
              <w:rPr>
                <w:noProof/>
              </w:rPr>
              <w:t>— nove javne uprave, ki se pridružijo platformi (2650 novih subjektov).</w:t>
            </w:r>
          </w:p>
          <w:p w14:paraId="109C943B" w14:textId="77777777" w:rsidR="00154E32" w:rsidRDefault="00A43E04">
            <w:pPr>
              <w:pStyle w:val="P68B1DB1-Normal11"/>
              <w:spacing w:after="120"/>
              <w:rPr>
                <w:noProof/>
              </w:rPr>
            </w:pPr>
            <w:r>
              <w:rPr>
                <w:noProof/>
              </w:rPr>
              <w:t>Število storitev, ki jih je treba vključiti, je odvisno od vrste uprave (končni cilj je povprečno 35 storitev za občine, 15 storitev za regije, 15 storitev za zdravstvene organe, 8 storitev za šole in univerze).</w:t>
            </w:r>
          </w:p>
        </w:tc>
      </w:tr>
      <w:tr w:rsidR="00154E32" w14:paraId="5A3A7C45" w14:textId="77777777">
        <w:trPr>
          <w:trHeight w:val="309"/>
        </w:trPr>
        <w:tc>
          <w:tcPr>
            <w:tcW w:w="1284" w:type="dxa"/>
            <w:shd w:val="clear" w:color="auto" w:fill="C6EFCE"/>
            <w:noWrap/>
            <w:vAlign w:val="center"/>
          </w:tcPr>
          <w:p w14:paraId="3596281A" w14:textId="77777777" w:rsidR="00154E32" w:rsidRDefault="00A43E04">
            <w:pPr>
              <w:pStyle w:val="P68B1DB1-Normal11"/>
              <w:jc w:val="center"/>
              <w:rPr>
                <w:noProof/>
              </w:rPr>
            </w:pPr>
            <w:r>
              <w:rPr>
                <w:noProof/>
              </w:rPr>
              <w:t>M1C1–150</w:t>
            </w:r>
          </w:p>
        </w:tc>
        <w:tc>
          <w:tcPr>
            <w:tcW w:w="1746" w:type="dxa"/>
            <w:shd w:val="clear" w:color="auto" w:fill="C6EFCE"/>
            <w:noWrap/>
            <w:vAlign w:val="center"/>
          </w:tcPr>
          <w:p w14:paraId="5C8D342D" w14:textId="77777777" w:rsidR="00154E32" w:rsidRDefault="00A43E04">
            <w:pPr>
              <w:pStyle w:val="P68B1DB1-Normal11"/>
              <w:jc w:val="center"/>
              <w:rPr>
                <w:noProof/>
              </w:rPr>
            </w:pPr>
            <w:r>
              <w:rPr>
                <w:noProof/>
              </w:rPr>
              <w:t>Naložba 1.4.3 – sprejetje razširitve storitev platforme PagoPA in aplikacije „IO“</w:t>
            </w:r>
          </w:p>
        </w:tc>
        <w:tc>
          <w:tcPr>
            <w:tcW w:w="992" w:type="dxa"/>
            <w:shd w:val="clear" w:color="auto" w:fill="C6EFCE"/>
            <w:noWrap/>
            <w:vAlign w:val="center"/>
          </w:tcPr>
          <w:p w14:paraId="30178E2C"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12B5F013" w14:textId="77777777" w:rsidR="00154E32" w:rsidRDefault="00A43E04">
            <w:pPr>
              <w:pStyle w:val="P68B1DB1-Normal11"/>
              <w:jc w:val="center"/>
              <w:rPr>
                <w:noProof/>
              </w:rPr>
            </w:pPr>
            <w:r>
              <w:rPr>
                <w:noProof/>
              </w:rPr>
              <w:t>Povečanje sprejetja aplikacije T2 „IO“</w:t>
            </w:r>
          </w:p>
        </w:tc>
        <w:tc>
          <w:tcPr>
            <w:tcW w:w="1701" w:type="dxa"/>
            <w:shd w:val="clear" w:color="auto" w:fill="C6EFCE"/>
            <w:noWrap/>
            <w:vAlign w:val="center"/>
          </w:tcPr>
          <w:p w14:paraId="68C7C451"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52C35933"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2B41EA72" w14:textId="77777777" w:rsidR="00154E32" w:rsidRDefault="00A43E04">
            <w:pPr>
              <w:pStyle w:val="P68B1DB1-Normal11"/>
              <w:jc w:val="center"/>
              <w:rPr>
                <w:noProof/>
              </w:rPr>
            </w:pPr>
            <w:r>
              <w:rPr>
                <w:noProof/>
              </w:rPr>
              <w:t>7 000</w:t>
            </w:r>
          </w:p>
        </w:tc>
        <w:tc>
          <w:tcPr>
            <w:tcW w:w="1417" w:type="dxa"/>
            <w:shd w:val="clear" w:color="auto" w:fill="C6EFCE"/>
            <w:noWrap/>
            <w:vAlign w:val="center"/>
          </w:tcPr>
          <w:p w14:paraId="1ACBE6FE" w14:textId="77777777" w:rsidR="00154E32" w:rsidRDefault="00A43E04">
            <w:pPr>
              <w:pStyle w:val="P68B1DB1-Normal11"/>
              <w:jc w:val="center"/>
              <w:rPr>
                <w:noProof/>
              </w:rPr>
            </w:pPr>
            <w:r>
              <w:rPr>
                <w:noProof/>
              </w:rPr>
              <w:t>14 100</w:t>
            </w:r>
          </w:p>
        </w:tc>
        <w:tc>
          <w:tcPr>
            <w:tcW w:w="793" w:type="dxa"/>
            <w:shd w:val="clear" w:color="auto" w:fill="C6EFCE"/>
            <w:noWrap/>
            <w:vAlign w:val="center"/>
          </w:tcPr>
          <w:p w14:paraId="1B694E01" w14:textId="77777777" w:rsidR="00154E32" w:rsidRDefault="00A43E04">
            <w:pPr>
              <w:pStyle w:val="P68B1DB1-Normal11"/>
              <w:jc w:val="center"/>
              <w:rPr>
                <w:noProof/>
              </w:rPr>
            </w:pPr>
            <w:r>
              <w:rPr>
                <w:noProof/>
              </w:rPr>
              <w:t>Q2</w:t>
            </w:r>
          </w:p>
        </w:tc>
        <w:tc>
          <w:tcPr>
            <w:tcW w:w="625" w:type="dxa"/>
            <w:shd w:val="clear" w:color="auto" w:fill="C6EFCE"/>
            <w:noWrap/>
            <w:vAlign w:val="center"/>
          </w:tcPr>
          <w:p w14:paraId="31E24AE4" w14:textId="77777777" w:rsidR="00154E32" w:rsidRDefault="00A43E04">
            <w:pPr>
              <w:pStyle w:val="P68B1DB1-Normal11"/>
              <w:jc w:val="center"/>
              <w:rPr>
                <w:noProof/>
              </w:rPr>
            </w:pPr>
            <w:r>
              <w:rPr>
                <w:noProof/>
              </w:rPr>
              <w:t>2026</w:t>
            </w:r>
          </w:p>
        </w:tc>
        <w:tc>
          <w:tcPr>
            <w:tcW w:w="2584" w:type="dxa"/>
            <w:shd w:val="clear" w:color="auto" w:fill="C6EFCE"/>
            <w:noWrap/>
            <w:vAlign w:val="center"/>
          </w:tcPr>
          <w:p w14:paraId="515FCE17" w14:textId="77777777" w:rsidR="00154E32" w:rsidRDefault="00A43E04">
            <w:pPr>
              <w:pStyle w:val="P68B1DB1-Normal11"/>
              <w:spacing w:after="120"/>
              <w:rPr>
                <w:noProof/>
              </w:rPr>
            </w:pPr>
            <w:r>
              <w:rPr>
                <w:noProof/>
              </w:rPr>
              <w:t>Zagotoviti povečanje števila storitev, vključenih v „IO“, ki se potegujejo za:</w:t>
            </w:r>
          </w:p>
          <w:p w14:paraId="63722A36" w14:textId="77777777" w:rsidR="00154E32" w:rsidRDefault="00A43E04">
            <w:pPr>
              <w:pStyle w:val="P68B1DB1-Normal11"/>
              <w:spacing w:after="120"/>
              <w:rPr>
                <w:noProof/>
              </w:rPr>
            </w:pPr>
            <w:r>
              <w:rPr>
                <w:noProof/>
              </w:rPr>
              <w:t>— javne uprave, ki že uporabljajo IO (7000 subjektov);</w:t>
            </w:r>
          </w:p>
          <w:p w14:paraId="2DCA3C00" w14:textId="77777777" w:rsidR="00154E32" w:rsidRDefault="00A43E04">
            <w:pPr>
              <w:pStyle w:val="P68B1DB1-Normal11"/>
              <w:spacing w:after="120"/>
              <w:rPr>
                <w:noProof/>
              </w:rPr>
            </w:pPr>
            <w:r>
              <w:rPr>
                <w:noProof/>
              </w:rPr>
              <w:t>— nove javne uprave, ki se pridružijo platformi (približno 7100 novih subjektov).</w:t>
            </w:r>
          </w:p>
          <w:p w14:paraId="426C926F" w14:textId="77777777" w:rsidR="00154E32" w:rsidRDefault="00A43E04">
            <w:pPr>
              <w:pStyle w:val="P68B1DB1-Normal11"/>
              <w:spacing w:after="120"/>
              <w:rPr>
                <w:noProof/>
              </w:rPr>
            </w:pPr>
            <w:r>
              <w:rPr>
                <w:noProof/>
              </w:rPr>
              <w:t>Število storitev, ki jih je treba vključiti, je odvisno od vrste uprave (končni cilj je povprečno 35 storitev za občine, 15 storitev za regije, 15 storitev za zdravstvene organe, 8 storitev za šole in univerze).</w:t>
            </w:r>
          </w:p>
        </w:tc>
      </w:tr>
      <w:tr w:rsidR="00154E32" w14:paraId="7D7B3BBF" w14:textId="77777777">
        <w:trPr>
          <w:trHeight w:val="309"/>
        </w:trPr>
        <w:tc>
          <w:tcPr>
            <w:tcW w:w="1284" w:type="dxa"/>
            <w:shd w:val="clear" w:color="auto" w:fill="C6EFCE"/>
            <w:noWrap/>
            <w:vAlign w:val="center"/>
          </w:tcPr>
          <w:p w14:paraId="10BE5C01" w14:textId="77777777" w:rsidR="00154E32" w:rsidRDefault="00A43E04">
            <w:pPr>
              <w:pStyle w:val="P68B1DB1-Normal11"/>
              <w:jc w:val="center"/>
              <w:rPr>
                <w:noProof/>
              </w:rPr>
            </w:pPr>
            <w:r>
              <w:rPr>
                <w:noProof/>
              </w:rPr>
              <w:t>M1C1–151</w:t>
            </w:r>
          </w:p>
        </w:tc>
        <w:tc>
          <w:tcPr>
            <w:tcW w:w="1746" w:type="dxa"/>
            <w:shd w:val="clear" w:color="auto" w:fill="C6EFCE"/>
            <w:noWrap/>
            <w:vAlign w:val="center"/>
          </w:tcPr>
          <w:p w14:paraId="71DC4C48" w14:textId="77777777" w:rsidR="00154E32" w:rsidRDefault="00A43E04">
            <w:pPr>
              <w:pStyle w:val="P68B1DB1-Normal11"/>
              <w:jc w:val="center"/>
              <w:rPr>
                <w:noProof/>
              </w:rPr>
            </w:pPr>
            <w:r>
              <w:rPr>
                <w:noProof/>
              </w:rPr>
              <w:t>Naložba 1.4.5 – Digitalizacija javnih obvestil</w:t>
            </w:r>
          </w:p>
        </w:tc>
        <w:tc>
          <w:tcPr>
            <w:tcW w:w="992" w:type="dxa"/>
            <w:shd w:val="clear" w:color="auto" w:fill="C6EFCE"/>
            <w:noWrap/>
            <w:vAlign w:val="center"/>
          </w:tcPr>
          <w:p w14:paraId="2B674FA8"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3567B048" w14:textId="77777777" w:rsidR="00154E32" w:rsidRDefault="00A43E04">
            <w:pPr>
              <w:pStyle w:val="P68B1DB1-Normal11"/>
              <w:jc w:val="center"/>
              <w:rPr>
                <w:noProof/>
              </w:rPr>
            </w:pPr>
            <w:r>
              <w:rPr>
                <w:noProof/>
              </w:rPr>
              <w:t>Povečanje sprejetja digitalnih javnih obvestil T2</w:t>
            </w:r>
          </w:p>
        </w:tc>
        <w:tc>
          <w:tcPr>
            <w:tcW w:w="1701" w:type="dxa"/>
            <w:shd w:val="clear" w:color="auto" w:fill="C6EFCE"/>
            <w:noWrap/>
            <w:vAlign w:val="center"/>
          </w:tcPr>
          <w:p w14:paraId="65E2823C"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3DAB2DF6"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6B0EFB00" w14:textId="77777777" w:rsidR="00154E32" w:rsidRDefault="00A43E04">
            <w:pPr>
              <w:pStyle w:val="P68B1DB1-Normal11"/>
              <w:jc w:val="center"/>
              <w:rPr>
                <w:noProof/>
              </w:rPr>
            </w:pPr>
            <w:r>
              <w:rPr>
                <w:noProof/>
              </w:rPr>
              <w:t>800</w:t>
            </w:r>
          </w:p>
        </w:tc>
        <w:tc>
          <w:tcPr>
            <w:tcW w:w="1417" w:type="dxa"/>
            <w:shd w:val="clear" w:color="auto" w:fill="C6EFCE"/>
            <w:noWrap/>
            <w:vAlign w:val="center"/>
          </w:tcPr>
          <w:p w14:paraId="38C01787" w14:textId="77777777" w:rsidR="00154E32" w:rsidRDefault="00A43E04">
            <w:pPr>
              <w:pStyle w:val="P68B1DB1-Normal11"/>
              <w:jc w:val="center"/>
              <w:rPr>
                <w:noProof/>
              </w:rPr>
            </w:pPr>
            <w:r>
              <w:rPr>
                <w:noProof/>
              </w:rPr>
              <w:t>6 400</w:t>
            </w:r>
          </w:p>
        </w:tc>
        <w:tc>
          <w:tcPr>
            <w:tcW w:w="793" w:type="dxa"/>
            <w:shd w:val="clear" w:color="auto" w:fill="C6EFCE"/>
            <w:noWrap/>
            <w:vAlign w:val="center"/>
          </w:tcPr>
          <w:p w14:paraId="3C535881" w14:textId="77777777" w:rsidR="00154E32" w:rsidRDefault="00A43E04">
            <w:pPr>
              <w:pStyle w:val="P68B1DB1-Normal11"/>
              <w:jc w:val="center"/>
              <w:rPr>
                <w:noProof/>
              </w:rPr>
            </w:pPr>
            <w:r>
              <w:rPr>
                <w:noProof/>
              </w:rPr>
              <w:t>Q2</w:t>
            </w:r>
          </w:p>
        </w:tc>
        <w:tc>
          <w:tcPr>
            <w:tcW w:w="625" w:type="dxa"/>
            <w:shd w:val="clear" w:color="auto" w:fill="C6EFCE"/>
            <w:noWrap/>
            <w:vAlign w:val="center"/>
          </w:tcPr>
          <w:p w14:paraId="64772B1F" w14:textId="77777777" w:rsidR="00154E32" w:rsidRDefault="00A43E04">
            <w:pPr>
              <w:pStyle w:val="P68B1DB1-Normal11"/>
              <w:jc w:val="center"/>
              <w:rPr>
                <w:noProof/>
              </w:rPr>
            </w:pPr>
            <w:r>
              <w:rPr>
                <w:noProof/>
              </w:rPr>
              <w:t>2026</w:t>
            </w:r>
          </w:p>
        </w:tc>
        <w:tc>
          <w:tcPr>
            <w:tcW w:w="2584" w:type="dxa"/>
            <w:shd w:val="clear" w:color="auto" w:fill="C6EFCE"/>
            <w:noWrap/>
            <w:vAlign w:val="center"/>
          </w:tcPr>
          <w:p w14:paraId="4ABE316F" w14:textId="77777777" w:rsidR="00154E32" w:rsidRDefault="00A43E04">
            <w:pPr>
              <w:pStyle w:val="P68B1DB1-Normal11"/>
              <w:spacing w:after="120"/>
              <w:rPr>
                <w:noProof/>
              </w:rPr>
            </w:pPr>
            <w:r>
              <w:rPr>
                <w:noProof/>
              </w:rPr>
              <w:t>Vsaj 6400 osrednjih javnih uprav in občin v zvezi s platformo za digitalno obveščanje (DNP) zagotavlja digitalna pravno zavezujoča obvestila državljanom, pravnim subjektom, združenjem in drugim javnim ali zasebnim subjektom.</w:t>
            </w:r>
          </w:p>
        </w:tc>
      </w:tr>
      <w:tr w:rsidR="00154E32" w14:paraId="53515213" w14:textId="77777777">
        <w:trPr>
          <w:trHeight w:val="309"/>
        </w:trPr>
        <w:tc>
          <w:tcPr>
            <w:tcW w:w="1284" w:type="dxa"/>
            <w:shd w:val="clear" w:color="auto" w:fill="C6EFCE"/>
            <w:noWrap/>
            <w:vAlign w:val="center"/>
            <w:hideMark/>
          </w:tcPr>
          <w:p w14:paraId="7BB01913" w14:textId="77777777" w:rsidR="00154E32" w:rsidRDefault="00A43E04">
            <w:pPr>
              <w:pStyle w:val="P68B1DB1-Normal11"/>
              <w:jc w:val="center"/>
              <w:rPr>
                <w:noProof/>
              </w:rPr>
            </w:pPr>
            <w:r>
              <w:rPr>
                <w:noProof/>
              </w:rPr>
              <w:t>M1C1–152</w:t>
            </w:r>
          </w:p>
        </w:tc>
        <w:tc>
          <w:tcPr>
            <w:tcW w:w="1746" w:type="dxa"/>
            <w:shd w:val="clear" w:color="auto" w:fill="C6EFCE"/>
            <w:noWrap/>
            <w:vAlign w:val="center"/>
            <w:hideMark/>
          </w:tcPr>
          <w:p w14:paraId="2DBEF680" w14:textId="77777777" w:rsidR="00154E32" w:rsidRDefault="00A43E04">
            <w:pPr>
              <w:pStyle w:val="P68B1DB1-Normal11"/>
              <w:jc w:val="center"/>
              <w:rPr>
                <w:noProof/>
              </w:rPr>
            </w:pPr>
            <w:r>
              <w:rPr>
                <w:noProof/>
              </w:rPr>
              <w:t>Naložba 1.6.1 – Digitalizacija ministrstva za notranje zadeve</w:t>
            </w:r>
          </w:p>
        </w:tc>
        <w:tc>
          <w:tcPr>
            <w:tcW w:w="992" w:type="dxa"/>
            <w:shd w:val="clear" w:color="auto" w:fill="C6EFCE"/>
            <w:noWrap/>
            <w:vAlign w:val="center"/>
            <w:hideMark/>
          </w:tcPr>
          <w:p w14:paraId="12034513" w14:textId="77777777" w:rsidR="00154E32" w:rsidRDefault="00A43E04">
            <w:pPr>
              <w:pStyle w:val="P68B1DB1-Normal11"/>
              <w:jc w:val="center"/>
              <w:rPr>
                <w:noProof/>
              </w:rPr>
            </w:pPr>
            <w:r>
              <w:rPr>
                <w:noProof/>
              </w:rPr>
              <w:t>Tarča</w:t>
            </w:r>
          </w:p>
        </w:tc>
        <w:tc>
          <w:tcPr>
            <w:tcW w:w="2126" w:type="dxa"/>
            <w:shd w:val="clear" w:color="auto" w:fill="C6EFCE"/>
            <w:noWrap/>
            <w:vAlign w:val="center"/>
            <w:hideMark/>
          </w:tcPr>
          <w:p w14:paraId="227DA2B3" w14:textId="77777777" w:rsidR="00154E32" w:rsidRDefault="00A43E04">
            <w:pPr>
              <w:pStyle w:val="P68B1DB1-Normal11"/>
              <w:jc w:val="center"/>
              <w:rPr>
                <w:noProof/>
              </w:rPr>
            </w:pPr>
            <w:r>
              <w:rPr>
                <w:noProof/>
              </w:rPr>
              <w:t>Ministrstvo za notranje zadeve – popolnoma preoblikovani in digitalizirani postopki T2</w:t>
            </w:r>
          </w:p>
        </w:tc>
        <w:tc>
          <w:tcPr>
            <w:tcW w:w="1701" w:type="dxa"/>
            <w:shd w:val="clear" w:color="auto" w:fill="C6EFCE"/>
            <w:noWrap/>
            <w:vAlign w:val="center"/>
            <w:hideMark/>
          </w:tcPr>
          <w:p w14:paraId="48D77ABA" w14:textId="77777777" w:rsidR="00154E32" w:rsidRDefault="00A43E04">
            <w:pPr>
              <w:pStyle w:val="P68B1DB1-Normal11"/>
              <w:jc w:val="center"/>
              <w:rPr>
                <w:noProof/>
              </w:rPr>
            </w:pPr>
            <w:r>
              <w:rPr>
                <w:noProof/>
              </w:rPr>
              <w:t>JIH NI</w:t>
            </w:r>
          </w:p>
        </w:tc>
        <w:tc>
          <w:tcPr>
            <w:tcW w:w="1134" w:type="dxa"/>
            <w:shd w:val="clear" w:color="auto" w:fill="C6EFCE"/>
            <w:noWrap/>
            <w:vAlign w:val="center"/>
            <w:hideMark/>
          </w:tcPr>
          <w:p w14:paraId="0D8C1946" w14:textId="77777777" w:rsidR="00154E32" w:rsidRDefault="00A43E04">
            <w:pPr>
              <w:pStyle w:val="P68B1DB1-Normal11"/>
              <w:jc w:val="center"/>
              <w:rPr>
                <w:noProof/>
              </w:rPr>
            </w:pPr>
            <w:r>
              <w:rPr>
                <w:noProof/>
              </w:rPr>
              <w:t>Število</w:t>
            </w:r>
          </w:p>
        </w:tc>
        <w:tc>
          <w:tcPr>
            <w:tcW w:w="1276" w:type="dxa"/>
            <w:shd w:val="clear" w:color="auto" w:fill="C6EFCE"/>
            <w:noWrap/>
            <w:vAlign w:val="center"/>
            <w:hideMark/>
          </w:tcPr>
          <w:p w14:paraId="52B254E4" w14:textId="77777777" w:rsidR="00154E32" w:rsidRDefault="00A43E04">
            <w:pPr>
              <w:pStyle w:val="P68B1DB1-Normal11"/>
              <w:jc w:val="center"/>
              <w:rPr>
                <w:noProof/>
              </w:rPr>
            </w:pPr>
            <w:r>
              <w:rPr>
                <w:noProof/>
              </w:rPr>
              <w:t>7</w:t>
            </w:r>
          </w:p>
        </w:tc>
        <w:tc>
          <w:tcPr>
            <w:tcW w:w="1417" w:type="dxa"/>
            <w:shd w:val="clear" w:color="auto" w:fill="C6EFCE"/>
            <w:noWrap/>
            <w:vAlign w:val="center"/>
            <w:hideMark/>
          </w:tcPr>
          <w:p w14:paraId="1E6F8D17" w14:textId="77777777" w:rsidR="00154E32" w:rsidRDefault="00A43E04">
            <w:pPr>
              <w:pStyle w:val="P68B1DB1-Normal11"/>
              <w:jc w:val="center"/>
              <w:rPr>
                <w:noProof/>
              </w:rPr>
            </w:pPr>
            <w:r>
              <w:rPr>
                <w:noProof/>
              </w:rPr>
              <w:t>45</w:t>
            </w:r>
          </w:p>
        </w:tc>
        <w:tc>
          <w:tcPr>
            <w:tcW w:w="793" w:type="dxa"/>
            <w:shd w:val="clear" w:color="auto" w:fill="C6EFCE"/>
            <w:noWrap/>
            <w:vAlign w:val="center"/>
            <w:hideMark/>
          </w:tcPr>
          <w:p w14:paraId="3884722A" w14:textId="77777777" w:rsidR="00154E32" w:rsidRDefault="00A43E04">
            <w:pPr>
              <w:pStyle w:val="P68B1DB1-Normal11"/>
              <w:jc w:val="center"/>
              <w:rPr>
                <w:noProof/>
              </w:rPr>
            </w:pPr>
            <w:r>
              <w:rPr>
                <w:noProof/>
              </w:rPr>
              <w:t>Q2</w:t>
            </w:r>
          </w:p>
        </w:tc>
        <w:tc>
          <w:tcPr>
            <w:tcW w:w="625" w:type="dxa"/>
            <w:shd w:val="clear" w:color="auto" w:fill="C6EFCE"/>
            <w:noWrap/>
            <w:vAlign w:val="center"/>
            <w:hideMark/>
          </w:tcPr>
          <w:p w14:paraId="4C1C81AF" w14:textId="77777777" w:rsidR="00154E32" w:rsidRDefault="00A43E04">
            <w:pPr>
              <w:pStyle w:val="P68B1DB1-Normal11"/>
              <w:jc w:val="center"/>
              <w:rPr>
                <w:noProof/>
              </w:rPr>
            </w:pPr>
            <w:r>
              <w:rPr>
                <w:noProof/>
              </w:rPr>
              <w:t>2026</w:t>
            </w:r>
          </w:p>
        </w:tc>
        <w:tc>
          <w:tcPr>
            <w:tcW w:w="2584" w:type="dxa"/>
            <w:shd w:val="clear" w:color="auto" w:fill="C6EFCE"/>
            <w:noWrap/>
            <w:vAlign w:val="center"/>
            <w:hideMark/>
          </w:tcPr>
          <w:p w14:paraId="7CA7FAE6" w14:textId="77777777" w:rsidR="00154E32" w:rsidRDefault="00A43E04">
            <w:pPr>
              <w:pStyle w:val="P68B1DB1-Normal11"/>
              <w:spacing w:after="120"/>
              <w:rPr>
                <w:noProof/>
              </w:rPr>
            </w:pPr>
            <w:r>
              <w:rPr>
                <w:noProof/>
              </w:rPr>
              <w:t>Notranji postopki in procesi so v celoti preoblikovani (skupaj 45 procesov do 31. avgusta 2026) in jih je mogoče v celoti dokončati prek spleta (kot so pisarniška avtomatizacija, storitve mobilnosti in e-učenje).</w:t>
            </w:r>
          </w:p>
        </w:tc>
      </w:tr>
      <w:tr w:rsidR="00154E32" w14:paraId="594C6B5C" w14:textId="77777777">
        <w:trPr>
          <w:trHeight w:val="309"/>
        </w:trPr>
        <w:tc>
          <w:tcPr>
            <w:tcW w:w="1284" w:type="dxa"/>
            <w:shd w:val="clear" w:color="auto" w:fill="C6EFCE"/>
            <w:noWrap/>
            <w:vAlign w:val="center"/>
            <w:hideMark/>
          </w:tcPr>
          <w:p w14:paraId="71C67AF1" w14:textId="77777777" w:rsidR="00154E32" w:rsidRDefault="00A43E04">
            <w:pPr>
              <w:pStyle w:val="P68B1DB1-Normal11"/>
              <w:jc w:val="center"/>
              <w:rPr>
                <w:noProof/>
              </w:rPr>
            </w:pPr>
            <w:r>
              <w:rPr>
                <w:noProof/>
              </w:rPr>
              <w:t>M1C1–153</w:t>
            </w:r>
          </w:p>
        </w:tc>
        <w:tc>
          <w:tcPr>
            <w:tcW w:w="1746" w:type="dxa"/>
            <w:shd w:val="clear" w:color="auto" w:fill="C6EFCE"/>
            <w:noWrap/>
            <w:vAlign w:val="center"/>
            <w:hideMark/>
          </w:tcPr>
          <w:p w14:paraId="666759CC" w14:textId="77777777" w:rsidR="00154E32" w:rsidRDefault="00A43E04">
            <w:pPr>
              <w:pStyle w:val="P68B1DB1-Normal11"/>
              <w:jc w:val="center"/>
              <w:rPr>
                <w:noProof/>
              </w:rPr>
            </w:pPr>
            <w:r>
              <w:rPr>
                <w:noProof/>
              </w:rPr>
              <w:t>Naložba 1.6.2 – Digitizacija ministrstva za pravosodje</w:t>
            </w:r>
          </w:p>
        </w:tc>
        <w:tc>
          <w:tcPr>
            <w:tcW w:w="992" w:type="dxa"/>
            <w:shd w:val="clear" w:color="auto" w:fill="C6EFCE"/>
            <w:noWrap/>
            <w:vAlign w:val="center"/>
            <w:hideMark/>
          </w:tcPr>
          <w:p w14:paraId="25ECD6D4" w14:textId="77777777" w:rsidR="00154E32" w:rsidRDefault="00A43E04">
            <w:pPr>
              <w:pStyle w:val="P68B1DB1-Normal11"/>
              <w:jc w:val="center"/>
              <w:rPr>
                <w:noProof/>
              </w:rPr>
            </w:pPr>
            <w:r>
              <w:rPr>
                <w:noProof/>
              </w:rPr>
              <w:t>Tarča</w:t>
            </w:r>
          </w:p>
        </w:tc>
        <w:tc>
          <w:tcPr>
            <w:tcW w:w="2126" w:type="dxa"/>
            <w:shd w:val="clear" w:color="auto" w:fill="C6EFCE"/>
            <w:noWrap/>
            <w:vAlign w:val="center"/>
            <w:hideMark/>
          </w:tcPr>
          <w:p w14:paraId="09FA5631" w14:textId="77777777" w:rsidR="00154E32" w:rsidRDefault="00A43E04">
            <w:pPr>
              <w:pStyle w:val="P68B1DB1-Normal11"/>
              <w:jc w:val="center"/>
              <w:rPr>
                <w:noProof/>
              </w:rPr>
            </w:pPr>
            <w:r>
              <w:rPr>
                <w:noProof/>
              </w:rPr>
              <w:t>Digitalizirani sodni spisi T2</w:t>
            </w:r>
          </w:p>
        </w:tc>
        <w:tc>
          <w:tcPr>
            <w:tcW w:w="1701" w:type="dxa"/>
            <w:shd w:val="clear" w:color="auto" w:fill="C6EFCE"/>
            <w:noWrap/>
            <w:vAlign w:val="center"/>
            <w:hideMark/>
          </w:tcPr>
          <w:p w14:paraId="63C93ABD" w14:textId="77777777" w:rsidR="00154E32" w:rsidRDefault="00A43E04">
            <w:pPr>
              <w:pStyle w:val="P68B1DB1-Normal11"/>
              <w:jc w:val="center"/>
              <w:rPr>
                <w:noProof/>
              </w:rPr>
            </w:pPr>
            <w:r>
              <w:rPr>
                <w:noProof/>
              </w:rPr>
              <w:t>JIH NI</w:t>
            </w:r>
          </w:p>
        </w:tc>
        <w:tc>
          <w:tcPr>
            <w:tcW w:w="1134" w:type="dxa"/>
            <w:shd w:val="clear" w:color="auto" w:fill="C6EFCE"/>
            <w:noWrap/>
            <w:vAlign w:val="center"/>
            <w:hideMark/>
          </w:tcPr>
          <w:p w14:paraId="39DF538E" w14:textId="77777777" w:rsidR="00154E32" w:rsidRDefault="00A43E04">
            <w:pPr>
              <w:pStyle w:val="P68B1DB1-Normal11"/>
              <w:jc w:val="center"/>
              <w:rPr>
                <w:noProof/>
              </w:rPr>
            </w:pPr>
            <w:r>
              <w:rPr>
                <w:noProof/>
              </w:rPr>
              <w:t>Število</w:t>
            </w:r>
          </w:p>
        </w:tc>
        <w:tc>
          <w:tcPr>
            <w:tcW w:w="1276" w:type="dxa"/>
            <w:shd w:val="clear" w:color="auto" w:fill="C6EFCE"/>
            <w:noWrap/>
            <w:vAlign w:val="center"/>
            <w:hideMark/>
          </w:tcPr>
          <w:p w14:paraId="479541D5" w14:textId="77777777" w:rsidR="00154E32" w:rsidRDefault="00A43E04">
            <w:pPr>
              <w:pStyle w:val="P68B1DB1-Normal11"/>
              <w:jc w:val="center"/>
              <w:rPr>
                <w:noProof/>
              </w:rPr>
            </w:pPr>
            <w:r>
              <w:rPr>
                <w:noProof/>
              </w:rPr>
              <w:t>3 500 000</w:t>
            </w:r>
          </w:p>
        </w:tc>
        <w:tc>
          <w:tcPr>
            <w:tcW w:w="1417" w:type="dxa"/>
            <w:shd w:val="clear" w:color="auto" w:fill="C6EFCE"/>
            <w:noWrap/>
            <w:vAlign w:val="center"/>
            <w:hideMark/>
          </w:tcPr>
          <w:p w14:paraId="08483BE4" w14:textId="26F3D5ED" w:rsidR="00154E32" w:rsidRDefault="00A43E04">
            <w:pPr>
              <w:pStyle w:val="P68B1DB1-Normal11"/>
              <w:jc w:val="center"/>
              <w:rPr>
                <w:noProof/>
              </w:rPr>
            </w:pPr>
            <w:r>
              <w:rPr>
                <w:noProof/>
              </w:rPr>
              <w:t>7 750 000</w:t>
            </w:r>
          </w:p>
        </w:tc>
        <w:tc>
          <w:tcPr>
            <w:tcW w:w="793" w:type="dxa"/>
            <w:shd w:val="clear" w:color="auto" w:fill="C6EFCE"/>
            <w:noWrap/>
            <w:vAlign w:val="center"/>
            <w:hideMark/>
          </w:tcPr>
          <w:p w14:paraId="562E4237" w14:textId="77777777" w:rsidR="00154E32" w:rsidRDefault="00A43E04">
            <w:pPr>
              <w:pStyle w:val="P68B1DB1-Normal11"/>
              <w:jc w:val="center"/>
              <w:rPr>
                <w:noProof/>
              </w:rPr>
            </w:pPr>
            <w:r>
              <w:rPr>
                <w:noProof/>
              </w:rPr>
              <w:t>Q2</w:t>
            </w:r>
          </w:p>
        </w:tc>
        <w:tc>
          <w:tcPr>
            <w:tcW w:w="625" w:type="dxa"/>
            <w:shd w:val="clear" w:color="auto" w:fill="C6EFCE"/>
            <w:noWrap/>
            <w:vAlign w:val="center"/>
            <w:hideMark/>
          </w:tcPr>
          <w:p w14:paraId="47AF2524" w14:textId="77777777" w:rsidR="00154E32" w:rsidRDefault="00A43E04">
            <w:pPr>
              <w:pStyle w:val="P68B1DB1-Normal11"/>
              <w:jc w:val="center"/>
              <w:rPr>
                <w:noProof/>
              </w:rPr>
            </w:pPr>
            <w:r>
              <w:rPr>
                <w:noProof/>
              </w:rPr>
              <w:t>2026</w:t>
            </w:r>
          </w:p>
        </w:tc>
        <w:tc>
          <w:tcPr>
            <w:tcW w:w="2584" w:type="dxa"/>
            <w:shd w:val="clear" w:color="auto" w:fill="C6EFCE"/>
            <w:noWrap/>
            <w:vAlign w:val="center"/>
            <w:hideMark/>
          </w:tcPr>
          <w:p w14:paraId="2530B996" w14:textId="26D5C103" w:rsidR="00154E32" w:rsidRDefault="00A43E04">
            <w:pPr>
              <w:pStyle w:val="P68B1DB1-Normal12"/>
              <w:spacing w:after="120"/>
              <w:rPr>
                <w:rFonts w:ascii="Arial Narrow" w:hAnsi="Arial Narrow"/>
                <w:noProof/>
              </w:rPr>
            </w:pPr>
            <w:r>
              <w:rPr>
                <w:rFonts w:ascii="Arial Narrow" w:hAnsi="Arial Narrow"/>
                <w:noProof/>
              </w:rPr>
              <w:t>Digitalizacija 7750000 sodnih</w:t>
            </w:r>
            <w:r>
              <w:rPr>
                <w:noProof/>
              </w:rPr>
              <w:t xml:space="preserve">  </w:t>
            </w:r>
            <w:r>
              <w:rPr>
                <w:rFonts w:ascii="Arial Narrow" w:hAnsi="Arial Narrow"/>
                <w:noProof/>
              </w:rPr>
              <w:t>spisov iz zadnjih 20 let (01/01/2006–30/06/2026) v zvezi z zaključenimi ali tekočimi sodnimi postopki na sodiščih.</w:t>
            </w:r>
          </w:p>
        </w:tc>
      </w:tr>
      <w:tr w:rsidR="00154E32" w14:paraId="74DD238B" w14:textId="77777777">
        <w:trPr>
          <w:trHeight w:val="309"/>
        </w:trPr>
        <w:tc>
          <w:tcPr>
            <w:tcW w:w="1284" w:type="dxa"/>
            <w:shd w:val="clear" w:color="auto" w:fill="C6EFCE"/>
            <w:noWrap/>
            <w:vAlign w:val="center"/>
          </w:tcPr>
          <w:p w14:paraId="63BF8747" w14:textId="77777777" w:rsidR="00154E32" w:rsidRDefault="00A43E04">
            <w:pPr>
              <w:pStyle w:val="P68B1DB1-Normal11"/>
              <w:jc w:val="center"/>
              <w:rPr>
                <w:noProof/>
              </w:rPr>
            </w:pPr>
            <w:r>
              <w:rPr>
                <w:noProof/>
              </w:rPr>
              <w:t>M1C1–154</w:t>
            </w:r>
          </w:p>
        </w:tc>
        <w:tc>
          <w:tcPr>
            <w:tcW w:w="1746" w:type="dxa"/>
            <w:shd w:val="clear" w:color="auto" w:fill="C6EFCE"/>
            <w:noWrap/>
            <w:vAlign w:val="center"/>
          </w:tcPr>
          <w:p w14:paraId="45B5AD59" w14:textId="77777777" w:rsidR="00154E32" w:rsidRDefault="00A43E04">
            <w:pPr>
              <w:pStyle w:val="P68B1DB1-Normal11"/>
              <w:jc w:val="center"/>
              <w:rPr>
                <w:noProof/>
              </w:rPr>
            </w:pPr>
            <w:r>
              <w:rPr>
                <w:noProof/>
              </w:rPr>
              <w:t>Naložba 1.6.2 – Digitizacija ministrstva za pravosodje</w:t>
            </w:r>
          </w:p>
        </w:tc>
        <w:tc>
          <w:tcPr>
            <w:tcW w:w="992" w:type="dxa"/>
            <w:shd w:val="clear" w:color="auto" w:fill="C6EFCE"/>
            <w:noWrap/>
            <w:vAlign w:val="center"/>
          </w:tcPr>
          <w:p w14:paraId="65C80127"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44E11C7E" w14:textId="77777777" w:rsidR="00154E32" w:rsidRDefault="00A43E04">
            <w:pPr>
              <w:pStyle w:val="P68B1DB1-Normal11"/>
              <w:jc w:val="center"/>
              <w:rPr>
                <w:noProof/>
              </w:rPr>
            </w:pPr>
            <w:r>
              <w:rPr>
                <w:noProof/>
              </w:rPr>
              <w:t>Sistemi znanja o pravosodnem jezeru T2</w:t>
            </w:r>
          </w:p>
        </w:tc>
        <w:tc>
          <w:tcPr>
            <w:tcW w:w="1701" w:type="dxa"/>
            <w:shd w:val="clear" w:color="auto" w:fill="C6EFCE"/>
            <w:noWrap/>
            <w:vAlign w:val="center"/>
          </w:tcPr>
          <w:p w14:paraId="0B0EFA20"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589E43C3"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4A9A7B23" w14:textId="77777777" w:rsidR="00154E32" w:rsidRDefault="00A43E04">
            <w:pPr>
              <w:pStyle w:val="P68B1DB1-Normal11"/>
              <w:jc w:val="center"/>
              <w:rPr>
                <w:noProof/>
              </w:rPr>
            </w:pPr>
            <w:r>
              <w:rPr>
                <w:noProof/>
              </w:rPr>
              <w:t>0</w:t>
            </w:r>
          </w:p>
        </w:tc>
        <w:tc>
          <w:tcPr>
            <w:tcW w:w="1417" w:type="dxa"/>
            <w:shd w:val="clear" w:color="auto" w:fill="C6EFCE"/>
            <w:noWrap/>
            <w:vAlign w:val="center"/>
          </w:tcPr>
          <w:p w14:paraId="2372CBC0" w14:textId="77777777" w:rsidR="00154E32" w:rsidRDefault="00A43E04">
            <w:pPr>
              <w:pStyle w:val="P68B1DB1-Normal11"/>
              <w:jc w:val="center"/>
              <w:rPr>
                <w:noProof/>
              </w:rPr>
            </w:pPr>
            <w:r>
              <w:rPr>
                <w:noProof/>
              </w:rPr>
              <w:t>6</w:t>
            </w:r>
          </w:p>
        </w:tc>
        <w:tc>
          <w:tcPr>
            <w:tcW w:w="793" w:type="dxa"/>
            <w:shd w:val="clear" w:color="auto" w:fill="C6EFCE"/>
            <w:noWrap/>
            <w:vAlign w:val="center"/>
          </w:tcPr>
          <w:p w14:paraId="05FF5D05" w14:textId="77777777" w:rsidR="00154E32" w:rsidRDefault="00A43E04">
            <w:pPr>
              <w:pStyle w:val="P68B1DB1-Normal11"/>
              <w:jc w:val="center"/>
              <w:rPr>
                <w:noProof/>
              </w:rPr>
            </w:pPr>
            <w:r>
              <w:rPr>
                <w:noProof/>
              </w:rPr>
              <w:t>Q2</w:t>
            </w:r>
          </w:p>
        </w:tc>
        <w:tc>
          <w:tcPr>
            <w:tcW w:w="625" w:type="dxa"/>
            <w:shd w:val="clear" w:color="auto" w:fill="C6EFCE"/>
            <w:noWrap/>
            <w:vAlign w:val="center"/>
          </w:tcPr>
          <w:p w14:paraId="30A03B3F" w14:textId="77777777" w:rsidR="00154E32" w:rsidRDefault="00A43E04">
            <w:pPr>
              <w:pStyle w:val="P68B1DB1-Normal11"/>
              <w:jc w:val="center"/>
              <w:rPr>
                <w:noProof/>
              </w:rPr>
            </w:pPr>
            <w:r>
              <w:rPr>
                <w:noProof/>
              </w:rPr>
              <w:t>2026</w:t>
            </w:r>
          </w:p>
        </w:tc>
        <w:tc>
          <w:tcPr>
            <w:tcW w:w="2584" w:type="dxa"/>
            <w:shd w:val="clear" w:color="auto" w:fill="C6EFCE"/>
            <w:noWrap/>
            <w:vAlign w:val="center"/>
          </w:tcPr>
          <w:p w14:paraId="0E0D9CBB" w14:textId="77777777" w:rsidR="00154E32" w:rsidRDefault="00A43E04">
            <w:pPr>
              <w:pStyle w:val="P68B1DB1-Normal11"/>
              <w:spacing w:after="120"/>
              <w:rPr>
                <w:noProof/>
              </w:rPr>
            </w:pPr>
            <w:r>
              <w:rPr>
                <w:noProof/>
              </w:rPr>
              <w:t>Izvajanje šestih novih sistemov znanja o podatkovnih jezerih.</w:t>
            </w:r>
          </w:p>
          <w:p w14:paraId="3B42784B" w14:textId="77777777" w:rsidR="00154E32" w:rsidRDefault="00A43E04">
            <w:pPr>
              <w:pStyle w:val="P68B1DB1-ListParagraph13"/>
              <w:numPr>
                <w:ilvl w:val="0"/>
                <w:numId w:val="81"/>
              </w:numPr>
              <w:spacing w:before="0" w:after="0"/>
              <w:ind w:left="357" w:hanging="357"/>
              <w:contextualSpacing w:val="0"/>
              <w:jc w:val="left"/>
              <w:rPr>
                <w:noProof/>
              </w:rPr>
            </w:pPr>
            <w:r>
              <w:rPr>
                <w:noProof/>
              </w:rPr>
              <w:t>Sistem anonimizacije civilnih in kazenskih sankcij</w:t>
            </w:r>
          </w:p>
          <w:p w14:paraId="000D9E3B" w14:textId="77777777" w:rsidR="00154E32" w:rsidRDefault="00A43E04">
            <w:pPr>
              <w:pStyle w:val="P68B1DB1-ListParagraph13"/>
              <w:numPr>
                <w:ilvl w:val="0"/>
                <w:numId w:val="81"/>
              </w:numPr>
              <w:spacing w:before="0" w:after="0"/>
              <w:ind w:left="357" w:hanging="357"/>
              <w:contextualSpacing w:val="0"/>
              <w:jc w:val="left"/>
              <w:rPr>
                <w:noProof/>
              </w:rPr>
            </w:pPr>
            <w:r>
              <w:rPr>
                <w:noProof/>
              </w:rPr>
              <w:t>Integrirani sistem upravljanja</w:t>
            </w:r>
          </w:p>
          <w:p w14:paraId="257BEDC4" w14:textId="77777777" w:rsidR="00154E32" w:rsidRDefault="00A43E04">
            <w:pPr>
              <w:pStyle w:val="P68B1DB1-ListParagraph13"/>
              <w:numPr>
                <w:ilvl w:val="0"/>
                <w:numId w:val="81"/>
              </w:numPr>
              <w:spacing w:before="0" w:after="0"/>
              <w:ind w:left="357" w:hanging="357"/>
              <w:contextualSpacing w:val="0"/>
              <w:jc w:val="left"/>
              <w:rPr>
                <w:noProof/>
              </w:rPr>
            </w:pPr>
            <w:r>
              <w:rPr>
                <w:noProof/>
              </w:rPr>
              <w:t>Sistem upravljanja in analize civilnih sojenj</w:t>
            </w:r>
          </w:p>
          <w:p w14:paraId="1E5D31C0" w14:textId="77777777" w:rsidR="00154E32" w:rsidRDefault="00A43E04">
            <w:pPr>
              <w:pStyle w:val="P68B1DB1-ListParagraph13"/>
              <w:numPr>
                <w:ilvl w:val="0"/>
                <w:numId w:val="81"/>
              </w:numPr>
              <w:spacing w:before="0" w:after="0"/>
              <w:ind w:left="357" w:hanging="357"/>
              <w:contextualSpacing w:val="0"/>
              <w:jc w:val="left"/>
              <w:rPr>
                <w:noProof/>
              </w:rPr>
            </w:pPr>
            <w:r>
              <w:rPr>
                <w:noProof/>
              </w:rPr>
              <w:t>Sistem upravljanja in analize za sojenje v kazenskih zadevah</w:t>
            </w:r>
          </w:p>
          <w:p w14:paraId="784A670B" w14:textId="77777777" w:rsidR="00154E32" w:rsidRDefault="00A43E04">
            <w:pPr>
              <w:pStyle w:val="P68B1DB1-ListParagraph13"/>
              <w:numPr>
                <w:ilvl w:val="0"/>
                <w:numId w:val="81"/>
              </w:numPr>
              <w:spacing w:before="0" w:after="0"/>
              <w:ind w:left="357" w:hanging="357"/>
              <w:contextualSpacing w:val="0"/>
              <w:jc w:val="left"/>
              <w:rPr>
                <w:noProof/>
              </w:rPr>
            </w:pPr>
            <w:r>
              <w:rPr>
                <w:noProof/>
              </w:rPr>
              <w:t>Napredni statistični sistem o civilnih in kazenskih sojenjih</w:t>
            </w:r>
          </w:p>
          <w:p w14:paraId="595FF819" w14:textId="77777777" w:rsidR="00154E32" w:rsidRDefault="00A43E04">
            <w:pPr>
              <w:pStyle w:val="P68B1DB1-ListParagraph13"/>
              <w:numPr>
                <w:ilvl w:val="0"/>
                <w:numId w:val="81"/>
              </w:numPr>
              <w:spacing w:before="0" w:after="0"/>
              <w:ind w:left="357" w:hanging="357"/>
              <w:contextualSpacing w:val="0"/>
              <w:jc w:val="left"/>
              <w:rPr>
                <w:noProof/>
              </w:rPr>
            </w:pPr>
            <w:r>
              <w:rPr>
                <w:noProof/>
              </w:rPr>
              <w:t xml:space="preserve">Avtomatiziran sistem za ugotavljanje krivde žrtev. </w:t>
            </w:r>
          </w:p>
          <w:p w14:paraId="51BDAE86" w14:textId="32A6CD85" w:rsidR="00154E32" w:rsidRDefault="00A43E04">
            <w:pPr>
              <w:pStyle w:val="P68B1DB1-Normal11"/>
              <w:spacing w:before="120"/>
              <w:rPr>
                <w:noProof/>
              </w:rPr>
            </w:pPr>
            <w:r>
              <w:rPr>
                <w:noProof/>
              </w:rPr>
              <w:t>Šest postavk je ločenih sistemov, ki uporabljajo podobne tehnologije. Okvir sistemov je enak: povezovanje podatkov in dokumentov iz notranjih in zunanjih virov; vzorci sistemov se razlikujejo glede na uporabnike (npr. civilni in kazenski sodniki) in cilje (npr. statistični podatki in sodbe).</w:t>
            </w:r>
          </w:p>
        </w:tc>
      </w:tr>
      <w:tr w:rsidR="00154E32" w14:paraId="3470DAE8" w14:textId="77777777">
        <w:trPr>
          <w:trHeight w:val="309"/>
        </w:trPr>
        <w:tc>
          <w:tcPr>
            <w:tcW w:w="1284" w:type="dxa"/>
            <w:shd w:val="clear" w:color="auto" w:fill="C6EFCE"/>
            <w:noWrap/>
            <w:vAlign w:val="center"/>
          </w:tcPr>
          <w:p w14:paraId="62A975AB" w14:textId="77777777" w:rsidR="00154E32" w:rsidRDefault="00A43E04">
            <w:pPr>
              <w:pStyle w:val="P68B1DB1-Normal11"/>
              <w:jc w:val="center"/>
              <w:rPr>
                <w:noProof/>
              </w:rPr>
            </w:pPr>
            <w:r>
              <w:rPr>
                <w:noProof/>
              </w:rPr>
              <w:t>M1C1–155</w:t>
            </w:r>
          </w:p>
        </w:tc>
        <w:tc>
          <w:tcPr>
            <w:tcW w:w="1746" w:type="dxa"/>
            <w:shd w:val="clear" w:color="auto" w:fill="C6EFCE"/>
            <w:noWrap/>
            <w:vAlign w:val="center"/>
          </w:tcPr>
          <w:p w14:paraId="1A1409CC" w14:textId="77777777" w:rsidR="00154E32" w:rsidRDefault="00A43E04">
            <w:pPr>
              <w:pStyle w:val="P68B1DB1-Normal11"/>
              <w:jc w:val="center"/>
              <w:rPr>
                <w:noProof/>
              </w:rPr>
            </w:pPr>
            <w:r>
              <w:rPr>
                <w:noProof/>
              </w:rPr>
              <w:t>Naložba 1.6.3 – Digitizacija nacionalnega zavoda za socialno varnost (INPS) in Nacionalnega inštituta za zavarovanje pred nesrečami pri delu (INAIL)</w:t>
            </w:r>
          </w:p>
        </w:tc>
        <w:tc>
          <w:tcPr>
            <w:tcW w:w="992" w:type="dxa"/>
            <w:shd w:val="clear" w:color="auto" w:fill="C6EFCE"/>
            <w:noWrap/>
            <w:vAlign w:val="center"/>
          </w:tcPr>
          <w:p w14:paraId="0DC8A770" w14:textId="77777777" w:rsidR="00154E32" w:rsidRDefault="00A43E04">
            <w:pPr>
              <w:pStyle w:val="P68B1DB1-Normal11"/>
              <w:jc w:val="center"/>
              <w:rPr>
                <w:noProof/>
              </w:rPr>
            </w:pPr>
            <w:r>
              <w:rPr>
                <w:noProof/>
              </w:rPr>
              <w:t>Tarča</w:t>
            </w:r>
          </w:p>
        </w:tc>
        <w:tc>
          <w:tcPr>
            <w:tcW w:w="2126" w:type="dxa"/>
            <w:shd w:val="clear" w:color="auto" w:fill="C6EFCE"/>
            <w:noWrap/>
            <w:vAlign w:val="center"/>
          </w:tcPr>
          <w:p w14:paraId="65CC1C5F" w14:textId="77777777" w:rsidR="00154E32" w:rsidRDefault="00A43E04">
            <w:pPr>
              <w:pStyle w:val="P68B1DB1-Normal11"/>
              <w:jc w:val="center"/>
              <w:rPr>
                <w:noProof/>
              </w:rPr>
            </w:pPr>
            <w:r>
              <w:rPr>
                <w:noProof/>
              </w:rPr>
              <w:t>INAIL – V celoti preoblikovani in digitalizirani postopki/storitve T2</w:t>
            </w:r>
          </w:p>
        </w:tc>
        <w:tc>
          <w:tcPr>
            <w:tcW w:w="1701" w:type="dxa"/>
            <w:shd w:val="clear" w:color="auto" w:fill="C6EFCE"/>
            <w:noWrap/>
            <w:vAlign w:val="center"/>
          </w:tcPr>
          <w:p w14:paraId="62695A8D"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7EC3BE97"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3673B239" w14:textId="77777777" w:rsidR="00154E32" w:rsidRDefault="00A43E04">
            <w:pPr>
              <w:pStyle w:val="P68B1DB1-Normal11"/>
              <w:jc w:val="center"/>
              <w:rPr>
                <w:noProof/>
              </w:rPr>
            </w:pPr>
            <w:r>
              <w:rPr>
                <w:noProof/>
              </w:rPr>
              <w:t>53</w:t>
            </w:r>
          </w:p>
        </w:tc>
        <w:tc>
          <w:tcPr>
            <w:tcW w:w="1417" w:type="dxa"/>
            <w:shd w:val="clear" w:color="auto" w:fill="C6EFCE"/>
            <w:noWrap/>
            <w:vAlign w:val="center"/>
          </w:tcPr>
          <w:p w14:paraId="0F8908DB" w14:textId="77777777" w:rsidR="00154E32" w:rsidRDefault="00A43E04">
            <w:pPr>
              <w:pStyle w:val="P68B1DB1-Normal11"/>
              <w:jc w:val="center"/>
              <w:rPr>
                <w:noProof/>
              </w:rPr>
            </w:pPr>
            <w:r>
              <w:rPr>
                <w:noProof/>
              </w:rPr>
              <w:t>82</w:t>
            </w:r>
          </w:p>
        </w:tc>
        <w:tc>
          <w:tcPr>
            <w:tcW w:w="793" w:type="dxa"/>
            <w:shd w:val="clear" w:color="auto" w:fill="C6EFCE"/>
            <w:noWrap/>
            <w:vAlign w:val="center"/>
          </w:tcPr>
          <w:p w14:paraId="17256C5D" w14:textId="77777777" w:rsidR="00154E32" w:rsidRDefault="00A43E04">
            <w:pPr>
              <w:pStyle w:val="P68B1DB1-Normal11"/>
              <w:jc w:val="center"/>
              <w:rPr>
                <w:noProof/>
              </w:rPr>
            </w:pPr>
            <w:r>
              <w:rPr>
                <w:noProof/>
              </w:rPr>
              <w:t>Q2</w:t>
            </w:r>
          </w:p>
        </w:tc>
        <w:tc>
          <w:tcPr>
            <w:tcW w:w="625" w:type="dxa"/>
            <w:shd w:val="clear" w:color="auto" w:fill="C6EFCE"/>
            <w:noWrap/>
            <w:vAlign w:val="center"/>
          </w:tcPr>
          <w:p w14:paraId="11BAE51C" w14:textId="77777777" w:rsidR="00154E32" w:rsidRDefault="00A43E04">
            <w:pPr>
              <w:pStyle w:val="P68B1DB1-Normal11"/>
              <w:jc w:val="center"/>
              <w:rPr>
                <w:noProof/>
              </w:rPr>
            </w:pPr>
            <w:r>
              <w:rPr>
                <w:noProof/>
              </w:rPr>
              <w:t>2026</w:t>
            </w:r>
          </w:p>
        </w:tc>
        <w:tc>
          <w:tcPr>
            <w:tcW w:w="2584" w:type="dxa"/>
            <w:shd w:val="clear" w:color="auto" w:fill="C6EFCE"/>
            <w:noWrap/>
            <w:vAlign w:val="center"/>
          </w:tcPr>
          <w:p w14:paraId="49F414ED" w14:textId="77777777" w:rsidR="00154E32" w:rsidRDefault="00A43E04">
            <w:pPr>
              <w:pStyle w:val="P68B1DB1-Normal11"/>
              <w:spacing w:after="120"/>
              <w:rPr>
                <w:noProof/>
              </w:rPr>
            </w:pPr>
            <w:r>
              <w:rPr>
                <w:noProof/>
              </w:rPr>
              <w:t>Cilj je doseči 82 (80 %) preoblikovanih institucionalnih procesov in storitev, da bi bile v celoti digitalizirane. Vključena področja INAIL so: Zavarovalniške, socialne in zdravstvene storitve, Preprečevanje in varnost, spričevala in preverjanja.</w:t>
            </w:r>
          </w:p>
          <w:p w14:paraId="33D392F4" w14:textId="77777777" w:rsidR="00154E32" w:rsidRDefault="00A43E04">
            <w:pPr>
              <w:pStyle w:val="P68B1DB1-Normal11"/>
              <w:rPr>
                <w:noProof/>
              </w:rPr>
            </w:pPr>
            <w:r>
              <w:rPr>
                <w:noProof/>
              </w:rPr>
              <w:t xml:space="preserve">Zlasti je zgoraj naveden pričakovani cilj za vsako območje: </w:t>
            </w:r>
          </w:p>
          <w:p w14:paraId="56B95FB9" w14:textId="77777777" w:rsidR="00154E32" w:rsidRDefault="00A43E04">
            <w:pPr>
              <w:pStyle w:val="P68B1DB1-ListParagraph13"/>
              <w:numPr>
                <w:ilvl w:val="0"/>
                <w:numId w:val="80"/>
              </w:numPr>
              <w:spacing w:after="0"/>
              <w:ind w:left="399" w:hanging="283"/>
              <w:jc w:val="left"/>
              <w:rPr>
                <w:noProof/>
              </w:rPr>
            </w:pPr>
            <w:r>
              <w:rPr>
                <w:noProof/>
              </w:rPr>
              <w:t>Zavarovanje: 26 (80 %);</w:t>
            </w:r>
          </w:p>
          <w:p w14:paraId="209A282E" w14:textId="77777777" w:rsidR="00154E32" w:rsidRDefault="00A43E04">
            <w:pPr>
              <w:pStyle w:val="P68B1DB1-ListParagraph13"/>
              <w:numPr>
                <w:ilvl w:val="0"/>
                <w:numId w:val="80"/>
              </w:numPr>
              <w:spacing w:after="0"/>
              <w:ind w:left="399" w:hanging="283"/>
              <w:jc w:val="left"/>
              <w:rPr>
                <w:noProof/>
              </w:rPr>
            </w:pPr>
            <w:r>
              <w:rPr>
                <w:noProof/>
              </w:rPr>
              <w:t>Socialne in zdravstvene storitve: 29 (80 %);</w:t>
            </w:r>
          </w:p>
          <w:p w14:paraId="55043CBC" w14:textId="77777777" w:rsidR="00154E32" w:rsidRDefault="00A43E04">
            <w:pPr>
              <w:pStyle w:val="P68B1DB1-ListParagraph13"/>
              <w:numPr>
                <w:ilvl w:val="0"/>
                <w:numId w:val="80"/>
              </w:numPr>
              <w:spacing w:after="0"/>
              <w:ind w:left="399" w:hanging="283"/>
              <w:jc w:val="left"/>
              <w:rPr>
                <w:noProof/>
              </w:rPr>
            </w:pPr>
            <w:r>
              <w:rPr>
                <w:noProof/>
              </w:rPr>
              <w:t>Preprečevanje in varnost pri delu: 9 (80 %);</w:t>
            </w:r>
          </w:p>
          <w:p w14:paraId="1E9AD1D7" w14:textId="77777777" w:rsidR="00154E32" w:rsidRDefault="00A43E04">
            <w:pPr>
              <w:pStyle w:val="P68B1DB1-ListParagraph13"/>
              <w:numPr>
                <w:ilvl w:val="0"/>
                <w:numId w:val="80"/>
              </w:numPr>
              <w:ind w:left="397" w:hanging="284"/>
              <w:jc w:val="left"/>
              <w:rPr>
                <w:noProof/>
              </w:rPr>
            </w:pPr>
            <w:r>
              <w:rPr>
                <w:noProof/>
              </w:rPr>
              <w:t>Certifikacije in preverjanja: 18 (80 %).</w:t>
            </w:r>
          </w:p>
        </w:tc>
      </w:tr>
    </w:tbl>
    <w:p w14:paraId="688AB9CA" w14:textId="77777777" w:rsidR="00154E32" w:rsidRDefault="00154E32">
      <w:pPr>
        <w:spacing w:before="120" w:after="120"/>
        <w:jc w:val="both"/>
        <w:rPr>
          <w:noProof/>
        </w:rPr>
      </w:pPr>
    </w:p>
    <w:p w14:paraId="2D066D79" w14:textId="77777777" w:rsidR="00154E32" w:rsidRDefault="00154E32">
      <w:pPr>
        <w:spacing w:before="120" w:after="120"/>
        <w:jc w:val="both"/>
        <w:rPr>
          <w:noProof/>
        </w:rPr>
      </w:pPr>
    </w:p>
    <w:p w14:paraId="6AA294CB" w14:textId="77777777" w:rsidR="00154E32" w:rsidRDefault="00154E32">
      <w:pPr>
        <w:spacing w:before="120" w:after="120"/>
        <w:jc w:val="both"/>
        <w:rPr>
          <w:noProof/>
        </w:rPr>
        <w:sectPr w:rsidR="00154E32" w:rsidSect="001354D1">
          <w:headerReference w:type="even" r:id="rId38"/>
          <w:headerReference w:type="default" r:id="rId39"/>
          <w:footerReference w:type="even" r:id="rId40"/>
          <w:footerReference w:type="default" r:id="rId41"/>
          <w:headerReference w:type="first" r:id="rId42"/>
          <w:footerReference w:type="first" r:id="rId43"/>
          <w:pgSz w:w="16839" w:h="11907" w:orient="landscape"/>
          <w:pgMar w:top="1134" w:right="1134" w:bottom="1134" w:left="1134" w:header="567" w:footer="567" w:gutter="0"/>
          <w:cols w:space="720"/>
          <w:docGrid w:linePitch="360"/>
        </w:sectPr>
      </w:pPr>
    </w:p>
    <w:p w14:paraId="6A195D33" w14:textId="0616DCBC" w:rsidR="00154E32" w:rsidRDefault="00A43E04">
      <w:pPr>
        <w:pStyle w:val="Heading2"/>
        <w:numPr>
          <w:ilvl w:val="1"/>
          <w:numId w:val="0"/>
        </w:numPr>
        <w:ind w:left="850" w:hanging="850"/>
        <w:rPr>
          <w:noProof/>
        </w:rPr>
      </w:pPr>
      <w:r>
        <w:rPr>
          <w:noProof/>
        </w:rPr>
        <w:t>B. DEL 2 MISIJE 1:</w:t>
      </w:r>
    </w:p>
    <w:p w14:paraId="6A195886" w14:textId="77777777" w:rsidR="00154E32" w:rsidRDefault="00A43E04">
      <w:pPr>
        <w:pStyle w:val="P68B1DB1-Normal14"/>
        <w:spacing w:before="120" w:after="120"/>
        <w:jc w:val="both"/>
        <w:rPr>
          <w:noProof/>
        </w:rPr>
      </w:pPr>
      <w:r>
        <w:rPr>
          <w:noProof/>
        </w:rPr>
        <w:t>Os 1 – Digitalizacija, inovacije in konkurenčnost proizvodnega sistema</w:t>
      </w:r>
    </w:p>
    <w:p w14:paraId="6965F534" w14:textId="77777777" w:rsidR="00154E32" w:rsidRDefault="00A43E04">
      <w:pPr>
        <w:spacing w:before="120" w:after="120"/>
        <w:jc w:val="both"/>
        <w:rPr>
          <w:noProof/>
        </w:rPr>
      </w:pPr>
      <w:r>
        <w:rPr>
          <w:noProof/>
        </w:rPr>
        <w:t>Os 1 komponente 2 misije 1 italijanskega načrta za okrevanje in odpornost zadeva naložbe in reforme, namenjene predvsem (i) podpiranju digitalnega prehoda in inovacij proizvodnega sistema s spodbudami za naložbe v tehnologije, raziskave, razvoj in inovacije; (II) postavitev ultrahitrih širokopasovnih omrežij in omrežij 5G za zmanjšanje digitalnega razkoraka ter satelitskih konstelacij in storitev; (III) spodbujanje razvoja strateških vrednostnih verig in podpiranje konkurenčnosti podjetij s poudarkom na MSP.</w:t>
      </w:r>
    </w:p>
    <w:p w14:paraId="077CB4A5" w14:textId="77777777" w:rsidR="00154E32" w:rsidRDefault="00A43E04">
      <w:pPr>
        <w:spacing w:before="120" w:after="120"/>
        <w:jc w:val="both"/>
        <w:rPr>
          <w:noProof/>
        </w:rPr>
      </w:pPr>
      <w:r>
        <w:rPr>
          <w:noProof/>
        </w:rPr>
        <w:t>Cilj ukrepov v okviru te komponente je odpraviti vrzeli, ki izhajajo iz indeksa digitalnega gospodarstva in družbe (DESI) 2020 v zvezi z digitalno preobrazbo podjetij in pomanjkljivostmi v povezljivosti, da bi se okrepila socialna in gospodarska odpornost države.</w:t>
      </w:r>
    </w:p>
    <w:p w14:paraId="562ACEDE" w14:textId="77777777" w:rsidR="00154E32" w:rsidRDefault="00A43E04">
      <w:pPr>
        <w:spacing w:before="120" w:after="120"/>
        <w:jc w:val="both"/>
        <w:rPr>
          <w:noProof/>
        </w:rPr>
      </w:pPr>
      <w:r>
        <w:rPr>
          <w:noProof/>
        </w:rPr>
        <w:t xml:space="preserve">Naložbe in reforme v okviru te komponente prispevajo k obravnavi priporočil za posamezne države, naslovljenih na Italijo v letih 2020 in 2019, v zvezi s potrebo po „krepitvi učenja na daljavo ter znanj in spretnosti, vključno z digitalnimi“ (priporočilo za posamezne države 2, 2020), „spodbujanju zasebnih naložb za spodbujanje gospodarskega okrevanja“ (priporočilo za posamezne države št. 3, 2020) in „usmerjenju naložb v zeleni in digitalni prehod, zlasti na [...] okrepljeno digitalno infrastrukturo, da se zagotovi zagotavljanje osnovnih storitev“ (priporočilo za posamezne države št. 3, 2020), „spodbujanje izpopolnjevanja, vključno s krepitvijo digitalnih znanj in spretnosti (priporočilo za posamezne države št. 2 iz leta 2019), usmerjanje ekonomske politike, povezane z naložbami, na raziskave in inovacije ter kakovost infrastrukture, pri čemer se upoštevajo tudi regionalne razlike“ (priporočilo za posamezne države št. 3 iz leta 2019) in do neke mere „podpora nebančnemu dostopu do financiranja za inovativna in manjša podjetja“ (priporočilo za posamezne države št. 5 iz leta 2019). </w:t>
      </w:r>
    </w:p>
    <w:p w14:paraId="434F0BF1" w14:textId="77777777" w:rsidR="00154E32" w:rsidRDefault="00A43E04">
      <w:pPr>
        <w:spacing w:before="120" w:after="120"/>
        <w:jc w:val="both"/>
        <w:rPr>
          <w:noProof/>
        </w:rPr>
      </w:pPr>
      <w:r>
        <w:rPr>
          <w:noProof/>
        </w:rPr>
        <w:t>Pričakuje se, da noben ukrep v tej komponenti ne bo bistveno škodoval okoljskim ciljem v smislu člena 17 Uredbe (EU) 2020/852, ob upoštevanju opisa ukrepov in blažilnih ukrepov iz načrta za okrevanje in odpornost v skladu s tehničnimi smernicami, da se ne škoduje bistveno (2021/C58/01).</w:t>
      </w:r>
    </w:p>
    <w:p w14:paraId="4A89E89A" w14:textId="77777777" w:rsidR="00154E32" w:rsidRDefault="00A43E04">
      <w:pPr>
        <w:pStyle w:val="P68B1DB1-Normal14"/>
        <w:spacing w:before="120" w:after="120"/>
        <w:jc w:val="both"/>
        <w:rPr>
          <w:noProof/>
        </w:rPr>
      </w:pPr>
      <w:r>
        <w:rPr>
          <w:noProof/>
        </w:rPr>
        <w:t>Os 2 – Izboljšanje poslovnega okolja in konkurence</w:t>
      </w:r>
    </w:p>
    <w:p w14:paraId="27AD43CC" w14:textId="77777777" w:rsidR="00154E32" w:rsidRDefault="00A43E04">
      <w:pPr>
        <w:spacing w:before="120" w:after="120"/>
        <w:jc w:val="both"/>
        <w:rPr>
          <w:noProof/>
        </w:rPr>
      </w:pPr>
      <w:r>
        <w:rPr>
          <w:noProof/>
        </w:rPr>
        <w:t xml:space="preserve">Glavni cilj osi 2 komponente 2 misije 1 je izboljšanje poslovnega okolja za spodbujanje podjetništva in okvirnih pogojev za konkurenco, da se spodbudi učinkovitejše razporejanje virov in povečanje produktivnosti. Glavno orodje za doseganje teh ciljev je letno konkurenčno pravo, ki se sprejme vsako leto. </w:t>
      </w:r>
    </w:p>
    <w:p w14:paraId="3D0EB982" w14:textId="77777777" w:rsidR="00154E32" w:rsidRDefault="00A43E04">
      <w:pPr>
        <w:spacing w:before="120" w:after="120"/>
        <w:jc w:val="both"/>
        <w:rPr>
          <w:noProof/>
        </w:rPr>
      </w:pPr>
      <w:r>
        <w:rPr>
          <w:noProof/>
        </w:rPr>
        <w:t>Naložbe in reforme v okviru te komponente prispevajo k obravnavi priporočil za posamezne države, naslovljenih na Italijo leta 2019, v zvezi s potrebo po „obravnavanju omejitev konkurence [...], tudi z novim letnim konkurenčnim pravom“ (priporočilo za posamezno državo št. 3 iz leta 2019).</w:t>
      </w:r>
    </w:p>
    <w:p w14:paraId="78EF863E" w14:textId="77777777" w:rsidR="00154E32" w:rsidRDefault="00A43E04">
      <w:pPr>
        <w:pStyle w:val="Heading3"/>
        <w:numPr>
          <w:ilvl w:val="2"/>
          <w:numId w:val="0"/>
        </w:numPr>
        <w:ind w:left="850" w:hanging="850"/>
        <w:rPr>
          <w:b/>
          <w:i w:val="0"/>
          <w:noProof/>
          <w:u w:val="single"/>
        </w:rPr>
      </w:pPr>
      <w:r>
        <w:rPr>
          <w:b/>
          <w:i w:val="0"/>
          <w:noProof/>
          <w:u w:val="single"/>
        </w:rPr>
        <w:t xml:space="preserve">B.1. </w:t>
      </w:r>
      <w:r>
        <w:rPr>
          <w:noProof/>
        </w:rPr>
        <w:tab/>
      </w:r>
      <w:r>
        <w:rPr>
          <w:b/>
          <w:i w:val="0"/>
          <w:noProof/>
          <w:u w:val="single"/>
        </w:rPr>
        <w:t>Opis reform in naložb za nepovratno finančno podporo</w:t>
      </w:r>
    </w:p>
    <w:p w14:paraId="17FDE672" w14:textId="77777777" w:rsidR="00154E32" w:rsidRDefault="00A43E04">
      <w:pPr>
        <w:pStyle w:val="P68B1DB1-Normal15"/>
        <w:spacing w:before="120" w:after="120"/>
        <w:jc w:val="both"/>
        <w:rPr>
          <w:noProof/>
          <w:color w:val="4F81BD" w:themeColor="accent1"/>
        </w:rPr>
      </w:pPr>
      <w:r>
        <w:rPr>
          <w:noProof/>
        </w:rPr>
        <w:t xml:space="preserve">Os 1 – </w:t>
      </w:r>
      <w:r>
        <w:rPr>
          <w:noProof/>
          <w:u w:val="single"/>
        </w:rPr>
        <w:t>Digitalizacija, inovacije in konkurenčnost proizvodnega sistema</w:t>
      </w:r>
    </w:p>
    <w:p w14:paraId="027E68E0" w14:textId="77777777" w:rsidR="00154E32" w:rsidRDefault="00A43E04">
      <w:pPr>
        <w:pStyle w:val="P68B1DB1-Normal2"/>
        <w:spacing w:before="120" w:after="120"/>
        <w:jc w:val="both"/>
        <w:rPr>
          <w:i/>
          <w:noProof/>
        </w:rPr>
      </w:pPr>
      <w:r>
        <w:rPr>
          <w:noProof/>
        </w:rPr>
        <w:t>Naložba 1: Prehod 4.0</w:t>
      </w:r>
    </w:p>
    <w:p w14:paraId="468A1B76" w14:textId="77777777" w:rsidR="00154E32" w:rsidRDefault="00A43E04">
      <w:pPr>
        <w:spacing w:before="120" w:after="120"/>
        <w:jc w:val="both"/>
        <w:rPr>
          <w:i/>
          <w:noProof/>
          <w:u w:val="single"/>
        </w:rPr>
      </w:pPr>
      <w:r>
        <w:rPr>
          <w:noProof/>
        </w:rPr>
        <w:t>Cilj ukrepa je podpreti digitalno preobrazbo podjetij s spodbujanjem zasebnih naložb v sredstva in dejavnosti, ki podpirajo digitalizacijo. Ukrep, ki se financira v okviru italijanskega načrta za okrevanje in odpornost, je del širšega načrta prehoda 4.0, ki vključuje druge podporne ukrepe, financirane na nacionalni ravni za spodbujanje digitalne preobrazbe podjetij.</w:t>
      </w:r>
    </w:p>
    <w:p w14:paraId="3B4C5FA7" w14:textId="77777777" w:rsidR="00154E32" w:rsidRDefault="00A43E04">
      <w:pPr>
        <w:spacing w:before="120" w:after="120"/>
        <w:jc w:val="both"/>
        <w:rPr>
          <w:noProof/>
        </w:rPr>
      </w:pPr>
      <w:r>
        <w:rPr>
          <w:noProof/>
        </w:rPr>
        <w:t xml:space="preserve">Ukrep je sestavljen iz sheme davčnega dobropisa in zajema stroške, ki jih je treba uveljavljati v davčnih napovedih, predloženih v obdobju med 1. januarjem 2021 in 31. decembrom 2023 (30. november 2024 za podjetja, katerih davčno leto ne ustreza koledarskemu letu). Ukrep vključuje tudi opredelitev kod davčnih dobropisov, ki se opredelijo s sklepom agencije za prihodke, da se upravičencem omogoči uporaba davčnih odbitkov z modelom plačila F24. </w:t>
      </w:r>
    </w:p>
    <w:p w14:paraId="7BFE55B8" w14:textId="77777777" w:rsidR="00154E32" w:rsidRDefault="00A43E04">
      <w:pPr>
        <w:spacing w:before="120" w:after="120"/>
        <w:jc w:val="both"/>
        <w:rPr>
          <w:noProof/>
        </w:rPr>
      </w:pPr>
      <w:r>
        <w:rPr>
          <w:noProof/>
        </w:rPr>
        <w:t>Podprti davčni dobropisi zajemajo naslednja sredstva in dejavnosti:</w:t>
      </w:r>
    </w:p>
    <w:p w14:paraId="672B5BB1" w14:textId="3CA53F9F" w:rsidR="00154E32" w:rsidRDefault="00A43E04">
      <w:pPr>
        <w:pStyle w:val="ListParagraph"/>
        <w:numPr>
          <w:ilvl w:val="0"/>
          <w:numId w:val="72"/>
        </w:numPr>
        <w:ind w:left="360"/>
        <w:rPr>
          <w:rFonts w:eastAsiaTheme="minorEastAsia"/>
          <w:noProof/>
        </w:rPr>
      </w:pPr>
      <w:r>
        <w:rPr>
          <w:noProof/>
        </w:rPr>
        <w:t xml:space="preserve">investicijsko blago, ki ga sestavljajo: (I) 4.0 (tj. tehnološko naprednih) opredmetenih osnovnih sredstev, kot so proizvodni stroji, katerih delovanje nadzorujejo računalniški sistemi ali senzorji/vozila, stroji in sistemi, ki se uporabljajo za nadzor proizvodov ali procesov, ter interaktivni sistemi; vse morajo imeti digitalne značilnosti, kot sta avtomatizirana integracija in vmesnik človek-stroj; (II) 4.0 neopredmetena osnovna sredstva, kot so 3D-modeliranje, komunikacijski sistemi znotraj tovarne, umetna inteligenca in programska oprema, sistemi, platforme in aplikacije za strojno učenje; (III) standardna neopredmetena osnovna sredstva, kot je programska oprema, povezana s poslovnim upravljanjem. To zajema davčne dobropise, predstavljene v davčnih napovedih med 1. januarjem 2021 in 31. decembrom 2023 (30. november 2024 za podjetja, katerih davčno leto ne ustreza koledarskemu letu). </w:t>
      </w:r>
    </w:p>
    <w:p w14:paraId="05698C37" w14:textId="77777777" w:rsidR="00154E32" w:rsidRDefault="00A43E04">
      <w:pPr>
        <w:pStyle w:val="ListParagraph"/>
        <w:numPr>
          <w:ilvl w:val="0"/>
          <w:numId w:val="72"/>
        </w:numPr>
        <w:ind w:left="360"/>
        <w:rPr>
          <w:rFonts w:eastAsiaTheme="minorEastAsia"/>
          <w:noProof/>
        </w:rPr>
      </w:pPr>
      <w:r>
        <w:rPr>
          <w:noProof/>
        </w:rPr>
        <w:t xml:space="preserve">raziskovalne, razvojne in inovacijske dejavnosti, ki zajemajo dejavnosti na področju raziskav in razvoja, tehnoloških inovacij, zelenih in digitalnih inovacij ter snovanja. To zajema davčne dobropise, predstavljene v davčnih napovedih med 1. januarjem 2022 in 31. decembrom 2023 (30. november 2024 za podjetja, katerih davčno leto ne ustreza koledarskemu letu). </w:t>
      </w:r>
    </w:p>
    <w:p w14:paraId="3D34D792" w14:textId="77777777" w:rsidR="00154E32" w:rsidRDefault="00A43E04">
      <w:pPr>
        <w:pStyle w:val="ListParagraph"/>
        <w:numPr>
          <w:ilvl w:val="0"/>
          <w:numId w:val="72"/>
        </w:numPr>
        <w:ind w:left="360"/>
        <w:rPr>
          <w:rFonts w:eastAsiaTheme="minorEastAsia"/>
          <w:noProof/>
        </w:rPr>
      </w:pPr>
      <w:r>
        <w:rPr>
          <w:noProof/>
        </w:rPr>
        <w:t xml:space="preserve">dejavnosti usposabljanja, ki se izvajajo za pridobitev ali utrditev znanja o ustreznih tehnologijah, kot so velepodatki in analiza podatkov, vmesnik človek-stroj, internet stvari, digitalno povezovanje poslovnih procesov in kibernetska varnost. To zajema davčne dobropise, predstavljene v davčnih napovedih med 1. januarjem 2022 in 31. decembrom 2023 (30. november 2024 za podjetja, katerih davčno leto ne ustreza koledarskemu letu). </w:t>
      </w:r>
    </w:p>
    <w:p w14:paraId="2F3EE1B8" w14:textId="77777777" w:rsidR="00154E32" w:rsidRDefault="00A43E04">
      <w:pPr>
        <w:spacing w:before="120" w:after="120"/>
        <w:jc w:val="both"/>
        <w:rPr>
          <w:noProof/>
        </w:rPr>
      </w:pPr>
      <w:r>
        <w:rPr>
          <w:noProof/>
        </w:rPr>
        <w:t>Ukrep vključuje ustanovitev znanstvenega odbora, ki bo vključeval strokovnjake ministrstva za gospodarstvo in finance, ministrstva za gospodarski razvoj in Banke Italije za oceno gospodarskega učinka sheme.</w:t>
      </w:r>
    </w:p>
    <w:p w14:paraId="1A6615FB" w14:textId="77777777" w:rsidR="00154E32" w:rsidRDefault="00A43E04">
      <w:pPr>
        <w:pStyle w:val="P68B1DB1-Normal2"/>
        <w:spacing w:before="120" w:after="120"/>
        <w:jc w:val="both"/>
        <w:rPr>
          <w:noProof/>
        </w:rPr>
      </w:pPr>
      <w:r>
        <w:rPr>
          <w:noProof/>
        </w:rPr>
        <w:t xml:space="preserve">Reforma 1: Reforma sistema industrijske lastnine </w:t>
      </w:r>
    </w:p>
    <w:p w14:paraId="5965F242" w14:textId="77777777" w:rsidR="00154E32" w:rsidRDefault="00A43E04">
      <w:pPr>
        <w:pStyle w:val="P68B1DB1-Normal16"/>
        <w:spacing w:before="120" w:after="120"/>
        <w:jc w:val="both"/>
        <w:rPr>
          <w:noProof/>
        </w:rPr>
      </w:pPr>
      <w:r>
        <w:rPr>
          <w:noProof/>
        </w:rPr>
        <w:t>Glavni cilj reforme je prilagoditi sistem industrijske lastnine sodobnim izzivom in zagotoviti, da inovacijski potencial učinkovito prispeva k okrevanju in odpornosti države. Zlasti si prizadeva doseči naslednje cilje: izboljšanje sistema varstva industrijske lastnine; spodbujanje uporabe in razširjanja industrijske lastnine, zlasti s strani MSP; olajšanje dostopa do neopredmetenih sredstev in njihove souporabe ob hkratnem zagotavljanju poštene donosnosti naložb; zagotavljanje strožjega spoštovanja industrijske lastnine; ter krepitev vloge Italije v evropskih in mednarodnih forumih o industrijski lastnini.</w:t>
      </w:r>
    </w:p>
    <w:p w14:paraId="370BB108" w14:textId="77777777" w:rsidR="00154E32" w:rsidRDefault="00A43E04">
      <w:pPr>
        <w:pStyle w:val="P68B1DB1-Normal16"/>
        <w:spacing w:before="120" w:after="120"/>
        <w:jc w:val="both"/>
        <w:rPr>
          <w:noProof/>
        </w:rPr>
      </w:pPr>
      <w:r>
        <w:rPr>
          <w:noProof/>
        </w:rPr>
        <w:t xml:space="preserve">Ukrep zadeva reformo italijanskega zakonika o industrijski lastnini, ki zajema vsaj naslednja področja: (I) pregledati regulativni okvir za okrepitev varstva pravic industrijske lastnine in poenostavitev postopkov, (ii) okrepiti podporo podjetjem in raziskovalnim ustanovam, (iii) izboljšati razvoj spretnosti in kompetenc, (iv) olajšati prenos znanja in (v) okrepiti spodbujanje inovativnih storitev. </w:t>
      </w:r>
    </w:p>
    <w:p w14:paraId="56935EB1" w14:textId="77777777" w:rsidR="00154E32" w:rsidRDefault="00A43E04">
      <w:pPr>
        <w:pStyle w:val="P68B1DB1-Normal2"/>
        <w:spacing w:before="120" w:after="120"/>
        <w:jc w:val="both"/>
        <w:rPr>
          <w:noProof/>
        </w:rPr>
      </w:pPr>
      <w:r>
        <w:rPr>
          <w:noProof/>
        </w:rPr>
        <w:t>Naložba 6: Naložbe v sistem industrijske lastnine</w:t>
      </w:r>
    </w:p>
    <w:p w14:paraId="6EA47D85" w14:textId="77777777" w:rsidR="00154E32" w:rsidRDefault="00A43E04">
      <w:pPr>
        <w:pStyle w:val="P68B1DB1-Normal16"/>
        <w:spacing w:before="120" w:after="120"/>
        <w:jc w:val="both"/>
        <w:rPr>
          <w:noProof/>
        </w:rPr>
      </w:pPr>
      <w:r>
        <w:rPr>
          <w:noProof/>
        </w:rPr>
        <w:t xml:space="preserve">Cilj naložbe je podpreti sistem industrijske lastnine in spremljati njegovo reformo, kot je predvideno v reformi 1 te komponente. Ukrep vključuje finančno podporo za projekte podjetij in raziskovalnih organov, povezane z industrijsko lastnino, kot so ukrepi, povezani s patenti (Brevetti+), programi potrditve koncepta (POC) in krepitev uradov za prenos tehnologije. </w:t>
      </w:r>
    </w:p>
    <w:p w14:paraId="377053A0" w14:textId="7EE26615" w:rsidR="00154E32" w:rsidRDefault="00A43E04">
      <w:pPr>
        <w:spacing w:before="120" w:after="120"/>
        <w:jc w:val="both"/>
        <w:rPr>
          <w:noProof/>
        </w:rPr>
      </w:pPr>
      <w:r>
        <w:rPr>
          <w:noProof/>
        </w:rPr>
        <w:t>Za zagotovitev, da je ukrep skladen s tehničnimi smernicami, da se ne škoduje bistveno (2021/C58/01), merila za upravičenost iz opisa prihodnjih razpisov za projekte izključujejo raziskave in razvoj, namenjene naslednjemu seznamu dejavnosti: (I) dejavnosti, povezane s fosilnimi gorivi, vključno z nadaljnjo uporabo</w:t>
      </w:r>
      <w:r>
        <w:rPr>
          <w:rStyle w:val="FootnoteReference"/>
          <w:noProof/>
        </w:rPr>
        <w:footnoteReference w:id="2"/>
      </w:r>
      <w:r>
        <w:rPr>
          <w:noProof/>
        </w:rPr>
        <w:t>; (II) dejavnosti v okviru sistema EU za trgovanje z emisijami (ETS), s katerimi se dosegajo predvidene emisije toplogrednih plinov, ki niso nižje od ustreznih referenčnih vrednosti</w:t>
      </w:r>
      <w:r>
        <w:rPr>
          <w:rStyle w:val="FootnoteReference"/>
          <w:noProof/>
        </w:rPr>
        <w:footnoteReference w:id="3"/>
      </w:r>
      <w:r>
        <w:rPr>
          <w:noProof/>
        </w:rPr>
        <w:t>; (III) dejavnosti, povezane z odlagališči odpadkov, sežigalnicami</w:t>
      </w:r>
      <w:r>
        <w:rPr>
          <w:rStyle w:val="FootnoteReference"/>
          <w:noProof/>
        </w:rPr>
        <w:footnoteReference w:id="4"/>
      </w:r>
      <w:r>
        <w:rPr>
          <w:noProof/>
        </w:rPr>
        <w:t xml:space="preserve"> in napravami za mehansko-biološko obdelavo</w:t>
      </w:r>
      <w:r>
        <w:rPr>
          <w:rStyle w:val="FootnoteReference"/>
          <w:noProof/>
        </w:rPr>
        <w:footnoteReference w:id="5"/>
      </w:r>
      <w:r>
        <w:rPr>
          <w:noProof/>
        </w:rPr>
        <w:t>; ter (iv) dejavnosti, pri katerih lahko dolgotrajno odstranjevanje odpadkov dolgoročno škoduje okolju. Poleg tega se zahteva, da se lahko izberejo samo dejavnosti, ki so skladne z ustrezno okoljsko zakonodajo EU in nacionalno okoljsko zakonodajo.</w:t>
      </w:r>
    </w:p>
    <w:p w14:paraId="6B44E1C9" w14:textId="77777777" w:rsidR="00154E32" w:rsidRDefault="00A43E04">
      <w:pPr>
        <w:pStyle w:val="P68B1DB1-Normal17"/>
        <w:spacing w:before="120" w:after="120"/>
        <w:jc w:val="both"/>
        <w:rPr>
          <w:noProof/>
        </w:rPr>
      </w:pPr>
      <w:r>
        <w:rPr>
          <w:noProof/>
        </w:rPr>
        <w:t>Os 2 – Izboljšanje poslovnega okolja in konkurence</w:t>
      </w:r>
    </w:p>
    <w:p w14:paraId="4C96D2DB" w14:textId="77777777" w:rsidR="00154E32" w:rsidRDefault="00A43E04">
      <w:pPr>
        <w:pStyle w:val="P68B1DB1-Normal2"/>
        <w:spacing w:before="120" w:after="120"/>
        <w:jc w:val="both"/>
        <w:rPr>
          <w:noProof/>
        </w:rPr>
      </w:pPr>
      <w:r>
        <w:rPr>
          <w:noProof/>
        </w:rPr>
        <w:t>Reforma 2: Letna zakonodaja o konkurenci 2021, 2022, 2023 in 2024</w:t>
      </w:r>
    </w:p>
    <w:p w14:paraId="5123F8B2" w14:textId="77777777" w:rsidR="00154E32" w:rsidRDefault="00A43E04">
      <w:pPr>
        <w:spacing w:before="120" w:after="120"/>
        <w:jc w:val="both"/>
        <w:rPr>
          <w:noProof/>
        </w:rPr>
      </w:pPr>
      <w:r>
        <w:rPr>
          <w:noProof/>
        </w:rPr>
        <w:t xml:space="preserve">Zakon o konkurenci se sprejme vsako leto, s čimer se povečajo konkurenčni postopki za sklepanje pogodb o izvajanju javne službe za lokalne javne storitve (zlasti na področju odpadkov in javnega prevoza), prepreči neupravičeno podaljšanje koncesij v pristaniščih, na avtocestah, električnih polnilnih postajah in hidroelektrarnah uveljavljenim izvajalcem v številnih sektorjih, zagotovi ustrezna ureditev pogodb o izvajanju javne službe, revidira pravila o seštevanju ter uporabi splošno načelo sorazmernosti pri trajanju in ustreznem nadomestilu za pogodbe o izvajanju javne službe. Konkurenčno pravo bo tudi povečalo spodbude za regije, da objavijo svoje pogodbe o javnih storitvah za regionalne železniške storitve. Uvede se tudi jasna ločitev med funkcijami regulacije/nadzora in upravljanjem pogodb. </w:t>
      </w:r>
    </w:p>
    <w:p w14:paraId="6C089609" w14:textId="77777777" w:rsidR="00154E32" w:rsidRDefault="00A43E04">
      <w:pPr>
        <w:spacing w:before="120" w:after="120"/>
        <w:jc w:val="both"/>
        <w:rPr>
          <w:noProof/>
        </w:rPr>
      </w:pPr>
      <w:r>
        <w:rPr>
          <w:noProof/>
        </w:rPr>
        <w:t>V zvezi s sektorskimi ukrepi letna zakonodaja o konkurenci vključuje ukrepe v sektorjih energetike (električna energija, plin in voda), ravnanja z odpadki in prometa (pristanišča, železnice in avtoceste), ki dopolnjujejo naložbe in reforme v okviru misij 2 in 3. Spremljevalni ukrepi za zagotovitev uvedbe konkurence na maloprodajnih trgih električne energije začnejo veljati najpozneje 31.</w:t>
      </w:r>
      <w:r>
        <w:rPr>
          <w:noProof/>
          <w:vertAlign w:val="superscript"/>
        </w:rPr>
        <w:t>decembra 2022.</w:t>
      </w:r>
      <w:r>
        <w:rPr>
          <w:noProof/>
        </w:rPr>
        <w:t xml:space="preserve"> Letno konkurenčno pravo za leto 2022 zlasti sprejme načrt za razvoj elektroenergetskega omrežja in spodbuja uvedbo pametnih števcev električne energije za</w:t>
      </w:r>
      <w:r>
        <w:rPr>
          <w:noProof/>
          <w:vertAlign w:val="superscript"/>
        </w:rPr>
        <w:t>drugo</w:t>
      </w:r>
      <w:r>
        <w:rPr>
          <w:noProof/>
        </w:rPr>
        <w:t xml:space="preserve"> proizvodnjo, ki bodo 31.</w:t>
      </w:r>
      <w:r>
        <w:rPr>
          <w:noProof/>
          <w:vertAlign w:val="superscript"/>
        </w:rPr>
        <w:t>decembra</w:t>
      </w:r>
      <w:r>
        <w:rPr>
          <w:noProof/>
        </w:rPr>
        <w:t xml:space="preserve"> 2025 po vsej Italiji dosegli 33 milijonov enot.</w:t>
      </w:r>
    </w:p>
    <w:p w14:paraId="2070BB27" w14:textId="77777777" w:rsidR="00154E32" w:rsidRDefault="00A43E04">
      <w:pPr>
        <w:spacing w:before="120" w:after="120"/>
        <w:jc w:val="both"/>
        <w:rPr>
          <w:noProof/>
        </w:rPr>
      </w:pPr>
      <w:r>
        <w:rPr>
          <w:noProof/>
        </w:rPr>
        <w:t xml:space="preserve">Poleg tega bodo zakoni izboljšali poslovno okolje vsaj z: (I) uskladitev pravil o nadzoru nad združitvami s pravom EU, (ii) konsolidacijo, digitalizacijo in profesionalizacijo organov za nadzor trga ter (iii) skrajšanje časa akreditacije za zagotavljanje informacij o zaposlenih s sedmih na štiri dni, da se zmanjša število dni za ustanovitev podjetja.  </w:t>
      </w:r>
    </w:p>
    <w:p w14:paraId="1FC87F97" w14:textId="77777777" w:rsidR="00154E32" w:rsidRDefault="00A43E04">
      <w:pPr>
        <w:pStyle w:val="P68B1DB1-Normal2"/>
        <w:spacing w:before="120" w:after="120"/>
        <w:jc w:val="both"/>
        <w:rPr>
          <w:noProof/>
        </w:rPr>
      </w:pPr>
      <w:r>
        <w:rPr>
          <w:noProof/>
        </w:rPr>
        <w:t xml:space="preserve">Reforma 3: Racionalizacija in poenostavitev spodbud za podjetja. </w:t>
      </w:r>
    </w:p>
    <w:p w14:paraId="69D39513" w14:textId="77777777" w:rsidR="00154E32" w:rsidRDefault="00A43E04">
      <w:pPr>
        <w:spacing w:before="120" w:after="120"/>
        <w:jc w:val="both"/>
        <w:rPr>
          <w:noProof/>
        </w:rPr>
      </w:pPr>
      <w:r>
        <w:rPr>
          <w:noProof/>
        </w:rPr>
        <w:t xml:space="preserve">Reforma vključuje sistematičen pregled vseh nacionalnih spodbud za podjetja in z njimi povezanih instrumentov. </w:t>
      </w:r>
    </w:p>
    <w:p w14:paraId="750AF635" w14:textId="77777777" w:rsidR="00154E32" w:rsidRDefault="00A43E04">
      <w:pPr>
        <w:spacing w:before="120" w:after="120"/>
        <w:jc w:val="both"/>
        <w:rPr>
          <w:noProof/>
        </w:rPr>
      </w:pPr>
      <w:r>
        <w:rPr>
          <w:noProof/>
        </w:rPr>
        <w:t>Reforma se izvede v dveh korakih:</w:t>
      </w:r>
    </w:p>
    <w:p w14:paraId="40943635" w14:textId="77777777" w:rsidR="00154E32" w:rsidRDefault="00A43E04">
      <w:pPr>
        <w:pStyle w:val="ListParagraph"/>
        <w:numPr>
          <w:ilvl w:val="0"/>
          <w:numId w:val="108"/>
        </w:numPr>
        <w:spacing w:before="0" w:after="0"/>
        <w:rPr>
          <w:noProof/>
        </w:rPr>
      </w:pPr>
      <w:r>
        <w:rPr>
          <w:noProof/>
        </w:rPr>
        <w:t xml:space="preserve">Objava poročila o oceni spodbud za podjetja. V poročilu se oblikujejo tudi konkretni predlogi za poenostavitev in racionalizacijo spodbud podjetij. </w:t>
      </w:r>
    </w:p>
    <w:p w14:paraId="10F058E9" w14:textId="77777777" w:rsidR="00154E32" w:rsidRDefault="00A43E04">
      <w:pPr>
        <w:jc w:val="both"/>
        <w:rPr>
          <w:noProof/>
        </w:rPr>
      </w:pPr>
      <w:r>
        <w:rPr>
          <w:noProof/>
        </w:rPr>
        <w:t xml:space="preserve"> </w:t>
      </w:r>
    </w:p>
    <w:p w14:paraId="6F8FAB53" w14:textId="0DABE5DA" w:rsidR="00154E32" w:rsidRDefault="00A43E04">
      <w:pPr>
        <w:pStyle w:val="ListParagraph"/>
        <w:numPr>
          <w:ilvl w:val="0"/>
          <w:numId w:val="107"/>
        </w:numPr>
        <w:spacing w:before="0" w:after="0"/>
        <w:rPr>
          <w:noProof/>
        </w:rPr>
      </w:pPr>
      <w:r>
        <w:rPr>
          <w:noProof/>
        </w:rPr>
        <w:t>Začetek veljavnosti zakonodajnih aktov o izvajanju mandata „Legge delega Incentivi“.  Področje uporabe zakonodajnih aktov je racionalizacija in racionalizacija spodbud podjetij.</w:t>
      </w:r>
    </w:p>
    <w:p w14:paraId="75AC7055" w14:textId="77777777" w:rsidR="00154E32" w:rsidRDefault="00A43E04">
      <w:pPr>
        <w:pStyle w:val="P68B1DB1-Normal18"/>
        <w:spacing w:line="276" w:lineRule="auto"/>
        <w:jc w:val="both"/>
        <w:rPr>
          <w:noProof/>
        </w:rPr>
      </w:pPr>
      <w:r>
        <w:rPr>
          <w:noProof/>
        </w:rPr>
        <w:t xml:space="preserve"> </w:t>
      </w:r>
    </w:p>
    <w:p w14:paraId="53C40F5D" w14:textId="626A0492" w:rsidR="00154E32" w:rsidRDefault="00A43E04">
      <w:pPr>
        <w:spacing w:line="276" w:lineRule="auto"/>
        <w:jc w:val="both"/>
        <w:rPr>
          <w:noProof/>
        </w:rPr>
      </w:pPr>
      <w:r>
        <w:rPr>
          <w:noProof/>
        </w:rPr>
        <w:t>Reforma vključuje prestrukturiranje in nadaljnje izvajanje dveh ključnih instrumentov, ki ju upravlja italijansko ministrstvo za podjetja in Made (MIMIT):</w:t>
      </w:r>
    </w:p>
    <w:p w14:paraId="597E4CED" w14:textId="33C5FC11" w:rsidR="00154E32" w:rsidRDefault="00A43E04">
      <w:pPr>
        <w:spacing w:line="276" w:lineRule="auto"/>
        <w:jc w:val="both"/>
        <w:rPr>
          <w:noProof/>
        </w:rPr>
      </w:pPr>
      <w:r>
        <w:rPr>
          <w:noProof/>
        </w:rPr>
        <w:t xml:space="preserve"> (a) nacionalni register državnih pomoči (RNK) in</w:t>
      </w:r>
    </w:p>
    <w:p w14:paraId="735E5D58" w14:textId="710B4C62" w:rsidR="00154E32" w:rsidRDefault="00A43E04">
      <w:pPr>
        <w:spacing w:line="276" w:lineRule="auto"/>
        <w:jc w:val="both"/>
        <w:rPr>
          <w:noProof/>
        </w:rPr>
      </w:pPr>
      <w:r>
        <w:rPr>
          <w:noProof/>
        </w:rPr>
        <w:t xml:space="preserve"> (b) </w:t>
      </w:r>
      <w:r>
        <w:rPr>
          <w:i/>
          <w:noProof/>
        </w:rPr>
        <w:t>platformo</w:t>
      </w:r>
      <w:r>
        <w:rPr>
          <w:noProof/>
        </w:rPr>
        <w:t xml:space="preserve"> incentivi.gov.it za kritje povezanih stroškov zbiranja, spremljanja in analize podatkov.</w:t>
      </w:r>
    </w:p>
    <w:p w14:paraId="062FEB8A" w14:textId="77777777" w:rsidR="00154E32" w:rsidRDefault="00A43E04">
      <w:pPr>
        <w:jc w:val="both"/>
        <w:rPr>
          <w:noProof/>
        </w:rPr>
      </w:pPr>
      <w:r>
        <w:rPr>
          <w:noProof/>
        </w:rPr>
        <w:t xml:space="preserve"> </w:t>
      </w:r>
      <w:r>
        <w:rPr>
          <w:noProof/>
        </w:rPr>
        <w:br/>
      </w:r>
    </w:p>
    <w:p w14:paraId="776BB644" w14:textId="77777777" w:rsidR="00154E32" w:rsidRDefault="00154E32">
      <w:pPr>
        <w:spacing w:before="120" w:after="120"/>
        <w:jc w:val="both"/>
        <w:rPr>
          <w:noProof/>
        </w:rPr>
        <w:sectPr w:rsidR="00154E32">
          <w:headerReference w:type="even" r:id="rId44"/>
          <w:headerReference w:type="default" r:id="rId45"/>
          <w:footerReference w:type="even" r:id="rId46"/>
          <w:footerReference w:type="default" r:id="rId47"/>
          <w:headerReference w:type="first" r:id="rId48"/>
          <w:footerReference w:type="first" r:id="rId49"/>
          <w:pgSz w:w="11907" w:h="16839"/>
          <w:pgMar w:top="1440" w:right="1440" w:bottom="1440" w:left="1440" w:header="567" w:footer="567" w:gutter="0"/>
          <w:cols w:space="720"/>
          <w:docGrid w:linePitch="360"/>
        </w:sectPr>
      </w:pPr>
    </w:p>
    <w:p w14:paraId="7A3C4430" w14:textId="77777777" w:rsidR="00154E32" w:rsidRDefault="00A43E04">
      <w:pPr>
        <w:pStyle w:val="Heading3"/>
        <w:numPr>
          <w:ilvl w:val="2"/>
          <w:numId w:val="0"/>
        </w:numPr>
        <w:ind w:left="850" w:hanging="850"/>
        <w:rPr>
          <w:b/>
          <w:i w:val="0"/>
          <w:noProof/>
          <w:u w:val="single"/>
        </w:rPr>
      </w:pPr>
      <w:r>
        <w:rPr>
          <w:b/>
          <w:i w:val="0"/>
          <w:noProof/>
          <w:u w:val="single"/>
        </w:rPr>
        <w:t xml:space="preserve">B.2. </w:t>
      </w:r>
      <w:r>
        <w:rPr>
          <w:noProof/>
        </w:rPr>
        <w:tab/>
      </w:r>
      <w:r>
        <w:rPr>
          <w:b/>
          <w:i w:val="0"/>
          <w:noProof/>
          <w:u w:val="single"/>
        </w:rPr>
        <w:t>Mejniki, cilji, kazalniki in časovni razpored za spremljanje in izvajanje nepovratne finančne podpore Naslednje;</w:t>
      </w:r>
    </w:p>
    <w:tbl>
      <w:tblPr>
        <w:tblW w:w="1557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1134"/>
        <w:gridCol w:w="1701"/>
        <w:gridCol w:w="1456"/>
        <w:gridCol w:w="960"/>
        <w:gridCol w:w="1127"/>
        <w:gridCol w:w="1276"/>
        <w:gridCol w:w="851"/>
        <w:gridCol w:w="708"/>
        <w:gridCol w:w="4094"/>
      </w:tblGrid>
      <w:tr w:rsidR="00154E32" w14:paraId="77911A0B" w14:textId="77777777">
        <w:trPr>
          <w:trHeight w:val="1020"/>
          <w:tblHeader/>
        </w:trPr>
        <w:tc>
          <w:tcPr>
            <w:tcW w:w="1135" w:type="dxa"/>
            <w:vMerge w:val="restart"/>
            <w:shd w:val="clear" w:color="auto" w:fill="C6D9F1"/>
            <w:vAlign w:val="center"/>
          </w:tcPr>
          <w:p w14:paraId="3BAD05C2" w14:textId="2804EF52" w:rsidR="00154E32" w:rsidRDefault="00A43E04">
            <w:pPr>
              <w:pStyle w:val="P68B1DB1-Normal9"/>
              <w:spacing w:before="120" w:after="120"/>
              <w:jc w:val="center"/>
              <w:rPr>
                <w:noProof/>
              </w:rPr>
            </w:pPr>
            <w:r>
              <w:rPr>
                <w:noProof/>
              </w:rPr>
              <w:t>Zaporedna številka</w:t>
            </w:r>
          </w:p>
        </w:tc>
        <w:tc>
          <w:tcPr>
            <w:tcW w:w="1134" w:type="dxa"/>
            <w:vMerge w:val="restart"/>
            <w:shd w:val="clear" w:color="auto" w:fill="C6D9F1"/>
            <w:vAlign w:val="center"/>
          </w:tcPr>
          <w:p w14:paraId="77C2AEC7" w14:textId="605DEB89" w:rsidR="00154E32" w:rsidRDefault="00A43E04">
            <w:pPr>
              <w:pStyle w:val="P68B1DB1-Normal9"/>
              <w:spacing w:before="120" w:after="120"/>
              <w:jc w:val="center"/>
              <w:rPr>
                <w:noProof/>
              </w:rPr>
            </w:pPr>
            <w:r>
              <w:rPr>
                <w:noProof/>
              </w:rPr>
              <w:t>Ukrep</w:t>
            </w:r>
          </w:p>
        </w:tc>
        <w:tc>
          <w:tcPr>
            <w:tcW w:w="1134" w:type="dxa"/>
            <w:vMerge w:val="restart"/>
            <w:shd w:val="clear" w:color="auto" w:fill="C6D9F1"/>
            <w:vAlign w:val="center"/>
          </w:tcPr>
          <w:p w14:paraId="02B7F731" w14:textId="0E21E34E" w:rsidR="00154E32" w:rsidRDefault="00A43E04">
            <w:pPr>
              <w:pStyle w:val="P68B1DB1-Normal9"/>
              <w:spacing w:before="120" w:after="120"/>
              <w:jc w:val="center"/>
              <w:rPr>
                <w:noProof/>
              </w:rPr>
            </w:pPr>
            <w:r>
              <w:rPr>
                <w:noProof/>
              </w:rPr>
              <w:t>Mejnik/cilj</w:t>
            </w:r>
          </w:p>
        </w:tc>
        <w:tc>
          <w:tcPr>
            <w:tcW w:w="1701" w:type="dxa"/>
            <w:vMerge w:val="restart"/>
            <w:shd w:val="clear" w:color="auto" w:fill="C6D9F1"/>
            <w:vAlign w:val="center"/>
          </w:tcPr>
          <w:p w14:paraId="6692BFAE" w14:textId="4519D677" w:rsidR="00154E32" w:rsidRDefault="00A43E04">
            <w:pPr>
              <w:pStyle w:val="P68B1DB1-Normal9"/>
              <w:spacing w:before="120" w:after="120"/>
              <w:jc w:val="center"/>
              <w:rPr>
                <w:noProof/>
              </w:rPr>
            </w:pPr>
            <w:r>
              <w:rPr>
                <w:noProof/>
              </w:rPr>
              <w:t>Ime</w:t>
            </w:r>
          </w:p>
        </w:tc>
        <w:tc>
          <w:tcPr>
            <w:tcW w:w="1456" w:type="dxa"/>
            <w:vMerge w:val="restart"/>
            <w:shd w:val="clear" w:color="auto" w:fill="C6D9F1"/>
            <w:vAlign w:val="center"/>
          </w:tcPr>
          <w:p w14:paraId="26D06EDA" w14:textId="0B4576BD" w:rsidR="00154E32" w:rsidRDefault="00A43E04">
            <w:pPr>
              <w:pStyle w:val="P68B1DB1-Normal10"/>
              <w:spacing w:before="120" w:after="120"/>
              <w:jc w:val="center"/>
              <w:rPr>
                <w:b/>
                <w:noProof/>
                <w:sz w:val="20"/>
              </w:rPr>
            </w:pPr>
            <w:r>
              <w:rPr>
                <w:b/>
                <w:noProof/>
                <w:sz w:val="20"/>
              </w:rPr>
              <w:t>Kakovostni kazalniki</w:t>
            </w:r>
            <w:r>
              <w:rPr>
                <w:noProof/>
              </w:rPr>
              <w:t xml:space="preserve"> </w:t>
            </w:r>
            <w:r>
              <w:rPr>
                <w:noProof/>
              </w:rPr>
              <w:br/>
            </w:r>
            <w:r>
              <w:rPr>
                <w:b/>
                <w:noProof/>
                <w:sz w:val="20"/>
              </w:rPr>
              <w:t>(za mejnike)</w:t>
            </w:r>
          </w:p>
        </w:tc>
        <w:tc>
          <w:tcPr>
            <w:tcW w:w="3363" w:type="dxa"/>
            <w:gridSpan w:val="3"/>
            <w:tcBorders>
              <w:top w:val="single" w:sz="4" w:space="0" w:color="auto"/>
              <w:left w:val="single" w:sz="4" w:space="0" w:color="auto"/>
              <w:bottom w:val="single" w:sz="4" w:space="0" w:color="auto"/>
              <w:right w:val="single" w:sz="4" w:space="0" w:color="auto"/>
            </w:tcBorders>
            <w:shd w:val="clear" w:color="auto" w:fill="C6D9F1"/>
            <w:vAlign w:val="center"/>
          </w:tcPr>
          <w:p w14:paraId="7775B39F" w14:textId="14D3DE95" w:rsidR="00154E32" w:rsidRDefault="00A43E04">
            <w:pPr>
              <w:pStyle w:val="P68B1DB1-Normal10"/>
              <w:spacing w:before="120" w:after="120"/>
              <w:jc w:val="center"/>
              <w:rPr>
                <w:b/>
                <w:noProof/>
                <w:sz w:val="20"/>
              </w:rPr>
            </w:pPr>
            <w:r>
              <w:rPr>
                <w:b/>
                <w:noProof/>
                <w:sz w:val="20"/>
              </w:rPr>
              <w:t>Kvantitativni kazalniki</w:t>
            </w:r>
            <w:r>
              <w:rPr>
                <w:noProof/>
              </w:rPr>
              <w:t xml:space="preserve"> </w:t>
            </w:r>
            <w:r>
              <w:rPr>
                <w:noProof/>
              </w:rPr>
              <w:br/>
            </w:r>
            <w:r>
              <w:rPr>
                <w:b/>
                <w:noProof/>
                <w:sz w:val="20"/>
              </w:rPr>
              <w:t>(za ciljne vrednosti)</w:t>
            </w:r>
          </w:p>
        </w:tc>
        <w:tc>
          <w:tcPr>
            <w:tcW w:w="1559" w:type="dxa"/>
            <w:gridSpan w:val="2"/>
            <w:tcBorders>
              <w:top w:val="single" w:sz="4" w:space="0" w:color="auto"/>
              <w:left w:val="single" w:sz="4" w:space="0" w:color="auto"/>
              <w:bottom w:val="single" w:sz="4" w:space="0" w:color="auto"/>
              <w:right w:val="single" w:sz="4" w:space="0" w:color="auto"/>
            </w:tcBorders>
            <w:shd w:val="clear" w:color="auto" w:fill="C6D9F1"/>
            <w:vAlign w:val="center"/>
          </w:tcPr>
          <w:p w14:paraId="2BE54DF2" w14:textId="5D9994ED" w:rsidR="00154E32" w:rsidRDefault="00A43E04">
            <w:pPr>
              <w:pStyle w:val="P68B1DB1-Normal9"/>
              <w:spacing w:before="120" w:after="120"/>
              <w:jc w:val="center"/>
              <w:rPr>
                <w:noProof/>
              </w:rPr>
            </w:pPr>
            <w:r>
              <w:rPr>
                <w:noProof/>
              </w:rPr>
              <w:t>Okvirni časovni razpored za dokončanje</w:t>
            </w:r>
          </w:p>
        </w:tc>
        <w:tc>
          <w:tcPr>
            <w:tcW w:w="4094" w:type="dxa"/>
            <w:vMerge w:val="restart"/>
            <w:tcBorders>
              <w:top w:val="single" w:sz="4" w:space="0" w:color="auto"/>
              <w:left w:val="single" w:sz="4" w:space="0" w:color="auto"/>
              <w:right w:val="single" w:sz="4" w:space="0" w:color="auto"/>
            </w:tcBorders>
            <w:shd w:val="clear" w:color="auto" w:fill="C6D9F1"/>
            <w:vAlign w:val="center"/>
          </w:tcPr>
          <w:p w14:paraId="16EC0539" w14:textId="79492987" w:rsidR="00154E32" w:rsidRDefault="00A43E04">
            <w:pPr>
              <w:pStyle w:val="P68B1DB1-Normal9"/>
              <w:spacing w:before="120" w:after="120"/>
              <w:rPr>
                <w:noProof/>
              </w:rPr>
            </w:pPr>
            <w:r>
              <w:rPr>
                <w:noProof/>
              </w:rPr>
              <w:t>Opis vsakega mejnika in cilja</w:t>
            </w:r>
          </w:p>
        </w:tc>
      </w:tr>
      <w:tr w:rsidR="00154E32" w14:paraId="24CD4632" w14:textId="77777777">
        <w:trPr>
          <w:trHeight w:val="718"/>
          <w:tblHeader/>
        </w:trPr>
        <w:tc>
          <w:tcPr>
            <w:tcW w:w="1135" w:type="dxa"/>
            <w:vMerge/>
            <w:shd w:val="clear" w:color="auto" w:fill="C6D9F1"/>
            <w:vAlign w:val="center"/>
          </w:tcPr>
          <w:p w14:paraId="42E05AB3" w14:textId="62199909" w:rsidR="00154E32" w:rsidRDefault="00154E32">
            <w:pPr>
              <w:spacing w:before="120" w:after="120"/>
              <w:jc w:val="center"/>
              <w:rPr>
                <w:rFonts w:ascii="Arial Narrow" w:hAnsi="Arial Narrow"/>
                <w:noProof/>
                <w:sz w:val="20"/>
              </w:rPr>
            </w:pPr>
          </w:p>
        </w:tc>
        <w:tc>
          <w:tcPr>
            <w:tcW w:w="1134" w:type="dxa"/>
            <w:vMerge/>
            <w:shd w:val="clear" w:color="auto" w:fill="C6D9F1"/>
            <w:vAlign w:val="center"/>
          </w:tcPr>
          <w:p w14:paraId="340453B4" w14:textId="00A8ADA1" w:rsidR="00154E32" w:rsidRDefault="00154E32">
            <w:pPr>
              <w:spacing w:before="120" w:after="120"/>
              <w:jc w:val="center"/>
              <w:rPr>
                <w:rFonts w:ascii="Arial Narrow" w:hAnsi="Arial Narrow"/>
                <w:noProof/>
                <w:sz w:val="20"/>
              </w:rPr>
            </w:pPr>
          </w:p>
        </w:tc>
        <w:tc>
          <w:tcPr>
            <w:tcW w:w="1134" w:type="dxa"/>
            <w:vMerge/>
            <w:shd w:val="clear" w:color="auto" w:fill="C6D9F1"/>
            <w:vAlign w:val="center"/>
          </w:tcPr>
          <w:p w14:paraId="250BEF98" w14:textId="01E671CE" w:rsidR="00154E32" w:rsidRDefault="00154E32">
            <w:pPr>
              <w:spacing w:before="120" w:after="120"/>
              <w:jc w:val="center"/>
              <w:rPr>
                <w:rFonts w:ascii="Arial Narrow" w:hAnsi="Arial Narrow"/>
                <w:noProof/>
                <w:sz w:val="20"/>
              </w:rPr>
            </w:pPr>
          </w:p>
        </w:tc>
        <w:tc>
          <w:tcPr>
            <w:tcW w:w="1701" w:type="dxa"/>
            <w:vMerge/>
            <w:shd w:val="clear" w:color="auto" w:fill="C6D9F1"/>
            <w:vAlign w:val="center"/>
          </w:tcPr>
          <w:p w14:paraId="55F34D78" w14:textId="4CCA247B" w:rsidR="00154E32" w:rsidRDefault="00154E32">
            <w:pPr>
              <w:spacing w:before="120" w:after="120"/>
              <w:jc w:val="center"/>
              <w:rPr>
                <w:rFonts w:ascii="Arial Narrow" w:hAnsi="Arial Narrow"/>
                <w:noProof/>
                <w:sz w:val="20"/>
              </w:rPr>
            </w:pPr>
          </w:p>
        </w:tc>
        <w:tc>
          <w:tcPr>
            <w:tcW w:w="1456" w:type="dxa"/>
            <w:vMerge/>
            <w:shd w:val="clear" w:color="auto" w:fill="C6D9F1"/>
            <w:vAlign w:val="center"/>
          </w:tcPr>
          <w:p w14:paraId="71EFD7B9" w14:textId="451EE1D3" w:rsidR="00154E32" w:rsidRDefault="00154E32">
            <w:pPr>
              <w:spacing w:before="120" w:after="120"/>
              <w:jc w:val="center"/>
              <w:rPr>
                <w:rFonts w:ascii="Arial Narrow" w:hAnsi="Arial Narrow"/>
                <w:noProof/>
                <w:sz w:val="20"/>
              </w:rPr>
            </w:pPr>
          </w:p>
        </w:tc>
        <w:tc>
          <w:tcPr>
            <w:tcW w:w="960" w:type="dxa"/>
            <w:tcBorders>
              <w:top w:val="single" w:sz="4" w:space="0" w:color="auto"/>
              <w:left w:val="single" w:sz="4" w:space="0" w:color="auto"/>
              <w:bottom w:val="single" w:sz="4" w:space="0" w:color="auto"/>
              <w:right w:val="single" w:sz="4" w:space="0" w:color="auto"/>
            </w:tcBorders>
            <w:shd w:val="clear" w:color="auto" w:fill="C6D9F1"/>
            <w:vAlign w:val="center"/>
          </w:tcPr>
          <w:p w14:paraId="1933B9F6" w14:textId="5BE37DC8" w:rsidR="00154E32" w:rsidRDefault="00A43E04">
            <w:pPr>
              <w:pStyle w:val="P68B1DB1-Normal9"/>
              <w:spacing w:before="120" w:after="120"/>
              <w:jc w:val="center"/>
              <w:rPr>
                <w:noProof/>
              </w:rPr>
            </w:pPr>
            <w:r>
              <w:rPr>
                <w:noProof/>
              </w:rPr>
              <w:t>Merska enota</w:t>
            </w:r>
          </w:p>
        </w:tc>
        <w:tc>
          <w:tcPr>
            <w:tcW w:w="1127" w:type="dxa"/>
            <w:tcBorders>
              <w:top w:val="single" w:sz="4" w:space="0" w:color="auto"/>
              <w:left w:val="single" w:sz="4" w:space="0" w:color="auto"/>
              <w:bottom w:val="single" w:sz="4" w:space="0" w:color="auto"/>
              <w:right w:val="single" w:sz="4" w:space="0" w:color="auto"/>
            </w:tcBorders>
            <w:shd w:val="clear" w:color="auto" w:fill="C6D9F1"/>
            <w:vAlign w:val="center"/>
          </w:tcPr>
          <w:p w14:paraId="7071DF9E" w14:textId="415D3A26" w:rsidR="00154E32" w:rsidRDefault="00A43E04">
            <w:pPr>
              <w:pStyle w:val="P68B1DB1-Normal9"/>
              <w:spacing w:before="120" w:after="120"/>
              <w:jc w:val="center"/>
              <w:rPr>
                <w:noProof/>
              </w:rPr>
            </w:pPr>
            <w:r>
              <w:rPr>
                <w:noProof/>
              </w:rPr>
              <w:t>Izhodišče</w:t>
            </w:r>
          </w:p>
        </w:tc>
        <w:tc>
          <w:tcPr>
            <w:tcW w:w="1276" w:type="dxa"/>
            <w:tcBorders>
              <w:top w:val="single" w:sz="4" w:space="0" w:color="auto"/>
              <w:left w:val="single" w:sz="4" w:space="0" w:color="auto"/>
              <w:bottom w:val="single" w:sz="4" w:space="0" w:color="auto"/>
              <w:right w:val="single" w:sz="4" w:space="0" w:color="auto"/>
            </w:tcBorders>
            <w:shd w:val="clear" w:color="auto" w:fill="C6D9F1"/>
            <w:vAlign w:val="center"/>
          </w:tcPr>
          <w:p w14:paraId="5B9C94A7" w14:textId="308C8B23" w:rsidR="00154E32" w:rsidRDefault="00A43E04">
            <w:pPr>
              <w:pStyle w:val="P68B1DB1-Normal9"/>
              <w:spacing w:before="120" w:after="120"/>
              <w:jc w:val="center"/>
              <w:rPr>
                <w:noProof/>
              </w:rPr>
            </w:pPr>
            <w:r>
              <w:rPr>
                <w:noProof/>
              </w:rPr>
              <w:t>Cilj</w:t>
            </w:r>
          </w:p>
        </w:tc>
        <w:tc>
          <w:tcPr>
            <w:tcW w:w="851" w:type="dxa"/>
            <w:tcBorders>
              <w:top w:val="single" w:sz="4" w:space="0" w:color="auto"/>
              <w:left w:val="single" w:sz="4" w:space="0" w:color="auto"/>
              <w:bottom w:val="single" w:sz="4" w:space="0" w:color="auto"/>
              <w:right w:val="single" w:sz="4" w:space="0" w:color="auto"/>
            </w:tcBorders>
            <w:shd w:val="clear" w:color="auto" w:fill="C6D9F1"/>
            <w:vAlign w:val="center"/>
          </w:tcPr>
          <w:p w14:paraId="20FFA602" w14:textId="1AC2948F" w:rsidR="00154E32" w:rsidRDefault="00A43E04">
            <w:pPr>
              <w:pStyle w:val="P68B1DB1-Normal9"/>
              <w:spacing w:before="120" w:after="120"/>
              <w:jc w:val="center"/>
              <w:rPr>
                <w:noProof/>
              </w:rPr>
            </w:pPr>
            <w:r>
              <w:rPr>
                <w:noProof/>
              </w:rPr>
              <w:t>Četrtletje</w:t>
            </w:r>
          </w:p>
        </w:tc>
        <w:tc>
          <w:tcPr>
            <w:tcW w:w="708" w:type="dxa"/>
            <w:tcBorders>
              <w:top w:val="single" w:sz="4" w:space="0" w:color="auto"/>
              <w:left w:val="single" w:sz="4" w:space="0" w:color="auto"/>
              <w:bottom w:val="single" w:sz="4" w:space="0" w:color="auto"/>
              <w:right w:val="single" w:sz="4" w:space="0" w:color="auto"/>
            </w:tcBorders>
            <w:shd w:val="clear" w:color="auto" w:fill="C6D9F1"/>
            <w:vAlign w:val="center"/>
          </w:tcPr>
          <w:p w14:paraId="0A905E51" w14:textId="35C9F96F" w:rsidR="00154E32" w:rsidRDefault="00A43E04">
            <w:pPr>
              <w:pStyle w:val="P68B1DB1-Normal9"/>
              <w:spacing w:before="120" w:after="120"/>
              <w:jc w:val="center"/>
              <w:rPr>
                <w:noProof/>
              </w:rPr>
            </w:pPr>
            <w:r>
              <w:rPr>
                <w:noProof/>
              </w:rPr>
              <w:t>Leto</w:t>
            </w:r>
          </w:p>
        </w:tc>
        <w:tc>
          <w:tcPr>
            <w:tcW w:w="4094" w:type="dxa"/>
            <w:vMerge/>
            <w:tcBorders>
              <w:left w:val="single" w:sz="4" w:space="0" w:color="auto"/>
              <w:bottom w:val="single" w:sz="4" w:space="0" w:color="auto"/>
              <w:right w:val="single" w:sz="4" w:space="0" w:color="auto"/>
            </w:tcBorders>
            <w:shd w:val="clear" w:color="auto" w:fill="C6D9F1"/>
            <w:vAlign w:val="center"/>
          </w:tcPr>
          <w:p w14:paraId="5F7EF6C1" w14:textId="77777777" w:rsidR="00154E32" w:rsidRDefault="00154E32">
            <w:pPr>
              <w:spacing w:before="120" w:after="120"/>
              <w:rPr>
                <w:rFonts w:ascii="Arial Narrow" w:hAnsi="Arial Narrow"/>
                <w:noProof/>
                <w:sz w:val="20"/>
              </w:rPr>
            </w:pPr>
          </w:p>
        </w:tc>
      </w:tr>
      <w:tr w:rsidR="00154E32" w14:paraId="08E774D5"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2CD8173C" w14:textId="77777777" w:rsidR="00154E32" w:rsidRDefault="00A43E04">
            <w:pPr>
              <w:pStyle w:val="P68B1DB1-Normal11"/>
              <w:jc w:val="center"/>
              <w:rPr>
                <w:noProof/>
              </w:rPr>
            </w:pPr>
            <w:r>
              <w:rPr>
                <w:noProof/>
              </w:rPr>
              <w:t>M1C2–1</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79002106" w14:textId="77777777" w:rsidR="00154E32" w:rsidRDefault="00A43E04">
            <w:pPr>
              <w:pStyle w:val="P68B1DB1-Normal11"/>
              <w:jc w:val="center"/>
              <w:rPr>
                <w:noProof/>
              </w:rPr>
            </w:pPr>
            <w:r>
              <w:rPr>
                <w:noProof/>
              </w:rPr>
              <w:t>Naložba 1: Prehod 4.0</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14FFE748" w14:textId="77777777" w:rsidR="00154E32" w:rsidRDefault="00A43E04">
            <w:pPr>
              <w:pStyle w:val="P68B1DB1-Normal11"/>
              <w:jc w:val="center"/>
              <w:rPr>
                <w:noProof/>
              </w:rPr>
            </w:pPr>
            <w:r>
              <w:rPr>
                <w:noProof/>
              </w:rPr>
              <w:t>Mejnik</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385871A0" w14:textId="77777777" w:rsidR="00154E32" w:rsidRDefault="00A43E04">
            <w:pPr>
              <w:pStyle w:val="P68B1DB1-Normal11"/>
              <w:jc w:val="center"/>
              <w:rPr>
                <w:noProof/>
              </w:rPr>
            </w:pPr>
            <w:r>
              <w:rPr>
                <w:noProof/>
              </w:rPr>
              <w:t>Začetek veljavnosti pravnih aktov, s katerimi se potencialnim upravičencem dajo na voljo davčni dobropisi v okviru prehoda 4.0, in ustanovitev znanstvenega odbora</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340BD101" w14:textId="77777777" w:rsidR="00154E32" w:rsidRDefault="00A43E04">
            <w:pPr>
              <w:pStyle w:val="P68B1DB1-Normal11"/>
              <w:jc w:val="center"/>
              <w:rPr>
                <w:noProof/>
              </w:rPr>
            </w:pPr>
            <w:r>
              <w:rPr>
                <w:noProof/>
              </w:rPr>
              <w:t>Določba zakona o začetku veljavnosti proračunskega zakona, ki omogoča davčne dobropise, in določba v povezanih izvedbenih aktih, v katerih je naveden začetek njihove veljavnosti</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445DF0F3" w14:textId="77777777" w:rsidR="00154E32" w:rsidRDefault="00A43E04">
            <w:pPr>
              <w:pStyle w:val="P68B1DB1-Normal11"/>
              <w:jc w:val="center"/>
              <w:rPr>
                <w:noProof/>
              </w:rPr>
            </w:pPr>
            <w:r>
              <w:rPr>
                <w:noProof/>
              </w:rPr>
              <w:t>JIH NI</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62F16F18" w14:textId="77777777" w:rsidR="00154E32" w:rsidRDefault="00A43E04">
            <w:pPr>
              <w:pStyle w:val="P68B1DB1-Normal11"/>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633FDD3C" w14:textId="77777777" w:rsidR="00154E32" w:rsidRDefault="00A43E04">
            <w:pPr>
              <w:pStyle w:val="P68B1DB1-Normal11"/>
              <w:jc w:val="center"/>
              <w:rPr>
                <w:noProof/>
              </w:rPr>
            </w:pPr>
            <w:r>
              <w:rPr>
                <w:noProof/>
              </w:rPr>
              <w:t>JIH NI</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241727C2" w14:textId="77777777" w:rsidR="00154E32" w:rsidRDefault="00A43E04">
            <w:pPr>
              <w:pStyle w:val="P68B1DB1-Normal11"/>
              <w:jc w:val="center"/>
              <w:rPr>
                <w:noProof/>
              </w:rPr>
            </w:pPr>
            <w:r>
              <w:rPr>
                <w:noProof/>
              </w:rPr>
              <w:t>Q4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275CF29A" w14:textId="77777777" w:rsidR="00154E32" w:rsidRDefault="00A43E04">
            <w:pPr>
              <w:pStyle w:val="P68B1DB1-Normal11"/>
              <w:jc w:val="center"/>
              <w:rPr>
                <w:noProof/>
              </w:rPr>
            </w:pPr>
            <w:r>
              <w:rPr>
                <w:noProof/>
              </w:rPr>
              <w:t>2021</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33D3CF78" w14:textId="77777777" w:rsidR="00154E32" w:rsidRDefault="00A43E04">
            <w:pPr>
              <w:pStyle w:val="P68B1DB1-Normal11"/>
              <w:rPr>
                <w:noProof/>
              </w:rPr>
            </w:pPr>
            <w:r>
              <w:rPr>
                <w:noProof/>
              </w:rPr>
              <w:t>S pravnimi akti se potencialnim upravičencem dajo na voljo davčni dobropisi v okviru prehoda 4.0. To so davčne olajšave za (i) 4.0 (tj. tehnološko napredna) opredmetena osnovna sredstva, (ii) 4.0 neopredmetena osnovna sredstva, (iii) standardna neopredmetena osnovna sredstva, (iv) raziskovalne, razvojne in inovacijske dejavnosti ter (v) dejavnosti usposabljanja.</w:t>
            </w:r>
          </w:p>
          <w:p w14:paraId="5FCAFA0C" w14:textId="77777777" w:rsidR="00154E32" w:rsidRDefault="00A43E04">
            <w:pPr>
              <w:pStyle w:val="P68B1DB1-Normal11"/>
              <w:rPr>
                <w:noProof/>
              </w:rPr>
            </w:pPr>
            <w:r>
              <w:rPr>
                <w:noProof/>
              </w:rPr>
              <w:t>Šifre davčnih dobropisov se opredelijo s sklepom agencije za prihodke, da se upravičencem omogoči uporaba davčnih odbitkov z modelom plačila F24. S sprejetjem ministrskega odloka se ustanovi znanstveni odbor, ki vključuje strokovnjake ministrstva za gospodarstvo in finance, ministrstva za gospodarski razvoj in Banke Italije, da se oceni gospodarski učinek davčnih dobropisov v okviru prehoda 4.0.</w:t>
            </w:r>
          </w:p>
        </w:tc>
      </w:tr>
      <w:tr w:rsidR="00154E32" w14:paraId="7744D97D"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3279B405" w14:textId="77777777" w:rsidR="00154E32" w:rsidRDefault="00A43E04">
            <w:pPr>
              <w:pStyle w:val="P68B1DB1-Normal11"/>
              <w:spacing w:before="120" w:after="120"/>
              <w:jc w:val="center"/>
              <w:rPr>
                <w:noProof/>
              </w:rPr>
            </w:pPr>
            <w:r>
              <w:rPr>
                <w:noProof/>
              </w:rPr>
              <w:t>M1C2–2</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01FBF6D7" w14:textId="77777777" w:rsidR="00154E32" w:rsidRDefault="00A43E04">
            <w:pPr>
              <w:pStyle w:val="P68B1DB1-Normal11"/>
              <w:spacing w:before="120" w:after="120"/>
              <w:jc w:val="center"/>
              <w:rPr>
                <w:noProof/>
              </w:rPr>
            </w:pPr>
            <w:r>
              <w:rPr>
                <w:noProof/>
              </w:rPr>
              <w:t>Naložba 1: Prehod 4.0</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3A395379" w14:textId="77777777" w:rsidR="00154E32" w:rsidRDefault="00A43E04">
            <w:pPr>
              <w:pStyle w:val="P68B1DB1-Normal11"/>
              <w:spacing w:before="120" w:after="120"/>
              <w:jc w:val="center"/>
              <w:rPr>
                <w:noProof/>
              </w:rPr>
            </w:pPr>
            <w:r>
              <w:rPr>
                <w:noProof/>
              </w:rPr>
              <w:t>Tarča</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444419BB" w14:textId="77777777" w:rsidR="00154E32" w:rsidRDefault="00A43E04">
            <w:pPr>
              <w:pStyle w:val="P68B1DB1-Normal11"/>
              <w:spacing w:before="120" w:after="120"/>
              <w:jc w:val="center"/>
              <w:rPr>
                <w:noProof/>
              </w:rPr>
            </w:pPr>
            <w:r>
              <w:rPr>
                <w:noProof/>
              </w:rPr>
              <w:t>Prehod 4.0 davčni dobropisi, odobreni podjetjem na podlagi davčnih napovedi, predloženih v obdobju 2021–2022</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039C0470" w14:textId="77777777" w:rsidR="00154E32" w:rsidRDefault="00A43E04">
            <w:pPr>
              <w:pStyle w:val="P68B1DB1-Normal11"/>
              <w:spacing w:before="120" w:after="120"/>
              <w:jc w:val="center"/>
              <w:rPr>
                <w:noProof/>
              </w:rPr>
            </w:pPr>
            <w:r>
              <w:rPr>
                <w:noProof/>
              </w:rPr>
              <w:t>JIH NI</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1362E693" w14:textId="77777777" w:rsidR="00154E32" w:rsidRDefault="00A43E04">
            <w:pPr>
              <w:pStyle w:val="P68B1DB1-Normal11"/>
              <w:spacing w:before="120" w:after="120"/>
              <w:jc w:val="center"/>
              <w:rPr>
                <w:noProof/>
              </w:rPr>
            </w:pPr>
            <w:r>
              <w:rPr>
                <w:noProof/>
              </w:rPr>
              <w:t>Število</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54345D7C" w14:textId="77777777" w:rsidR="00154E32" w:rsidRDefault="00A43E04">
            <w:pPr>
              <w:pStyle w:val="P68B1DB1-Normal11"/>
              <w:spacing w:before="120" w:after="120"/>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77F32DD8" w14:textId="75525655" w:rsidR="00154E32" w:rsidRDefault="00A43E04">
            <w:pPr>
              <w:pStyle w:val="P68B1DB1-Normal11"/>
              <w:spacing w:before="120" w:after="120"/>
              <w:jc w:val="center"/>
              <w:rPr>
                <w:noProof/>
              </w:rPr>
            </w:pPr>
            <w:r>
              <w:rPr>
                <w:noProof/>
              </w:rPr>
              <w:t>69 900</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4732A277" w14:textId="77777777" w:rsidR="00154E32" w:rsidRDefault="00A43E04">
            <w:pPr>
              <w:pStyle w:val="P68B1DB1-Normal11"/>
              <w:spacing w:before="120" w:after="120"/>
              <w:jc w:val="center"/>
              <w:rPr>
                <w:noProof/>
              </w:rPr>
            </w:pPr>
            <w:r>
              <w:rPr>
                <w:noProof/>
              </w:rPr>
              <w:t>Q2</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7C8F97C1" w14:textId="77777777" w:rsidR="00154E32" w:rsidRDefault="00A43E04">
            <w:pPr>
              <w:pStyle w:val="P68B1DB1-Normal11"/>
              <w:spacing w:before="120" w:after="120"/>
              <w:jc w:val="center"/>
              <w:rPr>
                <w:noProof/>
              </w:rPr>
            </w:pPr>
            <w:r>
              <w:rPr>
                <w:noProof/>
              </w:rPr>
              <w:t>2024</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2BBDAFDD" w14:textId="17B4D00D" w:rsidR="00154E32" w:rsidRDefault="00A43E04">
            <w:pPr>
              <w:pStyle w:val="P68B1DB1-Normal12"/>
              <w:rPr>
                <w:rFonts w:ascii="Arial Narrow" w:hAnsi="Arial Narrow"/>
                <w:noProof/>
              </w:rPr>
            </w:pPr>
            <w:r>
              <w:rPr>
                <w:rFonts w:ascii="Arial Narrow" w:hAnsi="Arial Narrow"/>
                <w:noProof/>
              </w:rPr>
              <w:t>Podjetjem je bilo na podlagi davčnih napovedi, predloženih med 1. januarjem 2021 in 31. decembrom 2022, odobrenih vsaj 69900 davčnih olajšav v okviru prehoda 4.0 v zvezi s 4.0 opredmetenimi osnovnimi sredstvi, 4.0 neopredmetenimi investicijskimi sredstvi, raziskovalnimi, razvojnimi in inovacijskimi dejavnostmi ali dejavnostmi usposabljanja. Pričakuje se zlasti, da:</w:t>
            </w:r>
          </w:p>
          <w:p w14:paraId="271088BA" w14:textId="6AE1E289" w:rsidR="00154E32" w:rsidRDefault="00A43E04">
            <w:pPr>
              <w:pStyle w:val="P68B1DB1-Normal12"/>
              <w:rPr>
                <w:rFonts w:ascii="Arial Narrow" w:hAnsi="Arial Narrow"/>
                <w:noProof/>
              </w:rPr>
            </w:pPr>
            <w:r>
              <w:rPr>
                <w:rFonts w:ascii="Arial Narrow" w:hAnsi="Arial Narrow"/>
                <w:noProof/>
              </w:rPr>
              <w:t>- na podlagi davčnih napovedi, predloženih med 1. januarjem 2021 in 31. decembrom 2022, je bilo podjetjem odobrenih vsaj17700 davčnih dobropisov za 4,0 opredmetena osnovna sredstva;</w:t>
            </w:r>
          </w:p>
          <w:p w14:paraId="405A2070" w14:textId="3C1D7089" w:rsidR="00154E32" w:rsidRDefault="00A43E04">
            <w:pPr>
              <w:pStyle w:val="P68B1DB1-Normal12"/>
              <w:rPr>
                <w:rFonts w:ascii="Arial Narrow" w:hAnsi="Arial Narrow"/>
                <w:noProof/>
              </w:rPr>
            </w:pPr>
            <w:r>
              <w:rPr>
                <w:rFonts w:ascii="Arial Narrow" w:hAnsi="Arial Narrow"/>
                <w:noProof/>
              </w:rPr>
              <w:t>- na podlagi davčnih napovedi, predloženih med 1. januarjem 2021 in 31. decembrom 2022, je bilo podjetjem odobrenih vsaj27300 davčnih dobropisov za neopredmetena osnovna sredstva 4,0;</w:t>
            </w:r>
          </w:p>
          <w:p w14:paraId="5C9B2C7F" w14:textId="66F93C0D" w:rsidR="00154E32" w:rsidRDefault="00A43E04">
            <w:pPr>
              <w:pStyle w:val="P68B1DB1-Normal12"/>
              <w:rPr>
                <w:rFonts w:ascii="Arial Narrow" w:hAnsi="Arial Narrow"/>
                <w:noProof/>
              </w:rPr>
            </w:pPr>
            <w:r>
              <w:rPr>
                <w:rFonts w:ascii="Arial Narrow" w:hAnsi="Arial Narrow"/>
                <w:noProof/>
              </w:rPr>
              <w:t>- na podlagi davčnih napovedi, predloženih med 1. januarjem 2021 in 31. decembrom 2022, je bilo podjetjem odobrenih vsaj13600 davčnih dobropisov za standardno neopredmeteno investicijsko blago;</w:t>
            </w:r>
          </w:p>
          <w:p w14:paraId="4806ECBD" w14:textId="4594E6A2" w:rsidR="00154E32" w:rsidRDefault="00A43E04">
            <w:pPr>
              <w:pStyle w:val="P68B1DB1-Normal12"/>
              <w:rPr>
                <w:rFonts w:ascii="Arial Narrow" w:hAnsi="Arial Narrow"/>
                <w:noProof/>
              </w:rPr>
            </w:pPr>
            <w:r>
              <w:rPr>
                <w:rFonts w:ascii="Arial Narrow" w:hAnsi="Arial Narrow"/>
                <w:noProof/>
              </w:rPr>
              <w:t>- na podlagi davčnih napovedi, predloženih med 1. januarjem in 31. decembrom 2022, je bilo podjetjem odobrenih vsaj10300 davčnih olajšav za raziskovalne, razvojne in inovacijske dejavnosti;</w:t>
            </w:r>
          </w:p>
          <w:p w14:paraId="4CB4D804" w14:textId="242BE434" w:rsidR="00154E32" w:rsidRDefault="00A43E04">
            <w:pPr>
              <w:pStyle w:val="P68B1DB1-Normal12"/>
              <w:rPr>
                <w:rFonts w:ascii="Arial Narrow" w:hAnsi="Arial Narrow"/>
                <w:noProof/>
              </w:rPr>
            </w:pPr>
            <w:r>
              <w:rPr>
                <w:rFonts w:ascii="Arial Narrow" w:hAnsi="Arial Narrow"/>
                <w:noProof/>
              </w:rPr>
              <w:t>- na podlagi davčnih napovedi, predloženih med 1. januarjem in 31. decembrom 2022, je bilo podjetjem odobrenih vsaj 1000davčnih olajšav za dejavnosti usposabljanja.</w:t>
            </w:r>
          </w:p>
          <w:p w14:paraId="5282996D" w14:textId="0B315898" w:rsidR="00154E32" w:rsidRDefault="00A43E04">
            <w:pPr>
              <w:pStyle w:val="P68B1DB1-Normal11"/>
              <w:rPr>
                <w:noProof/>
              </w:rPr>
            </w:pPr>
            <w:r>
              <w:rPr>
                <w:noProof/>
              </w:rPr>
              <w:t>Za podjetja, katerih davčno leto ne ustreza koledarskemu letu, se konec zadevnega obdobja za predložitev davčnih napovedi, povezanih z vsemi zgoraj navedenimi davčnimi odbitki, podaljša od 31. decembra 2022 do 30. novembra 2023.</w:t>
            </w:r>
          </w:p>
        </w:tc>
      </w:tr>
      <w:tr w:rsidR="00154E32" w14:paraId="79C117EC"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27588A05" w14:textId="77777777" w:rsidR="00154E32" w:rsidRDefault="00A43E04">
            <w:pPr>
              <w:pStyle w:val="P68B1DB1-Normal11"/>
              <w:spacing w:before="120" w:after="120"/>
              <w:jc w:val="center"/>
              <w:rPr>
                <w:noProof/>
              </w:rPr>
            </w:pPr>
            <w:r>
              <w:rPr>
                <w:noProof/>
              </w:rPr>
              <w:t>M1C2–3</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0AB3B42B" w14:textId="77777777" w:rsidR="00154E32" w:rsidRDefault="00A43E04">
            <w:pPr>
              <w:pStyle w:val="P68B1DB1-Normal11"/>
              <w:spacing w:before="120" w:after="120"/>
              <w:jc w:val="center"/>
              <w:rPr>
                <w:noProof/>
              </w:rPr>
            </w:pPr>
            <w:r>
              <w:rPr>
                <w:noProof/>
              </w:rPr>
              <w:t>Naložba 1: Prehod 4.0</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2B137AA3" w14:textId="77777777" w:rsidR="00154E32" w:rsidRDefault="00A43E04">
            <w:pPr>
              <w:pStyle w:val="P68B1DB1-Normal11"/>
              <w:spacing w:before="120" w:after="120"/>
              <w:jc w:val="center"/>
              <w:rPr>
                <w:noProof/>
              </w:rPr>
            </w:pPr>
            <w:r>
              <w:rPr>
                <w:noProof/>
              </w:rPr>
              <w:t>Tarča</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25548EB7" w14:textId="77777777" w:rsidR="00154E32" w:rsidRDefault="00A43E04">
            <w:pPr>
              <w:pStyle w:val="P68B1DB1-Normal11"/>
              <w:spacing w:before="120" w:after="120"/>
              <w:jc w:val="center"/>
              <w:rPr>
                <w:noProof/>
              </w:rPr>
            </w:pPr>
            <w:r>
              <w:rPr>
                <w:noProof/>
              </w:rPr>
              <w:t>Prehod 4.0 davčni dobropisi, odobreni podjetjem na podlagi davčnih napovedi, predstavljenih v obdobju 2021–2023</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37F3D19B" w14:textId="77777777" w:rsidR="00154E32" w:rsidRDefault="00A43E04">
            <w:pPr>
              <w:pStyle w:val="P68B1DB1-Normal11"/>
              <w:spacing w:before="120" w:after="120"/>
              <w:jc w:val="center"/>
              <w:rPr>
                <w:noProof/>
              </w:rPr>
            </w:pPr>
            <w:r>
              <w:rPr>
                <w:noProof/>
              </w:rPr>
              <w:t>JIH NI</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1FBCF9F5" w14:textId="77777777" w:rsidR="00154E32" w:rsidRDefault="00A43E04">
            <w:pPr>
              <w:pStyle w:val="P68B1DB1-Normal11"/>
              <w:spacing w:before="120" w:after="120"/>
              <w:jc w:val="center"/>
              <w:rPr>
                <w:noProof/>
              </w:rPr>
            </w:pPr>
            <w:r>
              <w:rPr>
                <w:noProof/>
              </w:rPr>
              <w:t>Število</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2FCDECE5" w14:textId="555C14A8" w:rsidR="00154E32" w:rsidRDefault="00A43E04">
            <w:pPr>
              <w:pStyle w:val="P68B1DB1-Normal11"/>
              <w:spacing w:before="120" w:after="120"/>
              <w:jc w:val="center"/>
              <w:rPr>
                <w:noProof/>
              </w:rPr>
            </w:pPr>
            <w:r>
              <w:rPr>
                <w:noProof/>
              </w:rPr>
              <w:t>69 900</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0A05CC36" w14:textId="0873A461" w:rsidR="00154E32" w:rsidRDefault="00A43E04">
            <w:pPr>
              <w:pStyle w:val="P68B1DB1-Normal11"/>
              <w:spacing w:before="120" w:after="120"/>
              <w:jc w:val="center"/>
              <w:rPr>
                <w:noProof/>
              </w:rPr>
            </w:pPr>
            <w:r>
              <w:rPr>
                <w:noProof/>
              </w:rPr>
              <w:t>111 700</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1B77DDE1" w14:textId="77777777" w:rsidR="00154E32" w:rsidRDefault="00A43E04">
            <w:pPr>
              <w:pStyle w:val="P68B1DB1-Normal11"/>
              <w:spacing w:before="120" w:after="120"/>
              <w:jc w:val="center"/>
              <w:rPr>
                <w:noProof/>
              </w:rPr>
            </w:pPr>
            <w:r>
              <w:rPr>
                <w:noProof/>
              </w:rPr>
              <w:t>Q2</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6087C54C" w14:textId="77777777" w:rsidR="00154E32" w:rsidRDefault="00A43E04">
            <w:pPr>
              <w:pStyle w:val="P68B1DB1-Normal11"/>
              <w:spacing w:before="120" w:after="120"/>
              <w:jc w:val="center"/>
              <w:rPr>
                <w:noProof/>
              </w:rPr>
            </w:pPr>
            <w:r>
              <w:rPr>
                <w:noProof/>
              </w:rPr>
              <w:t>2025</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53A8D62A" w14:textId="66ABAA93" w:rsidR="00154E32" w:rsidRDefault="00A43E04">
            <w:pPr>
              <w:pStyle w:val="P68B1DB1-Normal12"/>
              <w:rPr>
                <w:rFonts w:ascii="Arial Narrow" w:hAnsi="Arial Narrow"/>
                <w:noProof/>
              </w:rPr>
            </w:pPr>
            <w:r>
              <w:rPr>
                <w:rFonts w:ascii="Arial Narrow" w:hAnsi="Arial Narrow"/>
                <w:noProof/>
              </w:rPr>
              <w:t>Podjetjem je bilo na podlagi davčnih napovedi, predloženih med 1. januarjem 2021 in 31. decembrom 2023, odobrenih vsaj 111700 davčnih olajšav v okviru prehoda 4.0 v zvezi s 4.0 opredmetenimi osnovnimi sredstvi, 4.0 neopredmetenimi investicijskimi sredstvi, raziskovalnimi, razvojnimi in inovacijskimi dejavnostmi ali dejavnostmi usposabljanja. Pričakuje se zlasti, da:</w:t>
            </w:r>
          </w:p>
          <w:p w14:paraId="0F2CF622" w14:textId="5909D2CA" w:rsidR="00154E32" w:rsidRDefault="00A43E04">
            <w:pPr>
              <w:pStyle w:val="P68B1DB1-Normal12"/>
              <w:rPr>
                <w:rFonts w:ascii="Arial Narrow" w:hAnsi="Arial Narrow"/>
                <w:noProof/>
              </w:rPr>
            </w:pPr>
            <w:r>
              <w:rPr>
                <w:rFonts w:ascii="Arial Narrow" w:hAnsi="Arial Narrow"/>
                <w:noProof/>
              </w:rPr>
              <w:t>- na podlagi davčnih napovedi, predloženih med 1. januarjem 2021 in 31. decembrom 2023, je bilo podjetjem odobrenih vsaj26900 davčnih dobropisov za 4,0 opredmetena osnovna sredstva;</w:t>
            </w:r>
          </w:p>
          <w:p w14:paraId="4AEB26E8" w14:textId="39EDE0CA" w:rsidR="00154E32" w:rsidRDefault="00A43E04">
            <w:pPr>
              <w:pStyle w:val="P68B1DB1-Normal12"/>
              <w:rPr>
                <w:rFonts w:ascii="Arial Narrow" w:hAnsi="Arial Narrow"/>
                <w:noProof/>
              </w:rPr>
            </w:pPr>
            <w:r>
              <w:rPr>
                <w:rFonts w:ascii="Arial Narrow" w:hAnsi="Arial Narrow"/>
                <w:noProof/>
              </w:rPr>
              <w:t>- na podlagi davčnih napovedi, predloženih med 1. januarjem 2021 in 31. decembrom 2023, je bilo podjetjem odobrenih vsaj41500 davčnih dobropisov za neopredmetena osnovna sredstva 4,0;</w:t>
            </w:r>
          </w:p>
          <w:p w14:paraId="3A4060BB" w14:textId="1A05C4D0" w:rsidR="00154E32" w:rsidRDefault="00A43E04">
            <w:pPr>
              <w:pStyle w:val="P68B1DB1-Normal12"/>
              <w:rPr>
                <w:rFonts w:ascii="Arial Narrow" w:hAnsi="Arial Narrow"/>
                <w:noProof/>
              </w:rPr>
            </w:pPr>
            <w:r>
              <w:rPr>
                <w:rFonts w:ascii="Arial Narrow" w:hAnsi="Arial Narrow"/>
                <w:noProof/>
              </w:rPr>
              <w:t>- na podlagi davčnih napovedi, predloženih med 1. januarjem 2021 in 31. decembrom 2023, je bilo podjetjem odobrenih vsaj20700 davčnih dobropisov za standardno neopredmeteno investicijsko blago;</w:t>
            </w:r>
          </w:p>
          <w:p w14:paraId="52CBC697" w14:textId="6C331732" w:rsidR="00154E32" w:rsidRDefault="00A43E04">
            <w:pPr>
              <w:pStyle w:val="P68B1DB1-Normal12"/>
              <w:rPr>
                <w:rFonts w:ascii="Arial Narrow" w:hAnsi="Arial Narrow"/>
                <w:noProof/>
              </w:rPr>
            </w:pPr>
            <w:r>
              <w:rPr>
                <w:rFonts w:ascii="Arial Narrow" w:hAnsi="Arial Narrow"/>
                <w:noProof/>
              </w:rPr>
              <w:t>- na podlagi davčnih napovedi, predloženih med 1. januarjem 2022 in 31. decembrom 2023, je bilo podjetjem odobrenih vsaj20600 davčnih olajšav za raziskovalne, razvojne in inovacijske dejavnosti;</w:t>
            </w:r>
          </w:p>
          <w:p w14:paraId="6E8E74D5" w14:textId="4E679EC7" w:rsidR="00154E32" w:rsidRDefault="00A43E04">
            <w:pPr>
              <w:pStyle w:val="P68B1DB1-Normal12"/>
              <w:rPr>
                <w:rFonts w:ascii="Arial Narrow" w:hAnsi="Arial Narrow"/>
                <w:noProof/>
              </w:rPr>
            </w:pPr>
            <w:r>
              <w:rPr>
                <w:rFonts w:ascii="Arial Narrow" w:hAnsi="Arial Narrow"/>
                <w:noProof/>
              </w:rPr>
              <w:t>- podjetjem je bilo odobrenih vsaj 2000 davčniholajšav za dejavnosti usposabljanja na podlagi davčnih napovedi, predloženih med 1. januarjem 2022 in 31. decembrom 2023.</w:t>
            </w:r>
          </w:p>
          <w:p w14:paraId="6A24F162" w14:textId="77777777" w:rsidR="00154E32" w:rsidRDefault="00A43E04">
            <w:pPr>
              <w:pStyle w:val="P68B1DB1-Normal11"/>
              <w:rPr>
                <w:noProof/>
              </w:rPr>
            </w:pPr>
            <w:r>
              <w:rPr>
                <w:noProof/>
              </w:rPr>
              <w:t>Za podjetja, katerih davčno leto ne ustreza koledarskemu letu, se konec zadevnega obdobja za predložitev davčnih napovedi v zvezi z vsemi zgoraj navedenimi davčnimi odbitki podaljša od 31. decembra 2023 do 30. novembra 2024.</w:t>
            </w:r>
          </w:p>
          <w:p w14:paraId="264D2CEC" w14:textId="77777777" w:rsidR="00154E32" w:rsidRDefault="00A43E04">
            <w:pPr>
              <w:pStyle w:val="P68B1DB1-Normal11"/>
              <w:rPr>
                <w:noProof/>
              </w:rPr>
            </w:pPr>
            <w:r>
              <w:rPr>
                <w:noProof/>
              </w:rPr>
              <w:t>Izhodišče se nanaša na število davčnih dobropisov v okviru prehoda 4.0, ki so bili odobreni podjetjem na podlagi davčnih napovedi, predloženih med 1. januarjem 2021 in 31. decembrom 2022 za 4,0 opredmetena osnovna sredstva, 4.0 neopredmetena osnovna sredstva in standardno neopredmeteno blago, ter na podlagi davčnih napovedi, predloženih med 1. januarjem in 31. decembrom 2022 za raziskovalne, razvojne in inovacijske dejavnosti ter dejavnosti usposabljanja. Za podjetja, katerih davčno leto ne ustreza koledarskemu letu, se v izhodišče za vse navedene davčne dobropise vključijo tudi davčne napovedi, predložene do 30. novembra 2023.</w:t>
            </w:r>
          </w:p>
        </w:tc>
      </w:tr>
      <w:tr w:rsidR="00154E32" w14:paraId="4B5575D0"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7FBFAFCB" w14:textId="77777777" w:rsidR="00154E32" w:rsidRDefault="00A43E04">
            <w:pPr>
              <w:pStyle w:val="P68B1DB1-Normal11"/>
              <w:spacing w:before="120" w:after="120"/>
              <w:jc w:val="center"/>
              <w:rPr>
                <w:noProof/>
              </w:rPr>
            </w:pPr>
            <w:r>
              <w:rPr>
                <w:noProof/>
              </w:rPr>
              <w:t>M1C2–4</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77C7F0B5" w14:textId="77777777" w:rsidR="00154E32" w:rsidRDefault="00A43E04">
            <w:pPr>
              <w:pStyle w:val="P68B1DB1-Normal11"/>
              <w:spacing w:before="120" w:after="120"/>
              <w:jc w:val="center"/>
              <w:rPr>
                <w:noProof/>
              </w:rPr>
            </w:pPr>
            <w:r>
              <w:rPr>
                <w:noProof/>
              </w:rPr>
              <w:t>Reforma 1: Reforma sistema industrijske lastnine</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4C6A5A98" w14:textId="77777777" w:rsidR="00154E32" w:rsidRDefault="00A43E04">
            <w:pPr>
              <w:pStyle w:val="P68B1DB1-Normal11"/>
              <w:spacing w:before="120" w:after="120"/>
              <w:jc w:val="center"/>
              <w:rPr>
                <w:noProof/>
              </w:rPr>
            </w:pPr>
            <w:r>
              <w:rPr>
                <w:noProof/>
              </w:rPr>
              <w:t>Mejnik</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27226963" w14:textId="77777777" w:rsidR="00154E32" w:rsidRDefault="00A43E04">
            <w:pPr>
              <w:pStyle w:val="P68B1DB1-Normal11"/>
              <w:spacing w:before="120" w:after="120"/>
              <w:jc w:val="center"/>
              <w:rPr>
                <w:noProof/>
              </w:rPr>
            </w:pPr>
            <w:r>
              <w:rPr>
                <w:noProof/>
              </w:rPr>
              <w:t>Začetek veljavnosti zakonske uredbe za reformo italijanskega zakonika o industrijski lastnini in ustreznih izvedbenih aktov</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6E31D194" w14:textId="77777777" w:rsidR="00154E32" w:rsidRDefault="00A43E04">
            <w:pPr>
              <w:pStyle w:val="P68B1DB1-Normal11"/>
              <w:spacing w:before="120" w:after="120"/>
              <w:jc w:val="center"/>
              <w:rPr>
                <w:noProof/>
              </w:rPr>
            </w:pPr>
            <w:r>
              <w:rPr>
                <w:noProof/>
              </w:rPr>
              <w:t>Določba zakona o začetku veljavnosti novega zakonika o industrijski lastnini in določba v povezanih izvedbenih aktih o začetku njihove veljavnosti</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08421A13" w14:textId="77777777" w:rsidR="00154E32" w:rsidRDefault="00A43E04">
            <w:pPr>
              <w:pStyle w:val="P68B1DB1-Normal11"/>
              <w:spacing w:before="120" w:after="120"/>
              <w:jc w:val="center"/>
              <w:rPr>
                <w:noProof/>
              </w:rPr>
            </w:pPr>
            <w:r>
              <w:rPr>
                <w:noProof/>
              </w:rPr>
              <w:t>JIH NI</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6AEEEF64" w14:textId="77777777" w:rsidR="00154E32" w:rsidRDefault="00A43E04">
            <w:pPr>
              <w:pStyle w:val="P68B1DB1-Normal11"/>
              <w:spacing w:before="120" w:after="120"/>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6B62BAC6" w14:textId="77777777" w:rsidR="00154E32" w:rsidRDefault="00A43E04">
            <w:pPr>
              <w:pStyle w:val="P68B1DB1-Normal11"/>
              <w:spacing w:before="120" w:after="120"/>
              <w:jc w:val="center"/>
              <w:rPr>
                <w:noProof/>
              </w:rPr>
            </w:pPr>
            <w:r>
              <w:rPr>
                <w:noProof/>
              </w:rPr>
              <w:t>JIH NI</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45A42A0D" w14:textId="77777777" w:rsidR="00154E32" w:rsidRDefault="00A43E04">
            <w:pPr>
              <w:pStyle w:val="P68B1DB1-Normal11"/>
              <w:spacing w:before="120" w:after="120"/>
              <w:jc w:val="center"/>
              <w:rPr>
                <w:noProof/>
              </w:rPr>
            </w:pPr>
            <w:r>
              <w:rPr>
                <w:noProof/>
              </w:rPr>
              <w:t>Q3</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45EE12C2" w14:textId="77777777" w:rsidR="00154E32" w:rsidRDefault="00A43E04">
            <w:pPr>
              <w:pStyle w:val="P68B1DB1-Normal11"/>
              <w:spacing w:before="120" w:after="120"/>
              <w:jc w:val="center"/>
              <w:rPr>
                <w:noProof/>
              </w:rPr>
            </w:pPr>
            <w:r>
              <w:rPr>
                <w:noProof/>
              </w:rPr>
              <w:t>2023</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595274BE" w14:textId="77777777" w:rsidR="00154E32" w:rsidRDefault="00A43E04">
            <w:pPr>
              <w:pStyle w:val="P68B1DB1-Normal11"/>
              <w:rPr>
                <w:noProof/>
              </w:rPr>
            </w:pPr>
            <w:r>
              <w:rPr>
                <w:noProof/>
              </w:rPr>
              <w:t>Nova zakonska uredba spreminja italijanski zakonik o industrijski lastnini (zakonska uredba št. 30 z dne 10. februarja 2005) in zajema vsaj naslednja področja: (I) pregled regulativnega okvira za okrepitev varstva pravic industrijske lastnine in poenostavitev postopkov, (ii) okrepitev podpore podjetjem in raziskovalnim ustanovam, (iii) izboljšanje razvoja spretnosti in kompetenc, (iv) olajšanje prenosa znanja, (v) krepitev spodbujanja inovativnih storitev.</w:t>
            </w:r>
          </w:p>
        </w:tc>
      </w:tr>
      <w:tr w:rsidR="00154E32" w14:paraId="737869E5"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28958FC5" w14:textId="77777777" w:rsidR="00154E32" w:rsidRDefault="00A43E04">
            <w:pPr>
              <w:pStyle w:val="P68B1DB1-Normal11"/>
              <w:spacing w:before="120" w:after="120"/>
              <w:jc w:val="center"/>
              <w:rPr>
                <w:noProof/>
              </w:rPr>
            </w:pPr>
            <w:r>
              <w:rPr>
                <w:noProof/>
              </w:rPr>
              <w:t>M1C2–5</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0CB93EED" w14:textId="77777777" w:rsidR="00154E32" w:rsidRDefault="00A43E04">
            <w:pPr>
              <w:pStyle w:val="P68B1DB1-Normal11"/>
              <w:spacing w:before="120" w:after="120"/>
              <w:jc w:val="center"/>
              <w:rPr>
                <w:noProof/>
              </w:rPr>
            </w:pPr>
            <w:r>
              <w:rPr>
                <w:noProof/>
              </w:rPr>
              <w:t>Naložba 6: Naložbe v sistem industrijske lastnine</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39AFD314" w14:textId="77777777" w:rsidR="00154E32" w:rsidRDefault="00A43E04">
            <w:pPr>
              <w:pStyle w:val="P68B1DB1-Normal11"/>
              <w:spacing w:before="120" w:after="120"/>
              <w:jc w:val="center"/>
              <w:rPr>
                <w:noProof/>
              </w:rPr>
            </w:pPr>
            <w:r>
              <w:rPr>
                <w:noProof/>
              </w:rPr>
              <w:t>Tarča</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29417CF6" w14:textId="77777777" w:rsidR="00154E32" w:rsidRDefault="00A43E04">
            <w:pPr>
              <w:pStyle w:val="P68B1DB1-Normal11"/>
              <w:spacing w:before="120" w:after="120"/>
              <w:jc w:val="center"/>
              <w:rPr>
                <w:noProof/>
              </w:rPr>
            </w:pPr>
            <w:r>
              <w:rPr>
                <w:noProof/>
              </w:rPr>
              <w:t>Projekti, podprti z možnostmi financiranja, povezanimi z industrijsko lastnino</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5063A2E9" w14:textId="77777777" w:rsidR="00154E32" w:rsidRDefault="00A43E04">
            <w:pPr>
              <w:pStyle w:val="P68B1DB1-Normal11"/>
              <w:spacing w:before="120" w:after="120"/>
              <w:jc w:val="center"/>
              <w:rPr>
                <w:noProof/>
              </w:rPr>
            </w:pPr>
            <w:r>
              <w:rPr>
                <w:noProof/>
              </w:rPr>
              <w:t>JIH NI</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196DB1AB" w14:textId="77777777" w:rsidR="00154E32" w:rsidRDefault="00A43E04">
            <w:pPr>
              <w:pStyle w:val="P68B1DB1-Normal11"/>
              <w:spacing w:before="120" w:after="120"/>
              <w:jc w:val="center"/>
              <w:rPr>
                <w:noProof/>
              </w:rPr>
            </w:pPr>
            <w:r>
              <w:rPr>
                <w:noProof/>
              </w:rPr>
              <w:t>Število</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2045AB9D" w14:textId="77777777" w:rsidR="00154E32" w:rsidRDefault="00A43E04">
            <w:pPr>
              <w:pStyle w:val="P68B1DB1-Normal11"/>
              <w:spacing w:before="120" w:after="120"/>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2BD56C3F" w14:textId="77777777" w:rsidR="00154E32" w:rsidRDefault="00A43E04">
            <w:pPr>
              <w:pStyle w:val="P68B1DB1-Normal11"/>
              <w:spacing w:before="120" w:after="120"/>
              <w:jc w:val="center"/>
              <w:rPr>
                <w:noProof/>
              </w:rPr>
            </w:pPr>
            <w:r>
              <w:rPr>
                <w:noProof/>
              </w:rPr>
              <w:t>254</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35A667EE" w14:textId="77777777" w:rsidR="00154E32" w:rsidRDefault="00A43E04">
            <w:pPr>
              <w:pStyle w:val="P68B1DB1-Normal11"/>
              <w:spacing w:before="120" w:after="120"/>
              <w:jc w:val="center"/>
              <w:rPr>
                <w:noProof/>
              </w:rPr>
            </w:pPr>
            <w:r>
              <w:rPr>
                <w:noProof/>
              </w:rPr>
              <w:t>Q4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4BEDF465" w14:textId="77777777" w:rsidR="00154E32" w:rsidRDefault="00A43E04">
            <w:pPr>
              <w:pStyle w:val="P68B1DB1-Normal11"/>
              <w:spacing w:before="120" w:after="120"/>
              <w:jc w:val="center"/>
              <w:rPr>
                <w:noProof/>
              </w:rPr>
            </w:pPr>
            <w:r>
              <w:rPr>
                <w:noProof/>
              </w:rPr>
              <w:t>2025</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02C5A5DB" w14:textId="77777777" w:rsidR="00154E32" w:rsidRDefault="00A43E04">
            <w:pPr>
              <w:pStyle w:val="P68B1DB1-Normal19"/>
              <w:spacing w:before="120" w:after="120"/>
              <w:rPr>
                <w:noProof/>
              </w:rPr>
            </w:pPr>
            <w:r>
              <w:rPr>
                <w:noProof/>
                <w:color w:val="006100"/>
              </w:rPr>
              <w:t>Vsaj 254 dodatnih projektov, podprtih z možnostmi financiranja, povezanimi z industrijsko lastnino, za podjetja in raziskovalne organe, kot so ukrepi, povezani s patenti (Brevetti+), programi potrditve koncepta (POC) in uradi za prenos tehnologije, v skladu s tehničnimi smernicami „Doda se ne škoduje bistveno“ (2021/C58/01), in sicer z uporabo seznama za izključitev in zahtevo po skladnosti z ustrezno</w:t>
            </w:r>
            <w:r>
              <w:rPr>
                <w:noProof/>
              </w:rPr>
              <w:t xml:space="preserve"> </w:t>
            </w:r>
            <w:r>
              <w:rPr>
                <w:noProof/>
                <w:color w:val="006100"/>
              </w:rPr>
              <w:t>okoljsko zakonodajo EU in nacionalno okoljsko zakonodajo.</w:t>
            </w:r>
          </w:p>
        </w:tc>
      </w:tr>
      <w:tr w:rsidR="00154E32" w14:paraId="13551068"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6D835DE4" w14:textId="77777777" w:rsidR="00154E32" w:rsidRDefault="00A43E04">
            <w:pPr>
              <w:pStyle w:val="P68B1DB1-Normal11"/>
              <w:spacing w:before="120" w:after="120"/>
              <w:jc w:val="center"/>
              <w:rPr>
                <w:noProof/>
              </w:rPr>
            </w:pPr>
            <w:r>
              <w:rPr>
                <w:noProof/>
              </w:rPr>
              <w:t>M1C2–6</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63B5F3BB" w14:textId="77777777" w:rsidR="00154E32" w:rsidRDefault="00A43E04">
            <w:pPr>
              <w:pStyle w:val="P68B1DB1-Normal11"/>
              <w:spacing w:before="120" w:after="120"/>
              <w:jc w:val="center"/>
              <w:rPr>
                <w:noProof/>
              </w:rPr>
            </w:pPr>
            <w:r>
              <w:rPr>
                <w:noProof/>
              </w:rPr>
              <w:t>Reforma 2: Letna zakonodaja o konkurenci</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5654292B" w14:textId="77777777" w:rsidR="00154E32" w:rsidRDefault="00A43E04">
            <w:pPr>
              <w:pStyle w:val="P68B1DB1-Normal11"/>
              <w:spacing w:before="120" w:after="120"/>
              <w:jc w:val="center"/>
              <w:rPr>
                <w:noProof/>
              </w:rPr>
            </w:pPr>
            <w:r>
              <w:rPr>
                <w:noProof/>
              </w:rPr>
              <w:t>Mejnik</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75BC4776" w14:textId="77777777" w:rsidR="00154E32" w:rsidRDefault="00A43E04">
            <w:pPr>
              <w:pStyle w:val="P68B1DB1-Normal11"/>
              <w:spacing w:before="120" w:after="120"/>
              <w:jc w:val="center"/>
              <w:rPr>
                <w:noProof/>
              </w:rPr>
            </w:pPr>
            <w:r>
              <w:rPr>
                <w:noProof/>
              </w:rPr>
              <w:t>Začetek veljavnosti letnega konkurenčnega zakona za leto 2021</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530E68D6" w14:textId="77777777" w:rsidR="00154E32" w:rsidRDefault="00A43E04">
            <w:pPr>
              <w:pStyle w:val="P68B1DB1-Normal11"/>
              <w:spacing w:before="120" w:after="120"/>
              <w:jc w:val="center"/>
              <w:rPr>
                <w:noProof/>
              </w:rPr>
            </w:pPr>
            <w:r>
              <w:rPr>
                <w:noProof/>
              </w:rPr>
              <w:t>Določba o začetku veljavnosti letnega konkurenčnega zakona za leto 2021.</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6AD8B407" w14:textId="77777777" w:rsidR="00154E32" w:rsidRDefault="00A43E04">
            <w:pPr>
              <w:pStyle w:val="P68B1DB1-Normal11"/>
              <w:spacing w:before="120" w:after="120"/>
              <w:jc w:val="center"/>
              <w:rPr>
                <w:noProof/>
              </w:rPr>
            </w:pPr>
            <w:r>
              <w:rPr>
                <w:noProof/>
              </w:rPr>
              <w:t>JIH NI</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167F6C07" w14:textId="77777777" w:rsidR="00154E32" w:rsidRDefault="00A43E04">
            <w:pPr>
              <w:pStyle w:val="P68B1DB1-Normal11"/>
              <w:spacing w:before="120" w:after="120"/>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31600935" w14:textId="77777777" w:rsidR="00154E32" w:rsidRDefault="00A43E04">
            <w:pPr>
              <w:pStyle w:val="P68B1DB1-Normal11"/>
              <w:spacing w:before="120" w:after="120"/>
              <w:jc w:val="center"/>
              <w:rPr>
                <w:noProof/>
              </w:rPr>
            </w:pPr>
            <w:r>
              <w:rPr>
                <w:noProof/>
              </w:rPr>
              <w:t>JIH NI</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4C4E06BA" w14:textId="77777777" w:rsidR="00154E32" w:rsidRDefault="00A43E04">
            <w:pPr>
              <w:pStyle w:val="P68B1DB1-Normal11"/>
              <w:spacing w:before="120" w:after="120"/>
              <w:jc w:val="center"/>
              <w:rPr>
                <w:noProof/>
              </w:rPr>
            </w:pPr>
            <w:r>
              <w:rPr>
                <w:noProof/>
              </w:rPr>
              <w:t>Q4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6864EA8E" w14:textId="77777777" w:rsidR="00154E32" w:rsidRDefault="00A43E04">
            <w:pPr>
              <w:pStyle w:val="P68B1DB1-Normal11"/>
              <w:spacing w:before="120" w:after="120"/>
              <w:jc w:val="center"/>
              <w:rPr>
                <w:noProof/>
              </w:rPr>
            </w:pPr>
            <w:r>
              <w:rPr>
                <w:noProof/>
              </w:rPr>
              <w:t>2022</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02873364" w14:textId="77777777" w:rsidR="00154E32" w:rsidRDefault="00A43E04">
            <w:pPr>
              <w:pStyle w:val="P68B1DB1-Normal11"/>
              <w:spacing w:before="120" w:after="120"/>
              <w:rPr>
                <w:noProof/>
              </w:rPr>
            </w:pPr>
            <w:r>
              <w:rPr>
                <w:noProof/>
              </w:rPr>
              <w:t>Letno konkurenčno pravo vključuje vsaj naslednje ključne elemente, katerih izvedbeni ukrepi in sekundarna zakonodaja (po potrebi) se sprejmejo in začnejo veljati najpozneje 31. decembra 2022.</w:t>
            </w:r>
          </w:p>
          <w:p w14:paraId="17CB22BA" w14:textId="77777777" w:rsidR="00154E32" w:rsidRDefault="00A43E04">
            <w:pPr>
              <w:pStyle w:val="P68B1DB1-Normal10"/>
              <w:spacing w:before="120" w:after="120"/>
              <w:rPr>
                <w:noProof/>
                <w:color w:val="006100"/>
                <w:sz w:val="20"/>
              </w:rPr>
            </w:pPr>
            <w:r>
              <w:rPr>
                <w:noProof/>
                <w:color w:val="006100"/>
                <w:sz w:val="20"/>
              </w:rPr>
              <w:t>Il zadeva:</w:t>
            </w:r>
            <w:r>
              <w:rPr>
                <w:noProof/>
              </w:rPr>
              <w:t xml:space="preserve"> </w:t>
            </w:r>
            <w:r>
              <w:rPr>
                <w:noProof/>
              </w:rPr>
              <w:br/>
            </w:r>
            <w:r>
              <w:rPr>
                <w:noProof/>
                <w:color w:val="006100"/>
                <w:sz w:val="20"/>
              </w:rPr>
              <w:t>— Izvrševanje protimonopolnih pravil</w:t>
            </w:r>
            <w:r>
              <w:rPr>
                <w:noProof/>
              </w:rPr>
              <w:t xml:space="preserve"> </w:t>
            </w:r>
            <w:r>
              <w:rPr>
                <w:noProof/>
              </w:rPr>
              <w:br/>
              <w:t xml:space="preserve"> </w:t>
            </w:r>
            <w:r>
              <w:rPr>
                <w:noProof/>
                <w:color w:val="006100"/>
                <w:sz w:val="20"/>
              </w:rPr>
              <w:t>— Lokalne javne storitve</w:t>
            </w:r>
            <w:r>
              <w:rPr>
                <w:noProof/>
              </w:rPr>
              <w:t xml:space="preserve"> </w:t>
            </w:r>
            <w:r>
              <w:rPr>
                <w:noProof/>
              </w:rPr>
              <w:br/>
              <w:t xml:space="preserve"> </w:t>
            </w:r>
            <w:r>
              <w:rPr>
                <w:noProof/>
                <w:color w:val="006100"/>
                <w:sz w:val="20"/>
              </w:rPr>
              <w:t>—Energija</w:t>
            </w:r>
            <w:r>
              <w:rPr>
                <w:noProof/>
              </w:rPr>
              <w:t xml:space="preserve"> </w:t>
            </w:r>
            <w:r>
              <w:rPr>
                <w:noProof/>
              </w:rPr>
              <w:br/>
              <w:t xml:space="preserve"> </w:t>
            </w:r>
            <w:r>
              <w:rPr>
                <w:noProof/>
                <w:color w:val="006100"/>
                <w:sz w:val="20"/>
              </w:rPr>
              <w:t>—Prevoz</w:t>
            </w:r>
            <w:r>
              <w:rPr>
                <w:noProof/>
              </w:rPr>
              <w:t xml:space="preserve"> </w:t>
            </w:r>
            <w:r>
              <w:rPr>
                <w:noProof/>
              </w:rPr>
              <w:br/>
              <w:t xml:space="preserve"> </w:t>
            </w:r>
            <w:r>
              <w:rPr>
                <w:noProof/>
                <w:color w:val="006100"/>
                <w:sz w:val="20"/>
              </w:rPr>
              <w:t>—Odpadki</w:t>
            </w:r>
            <w:r>
              <w:rPr>
                <w:noProof/>
              </w:rPr>
              <w:t xml:space="preserve"> </w:t>
            </w:r>
            <w:r>
              <w:rPr>
                <w:noProof/>
              </w:rPr>
              <w:br/>
              <w:t xml:space="preserve"> </w:t>
            </w:r>
            <w:r>
              <w:rPr>
                <w:noProof/>
                <w:color w:val="006100"/>
                <w:sz w:val="20"/>
              </w:rPr>
              <w:t>— Ustanovitev podjetja</w:t>
            </w:r>
            <w:r>
              <w:rPr>
                <w:noProof/>
              </w:rPr>
              <w:t xml:space="preserve"> </w:t>
            </w:r>
            <w:r>
              <w:rPr>
                <w:noProof/>
              </w:rPr>
              <w:br/>
              <w:t xml:space="preserve"> </w:t>
            </w:r>
            <w:r>
              <w:rPr>
                <w:noProof/>
                <w:color w:val="006100"/>
                <w:sz w:val="20"/>
              </w:rPr>
              <w:t>— Nadzor trga</w:t>
            </w:r>
          </w:p>
          <w:p w14:paraId="03D3E6ED" w14:textId="77777777" w:rsidR="00154E32" w:rsidRDefault="00A43E04">
            <w:pPr>
              <w:pStyle w:val="P68B1DB1-Normal11"/>
              <w:spacing w:before="120" w:after="120"/>
              <w:rPr>
                <w:noProof/>
              </w:rPr>
            </w:pPr>
            <w:r>
              <w:rPr>
                <w:noProof/>
              </w:rPr>
              <w:t>Uveljavljanje protimonopolnih pravil:</w:t>
            </w:r>
          </w:p>
          <w:p w14:paraId="734EBF94" w14:textId="77777777" w:rsidR="00154E32" w:rsidRDefault="00A43E04">
            <w:pPr>
              <w:pStyle w:val="P68B1DB1-Normal11"/>
              <w:spacing w:before="120" w:after="120"/>
              <w:rPr>
                <w:noProof/>
              </w:rPr>
            </w:pPr>
            <w:r>
              <w:rPr>
                <w:noProof/>
              </w:rPr>
              <w:t>I. Odstraniti dodatne ovire za nadzor nad združitvami z nadaljnjo uskladitvijo italijanskih pravil o nadzoru nad združitvami s pravom EU.</w:t>
            </w:r>
          </w:p>
          <w:p w14:paraId="58371D30" w14:textId="77777777" w:rsidR="00154E32" w:rsidRDefault="00A43E04">
            <w:pPr>
              <w:pStyle w:val="P68B1DB1-Normal11"/>
              <w:spacing w:before="120" w:after="120"/>
              <w:rPr>
                <w:noProof/>
              </w:rPr>
            </w:pPr>
            <w:r>
              <w:rPr>
                <w:noProof/>
              </w:rPr>
              <w:t>Lokalne javne storitve:</w:t>
            </w:r>
          </w:p>
          <w:p w14:paraId="55679EFE" w14:textId="77777777" w:rsidR="00154E32" w:rsidRDefault="00A43E04">
            <w:pPr>
              <w:pStyle w:val="P68B1DB1-Normal11"/>
              <w:spacing w:before="120" w:after="120"/>
              <w:rPr>
                <w:noProof/>
              </w:rPr>
            </w:pPr>
            <w:r>
              <w:rPr>
                <w:noProof/>
              </w:rPr>
              <w:t>II. Okrepiti in razširiti uporabo načela konkurence pri lokalnih javnih naročilih storitev, zlasti na področju odpadkov in lokalnega javnega prevoza.</w:t>
            </w:r>
          </w:p>
          <w:p w14:paraId="034B46FA" w14:textId="77777777" w:rsidR="00154E32" w:rsidRDefault="00A43E04">
            <w:pPr>
              <w:pStyle w:val="P68B1DB1-Normal11"/>
              <w:spacing w:before="120" w:after="120"/>
              <w:rPr>
                <w:noProof/>
              </w:rPr>
            </w:pPr>
            <w:r>
              <w:rPr>
                <w:noProof/>
              </w:rPr>
              <w:t>III. Omejiti neposredne oddaje javnih naročil z zahtevo, da lokalni javni organi utemeljijo vsako odstopanje od oddaje javnih naročil storitev (v skladu s členom 192 zakonika o javnih naročilih).</w:t>
            </w:r>
          </w:p>
          <w:p w14:paraId="79EE89FB" w14:textId="77777777" w:rsidR="00154E32" w:rsidRDefault="00A43E04">
            <w:pPr>
              <w:pStyle w:val="P68B1DB1-Normal11"/>
              <w:spacing w:before="120" w:after="120"/>
              <w:rPr>
                <w:noProof/>
              </w:rPr>
            </w:pPr>
            <w:r>
              <w:rPr>
                <w:noProof/>
              </w:rPr>
              <w:t>IV. Zagotoviti ustrezno ureditev pogodb o izvajanju javne službe z izvajanjem člena 19 zakona št. 124/2015 kot enotnega besedila o lokalnih javnih storitvah, zlasti na področju ravnanja z odpadki.</w:t>
            </w:r>
          </w:p>
          <w:p w14:paraId="4F3065FC" w14:textId="41ED1F13" w:rsidR="00154E32" w:rsidRDefault="00A43E04">
            <w:pPr>
              <w:pStyle w:val="P68B1DB1-Normal12"/>
              <w:spacing w:before="120" w:after="120"/>
              <w:rPr>
                <w:rFonts w:ascii="Arial Narrow" w:hAnsi="Arial Narrow"/>
                <w:noProof/>
              </w:rPr>
            </w:pPr>
            <w:r>
              <w:rPr>
                <w:rFonts w:ascii="Arial Narrow" w:hAnsi="Arial Narrow"/>
                <w:noProof/>
              </w:rPr>
              <w:t>v. Pravila in mehanizmi združevanja spodbujajo sindikate občin, da zmanjšajo število naročnikov in naročnikov tako, da jih povežejo z optimalnimi teritorialnimi združitvami („ambiti territoriali ottimali“) ter območji in ustreznimi ravnmi storitev lokalnega in regionalnega javnega prevoza („bacini e livelli adeguati di servizi di trasporto pubblico locale e regionale“) z vsaj</w:t>
            </w:r>
            <w:r>
              <w:rPr>
                <w:noProof/>
              </w:rPr>
              <w:t xml:space="preserve"> </w:t>
            </w:r>
            <w:r>
              <w:rPr>
                <w:rFonts w:ascii="Arial Narrow" w:hAnsi="Arial Narrow"/>
                <w:noProof/>
              </w:rPr>
              <w:t>350000 prebivalci.</w:t>
            </w:r>
          </w:p>
          <w:p w14:paraId="42F836A7" w14:textId="77777777" w:rsidR="00154E32" w:rsidRDefault="00A43E04">
            <w:pPr>
              <w:pStyle w:val="P68B1DB1-Normal11"/>
              <w:spacing w:before="120" w:after="120"/>
              <w:rPr>
                <w:noProof/>
              </w:rPr>
            </w:pPr>
            <w:r>
              <w:rPr>
                <w:noProof/>
              </w:rPr>
              <w:t>Pravni akt o lokalnih javnih službah, s katerim se izvaja člen 19 zakona 124/2015, mora vsaj:</w:t>
            </w:r>
          </w:p>
          <w:p w14:paraId="475585B3" w14:textId="77777777" w:rsidR="00154E32" w:rsidRDefault="00A43E04">
            <w:pPr>
              <w:pStyle w:val="P68B1DB1-Normal11"/>
              <w:spacing w:before="120" w:after="120"/>
              <w:rPr>
                <w:noProof/>
              </w:rPr>
            </w:pPr>
            <w:r>
              <w:rPr>
                <w:noProof/>
              </w:rPr>
              <w:t>opredelitev javnih storitev na podlagi meril prava EU;</w:t>
            </w:r>
          </w:p>
          <w:p w14:paraId="36F7067C" w14:textId="77777777" w:rsidR="00154E32" w:rsidRDefault="00A43E04">
            <w:pPr>
              <w:pStyle w:val="P68B1DB1-Normal11"/>
              <w:spacing w:before="120" w:after="120"/>
              <w:rPr>
                <w:noProof/>
              </w:rPr>
            </w:pPr>
            <w:r>
              <w:rPr>
                <w:noProof/>
              </w:rPr>
              <w:t>— določa splošna načela zagotavljanja, urejanja in upravljanja lokalnih javnih storitev;</w:t>
            </w:r>
          </w:p>
          <w:p w14:paraId="3DC09073" w14:textId="77777777" w:rsidR="00154E32" w:rsidRDefault="00A43E04">
            <w:pPr>
              <w:pStyle w:val="P68B1DB1-Normal11"/>
              <w:spacing w:before="120" w:after="120"/>
              <w:rPr>
                <w:noProof/>
              </w:rPr>
            </w:pPr>
            <w:r>
              <w:rPr>
                <w:noProof/>
              </w:rPr>
              <w:t>določiti splošno načelo sorazmernosti pri trajanju pogodb o izvajanju javne službe;</w:t>
            </w:r>
          </w:p>
          <w:p w14:paraId="1F72579B" w14:textId="77777777" w:rsidR="00154E32" w:rsidRDefault="00A43E04">
            <w:pPr>
              <w:pStyle w:val="P68B1DB1-Normal11"/>
              <w:spacing w:before="120" w:after="120"/>
              <w:rPr>
                <w:noProof/>
              </w:rPr>
            </w:pPr>
            <w:r>
              <w:rPr>
                <w:noProof/>
              </w:rPr>
              <w:t>— jasno ločevanje nalog regulacije in nadzora ter upravljanja pogodb o izvajanju javne službe;</w:t>
            </w:r>
          </w:p>
          <w:p w14:paraId="0097A842" w14:textId="77777777" w:rsidR="00154E32" w:rsidRDefault="00A43E04">
            <w:pPr>
              <w:pStyle w:val="P68B1DB1-Normal11"/>
              <w:spacing w:before="120" w:after="120"/>
              <w:rPr>
                <w:noProof/>
              </w:rPr>
            </w:pPr>
            <w:r>
              <w:rPr>
                <w:noProof/>
              </w:rPr>
              <w:t>zagotoviti, da lokalni javni organi upravičijo povečanje deležev udeleženih podjetij za interno oddajo naročil;</w:t>
            </w:r>
          </w:p>
          <w:p w14:paraId="551EA260" w14:textId="77777777" w:rsidR="00154E32" w:rsidRDefault="00A43E04">
            <w:pPr>
              <w:pStyle w:val="P68B1DB1-Normal11"/>
              <w:spacing w:before="120" w:after="120"/>
              <w:rPr>
                <w:noProof/>
              </w:rPr>
            </w:pPr>
            <w:r>
              <w:rPr>
                <w:noProof/>
              </w:rPr>
              <w:t>zagotoviti ustrezno nadomestilo za pogodbe o izvajanju javne službe na podlagi stroškov, ki jih nadzirajo neodvisni regulatorji (npr. ARERA za energijo ali ART za prevoz);</w:t>
            </w:r>
          </w:p>
          <w:p w14:paraId="134811C6" w14:textId="6B1AB47F" w:rsidR="00154E32" w:rsidRDefault="00A43E04">
            <w:pPr>
              <w:pStyle w:val="P68B1DB1-Normal11"/>
              <w:spacing w:before="120" w:after="120"/>
              <w:rPr>
                <w:noProof/>
              </w:rPr>
            </w:pPr>
            <w:r>
              <w:rPr>
                <w:noProof/>
              </w:rPr>
              <w:t>omejiti povprečno trajanje internih pogodb ter med subjekti, ki oddajajo razpise, skrajšati in uskladiti standardno trajanje javnih naročil, pod pogojem, da trajanje zagotavlja ekonomsko in finančno ravnovesje pogodb, tudi na podlagi meril, ki jih določi organ za promet.</w:t>
            </w:r>
          </w:p>
          <w:p w14:paraId="4B4CFCFD" w14:textId="77777777" w:rsidR="00154E32" w:rsidRDefault="00A43E04">
            <w:pPr>
              <w:pStyle w:val="P68B1DB1-Normal11"/>
              <w:spacing w:before="120" w:after="120"/>
              <w:rPr>
                <w:noProof/>
              </w:rPr>
            </w:pPr>
            <w:r>
              <w:rPr>
                <w:noProof/>
              </w:rPr>
              <w:t>Energija:</w:t>
            </w:r>
          </w:p>
          <w:p w14:paraId="63924110" w14:textId="35F7E71D" w:rsidR="00154E32" w:rsidRDefault="00A43E04">
            <w:pPr>
              <w:pStyle w:val="P68B1DB1-Normal10"/>
              <w:spacing w:before="120" w:after="120"/>
              <w:rPr>
                <w:noProof/>
                <w:color w:val="006100"/>
                <w:sz w:val="20"/>
              </w:rPr>
            </w:pPr>
            <w:r>
              <w:rPr>
                <w:noProof/>
                <w:color w:val="006100"/>
                <w:sz w:val="20"/>
              </w:rPr>
              <w:t>VI.</w:t>
            </w:r>
            <w:r>
              <w:rPr>
                <w:noProof/>
              </w:rPr>
              <w:t xml:space="preserve"> </w:t>
            </w:r>
            <w:r>
              <w:rPr>
                <w:noProof/>
                <w:color w:val="006100"/>
                <w:sz w:val="20"/>
              </w:rPr>
              <w:t>Določiti obvezno javno naročanje koncesijskih pogodb za vodno energijo in opredeliti regulativni okvir za koncesije za hidroelektrarne.</w:t>
            </w:r>
          </w:p>
          <w:p w14:paraId="7CD6E3C4" w14:textId="3A970D53" w:rsidR="00154E32" w:rsidRDefault="00A43E04">
            <w:pPr>
              <w:pStyle w:val="P68B1DB1-Normal10"/>
              <w:spacing w:before="120" w:after="120"/>
              <w:rPr>
                <w:noProof/>
                <w:color w:val="006100"/>
                <w:sz w:val="20"/>
              </w:rPr>
            </w:pPr>
            <w:r>
              <w:rPr>
                <w:noProof/>
                <w:color w:val="006100"/>
                <w:sz w:val="20"/>
              </w:rPr>
              <w:t>VII.</w:t>
            </w:r>
            <w:r>
              <w:rPr>
                <w:noProof/>
              </w:rPr>
              <w:t xml:space="preserve"> </w:t>
            </w:r>
            <w:r>
              <w:rPr>
                <w:noProof/>
                <w:color w:val="006100"/>
                <w:sz w:val="20"/>
              </w:rPr>
              <w:t>Določi obveznost javnega razpisa za koncesijske pogodbe za distribucijo plina.</w:t>
            </w:r>
          </w:p>
          <w:p w14:paraId="5AECD80D" w14:textId="6CF4ACBD" w:rsidR="00154E32" w:rsidRDefault="00A43E04">
            <w:pPr>
              <w:pStyle w:val="P68B1DB1-Normal10"/>
              <w:spacing w:before="120" w:after="120"/>
              <w:rPr>
                <w:noProof/>
                <w:color w:val="006100"/>
                <w:sz w:val="20"/>
              </w:rPr>
            </w:pPr>
            <w:r>
              <w:rPr>
                <w:noProof/>
                <w:color w:val="006100"/>
                <w:sz w:val="20"/>
              </w:rPr>
              <w:t>VIII.</w:t>
            </w:r>
            <w:r>
              <w:rPr>
                <w:noProof/>
              </w:rPr>
              <w:t xml:space="preserve"> </w:t>
            </w:r>
            <w:r>
              <w:rPr>
                <w:noProof/>
                <w:color w:val="006100"/>
                <w:sz w:val="20"/>
              </w:rPr>
              <w:t>Določiti pregledne in nediskriminatorne zahteve za dodelitev javnih prostorov za električno polnjenje ali za operaterje izbirnih polnilnih mest/operaterjev postaj.</w:t>
            </w:r>
          </w:p>
          <w:p w14:paraId="4B2962AF" w14:textId="091F1F73" w:rsidR="00154E32" w:rsidRDefault="00A43E04">
            <w:pPr>
              <w:pStyle w:val="P68B1DB1-Normal10"/>
              <w:spacing w:before="120" w:after="120"/>
              <w:rPr>
                <w:noProof/>
                <w:color w:val="006100"/>
                <w:sz w:val="20"/>
              </w:rPr>
            </w:pPr>
            <w:r>
              <w:rPr>
                <w:noProof/>
                <w:color w:val="006100"/>
                <w:sz w:val="20"/>
              </w:rPr>
              <w:t>IX.</w:t>
            </w:r>
            <w:r>
              <w:rPr>
                <w:noProof/>
              </w:rPr>
              <w:t xml:space="preserve"> </w:t>
            </w:r>
            <w:r>
              <w:rPr>
                <w:noProof/>
                <w:color w:val="006100"/>
                <w:sz w:val="20"/>
              </w:rPr>
              <w:t>Odprava reguliranih tarif za oskrbo z električno energijo za polnjenje električnih vozil.</w:t>
            </w:r>
          </w:p>
          <w:p w14:paraId="72DBF9FB" w14:textId="77777777" w:rsidR="00154E32" w:rsidRDefault="00A43E04">
            <w:pPr>
              <w:pStyle w:val="P68B1DB1-Normal11"/>
              <w:spacing w:before="120" w:after="120"/>
              <w:rPr>
                <w:noProof/>
              </w:rPr>
            </w:pPr>
            <w:r>
              <w:rPr>
                <w:noProof/>
              </w:rPr>
              <w:t>Okvir konkurence za koncesije za vodno energijo mora vsaj:</w:t>
            </w:r>
          </w:p>
          <w:p w14:paraId="7C1203EC" w14:textId="2ADB2830" w:rsidR="00154E32" w:rsidRDefault="00A43E04">
            <w:pPr>
              <w:pStyle w:val="P68B1DB1-Normal10"/>
              <w:spacing w:before="120" w:after="120"/>
              <w:rPr>
                <w:noProof/>
                <w:color w:val="006100"/>
                <w:sz w:val="20"/>
              </w:rPr>
            </w:pPr>
            <w:r>
              <w:rPr>
                <w:noProof/>
                <w:color w:val="006100"/>
                <w:sz w:val="20"/>
              </w:rPr>
              <w:t>-</w:t>
            </w:r>
            <w:r>
              <w:rPr>
                <w:noProof/>
              </w:rPr>
              <w:t xml:space="preserve"> </w:t>
            </w:r>
            <w:r>
              <w:rPr>
                <w:noProof/>
                <w:color w:val="006100"/>
                <w:sz w:val="20"/>
              </w:rPr>
              <w:t>Zahteva, da se pomembne hidroelektrarne urejajo s splošnimi in enotnimi merili na centralni ravni.</w:t>
            </w:r>
          </w:p>
          <w:p w14:paraId="5A2D6ABF" w14:textId="332AA898" w:rsidR="00154E32" w:rsidRDefault="00A43E04">
            <w:pPr>
              <w:pStyle w:val="P68B1DB1-Normal10"/>
              <w:spacing w:before="120" w:after="120"/>
              <w:rPr>
                <w:noProof/>
                <w:color w:val="006100"/>
                <w:sz w:val="20"/>
              </w:rPr>
            </w:pPr>
            <w:r>
              <w:rPr>
                <w:noProof/>
                <w:color w:val="006100"/>
                <w:sz w:val="20"/>
              </w:rPr>
              <w:t>-</w:t>
            </w:r>
            <w:r>
              <w:rPr>
                <w:noProof/>
              </w:rPr>
              <w:t xml:space="preserve"> </w:t>
            </w:r>
            <w:r>
              <w:rPr>
                <w:noProof/>
                <w:color w:val="006100"/>
                <w:sz w:val="20"/>
              </w:rPr>
              <w:t>Od regij zahteva, da opredelijo ekonomska merila, na katerih temelji trajanje koncesijskih pogodb.</w:t>
            </w:r>
          </w:p>
          <w:p w14:paraId="1B64FE86" w14:textId="0692A368" w:rsidR="00154E32" w:rsidRDefault="00A43E04">
            <w:pPr>
              <w:pStyle w:val="P68B1DB1-Normal11"/>
              <w:spacing w:before="120" w:after="120"/>
              <w:rPr>
                <w:noProof/>
              </w:rPr>
            </w:pPr>
            <w:r>
              <w:rPr>
                <w:noProof/>
              </w:rPr>
              <w:t>—Povečati možnost podaljšanja pogodb (kot je že razsodilo italijansko ustavno sodišče).</w:t>
            </w:r>
          </w:p>
          <w:p w14:paraId="0C852C0E" w14:textId="2D3821E8" w:rsidR="00154E32" w:rsidRDefault="00A43E04">
            <w:pPr>
              <w:pStyle w:val="P68B1DB1-Normal10"/>
              <w:spacing w:before="120" w:after="120"/>
              <w:rPr>
                <w:noProof/>
                <w:color w:val="006100"/>
                <w:sz w:val="20"/>
              </w:rPr>
            </w:pPr>
            <w:r>
              <w:rPr>
                <w:noProof/>
                <w:color w:val="006100"/>
                <w:sz w:val="20"/>
              </w:rPr>
              <w:t>-</w:t>
            </w:r>
            <w:r>
              <w:rPr>
                <w:noProof/>
              </w:rPr>
              <w:t xml:space="preserve"> </w:t>
            </w:r>
            <w:r>
              <w:rPr>
                <w:noProof/>
                <w:color w:val="006100"/>
                <w:sz w:val="20"/>
              </w:rPr>
              <w:t>Od regij zahteva, da uskladijo merila za dostop z merili za oddajo javnega naročila (da se ustvari predvidljivo poslovno okolje).</w:t>
            </w:r>
          </w:p>
          <w:p w14:paraId="1D573CA8" w14:textId="77777777" w:rsidR="00154E32" w:rsidRDefault="00A43E04">
            <w:pPr>
              <w:pStyle w:val="P68B1DB1-Normal11"/>
              <w:spacing w:before="120" w:after="120"/>
              <w:rPr>
                <w:noProof/>
              </w:rPr>
            </w:pPr>
            <w:r>
              <w:rPr>
                <w:noProof/>
              </w:rPr>
              <w:t>Prevoz:</w:t>
            </w:r>
          </w:p>
          <w:p w14:paraId="36BEC349" w14:textId="1D0468A7" w:rsidR="00154E32" w:rsidRDefault="00A43E04">
            <w:pPr>
              <w:pStyle w:val="P68B1DB1-Normal10"/>
              <w:spacing w:before="120" w:after="120"/>
              <w:rPr>
                <w:noProof/>
                <w:color w:val="006100"/>
                <w:sz w:val="20"/>
              </w:rPr>
            </w:pPr>
            <w:r>
              <w:rPr>
                <w:noProof/>
                <w:color w:val="006100"/>
                <w:sz w:val="20"/>
              </w:rPr>
              <w:t>X. Določiti</w:t>
            </w:r>
            <w:r>
              <w:rPr>
                <w:noProof/>
              </w:rPr>
              <w:t xml:space="preserve"> </w:t>
            </w:r>
            <w:r>
              <w:rPr>
                <w:noProof/>
                <w:color w:val="006100"/>
                <w:sz w:val="20"/>
              </w:rPr>
              <w:t>jasna, nediskriminatorna in pregledna merila za podelitev pristaniških koncesij.</w:t>
            </w:r>
          </w:p>
          <w:p w14:paraId="4F56A195" w14:textId="3407E6F3" w:rsidR="00154E32" w:rsidRDefault="00A43E04">
            <w:pPr>
              <w:pStyle w:val="P68B1DB1-Normal10"/>
              <w:spacing w:before="120" w:after="120"/>
              <w:rPr>
                <w:noProof/>
                <w:color w:val="006100"/>
                <w:sz w:val="20"/>
              </w:rPr>
            </w:pPr>
            <w:r>
              <w:rPr>
                <w:noProof/>
                <w:color w:val="006100"/>
                <w:sz w:val="20"/>
              </w:rPr>
              <w:t>XI.</w:t>
            </w:r>
            <w:r>
              <w:rPr>
                <w:noProof/>
              </w:rPr>
              <w:t xml:space="preserve"> </w:t>
            </w:r>
            <w:r>
              <w:rPr>
                <w:noProof/>
                <w:color w:val="006100"/>
                <w:sz w:val="20"/>
              </w:rPr>
              <w:t>Odpraviti ovire za pristaniške koncesionarje pri združevanju koncesijskih dejavnosti v več velikih in srednje velikih pristaniščih.</w:t>
            </w:r>
          </w:p>
          <w:p w14:paraId="4981B7B5" w14:textId="1289D7AC" w:rsidR="00154E32" w:rsidRDefault="00A43E04">
            <w:pPr>
              <w:pStyle w:val="P68B1DB1-Normal10"/>
              <w:spacing w:before="120" w:after="120"/>
              <w:rPr>
                <w:noProof/>
                <w:color w:val="006100"/>
                <w:sz w:val="20"/>
              </w:rPr>
            </w:pPr>
            <w:r>
              <w:rPr>
                <w:noProof/>
                <w:color w:val="006100"/>
                <w:sz w:val="20"/>
              </w:rPr>
              <w:t>XII.</w:t>
            </w:r>
            <w:r>
              <w:rPr>
                <w:noProof/>
              </w:rPr>
              <w:t xml:space="preserve"> </w:t>
            </w:r>
            <w:r>
              <w:rPr>
                <w:noProof/>
                <w:color w:val="006100"/>
                <w:sz w:val="20"/>
              </w:rPr>
              <w:t>Odpravijo ovire, ki koncesionarjem preprečujejo, da bi sami opravljali nekatere pristaniške storitve in uporabljali lastno opremo, brez poseganja v varnost delavcev, če so ustrezni pogoji, potrebni za zaščito varnosti delavcev, potrebni in sorazmerni s ciljem zagotavljanja varnosti na pristaniških območjih.</w:t>
            </w:r>
          </w:p>
          <w:p w14:paraId="107167C9" w14:textId="69FF4890" w:rsidR="00154E32" w:rsidRDefault="00A43E04">
            <w:pPr>
              <w:pStyle w:val="P68B1DB1-Normal10"/>
              <w:spacing w:before="120" w:after="120"/>
              <w:rPr>
                <w:noProof/>
                <w:color w:val="006100"/>
                <w:sz w:val="20"/>
              </w:rPr>
            </w:pPr>
            <w:r>
              <w:rPr>
                <w:noProof/>
                <w:color w:val="006100"/>
                <w:sz w:val="20"/>
              </w:rPr>
              <w:t>XIII.</w:t>
            </w:r>
            <w:r>
              <w:rPr>
                <w:noProof/>
              </w:rPr>
              <w:t xml:space="preserve"> </w:t>
            </w:r>
            <w:r>
              <w:rPr>
                <w:noProof/>
                <w:color w:val="006100"/>
                <w:sz w:val="20"/>
              </w:rPr>
              <w:t>Poenostaviti revizijo postopkov za revizijo načrtov za izdajo dovoljenj za pristanišča.</w:t>
            </w:r>
          </w:p>
          <w:p w14:paraId="69A73301" w14:textId="7E26B4D3" w:rsidR="00154E32" w:rsidRDefault="00A43E04">
            <w:pPr>
              <w:pStyle w:val="P68B1DB1-Normal10"/>
              <w:spacing w:before="120" w:after="120"/>
              <w:rPr>
                <w:noProof/>
                <w:color w:val="006100"/>
                <w:sz w:val="20"/>
              </w:rPr>
            </w:pPr>
            <w:r>
              <w:rPr>
                <w:noProof/>
                <w:color w:val="006100"/>
                <w:sz w:val="20"/>
              </w:rPr>
              <w:t>XIV.</w:t>
            </w:r>
            <w:r>
              <w:rPr>
                <w:noProof/>
              </w:rPr>
              <w:t xml:space="preserve"> </w:t>
            </w:r>
            <w:r>
              <w:rPr>
                <w:noProof/>
                <w:color w:val="006100"/>
                <w:sz w:val="20"/>
              </w:rPr>
              <w:t>Izvajanje člena 27 vejice 2(d) uredbe-zakona št. 50/2017, ki regije spodbuja k oddaji ponudb za regionalne železniške pogodbe.</w:t>
            </w:r>
          </w:p>
          <w:p w14:paraId="50C9AFE5" w14:textId="77777777" w:rsidR="00154E32" w:rsidRDefault="00A43E04">
            <w:pPr>
              <w:pStyle w:val="P68B1DB1-Normal11"/>
              <w:spacing w:before="120" w:after="120"/>
              <w:rPr>
                <w:noProof/>
              </w:rPr>
            </w:pPr>
            <w:r>
              <w:rPr>
                <w:noProof/>
              </w:rPr>
              <w:t>Odpadki:</w:t>
            </w:r>
          </w:p>
          <w:p w14:paraId="646DCAB1" w14:textId="0640BBB6" w:rsidR="00154E32" w:rsidRDefault="00A43E04">
            <w:pPr>
              <w:pStyle w:val="P68B1DB1-Normal10"/>
              <w:spacing w:before="120" w:after="120"/>
              <w:rPr>
                <w:noProof/>
                <w:color w:val="006100"/>
                <w:sz w:val="20"/>
              </w:rPr>
            </w:pPr>
            <w:r>
              <w:rPr>
                <w:noProof/>
                <w:color w:val="006100"/>
                <w:sz w:val="20"/>
              </w:rPr>
              <w:t>XV.</w:t>
            </w:r>
            <w:r>
              <w:rPr>
                <w:noProof/>
              </w:rPr>
              <w:t xml:space="preserve"> </w:t>
            </w:r>
            <w:r>
              <w:rPr>
                <w:noProof/>
                <w:color w:val="006100"/>
                <w:sz w:val="20"/>
              </w:rPr>
              <w:t>Poenostavitev postopkov za izdajo dovoljenj za obrate za obdelavo odpadkov.</w:t>
            </w:r>
          </w:p>
          <w:p w14:paraId="71BE90AD" w14:textId="77777777" w:rsidR="00154E32" w:rsidRDefault="00A43E04">
            <w:pPr>
              <w:pStyle w:val="P68B1DB1-Normal11"/>
              <w:spacing w:before="120" w:after="120"/>
              <w:rPr>
                <w:noProof/>
              </w:rPr>
            </w:pPr>
            <w:r>
              <w:rPr>
                <w:noProof/>
              </w:rPr>
              <w:t>Ustanovitev podjetja:</w:t>
            </w:r>
          </w:p>
          <w:p w14:paraId="36C12406" w14:textId="2024B985" w:rsidR="00154E32" w:rsidRDefault="00A43E04">
            <w:pPr>
              <w:pStyle w:val="P68B1DB1-Normal10"/>
              <w:spacing w:before="120" w:after="120"/>
              <w:rPr>
                <w:noProof/>
                <w:color w:val="006100"/>
                <w:sz w:val="20"/>
              </w:rPr>
            </w:pPr>
            <w:r>
              <w:rPr>
                <w:noProof/>
                <w:color w:val="006100"/>
                <w:sz w:val="20"/>
              </w:rPr>
              <w:t>XVI.</w:t>
            </w:r>
            <w:r>
              <w:rPr>
                <w:noProof/>
              </w:rPr>
              <w:t xml:space="preserve"> </w:t>
            </w:r>
            <w:r>
              <w:rPr>
                <w:noProof/>
                <w:color w:val="006100"/>
                <w:sz w:val="20"/>
              </w:rPr>
              <w:t>Skrajšati čas akreditacije za zagotavljanje informacij o zaposlenih s sedmih na štiri dni, da se skrajša število dni za ustanovitev podjetja.</w:t>
            </w:r>
          </w:p>
          <w:p w14:paraId="6B77CD78" w14:textId="77777777" w:rsidR="00154E32" w:rsidRDefault="00A43E04">
            <w:pPr>
              <w:pStyle w:val="P68B1DB1-Normal11"/>
              <w:spacing w:before="120" w:after="120"/>
              <w:rPr>
                <w:noProof/>
              </w:rPr>
            </w:pPr>
            <w:r>
              <w:rPr>
                <w:noProof/>
              </w:rPr>
              <w:t>Nadzor trga:</w:t>
            </w:r>
          </w:p>
          <w:p w14:paraId="6E125B05" w14:textId="33524200" w:rsidR="00154E32" w:rsidRDefault="00A43E04">
            <w:pPr>
              <w:pStyle w:val="P68B1DB1-Normal10"/>
              <w:spacing w:before="120" w:after="120"/>
              <w:rPr>
                <w:noProof/>
                <w:color w:val="006100"/>
                <w:sz w:val="20"/>
              </w:rPr>
            </w:pPr>
            <w:r>
              <w:rPr>
                <w:noProof/>
                <w:color w:val="006100"/>
                <w:sz w:val="20"/>
              </w:rPr>
              <w:t>XVII.</w:t>
            </w:r>
            <w:r>
              <w:rPr>
                <w:noProof/>
              </w:rPr>
              <w:t xml:space="preserve"> </w:t>
            </w:r>
            <w:r>
              <w:rPr>
                <w:noProof/>
                <w:color w:val="006100"/>
                <w:sz w:val="20"/>
              </w:rPr>
              <w:t>Konsolidacija nacionalnih organov za nadzor trga v največ desetih agencijah s sedežem v glavnih italijanskih regijah, pri čemer vsaka zajema vse skupine proizvodov in poroča enotnemu uradniku za zvezo, ustanovljenemu v skladu z Uredbo 2019/1020 (v nadaljnjem besedilu: sveženj o dobrem počutju).</w:t>
            </w:r>
          </w:p>
          <w:p w14:paraId="513AB458" w14:textId="174D1F99" w:rsidR="00154E32" w:rsidRDefault="00A43E04">
            <w:pPr>
              <w:pStyle w:val="P68B1DB1-Normal10"/>
              <w:spacing w:before="120" w:after="120"/>
              <w:rPr>
                <w:noProof/>
                <w:color w:val="006100"/>
                <w:sz w:val="20"/>
              </w:rPr>
            </w:pPr>
            <w:r>
              <w:rPr>
                <w:noProof/>
                <w:color w:val="006100"/>
                <w:sz w:val="20"/>
              </w:rPr>
              <w:t>XVIII.</w:t>
            </w:r>
            <w:r>
              <w:rPr>
                <w:noProof/>
              </w:rPr>
              <w:t xml:space="preserve"> </w:t>
            </w:r>
            <w:r>
              <w:rPr>
                <w:noProof/>
                <w:color w:val="006100"/>
                <w:sz w:val="20"/>
              </w:rPr>
              <w:t>Od nacionalnih organov za nadzor trga zahtevajo, da izvajajo digitalizirane inšpekcijske preglede proizvodov in zbirajo podatke, uporabljajo umetno inteligenco za sledenje nevarnim in nezakonitim proizvodom ter prepoznavajo trende in tveganja na enotnem trgu.</w:t>
            </w:r>
          </w:p>
          <w:p w14:paraId="5425729A" w14:textId="1C9EED67" w:rsidR="00154E32" w:rsidRDefault="00A43E04">
            <w:pPr>
              <w:pStyle w:val="P68B1DB1-Normal10"/>
              <w:spacing w:before="120" w:after="120"/>
              <w:rPr>
                <w:noProof/>
                <w:color w:val="006100"/>
                <w:sz w:val="20"/>
              </w:rPr>
            </w:pPr>
            <w:r>
              <w:rPr>
                <w:noProof/>
                <w:color w:val="006100"/>
                <w:sz w:val="20"/>
              </w:rPr>
              <w:t>XIX.</w:t>
            </w:r>
            <w:r>
              <w:rPr>
                <w:noProof/>
              </w:rPr>
              <w:t xml:space="preserve"> </w:t>
            </w:r>
            <w:r>
              <w:rPr>
                <w:noProof/>
                <w:color w:val="006100"/>
                <w:sz w:val="20"/>
              </w:rPr>
              <w:t>Zahteva, da nacionalni organi za nadzor trga vključijo usposabljanje in uporabo informacijskega in komunikacijskega sistema za vseevropski nadzor trga.</w:t>
            </w:r>
          </w:p>
          <w:p w14:paraId="3BAA6798" w14:textId="416B5AEB" w:rsidR="00154E32" w:rsidRDefault="00A43E04">
            <w:pPr>
              <w:pStyle w:val="P68B1DB1-Normal10"/>
              <w:spacing w:before="120" w:after="120"/>
              <w:rPr>
                <w:noProof/>
                <w:color w:val="006100"/>
                <w:sz w:val="20"/>
              </w:rPr>
            </w:pPr>
            <w:r>
              <w:rPr>
                <w:noProof/>
                <w:color w:val="006100"/>
                <w:sz w:val="20"/>
              </w:rPr>
              <w:t>XX.</w:t>
            </w:r>
            <w:r>
              <w:rPr>
                <w:noProof/>
              </w:rPr>
              <w:t xml:space="preserve"> </w:t>
            </w:r>
            <w:r>
              <w:rPr>
                <w:noProof/>
                <w:color w:val="006100"/>
                <w:sz w:val="20"/>
              </w:rPr>
              <w:t>Ustanoviti nove akreditirane laboratorije za preskušanje proizvodov za vse skupine proizvodov. Ti laboratoriji izvajajo preskušanje e-trgovine, fizično laboratorijsko testiranje in skupne ukrepe (carinski organi/organi za nadzor trga; dva ali več nacionalnih organov za nadzor trga, nacionalnih organov in organov za trg EU).</w:t>
            </w:r>
          </w:p>
        </w:tc>
      </w:tr>
      <w:tr w:rsidR="00154E32" w14:paraId="4C62F9D7"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4163259F" w14:textId="77777777" w:rsidR="00154E32" w:rsidRDefault="00A43E04">
            <w:pPr>
              <w:pStyle w:val="P68B1DB1-Normal11"/>
              <w:spacing w:before="120" w:after="120"/>
              <w:jc w:val="center"/>
              <w:rPr>
                <w:noProof/>
              </w:rPr>
            </w:pPr>
            <w:r>
              <w:rPr>
                <w:noProof/>
              </w:rPr>
              <w:t>M1C2–7</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13A71550" w14:textId="77777777" w:rsidR="00154E32" w:rsidRDefault="00A43E04">
            <w:pPr>
              <w:pStyle w:val="P68B1DB1-Normal11"/>
              <w:spacing w:before="120" w:after="120"/>
              <w:jc w:val="center"/>
              <w:rPr>
                <w:noProof/>
              </w:rPr>
            </w:pPr>
            <w:r>
              <w:rPr>
                <w:noProof/>
              </w:rPr>
              <w:t>Reforma 2: Letna zakonodaja o konkurenci</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0BE95BA8" w14:textId="77777777" w:rsidR="00154E32" w:rsidRDefault="00A43E04">
            <w:pPr>
              <w:pStyle w:val="P68B1DB1-Normal11"/>
              <w:spacing w:before="120" w:after="120"/>
              <w:jc w:val="center"/>
              <w:rPr>
                <w:noProof/>
              </w:rPr>
            </w:pPr>
            <w:r>
              <w:rPr>
                <w:noProof/>
              </w:rPr>
              <w:t>Mejnik</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126DFB59" w14:textId="77777777" w:rsidR="00154E32" w:rsidRDefault="00A43E04">
            <w:pPr>
              <w:pStyle w:val="P68B1DB1-Normal11"/>
              <w:spacing w:before="120" w:after="120"/>
              <w:jc w:val="center"/>
              <w:rPr>
                <w:noProof/>
              </w:rPr>
            </w:pPr>
            <w:r>
              <w:rPr>
                <w:noProof/>
              </w:rPr>
              <w:t>Začetek veljavnosti vseh izvedbenih ukrepov v zvezi z energijo in sekundarne zakonodaje (po potrebi)</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20504B78" w14:textId="77777777" w:rsidR="00154E32" w:rsidRDefault="00A43E04">
            <w:pPr>
              <w:pStyle w:val="P68B1DB1-Normal11"/>
              <w:spacing w:before="120" w:after="120"/>
              <w:jc w:val="center"/>
              <w:rPr>
                <w:noProof/>
              </w:rPr>
            </w:pPr>
            <w:r>
              <w:rPr>
                <w:noProof/>
              </w:rPr>
              <w:t>Začetek veljavnosti vseh izvedbenih ukrepov v zvezi z energijo in sekundarne zakonodaje (po potrebi)</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436BEEAB" w14:textId="77777777" w:rsidR="00154E32" w:rsidRDefault="00A43E04">
            <w:pPr>
              <w:pStyle w:val="P68B1DB1-Normal11"/>
              <w:spacing w:before="120" w:after="120"/>
              <w:jc w:val="center"/>
              <w:rPr>
                <w:noProof/>
              </w:rPr>
            </w:pPr>
            <w:r>
              <w:rPr>
                <w:noProof/>
              </w:rPr>
              <w:t>JIH NI</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1EAFF92E" w14:textId="77777777" w:rsidR="00154E32" w:rsidRDefault="00A43E04">
            <w:pPr>
              <w:pStyle w:val="P68B1DB1-Normal11"/>
              <w:spacing w:before="120" w:after="120"/>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5FF71221" w14:textId="77777777" w:rsidR="00154E32" w:rsidRDefault="00A43E04">
            <w:pPr>
              <w:pStyle w:val="P68B1DB1-Normal11"/>
              <w:spacing w:before="120" w:after="120"/>
              <w:jc w:val="center"/>
              <w:rPr>
                <w:noProof/>
              </w:rPr>
            </w:pPr>
            <w:r>
              <w:rPr>
                <w:noProof/>
              </w:rPr>
              <w:t>JIH NI</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247F7393" w14:textId="77777777" w:rsidR="00154E32" w:rsidRDefault="00A43E04">
            <w:pPr>
              <w:pStyle w:val="P68B1DB1-Normal11"/>
              <w:spacing w:before="120" w:after="120"/>
              <w:jc w:val="center"/>
              <w:rPr>
                <w:noProof/>
              </w:rPr>
            </w:pPr>
            <w:r>
              <w:rPr>
                <w:noProof/>
              </w:rPr>
              <w:t>Q4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4881A458" w14:textId="77777777" w:rsidR="00154E32" w:rsidRDefault="00A43E04">
            <w:pPr>
              <w:pStyle w:val="P68B1DB1-Normal11"/>
              <w:spacing w:before="120" w:after="120"/>
              <w:jc w:val="center"/>
              <w:rPr>
                <w:noProof/>
              </w:rPr>
            </w:pPr>
            <w:r>
              <w:rPr>
                <w:noProof/>
              </w:rPr>
              <w:t>2022</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308AAAEC" w14:textId="77777777" w:rsidR="00154E32" w:rsidRDefault="00A43E04">
            <w:pPr>
              <w:pStyle w:val="P68B1DB1-Normal11"/>
              <w:spacing w:before="120" w:after="120"/>
              <w:rPr>
                <w:noProof/>
              </w:rPr>
            </w:pPr>
            <w:r>
              <w:rPr>
                <w:noProof/>
              </w:rPr>
              <w:t>Začetek veljavnosti vseh izvedbenih ukrepov v zvezi z energijo in sekundarne zakonodaje (po potrebi) za:</w:t>
            </w:r>
          </w:p>
          <w:p w14:paraId="52CBE93D" w14:textId="5FF860E1" w:rsidR="00154E32" w:rsidRDefault="00A43E04">
            <w:pPr>
              <w:pStyle w:val="P68B1DB1-Normal10"/>
              <w:spacing w:before="120" w:after="120"/>
              <w:rPr>
                <w:noProof/>
                <w:color w:val="006100"/>
                <w:sz w:val="20"/>
              </w:rPr>
            </w:pPr>
            <w:r>
              <w:rPr>
                <w:noProof/>
                <w:color w:val="006100"/>
                <w:sz w:val="20"/>
              </w:rPr>
              <w:t>I. Postopna odpravareguliranih cen za mikropodjetja in gospodinjstva s 1. januarjem 2023.</w:t>
            </w:r>
          </w:p>
          <w:p w14:paraId="73BFAA44" w14:textId="76134502" w:rsidR="00154E32" w:rsidRDefault="00A43E04">
            <w:pPr>
              <w:pStyle w:val="P68B1DB1-Normal10"/>
              <w:spacing w:before="120" w:after="120"/>
              <w:rPr>
                <w:noProof/>
                <w:color w:val="006100"/>
                <w:sz w:val="20"/>
              </w:rPr>
            </w:pPr>
            <w:r>
              <w:rPr>
                <w:noProof/>
                <w:color w:val="006100"/>
                <w:sz w:val="20"/>
              </w:rPr>
              <w:t>II.</w:t>
            </w:r>
            <w:r>
              <w:rPr>
                <w:noProof/>
              </w:rPr>
              <w:t xml:space="preserve"> </w:t>
            </w:r>
            <w:r>
              <w:rPr>
                <w:noProof/>
                <w:color w:val="006100"/>
                <w:sz w:val="20"/>
              </w:rPr>
              <w:t>Sprejeti spremljevalne ukrepe za podporo prevzemanju konkurence na maloprodajnih trgih električne energije.</w:t>
            </w:r>
          </w:p>
          <w:p w14:paraId="1850A759" w14:textId="77777777" w:rsidR="00154E32" w:rsidRDefault="00A43E04">
            <w:pPr>
              <w:pStyle w:val="P68B1DB1-Normal11"/>
              <w:spacing w:before="120" w:after="120"/>
              <w:rPr>
                <w:noProof/>
              </w:rPr>
            </w:pPr>
            <w:r>
              <w:rPr>
                <w:noProof/>
              </w:rPr>
              <w:t>Spremljevalni ukrepi za zagotovitev uvajanja konkurence na maloprodajnih trgih električne energije zagotavljajo vsaj naslednje:</w:t>
            </w:r>
          </w:p>
          <w:p w14:paraId="6930AE23" w14:textId="77777777" w:rsidR="00154E32" w:rsidRDefault="00A43E04">
            <w:pPr>
              <w:pStyle w:val="P68B1DB1-Normal11"/>
              <w:spacing w:before="120" w:after="120"/>
              <w:rPr>
                <w:noProof/>
              </w:rPr>
            </w:pPr>
            <w:r>
              <w:rPr>
                <w:noProof/>
              </w:rPr>
              <w:t>Dražbo baze strank, da se zagotovijo enaki konkurenčni pogoji za nove udeležence.</w:t>
            </w:r>
          </w:p>
          <w:p w14:paraId="0B956662" w14:textId="77777777" w:rsidR="00154E32" w:rsidRDefault="00A43E04">
            <w:pPr>
              <w:pStyle w:val="P68B1DB1-Normal11"/>
              <w:spacing w:before="120" w:after="120"/>
              <w:rPr>
                <w:noProof/>
              </w:rPr>
            </w:pPr>
            <w:r>
              <w:rPr>
                <w:noProof/>
              </w:rPr>
              <w:t>Določi zgornjo mejo kot največji tržni delež, ki je na voljo vsakemu dobavitelju;</w:t>
            </w:r>
          </w:p>
          <w:p w14:paraId="7D858621" w14:textId="77777777" w:rsidR="00154E32" w:rsidRDefault="00A43E04">
            <w:pPr>
              <w:pStyle w:val="P68B1DB1-Normal11"/>
              <w:spacing w:before="120" w:after="120"/>
              <w:rPr>
                <w:noProof/>
              </w:rPr>
            </w:pPr>
            <w:r>
              <w:rPr>
                <w:noProof/>
              </w:rPr>
              <w:t>Italijanskim potrošnikom omogočiti, da od svojega dobavitelja energije zahtevajo, da svoje podatke o obračunu razkrije tretjim ponudnikom;</w:t>
            </w:r>
          </w:p>
          <w:p w14:paraId="0677999A" w14:textId="77777777" w:rsidR="00154E32" w:rsidRDefault="00A43E04">
            <w:pPr>
              <w:pStyle w:val="P68B1DB1-Normal11"/>
              <w:spacing w:before="120" w:after="120"/>
              <w:rPr>
                <w:noProof/>
              </w:rPr>
            </w:pPr>
            <w:r>
              <w:rPr>
                <w:noProof/>
              </w:rPr>
              <w:t>Povečati preglednost računov za električno energijo, tako da se odjemalcem omogoči dostop do podkomponent „spesi per oneri di sistema“;</w:t>
            </w:r>
          </w:p>
          <w:p w14:paraId="354C54EE" w14:textId="77777777" w:rsidR="00154E32" w:rsidRDefault="00A43E04">
            <w:pPr>
              <w:pStyle w:val="P68B1DB1-Normal11"/>
              <w:spacing w:before="120" w:after="120"/>
              <w:rPr>
                <w:noProof/>
              </w:rPr>
            </w:pPr>
            <w:r>
              <w:rPr>
                <w:noProof/>
              </w:rPr>
              <w:t>— Odpraviti zahtevo, da morajo dobavitelji pobirati dajatve, ki niso povezane z energetskim sektorjem.</w:t>
            </w:r>
          </w:p>
        </w:tc>
      </w:tr>
      <w:tr w:rsidR="00154E32" w14:paraId="170CFD40"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0C177C9C" w14:textId="77777777" w:rsidR="00154E32" w:rsidRDefault="00A43E04">
            <w:pPr>
              <w:pStyle w:val="P68B1DB1-Normal11"/>
              <w:spacing w:before="120" w:after="120"/>
              <w:jc w:val="center"/>
              <w:rPr>
                <w:noProof/>
              </w:rPr>
            </w:pPr>
            <w:r>
              <w:rPr>
                <w:noProof/>
              </w:rPr>
              <w:t>M1C2–8</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7C14156E" w14:textId="77777777" w:rsidR="00154E32" w:rsidRDefault="00A43E04">
            <w:pPr>
              <w:pStyle w:val="P68B1DB1-Normal11"/>
              <w:spacing w:before="120" w:after="120"/>
              <w:jc w:val="center"/>
              <w:rPr>
                <w:noProof/>
              </w:rPr>
            </w:pPr>
            <w:r>
              <w:rPr>
                <w:noProof/>
              </w:rPr>
              <w:t>Reforma 2: Letna zakonodaja o konkurenci</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298715F9" w14:textId="77777777" w:rsidR="00154E32" w:rsidRDefault="00A43E04">
            <w:pPr>
              <w:pStyle w:val="P68B1DB1-Normal11"/>
              <w:spacing w:before="120" w:after="120"/>
              <w:jc w:val="center"/>
              <w:rPr>
                <w:noProof/>
              </w:rPr>
            </w:pPr>
            <w:r>
              <w:rPr>
                <w:noProof/>
              </w:rPr>
              <w:t>Mejnik</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3E62B26C" w14:textId="77777777" w:rsidR="00154E32" w:rsidRDefault="00A43E04">
            <w:pPr>
              <w:pStyle w:val="P68B1DB1-Normal11"/>
              <w:spacing w:before="120" w:after="120"/>
              <w:jc w:val="center"/>
              <w:rPr>
                <w:noProof/>
              </w:rPr>
            </w:pPr>
            <w:r>
              <w:rPr>
                <w:noProof/>
              </w:rPr>
              <w:t>Začetek veljavnosti vseh izvedbenih ukrepov (po potrebi vključno s sekundarno zakonodajo) za učinkovito izvajanje in uporabo ukrepov, ki izhajajo iz letnega konkurenčnega prava za leto 2021</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6B639F37" w14:textId="77777777" w:rsidR="00154E32" w:rsidRDefault="00A43E04">
            <w:pPr>
              <w:pStyle w:val="P68B1DB1-Normal11"/>
              <w:spacing w:before="120" w:after="120"/>
              <w:jc w:val="center"/>
              <w:rPr>
                <w:noProof/>
              </w:rPr>
            </w:pPr>
            <w:r>
              <w:rPr>
                <w:noProof/>
              </w:rPr>
              <w:t>Začetek veljavnosti vse sekundarne zakonodaje, vključno z vsemi potrebnimi predpisi za ukrepe, ki izhajajo iz letnega konkurenčnega prava za leto 2021</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67DFF3D8" w14:textId="77777777" w:rsidR="00154E32" w:rsidRDefault="00A43E04">
            <w:pPr>
              <w:pStyle w:val="P68B1DB1-Normal11"/>
              <w:spacing w:before="120" w:after="120"/>
              <w:jc w:val="center"/>
              <w:rPr>
                <w:noProof/>
              </w:rPr>
            </w:pPr>
            <w:r>
              <w:rPr>
                <w:noProof/>
              </w:rPr>
              <w:t>JIH NI</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159A90D8" w14:textId="77777777" w:rsidR="00154E32" w:rsidRDefault="00A43E04">
            <w:pPr>
              <w:pStyle w:val="P68B1DB1-Normal11"/>
              <w:spacing w:before="120" w:after="120"/>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65B36D1B" w14:textId="77777777" w:rsidR="00154E32" w:rsidRDefault="00A43E04">
            <w:pPr>
              <w:pStyle w:val="P68B1DB1-Normal11"/>
              <w:spacing w:before="120" w:after="120"/>
              <w:jc w:val="center"/>
              <w:rPr>
                <w:noProof/>
              </w:rPr>
            </w:pPr>
            <w:r>
              <w:rPr>
                <w:noProof/>
              </w:rPr>
              <w:t>JIH NI</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2F6D9F51" w14:textId="77777777" w:rsidR="00154E32" w:rsidRDefault="00A43E04">
            <w:pPr>
              <w:pStyle w:val="P68B1DB1-Normal11"/>
              <w:spacing w:before="120" w:after="120"/>
              <w:jc w:val="center"/>
              <w:rPr>
                <w:noProof/>
              </w:rPr>
            </w:pPr>
            <w:r>
              <w:rPr>
                <w:noProof/>
              </w:rPr>
              <w:t>Q4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1B85BF98" w14:textId="77777777" w:rsidR="00154E32" w:rsidRDefault="00A43E04">
            <w:pPr>
              <w:pStyle w:val="P68B1DB1-Normal11"/>
              <w:spacing w:before="120" w:after="120"/>
              <w:jc w:val="center"/>
              <w:rPr>
                <w:noProof/>
              </w:rPr>
            </w:pPr>
            <w:r>
              <w:rPr>
                <w:noProof/>
              </w:rPr>
              <w:t>2022</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7513E389" w14:textId="77777777" w:rsidR="00154E32" w:rsidRDefault="00A43E04">
            <w:pPr>
              <w:pStyle w:val="P68B1DB1-Normal11"/>
              <w:spacing w:before="120" w:after="120"/>
              <w:rPr>
                <w:noProof/>
              </w:rPr>
            </w:pPr>
            <w:r>
              <w:rPr>
                <w:noProof/>
              </w:rPr>
              <w:t>Začetek veljavnosti vseh izvedbenih ukrepov (po potrebi vključno s sekundarno zakonodajo) za učinkovito izvajanje in uporabo ukrepov, ki izhajajo iz letnega konkurenčnega prava za leto 2021.</w:t>
            </w:r>
          </w:p>
        </w:tc>
      </w:tr>
      <w:tr w:rsidR="00154E32" w14:paraId="5095E8B3"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685C4B1A" w14:textId="77777777" w:rsidR="00154E32" w:rsidRDefault="00A43E04">
            <w:pPr>
              <w:pStyle w:val="P68B1DB1-Normal11"/>
              <w:spacing w:before="120" w:after="120"/>
              <w:jc w:val="center"/>
              <w:rPr>
                <w:noProof/>
              </w:rPr>
            </w:pPr>
            <w:r>
              <w:rPr>
                <w:noProof/>
              </w:rPr>
              <w:t>M1C2–9</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37BA0FE5" w14:textId="77777777" w:rsidR="00154E32" w:rsidRDefault="00A43E04">
            <w:pPr>
              <w:pStyle w:val="P68B1DB1-Normal11"/>
              <w:spacing w:before="120" w:after="120"/>
              <w:jc w:val="center"/>
              <w:rPr>
                <w:noProof/>
              </w:rPr>
            </w:pPr>
            <w:r>
              <w:rPr>
                <w:noProof/>
              </w:rPr>
              <w:t>Reforma 2: Letna zakonodaja o konkurenci</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780089CC" w14:textId="77777777" w:rsidR="00154E32" w:rsidRDefault="00A43E04">
            <w:pPr>
              <w:pStyle w:val="P68B1DB1-Normal11"/>
              <w:spacing w:before="120" w:after="120"/>
              <w:jc w:val="center"/>
              <w:rPr>
                <w:noProof/>
              </w:rPr>
            </w:pPr>
            <w:r>
              <w:rPr>
                <w:noProof/>
              </w:rPr>
              <w:t>Mejnik</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47B34D7F" w14:textId="77777777" w:rsidR="00154E32" w:rsidRDefault="00A43E04">
            <w:pPr>
              <w:pStyle w:val="P68B1DB1-Normal11"/>
              <w:spacing w:before="120" w:after="120"/>
              <w:jc w:val="center"/>
              <w:rPr>
                <w:noProof/>
              </w:rPr>
            </w:pPr>
            <w:r>
              <w:rPr>
                <w:noProof/>
              </w:rPr>
              <w:t>Začetek veljavnosti letnega konkurenčnega zakona za leto 2022</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44B0DAAD" w14:textId="77777777" w:rsidR="00154E32" w:rsidRDefault="00A43E04">
            <w:pPr>
              <w:pStyle w:val="P68B1DB1-Normal11"/>
              <w:spacing w:before="120" w:after="120"/>
              <w:jc w:val="center"/>
              <w:rPr>
                <w:noProof/>
              </w:rPr>
            </w:pPr>
            <w:r>
              <w:rPr>
                <w:noProof/>
              </w:rPr>
              <w:t>Določba o začetku veljavnosti letnega konkurenčnega zakona za leto 2022.</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4FC1FB02" w14:textId="77777777" w:rsidR="00154E32" w:rsidRDefault="00A43E04">
            <w:pPr>
              <w:pStyle w:val="P68B1DB1-Normal11"/>
              <w:spacing w:before="120" w:after="120"/>
              <w:jc w:val="center"/>
              <w:rPr>
                <w:noProof/>
              </w:rPr>
            </w:pPr>
            <w:r>
              <w:rPr>
                <w:noProof/>
              </w:rPr>
              <w:t>JIH NI</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5FC76599" w14:textId="77777777" w:rsidR="00154E32" w:rsidRDefault="00A43E04">
            <w:pPr>
              <w:pStyle w:val="P68B1DB1-Normal11"/>
              <w:spacing w:before="120" w:after="120"/>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7F9191AB" w14:textId="77777777" w:rsidR="00154E32" w:rsidRDefault="00A43E04">
            <w:pPr>
              <w:pStyle w:val="P68B1DB1-Normal11"/>
              <w:spacing w:before="120" w:after="120"/>
              <w:jc w:val="center"/>
              <w:rPr>
                <w:noProof/>
              </w:rPr>
            </w:pPr>
            <w:r>
              <w:rPr>
                <w:noProof/>
              </w:rPr>
              <w:t>JIH NI</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0E8E4D54" w14:textId="77777777" w:rsidR="00154E32" w:rsidRDefault="00A43E04">
            <w:pPr>
              <w:pStyle w:val="P68B1DB1-Normal11"/>
              <w:spacing w:before="120" w:after="120"/>
              <w:jc w:val="center"/>
              <w:rPr>
                <w:noProof/>
              </w:rPr>
            </w:pPr>
            <w:r>
              <w:rPr>
                <w:noProof/>
              </w:rPr>
              <w:t>Q4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04393AE7" w14:textId="77777777" w:rsidR="00154E32" w:rsidRDefault="00A43E04">
            <w:pPr>
              <w:pStyle w:val="P68B1DB1-Normal11"/>
              <w:spacing w:before="120" w:after="120"/>
              <w:jc w:val="center"/>
              <w:rPr>
                <w:noProof/>
              </w:rPr>
            </w:pPr>
            <w:r>
              <w:rPr>
                <w:noProof/>
              </w:rPr>
              <w:t>2023</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229569EA" w14:textId="48CF763E" w:rsidR="00154E32" w:rsidRDefault="00A43E04">
            <w:pPr>
              <w:pStyle w:val="P68B1DB1-Normal10"/>
              <w:spacing w:after="120"/>
              <w:rPr>
                <w:noProof/>
                <w:color w:val="006100"/>
                <w:sz w:val="20"/>
              </w:rPr>
            </w:pPr>
            <w:r>
              <w:rPr>
                <w:noProof/>
                <w:color w:val="006100"/>
                <w:sz w:val="20"/>
              </w:rPr>
              <w:t>Začetek veljavnosti letnega konkurenčnega prava za leto 2022</w:t>
            </w:r>
            <w:r>
              <w:rPr>
                <w:noProof/>
              </w:rPr>
              <w:t xml:space="preserve"> </w:t>
            </w:r>
            <w:r>
              <w:rPr>
                <w:noProof/>
              </w:rPr>
              <w:br/>
            </w:r>
            <w:r>
              <w:rPr>
                <w:noProof/>
                <w:color w:val="006100"/>
                <w:sz w:val="20"/>
              </w:rPr>
              <w:t>Letno konkurenčno pravo vključuje vsaj naslednje ključne elemente, katerih izvedbeni ukrepi in sekundarna zakonodaja (po potrebi) se sprejmejo in začnejo veljati najpozneje 31. decembra 2023.</w:t>
            </w:r>
          </w:p>
          <w:p w14:paraId="590D001C" w14:textId="77777777" w:rsidR="00154E32" w:rsidRDefault="00A43E04">
            <w:pPr>
              <w:pStyle w:val="P68B1DB1-Normal11"/>
              <w:spacing w:before="120" w:after="120"/>
              <w:rPr>
                <w:noProof/>
              </w:rPr>
            </w:pPr>
            <w:r>
              <w:rPr>
                <w:noProof/>
              </w:rPr>
              <w:t xml:space="preserve">Izvajalec: </w:t>
            </w:r>
          </w:p>
          <w:p w14:paraId="62CA24A9" w14:textId="71E5714C" w:rsidR="00154E32" w:rsidRDefault="00A43E04">
            <w:pPr>
              <w:pStyle w:val="P68B1DB1-Normal11"/>
              <w:spacing w:before="120" w:after="120"/>
              <w:rPr>
                <w:noProof/>
              </w:rPr>
            </w:pPr>
            <w:r>
              <w:rPr>
                <w:b/>
                <w:noProof/>
              </w:rPr>
              <w:t>I)</w:t>
            </w:r>
            <w:r>
              <w:rPr>
                <w:noProof/>
              </w:rPr>
              <w:t xml:space="preserve"> vzpostavitev jasnega postopka za sprejetje</w:t>
            </w:r>
            <w:r>
              <w:rPr>
                <w:b/>
                <w:noProof/>
              </w:rPr>
              <w:t xml:space="preserve">razvojnega </w:t>
            </w:r>
            <w:r>
              <w:rPr>
                <w:noProof/>
              </w:rPr>
              <w:t xml:space="preserve"> načrta elektroenergetskega omrežja za naslednje desetletje v vnaprej določenih rokih, v vsakem primeru pa do 31. decembra ustreznega obdobja (vsaki dve leti)(*), ki zagotavlja dokončanje postopka in poenostavitev postopka odobritve.</w:t>
            </w:r>
          </w:p>
          <w:p w14:paraId="7FED5636" w14:textId="47EA4A94" w:rsidR="00154E32" w:rsidRDefault="00A43E04">
            <w:pPr>
              <w:pStyle w:val="P68B1DB1-Normal11"/>
              <w:spacing w:before="120" w:after="120"/>
              <w:rPr>
                <w:noProof/>
              </w:rPr>
            </w:pPr>
            <w:r>
              <w:rPr>
                <w:noProof/>
              </w:rPr>
              <w:t>(*) Načrt za razvoj elektroenergetskega omrežja za leto 2021 se sprejme do 31. decembra 2023.</w:t>
            </w:r>
          </w:p>
          <w:p w14:paraId="4F114842" w14:textId="77777777" w:rsidR="00154E32" w:rsidRDefault="00A43E04">
            <w:pPr>
              <w:pStyle w:val="P68B1DB1-Normal11"/>
              <w:spacing w:before="120" w:after="120"/>
              <w:rPr>
                <w:noProof/>
              </w:rPr>
            </w:pPr>
            <w:r>
              <w:rPr>
                <w:b/>
                <w:noProof/>
              </w:rPr>
              <w:t>II)</w:t>
            </w:r>
            <w:r>
              <w:rPr>
                <w:noProof/>
              </w:rPr>
              <w:t xml:space="preserve"> spodbujajo uvedbo pametnih števcev električne energije</w:t>
            </w:r>
            <w:r>
              <w:rPr>
                <w:noProof/>
                <w:vertAlign w:val="superscript"/>
              </w:rPr>
              <w:t>druge generacije</w:t>
            </w:r>
            <w:r>
              <w:rPr>
                <w:noProof/>
              </w:rPr>
              <w:t xml:space="preserve">; </w:t>
            </w:r>
          </w:p>
          <w:p w14:paraId="650DE284" w14:textId="77777777" w:rsidR="00154E32" w:rsidRDefault="00154E32">
            <w:pPr>
              <w:rPr>
                <w:rFonts w:ascii="Arial Narrow" w:hAnsi="Arial Narrow"/>
                <w:b/>
                <w:noProof/>
                <w:color w:val="006100"/>
                <w:sz w:val="20"/>
              </w:rPr>
            </w:pPr>
          </w:p>
          <w:p w14:paraId="60B7DA49" w14:textId="77777777" w:rsidR="00154E32" w:rsidRDefault="00A43E04">
            <w:pPr>
              <w:pStyle w:val="P68B1DB1-Normal20"/>
              <w:rPr>
                <w:noProof/>
              </w:rPr>
            </w:pPr>
            <w:r>
              <w:rPr>
                <w:noProof/>
              </w:rPr>
              <w:t>Protimonopolna politika:</w:t>
            </w:r>
          </w:p>
          <w:p w14:paraId="083E17C9" w14:textId="695B4D46" w:rsidR="00154E32" w:rsidRDefault="00A43E04">
            <w:pPr>
              <w:pStyle w:val="P68B1DB1-Normal11"/>
              <w:rPr>
                <w:noProof/>
              </w:rPr>
            </w:pPr>
            <w:r>
              <w:rPr>
                <w:b/>
                <w:noProof/>
              </w:rPr>
              <w:t>III)</w:t>
            </w:r>
            <w:r>
              <w:rPr>
                <w:noProof/>
              </w:rPr>
              <w:t xml:space="preserve"> podaljšati trajanje presoje, ki jo opravi italijanski organ, pristojen za konkurenco (</w:t>
            </w:r>
            <w:r>
              <w:rPr>
                <w:i/>
                <w:noProof/>
              </w:rPr>
              <w:t>Autorità Garante della Concorrenza e del Mercato</w:t>
            </w:r>
            <w:r>
              <w:rPr>
                <w:noProof/>
              </w:rPr>
              <w:t>), za koncentracije, ki bi lahko bistveno ovirale učinkovito konkurenco v skladu s členom 6 zakona 287/1990, s 45 na 90 dni.</w:t>
            </w:r>
          </w:p>
          <w:p w14:paraId="512337C2" w14:textId="77777777" w:rsidR="00154E32" w:rsidRDefault="00154E32">
            <w:pPr>
              <w:rPr>
                <w:rFonts w:ascii="Arial Narrow" w:hAnsi="Arial Narrow"/>
                <w:b/>
                <w:noProof/>
                <w:color w:val="006100"/>
                <w:sz w:val="20"/>
              </w:rPr>
            </w:pPr>
          </w:p>
          <w:p w14:paraId="4F1F0117" w14:textId="77777777" w:rsidR="00154E32" w:rsidRDefault="00A43E04">
            <w:pPr>
              <w:pStyle w:val="P68B1DB1-Normal20"/>
              <w:rPr>
                <w:noProof/>
              </w:rPr>
            </w:pPr>
            <w:r>
              <w:rPr>
                <w:noProof/>
              </w:rPr>
              <w:t>Prodaja na drobno:</w:t>
            </w:r>
          </w:p>
          <w:p w14:paraId="7379B39B" w14:textId="77777777" w:rsidR="00154E32" w:rsidRDefault="00A43E04">
            <w:pPr>
              <w:pStyle w:val="P68B1DB1-Normal11"/>
              <w:rPr>
                <w:noProof/>
              </w:rPr>
            </w:pPr>
            <w:r>
              <w:rPr>
                <w:b/>
                <w:noProof/>
              </w:rPr>
              <w:t xml:space="preserve">IV) </w:t>
            </w:r>
            <w:r>
              <w:rPr>
                <w:noProof/>
              </w:rPr>
              <w:t>poenostavitev postopkov za izdajo dovoljenj za promocijsko prodajo s strani podjetij, ki imajo prodajalne v različnih občinah.</w:t>
            </w:r>
          </w:p>
          <w:p w14:paraId="1EEC42DD" w14:textId="77777777" w:rsidR="00154E32" w:rsidRDefault="00154E32">
            <w:pPr>
              <w:rPr>
                <w:rFonts w:ascii="Arial Narrow" w:hAnsi="Arial Narrow"/>
                <w:b/>
                <w:noProof/>
                <w:color w:val="006100"/>
                <w:sz w:val="20"/>
              </w:rPr>
            </w:pPr>
          </w:p>
          <w:p w14:paraId="68CDCE02" w14:textId="77777777" w:rsidR="00154E32" w:rsidRDefault="00A43E04">
            <w:pPr>
              <w:pStyle w:val="P68B1DB1-Normal20"/>
              <w:rPr>
                <w:noProof/>
              </w:rPr>
            </w:pPr>
            <w:r>
              <w:rPr>
                <w:noProof/>
              </w:rPr>
              <w:t>Zdravila:</w:t>
            </w:r>
          </w:p>
          <w:p w14:paraId="3A6505A2" w14:textId="77777777" w:rsidR="00154E32" w:rsidRDefault="00A43E04">
            <w:pPr>
              <w:pStyle w:val="P68B1DB1-Normal11"/>
              <w:rPr>
                <w:noProof/>
              </w:rPr>
            </w:pPr>
            <w:r>
              <w:rPr>
                <w:b/>
                <w:noProof/>
              </w:rPr>
              <w:t>v)</w:t>
            </w:r>
            <w:r>
              <w:rPr>
                <w:noProof/>
              </w:rPr>
              <w:t xml:space="preserve"> zagotoviti sorazmernost zahtev za dovoljenje za prodajo galenskih farmacevtskih izdelkov.</w:t>
            </w:r>
          </w:p>
        </w:tc>
      </w:tr>
      <w:tr w:rsidR="00154E32" w14:paraId="12236A46"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220CF47E" w14:textId="77777777" w:rsidR="00154E32" w:rsidRDefault="00A43E04">
            <w:pPr>
              <w:pStyle w:val="P68B1DB1-Normal11"/>
              <w:spacing w:before="120" w:after="120"/>
              <w:jc w:val="center"/>
              <w:rPr>
                <w:noProof/>
              </w:rPr>
            </w:pPr>
            <w:r>
              <w:rPr>
                <w:noProof/>
              </w:rPr>
              <w:t>M1C2–10</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660C5AF7" w14:textId="77777777" w:rsidR="00154E32" w:rsidRDefault="00A43E04">
            <w:pPr>
              <w:pStyle w:val="P68B1DB1-Normal11"/>
              <w:spacing w:before="120" w:after="120"/>
              <w:jc w:val="center"/>
              <w:rPr>
                <w:noProof/>
              </w:rPr>
            </w:pPr>
            <w:r>
              <w:rPr>
                <w:noProof/>
              </w:rPr>
              <w:t>Reforma 2: Letna zakonodaja o konkurenci</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030AA3BB" w14:textId="77777777" w:rsidR="00154E32" w:rsidRDefault="00A43E04">
            <w:pPr>
              <w:pStyle w:val="P68B1DB1-Normal11"/>
              <w:spacing w:before="120" w:after="120"/>
              <w:jc w:val="center"/>
              <w:rPr>
                <w:noProof/>
              </w:rPr>
            </w:pPr>
            <w:r>
              <w:rPr>
                <w:noProof/>
              </w:rPr>
              <w:t>Mejnik</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4A37E2EC" w14:textId="77777777" w:rsidR="00154E32" w:rsidRDefault="00A43E04">
            <w:pPr>
              <w:pStyle w:val="P68B1DB1-Normal11"/>
              <w:spacing w:before="120" w:after="120"/>
              <w:jc w:val="center"/>
              <w:rPr>
                <w:noProof/>
              </w:rPr>
            </w:pPr>
            <w:r>
              <w:rPr>
                <w:noProof/>
              </w:rPr>
              <w:t>Začetek veljavnosti vseh izvedbenih ukrepov (po potrebi vključno s sekundarno zakonodajo) za učinkovito izvajanje in uporabo ukrepov, ki izhajajo iz letnega konkurenčnega prava za leto 2022</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5D095519" w14:textId="77777777" w:rsidR="00154E32" w:rsidRDefault="00A43E04">
            <w:pPr>
              <w:pStyle w:val="P68B1DB1-Normal11"/>
              <w:spacing w:before="120" w:after="120"/>
              <w:jc w:val="center"/>
              <w:rPr>
                <w:noProof/>
              </w:rPr>
            </w:pPr>
            <w:r>
              <w:rPr>
                <w:noProof/>
              </w:rPr>
              <w:t>Začetek veljavnosti vse sekundarne zakonodaje, vključno z vsemi potrebnimi predpisi za ukrepe, ki izhajajo iz letnega konkurenčnega prava za leto 2022</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4A127700" w14:textId="77777777" w:rsidR="00154E32" w:rsidRDefault="00A43E04">
            <w:pPr>
              <w:pStyle w:val="P68B1DB1-Normal11"/>
              <w:spacing w:before="120" w:after="120"/>
              <w:jc w:val="center"/>
              <w:rPr>
                <w:noProof/>
              </w:rPr>
            </w:pPr>
            <w:r>
              <w:rPr>
                <w:noProof/>
              </w:rPr>
              <w:t>JIH NI</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416C0973" w14:textId="77777777" w:rsidR="00154E32" w:rsidRDefault="00A43E04">
            <w:pPr>
              <w:pStyle w:val="P68B1DB1-Normal11"/>
              <w:spacing w:before="120" w:after="120"/>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68B3616F" w14:textId="77777777" w:rsidR="00154E32" w:rsidRDefault="00A43E04">
            <w:pPr>
              <w:pStyle w:val="P68B1DB1-Normal11"/>
              <w:spacing w:before="120" w:after="120"/>
              <w:jc w:val="center"/>
              <w:rPr>
                <w:noProof/>
              </w:rPr>
            </w:pPr>
            <w:r>
              <w:rPr>
                <w:noProof/>
              </w:rPr>
              <w:t>JIH NI</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44ADC54D" w14:textId="77777777" w:rsidR="00154E32" w:rsidRDefault="00A43E04">
            <w:pPr>
              <w:pStyle w:val="P68B1DB1-Normal11"/>
              <w:spacing w:before="120" w:after="120"/>
              <w:jc w:val="center"/>
              <w:rPr>
                <w:noProof/>
              </w:rPr>
            </w:pPr>
            <w:r>
              <w:rPr>
                <w:noProof/>
              </w:rPr>
              <w:t>Q4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5976FCFA" w14:textId="77777777" w:rsidR="00154E32" w:rsidRDefault="00A43E04">
            <w:pPr>
              <w:pStyle w:val="P68B1DB1-Normal11"/>
              <w:spacing w:before="120" w:after="120"/>
              <w:jc w:val="center"/>
              <w:rPr>
                <w:noProof/>
              </w:rPr>
            </w:pPr>
            <w:r>
              <w:rPr>
                <w:noProof/>
              </w:rPr>
              <w:t>2023</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44D3F323" w14:textId="77777777" w:rsidR="00154E32" w:rsidRDefault="00A43E04">
            <w:pPr>
              <w:pStyle w:val="P68B1DB1-Normal11"/>
              <w:spacing w:before="120" w:after="120"/>
              <w:rPr>
                <w:noProof/>
              </w:rPr>
            </w:pPr>
            <w:r>
              <w:rPr>
                <w:noProof/>
              </w:rPr>
              <w:t>Začetek veljavnosti vse sekundarne zakonodaje (po potrebi), vključno z vsemi potrebnimi predpisi za učinkovito izvajanje in uporabo vseh navedenih ukrepov, ki izhajajo iz letnega konkurenčnega prava za leto 2022.</w:t>
            </w:r>
          </w:p>
        </w:tc>
      </w:tr>
      <w:tr w:rsidR="00154E32" w14:paraId="0042D8E4"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73B0A9C3" w14:textId="77777777" w:rsidR="00154E32" w:rsidRDefault="00A43E04">
            <w:pPr>
              <w:pStyle w:val="P68B1DB1-Normal11"/>
              <w:spacing w:before="120" w:after="120"/>
              <w:jc w:val="center"/>
              <w:rPr>
                <w:noProof/>
              </w:rPr>
            </w:pPr>
            <w:r>
              <w:rPr>
                <w:noProof/>
              </w:rPr>
              <w:t>M1C2–11</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5B6D8FBB" w14:textId="77777777" w:rsidR="00154E32" w:rsidRDefault="00A43E04">
            <w:pPr>
              <w:pStyle w:val="P68B1DB1-Normal11"/>
              <w:spacing w:before="120" w:after="120"/>
              <w:jc w:val="center"/>
              <w:rPr>
                <w:noProof/>
              </w:rPr>
            </w:pPr>
            <w:r>
              <w:rPr>
                <w:noProof/>
              </w:rPr>
              <w:t>Reforma 2: Letna zakonodaja o konkurenci</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152FD65F" w14:textId="77777777" w:rsidR="00154E32" w:rsidRDefault="00A43E04">
            <w:pPr>
              <w:pStyle w:val="P68B1DB1-Normal11"/>
              <w:spacing w:before="120" w:after="120"/>
              <w:jc w:val="center"/>
              <w:rPr>
                <w:noProof/>
              </w:rPr>
            </w:pPr>
            <w:r>
              <w:rPr>
                <w:noProof/>
              </w:rPr>
              <w:t>Mejnik</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673FC164" w14:textId="77777777" w:rsidR="00154E32" w:rsidRDefault="00A43E04">
            <w:pPr>
              <w:pStyle w:val="P68B1DB1-Normal11"/>
              <w:spacing w:before="120" w:after="120"/>
              <w:jc w:val="center"/>
              <w:rPr>
                <w:noProof/>
              </w:rPr>
            </w:pPr>
            <w:r>
              <w:rPr>
                <w:noProof/>
              </w:rPr>
              <w:t>Začetek veljavnosti letnega konkurenčnega zakona za leto 2023</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13EB1317" w14:textId="77777777" w:rsidR="00154E32" w:rsidRDefault="00A43E04">
            <w:pPr>
              <w:pStyle w:val="P68B1DB1-Normal11"/>
              <w:spacing w:before="120" w:after="120"/>
              <w:jc w:val="center"/>
              <w:rPr>
                <w:noProof/>
              </w:rPr>
            </w:pPr>
            <w:r>
              <w:rPr>
                <w:noProof/>
              </w:rPr>
              <w:t>Določba o začetku veljavnosti letnega konkurenčnega zakona za leto 2023.</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3C481333" w14:textId="77777777" w:rsidR="00154E32" w:rsidRDefault="00A43E04">
            <w:pPr>
              <w:pStyle w:val="P68B1DB1-Normal11"/>
              <w:spacing w:before="120" w:after="120"/>
              <w:jc w:val="center"/>
              <w:rPr>
                <w:noProof/>
              </w:rPr>
            </w:pPr>
            <w:r>
              <w:rPr>
                <w:noProof/>
              </w:rPr>
              <w:t>JIH NI</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34156E0F" w14:textId="77777777" w:rsidR="00154E32" w:rsidRDefault="00A43E04">
            <w:pPr>
              <w:pStyle w:val="P68B1DB1-Normal11"/>
              <w:spacing w:before="120" w:after="120"/>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352C09D2" w14:textId="77777777" w:rsidR="00154E32" w:rsidRDefault="00A43E04">
            <w:pPr>
              <w:pStyle w:val="P68B1DB1-Normal11"/>
              <w:spacing w:before="120" w:after="120"/>
              <w:jc w:val="center"/>
              <w:rPr>
                <w:noProof/>
              </w:rPr>
            </w:pPr>
            <w:r>
              <w:rPr>
                <w:noProof/>
              </w:rPr>
              <w:t>JIH NI</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758184FE" w14:textId="77777777" w:rsidR="00154E32" w:rsidRDefault="00A43E04">
            <w:pPr>
              <w:pStyle w:val="P68B1DB1-Normal11"/>
              <w:spacing w:before="120" w:after="120"/>
              <w:jc w:val="center"/>
              <w:rPr>
                <w:noProof/>
              </w:rPr>
            </w:pPr>
            <w:r>
              <w:rPr>
                <w:noProof/>
              </w:rPr>
              <w:t>Q4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04D7FDF6" w14:textId="77777777" w:rsidR="00154E32" w:rsidRDefault="00A43E04">
            <w:pPr>
              <w:pStyle w:val="P68B1DB1-Normal11"/>
              <w:spacing w:before="120" w:after="120"/>
              <w:jc w:val="center"/>
              <w:rPr>
                <w:noProof/>
              </w:rPr>
            </w:pPr>
            <w:r>
              <w:rPr>
                <w:noProof/>
              </w:rPr>
              <w:t>2024</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6D36793E" w14:textId="5B39E08D" w:rsidR="00154E32" w:rsidRDefault="00A43E04">
            <w:pPr>
              <w:pStyle w:val="P68B1DB1-Normal11"/>
              <w:rPr>
                <w:noProof/>
              </w:rPr>
            </w:pPr>
            <w:r>
              <w:rPr>
                <w:noProof/>
              </w:rPr>
              <w:t>Začetek veljavnosti letnega konkurenčnega prava za leto 2023. Letno konkurenčno pravo vključuje vsaj naslednje ključne elemente, katerih izvedbeni ukrepi in sekundarna zakonodaja (po potrebi) se sprejmejo in začnejo veljati najpozneje 31. decembra 2024.</w:t>
            </w:r>
          </w:p>
          <w:p w14:paraId="5DD6262C" w14:textId="77777777" w:rsidR="00154E32" w:rsidRDefault="00154E32">
            <w:pPr>
              <w:rPr>
                <w:rFonts w:ascii="Arial Narrow" w:hAnsi="Arial Narrow"/>
                <w:noProof/>
                <w:color w:val="006100"/>
                <w:sz w:val="20"/>
              </w:rPr>
            </w:pPr>
          </w:p>
          <w:p w14:paraId="7B83607D" w14:textId="77777777" w:rsidR="00154E32" w:rsidRDefault="00A43E04">
            <w:pPr>
              <w:pStyle w:val="P68B1DB1-Normal11"/>
              <w:rPr>
                <w:noProof/>
              </w:rPr>
            </w:pPr>
            <w:r>
              <w:rPr>
                <w:noProof/>
              </w:rPr>
              <w:t>Vključuje vsaj naslednje ukrepe:</w:t>
            </w:r>
          </w:p>
          <w:p w14:paraId="7A199AEF" w14:textId="77777777" w:rsidR="00154E32" w:rsidRDefault="00154E32">
            <w:pPr>
              <w:rPr>
                <w:rFonts w:ascii="Arial Narrow" w:hAnsi="Arial Narrow"/>
                <w:noProof/>
                <w:color w:val="006100"/>
                <w:sz w:val="20"/>
              </w:rPr>
            </w:pPr>
          </w:p>
          <w:p w14:paraId="4359C905" w14:textId="77777777" w:rsidR="00154E32" w:rsidRDefault="00A43E04">
            <w:pPr>
              <w:pStyle w:val="P68B1DB1-Normal20"/>
              <w:rPr>
                <w:noProof/>
              </w:rPr>
            </w:pPr>
            <w:r>
              <w:rPr>
                <w:noProof/>
              </w:rPr>
              <w:t>Avtoceste:</w:t>
            </w:r>
          </w:p>
          <w:p w14:paraId="6681AAF1" w14:textId="77777777" w:rsidR="00154E32" w:rsidRDefault="00154E32">
            <w:pPr>
              <w:rPr>
                <w:rFonts w:ascii="Arial Narrow" w:hAnsi="Arial Narrow"/>
                <w:noProof/>
                <w:color w:val="006100"/>
                <w:sz w:val="20"/>
              </w:rPr>
            </w:pPr>
          </w:p>
          <w:p w14:paraId="1787CF7F" w14:textId="01E2735D" w:rsidR="00154E32" w:rsidRDefault="00A43E04">
            <w:pPr>
              <w:pStyle w:val="P68B1DB1-Normal11"/>
              <w:spacing w:after="120"/>
              <w:jc w:val="both"/>
              <w:rPr>
                <w:noProof/>
              </w:rPr>
            </w:pPr>
            <w:r>
              <w:rPr>
                <w:b/>
                <w:noProof/>
              </w:rPr>
              <w:t>I)</w:t>
            </w:r>
            <w:r>
              <w:rPr>
                <w:noProof/>
              </w:rPr>
              <w:t xml:space="preserve"> v zvezi z dostopom do koncesij in prekinitvijo pogodbe letno konkurenčno pravo vsaj:</w:t>
            </w:r>
          </w:p>
          <w:p w14:paraId="502FFCD9" w14:textId="689DE208" w:rsidR="00154E32" w:rsidRDefault="00A43E04">
            <w:pPr>
              <w:pStyle w:val="P68B1DB1-Normal11"/>
              <w:spacing w:after="80"/>
              <w:ind w:left="340"/>
              <w:jc w:val="both"/>
              <w:rPr>
                <w:noProof/>
              </w:rPr>
            </w:pPr>
            <w:r>
              <w:rPr>
                <w:noProof/>
              </w:rPr>
              <w:t xml:space="preserve">— </w:t>
            </w:r>
            <w:r>
              <w:rPr>
                <w:b/>
                <w:noProof/>
              </w:rPr>
              <w:t>določijo obvezno oddajo ponudb za koncesijske pogodbe za avtoceste in okrepijo izvršljivost regulativnega okvira</w:t>
            </w:r>
            <w:r>
              <w:rPr>
                <w:noProof/>
              </w:rPr>
              <w:t xml:space="preserve"> za podeljevanje koncesij za avtoceste in zagotavljanje ustreznih ravni storitev za uporabnike avtocest, brez poseganja v notranje zagotavljanje v mejah, določenih z zakonodajo EU(*); </w:t>
            </w:r>
          </w:p>
          <w:p w14:paraId="5C03F622" w14:textId="77777777" w:rsidR="00154E32" w:rsidRDefault="00A43E04">
            <w:pPr>
              <w:pStyle w:val="P68B1DB1-Normal20"/>
              <w:autoSpaceDE w:val="0"/>
              <w:autoSpaceDN w:val="0"/>
              <w:adjustRightInd w:val="0"/>
              <w:spacing w:after="80"/>
              <w:ind w:left="340"/>
              <w:jc w:val="both"/>
              <w:rPr>
                <w:noProof/>
              </w:rPr>
            </w:pPr>
            <w:r>
              <w:rPr>
                <w:noProof/>
              </w:rPr>
              <w:t>izboljšati učinkovitost upravnih postopkov odločanja v zvezi s koncesijskimi pogodbami;</w:t>
            </w:r>
          </w:p>
          <w:p w14:paraId="1F06665F" w14:textId="77777777" w:rsidR="00154E32" w:rsidRDefault="00A43E04">
            <w:pPr>
              <w:pStyle w:val="P68B1DB1-Normal11"/>
              <w:spacing w:after="80"/>
              <w:ind w:left="340"/>
              <w:jc w:val="both"/>
              <w:rPr>
                <w:noProof/>
              </w:rPr>
            </w:pPr>
            <w:r>
              <w:rPr>
                <w:noProof/>
              </w:rPr>
              <w:t>zahteva podroben in pregleden opis predmeta koncesijske pogodbe</w:t>
            </w:r>
          </w:p>
          <w:p w14:paraId="53921331" w14:textId="0A56B13E" w:rsidR="00154E32" w:rsidRDefault="00A43E04">
            <w:pPr>
              <w:pStyle w:val="P68B1DB1-Normal11"/>
              <w:spacing w:after="80"/>
              <w:ind w:left="340"/>
              <w:jc w:val="both"/>
              <w:rPr>
                <w:noProof/>
              </w:rPr>
            </w:pPr>
            <w:r>
              <w:rPr>
                <w:noProof/>
              </w:rPr>
              <w:t>od organov, ki podeljujejo koncesije, zahtevajo, da določijo koncesije za avtocestne odseke, dodeljene po javnem postopku, ob upoštevanju ocen učinkovitosti obsega in stroškov koncesionarjev za avtoceste, ki jih je pripravil regulativni organ (</w:t>
            </w:r>
            <w:r>
              <w:rPr>
                <w:i/>
                <w:noProof/>
              </w:rPr>
              <w:t xml:space="preserve">Autorità di Regolazione dei Trasporti </w:t>
            </w:r>
            <w:r>
              <w:rPr>
                <w:noProof/>
              </w:rPr>
              <w:t xml:space="preserve">– ART); </w:t>
            </w:r>
          </w:p>
          <w:p w14:paraId="25F71FFC" w14:textId="77777777" w:rsidR="00154E32" w:rsidRDefault="00A43E04">
            <w:pPr>
              <w:pStyle w:val="P68B1DB1-Normal11"/>
              <w:spacing w:after="80"/>
              <w:ind w:left="340"/>
              <w:jc w:val="both"/>
              <w:rPr>
                <w:noProof/>
              </w:rPr>
            </w:pPr>
            <w:r>
              <w:rPr>
                <w:noProof/>
              </w:rPr>
              <w:t>okrepiti nadzor, ki ga izvaja Ministrstvo za infrastrukturo nad stroški in izvajanjem avtocestnih infrastruktur;</w:t>
            </w:r>
          </w:p>
          <w:p w14:paraId="1492D094" w14:textId="42AAD02A" w:rsidR="00154E32" w:rsidRDefault="00A43E04">
            <w:pPr>
              <w:pStyle w:val="P68B1DB1-Normal11"/>
              <w:spacing w:after="80"/>
              <w:ind w:left="340"/>
              <w:jc w:val="both"/>
              <w:rPr>
                <w:noProof/>
              </w:rPr>
            </w:pPr>
            <w:r>
              <w:rPr>
                <w:noProof/>
              </w:rPr>
              <w:t>preprečiti samodejno podaljšanje koncesijskih pogodb, tudi z bistvenim izboljšanjem učinkovitosti upravljanja za vse tehnične in upravne postopke, povezane z rednim posodabljanjem gospodarskih in finančnih načrtov in letnim izvajanjem teh načrtov, ter s prepovedjo uporabe postopkov, ki jih ureja člen 193 zakonika o javnih naročilih, kot sredstva za podeljevanje koncesijskih pogodb za avtoceste, ki so se iztekle ali prenehale veljati;</w:t>
            </w:r>
          </w:p>
          <w:p w14:paraId="5F5882EC" w14:textId="77777777" w:rsidR="00154E32" w:rsidRDefault="00A43E04">
            <w:pPr>
              <w:pStyle w:val="P68B1DB1-Normal11"/>
              <w:spacing w:after="80"/>
              <w:ind w:left="340"/>
              <w:jc w:val="both"/>
              <w:rPr>
                <w:noProof/>
              </w:rPr>
            </w:pPr>
            <w:r>
              <w:rPr>
                <w:noProof/>
              </w:rPr>
              <w:t xml:space="preserve">poenostavitev/pojasnitev ureditve pogojev odpovedi in odpovedi pogodbe, tudi zato, da se ohrani ustrezna raven tekmovalnosti koncesij za upoštevne trge; </w:t>
            </w:r>
          </w:p>
          <w:p w14:paraId="61A38AAC" w14:textId="497A0C25" w:rsidR="00154E32" w:rsidRDefault="00A43E04">
            <w:pPr>
              <w:pStyle w:val="P68B1DB1-Normal11"/>
              <w:spacing w:after="80"/>
              <w:ind w:left="340"/>
              <w:jc w:val="both"/>
              <w:rPr>
                <w:noProof/>
              </w:rPr>
            </w:pPr>
            <w:r>
              <w:rPr>
                <w:noProof/>
              </w:rPr>
              <w:t>pravočasno in v celoti izvajati regulativni model zaračunavanja dostopa, ki je bil sprejet ob upoštevanju: (I) redne posodobitve večletnega gospodarskega in finančnega načrtovanja koncesionarjev (kot ga je odobril pristojni regulativni organ) in (ii) letno izvajanje teh načrtov.</w:t>
            </w:r>
          </w:p>
          <w:p w14:paraId="5A0BDAC0" w14:textId="77777777" w:rsidR="00154E32" w:rsidRDefault="00A43E04">
            <w:pPr>
              <w:pStyle w:val="P68B1DB1-Normal11"/>
              <w:spacing w:after="80"/>
              <w:ind w:left="340"/>
              <w:jc w:val="both"/>
              <w:rPr>
                <w:noProof/>
              </w:rPr>
            </w:pPr>
            <w:r>
              <w:rPr>
                <w:noProof/>
              </w:rPr>
              <w:t>— za odpoved pogodbe v javnem interesu zakon določa vsaj ustrezno nadomestilo, ki koncesionarju omogoča, da povrne naložbe, ki niso bile v celoti amortizirane. V zvezi s prekinitvijo pogodbe zaradi resne kršitve zakon zagotavlja ustrezno ravnotežje med vračilom odškodnine, ki se zahteva od koncesionarja, in primernim nadomestilom za naložbe, ki še niso bile povrnjene. Primeri resne kršitve se izrecno opredelijo z zakonom.</w:t>
            </w:r>
          </w:p>
          <w:p w14:paraId="13D3D1AB" w14:textId="77777777" w:rsidR="00154E32" w:rsidRDefault="00A43E04">
            <w:pPr>
              <w:pStyle w:val="P68B1DB1-Normal11"/>
              <w:jc w:val="both"/>
              <w:rPr>
                <w:noProof/>
              </w:rPr>
            </w:pPr>
            <w:r>
              <w:rPr>
                <w:noProof/>
              </w:rPr>
              <w:t xml:space="preserve"> </w:t>
            </w:r>
          </w:p>
          <w:p w14:paraId="401F3F66" w14:textId="7012D10C" w:rsidR="00154E32" w:rsidRDefault="00A43E04">
            <w:pPr>
              <w:pStyle w:val="P68B1DB1-Normal11"/>
              <w:spacing w:after="120"/>
              <w:jc w:val="both"/>
              <w:rPr>
                <w:noProof/>
              </w:rPr>
            </w:pPr>
            <w:r>
              <w:rPr>
                <w:b/>
                <w:noProof/>
              </w:rPr>
              <w:t>II)</w:t>
            </w:r>
            <w:r>
              <w:rPr>
                <w:noProof/>
              </w:rPr>
              <w:t xml:space="preserve"> v zvezi z regulativnim modelom za zaračunavanje pristojbin letno konkurenčno pravo:</w:t>
            </w:r>
          </w:p>
          <w:p w14:paraId="09D00154" w14:textId="77777777" w:rsidR="00154E32" w:rsidRDefault="00A43E04">
            <w:pPr>
              <w:pStyle w:val="P68B1DB1-Normal11"/>
              <w:spacing w:after="80"/>
              <w:ind w:left="340"/>
              <w:jc w:val="both"/>
              <w:rPr>
                <w:noProof/>
              </w:rPr>
            </w:pPr>
            <w:r>
              <w:rPr>
                <w:noProof/>
              </w:rPr>
              <w:t>— Od koncesionarjev zahtevajo, da zagotovijo popolno in pravočasno izvajanje regulativnega modela zaračunavanja ART za izračun pristojbin za dostop.  </w:t>
            </w:r>
          </w:p>
          <w:p w14:paraId="0BCF9BC1" w14:textId="77777777" w:rsidR="00154E32" w:rsidRDefault="00A43E04">
            <w:pPr>
              <w:pStyle w:val="P68B1DB1-Normal11"/>
              <w:spacing w:after="80"/>
              <w:ind w:left="340"/>
              <w:jc w:val="both"/>
              <w:rPr>
                <w:noProof/>
              </w:rPr>
            </w:pPr>
            <w:r>
              <w:rPr>
                <w:noProof/>
              </w:rPr>
              <w:t>— Od koncesionarjev zahtevajo, da zagotovijo popolno in pravočasno izvajanje regulativnega modela ART za določanje cen in sisteme razpisov za podkoncesije za zagotavljanje polnjenja električnih vozil in drugih storitev. </w:t>
            </w:r>
          </w:p>
          <w:p w14:paraId="36970358" w14:textId="77777777" w:rsidR="00154E32" w:rsidRDefault="00A43E04">
            <w:pPr>
              <w:pStyle w:val="P68B1DB1-Normal11"/>
              <w:spacing w:after="80"/>
              <w:ind w:left="340"/>
              <w:jc w:val="both"/>
              <w:rPr>
                <w:noProof/>
              </w:rPr>
            </w:pPr>
            <w:r>
              <w:rPr>
                <w:noProof/>
              </w:rPr>
              <w:t>— Pristojbine za dostop spodbujajo naložbe in temeljijo na metodologiji cenovne kapice, ki temelji na pregledni primerjalni analizi stroškov celotnega gospodarskega sektorja v skladu z jasnimi, enotnimi in preglednimi merili.</w:t>
            </w:r>
          </w:p>
          <w:p w14:paraId="5A6824B4" w14:textId="27494196" w:rsidR="00154E32" w:rsidRDefault="00A43E04">
            <w:pPr>
              <w:pStyle w:val="P68B1DB1-Normal11"/>
              <w:spacing w:after="120"/>
              <w:jc w:val="both"/>
              <w:rPr>
                <w:noProof/>
              </w:rPr>
            </w:pPr>
            <w:r>
              <w:rPr>
                <w:b/>
                <w:noProof/>
              </w:rPr>
              <w:t>III)</w:t>
            </w:r>
            <w:r>
              <w:rPr>
                <w:noProof/>
              </w:rPr>
              <w:t xml:space="preserve"> v zvezi s pravicami uporabnikov letno konkurenčno pravo vsaj:</w:t>
            </w:r>
          </w:p>
          <w:p w14:paraId="6854F025" w14:textId="77777777" w:rsidR="00154E32" w:rsidRDefault="00A43E04">
            <w:pPr>
              <w:pStyle w:val="P68B1DB1-Normal11"/>
              <w:spacing w:after="80"/>
              <w:ind w:left="340"/>
              <w:jc w:val="both"/>
              <w:rPr>
                <w:noProof/>
              </w:rPr>
            </w:pPr>
            <w:r>
              <w:rPr>
                <w:noProof/>
              </w:rPr>
              <w:t>zagotoviti celovito in pravočasno izvajanje regulativnega okvira ART v zvezi z zaščito pravic uporabnikov in zagotavljanjem ustreznih ravni storitev.</w:t>
            </w:r>
          </w:p>
          <w:p w14:paraId="1D8DA4B8" w14:textId="77777777" w:rsidR="00154E32" w:rsidRDefault="00154E32">
            <w:pPr>
              <w:jc w:val="both"/>
              <w:rPr>
                <w:rFonts w:ascii="Arial Narrow" w:hAnsi="Arial Narrow"/>
                <w:noProof/>
                <w:color w:val="006100"/>
                <w:sz w:val="20"/>
              </w:rPr>
            </w:pPr>
          </w:p>
          <w:p w14:paraId="5DF4E22F" w14:textId="75A2EE4D" w:rsidR="00154E32" w:rsidRDefault="00A43E04">
            <w:pPr>
              <w:pStyle w:val="P68B1DB1-Normal11"/>
              <w:jc w:val="both"/>
              <w:rPr>
                <w:noProof/>
              </w:rPr>
            </w:pPr>
            <w:r>
              <w:rPr>
                <w:b/>
                <w:noProof/>
              </w:rPr>
              <w:t>IV)</w:t>
            </w:r>
            <w:r>
              <w:rPr>
                <w:noProof/>
              </w:rPr>
              <w:t xml:space="preserve"> v zvezi z oddajanjem gradbenih del v zunanje izvajanje se letno konkurenčno pravo vsaj: </w:t>
            </w:r>
          </w:p>
          <w:p w14:paraId="16961FE2" w14:textId="213EDFB0" w:rsidR="00154E32" w:rsidRDefault="00A43E04">
            <w:pPr>
              <w:pStyle w:val="P68B1DB1-Normal11"/>
              <w:spacing w:after="80"/>
              <w:ind w:left="340"/>
              <w:jc w:val="both"/>
              <w:rPr>
                <w:noProof/>
              </w:rPr>
            </w:pPr>
            <w:r>
              <w:rPr>
                <w:noProof/>
              </w:rPr>
              <w:t>— V skladu s členom 186(2) zakonske uredbe št. 36/2023 določa obveznost koncesionarjev za avtoceste, da tretjim osebam z javnim dokaznim postopkom zaupajo med 50 % in 60 % naročil gradenj, storitev in blaga. Deleži se izračunajo glede na zneske gospodarskih in finančnih načrtov, priloženih k koncesijski dokumentaciji, ter ob upoštevanju ekonomske velikosti in značilnosti koncesionarja, trajanja podelitve koncesije, njenega preostalega trajanja, predmeta, ekonomske vrednosti in obsega izvedenih naložb.</w:t>
            </w:r>
          </w:p>
          <w:p w14:paraId="1851EFC7" w14:textId="77777777" w:rsidR="00154E32" w:rsidRDefault="00154E32">
            <w:pPr>
              <w:jc w:val="both"/>
              <w:rPr>
                <w:rFonts w:ascii="Arial Narrow" w:hAnsi="Arial Narrow"/>
                <w:noProof/>
                <w:color w:val="006100"/>
                <w:sz w:val="20"/>
              </w:rPr>
            </w:pPr>
          </w:p>
          <w:p w14:paraId="1A68747F" w14:textId="77777777" w:rsidR="00154E32" w:rsidRDefault="00A43E04">
            <w:pPr>
              <w:pStyle w:val="P68B1DB1-Normal11"/>
              <w:jc w:val="both"/>
              <w:rPr>
                <w:noProof/>
              </w:rPr>
            </w:pPr>
            <w:r>
              <w:rPr>
                <w:noProof/>
              </w:rPr>
              <w:t>(*) v zvezi z notranjimi pooblastili zakon:</w:t>
            </w:r>
          </w:p>
          <w:p w14:paraId="3449DF64" w14:textId="77777777" w:rsidR="00154E32" w:rsidRDefault="00A43E04">
            <w:pPr>
              <w:pStyle w:val="P68B1DB1-Normal11"/>
              <w:spacing w:after="80"/>
              <w:ind w:left="340"/>
              <w:jc w:val="both"/>
              <w:rPr>
                <w:noProof/>
              </w:rPr>
            </w:pPr>
            <w:r>
              <w:rPr>
                <w:noProof/>
              </w:rPr>
              <w:t xml:space="preserve">zahtevati obvezno </w:t>
            </w:r>
            <w:r>
              <w:rPr>
                <w:i/>
                <w:noProof/>
              </w:rPr>
              <w:t>predhodno</w:t>
            </w:r>
            <w:r>
              <w:rPr>
                <w:noProof/>
              </w:rPr>
              <w:t xml:space="preserve"> preverjanje zakonitosti internega pooblastila in prepovedati začetek postopka za oddajo javnega naročila ali notranjih pooblastil brez tega preverjanja;</w:t>
            </w:r>
          </w:p>
          <w:p w14:paraId="110BBC19" w14:textId="39C10519" w:rsidR="00154E32" w:rsidRDefault="00A43E04">
            <w:pPr>
              <w:pStyle w:val="P68B1DB1-Normal11"/>
              <w:spacing w:after="80"/>
              <w:ind w:left="340"/>
              <w:jc w:val="both"/>
              <w:rPr>
                <w:noProof/>
              </w:rPr>
            </w:pPr>
            <w:r>
              <w:rPr>
                <w:noProof/>
              </w:rPr>
              <w:t>— poveriti Organu za urejanje prometa (ART) ustrezne instrumente in pooblastila za izvajanje zgoraj navedenih preverjanj ter (pravno) podporo nacionalnega organa za boj proti korupciji (ANAC);</w:t>
            </w:r>
          </w:p>
          <w:p w14:paraId="0A3BCA7A" w14:textId="190FD9C0" w:rsidR="00154E32" w:rsidRDefault="00A43E04">
            <w:pPr>
              <w:pStyle w:val="P68B1DB1-Normal11"/>
              <w:spacing w:after="80"/>
              <w:ind w:left="340"/>
              <w:jc w:val="both"/>
              <w:rPr>
                <w:noProof/>
              </w:rPr>
            </w:pPr>
            <w:r>
              <w:rPr>
                <w:noProof/>
              </w:rPr>
              <w:t>— zahteva namestitev najmanjšega števila električnih polnilnih mest, vzpostavitev ustreznih parkirišč in počivališč za prevoznike v tovornem prometu ter popolno skladnost z regulativnim okvirom, ki ga je oblikoval ART za zaščito pravic uporabnikov in zagotavljanje ustreznih ravni storitev kot meril za dodelitev novih avtocestnih koncesij.</w:t>
            </w:r>
          </w:p>
          <w:p w14:paraId="32D3510F" w14:textId="77777777" w:rsidR="00154E32" w:rsidRDefault="00154E32">
            <w:pPr>
              <w:jc w:val="both"/>
              <w:rPr>
                <w:rFonts w:ascii="Arial Narrow" w:hAnsi="Arial Narrow"/>
                <w:noProof/>
                <w:color w:val="006100"/>
                <w:sz w:val="20"/>
              </w:rPr>
            </w:pPr>
          </w:p>
          <w:p w14:paraId="6FD982C4" w14:textId="77777777" w:rsidR="00154E32" w:rsidRDefault="00A43E04">
            <w:pPr>
              <w:pStyle w:val="P68B1DB1-Normal11"/>
              <w:jc w:val="both"/>
              <w:rPr>
                <w:noProof/>
              </w:rPr>
            </w:pPr>
            <w:r>
              <w:rPr>
                <w:b/>
                <w:noProof/>
              </w:rPr>
              <w:t>Hladno likanje</w:t>
            </w:r>
            <w:r>
              <w:rPr>
                <w:noProof/>
              </w:rPr>
              <w:t xml:space="preserve">: </w:t>
            </w:r>
          </w:p>
          <w:p w14:paraId="067A7CA3" w14:textId="0E0793E5" w:rsidR="00154E32" w:rsidRDefault="00A43E04">
            <w:pPr>
              <w:pStyle w:val="P68B1DB1-Normal11"/>
              <w:rPr>
                <w:noProof/>
              </w:rPr>
            </w:pPr>
            <w:r>
              <w:rPr>
                <w:b/>
                <w:noProof/>
              </w:rPr>
              <w:t>v)</w:t>
            </w:r>
            <w:r>
              <w:rPr>
                <w:noProof/>
              </w:rPr>
              <w:t xml:space="preserve"> začetek veljavnosti regulativnih spodbud za uporabo storitev hladnega likaniranja v pristaniščih;</w:t>
            </w:r>
          </w:p>
          <w:p w14:paraId="240C2E31" w14:textId="77777777" w:rsidR="00154E32" w:rsidRDefault="00154E32">
            <w:pPr>
              <w:jc w:val="both"/>
              <w:rPr>
                <w:rFonts w:ascii="Arial Narrow" w:hAnsi="Arial Narrow"/>
                <w:noProof/>
                <w:color w:val="006100"/>
                <w:sz w:val="20"/>
              </w:rPr>
            </w:pPr>
          </w:p>
          <w:p w14:paraId="0254D164" w14:textId="77777777" w:rsidR="00154E32" w:rsidRDefault="00A43E04">
            <w:pPr>
              <w:pStyle w:val="P68B1DB1-Normal20"/>
              <w:jc w:val="both"/>
              <w:rPr>
                <w:noProof/>
              </w:rPr>
            </w:pPr>
            <w:r>
              <w:rPr>
                <w:noProof/>
              </w:rPr>
              <w:t>Seznam trgovcev na drobno z zemeljskim plinom:</w:t>
            </w:r>
          </w:p>
          <w:p w14:paraId="0AF196AA" w14:textId="77777777" w:rsidR="00154E32" w:rsidRDefault="00A43E04">
            <w:pPr>
              <w:pStyle w:val="P68B1DB1-Normal11"/>
              <w:jc w:val="both"/>
              <w:rPr>
                <w:noProof/>
              </w:rPr>
            </w:pPr>
            <w:r>
              <w:rPr>
                <w:b/>
                <w:noProof/>
              </w:rPr>
              <w:t>opredeliti</w:t>
            </w:r>
            <w:r>
              <w:rPr>
                <w:noProof/>
              </w:rPr>
              <w:t xml:space="preserve"> merila in zahteve glede dostopa in trajnosti podjetij na seznamu trgovcev na drobno z zemeljskim plinom iz člena 17 zakonske uredbe št. 164/2000, katerega namen je povečati preglednost in podpreti izbiro potrošnikov na konkurenčnih trgih;</w:t>
            </w:r>
          </w:p>
          <w:p w14:paraId="712DA71D" w14:textId="77777777" w:rsidR="00154E32" w:rsidRDefault="00154E32">
            <w:pPr>
              <w:rPr>
                <w:rFonts w:ascii="Arial Narrow" w:hAnsi="Arial Narrow"/>
                <w:noProof/>
                <w:color w:val="006100"/>
                <w:sz w:val="20"/>
              </w:rPr>
            </w:pPr>
          </w:p>
          <w:p w14:paraId="7F70EC92" w14:textId="77777777" w:rsidR="00154E32" w:rsidRDefault="00A43E04">
            <w:pPr>
              <w:pStyle w:val="P68B1DB1-Normal20"/>
              <w:rPr>
                <w:noProof/>
              </w:rPr>
            </w:pPr>
            <w:r>
              <w:rPr>
                <w:noProof/>
              </w:rPr>
              <w:t>Zavarovanje:</w:t>
            </w:r>
          </w:p>
          <w:p w14:paraId="2A30A76F" w14:textId="158ED0FE" w:rsidR="00154E32" w:rsidRDefault="00A43E04">
            <w:pPr>
              <w:pStyle w:val="P68B1DB1-Normal11"/>
              <w:rPr>
                <w:noProof/>
              </w:rPr>
            </w:pPr>
            <w:r>
              <w:rPr>
                <w:b/>
                <w:noProof/>
              </w:rPr>
              <w:t>VII)</w:t>
            </w:r>
            <w:r>
              <w:rPr>
                <w:noProof/>
              </w:rPr>
              <w:t xml:space="preserve"> Začetek veljavnosti potrebnih aktov, ki omogočajo prenosljivost podatkov za črne skrinje avtomobilov med zavarovatelji;</w:t>
            </w:r>
          </w:p>
          <w:p w14:paraId="279413AF" w14:textId="77777777" w:rsidR="00154E32" w:rsidRDefault="00154E32">
            <w:pPr>
              <w:rPr>
                <w:rFonts w:ascii="Arial Narrow" w:hAnsi="Arial Narrow"/>
                <w:noProof/>
                <w:color w:val="006100"/>
                <w:sz w:val="20"/>
              </w:rPr>
            </w:pPr>
          </w:p>
          <w:p w14:paraId="76C3E98D" w14:textId="77777777" w:rsidR="00154E32" w:rsidRDefault="00A43E04">
            <w:pPr>
              <w:pStyle w:val="P68B1DB1-Normal20"/>
              <w:rPr>
                <w:noProof/>
              </w:rPr>
            </w:pPr>
            <w:r>
              <w:rPr>
                <w:noProof/>
              </w:rPr>
              <w:t>Ustanovitev podjetja:</w:t>
            </w:r>
          </w:p>
          <w:p w14:paraId="43C88FD6" w14:textId="1FB0651F" w:rsidR="00154E32" w:rsidRDefault="00A43E04">
            <w:pPr>
              <w:pStyle w:val="P68B1DB1-Normal11"/>
              <w:jc w:val="both"/>
              <w:rPr>
                <w:noProof/>
              </w:rPr>
            </w:pPr>
            <w:r>
              <w:rPr>
                <w:b/>
                <w:noProof/>
              </w:rPr>
              <w:t>pregled</w:t>
            </w:r>
            <w:r>
              <w:rPr>
                <w:noProof/>
              </w:rPr>
              <w:t xml:space="preserve"> in posodobitev zakonodaje v zvezi z zagonskimi podjetji, inovativnimi MSP in tveganim kapitalom (npr. zakon o zagonu podjetij iz leta 2012), da bi racionalizirali obstoječo zakonodajo, pregledali opredelitev zagonskih podjetij in spodbudili naložbe zasebnih in institucionalnih vlagateljev v tvegani kapital.</w:t>
            </w:r>
          </w:p>
        </w:tc>
      </w:tr>
      <w:tr w:rsidR="00154E32" w14:paraId="5ECAEE58"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1F8755A2" w14:textId="77777777" w:rsidR="00154E32" w:rsidRDefault="00A43E04">
            <w:pPr>
              <w:pStyle w:val="P68B1DB1-Normal11"/>
              <w:spacing w:before="120" w:after="120"/>
              <w:jc w:val="center"/>
              <w:rPr>
                <w:noProof/>
              </w:rPr>
            </w:pPr>
            <w:r>
              <w:rPr>
                <w:noProof/>
              </w:rPr>
              <w:t>M1C2–12</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25ECE12D" w14:textId="77777777" w:rsidR="00154E32" w:rsidRDefault="00A43E04">
            <w:pPr>
              <w:pStyle w:val="P68B1DB1-Normal11"/>
              <w:spacing w:before="120" w:after="120"/>
              <w:jc w:val="center"/>
              <w:rPr>
                <w:noProof/>
              </w:rPr>
            </w:pPr>
            <w:r>
              <w:rPr>
                <w:noProof/>
              </w:rPr>
              <w:t>Reforma 2: Letna zakonodaja o konkurenci</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0B873B7D" w14:textId="77777777" w:rsidR="00154E32" w:rsidRDefault="00A43E04">
            <w:pPr>
              <w:pStyle w:val="P68B1DB1-Normal11"/>
              <w:spacing w:before="120" w:after="120"/>
              <w:jc w:val="center"/>
              <w:rPr>
                <w:noProof/>
              </w:rPr>
            </w:pPr>
            <w:r>
              <w:rPr>
                <w:noProof/>
              </w:rPr>
              <w:t>Mejnik</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5E01F077" w14:textId="77777777" w:rsidR="00154E32" w:rsidRDefault="00A43E04">
            <w:pPr>
              <w:pStyle w:val="P68B1DB1-Normal11"/>
              <w:spacing w:before="120" w:after="120"/>
              <w:jc w:val="center"/>
              <w:rPr>
                <w:noProof/>
              </w:rPr>
            </w:pPr>
            <w:r>
              <w:rPr>
                <w:noProof/>
              </w:rPr>
              <w:t>Začetek veljavnosti vseh izvedbenih ukrepov (po potrebi vključno s sekundarno zakonodajo) za učinkovito izvajanje in uporabo ukrepov, ki izhajajo iz letnega konkurenčnega prava za leto 2023</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0B72FF11" w14:textId="77777777" w:rsidR="00154E32" w:rsidRDefault="00A43E04">
            <w:pPr>
              <w:pStyle w:val="P68B1DB1-Normal11"/>
              <w:spacing w:before="120" w:after="120"/>
              <w:jc w:val="center"/>
              <w:rPr>
                <w:noProof/>
              </w:rPr>
            </w:pPr>
            <w:r>
              <w:rPr>
                <w:noProof/>
              </w:rPr>
              <w:t>Začetek veljavnosti vse sekundarne zakonodaje, vključno z vsemi potrebnimi predpisi za ukrepe, ki izhajajo iz letnega konkurenčnega prava za leto 2023</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55AFEFFD" w14:textId="77777777" w:rsidR="00154E32" w:rsidRDefault="00A43E04">
            <w:pPr>
              <w:pStyle w:val="P68B1DB1-Normal11"/>
              <w:spacing w:before="120" w:after="120"/>
              <w:jc w:val="center"/>
              <w:rPr>
                <w:noProof/>
              </w:rPr>
            </w:pPr>
            <w:r>
              <w:rPr>
                <w:noProof/>
              </w:rPr>
              <w:t>JIH NI</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59969B52" w14:textId="77777777" w:rsidR="00154E32" w:rsidRDefault="00A43E04">
            <w:pPr>
              <w:pStyle w:val="P68B1DB1-Normal11"/>
              <w:spacing w:before="120" w:after="120"/>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01D16D89" w14:textId="77777777" w:rsidR="00154E32" w:rsidRDefault="00A43E04">
            <w:pPr>
              <w:pStyle w:val="P68B1DB1-Normal11"/>
              <w:spacing w:before="120" w:after="120"/>
              <w:jc w:val="center"/>
              <w:rPr>
                <w:noProof/>
              </w:rPr>
            </w:pPr>
            <w:r>
              <w:rPr>
                <w:noProof/>
              </w:rPr>
              <w:t>JIH NI</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5A63E4F4" w14:textId="77777777" w:rsidR="00154E32" w:rsidRDefault="00A43E04">
            <w:pPr>
              <w:pStyle w:val="P68B1DB1-Normal11"/>
              <w:spacing w:before="120" w:after="120"/>
              <w:jc w:val="center"/>
              <w:rPr>
                <w:noProof/>
              </w:rPr>
            </w:pPr>
            <w:r>
              <w:rPr>
                <w:noProof/>
              </w:rPr>
              <w:t>Q4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455349B9" w14:textId="77777777" w:rsidR="00154E32" w:rsidRDefault="00A43E04">
            <w:pPr>
              <w:pStyle w:val="P68B1DB1-Normal11"/>
              <w:spacing w:before="120" w:after="120"/>
              <w:jc w:val="center"/>
              <w:rPr>
                <w:noProof/>
              </w:rPr>
            </w:pPr>
            <w:r>
              <w:rPr>
                <w:noProof/>
              </w:rPr>
              <w:t>2024</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274009F6" w14:textId="77777777" w:rsidR="00154E32" w:rsidRDefault="00A43E04">
            <w:pPr>
              <w:pStyle w:val="P68B1DB1-Normal11"/>
              <w:spacing w:before="120" w:after="120"/>
              <w:rPr>
                <w:noProof/>
              </w:rPr>
            </w:pPr>
            <w:r>
              <w:rPr>
                <w:noProof/>
              </w:rPr>
              <w:t>Začetek veljavnosti vse sekundarne zakonodaje (po potrebi), vključno z vsemi potrebnimi predpisi za učinkovito izvajanje in uporabo vseh ukrepov, ki izhajajo iz letnega konkurenčnega prava za leto 2023.</w:t>
            </w:r>
          </w:p>
        </w:tc>
      </w:tr>
      <w:tr w:rsidR="00154E32" w14:paraId="5D49AE0C"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2A2686DA" w14:textId="77777777" w:rsidR="00154E32" w:rsidRDefault="00A43E04">
            <w:pPr>
              <w:pStyle w:val="P68B1DB1-Normal11"/>
              <w:spacing w:before="120" w:after="120"/>
              <w:jc w:val="center"/>
              <w:rPr>
                <w:noProof/>
              </w:rPr>
            </w:pPr>
            <w:r>
              <w:rPr>
                <w:noProof/>
              </w:rPr>
              <w:t>M1C2–13</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23102DB7" w14:textId="77777777" w:rsidR="00154E32" w:rsidRDefault="00A43E04">
            <w:pPr>
              <w:pStyle w:val="P68B1DB1-Normal11"/>
              <w:spacing w:before="120" w:after="120"/>
              <w:jc w:val="center"/>
              <w:rPr>
                <w:noProof/>
              </w:rPr>
            </w:pPr>
            <w:r>
              <w:rPr>
                <w:noProof/>
              </w:rPr>
              <w:t>Reforma 2: Letna zakonodaja o konkurenci</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3EB69B20" w14:textId="77777777" w:rsidR="00154E32" w:rsidRDefault="00A43E04">
            <w:pPr>
              <w:pStyle w:val="P68B1DB1-Normal11"/>
              <w:spacing w:before="120" w:after="120"/>
              <w:jc w:val="center"/>
              <w:rPr>
                <w:noProof/>
              </w:rPr>
            </w:pPr>
            <w:r>
              <w:rPr>
                <w:noProof/>
              </w:rPr>
              <w:t>Mejnik</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7E69E5B3" w14:textId="77777777" w:rsidR="00154E32" w:rsidRDefault="00A43E04">
            <w:pPr>
              <w:pStyle w:val="P68B1DB1-Normal11"/>
              <w:spacing w:before="120" w:after="120"/>
              <w:jc w:val="center"/>
              <w:rPr>
                <w:noProof/>
              </w:rPr>
            </w:pPr>
            <w:r>
              <w:rPr>
                <w:noProof/>
              </w:rPr>
              <w:t>Začetek veljavnosti letnega zakona o konkurenci za leto 2024</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3F9E0461" w14:textId="77777777" w:rsidR="00154E32" w:rsidRDefault="00A43E04">
            <w:pPr>
              <w:pStyle w:val="P68B1DB1-Normal11"/>
              <w:spacing w:before="120" w:after="120"/>
              <w:jc w:val="center"/>
              <w:rPr>
                <w:noProof/>
              </w:rPr>
            </w:pPr>
            <w:r>
              <w:rPr>
                <w:noProof/>
              </w:rPr>
              <w:t>Določba o začetku veljavnosti letnega zakona o konkurenci za leto 2024.</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2C1ADCEC" w14:textId="77777777" w:rsidR="00154E32" w:rsidRDefault="00A43E04">
            <w:pPr>
              <w:pStyle w:val="P68B1DB1-Normal11"/>
              <w:spacing w:before="120" w:after="120"/>
              <w:jc w:val="center"/>
              <w:rPr>
                <w:noProof/>
              </w:rPr>
            </w:pPr>
            <w:r>
              <w:rPr>
                <w:noProof/>
              </w:rPr>
              <w:t>JIH NI</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1D9A21DA" w14:textId="77777777" w:rsidR="00154E32" w:rsidRDefault="00A43E04">
            <w:pPr>
              <w:pStyle w:val="P68B1DB1-Normal11"/>
              <w:spacing w:before="120" w:after="120"/>
              <w:jc w:val="center"/>
              <w:rPr>
                <w:noProof/>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3D11730D" w14:textId="77777777" w:rsidR="00154E32" w:rsidRDefault="00A43E04">
            <w:pPr>
              <w:pStyle w:val="P68B1DB1-Normal11"/>
              <w:spacing w:before="120" w:after="120"/>
              <w:jc w:val="center"/>
              <w:rPr>
                <w:noProof/>
              </w:rPr>
            </w:pPr>
            <w:r>
              <w:rPr>
                <w:noProof/>
              </w:rPr>
              <w:t>JIH NI</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61777ECE" w14:textId="77777777" w:rsidR="00154E32" w:rsidRDefault="00A43E04">
            <w:pPr>
              <w:pStyle w:val="P68B1DB1-Normal11"/>
              <w:spacing w:before="120" w:after="120"/>
              <w:jc w:val="center"/>
              <w:rPr>
                <w:noProof/>
              </w:rPr>
            </w:pPr>
            <w:r>
              <w:rPr>
                <w:noProof/>
              </w:rPr>
              <w:t>Q4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404890CF" w14:textId="77777777" w:rsidR="00154E32" w:rsidRDefault="00A43E04">
            <w:pPr>
              <w:pStyle w:val="P68B1DB1-Normal11"/>
              <w:spacing w:before="120" w:after="120"/>
              <w:jc w:val="center"/>
              <w:rPr>
                <w:noProof/>
              </w:rPr>
            </w:pPr>
            <w:r>
              <w:rPr>
                <w:noProof/>
              </w:rPr>
              <w:t>2025</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3AE82539" w14:textId="5BF59C13" w:rsidR="00154E32" w:rsidRDefault="00A43E04">
            <w:pPr>
              <w:pStyle w:val="P68B1DB1-Normal11"/>
              <w:spacing w:before="120" w:after="120"/>
              <w:rPr>
                <w:noProof/>
              </w:rPr>
            </w:pPr>
            <w:r>
              <w:rPr>
                <w:noProof/>
              </w:rPr>
              <w:t>Začetek veljavnosti letnega konkurenčnega zakona za leto 2024.</w:t>
            </w:r>
          </w:p>
          <w:p w14:paraId="76E8D53E" w14:textId="5C4B42BA" w:rsidR="00154E32" w:rsidRDefault="00A43E04">
            <w:pPr>
              <w:pStyle w:val="P68B1DB1-Normal11"/>
              <w:spacing w:before="120" w:after="120"/>
              <w:rPr>
                <w:noProof/>
              </w:rPr>
            </w:pPr>
            <w:r>
              <w:rPr>
                <w:noProof/>
              </w:rPr>
              <w:t>Predlog zakona se predloži parlamentu do junija 2024. Senati ga odobrijo do konca leta 2024. Sekundarna zakonodaja (po potrebi) najpozneje do 4. četrtletja 2025.</w:t>
            </w:r>
          </w:p>
        </w:tc>
      </w:tr>
      <w:tr w:rsidR="00154E32" w14:paraId="08E6159D"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6EA6EC61" w14:textId="77777777" w:rsidR="00154E32" w:rsidRDefault="00A43E04">
            <w:pPr>
              <w:pStyle w:val="P68B1DB1-Normal11"/>
              <w:spacing w:before="120" w:after="120"/>
              <w:jc w:val="center"/>
              <w:rPr>
                <w:noProof/>
              </w:rPr>
            </w:pPr>
            <w:r>
              <w:rPr>
                <w:noProof/>
              </w:rPr>
              <w:t>M1C2–14</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14C74645" w14:textId="77777777" w:rsidR="00154E32" w:rsidRDefault="00A43E04">
            <w:pPr>
              <w:pStyle w:val="P68B1DB1-Normal11"/>
              <w:spacing w:before="120" w:after="120"/>
              <w:jc w:val="center"/>
              <w:rPr>
                <w:noProof/>
              </w:rPr>
            </w:pPr>
            <w:r>
              <w:rPr>
                <w:noProof/>
              </w:rPr>
              <w:t>Reforma 2: Letna zakonodaja o konkurenci</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3BDF7073" w14:textId="77777777" w:rsidR="00154E32" w:rsidRDefault="00A43E04">
            <w:pPr>
              <w:pStyle w:val="P68B1DB1-Normal11"/>
              <w:spacing w:before="120" w:after="120"/>
              <w:jc w:val="center"/>
              <w:rPr>
                <w:noProof/>
              </w:rPr>
            </w:pPr>
            <w:r>
              <w:rPr>
                <w:noProof/>
              </w:rPr>
              <w:t>Tarča</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05E9CC24" w14:textId="77777777" w:rsidR="00154E32" w:rsidRDefault="00A43E04">
            <w:pPr>
              <w:pStyle w:val="P68B1DB1-Normal11"/>
              <w:spacing w:before="120" w:after="120"/>
              <w:jc w:val="center"/>
              <w:rPr>
                <w:noProof/>
              </w:rPr>
            </w:pPr>
            <w:r>
              <w:rPr>
                <w:noProof/>
              </w:rPr>
              <w:t>Uvedeni milijoni pametnih števcev 2G.</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754924D1" w14:textId="77777777" w:rsidR="00154E32" w:rsidRDefault="00A43E04">
            <w:pPr>
              <w:pStyle w:val="P68B1DB1-Normal11"/>
              <w:spacing w:before="120" w:after="120"/>
              <w:jc w:val="center"/>
              <w:rPr>
                <w:noProof/>
              </w:rPr>
            </w:pPr>
            <w:r>
              <w:rPr>
                <w:noProof/>
              </w:rPr>
              <w:t>JIH NI</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1216586B" w14:textId="77777777" w:rsidR="00154E32" w:rsidRDefault="00A43E04">
            <w:pPr>
              <w:pStyle w:val="P68B1DB1-Normal11"/>
              <w:spacing w:before="120" w:after="120"/>
              <w:jc w:val="center"/>
              <w:rPr>
                <w:noProof/>
              </w:rPr>
            </w:pPr>
            <w:r>
              <w:rPr>
                <w:noProof/>
              </w:rPr>
              <w:t>Število</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7E4AC953" w14:textId="77777777" w:rsidR="00154E32" w:rsidRDefault="00A43E04">
            <w:pPr>
              <w:pStyle w:val="P68B1DB1-Normal11"/>
              <w:spacing w:before="120" w:after="120"/>
              <w:jc w:val="center"/>
              <w:rPr>
                <w:noProof/>
              </w:rPr>
            </w:pPr>
            <w:r>
              <w:rPr>
                <w:noProof/>
              </w:rPr>
              <w:t>20</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161A67CC" w14:textId="77777777" w:rsidR="00154E32" w:rsidRDefault="00A43E04">
            <w:pPr>
              <w:pStyle w:val="P68B1DB1-Normal11"/>
              <w:spacing w:before="120" w:after="120"/>
              <w:jc w:val="center"/>
              <w:rPr>
                <w:noProof/>
              </w:rPr>
            </w:pPr>
            <w:r>
              <w:rPr>
                <w:noProof/>
              </w:rPr>
              <w:t>33</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0E0CAD4B" w14:textId="77777777" w:rsidR="00154E32" w:rsidRDefault="00A43E04">
            <w:pPr>
              <w:pStyle w:val="P68B1DB1-Normal11"/>
              <w:spacing w:before="120" w:after="120"/>
              <w:jc w:val="center"/>
              <w:rPr>
                <w:noProof/>
              </w:rPr>
            </w:pPr>
            <w:r>
              <w:rPr>
                <w:noProof/>
              </w:rPr>
              <w:t>Q4</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1760C1DB" w14:textId="77777777" w:rsidR="00154E32" w:rsidRDefault="00A43E04">
            <w:pPr>
              <w:pStyle w:val="P68B1DB1-Normal11"/>
              <w:spacing w:before="120" w:after="120"/>
              <w:jc w:val="center"/>
              <w:rPr>
                <w:noProof/>
              </w:rPr>
            </w:pPr>
            <w:r>
              <w:rPr>
                <w:noProof/>
              </w:rPr>
              <w:t>2025</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75F9BD75" w14:textId="77777777" w:rsidR="00154E32" w:rsidRDefault="00A43E04">
            <w:pPr>
              <w:pStyle w:val="P68B1DB1-Normal11"/>
              <w:rPr>
                <w:noProof/>
              </w:rPr>
            </w:pPr>
            <w:r>
              <w:rPr>
                <w:noProof/>
              </w:rPr>
              <w:t>Uvede se vsaj 33 milijonov pametnih števcev 2G.</w:t>
            </w:r>
          </w:p>
        </w:tc>
      </w:tr>
      <w:tr w:rsidR="00154E32" w14:paraId="6AAB8B54"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7DD7CEEB" w14:textId="77777777" w:rsidR="00154E32" w:rsidRDefault="00A43E04">
            <w:pPr>
              <w:pStyle w:val="P68B1DB1-Normal11"/>
              <w:jc w:val="center"/>
              <w:rPr>
                <w:noProof/>
              </w:rPr>
            </w:pPr>
            <w:r>
              <w:rPr>
                <w:noProof/>
              </w:rPr>
              <w:t>M1C2–14a</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5B2A17FD" w14:textId="77777777" w:rsidR="00154E32" w:rsidRDefault="00A43E04">
            <w:pPr>
              <w:pStyle w:val="P68B1DB1-Normal11"/>
              <w:jc w:val="center"/>
              <w:rPr>
                <w:noProof/>
              </w:rPr>
            </w:pPr>
            <w:r>
              <w:rPr>
                <w:noProof/>
              </w:rPr>
              <w:t>Reforma 3:   racionalizacija in poenostavitev spodbud za podjetja.</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78E7203F" w14:textId="77777777" w:rsidR="00154E32" w:rsidRDefault="00A43E04">
            <w:pPr>
              <w:pStyle w:val="P68B1DB1-Normal11"/>
              <w:jc w:val="center"/>
              <w:rPr>
                <w:noProof/>
              </w:rPr>
            </w:pPr>
            <w:r>
              <w:rPr>
                <w:noProof/>
              </w:rPr>
              <w:t xml:space="preserve">Mejnik </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55CCFAD6" w14:textId="77777777" w:rsidR="00154E32" w:rsidRDefault="00A43E04">
            <w:pPr>
              <w:pStyle w:val="P68B1DB1-Normal11"/>
              <w:jc w:val="center"/>
              <w:rPr>
                <w:noProof/>
              </w:rPr>
            </w:pPr>
            <w:r>
              <w:rPr>
                <w:noProof/>
              </w:rPr>
              <w:t>Objava ocene poročila o vseh spodbudah za podjetja</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33BFB797" w14:textId="77777777" w:rsidR="00154E32" w:rsidRDefault="00A43E04">
            <w:pPr>
              <w:pStyle w:val="P68B1DB1-Normal11"/>
              <w:jc w:val="center"/>
              <w:rPr>
                <w:noProof/>
              </w:rPr>
            </w:pPr>
            <w:r>
              <w:rPr>
                <w:noProof/>
              </w:rPr>
              <w:t xml:space="preserve">Objava poročila </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5CF2D925" w14:textId="77777777" w:rsidR="00154E32" w:rsidRDefault="00A43E04">
            <w:pPr>
              <w:pStyle w:val="P68B1DB1-Normal11"/>
              <w:jc w:val="center"/>
              <w:rPr>
                <w:noProof/>
              </w:rPr>
            </w:pPr>
            <w:r>
              <w:rPr>
                <w:noProof/>
              </w:rPr>
              <w:t xml:space="preserve">JIH NI </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6B81509B" w14:textId="77777777" w:rsidR="00154E32" w:rsidRDefault="00A43E04">
            <w:pPr>
              <w:pStyle w:val="P68B1DB1-Normal11"/>
              <w:jc w:val="center"/>
              <w:rPr>
                <w:noProof/>
              </w:rPr>
            </w:pPr>
            <w:r>
              <w:rPr>
                <w:noProof/>
              </w:rPr>
              <w:t xml:space="preserve">JIH NI </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5AFE474A" w14:textId="77777777" w:rsidR="00154E32" w:rsidRDefault="00A43E04">
            <w:pPr>
              <w:pStyle w:val="P68B1DB1-Normal11"/>
              <w:jc w:val="center"/>
              <w:rPr>
                <w:noProof/>
              </w:rPr>
            </w:pPr>
            <w:r>
              <w:rPr>
                <w:noProof/>
              </w:rPr>
              <w:t xml:space="preserve">JIH NI </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6801BAD2" w14:textId="77777777" w:rsidR="00154E32" w:rsidRDefault="00A43E04">
            <w:pPr>
              <w:pStyle w:val="P68B1DB1-Normal11"/>
              <w:jc w:val="center"/>
              <w:rPr>
                <w:noProof/>
              </w:rPr>
            </w:pPr>
            <w:r>
              <w:rPr>
                <w:noProof/>
              </w:rPr>
              <w:t xml:space="preserve">Q2 </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2568FB6F" w14:textId="77777777" w:rsidR="00154E32" w:rsidRDefault="00A43E04">
            <w:pPr>
              <w:pStyle w:val="P68B1DB1-Normal11"/>
              <w:jc w:val="center"/>
              <w:rPr>
                <w:noProof/>
              </w:rPr>
            </w:pPr>
            <w:r>
              <w:rPr>
                <w:noProof/>
              </w:rPr>
              <w:t xml:space="preserve">2025 </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47828F71" w14:textId="77777777" w:rsidR="00154E32" w:rsidRDefault="00A43E04">
            <w:pPr>
              <w:pStyle w:val="P68B1DB1-Normal11"/>
              <w:jc w:val="both"/>
              <w:rPr>
                <w:noProof/>
              </w:rPr>
            </w:pPr>
            <w:r>
              <w:rPr>
                <w:noProof/>
              </w:rPr>
              <w:t>Ministrstvo za podjetja in Made v Italiji objavi poročilo z oceno vseh spodbud in naložb za podjetja.</w:t>
            </w:r>
          </w:p>
          <w:p w14:paraId="185BE74F" w14:textId="77777777" w:rsidR="00154E32" w:rsidRDefault="00A43E04">
            <w:pPr>
              <w:pStyle w:val="P68B1DB1-Normal11"/>
              <w:jc w:val="both"/>
              <w:rPr>
                <w:noProof/>
              </w:rPr>
            </w:pPr>
            <w:r>
              <w:rPr>
                <w:noProof/>
              </w:rPr>
              <w:t>V poročilu se oblikujejo konkretni predlogi za racionalizacijo nacionalnih spodbud.</w:t>
            </w:r>
          </w:p>
          <w:p w14:paraId="18C57879" w14:textId="77777777" w:rsidR="00154E32" w:rsidRDefault="00154E32">
            <w:pPr>
              <w:rPr>
                <w:rFonts w:ascii="Arial Narrow" w:eastAsia="Calibri" w:hAnsi="Arial Narrow" w:cs="Calibri"/>
                <w:noProof/>
                <w:sz w:val="20"/>
              </w:rPr>
            </w:pPr>
          </w:p>
        </w:tc>
      </w:tr>
      <w:tr w:rsidR="00154E32" w14:paraId="73D85A1D" w14:textId="77777777">
        <w:trPr>
          <w:trHeight w:val="315"/>
        </w:trPr>
        <w:tc>
          <w:tcPr>
            <w:tcW w:w="1135" w:type="dxa"/>
            <w:tcBorders>
              <w:top w:val="single" w:sz="4" w:space="0" w:color="auto"/>
              <w:left w:val="single" w:sz="4" w:space="0" w:color="auto"/>
              <w:bottom w:val="single" w:sz="4" w:space="0" w:color="auto"/>
              <w:right w:val="single" w:sz="4" w:space="0" w:color="auto"/>
            </w:tcBorders>
            <w:shd w:val="clear" w:color="auto" w:fill="C6EFCE"/>
            <w:vAlign w:val="center"/>
          </w:tcPr>
          <w:p w14:paraId="520CF965" w14:textId="77777777" w:rsidR="00154E32" w:rsidRDefault="00A43E04">
            <w:pPr>
              <w:pStyle w:val="P68B1DB1-Normal11"/>
              <w:jc w:val="center"/>
              <w:rPr>
                <w:noProof/>
              </w:rPr>
            </w:pPr>
            <w:r>
              <w:rPr>
                <w:noProof/>
              </w:rPr>
              <w:t>M1C2–14b</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0F9D385A" w14:textId="77777777" w:rsidR="00154E32" w:rsidRDefault="00A43E04">
            <w:pPr>
              <w:pStyle w:val="P68B1DB1-Normal11"/>
              <w:jc w:val="center"/>
              <w:rPr>
                <w:noProof/>
              </w:rPr>
            </w:pPr>
            <w:r>
              <w:rPr>
                <w:noProof/>
              </w:rPr>
              <w:t>Reforma 3: racionalizacija in poenostavitev spodbud za podjetja.</w:t>
            </w:r>
          </w:p>
        </w:tc>
        <w:tc>
          <w:tcPr>
            <w:tcW w:w="1134" w:type="dxa"/>
            <w:tcBorders>
              <w:top w:val="single" w:sz="4" w:space="0" w:color="auto"/>
              <w:left w:val="single" w:sz="4" w:space="0" w:color="auto"/>
              <w:bottom w:val="single" w:sz="4" w:space="0" w:color="auto"/>
              <w:right w:val="single" w:sz="4" w:space="0" w:color="auto"/>
            </w:tcBorders>
            <w:shd w:val="clear" w:color="auto" w:fill="C6EFCE"/>
            <w:vAlign w:val="center"/>
          </w:tcPr>
          <w:p w14:paraId="637317AC" w14:textId="77777777" w:rsidR="00154E32" w:rsidRDefault="00A43E04">
            <w:pPr>
              <w:pStyle w:val="P68B1DB1-Normal11"/>
              <w:jc w:val="center"/>
              <w:rPr>
                <w:noProof/>
              </w:rPr>
            </w:pPr>
            <w:r>
              <w:rPr>
                <w:noProof/>
              </w:rPr>
              <w:t xml:space="preserve">Mejnik </w:t>
            </w:r>
          </w:p>
        </w:tc>
        <w:tc>
          <w:tcPr>
            <w:tcW w:w="1701" w:type="dxa"/>
            <w:tcBorders>
              <w:top w:val="single" w:sz="4" w:space="0" w:color="auto"/>
              <w:left w:val="single" w:sz="4" w:space="0" w:color="auto"/>
              <w:bottom w:val="single" w:sz="4" w:space="0" w:color="auto"/>
              <w:right w:val="single" w:sz="4" w:space="0" w:color="auto"/>
            </w:tcBorders>
            <w:shd w:val="clear" w:color="auto" w:fill="C6EFCE"/>
            <w:vAlign w:val="center"/>
          </w:tcPr>
          <w:p w14:paraId="515FFB8C" w14:textId="77777777" w:rsidR="00154E32" w:rsidRDefault="00A43E04">
            <w:pPr>
              <w:pStyle w:val="P68B1DB1-Normal11"/>
              <w:jc w:val="center"/>
              <w:rPr>
                <w:noProof/>
              </w:rPr>
            </w:pPr>
            <w:r>
              <w:rPr>
                <w:noProof/>
              </w:rPr>
              <w:t>Začetek veljavnosti primarne zakonodaje za racionalizacijo spodbud podjetij</w:t>
            </w:r>
          </w:p>
        </w:tc>
        <w:tc>
          <w:tcPr>
            <w:tcW w:w="1456" w:type="dxa"/>
            <w:tcBorders>
              <w:top w:val="single" w:sz="4" w:space="0" w:color="auto"/>
              <w:left w:val="single" w:sz="4" w:space="0" w:color="auto"/>
              <w:bottom w:val="single" w:sz="4" w:space="0" w:color="auto"/>
              <w:right w:val="single" w:sz="4" w:space="0" w:color="auto"/>
            </w:tcBorders>
            <w:shd w:val="clear" w:color="auto" w:fill="C6EFCE"/>
            <w:vAlign w:val="center"/>
          </w:tcPr>
          <w:p w14:paraId="6A42106F" w14:textId="77777777" w:rsidR="00154E32" w:rsidRDefault="00A43E04">
            <w:pPr>
              <w:pStyle w:val="P68B1DB1-Normal11"/>
              <w:jc w:val="center"/>
              <w:rPr>
                <w:noProof/>
              </w:rPr>
            </w:pPr>
            <w:r>
              <w:rPr>
                <w:noProof/>
              </w:rPr>
              <w:t>Začetek veljavnosti primarne zakonodaje</w:t>
            </w:r>
          </w:p>
        </w:tc>
        <w:tc>
          <w:tcPr>
            <w:tcW w:w="960" w:type="dxa"/>
            <w:tcBorders>
              <w:top w:val="single" w:sz="4" w:space="0" w:color="auto"/>
              <w:left w:val="single" w:sz="4" w:space="0" w:color="auto"/>
              <w:bottom w:val="single" w:sz="4" w:space="0" w:color="auto"/>
              <w:right w:val="single" w:sz="4" w:space="0" w:color="auto"/>
            </w:tcBorders>
            <w:shd w:val="clear" w:color="auto" w:fill="C6EFCE"/>
            <w:vAlign w:val="center"/>
          </w:tcPr>
          <w:p w14:paraId="037D65B8" w14:textId="77777777" w:rsidR="00154E32" w:rsidRDefault="00A43E04">
            <w:pPr>
              <w:pStyle w:val="P68B1DB1-Normal11"/>
              <w:jc w:val="center"/>
              <w:rPr>
                <w:noProof/>
              </w:rPr>
            </w:pPr>
            <w:r>
              <w:rPr>
                <w:noProof/>
              </w:rPr>
              <w:t xml:space="preserve">JIH NI </w:t>
            </w:r>
          </w:p>
        </w:tc>
        <w:tc>
          <w:tcPr>
            <w:tcW w:w="1127" w:type="dxa"/>
            <w:tcBorders>
              <w:top w:val="single" w:sz="4" w:space="0" w:color="auto"/>
              <w:left w:val="single" w:sz="4" w:space="0" w:color="auto"/>
              <w:bottom w:val="single" w:sz="4" w:space="0" w:color="auto"/>
              <w:right w:val="single" w:sz="4" w:space="0" w:color="auto"/>
            </w:tcBorders>
            <w:shd w:val="clear" w:color="auto" w:fill="C6EFCE"/>
            <w:vAlign w:val="center"/>
          </w:tcPr>
          <w:p w14:paraId="7CB3ECD3" w14:textId="77777777" w:rsidR="00154E32" w:rsidRDefault="00A43E04">
            <w:pPr>
              <w:pStyle w:val="P68B1DB1-Normal11"/>
              <w:jc w:val="center"/>
              <w:rPr>
                <w:noProof/>
              </w:rPr>
            </w:pPr>
            <w:r>
              <w:rPr>
                <w:noProof/>
              </w:rPr>
              <w:t xml:space="preserve">JIH NI </w:t>
            </w:r>
          </w:p>
        </w:tc>
        <w:tc>
          <w:tcPr>
            <w:tcW w:w="1276" w:type="dxa"/>
            <w:tcBorders>
              <w:top w:val="single" w:sz="4" w:space="0" w:color="auto"/>
              <w:left w:val="single" w:sz="4" w:space="0" w:color="auto"/>
              <w:bottom w:val="single" w:sz="4" w:space="0" w:color="auto"/>
              <w:right w:val="single" w:sz="4" w:space="0" w:color="auto"/>
            </w:tcBorders>
            <w:shd w:val="clear" w:color="auto" w:fill="C6EFCE"/>
            <w:vAlign w:val="center"/>
          </w:tcPr>
          <w:p w14:paraId="1D916892" w14:textId="77777777" w:rsidR="00154E32" w:rsidRDefault="00A43E04">
            <w:pPr>
              <w:pStyle w:val="P68B1DB1-Normal11"/>
              <w:jc w:val="center"/>
              <w:rPr>
                <w:noProof/>
              </w:rPr>
            </w:pPr>
            <w:r>
              <w:rPr>
                <w:noProof/>
              </w:rPr>
              <w:t xml:space="preserve">JIH NI </w:t>
            </w:r>
          </w:p>
        </w:tc>
        <w:tc>
          <w:tcPr>
            <w:tcW w:w="851" w:type="dxa"/>
            <w:tcBorders>
              <w:top w:val="single" w:sz="4" w:space="0" w:color="auto"/>
              <w:left w:val="single" w:sz="4" w:space="0" w:color="auto"/>
              <w:bottom w:val="single" w:sz="4" w:space="0" w:color="auto"/>
              <w:right w:val="single" w:sz="4" w:space="0" w:color="auto"/>
            </w:tcBorders>
            <w:shd w:val="clear" w:color="auto" w:fill="C6EFCE"/>
            <w:vAlign w:val="center"/>
          </w:tcPr>
          <w:p w14:paraId="6E655DB6" w14:textId="77777777" w:rsidR="00154E32" w:rsidRDefault="00A43E04">
            <w:pPr>
              <w:pStyle w:val="P68B1DB1-Normal11"/>
              <w:jc w:val="center"/>
              <w:rPr>
                <w:noProof/>
              </w:rPr>
            </w:pPr>
            <w:r>
              <w:rPr>
                <w:noProof/>
              </w:rPr>
              <w:t xml:space="preserve">Q2 </w:t>
            </w:r>
          </w:p>
        </w:tc>
        <w:tc>
          <w:tcPr>
            <w:tcW w:w="708" w:type="dxa"/>
            <w:tcBorders>
              <w:top w:val="single" w:sz="4" w:space="0" w:color="auto"/>
              <w:left w:val="single" w:sz="4" w:space="0" w:color="auto"/>
              <w:bottom w:val="single" w:sz="4" w:space="0" w:color="auto"/>
              <w:right w:val="single" w:sz="4" w:space="0" w:color="auto"/>
            </w:tcBorders>
            <w:shd w:val="clear" w:color="auto" w:fill="C6EFCE"/>
            <w:vAlign w:val="center"/>
          </w:tcPr>
          <w:p w14:paraId="41C9038E" w14:textId="6C00C760" w:rsidR="00154E32" w:rsidRDefault="00A43E04">
            <w:pPr>
              <w:pStyle w:val="P68B1DB1-Normal11"/>
              <w:jc w:val="center"/>
              <w:rPr>
                <w:noProof/>
              </w:rPr>
            </w:pPr>
            <w:r>
              <w:rPr>
                <w:noProof/>
              </w:rPr>
              <w:t>2026</w:t>
            </w:r>
          </w:p>
        </w:tc>
        <w:tc>
          <w:tcPr>
            <w:tcW w:w="4094" w:type="dxa"/>
            <w:tcBorders>
              <w:top w:val="single" w:sz="4" w:space="0" w:color="auto"/>
              <w:left w:val="single" w:sz="4" w:space="0" w:color="auto"/>
              <w:bottom w:val="single" w:sz="4" w:space="0" w:color="auto"/>
              <w:right w:val="single" w:sz="4" w:space="0" w:color="auto"/>
            </w:tcBorders>
            <w:shd w:val="clear" w:color="auto" w:fill="C6EFCE"/>
            <w:vAlign w:val="center"/>
          </w:tcPr>
          <w:p w14:paraId="579A42EA" w14:textId="77777777" w:rsidR="00154E32" w:rsidRDefault="00A43E04">
            <w:pPr>
              <w:pStyle w:val="P68B1DB1-Normal11"/>
              <w:jc w:val="both"/>
              <w:rPr>
                <w:noProof/>
              </w:rPr>
            </w:pPr>
            <w:r>
              <w:rPr>
                <w:noProof/>
              </w:rPr>
              <w:t>Začetek veljavnosti vseh zakonodajnih aktov za racionalizacijo spodbud za podjetja.</w:t>
            </w:r>
          </w:p>
          <w:p w14:paraId="02683C27" w14:textId="77777777" w:rsidR="00154E32" w:rsidRDefault="00A43E04">
            <w:pPr>
              <w:pStyle w:val="P68B1DB1-Normal11"/>
              <w:jc w:val="both"/>
              <w:rPr>
                <w:noProof/>
              </w:rPr>
            </w:pPr>
            <w:r>
              <w:rPr>
                <w:noProof/>
              </w:rPr>
              <w:t>Reforma zadeva spodbude na nacionalni ravni.</w:t>
            </w:r>
          </w:p>
        </w:tc>
      </w:tr>
    </w:tbl>
    <w:p w14:paraId="4E060259" w14:textId="77777777" w:rsidR="00154E32" w:rsidRDefault="00A43E04">
      <w:pPr>
        <w:spacing w:before="120" w:after="120"/>
        <w:jc w:val="both"/>
        <w:rPr>
          <w:noProof/>
        </w:rPr>
      </w:pPr>
      <w:r>
        <w:rPr>
          <w:noProof/>
        </w:rPr>
        <w:t xml:space="preserve"> </w:t>
      </w:r>
      <w:r>
        <w:rPr>
          <w:noProof/>
        </w:rPr>
        <w:br/>
      </w:r>
    </w:p>
    <w:p w14:paraId="5794EBD2" w14:textId="77777777" w:rsidR="00154E32" w:rsidRDefault="00154E32">
      <w:pPr>
        <w:spacing w:before="120" w:after="120"/>
        <w:ind w:left="709"/>
        <w:jc w:val="both"/>
        <w:rPr>
          <w:rFonts w:eastAsia="Calibri"/>
          <w:noProof/>
        </w:rPr>
      </w:pPr>
    </w:p>
    <w:p w14:paraId="0727A8D1" w14:textId="77777777" w:rsidR="00154E32" w:rsidRDefault="00154E32">
      <w:pPr>
        <w:spacing w:before="120" w:after="120"/>
        <w:ind w:left="709"/>
        <w:jc w:val="both"/>
        <w:rPr>
          <w:noProof/>
        </w:rPr>
        <w:sectPr w:rsidR="00154E32" w:rsidSect="001354D1">
          <w:headerReference w:type="even" r:id="rId50"/>
          <w:headerReference w:type="default" r:id="rId51"/>
          <w:footerReference w:type="even" r:id="rId52"/>
          <w:footerReference w:type="default" r:id="rId53"/>
          <w:headerReference w:type="first" r:id="rId54"/>
          <w:footerReference w:type="first" r:id="rId55"/>
          <w:pgSz w:w="16839" w:h="11907" w:orient="landscape"/>
          <w:pgMar w:top="1134" w:right="1134" w:bottom="1134" w:left="1134" w:header="567" w:footer="567" w:gutter="0"/>
          <w:cols w:space="720"/>
          <w:docGrid w:linePitch="360"/>
        </w:sectPr>
      </w:pPr>
    </w:p>
    <w:p w14:paraId="1783FF05" w14:textId="77777777" w:rsidR="00154E32" w:rsidRDefault="00A43E04">
      <w:pPr>
        <w:pStyle w:val="Heading3"/>
        <w:numPr>
          <w:ilvl w:val="2"/>
          <w:numId w:val="0"/>
        </w:numPr>
        <w:ind w:left="850" w:hanging="850"/>
        <w:rPr>
          <w:b/>
          <w:i w:val="0"/>
          <w:noProof/>
          <w:color w:val="4F81BD" w:themeColor="accent1"/>
          <w:u w:val="single"/>
        </w:rPr>
      </w:pPr>
      <w:r>
        <w:rPr>
          <w:b/>
          <w:i w:val="0"/>
          <w:noProof/>
          <w:u w:val="single"/>
        </w:rPr>
        <w:t xml:space="preserve">B.3. </w:t>
      </w:r>
      <w:r>
        <w:rPr>
          <w:noProof/>
        </w:rPr>
        <w:tab/>
      </w:r>
      <w:r>
        <w:rPr>
          <w:b/>
          <w:i w:val="0"/>
          <w:noProof/>
          <w:u w:val="single"/>
        </w:rPr>
        <w:t xml:space="preserve">Opis reform in naložb za posojilo </w:t>
      </w:r>
    </w:p>
    <w:p w14:paraId="3DDB12EC" w14:textId="77777777" w:rsidR="00154E32" w:rsidRDefault="00A43E04">
      <w:pPr>
        <w:pStyle w:val="P68B1DB1-Normal2"/>
        <w:spacing w:before="120" w:after="120"/>
        <w:jc w:val="both"/>
        <w:rPr>
          <w:i/>
          <w:noProof/>
        </w:rPr>
      </w:pPr>
      <w:r>
        <w:rPr>
          <w:noProof/>
        </w:rPr>
        <w:t xml:space="preserve">Naložba 2: Inovacije in tehnologija mikroelektronike </w:t>
      </w:r>
    </w:p>
    <w:p w14:paraId="1871B2BE" w14:textId="560A0F37" w:rsidR="00154E32" w:rsidRDefault="00A43E04">
      <w:pPr>
        <w:spacing w:before="120" w:after="120"/>
        <w:jc w:val="both"/>
        <w:rPr>
          <w:noProof/>
        </w:rPr>
      </w:pPr>
      <w:r>
        <w:rPr>
          <w:noProof/>
        </w:rPr>
        <w:t>Cilj naložbe je podpreti razvoj strateške vrednostne verige mikroelektronike z vlaganjem v substrate silicijevega karbida, kar je nujen vložek za proizvodnjo visoko zmogljivih električnih naprav. Naložba se izvaja v skladu z obstoječimi pravili o državni pomoči in pričakuje se, da bo pozitivno vplivala na zaposlovanje.</w:t>
      </w:r>
    </w:p>
    <w:p w14:paraId="5CE2CFAE" w14:textId="77777777" w:rsidR="00154E32" w:rsidRDefault="00A43E04">
      <w:pPr>
        <w:pStyle w:val="P68B1DB1-Normal2"/>
        <w:spacing w:before="120" w:after="120"/>
        <w:jc w:val="both"/>
        <w:rPr>
          <w:noProof/>
        </w:rPr>
      </w:pPr>
      <w:r>
        <w:rPr>
          <w:noProof/>
        </w:rPr>
        <w:t>Naložba 3: Hitre internetne povezave (širokopasovne povezave Ultra in 5G)</w:t>
      </w:r>
    </w:p>
    <w:p w14:paraId="044629F2" w14:textId="77777777" w:rsidR="00154E32" w:rsidRDefault="00A43E04">
      <w:pPr>
        <w:spacing w:after="120"/>
        <w:jc w:val="both"/>
        <w:rPr>
          <w:noProof/>
        </w:rPr>
      </w:pPr>
      <w:r>
        <w:rPr>
          <w:noProof/>
        </w:rPr>
        <w:t xml:space="preserve">Cilj naložbe je dokončanje nacionalnega ultrahitrega in telekomunikacijskega omrežja 5G na celotnem nacionalnem ozemlju. Pričakuje se, da bo ta naložba znatno prispevala k ciljem digitalnega prehoda in zmanjšanju digitalnega razkoraka v Italiji. </w:t>
      </w:r>
    </w:p>
    <w:p w14:paraId="12C3D354" w14:textId="77777777" w:rsidR="00154E32" w:rsidRDefault="00A43E04">
      <w:pPr>
        <w:spacing w:after="120"/>
        <w:jc w:val="both"/>
        <w:rPr>
          <w:noProof/>
        </w:rPr>
      </w:pPr>
      <w:r>
        <w:rPr>
          <w:noProof/>
        </w:rPr>
        <w:t>Naložba vključuje podelitev koncesij in zajema pet hitrejših projektov povezovanja:</w:t>
      </w:r>
    </w:p>
    <w:p w14:paraId="7D8EE9A5" w14:textId="77777777" w:rsidR="00154E32" w:rsidRDefault="00A43E04">
      <w:pPr>
        <w:pStyle w:val="ListParagraph"/>
        <w:numPr>
          <w:ilvl w:val="0"/>
          <w:numId w:val="73"/>
        </w:numPr>
        <w:spacing w:before="0" w:after="0"/>
        <w:rPr>
          <w:rFonts w:eastAsiaTheme="minorEastAsia"/>
          <w:noProof/>
        </w:rPr>
      </w:pPr>
      <w:r>
        <w:rPr>
          <w:noProof/>
        </w:rPr>
        <w:t>„Italia a 1 Giga“, ki zagotavlja 1 gigabit/s za prenos in 200 Mbitov/s za prenos na sivih in črnih območjih tržne nepopolnosti naslednje generacije (NGA). Ta območja se opredelijo po zaključku kartiranja;</w:t>
      </w:r>
    </w:p>
    <w:p w14:paraId="6EA65E9E" w14:textId="77777777" w:rsidR="00154E32" w:rsidRDefault="00A43E04">
      <w:pPr>
        <w:pStyle w:val="ListParagraph"/>
        <w:numPr>
          <w:ilvl w:val="0"/>
          <w:numId w:val="73"/>
        </w:numPr>
        <w:spacing w:before="0" w:after="0"/>
        <w:rPr>
          <w:rFonts w:eastAsiaTheme="minorEastAsia"/>
          <w:noProof/>
        </w:rPr>
      </w:pPr>
      <w:r>
        <w:rPr>
          <w:noProof/>
        </w:rPr>
        <w:t>„Italia 5G“, ki zagotavlja povezave 5G na območjih tržne nepopolnosti, ki so območja, kjer mobilna omrežja niso bila zgrajena; ali so na voljo samo omrežja 3G, v bližnji prihodnosti pa niso načrtovana mobilna omrežja 4G in/ali 5G; ali obstaja dokazano nedelovanje trga;</w:t>
      </w:r>
    </w:p>
    <w:p w14:paraId="7F88C104" w14:textId="77777777" w:rsidR="00154E32" w:rsidRDefault="00A43E04">
      <w:pPr>
        <w:pStyle w:val="ListParagraph"/>
        <w:numPr>
          <w:ilvl w:val="0"/>
          <w:numId w:val="73"/>
        </w:numPr>
        <w:spacing w:before="0" w:after="0"/>
        <w:rPr>
          <w:rFonts w:eastAsiaTheme="minorEastAsia"/>
          <w:noProof/>
        </w:rPr>
      </w:pPr>
      <w:r>
        <w:rPr>
          <w:noProof/>
        </w:rPr>
        <w:t>„Povezane šole“, ki šolskim stavbam zagotavljajo eno širokopasovno povezljivost gigabit/s;</w:t>
      </w:r>
    </w:p>
    <w:p w14:paraId="3C61ACC4" w14:textId="77777777" w:rsidR="00154E32" w:rsidRDefault="00A43E04">
      <w:pPr>
        <w:pStyle w:val="ListParagraph"/>
        <w:numPr>
          <w:ilvl w:val="0"/>
          <w:numId w:val="73"/>
        </w:numPr>
        <w:spacing w:before="0" w:after="0"/>
        <w:rPr>
          <w:rFonts w:eastAsiaTheme="minorEastAsia"/>
          <w:noProof/>
        </w:rPr>
      </w:pPr>
      <w:r>
        <w:rPr>
          <w:noProof/>
        </w:rPr>
        <w:t>„Povezane ustanove zdravstvenega varstva“, ki zagotavljajo 1 gigabitno širokopasovno povezljivost javnim zdravstvenim ustanovam;</w:t>
      </w:r>
    </w:p>
    <w:p w14:paraId="0A2DADDA" w14:textId="77777777" w:rsidR="00154E32" w:rsidRDefault="00A43E04">
      <w:pPr>
        <w:pStyle w:val="ListParagraph"/>
        <w:numPr>
          <w:ilvl w:val="0"/>
          <w:numId w:val="73"/>
        </w:numPr>
        <w:spacing w:before="0" w:after="0"/>
        <w:rPr>
          <w:noProof/>
        </w:rPr>
      </w:pPr>
      <w:r>
        <w:rPr>
          <w:noProof/>
        </w:rPr>
        <w:t>„Povezani manjši otoki“, ki zagotavljajo ultraširokopasovno povezljivost izbranim manjšim otokom, ki nimajo optičnih povezav s celino.</w:t>
      </w:r>
    </w:p>
    <w:p w14:paraId="15734516" w14:textId="77777777" w:rsidR="00154E32" w:rsidRDefault="00154E32">
      <w:pPr>
        <w:pStyle w:val="ListParagraph"/>
        <w:spacing w:before="0" w:after="0"/>
        <w:rPr>
          <w:noProof/>
        </w:rPr>
      </w:pPr>
    </w:p>
    <w:p w14:paraId="022E1C03" w14:textId="77777777" w:rsidR="00154E32" w:rsidRDefault="00A43E04">
      <w:pPr>
        <w:pStyle w:val="P68B1DB1-Normal2"/>
        <w:spacing w:before="120" w:after="120"/>
        <w:jc w:val="both"/>
        <w:rPr>
          <w:noProof/>
        </w:rPr>
      </w:pPr>
      <w:r>
        <w:rPr>
          <w:noProof/>
        </w:rPr>
        <w:t>Naložba 4: Satelitska tehnologija in vesoljsko gospodarstvo</w:t>
      </w:r>
    </w:p>
    <w:p w14:paraId="3DF5495A" w14:textId="77777777" w:rsidR="00154E32" w:rsidRDefault="00A43E04">
      <w:pPr>
        <w:jc w:val="both"/>
        <w:rPr>
          <w:noProof/>
          <w:color w:val="000000" w:themeColor="text1"/>
        </w:rPr>
      </w:pPr>
      <w:r>
        <w:rPr>
          <w:noProof/>
        </w:rPr>
        <w:t>Cilj naložbe je razviti satelitske povezave za digitalni in zeleni prehod ter prispevati k razvoju vesoljskega sektorja. Cilj naložbe je tudi omogočiti storitve, kot sta varna komunikacijska in nadzorna infrastruktura za različne gospodarske sektorje, in v ta namen vključuje dejavnosti višje v verigi (</w:t>
      </w:r>
      <w:r>
        <w:rPr>
          <w:noProof/>
          <w:color w:val="000000" w:themeColor="text1"/>
        </w:rPr>
        <w:t xml:space="preserve">izstrelitvene storitve, proizvodnja in upravljanje satelitov in infrastrukture) in dejavnosti nižje v prodajni verigi (proizvodnja omogočenih proizvodov in storitev). </w:t>
      </w:r>
    </w:p>
    <w:p w14:paraId="060BC643" w14:textId="77777777" w:rsidR="00154E32" w:rsidRDefault="00A43E04">
      <w:pPr>
        <w:jc w:val="both"/>
        <w:rPr>
          <w:noProof/>
        </w:rPr>
      </w:pPr>
      <w:r>
        <w:rPr>
          <w:noProof/>
          <w:color w:val="000000" w:themeColor="text1"/>
        </w:rPr>
        <w:t xml:space="preserve">Naložba </w:t>
      </w:r>
      <w:r>
        <w:rPr>
          <w:noProof/>
        </w:rPr>
        <w:t>vključuje oddajo javnih naročil in zajema štiri projekte:</w:t>
      </w:r>
    </w:p>
    <w:p w14:paraId="0CC1A42D" w14:textId="77777777" w:rsidR="00154E32" w:rsidRDefault="00A43E04">
      <w:pPr>
        <w:pStyle w:val="ListParagraph"/>
        <w:numPr>
          <w:ilvl w:val="0"/>
          <w:numId w:val="75"/>
        </w:numPr>
        <w:spacing w:before="0" w:after="0"/>
        <w:rPr>
          <w:rFonts w:eastAsiaTheme="minorEastAsia"/>
          <w:noProof/>
        </w:rPr>
      </w:pPr>
      <w:r>
        <w:rPr>
          <w:noProof/>
        </w:rPr>
        <w:t xml:space="preserve">SATCOM, ki ga sestavljajo dejavnosti za razvoj tehnologij in sistemov z dvojno rabo, ki se uporabljajo za zagotavljanje zelo varnih inovativnih satelitskih komunikacijskih storitev za vladno uporabo. </w:t>
      </w:r>
    </w:p>
    <w:p w14:paraId="7BC40FC9" w14:textId="77777777" w:rsidR="00154E32" w:rsidRDefault="00A43E04">
      <w:pPr>
        <w:pStyle w:val="ListParagraph"/>
        <w:numPr>
          <w:ilvl w:val="0"/>
          <w:numId w:val="75"/>
        </w:numPr>
        <w:spacing w:before="0" w:after="0"/>
        <w:rPr>
          <w:rFonts w:eastAsiaTheme="minorEastAsia"/>
          <w:noProof/>
        </w:rPr>
      </w:pPr>
      <w:r>
        <w:rPr>
          <w:noProof/>
        </w:rPr>
        <w:t xml:space="preserve">Opazovanje Zemlje (EO), ki ga sestavljajo (i) dejavnosti višje v verigi: vključno s specifikacijo, zasnovo, razvojem konstelacije za daljinsko zaznavanje (sintetična odprtina radar (SAR), hiperspektral) in naročilom izstrelitev s poudarkom na spremljanju kopnega, morja in ozračja; (II) dejavnosti nižje v verigi: izvedba projekta Cyber Italy, ki vključuje oblikovanje digitalne replike države. </w:t>
      </w:r>
    </w:p>
    <w:p w14:paraId="2B9E9020" w14:textId="77777777" w:rsidR="00154E32" w:rsidRDefault="00A43E04">
      <w:pPr>
        <w:pStyle w:val="ListParagraph"/>
        <w:numPr>
          <w:ilvl w:val="0"/>
          <w:numId w:val="75"/>
        </w:numPr>
        <w:spacing w:before="0" w:after="0"/>
        <w:rPr>
          <w:rFonts w:eastAsiaTheme="minorEastAsia"/>
          <w:noProof/>
        </w:rPr>
      </w:pPr>
      <w:r>
        <w:rPr>
          <w:noProof/>
        </w:rPr>
        <w:t>Vesoljska teorija, ki jo sestavljata dva podprojekta: (I) Vesoljska teorija 4.0: specifikacijo, zasnovo in izgradnjo digitalnih proizvodnih, montažnih in preizkuševalnih zmogljivosti za majhne satelite ter uvedbo kibernetskega fizičnega proizvodnega sistema in digitalnega povezovanja satelitov, katerega cilj je vzpostaviti dvosmerno povezavo med digitalnim modelom in njegovim fizičnim kolegom; (II) Dostop do vesolja: raziskave, razvoj in izdelava prototipov za uresničitev zelenih tehnologij za prihodnjo generacijo odrivalnikov in nosilnih raket, vključno s predstavitvijo izbranih tehnologij med letom.</w:t>
      </w:r>
    </w:p>
    <w:p w14:paraId="7D0BEA12" w14:textId="77777777" w:rsidR="00154E32" w:rsidRDefault="00A43E04">
      <w:pPr>
        <w:pStyle w:val="ListParagraph"/>
        <w:numPr>
          <w:ilvl w:val="0"/>
          <w:numId w:val="75"/>
        </w:numPr>
        <w:spacing w:before="0" w:after="0"/>
        <w:rPr>
          <w:rFonts w:eastAsiaTheme="minorEastAsia"/>
          <w:noProof/>
        </w:rPr>
      </w:pPr>
      <w:r>
        <w:rPr>
          <w:noProof/>
        </w:rPr>
        <w:t>Gospodarstvo v orbiti, ki vključuje uvedbo demonstratorja za tehnologije servisiranja v orbiti za interoperabilnost v orbiti; povečanje nacionalne zmogljivosti za nadzor in spremljanje v vesolju (SST), vključno z mrežo zemeljskih senzorjev za opazovanje in sledenje vesoljskih odpadkov; oblikovanje, razvoj, zagon sredstev za pridobitev in upravljanje ter zagotavljanje podatkovne storitve v podporo dejavnostim upravljanja vesoljskega prometa.</w:t>
      </w:r>
    </w:p>
    <w:p w14:paraId="4D1FBB8F" w14:textId="77777777" w:rsidR="00154E32" w:rsidRDefault="00A43E04">
      <w:pPr>
        <w:spacing w:before="120" w:after="120"/>
        <w:jc w:val="both"/>
        <w:rPr>
          <w:noProof/>
        </w:rPr>
      </w:pPr>
      <w:r>
        <w:rPr>
          <w:noProof/>
        </w:rPr>
        <w:t>Predvideno je, da naložba nima vojaških ali obrambnih ciljev in posledic.</w:t>
      </w:r>
    </w:p>
    <w:p w14:paraId="556B4313" w14:textId="77777777" w:rsidR="00154E32" w:rsidRDefault="00A43E04">
      <w:pPr>
        <w:pStyle w:val="P68B1DB1-Normal2"/>
        <w:spacing w:before="120" w:after="120"/>
        <w:jc w:val="both"/>
        <w:rPr>
          <w:noProof/>
        </w:rPr>
      </w:pPr>
      <w:r>
        <w:rPr>
          <w:noProof/>
        </w:rPr>
        <w:t xml:space="preserve">Naložba 5: Politike industrijske dobavne verige in internacionalizacija </w:t>
      </w:r>
    </w:p>
    <w:p w14:paraId="0EF91FD9" w14:textId="77777777" w:rsidR="00154E32" w:rsidRDefault="00A43E04">
      <w:pPr>
        <w:jc w:val="both"/>
        <w:rPr>
          <w:noProof/>
        </w:rPr>
      </w:pPr>
      <w:r>
        <w:rPr>
          <w:noProof/>
        </w:rPr>
        <w:t>Cilj naložb je okrepiti industrijske dobavne verige, zlasti z olajšanjem dostopa do financiranja, in spodbujati konkurenčnost podjetij (zlasti MSP), zlasti s podpiranjem njihove internacionalizacije in krepitvijo njihove odpornosti po krizi zaradi COVID-19.</w:t>
      </w:r>
    </w:p>
    <w:p w14:paraId="0647898C" w14:textId="77777777" w:rsidR="00154E32" w:rsidRDefault="00A43E04">
      <w:pPr>
        <w:jc w:val="both"/>
        <w:rPr>
          <w:noProof/>
        </w:rPr>
      </w:pPr>
      <w:r>
        <w:rPr>
          <w:noProof/>
        </w:rPr>
        <w:t>Naložba je sestavljena iz dveh vrst intervencij:</w:t>
      </w:r>
    </w:p>
    <w:p w14:paraId="01747ECE" w14:textId="77777777" w:rsidR="00154E32" w:rsidRDefault="00A43E04">
      <w:pPr>
        <w:pStyle w:val="ListParagraph"/>
        <w:numPr>
          <w:ilvl w:val="3"/>
          <w:numId w:val="111"/>
        </w:numPr>
        <w:ind w:left="1134"/>
        <w:rPr>
          <w:rFonts w:eastAsiaTheme="minorEastAsia"/>
          <w:noProof/>
        </w:rPr>
      </w:pPr>
      <w:r>
        <w:rPr>
          <w:noProof/>
        </w:rPr>
        <w:t xml:space="preserve">Refinanciranje sklada 394/81, ki ga upravlja SIMEST. Zajema refinanciranje obstoječega sklada, ki ga trenutno upravlja javna agencija SIMEST, in zagotavlja finančno podporo podjetjem, zlasti MSP, za podporo njihovi internacionalizaciji z različnimi orodji, kot so programi za dostop do tujih trgov in razvoj e-trgovanja. </w:t>
      </w:r>
    </w:p>
    <w:p w14:paraId="6D314820" w14:textId="77777777" w:rsidR="00154E32" w:rsidRDefault="00A43E04">
      <w:pPr>
        <w:pStyle w:val="ListParagraph"/>
        <w:numPr>
          <w:ilvl w:val="3"/>
          <w:numId w:val="111"/>
        </w:numPr>
        <w:ind w:left="1134"/>
        <w:rPr>
          <w:rFonts w:eastAsiaTheme="minorEastAsia"/>
          <w:noProof/>
        </w:rPr>
      </w:pPr>
      <w:r>
        <w:rPr>
          <w:noProof/>
        </w:rPr>
        <w:t xml:space="preserve">Konkurenčnost in odpornost dobavnih verig. Vključuje finančno podporo podjetjem prek instrumenta pogodbe o razvoju za projekte, povezane s ključnimi strateškimi vrednostnimi verigami, kot so programi industrijskega razvoja, programi za razvoj varstva okolja, trajnostna mobilnost in turistične dejavnosti. </w:t>
      </w:r>
    </w:p>
    <w:p w14:paraId="16A8E2AC" w14:textId="77777777" w:rsidR="00154E32" w:rsidRDefault="00A43E04">
      <w:pPr>
        <w:spacing w:after="120"/>
        <w:jc w:val="both"/>
        <w:rPr>
          <w:noProof/>
        </w:rPr>
      </w:pPr>
      <w:r>
        <w:rPr>
          <w:noProof/>
        </w:rPr>
        <w:t>Zgoraj navedene intervencije se izvajajo v skladu z naložbenimi politikami v skladu s cilji Uredbe (EU) 2021/241, tudi v zvezi z uporabo načela, da se ne škoduje bistveno, kot je podrobneje opredeljeno v tehničnih smernicah „Ne škoduje bistveno“ (2021/C58/01).</w:t>
      </w:r>
    </w:p>
    <w:p w14:paraId="680CA6D7" w14:textId="77777777" w:rsidR="00154E32" w:rsidRDefault="00A43E04">
      <w:pPr>
        <w:spacing w:after="120"/>
        <w:jc w:val="both"/>
        <w:rPr>
          <w:noProof/>
        </w:rPr>
      </w:pPr>
      <w:r>
        <w:rPr>
          <w:noProof/>
        </w:rPr>
        <w:t xml:space="preserve">Za zagotovitev, da je ukrep skladen s tehničnimi smernicami, da se ne škoduje bistveno (2021/C58/01), pravni sporazum med Italijo in pooblaščenim subjektom ali finančnim posrednikom, pristojnim za finančni instrument, in poznejšo naložbeno politiko finančnega instrumenta: </w:t>
      </w:r>
    </w:p>
    <w:p w14:paraId="48697573" w14:textId="77777777" w:rsidR="00154E32" w:rsidRDefault="00A43E04">
      <w:pPr>
        <w:pStyle w:val="ListParagraph"/>
        <w:numPr>
          <w:ilvl w:val="0"/>
          <w:numId w:val="74"/>
        </w:numPr>
        <w:spacing w:before="0" w:after="0"/>
        <w:rPr>
          <w:rFonts w:eastAsiaTheme="minorEastAsia"/>
          <w:noProof/>
        </w:rPr>
      </w:pPr>
      <w:r>
        <w:rPr>
          <w:noProof/>
        </w:rPr>
        <w:t>zahteva uporabo tehničnih smernic Komisije o preverjanju trajnostnosti za sklad InvestEU; in</w:t>
      </w:r>
    </w:p>
    <w:p w14:paraId="10CB9379" w14:textId="77777777" w:rsidR="00154E32" w:rsidRDefault="00A43E04">
      <w:pPr>
        <w:pStyle w:val="ListParagraph"/>
        <w:numPr>
          <w:ilvl w:val="0"/>
          <w:numId w:val="74"/>
        </w:numPr>
        <w:spacing w:before="0" w:after="0"/>
        <w:rPr>
          <w:rFonts w:eastAsiaTheme="minorEastAsia"/>
          <w:noProof/>
        </w:rPr>
      </w:pPr>
      <w:r>
        <w:rPr>
          <w:noProof/>
        </w:rPr>
        <w:t>iz upravičenosti izključi naslednji seznam dejavnosti in sredstev:</w:t>
      </w:r>
      <w:r>
        <w:rPr>
          <w:noProof/>
          <w:color w:val="FF0000"/>
        </w:rPr>
        <w:t xml:space="preserve"> </w:t>
      </w:r>
      <w:r>
        <w:rPr>
          <w:noProof/>
        </w:rPr>
        <w:t>(I) dejavnosti in sredstva, povezana s fosilnimi gorivi, vključno z nadaljnjo uporabo</w:t>
      </w:r>
      <w:r>
        <w:rPr>
          <w:noProof/>
        </w:rPr>
        <w:footnoteReference w:id="6"/>
      </w:r>
      <w:r>
        <w:rPr>
          <w:noProof/>
        </w:rPr>
        <w:t>; (II) dejavnosti in sredstva v okviru sistema EU za trgovanje z emisijami (ETS), s katerimi se dosegajo predvidene emisije toplogrednih plinov, ki niso nižje od ustreznih referenčnih vrednosti</w:t>
      </w:r>
      <w:r>
        <w:rPr>
          <w:noProof/>
        </w:rPr>
        <w:footnoteReference w:id="7"/>
      </w:r>
      <w:r>
        <w:rPr>
          <w:noProof/>
        </w:rPr>
        <w:t>; (III) dejavnosti in sredstva, povezana z odlagališči odpadkov, sežigalnicami</w:t>
      </w:r>
      <w:r>
        <w:rPr>
          <w:noProof/>
        </w:rPr>
        <w:footnoteReference w:id="8"/>
      </w:r>
      <w:r>
        <w:rPr>
          <w:noProof/>
        </w:rPr>
        <w:t xml:space="preserve"> in napravami za mehansko-biološko obdelavo</w:t>
      </w:r>
      <w:r>
        <w:rPr>
          <w:noProof/>
        </w:rPr>
        <w:footnoteReference w:id="9"/>
      </w:r>
      <w:r>
        <w:rPr>
          <w:noProof/>
        </w:rPr>
        <w:t>; ter (iv) dejavnosti in sredstva, pri katerih lahko dolgoročno odstranjevanje odpadkov škoduje okolju; in</w:t>
      </w:r>
    </w:p>
    <w:p w14:paraId="6CE54280" w14:textId="77777777" w:rsidR="00154E32" w:rsidRDefault="00A43E04">
      <w:pPr>
        <w:pStyle w:val="ListParagraph"/>
        <w:numPr>
          <w:ilvl w:val="0"/>
          <w:numId w:val="74"/>
        </w:numPr>
        <w:spacing w:before="0" w:after="0"/>
        <w:rPr>
          <w:rFonts w:eastAsiaTheme="minorEastAsia"/>
          <w:noProof/>
        </w:rPr>
      </w:pPr>
      <w:r>
        <w:rPr>
          <w:noProof/>
        </w:rPr>
        <w:t>zahteva, da pooblaščeni subjekt ali finančni posrednik preveri pravno skladnost projektov z ustrezno okoljsko zakonodajo EU in nacionalno okoljsko zakonodajo za vse transakcije, vključno s tistimi, ki so izvzeti iz preverjanja trajnostnosti.</w:t>
      </w:r>
    </w:p>
    <w:p w14:paraId="6AB7CE5B" w14:textId="77777777" w:rsidR="00154E32" w:rsidRDefault="00154E32">
      <w:pPr>
        <w:rPr>
          <w:b/>
          <w:noProof/>
          <w:u w:val="single"/>
        </w:rPr>
      </w:pPr>
    </w:p>
    <w:p w14:paraId="052E9DEF" w14:textId="0A2C96AE" w:rsidR="00154E32" w:rsidRDefault="00A43E04">
      <w:pPr>
        <w:pStyle w:val="P68B1DB1-Normal14"/>
        <w:rPr>
          <w:noProof/>
        </w:rPr>
      </w:pPr>
      <w:r>
        <w:rPr>
          <w:noProof/>
        </w:rPr>
        <w:t>Naložba 7. Podpora proizvodnemu sistemu za ekološki prehod, neto ničelne tehnologije ter konkurenčnost in odpornost strateških dobavnih verig:</w:t>
      </w:r>
    </w:p>
    <w:p w14:paraId="6F049D72" w14:textId="507918A8" w:rsidR="00154E32" w:rsidRDefault="00A43E04">
      <w:pPr>
        <w:spacing w:before="120" w:after="120"/>
        <w:jc w:val="both"/>
        <w:rPr>
          <w:noProof/>
        </w:rPr>
      </w:pPr>
      <w:r>
        <w:rPr>
          <w:noProof/>
        </w:rPr>
        <w:t>Ta ukrep je sestavljen iz dveh podnaložb.</w:t>
      </w:r>
    </w:p>
    <w:p w14:paraId="64C6B9D0" w14:textId="6A378560" w:rsidR="00154E32" w:rsidRDefault="00A43E04">
      <w:pPr>
        <w:pStyle w:val="P68B1DB1-Normal21"/>
        <w:spacing w:before="120" w:after="120"/>
        <w:jc w:val="both"/>
        <w:rPr>
          <w:noProof/>
        </w:rPr>
      </w:pPr>
      <w:r>
        <w:rPr>
          <w:noProof/>
        </w:rPr>
        <w:t>Podnaložba 1:</w:t>
      </w:r>
    </w:p>
    <w:p w14:paraId="3987743F" w14:textId="7CB7A8B4" w:rsidR="00154E32" w:rsidRDefault="00A43E04">
      <w:pPr>
        <w:spacing w:after="120"/>
        <w:jc w:val="both"/>
        <w:rPr>
          <w:rFonts w:eastAsia="Calibri"/>
          <w:noProof/>
        </w:rPr>
      </w:pPr>
      <w:r>
        <w:rPr>
          <w:noProof/>
        </w:rPr>
        <w:t xml:space="preserve">Ta podnaložba je sestavljena iz javnih naložb v instrument „Neto ničelne tehnologije“, da bi spodbudili zasebne naložbe in izboljšali dostop do financiranja na področjih energijske učinkovitosti, proizvodnje energije iz obnovljivih virov za lastno porabo in trajnostne preobrazbe proizvodnega procesa. </w:t>
      </w:r>
    </w:p>
    <w:p w14:paraId="1C836211" w14:textId="77777777" w:rsidR="00154E32" w:rsidRDefault="00A43E04">
      <w:pPr>
        <w:spacing w:after="120"/>
        <w:jc w:val="both"/>
        <w:rPr>
          <w:noProof/>
        </w:rPr>
      </w:pPr>
      <w:r>
        <w:rPr>
          <w:noProof/>
        </w:rPr>
        <w:t>Naložba podpira:</w:t>
      </w:r>
    </w:p>
    <w:p w14:paraId="7755DD18" w14:textId="77777777" w:rsidR="00154E32" w:rsidRDefault="00A43E04">
      <w:pPr>
        <w:pStyle w:val="ListParagraph"/>
        <w:numPr>
          <w:ilvl w:val="0"/>
          <w:numId w:val="143"/>
        </w:numPr>
        <w:spacing w:before="0"/>
        <w:contextualSpacing w:val="0"/>
        <w:rPr>
          <w:noProof/>
        </w:rPr>
      </w:pPr>
      <w:r>
        <w:rPr>
          <w:noProof/>
        </w:rPr>
        <w:t xml:space="preserve">ekološki prehod nacionalnega proizvodnega sistema na različnih ravneh s podpiranjem naložb v krepitev proizvodnih verig za naprave, pomembne za ekološki prehod (kot so baterije, sončni paneli, vetrne turbine, toplotne črpalke, elektrolizatorji ter naprave za zajemanje in shranjevanje ogljika),  </w:t>
      </w:r>
    </w:p>
    <w:p w14:paraId="340FE764" w14:textId="77777777" w:rsidR="00154E32" w:rsidRDefault="00A43E04">
      <w:pPr>
        <w:pStyle w:val="ListParagraph"/>
        <w:numPr>
          <w:ilvl w:val="0"/>
          <w:numId w:val="143"/>
        </w:numPr>
        <w:spacing w:before="0"/>
        <w:contextualSpacing w:val="0"/>
        <w:rPr>
          <w:noProof/>
        </w:rPr>
      </w:pPr>
      <w:r>
        <w:rPr>
          <w:noProof/>
        </w:rPr>
        <w:t>energetsko učinkovitost proizvodnih procesov (tudi s proizvodnjo za lastno porabo električne energije iz obnovljivih virov, razen biomase),</w:t>
      </w:r>
    </w:p>
    <w:p w14:paraId="612CC2F7" w14:textId="77777777" w:rsidR="00154E32" w:rsidRDefault="00A43E04">
      <w:pPr>
        <w:pStyle w:val="ListParagraph"/>
        <w:numPr>
          <w:ilvl w:val="0"/>
          <w:numId w:val="143"/>
        </w:numPr>
        <w:spacing w:before="0"/>
        <w:contextualSpacing w:val="0"/>
        <w:rPr>
          <w:noProof/>
        </w:rPr>
      </w:pPr>
      <w:r>
        <w:rPr>
          <w:noProof/>
        </w:rPr>
        <w:t>trajnost proizvodnih procesov, tudi z vidika krožnega gospodarstva in učinkovitejše rabe virov.</w:t>
      </w:r>
    </w:p>
    <w:p w14:paraId="0D405D31" w14:textId="03789B29" w:rsidR="00154E32" w:rsidRDefault="00A43E04">
      <w:pPr>
        <w:spacing w:after="120"/>
        <w:jc w:val="both"/>
        <w:rPr>
          <w:noProof/>
        </w:rPr>
      </w:pPr>
      <w:r>
        <w:rPr>
          <w:noProof/>
        </w:rPr>
        <w:t>Instrument deluje z zagotavljanjem nepovratnih sredstev, subvencioniranih posojil in subvencioniranih obresti neposredno zasebnemu sektorju. Na podlagi naložb iz mehanizma za okrevanje in odpornost je cilj mehanizma na začetku zagotoviti</w:t>
      </w:r>
      <w:r>
        <w:rPr>
          <w:noProof/>
          <w:color w:val="006100"/>
          <w:sz w:val="20"/>
        </w:rPr>
        <w:t xml:space="preserve"> </w:t>
      </w:r>
      <w:r>
        <w:rPr>
          <w:noProof/>
        </w:rPr>
        <w:t>vsaj</w:t>
      </w:r>
      <w:r>
        <w:rPr>
          <w:noProof/>
          <w:color w:val="006100"/>
          <w:sz w:val="20"/>
        </w:rPr>
        <w:t xml:space="preserve">  </w:t>
      </w:r>
      <w:r>
        <w:rPr>
          <w:noProof/>
        </w:rPr>
        <w:t>3600000000 EUR financiranja.</w:t>
      </w:r>
    </w:p>
    <w:p w14:paraId="7943E402" w14:textId="44795E42" w:rsidR="00154E32" w:rsidRDefault="00A43E04">
      <w:pPr>
        <w:spacing w:after="120"/>
        <w:jc w:val="both"/>
        <w:rPr>
          <w:noProof/>
        </w:rPr>
      </w:pPr>
      <w:r>
        <w:rPr>
          <w:noProof/>
        </w:rPr>
        <w:t>Instrument upravlja Invitalia S.p.A. kot izvajalski partner. Instrument vključuje naslednje finančne instrumente:</w:t>
      </w:r>
    </w:p>
    <w:p w14:paraId="3C8F1E4F" w14:textId="41DD0390" w:rsidR="00154E32" w:rsidRDefault="00A43E04">
      <w:pPr>
        <w:pStyle w:val="ListParagraph"/>
        <w:numPr>
          <w:ilvl w:val="0"/>
          <w:numId w:val="109"/>
        </w:numPr>
        <w:spacing w:before="0"/>
        <w:contextualSpacing w:val="0"/>
        <w:rPr>
          <w:noProof/>
        </w:rPr>
      </w:pPr>
      <w:r>
        <w:rPr>
          <w:noProof/>
        </w:rPr>
        <w:t>Pogodba o razvoju, ki podpira projekte neto ničelnih tehnologij, ki presegajo</w:t>
      </w:r>
      <w:r>
        <w:rPr>
          <w:noProof/>
          <w:color w:val="006100"/>
          <w:sz w:val="20"/>
        </w:rPr>
        <w:t xml:space="preserve"> </w:t>
      </w:r>
      <w:r>
        <w:rPr>
          <w:noProof/>
        </w:rPr>
        <w:t>20000000 EUR, z zagotavljanjem nepovratnih sredstev, subvencioniranih obrestnih mer in subvencioniranih posojil.</w:t>
      </w:r>
    </w:p>
    <w:p w14:paraId="598A80A8" w14:textId="36CB8908" w:rsidR="00154E32" w:rsidRDefault="00A43E04">
      <w:pPr>
        <w:pStyle w:val="ListParagraph"/>
        <w:numPr>
          <w:ilvl w:val="0"/>
          <w:numId w:val="109"/>
        </w:numPr>
        <w:spacing w:before="0"/>
        <w:contextualSpacing w:val="0"/>
        <w:rPr>
          <w:noProof/>
        </w:rPr>
      </w:pPr>
      <w:r>
        <w:rPr>
          <w:noProof/>
        </w:rPr>
        <w:t>Sklad za industrijsko preobrazbo, ki podpira projekte med</w:t>
      </w:r>
      <w:r>
        <w:rPr>
          <w:noProof/>
          <w:color w:val="006100"/>
          <w:sz w:val="20"/>
        </w:rPr>
        <w:t xml:space="preserve"> </w:t>
      </w:r>
      <w:r>
        <w:rPr>
          <w:noProof/>
        </w:rPr>
        <w:t>3000000</w:t>
      </w:r>
      <w:r>
        <w:rPr>
          <w:noProof/>
          <w:color w:val="006100"/>
          <w:sz w:val="20"/>
        </w:rPr>
        <w:t xml:space="preserve"> </w:t>
      </w:r>
      <w:r>
        <w:rPr>
          <w:noProof/>
        </w:rPr>
        <w:t>in 20 000 000 EUR</w:t>
      </w:r>
      <w:r>
        <w:rPr>
          <w:noProof/>
          <w:color w:val="006100"/>
          <w:sz w:val="20"/>
        </w:rPr>
        <w:t xml:space="preserve"> </w:t>
      </w:r>
      <w:r>
        <w:rPr>
          <w:noProof/>
        </w:rPr>
        <w:t>z</w:t>
      </w:r>
      <w:r>
        <w:rPr>
          <w:noProof/>
          <w:color w:val="006100"/>
          <w:sz w:val="20"/>
        </w:rPr>
        <w:t xml:space="preserve"> </w:t>
      </w:r>
      <w:r>
        <w:rPr>
          <w:noProof/>
        </w:rPr>
        <w:t>zagotavljanjem nepovratnih sredstev, subvencioniranih obrestnih mer in subvencioniranih posojil.</w:t>
      </w:r>
    </w:p>
    <w:p w14:paraId="3176A392" w14:textId="39DCD2B6" w:rsidR="00154E32" w:rsidRDefault="00A43E04">
      <w:pPr>
        <w:spacing w:after="120"/>
        <w:jc w:val="both"/>
        <w:rPr>
          <w:noProof/>
        </w:rPr>
      </w:pPr>
      <w:r>
        <w:rPr>
          <w:noProof/>
        </w:rPr>
        <w:t>Za izvedbo naložbe v sklad Italija in družba Invitalia S.p.A. podpišeta izvedbeni sporazum, ki vsebuje naslednjo vsebino:</w:t>
      </w:r>
    </w:p>
    <w:p w14:paraId="2F6DD927" w14:textId="72D01782" w:rsidR="00154E32" w:rsidRDefault="00A43E04">
      <w:pPr>
        <w:pStyle w:val="ListParagraph"/>
        <w:numPr>
          <w:ilvl w:val="3"/>
          <w:numId w:val="27"/>
        </w:numPr>
        <w:spacing w:before="0"/>
        <w:ind w:left="709"/>
        <w:contextualSpacing w:val="0"/>
        <w:rPr>
          <w:noProof/>
        </w:rPr>
      </w:pPr>
      <w:r>
        <w:rPr>
          <w:noProof/>
        </w:rPr>
        <w:t>Opis postopka odločanja instrumenta: Končne odločitve o naložbah in dodelitvi Sklada za spodbujanje naložb sprejme odbor za naložbe ali drug ustrezen enakovreden upravljavski organ in jih z večino glasov potrdijo člani, ki so neodvisni od vlade.</w:t>
      </w:r>
    </w:p>
    <w:p w14:paraId="24308117" w14:textId="77777777" w:rsidR="00154E32" w:rsidRDefault="00A43E04">
      <w:pPr>
        <w:pStyle w:val="ListParagraph"/>
        <w:numPr>
          <w:ilvl w:val="3"/>
          <w:numId w:val="27"/>
        </w:numPr>
        <w:spacing w:before="0"/>
        <w:ind w:left="709"/>
        <w:contextualSpacing w:val="0"/>
        <w:rPr>
          <w:noProof/>
        </w:rPr>
      </w:pPr>
      <w:r>
        <w:rPr>
          <w:noProof/>
        </w:rPr>
        <w:t>Ključne zahteve povezane naložbene politike, ki vključujejo:</w:t>
      </w:r>
    </w:p>
    <w:p w14:paraId="73D5139D" w14:textId="236CCC04" w:rsidR="00154E32" w:rsidRDefault="00A43E04">
      <w:pPr>
        <w:pStyle w:val="ListParagraph"/>
        <w:numPr>
          <w:ilvl w:val="4"/>
          <w:numId w:val="27"/>
        </w:numPr>
        <w:spacing w:before="0"/>
        <w:ind w:left="1276"/>
        <w:contextualSpacing w:val="0"/>
        <w:rPr>
          <w:noProof/>
        </w:rPr>
      </w:pPr>
      <w:r>
        <w:rPr>
          <w:noProof/>
        </w:rPr>
        <w:t xml:space="preserve">Opis finančnih produktov in upravičenih končnih upravičencev. </w:t>
      </w:r>
    </w:p>
    <w:p w14:paraId="505E5A15" w14:textId="77777777" w:rsidR="00154E32" w:rsidRDefault="00A43E04">
      <w:pPr>
        <w:pStyle w:val="ListParagraph"/>
        <w:numPr>
          <w:ilvl w:val="4"/>
          <w:numId w:val="27"/>
        </w:numPr>
        <w:spacing w:before="0"/>
        <w:ind w:left="1276"/>
        <w:contextualSpacing w:val="0"/>
        <w:rPr>
          <w:noProof/>
        </w:rPr>
      </w:pPr>
      <w:r>
        <w:rPr>
          <w:noProof/>
        </w:rPr>
        <w:t xml:space="preserve">Zahteva, da so vse podprte naložbe ekonomsko upravičene. </w:t>
      </w:r>
    </w:p>
    <w:p w14:paraId="4EB2AEC5" w14:textId="77777777" w:rsidR="00154E32" w:rsidRDefault="00A43E04">
      <w:pPr>
        <w:pStyle w:val="ListParagraph"/>
        <w:numPr>
          <w:ilvl w:val="4"/>
          <w:numId w:val="27"/>
        </w:numPr>
        <w:spacing w:before="0"/>
        <w:ind w:left="1276"/>
        <w:contextualSpacing w:val="0"/>
        <w:rPr>
          <w:noProof/>
        </w:rPr>
      </w:pPr>
      <w:r>
        <w:rPr>
          <w:noProof/>
        </w:rPr>
        <w:t>Zahtevo po skladnosti z načelom, da se ne škoduje bistveno, kot je določeno v tehničnih smernicah za načelo, da se ne škoduje bistveno (2021/C58/01). Naložbena politika zlasti izključuje naslednji seznam dejavnosti in sredstev iz upravičenosti: (I) dejavnosti in sredstva, povezana s fosilnimi gorivi, vključno z nadaljnjo uporabo,</w:t>
      </w:r>
      <w:r>
        <w:rPr>
          <w:rStyle w:val="FootnoteReference"/>
          <w:noProof/>
        </w:rPr>
        <w:footnoteReference w:id="10"/>
      </w:r>
      <w:r>
        <w:rPr>
          <w:noProof/>
        </w:rPr>
        <w:t>(ii) dejavnosti in sredstva v okviru sistema EU za trgovanje z emisijami (ETS), s katerimi se dosegajo predvidene emisije toplogrednih plinov, ki niso nižje od ustreznih referenčnih vrednosti,</w:t>
      </w:r>
      <w:r>
        <w:rPr>
          <w:rStyle w:val="FootnoteReference"/>
          <w:noProof/>
        </w:rPr>
        <w:footnoteReference w:id="11"/>
      </w:r>
      <w:r>
        <w:rPr>
          <w:noProof/>
        </w:rPr>
        <w:t>(iii) dejavnosti in sredstva, povezana z odlagališči odpadkov, sežigalnicami</w:t>
      </w:r>
      <w:r>
        <w:rPr>
          <w:rStyle w:val="FootnoteReference"/>
          <w:noProof/>
        </w:rPr>
        <w:footnoteReference w:id="12"/>
      </w:r>
      <w:r>
        <w:rPr>
          <w:noProof/>
        </w:rPr>
        <w:t xml:space="preserve"> in napravami za mehansko-biološko obdelavo</w:t>
      </w:r>
      <w:r>
        <w:rPr>
          <w:rStyle w:val="FootnoteReference"/>
          <w:noProof/>
        </w:rPr>
        <w:footnoteReference w:id="13"/>
      </w:r>
      <w:r>
        <w:rPr>
          <w:noProof/>
        </w:rPr>
        <w:t xml:space="preserve">. </w:t>
      </w:r>
    </w:p>
    <w:p w14:paraId="37E79EEC" w14:textId="77777777" w:rsidR="00154E32" w:rsidRDefault="00A43E04">
      <w:pPr>
        <w:pStyle w:val="ListParagraph"/>
        <w:numPr>
          <w:ilvl w:val="4"/>
          <w:numId w:val="27"/>
        </w:numPr>
        <w:spacing w:before="0"/>
        <w:ind w:left="1276"/>
        <w:contextualSpacing w:val="0"/>
        <w:rPr>
          <w:noProof/>
        </w:rPr>
      </w:pPr>
      <w:r>
        <w:rPr>
          <w:noProof/>
        </w:rPr>
        <w:t>Zahteva, da končni upravičenci Instrumenta ne prejmejo podpore iz drugih instrumentov Unije za kritje istih stroškov.</w:t>
      </w:r>
    </w:p>
    <w:p w14:paraId="4BC89807" w14:textId="77777777" w:rsidR="00154E32" w:rsidRDefault="00A43E04">
      <w:pPr>
        <w:pStyle w:val="ListParagraph"/>
        <w:numPr>
          <w:ilvl w:val="3"/>
          <w:numId w:val="27"/>
        </w:numPr>
        <w:spacing w:before="0"/>
        <w:ind w:left="709"/>
        <w:contextualSpacing w:val="0"/>
        <w:rPr>
          <w:noProof/>
        </w:rPr>
      </w:pPr>
      <w:r>
        <w:rPr>
          <w:noProof/>
        </w:rPr>
        <w:t>Znesek, zajet v izvedbenem sporazumu, strukturo pristojbin za izvajalskega partnerja in zahtevo po ponovnem vlaganju vrnjenih sredstev v skladu z naložbeno politiko Sklada za spodbujanje naložb.</w:t>
      </w:r>
    </w:p>
    <w:p w14:paraId="697D2BA4" w14:textId="77777777" w:rsidR="00154E32" w:rsidRDefault="00A43E04">
      <w:pPr>
        <w:pStyle w:val="ListParagraph"/>
        <w:numPr>
          <w:ilvl w:val="3"/>
          <w:numId w:val="27"/>
        </w:numPr>
        <w:spacing w:before="0"/>
        <w:ind w:left="709"/>
        <w:contextualSpacing w:val="0"/>
        <w:rPr>
          <w:noProof/>
        </w:rPr>
      </w:pPr>
      <w:r>
        <w:rPr>
          <w:noProof/>
        </w:rPr>
        <w:t>Zahteve glede spremljanja, revizije in nadzora, vključno z:</w:t>
      </w:r>
      <w:bookmarkStart w:id="2" w:name="_Hlk139218377"/>
    </w:p>
    <w:p w14:paraId="02003063" w14:textId="77777777" w:rsidR="00154E32" w:rsidRDefault="00A43E04">
      <w:pPr>
        <w:pStyle w:val="ListParagraph"/>
        <w:numPr>
          <w:ilvl w:val="4"/>
          <w:numId w:val="27"/>
        </w:numPr>
        <w:spacing w:before="0"/>
        <w:ind w:left="1276"/>
        <w:contextualSpacing w:val="0"/>
        <w:rPr>
          <w:noProof/>
        </w:rPr>
      </w:pPr>
      <w:r>
        <w:rPr>
          <w:noProof/>
        </w:rPr>
        <w:t>Opis sistema spremljanja izvajalskega partnerja za poročanje o mobiliziranih naložbah.</w:t>
      </w:r>
    </w:p>
    <w:p w14:paraId="5C4CF877" w14:textId="508DE294" w:rsidR="00154E32" w:rsidRDefault="00A43E04">
      <w:pPr>
        <w:pStyle w:val="ListParagraph"/>
        <w:numPr>
          <w:ilvl w:val="4"/>
          <w:numId w:val="27"/>
        </w:numPr>
        <w:spacing w:before="0"/>
        <w:ind w:left="1276"/>
        <w:contextualSpacing w:val="0"/>
        <w:rPr>
          <w:noProof/>
        </w:rPr>
      </w:pPr>
      <w:r>
        <w:rPr>
          <w:noProof/>
        </w:rPr>
        <w:t xml:space="preserve">Opis postopkov izvajalskega partnerja, ki zagotavljajo preprečevanje, odkrivanje in odpravljanje goljufij, korupcije in nasprotij interesov. </w:t>
      </w:r>
    </w:p>
    <w:p w14:paraId="0FE4D769" w14:textId="77777777" w:rsidR="00154E32" w:rsidRDefault="00A43E04">
      <w:pPr>
        <w:pStyle w:val="ListParagraph"/>
        <w:numPr>
          <w:ilvl w:val="4"/>
          <w:numId w:val="27"/>
        </w:numPr>
        <w:spacing w:before="0"/>
        <w:ind w:left="1276"/>
        <w:contextualSpacing w:val="0"/>
        <w:rPr>
          <w:noProof/>
        </w:rPr>
      </w:pPr>
      <w:r>
        <w:rPr>
          <w:noProof/>
        </w:rPr>
        <w:t>Obveznost preverjanja upravičenosti vsake operacije v skladu z zahtevami iz izvedbenega sporazuma, preden se zaveže k financiranju operacije.</w:t>
      </w:r>
      <w:bookmarkEnd w:id="2"/>
    </w:p>
    <w:p w14:paraId="59288A05" w14:textId="529C06D7" w:rsidR="00154E32" w:rsidRDefault="00A43E04">
      <w:pPr>
        <w:pStyle w:val="ListParagraph"/>
        <w:numPr>
          <w:ilvl w:val="4"/>
          <w:numId w:val="27"/>
        </w:numPr>
        <w:spacing w:before="0"/>
        <w:ind w:left="1276"/>
        <w:contextualSpacing w:val="0"/>
        <w:rPr>
          <w:noProof/>
        </w:rPr>
      </w:pPr>
      <w:r>
        <w:rPr>
          <w:noProof/>
        </w:rPr>
        <w:t>Obveznost izvajanja naknadnih revizij na podlagi tveganja v skladu z revizijskim načrtom Invitalia S.p.A. Te revizije preverijo:</w:t>
      </w:r>
    </w:p>
    <w:p w14:paraId="0343C879" w14:textId="77777777" w:rsidR="00154E32" w:rsidRDefault="00A43E04">
      <w:pPr>
        <w:pStyle w:val="ListParagraph"/>
        <w:numPr>
          <w:ilvl w:val="5"/>
          <w:numId w:val="27"/>
        </w:numPr>
        <w:spacing w:before="0"/>
        <w:ind w:left="1985"/>
        <w:contextualSpacing w:val="0"/>
        <w:rPr>
          <w:noProof/>
        </w:rPr>
      </w:pPr>
      <w:r>
        <w:rPr>
          <w:noProof/>
        </w:rPr>
        <w:t>da so nadzorni sistemi učinkoviti, vključno z odkrivanjem goljufij, korupcije in navzkrižja interesov;</w:t>
      </w:r>
    </w:p>
    <w:p w14:paraId="5A6E7796" w14:textId="77777777" w:rsidR="00154E32" w:rsidRDefault="00A43E04">
      <w:pPr>
        <w:pStyle w:val="ListParagraph"/>
        <w:numPr>
          <w:ilvl w:val="5"/>
          <w:numId w:val="27"/>
        </w:numPr>
        <w:spacing w:before="0"/>
        <w:ind w:left="1985"/>
        <w:contextualSpacing w:val="0"/>
        <w:rPr>
          <w:noProof/>
        </w:rPr>
      </w:pPr>
      <w:r>
        <w:rPr>
          <w:noProof/>
        </w:rPr>
        <w:t xml:space="preserve">skladnost z načelom, da se ne škoduje bistveno, pravili o državni pomoči in zahtevami glede podnebnih ciljev; in </w:t>
      </w:r>
    </w:p>
    <w:p w14:paraId="5AEEA716" w14:textId="77777777" w:rsidR="00154E32" w:rsidRDefault="00A43E04">
      <w:pPr>
        <w:pStyle w:val="ListParagraph"/>
        <w:numPr>
          <w:ilvl w:val="5"/>
          <w:numId w:val="27"/>
        </w:numPr>
        <w:spacing w:before="0"/>
        <w:ind w:left="1985"/>
        <w:contextualSpacing w:val="0"/>
        <w:rPr>
          <w:noProof/>
        </w:rPr>
      </w:pPr>
      <w:r>
        <w:rPr>
          <w:noProof/>
        </w:rPr>
        <w:t xml:space="preserve">da se spoštuje zahteva, da končni upravičenci Instrumenta niso prejeli podpore iz drugih instrumentov Unije za kritje istih stroškov. Z revizijami se preveri tudi zakonitost transakcij in spoštovanje pogojev iz veljavnega izvedbenega sporazuma. </w:t>
      </w:r>
    </w:p>
    <w:p w14:paraId="22B030FF" w14:textId="38585760" w:rsidR="00154E32" w:rsidRDefault="00A43E04">
      <w:pPr>
        <w:spacing w:before="120" w:after="120"/>
        <w:jc w:val="both"/>
        <w:rPr>
          <w:noProof/>
        </w:rPr>
      </w:pPr>
      <w:r>
        <w:rPr>
          <w:noProof/>
        </w:rPr>
        <w:t>5. Zahteve za podnebne naložbe, ki jih izvaja izvajalski partner: najmanj 1 787 500 000 EUR naložb</w:t>
      </w:r>
      <w:r>
        <w:rPr>
          <w:noProof/>
          <w:color w:val="006100"/>
          <w:sz w:val="20"/>
        </w:rPr>
        <w:t xml:space="preserve"> </w:t>
      </w:r>
      <w:r>
        <w:rPr>
          <w:noProof/>
        </w:rPr>
        <w:t>mehanizma</w:t>
      </w:r>
      <w:r>
        <w:rPr>
          <w:noProof/>
          <w:color w:val="006100"/>
          <w:sz w:val="20"/>
        </w:rPr>
        <w:t xml:space="preserve"> </w:t>
      </w:r>
      <w:r>
        <w:rPr>
          <w:noProof/>
        </w:rPr>
        <w:t>za</w:t>
      </w:r>
      <w:r>
        <w:rPr>
          <w:noProof/>
          <w:color w:val="006100"/>
          <w:sz w:val="20"/>
        </w:rPr>
        <w:t xml:space="preserve"> </w:t>
      </w:r>
      <w:r>
        <w:rPr>
          <w:noProof/>
        </w:rPr>
        <w:t>okrevanje in odpornost v mehanizem prispeva k ciljem na področju podnebnih sprememb v skladu s Prilogo VI k uredbi o mehanizmu za okrevanje in odpornost</w:t>
      </w:r>
      <w:r>
        <w:rPr>
          <w:rStyle w:val="FootnoteReference"/>
          <w:noProof/>
        </w:rPr>
        <w:footnoteReference w:id="14"/>
      </w:r>
      <w:r>
        <w:rPr>
          <w:noProof/>
        </w:rPr>
        <w:t>.</w:t>
      </w:r>
    </w:p>
    <w:p w14:paraId="5CF1FB73" w14:textId="0D9229FB" w:rsidR="00154E32" w:rsidRDefault="00A43E04">
      <w:pPr>
        <w:pStyle w:val="P68B1DB1-Normal2"/>
        <w:spacing w:before="120" w:after="120"/>
        <w:jc w:val="both"/>
        <w:rPr>
          <w:noProof/>
        </w:rPr>
      </w:pPr>
      <w:r>
        <w:rPr>
          <w:noProof/>
        </w:rPr>
        <w:t>Podnaložba 2:</w:t>
      </w:r>
    </w:p>
    <w:p w14:paraId="0D9F9875" w14:textId="77777777" w:rsidR="00154E32" w:rsidRDefault="00A43E04">
      <w:pPr>
        <w:spacing w:after="120"/>
        <w:jc w:val="both"/>
        <w:rPr>
          <w:noProof/>
        </w:rPr>
      </w:pPr>
      <w:r>
        <w:rPr>
          <w:noProof/>
        </w:rPr>
        <w:t>Ta podnaložba je sestavljena iz javnih naložb v mehanizem „Konkurenčnost in odpornost strateških dobavnih verig“, da bi spodbudili zasebne naložbe in izboljšali dostop do financiranja za okrepitev industrijskih dobavnih verig.</w:t>
      </w:r>
    </w:p>
    <w:p w14:paraId="55B62F36" w14:textId="77777777" w:rsidR="00154E32" w:rsidRDefault="00A43E04">
      <w:pPr>
        <w:spacing w:after="120"/>
        <w:jc w:val="both"/>
        <w:rPr>
          <w:noProof/>
        </w:rPr>
      </w:pPr>
      <w:r>
        <w:rPr>
          <w:noProof/>
        </w:rPr>
        <w:t>Naložba podpira projekte, povezane s ključnimi strateškimi vrednostnimi verigami, kot so programi industrijskega razvoja in razvojni programi za varstvo okolja.</w:t>
      </w:r>
    </w:p>
    <w:p w14:paraId="7BC15E7C" w14:textId="1943A893" w:rsidR="00154E32" w:rsidRDefault="00A43E04">
      <w:pPr>
        <w:spacing w:after="120"/>
        <w:jc w:val="both"/>
        <w:rPr>
          <w:noProof/>
        </w:rPr>
      </w:pPr>
      <w:r>
        <w:rPr>
          <w:noProof/>
        </w:rPr>
        <w:t>Instrument deluje z zagotavljanjem nepovratnih sredstev, subvencioniranih posojil in subvencioniranih obresti neposredno zasebnemu sektorju. Na podlagi naložb iz mehanizma za okrevanje in odpornost je cilj mehanizma aktivirati financiranje v</w:t>
      </w:r>
      <w:r>
        <w:rPr>
          <w:noProof/>
          <w:color w:val="006100"/>
          <w:sz w:val="20"/>
        </w:rPr>
        <w:t xml:space="preserve"> </w:t>
      </w:r>
      <w:r>
        <w:rPr>
          <w:noProof/>
        </w:rPr>
        <w:t>višini</w:t>
      </w:r>
      <w:r>
        <w:rPr>
          <w:noProof/>
          <w:color w:val="006100"/>
          <w:sz w:val="20"/>
        </w:rPr>
        <w:t xml:space="preserve"> </w:t>
      </w:r>
      <w:r>
        <w:rPr>
          <w:noProof/>
        </w:rPr>
        <w:t xml:space="preserve">vsaj 700 000 000 EUR. </w:t>
      </w:r>
    </w:p>
    <w:p w14:paraId="4452B28F" w14:textId="0931AFA6" w:rsidR="00154E32" w:rsidRDefault="00A43E04">
      <w:pPr>
        <w:spacing w:after="120"/>
        <w:jc w:val="both"/>
        <w:rPr>
          <w:noProof/>
        </w:rPr>
      </w:pPr>
      <w:r>
        <w:rPr>
          <w:noProof/>
        </w:rPr>
        <w:t xml:space="preserve">Instrument upravlja Invitalia S.p.A. kot izvajalski partner. </w:t>
      </w:r>
    </w:p>
    <w:p w14:paraId="3398E700" w14:textId="244496EE" w:rsidR="00154E32" w:rsidRDefault="00A43E04">
      <w:pPr>
        <w:spacing w:after="120"/>
        <w:jc w:val="both"/>
        <w:rPr>
          <w:noProof/>
        </w:rPr>
      </w:pPr>
      <w:r>
        <w:rPr>
          <w:noProof/>
        </w:rPr>
        <w:t>Za izvedbo naložbe v sklad Italija in Invitalia podpišeta izvedbeni sporazum, ki vključuje naslednjo vsebino:</w:t>
      </w:r>
    </w:p>
    <w:p w14:paraId="0BE2B6AE" w14:textId="51CE9B96" w:rsidR="00154E32" w:rsidRDefault="00A43E04">
      <w:pPr>
        <w:pStyle w:val="ListParagraph"/>
        <w:numPr>
          <w:ilvl w:val="0"/>
          <w:numId w:val="132"/>
        </w:numPr>
        <w:spacing w:before="0"/>
        <w:contextualSpacing w:val="0"/>
        <w:rPr>
          <w:noProof/>
        </w:rPr>
      </w:pPr>
      <w:r>
        <w:rPr>
          <w:noProof/>
        </w:rPr>
        <w:t>Opis postopka odločanja instrumenta: Končne odločitve o naložbah in dodelitvi Sklada za spodbujanje naložb sprejme odbor za naložbe ali drug ustrezen enakovreden upravljavski organ in jih z večino glasov potrdijo člani, ki so neodvisni od vlade.</w:t>
      </w:r>
    </w:p>
    <w:p w14:paraId="2E521C53" w14:textId="36883190" w:rsidR="00154E32" w:rsidRDefault="00A43E04">
      <w:pPr>
        <w:pStyle w:val="ListParagraph"/>
        <w:numPr>
          <w:ilvl w:val="0"/>
          <w:numId w:val="132"/>
        </w:numPr>
        <w:spacing w:before="0"/>
        <w:contextualSpacing w:val="0"/>
        <w:rPr>
          <w:noProof/>
        </w:rPr>
      </w:pPr>
      <w:r>
        <w:rPr>
          <w:noProof/>
        </w:rPr>
        <w:t>Ključne zahteve povezane naložbene politike, ki vključujejo:</w:t>
      </w:r>
    </w:p>
    <w:p w14:paraId="3BA0A759" w14:textId="16A9E3C6" w:rsidR="00154E32" w:rsidRDefault="00A43E04">
      <w:pPr>
        <w:pStyle w:val="ListParagraph"/>
        <w:numPr>
          <w:ilvl w:val="0"/>
          <w:numId w:val="133"/>
        </w:numPr>
        <w:spacing w:before="0"/>
        <w:contextualSpacing w:val="0"/>
        <w:rPr>
          <w:noProof/>
        </w:rPr>
      </w:pPr>
      <w:r>
        <w:rPr>
          <w:noProof/>
        </w:rPr>
        <w:t xml:space="preserve">Opis finančnih produktov in upravičenih končnih upravičencev. </w:t>
      </w:r>
    </w:p>
    <w:p w14:paraId="1D40D57B" w14:textId="3CEBE898" w:rsidR="00154E32" w:rsidRDefault="00A43E04">
      <w:pPr>
        <w:pStyle w:val="ListParagraph"/>
        <w:numPr>
          <w:ilvl w:val="0"/>
          <w:numId w:val="133"/>
        </w:numPr>
        <w:spacing w:before="0"/>
        <w:contextualSpacing w:val="0"/>
        <w:rPr>
          <w:noProof/>
        </w:rPr>
      </w:pPr>
      <w:r>
        <w:rPr>
          <w:noProof/>
        </w:rPr>
        <w:t xml:space="preserve">Zahteva, da so vse podprte naložbe ekonomsko upravičene. </w:t>
      </w:r>
    </w:p>
    <w:p w14:paraId="5B4A827C" w14:textId="68846158" w:rsidR="00154E32" w:rsidRDefault="00A43E04">
      <w:pPr>
        <w:pStyle w:val="ListParagraph"/>
        <w:numPr>
          <w:ilvl w:val="0"/>
          <w:numId w:val="133"/>
        </w:numPr>
        <w:spacing w:before="0"/>
        <w:contextualSpacing w:val="0"/>
        <w:rPr>
          <w:noProof/>
        </w:rPr>
      </w:pPr>
      <w:r>
        <w:rPr>
          <w:noProof/>
        </w:rPr>
        <w:t>Zahtevo po skladnosti z načelom, da se ne škoduje bistveno, kot je določeno v tehničnih smernicah za načelo, da se ne škoduje bistveno (2021/C58/01). Naložbena politika zlasti izključuje naslednji seznam dejavnosti in sredstev iz upravičenosti: (I) dejavnosti in sredstva, povezana s fosilnimi gorivi, vključno z nadaljnjo uporabo,</w:t>
      </w:r>
      <w:r>
        <w:rPr>
          <w:rStyle w:val="FootnoteReference"/>
          <w:noProof/>
        </w:rPr>
        <w:footnoteReference w:id="15"/>
      </w:r>
      <w:r>
        <w:rPr>
          <w:noProof/>
        </w:rPr>
        <w:t>(ii) dejavnosti in sredstva v okviru sistema EU za trgovanje z emisijami (ETS), s katerimi se dosegajo predvidene emisije toplogrednih plinov, ki niso nižje od ustreznih referenčnih vrednosti,</w:t>
      </w:r>
      <w:r>
        <w:rPr>
          <w:rStyle w:val="FootnoteReference"/>
          <w:noProof/>
        </w:rPr>
        <w:footnoteReference w:id="16"/>
      </w:r>
      <w:r>
        <w:rPr>
          <w:noProof/>
        </w:rPr>
        <w:t>(iii) dejavnosti in sredstva, povezana z odlagališči odpadkov, sežigalnicami</w:t>
      </w:r>
      <w:r>
        <w:rPr>
          <w:rStyle w:val="FootnoteReference"/>
          <w:noProof/>
        </w:rPr>
        <w:footnoteReference w:id="17"/>
      </w:r>
      <w:r>
        <w:rPr>
          <w:noProof/>
        </w:rPr>
        <w:t xml:space="preserve"> in napravami za mehansko-biološko obdelavo</w:t>
      </w:r>
      <w:r>
        <w:rPr>
          <w:rStyle w:val="FootnoteReference"/>
          <w:noProof/>
        </w:rPr>
        <w:footnoteReference w:id="18"/>
      </w:r>
      <w:r>
        <w:rPr>
          <w:noProof/>
        </w:rPr>
        <w:t xml:space="preserve">. </w:t>
      </w:r>
    </w:p>
    <w:p w14:paraId="547CAEBB" w14:textId="4A7CBADA" w:rsidR="00154E32" w:rsidRDefault="00A43E04">
      <w:pPr>
        <w:pStyle w:val="ListParagraph"/>
        <w:numPr>
          <w:ilvl w:val="0"/>
          <w:numId w:val="133"/>
        </w:numPr>
        <w:spacing w:before="0"/>
        <w:contextualSpacing w:val="0"/>
        <w:rPr>
          <w:noProof/>
        </w:rPr>
      </w:pPr>
      <w:r>
        <w:rPr>
          <w:noProof/>
        </w:rPr>
        <w:t>Zahteva, da končni upravičenci Instrumenta ne prejmejo podpore iz drugih instrumentov Unije za kritje istih stroškov.</w:t>
      </w:r>
    </w:p>
    <w:p w14:paraId="4E48140C" w14:textId="03FA4156" w:rsidR="00154E32" w:rsidRDefault="00A43E04">
      <w:pPr>
        <w:pStyle w:val="ListParagraph"/>
        <w:numPr>
          <w:ilvl w:val="0"/>
          <w:numId w:val="132"/>
        </w:numPr>
        <w:spacing w:before="0"/>
        <w:contextualSpacing w:val="0"/>
        <w:rPr>
          <w:noProof/>
        </w:rPr>
      </w:pPr>
      <w:r>
        <w:rPr>
          <w:noProof/>
        </w:rPr>
        <w:t>Znesek, zajet v izvedbenem sporazumu, strukturo pristojbin za izvajalskega partnerja in zahtevo po ponovnem vlaganju vrnjenih sredstev v skladu z naložbeno politiko Sklada za spodbujanje naložb.</w:t>
      </w:r>
    </w:p>
    <w:p w14:paraId="3E360194" w14:textId="72CCC69A" w:rsidR="00154E32" w:rsidRDefault="00A43E04">
      <w:pPr>
        <w:pStyle w:val="ListParagraph"/>
        <w:numPr>
          <w:ilvl w:val="0"/>
          <w:numId w:val="132"/>
        </w:numPr>
        <w:spacing w:before="0"/>
        <w:contextualSpacing w:val="0"/>
        <w:rPr>
          <w:noProof/>
        </w:rPr>
      </w:pPr>
      <w:r>
        <w:rPr>
          <w:noProof/>
        </w:rPr>
        <w:t>Zahteve glede spremljanja, revizije in nadzora, vključno z:</w:t>
      </w:r>
    </w:p>
    <w:p w14:paraId="38E74FDA" w14:textId="1253728E" w:rsidR="00154E32" w:rsidRDefault="00A43E04">
      <w:pPr>
        <w:pStyle w:val="ListParagraph"/>
        <w:numPr>
          <w:ilvl w:val="1"/>
          <w:numId w:val="134"/>
        </w:numPr>
        <w:spacing w:before="0"/>
        <w:contextualSpacing w:val="0"/>
        <w:rPr>
          <w:noProof/>
        </w:rPr>
      </w:pPr>
      <w:r>
        <w:rPr>
          <w:noProof/>
        </w:rPr>
        <w:t>Opis sistema spremljanja izvajalskega partnerja za poročanje o mobiliziranih naložbah.</w:t>
      </w:r>
    </w:p>
    <w:p w14:paraId="1CEF23CE" w14:textId="0E576CB2" w:rsidR="00154E32" w:rsidRDefault="00A43E04">
      <w:pPr>
        <w:pStyle w:val="ListParagraph"/>
        <w:numPr>
          <w:ilvl w:val="1"/>
          <w:numId w:val="134"/>
        </w:numPr>
        <w:spacing w:before="0"/>
        <w:contextualSpacing w:val="0"/>
        <w:rPr>
          <w:noProof/>
        </w:rPr>
      </w:pPr>
      <w:r>
        <w:rPr>
          <w:noProof/>
        </w:rPr>
        <w:t xml:space="preserve">Opis postopkov izvajalskega partnerja, ki zagotavljajo preprečevanje, odkrivanje in odpravljanje goljufij, korupcije in nasprotij interesov. </w:t>
      </w:r>
    </w:p>
    <w:p w14:paraId="1D3D65DD" w14:textId="522388DD" w:rsidR="00154E32" w:rsidRDefault="00A43E04">
      <w:pPr>
        <w:pStyle w:val="ListParagraph"/>
        <w:numPr>
          <w:ilvl w:val="1"/>
          <w:numId w:val="134"/>
        </w:numPr>
        <w:spacing w:before="0"/>
        <w:contextualSpacing w:val="0"/>
        <w:rPr>
          <w:noProof/>
        </w:rPr>
      </w:pPr>
      <w:r>
        <w:rPr>
          <w:noProof/>
        </w:rPr>
        <w:t>Obveznost preverjanja upravičenosti vsake operacije v skladu z zahtevami iz izvedbenega sporazuma, preden se zaveže k financiranju operacije.</w:t>
      </w:r>
    </w:p>
    <w:p w14:paraId="57798276" w14:textId="1D0A7B27" w:rsidR="00154E32" w:rsidRDefault="00A43E04">
      <w:pPr>
        <w:pStyle w:val="ListParagraph"/>
        <w:numPr>
          <w:ilvl w:val="1"/>
          <w:numId w:val="134"/>
        </w:numPr>
        <w:spacing w:before="0"/>
        <w:contextualSpacing w:val="0"/>
        <w:rPr>
          <w:noProof/>
        </w:rPr>
      </w:pPr>
      <w:r>
        <w:rPr>
          <w:noProof/>
        </w:rPr>
        <w:t>Obveznost izvajanja naknadnih revizij na podlagi tveganja v skladu z revizijskim načrtom POV Invitalia. S temi revizijami se preveri:</w:t>
      </w:r>
    </w:p>
    <w:p w14:paraId="6B8EC507" w14:textId="0EB59056" w:rsidR="00154E32" w:rsidRDefault="00A43E04">
      <w:pPr>
        <w:pStyle w:val="ListParagraph"/>
        <w:numPr>
          <w:ilvl w:val="2"/>
          <w:numId w:val="134"/>
        </w:numPr>
        <w:spacing w:before="0"/>
        <w:contextualSpacing w:val="0"/>
        <w:rPr>
          <w:noProof/>
        </w:rPr>
      </w:pPr>
      <w:r>
        <w:rPr>
          <w:noProof/>
        </w:rPr>
        <w:t>da so nadzorni sistemi učinkoviti, vključno z odkrivanjem goljufij, korupcije in navzkrižja interesov;</w:t>
      </w:r>
    </w:p>
    <w:p w14:paraId="5F29876A" w14:textId="14E71202" w:rsidR="00154E32" w:rsidRDefault="00A43E04">
      <w:pPr>
        <w:pStyle w:val="ListParagraph"/>
        <w:numPr>
          <w:ilvl w:val="2"/>
          <w:numId w:val="134"/>
        </w:numPr>
        <w:spacing w:before="0"/>
        <w:contextualSpacing w:val="0"/>
        <w:rPr>
          <w:noProof/>
        </w:rPr>
      </w:pPr>
      <w:r>
        <w:rPr>
          <w:noProof/>
        </w:rPr>
        <w:t xml:space="preserve">skladnost z načelom, da se ne škoduje bistveno, pravili o državni pomoči in zahtevami glede podnebnih ciljev; in </w:t>
      </w:r>
    </w:p>
    <w:p w14:paraId="573CE0AC" w14:textId="0EB64393" w:rsidR="00154E32" w:rsidRDefault="00A43E04">
      <w:pPr>
        <w:pStyle w:val="ListParagraph"/>
        <w:numPr>
          <w:ilvl w:val="2"/>
          <w:numId w:val="134"/>
        </w:numPr>
        <w:spacing w:before="0"/>
        <w:contextualSpacing w:val="0"/>
        <w:rPr>
          <w:noProof/>
        </w:rPr>
      </w:pPr>
      <w:r>
        <w:rPr>
          <w:noProof/>
        </w:rPr>
        <w:t xml:space="preserve">da se spoštuje zahteva, da končni upravičenci Instrumenta niso prejeli podpore iz drugih instrumentov Unije za kritje istih stroškov. Z revizijami se preveri tudi zakonitost transakcij in spoštovanje pogojev iz veljavnega izvedbenega sporazuma. </w:t>
      </w:r>
    </w:p>
    <w:p w14:paraId="108CCF90" w14:textId="13AB860D" w:rsidR="00154E32" w:rsidRDefault="00A43E04">
      <w:pPr>
        <w:spacing w:before="120" w:after="120"/>
        <w:jc w:val="both"/>
        <w:rPr>
          <w:noProof/>
        </w:rPr>
        <w:sectPr w:rsidR="00154E32">
          <w:headerReference w:type="even" r:id="rId56"/>
          <w:headerReference w:type="default" r:id="rId57"/>
          <w:footerReference w:type="even" r:id="rId58"/>
          <w:footerReference w:type="default" r:id="rId59"/>
          <w:headerReference w:type="first" r:id="rId60"/>
          <w:footerReference w:type="first" r:id="rId61"/>
          <w:pgSz w:w="11907" w:h="16838" w:code="12"/>
          <w:pgMar w:top="1134" w:right="1134" w:bottom="1134" w:left="1134" w:header="567" w:footer="567" w:gutter="0"/>
          <w:cols w:space="720"/>
          <w:docGrid w:linePitch="360"/>
        </w:sectPr>
      </w:pPr>
      <w:r>
        <w:rPr>
          <w:noProof/>
        </w:rPr>
        <w:t>Ukrep se izvede do 31. avgusta 2026.</w:t>
      </w:r>
    </w:p>
    <w:p w14:paraId="05036F41" w14:textId="77777777" w:rsidR="00154E32" w:rsidRDefault="00A43E04">
      <w:pPr>
        <w:pStyle w:val="Heading3"/>
        <w:numPr>
          <w:ilvl w:val="2"/>
          <w:numId w:val="0"/>
        </w:numPr>
        <w:ind w:left="850" w:hanging="850"/>
        <w:rPr>
          <w:b/>
          <w:i w:val="0"/>
          <w:noProof/>
          <w:u w:val="single"/>
        </w:rPr>
      </w:pPr>
      <w:r>
        <w:rPr>
          <w:b/>
          <w:i w:val="0"/>
          <w:noProof/>
          <w:u w:val="single"/>
        </w:rPr>
        <w:t xml:space="preserve">B.4. </w:t>
      </w:r>
      <w:r>
        <w:rPr>
          <w:noProof/>
        </w:rPr>
        <w:tab/>
      </w:r>
      <w:r>
        <w:rPr>
          <w:b/>
          <w:i w:val="0"/>
          <w:noProof/>
          <w:u w:val="single"/>
        </w:rPr>
        <w:t xml:space="preserve">Mejniki, cilji, kazalniki in časovni razpored za spremljanje in izvajanje posojila </w:t>
      </w:r>
    </w:p>
    <w:tbl>
      <w:tblPr>
        <w:tblW w:w="1515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4"/>
        <w:gridCol w:w="1578"/>
        <w:gridCol w:w="1078"/>
        <w:gridCol w:w="1329"/>
        <w:gridCol w:w="1275"/>
        <w:gridCol w:w="1134"/>
        <w:gridCol w:w="993"/>
        <w:gridCol w:w="992"/>
        <w:gridCol w:w="850"/>
        <w:gridCol w:w="709"/>
        <w:gridCol w:w="3794"/>
      </w:tblGrid>
      <w:tr w:rsidR="00154E32" w14:paraId="0D7AC944" w14:textId="77777777">
        <w:trPr>
          <w:trHeight w:val="315"/>
          <w:tblHeader/>
        </w:trPr>
        <w:tc>
          <w:tcPr>
            <w:tcW w:w="1424" w:type="dxa"/>
            <w:vMerge w:val="restart"/>
            <w:shd w:val="clear" w:color="auto" w:fill="C6D9F1" w:themeFill="text2" w:themeFillTint="33"/>
            <w:vAlign w:val="center"/>
          </w:tcPr>
          <w:p w14:paraId="0F153C0D" w14:textId="278C06A5" w:rsidR="00154E32" w:rsidRDefault="00A43E04">
            <w:pPr>
              <w:pStyle w:val="P68B1DB1-Normal9"/>
              <w:spacing w:before="120" w:after="120"/>
              <w:jc w:val="center"/>
              <w:rPr>
                <w:noProof/>
                <w:color w:val="006100"/>
              </w:rPr>
            </w:pPr>
            <w:r>
              <w:rPr>
                <w:noProof/>
              </w:rPr>
              <w:t>Zaporedna številka</w:t>
            </w:r>
          </w:p>
        </w:tc>
        <w:tc>
          <w:tcPr>
            <w:tcW w:w="1578" w:type="dxa"/>
            <w:vMerge w:val="restart"/>
            <w:shd w:val="clear" w:color="auto" w:fill="C6D9F1" w:themeFill="text2" w:themeFillTint="33"/>
            <w:vAlign w:val="center"/>
          </w:tcPr>
          <w:p w14:paraId="3CAD6A55" w14:textId="22747388" w:rsidR="00154E32" w:rsidRDefault="00A43E04">
            <w:pPr>
              <w:pStyle w:val="P68B1DB1-Normal9"/>
              <w:spacing w:before="120" w:after="120"/>
              <w:jc w:val="center"/>
              <w:rPr>
                <w:noProof/>
                <w:color w:val="006100"/>
              </w:rPr>
            </w:pPr>
            <w:r>
              <w:rPr>
                <w:noProof/>
              </w:rPr>
              <w:t>Ukrep</w:t>
            </w:r>
          </w:p>
        </w:tc>
        <w:tc>
          <w:tcPr>
            <w:tcW w:w="1078" w:type="dxa"/>
            <w:vMerge w:val="restart"/>
            <w:shd w:val="clear" w:color="auto" w:fill="C6D9F1" w:themeFill="text2" w:themeFillTint="33"/>
            <w:vAlign w:val="center"/>
          </w:tcPr>
          <w:p w14:paraId="63D50DC7" w14:textId="5BFC2D1D" w:rsidR="00154E32" w:rsidRDefault="00A43E04">
            <w:pPr>
              <w:pStyle w:val="P68B1DB1-Normal9"/>
              <w:spacing w:before="120" w:after="120"/>
              <w:jc w:val="center"/>
              <w:rPr>
                <w:noProof/>
                <w:color w:val="006100"/>
              </w:rPr>
            </w:pPr>
            <w:r>
              <w:rPr>
                <w:noProof/>
              </w:rPr>
              <w:t>Mejnik/cilj</w:t>
            </w:r>
          </w:p>
        </w:tc>
        <w:tc>
          <w:tcPr>
            <w:tcW w:w="1329" w:type="dxa"/>
            <w:vMerge w:val="restart"/>
            <w:shd w:val="clear" w:color="auto" w:fill="C6D9F1" w:themeFill="text2" w:themeFillTint="33"/>
            <w:vAlign w:val="center"/>
          </w:tcPr>
          <w:p w14:paraId="7F7E6F65" w14:textId="483D39E5" w:rsidR="00154E32" w:rsidRDefault="00A43E04">
            <w:pPr>
              <w:pStyle w:val="P68B1DB1-Normal9"/>
              <w:spacing w:before="120" w:after="120"/>
              <w:jc w:val="center"/>
              <w:rPr>
                <w:noProof/>
                <w:color w:val="006100"/>
              </w:rPr>
            </w:pPr>
            <w:r>
              <w:rPr>
                <w:noProof/>
              </w:rPr>
              <w:t>Ime</w:t>
            </w:r>
          </w:p>
        </w:tc>
        <w:tc>
          <w:tcPr>
            <w:tcW w:w="1275" w:type="dxa"/>
            <w:vMerge w:val="restart"/>
            <w:shd w:val="clear" w:color="auto" w:fill="C6D9F1" w:themeFill="text2" w:themeFillTint="33"/>
            <w:vAlign w:val="center"/>
          </w:tcPr>
          <w:p w14:paraId="3084694F" w14:textId="31CBB236" w:rsidR="00154E32" w:rsidRDefault="00A43E04">
            <w:pPr>
              <w:pStyle w:val="P68B1DB1-Normal10"/>
              <w:spacing w:before="120" w:after="120"/>
              <w:jc w:val="center"/>
              <w:rPr>
                <w:noProof/>
                <w:color w:val="006100"/>
                <w:sz w:val="20"/>
              </w:rPr>
            </w:pPr>
            <w:r>
              <w:rPr>
                <w:b/>
                <w:noProof/>
                <w:sz w:val="20"/>
              </w:rPr>
              <w:t>Kakovostni kazalniki</w:t>
            </w:r>
            <w:r>
              <w:rPr>
                <w:noProof/>
              </w:rPr>
              <w:br/>
            </w:r>
            <w:r>
              <w:rPr>
                <w:b/>
                <w:noProof/>
                <w:sz w:val="20"/>
              </w:rPr>
              <w:t>(za mejnike)</w:t>
            </w:r>
          </w:p>
        </w:tc>
        <w:tc>
          <w:tcPr>
            <w:tcW w:w="3119" w:type="dxa"/>
            <w:gridSpan w:val="3"/>
            <w:shd w:val="clear" w:color="auto" w:fill="C6D9F1" w:themeFill="text2" w:themeFillTint="33"/>
            <w:vAlign w:val="center"/>
          </w:tcPr>
          <w:p w14:paraId="70CF38E5" w14:textId="0CCC89E8" w:rsidR="00154E32" w:rsidRDefault="00A43E04">
            <w:pPr>
              <w:pStyle w:val="P68B1DB1-Normal10"/>
              <w:spacing w:before="120" w:after="120"/>
              <w:jc w:val="center"/>
              <w:rPr>
                <w:noProof/>
                <w:color w:val="006100"/>
                <w:sz w:val="20"/>
              </w:rPr>
            </w:pPr>
            <w:r>
              <w:rPr>
                <w:b/>
                <w:noProof/>
                <w:sz w:val="20"/>
              </w:rPr>
              <w:t>Kvantitativni kazalniki</w:t>
            </w:r>
            <w:r>
              <w:rPr>
                <w:noProof/>
              </w:rPr>
              <w:t xml:space="preserve"> </w:t>
            </w:r>
            <w:r>
              <w:rPr>
                <w:noProof/>
              </w:rPr>
              <w:br/>
            </w:r>
            <w:r>
              <w:rPr>
                <w:b/>
                <w:noProof/>
                <w:sz w:val="20"/>
              </w:rPr>
              <w:t>(za ciljne vrednosti)</w:t>
            </w:r>
          </w:p>
        </w:tc>
        <w:tc>
          <w:tcPr>
            <w:tcW w:w="1559" w:type="dxa"/>
            <w:gridSpan w:val="2"/>
            <w:shd w:val="clear" w:color="auto" w:fill="C6D9F1" w:themeFill="text2" w:themeFillTint="33"/>
            <w:vAlign w:val="center"/>
          </w:tcPr>
          <w:p w14:paraId="58BC3518" w14:textId="07BCA75F" w:rsidR="00154E32" w:rsidRDefault="00A43E04">
            <w:pPr>
              <w:pStyle w:val="P68B1DB1-Normal9"/>
              <w:spacing w:before="120" w:after="120"/>
              <w:jc w:val="center"/>
              <w:rPr>
                <w:noProof/>
                <w:color w:val="006100"/>
              </w:rPr>
            </w:pPr>
            <w:r>
              <w:rPr>
                <w:noProof/>
              </w:rPr>
              <w:t>Okvirni časovni razpored za dokončanje</w:t>
            </w:r>
          </w:p>
        </w:tc>
        <w:tc>
          <w:tcPr>
            <w:tcW w:w="3794" w:type="dxa"/>
            <w:vMerge w:val="restart"/>
            <w:shd w:val="clear" w:color="auto" w:fill="C6D9F1" w:themeFill="text2" w:themeFillTint="33"/>
            <w:vAlign w:val="center"/>
          </w:tcPr>
          <w:p w14:paraId="474DC491" w14:textId="6175D33B" w:rsidR="00154E32" w:rsidRDefault="00A43E04">
            <w:pPr>
              <w:pStyle w:val="P68B1DB1-Normal9"/>
              <w:spacing w:before="120" w:after="120"/>
              <w:jc w:val="center"/>
              <w:rPr>
                <w:noProof/>
              </w:rPr>
            </w:pPr>
            <w:r>
              <w:rPr>
                <w:noProof/>
              </w:rPr>
              <w:t>Opis vsakega mejnika in cilja</w:t>
            </w:r>
          </w:p>
        </w:tc>
      </w:tr>
      <w:tr w:rsidR="00154E32" w14:paraId="2A5A5517" w14:textId="77777777">
        <w:trPr>
          <w:trHeight w:val="315"/>
          <w:tblHeader/>
        </w:trPr>
        <w:tc>
          <w:tcPr>
            <w:tcW w:w="1424" w:type="dxa"/>
            <w:vMerge/>
            <w:vAlign w:val="center"/>
          </w:tcPr>
          <w:p w14:paraId="14A84DEE" w14:textId="77777777" w:rsidR="00154E32" w:rsidRDefault="00154E32">
            <w:pPr>
              <w:spacing w:before="120" w:after="120"/>
              <w:jc w:val="center"/>
              <w:rPr>
                <w:rFonts w:ascii="Arial Narrow" w:hAnsi="Arial Narrow"/>
                <w:noProof/>
                <w:color w:val="006100"/>
                <w:sz w:val="20"/>
              </w:rPr>
            </w:pPr>
          </w:p>
        </w:tc>
        <w:tc>
          <w:tcPr>
            <w:tcW w:w="1578" w:type="dxa"/>
            <w:vMerge/>
            <w:vAlign w:val="center"/>
          </w:tcPr>
          <w:p w14:paraId="17C254B1" w14:textId="77777777" w:rsidR="00154E32" w:rsidRDefault="00154E32">
            <w:pPr>
              <w:spacing w:before="120" w:after="120"/>
              <w:jc w:val="center"/>
              <w:rPr>
                <w:rFonts w:ascii="Arial Narrow" w:hAnsi="Arial Narrow"/>
                <w:noProof/>
                <w:color w:val="006100"/>
                <w:sz w:val="20"/>
              </w:rPr>
            </w:pPr>
          </w:p>
        </w:tc>
        <w:tc>
          <w:tcPr>
            <w:tcW w:w="1078" w:type="dxa"/>
            <w:vMerge/>
            <w:vAlign w:val="center"/>
          </w:tcPr>
          <w:p w14:paraId="1537CABE" w14:textId="77777777" w:rsidR="00154E32" w:rsidRDefault="00154E32">
            <w:pPr>
              <w:spacing w:before="120" w:after="120"/>
              <w:jc w:val="center"/>
              <w:rPr>
                <w:rFonts w:ascii="Arial Narrow" w:hAnsi="Arial Narrow"/>
                <w:noProof/>
                <w:color w:val="006100"/>
                <w:sz w:val="20"/>
              </w:rPr>
            </w:pPr>
          </w:p>
        </w:tc>
        <w:tc>
          <w:tcPr>
            <w:tcW w:w="1329" w:type="dxa"/>
            <w:vMerge/>
            <w:vAlign w:val="center"/>
          </w:tcPr>
          <w:p w14:paraId="18699698" w14:textId="77777777" w:rsidR="00154E32" w:rsidRDefault="00154E32">
            <w:pPr>
              <w:spacing w:before="120" w:after="120"/>
              <w:jc w:val="center"/>
              <w:rPr>
                <w:rFonts w:ascii="Arial Narrow" w:hAnsi="Arial Narrow"/>
                <w:noProof/>
                <w:color w:val="006100"/>
                <w:sz w:val="20"/>
              </w:rPr>
            </w:pPr>
          </w:p>
        </w:tc>
        <w:tc>
          <w:tcPr>
            <w:tcW w:w="1275" w:type="dxa"/>
            <w:vMerge/>
            <w:vAlign w:val="center"/>
          </w:tcPr>
          <w:p w14:paraId="25C30835" w14:textId="77777777" w:rsidR="00154E32" w:rsidRDefault="00154E32">
            <w:pPr>
              <w:spacing w:before="120" w:after="120"/>
              <w:jc w:val="center"/>
              <w:rPr>
                <w:rFonts w:ascii="Arial Narrow" w:hAnsi="Arial Narrow"/>
                <w:noProof/>
                <w:color w:val="006100"/>
                <w:sz w:val="20"/>
              </w:rPr>
            </w:pPr>
          </w:p>
        </w:tc>
        <w:tc>
          <w:tcPr>
            <w:tcW w:w="1134" w:type="dxa"/>
            <w:shd w:val="clear" w:color="auto" w:fill="C6D9F1" w:themeFill="text2" w:themeFillTint="33"/>
            <w:vAlign w:val="center"/>
          </w:tcPr>
          <w:p w14:paraId="461E9B91" w14:textId="1F95C8B0" w:rsidR="00154E32" w:rsidRDefault="00A43E04">
            <w:pPr>
              <w:pStyle w:val="P68B1DB1-Normal9"/>
              <w:spacing w:before="120" w:after="120"/>
              <w:jc w:val="center"/>
              <w:rPr>
                <w:noProof/>
                <w:color w:val="006100"/>
              </w:rPr>
            </w:pPr>
            <w:r>
              <w:rPr>
                <w:noProof/>
              </w:rPr>
              <w:t>Merska enota</w:t>
            </w:r>
          </w:p>
        </w:tc>
        <w:tc>
          <w:tcPr>
            <w:tcW w:w="993" w:type="dxa"/>
            <w:shd w:val="clear" w:color="auto" w:fill="C6D9F1" w:themeFill="text2" w:themeFillTint="33"/>
            <w:vAlign w:val="center"/>
          </w:tcPr>
          <w:p w14:paraId="1F42DA00" w14:textId="5040C514" w:rsidR="00154E32" w:rsidRDefault="00A43E04">
            <w:pPr>
              <w:pStyle w:val="P68B1DB1-Normal9"/>
              <w:spacing w:before="120" w:after="120"/>
              <w:jc w:val="center"/>
              <w:rPr>
                <w:noProof/>
                <w:color w:val="006100"/>
              </w:rPr>
            </w:pPr>
            <w:r>
              <w:rPr>
                <w:noProof/>
              </w:rPr>
              <w:t>Izhodišče</w:t>
            </w:r>
          </w:p>
        </w:tc>
        <w:tc>
          <w:tcPr>
            <w:tcW w:w="992" w:type="dxa"/>
            <w:shd w:val="clear" w:color="auto" w:fill="C6D9F1" w:themeFill="text2" w:themeFillTint="33"/>
            <w:vAlign w:val="center"/>
          </w:tcPr>
          <w:p w14:paraId="62B2010C" w14:textId="5FD5727F" w:rsidR="00154E32" w:rsidRDefault="00A43E04">
            <w:pPr>
              <w:pStyle w:val="P68B1DB1-Normal9"/>
              <w:spacing w:before="120" w:after="120"/>
              <w:jc w:val="center"/>
              <w:rPr>
                <w:noProof/>
                <w:color w:val="006100"/>
              </w:rPr>
            </w:pPr>
            <w:r>
              <w:rPr>
                <w:noProof/>
              </w:rPr>
              <w:t>Cilj</w:t>
            </w:r>
          </w:p>
        </w:tc>
        <w:tc>
          <w:tcPr>
            <w:tcW w:w="850" w:type="dxa"/>
            <w:shd w:val="clear" w:color="auto" w:fill="C6D9F1" w:themeFill="text2" w:themeFillTint="33"/>
            <w:vAlign w:val="center"/>
          </w:tcPr>
          <w:p w14:paraId="61DF1B66" w14:textId="678203D6" w:rsidR="00154E32" w:rsidRDefault="00A43E04">
            <w:pPr>
              <w:pStyle w:val="P68B1DB1-Normal9"/>
              <w:spacing w:before="120" w:after="120"/>
              <w:jc w:val="center"/>
              <w:rPr>
                <w:noProof/>
                <w:color w:val="006100"/>
              </w:rPr>
            </w:pPr>
            <w:r>
              <w:rPr>
                <w:noProof/>
              </w:rPr>
              <w:t>Četrtletje</w:t>
            </w:r>
          </w:p>
        </w:tc>
        <w:tc>
          <w:tcPr>
            <w:tcW w:w="709" w:type="dxa"/>
            <w:shd w:val="clear" w:color="auto" w:fill="C6D9F1" w:themeFill="text2" w:themeFillTint="33"/>
            <w:vAlign w:val="center"/>
          </w:tcPr>
          <w:p w14:paraId="472B036D" w14:textId="01DA0E93" w:rsidR="00154E32" w:rsidRDefault="00A43E04">
            <w:pPr>
              <w:pStyle w:val="P68B1DB1-Normal9"/>
              <w:spacing w:before="120" w:after="120"/>
              <w:jc w:val="center"/>
              <w:rPr>
                <w:noProof/>
                <w:color w:val="006100"/>
              </w:rPr>
            </w:pPr>
            <w:r>
              <w:rPr>
                <w:noProof/>
              </w:rPr>
              <w:t>Leto</w:t>
            </w:r>
          </w:p>
        </w:tc>
        <w:tc>
          <w:tcPr>
            <w:tcW w:w="3794" w:type="dxa"/>
            <w:vMerge/>
            <w:vAlign w:val="center"/>
          </w:tcPr>
          <w:p w14:paraId="582F519A" w14:textId="77777777" w:rsidR="00154E32" w:rsidRDefault="00154E32">
            <w:pPr>
              <w:spacing w:before="120" w:after="120"/>
              <w:rPr>
                <w:rFonts w:ascii="Arial Narrow" w:hAnsi="Arial Narrow"/>
                <w:noProof/>
                <w:color w:val="006100"/>
                <w:sz w:val="20"/>
              </w:rPr>
            </w:pPr>
          </w:p>
        </w:tc>
      </w:tr>
      <w:tr w:rsidR="00154E32" w14:paraId="350A04AB" w14:textId="77777777">
        <w:trPr>
          <w:trHeight w:val="315"/>
        </w:trPr>
        <w:tc>
          <w:tcPr>
            <w:tcW w:w="1424" w:type="dxa"/>
            <w:shd w:val="clear" w:color="auto" w:fill="C6EFCE"/>
            <w:vAlign w:val="center"/>
          </w:tcPr>
          <w:p w14:paraId="59A57DA3" w14:textId="77777777" w:rsidR="00154E32" w:rsidRDefault="00A43E04">
            <w:pPr>
              <w:pStyle w:val="P68B1DB1-Normal11"/>
              <w:spacing w:before="120" w:after="120"/>
              <w:jc w:val="center"/>
              <w:rPr>
                <w:noProof/>
              </w:rPr>
            </w:pPr>
            <w:r>
              <w:rPr>
                <w:noProof/>
              </w:rPr>
              <w:t>M1C2–15</w:t>
            </w:r>
          </w:p>
        </w:tc>
        <w:tc>
          <w:tcPr>
            <w:tcW w:w="1578" w:type="dxa"/>
            <w:shd w:val="clear" w:color="auto" w:fill="C6EFCE"/>
            <w:vAlign w:val="center"/>
          </w:tcPr>
          <w:p w14:paraId="3CD1AC28" w14:textId="77777777" w:rsidR="00154E32" w:rsidRDefault="00A43E04">
            <w:pPr>
              <w:pStyle w:val="P68B1DB1-Normal11"/>
              <w:spacing w:before="120" w:after="120"/>
              <w:jc w:val="center"/>
              <w:rPr>
                <w:noProof/>
              </w:rPr>
            </w:pPr>
            <w:r>
              <w:rPr>
                <w:noProof/>
              </w:rPr>
              <w:t>Naložba 2: Inovacije in tehnologija mikroelektronike</w:t>
            </w:r>
          </w:p>
        </w:tc>
        <w:tc>
          <w:tcPr>
            <w:tcW w:w="1078" w:type="dxa"/>
            <w:shd w:val="clear" w:color="auto" w:fill="C6EFCE"/>
            <w:vAlign w:val="center"/>
          </w:tcPr>
          <w:p w14:paraId="52C6617B" w14:textId="77777777" w:rsidR="00154E32" w:rsidRDefault="00A43E04">
            <w:pPr>
              <w:pStyle w:val="P68B1DB1-Normal11"/>
              <w:spacing w:before="120" w:after="120"/>
              <w:jc w:val="center"/>
              <w:rPr>
                <w:noProof/>
              </w:rPr>
            </w:pPr>
            <w:r>
              <w:rPr>
                <w:noProof/>
              </w:rPr>
              <w:t>Tarča</w:t>
            </w:r>
          </w:p>
        </w:tc>
        <w:tc>
          <w:tcPr>
            <w:tcW w:w="1329" w:type="dxa"/>
            <w:shd w:val="clear" w:color="auto" w:fill="C6EFCE"/>
            <w:vAlign w:val="center"/>
          </w:tcPr>
          <w:p w14:paraId="1F969B8E" w14:textId="77777777" w:rsidR="00154E32" w:rsidRDefault="00A43E04">
            <w:pPr>
              <w:pStyle w:val="P68B1DB1-Normal11"/>
              <w:spacing w:before="120" w:after="120"/>
              <w:jc w:val="center"/>
              <w:rPr>
                <w:noProof/>
              </w:rPr>
            </w:pPr>
            <w:r>
              <w:rPr>
                <w:noProof/>
              </w:rPr>
              <w:t>Proizvodna zmogljivost substratov iz silicijevega karbida</w:t>
            </w:r>
          </w:p>
        </w:tc>
        <w:tc>
          <w:tcPr>
            <w:tcW w:w="1275" w:type="dxa"/>
            <w:shd w:val="clear" w:color="auto" w:fill="C6EFCE"/>
            <w:vAlign w:val="center"/>
          </w:tcPr>
          <w:p w14:paraId="6FDA5154" w14:textId="77777777" w:rsidR="00154E32" w:rsidRDefault="00A43E04">
            <w:pPr>
              <w:pStyle w:val="P68B1DB1-Normal11"/>
              <w:spacing w:before="120" w:after="120"/>
              <w:jc w:val="center"/>
              <w:rPr>
                <w:noProof/>
              </w:rPr>
            </w:pPr>
            <w:r>
              <w:rPr>
                <w:noProof/>
              </w:rPr>
              <w:t>JIH NI</w:t>
            </w:r>
          </w:p>
        </w:tc>
        <w:tc>
          <w:tcPr>
            <w:tcW w:w="1134" w:type="dxa"/>
            <w:shd w:val="clear" w:color="auto" w:fill="C6EFCE"/>
            <w:vAlign w:val="center"/>
          </w:tcPr>
          <w:p w14:paraId="256EECF1" w14:textId="734D230B" w:rsidR="00154E32" w:rsidRDefault="00A43E04">
            <w:pPr>
              <w:pStyle w:val="P68B1DB1-Normal11"/>
              <w:spacing w:before="120" w:after="120"/>
              <w:jc w:val="center"/>
              <w:rPr>
                <w:noProof/>
              </w:rPr>
            </w:pPr>
            <w:r>
              <w:rPr>
                <w:noProof/>
              </w:rPr>
              <w:t>Število</w:t>
            </w:r>
          </w:p>
        </w:tc>
        <w:tc>
          <w:tcPr>
            <w:tcW w:w="993" w:type="dxa"/>
            <w:shd w:val="clear" w:color="auto" w:fill="C6EFCE"/>
            <w:vAlign w:val="center"/>
          </w:tcPr>
          <w:p w14:paraId="2B84A2E8" w14:textId="77777777" w:rsidR="00154E32" w:rsidRDefault="00A43E04">
            <w:pPr>
              <w:pStyle w:val="P68B1DB1-Normal11"/>
              <w:spacing w:before="120" w:after="120"/>
              <w:jc w:val="center"/>
              <w:rPr>
                <w:noProof/>
              </w:rPr>
            </w:pPr>
            <w:r>
              <w:rPr>
                <w:noProof/>
              </w:rPr>
              <w:t>0</w:t>
            </w:r>
          </w:p>
        </w:tc>
        <w:tc>
          <w:tcPr>
            <w:tcW w:w="992" w:type="dxa"/>
            <w:shd w:val="clear" w:color="auto" w:fill="C6EFCE"/>
            <w:vAlign w:val="center"/>
          </w:tcPr>
          <w:p w14:paraId="1A6A7174" w14:textId="29777EE5" w:rsidR="00154E32" w:rsidRDefault="00A43E04">
            <w:pPr>
              <w:pStyle w:val="P68B1DB1-Normal11"/>
              <w:spacing w:before="120" w:after="120"/>
              <w:jc w:val="center"/>
              <w:rPr>
                <w:noProof/>
              </w:rPr>
            </w:pPr>
            <w:r>
              <w:rPr>
                <w:noProof/>
              </w:rPr>
              <w:t xml:space="preserve">374 400 </w:t>
            </w:r>
          </w:p>
        </w:tc>
        <w:tc>
          <w:tcPr>
            <w:tcW w:w="850" w:type="dxa"/>
            <w:shd w:val="clear" w:color="auto" w:fill="C6EFCE"/>
            <w:vAlign w:val="center"/>
          </w:tcPr>
          <w:p w14:paraId="008F3A73" w14:textId="77777777" w:rsidR="00154E32" w:rsidRDefault="00A43E04">
            <w:pPr>
              <w:pStyle w:val="P68B1DB1-Normal11"/>
              <w:spacing w:before="120" w:after="120"/>
              <w:jc w:val="center"/>
              <w:rPr>
                <w:noProof/>
              </w:rPr>
            </w:pPr>
            <w:r>
              <w:rPr>
                <w:noProof/>
              </w:rPr>
              <w:t>Q2</w:t>
            </w:r>
          </w:p>
        </w:tc>
        <w:tc>
          <w:tcPr>
            <w:tcW w:w="709" w:type="dxa"/>
            <w:shd w:val="clear" w:color="auto" w:fill="C6EFCE"/>
            <w:vAlign w:val="center"/>
          </w:tcPr>
          <w:p w14:paraId="11C1EFF3" w14:textId="77777777" w:rsidR="00154E32" w:rsidRDefault="00A43E04">
            <w:pPr>
              <w:pStyle w:val="P68B1DB1-Normal11"/>
              <w:spacing w:before="120" w:after="120"/>
              <w:jc w:val="center"/>
              <w:rPr>
                <w:noProof/>
              </w:rPr>
            </w:pPr>
            <w:r>
              <w:rPr>
                <w:noProof/>
              </w:rPr>
              <w:t>2026</w:t>
            </w:r>
          </w:p>
        </w:tc>
        <w:tc>
          <w:tcPr>
            <w:tcW w:w="3794" w:type="dxa"/>
            <w:shd w:val="clear" w:color="auto" w:fill="C6EFCE"/>
            <w:vAlign w:val="center"/>
          </w:tcPr>
          <w:p w14:paraId="581EEA29" w14:textId="227B8602" w:rsidR="00154E32" w:rsidRDefault="00A43E04">
            <w:pPr>
              <w:pStyle w:val="P68B1DB1-Normal12"/>
              <w:spacing w:before="120" w:after="120"/>
              <w:rPr>
                <w:rFonts w:ascii="Arial Narrow" w:hAnsi="Arial Narrow"/>
                <w:noProof/>
              </w:rPr>
            </w:pPr>
            <w:r>
              <w:rPr>
                <w:rFonts w:ascii="Arial Narrow" w:hAnsi="Arial Narrow"/>
                <w:noProof/>
              </w:rPr>
              <w:t>Realizacija dodatne proizvodne zmogljivosti vsaj 374400 substratov</w:t>
            </w:r>
            <w:r>
              <w:rPr>
                <w:noProof/>
              </w:rPr>
              <w:t xml:space="preserve"> </w:t>
            </w:r>
            <w:r>
              <w:rPr>
                <w:rFonts w:ascii="Arial Narrow" w:hAnsi="Arial Narrow"/>
                <w:noProof/>
              </w:rPr>
              <w:t>silicijevega karbida na leto. Zadovoljivo izpolnjevanje cilja je odvisno tudi od zaposlovanja vsaj 700 dodatnih ljudi, povezanih z dodatno zmogljivostjo.</w:t>
            </w:r>
          </w:p>
        </w:tc>
      </w:tr>
      <w:tr w:rsidR="00154E32" w14:paraId="75B57208" w14:textId="77777777">
        <w:trPr>
          <w:trHeight w:val="315"/>
        </w:trPr>
        <w:tc>
          <w:tcPr>
            <w:tcW w:w="1424" w:type="dxa"/>
            <w:shd w:val="clear" w:color="auto" w:fill="C6EFCE"/>
            <w:vAlign w:val="center"/>
          </w:tcPr>
          <w:p w14:paraId="5C61E724" w14:textId="77777777" w:rsidR="00154E32" w:rsidRDefault="00A43E04">
            <w:pPr>
              <w:pStyle w:val="P68B1DB1-Normal11"/>
              <w:spacing w:before="120" w:after="120"/>
              <w:jc w:val="center"/>
              <w:rPr>
                <w:noProof/>
              </w:rPr>
            </w:pPr>
            <w:r>
              <w:rPr>
                <w:noProof/>
              </w:rPr>
              <w:t>M1C2–16</w:t>
            </w:r>
          </w:p>
        </w:tc>
        <w:tc>
          <w:tcPr>
            <w:tcW w:w="1578" w:type="dxa"/>
            <w:shd w:val="clear" w:color="auto" w:fill="C6EFCE"/>
            <w:vAlign w:val="center"/>
          </w:tcPr>
          <w:p w14:paraId="32ED33CF" w14:textId="77777777" w:rsidR="00154E32" w:rsidRDefault="00A43E04">
            <w:pPr>
              <w:pStyle w:val="P68B1DB1-Normal11"/>
              <w:spacing w:before="120" w:after="120"/>
              <w:jc w:val="center"/>
              <w:rPr>
                <w:noProof/>
              </w:rPr>
            </w:pPr>
            <w:r>
              <w:rPr>
                <w:noProof/>
              </w:rPr>
              <w:t>Naložba 3: Hitre internetne povezave (Ultra-širokopasovne povezave in 5G)</w:t>
            </w:r>
          </w:p>
        </w:tc>
        <w:tc>
          <w:tcPr>
            <w:tcW w:w="1078" w:type="dxa"/>
            <w:shd w:val="clear" w:color="auto" w:fill="C6EFCE"/>
            <w:vAlign w:val="center"/>
          </w:tcPr>
          <w:p w14:paraId="50E95CF9" w14:textId="77777777" w:rsidR="00154E32" w:rsidRDefault="00A43E04">
            <w:pPr>
              <w:pStyle w:val="P68B1DB1-Normal11"/>
              <w:spacing w:before="120" w:after="120"/>
              <w:jc w:val="center"/>
              <w:rPr>
                <w:noProof/>
              </w:rPr>
            </w:pPr>
            <w:r>
              <w:rPr>
                <w:noProof/>
              </w:rPr>
              <w:t>Mejnik</w:t>
            </w:r>
          </w:p>
        </w:tc>
        <w:tc>
          <w:tcPr>
            <w:tcW w:w="1329" w:type="dxa"/>
            <w:shd w:val="clear" w:color="auto" w:fill="C6EFCE"/>
            <w:vAlign w:val="center"/>
          </w:tcPr>
          <w:p w14:paraId="23A08EF5" w14:textId="77777777" w:rsidR="00154E32" w:rsidRDefault="00A43E04">
            <w:pPr>
              <w:pStyle w:val="P68B1DB1-Normal11"/>
              <w:spacing w:before="120" w:after="120"/>
              <w:jc w:val="center"/>
              <w:rPr>
                <w:noProof/>
              </w:rPr>
            </w:pPr>
            <w:r>
              <w:rPr>
                <w:noProof/>
              </w:rPr>
              <w:t>Oddaja vseh javnih naročil za hitrejše projekte povezovanja</w:t>
            </w:r>
          </w:p>
        </w:tc>
        <w:tc>
          <w:tcPr>
            <w:tcW w:w="1275" w:type="dxa"/>
            <w:shd w:val="clear" w:color="auto" w:fill="C6EFCE"/>
            <w:vAlign w:val="center"/>
          </w:tcPr>
          <w:p w14:paraId="6198FFF4" w14:textId="77777777" w:rsidR="00154E32" w:rsidRDefault="00A43E04">
            <w:pPr>
              <w:pStyle w:val="P68B1DB1-Normal11"/>
              <w:spacing w:before="120" w:after="120"/>
              <w:jc w:val="center"/>
              <w:rPr>
                <w:noProof/>
              </w:rPr>
            </w:pPr>
            <w:r>
              <w:rPr>
                <w:noProof/>
              </w:rPr>
              <w:t>Obvestilo o oddaji vseh javnih naročil za hitrejše projekte povezovanja</w:t>
            </w:r>
          </w:p>
        </w:tc>
        <w:tc>
          <w:tcPr>
            <w:tcW w:w="1134" w:type="dxa"/>
            <w:shd w:val="clear" w:color="auto" w:fill="C6EFCE"/>
            <w:vAlign w:val="center"/>
          </w:tcPr>
          <w:p w14:paraId="45A02143" w14:textId="77777777" w:rsidR="00154E32" w:rsidRDefault="00A43E04">
            <w:pPr>
              <w:pStyle w:val="P68B1DB1-Normal11"/>
              <w:spacing w:before="120" w:after="120"/>
              <w:jc w:val="center"/>
              <w:rPr>
                <w:noProof/>
              </w:rPr>
            </w:pPr>
            <w:r>
              <w:rPr>
                <w:noProof/>
              </w:rPr>
              <w:t>JIH NI</w:t>
            </w:r>
          </w:p>
        </w:tc>
        <w:tc>
          <w:tcPr>
            <w:tcW w:w="993" w:type="dxa"/>
            <w:shd w:val="clear" w:color="auto" w:fill="C6EFCE"/>
            <w:vAlign w:val="center"/>
          </w:tcPr>
          <w:p w14:paraId="2B28D737" w14:textId="77777777" w:rsidR="00154E32" w:rsidRDefault="00A43E04">
            <w:pPr>
              <w:pStyle w:val="P68B1DB1-Normal11"/>
              <w:spacing w:before="120" w:after="120"/>
              <w:jc w:val="center"/>
              <w:rPr>
                <w:noProof/>
              </w:rPr>
            </w:pPr>
            <w:r>
              <w:rPr>
                <w:noProof/>
              </w:rPr>
              <w:t>JIH NI</w:t>
            </w:r>
          </w:p>
        </w:tc>
        <w:tc>
          <w:tcPr>
            <w:tcW w:w="992" w:type="dxa"/>
            <w:shd w:val="clear" w:color="auto" w:fill="C6EFCE"/>
            <w:vAlign w:val="center"/>
          </w:tcPr>
          <w:p w14:paraId="58D52495" w14:textId="77777777" w:rsidR="00154E32" w:rsidRDefault="00A43E04">
            <w:pPr>
              <w:pStyle w:val="P68B1DB1-Normal11"/>
              <w:spacing w:before="120" w:after="120"/>
              <w:jc w:val="center"/>
              <w:rPr>
                <w:noProof/>
              </w:rPr>
            </w:pPr>
            <w:r>
              <w:rPr>
                <w:noProof/>
              </w:rPr>
              <w:t>JIH NI</w:t>
            </w:r>
          </w:p>
        </w:tc>
        <w:tc>
          <w:tcPr>
            <w:tcW w:w="850" w:type="dxa"/>
            <w:shd w:val="clear" w:color="auto" w:fill="C6EFCE"/>
            <w:vAlign w:val="center"/>
          </w:tcPr>
          <w:p w14:paraId="03E94C89" w14:textId="77777777" w:rsidR="00154E32" w:rsidRDefault="00A43E04">
            <w:pPr>
              <w:pStyle w:val="P68B1DB1-Normal11"/>
              <w:spacing w:before="120" w:after="120"/>
              <w:jc w:val="center"/>
              <w:rPr>
                <w:noProof/>
              </w:rPr>
            </w:pPr>
            <w:r>
              <w:rPr>
                <w:noProof/>
              </w:rPr>
              <w:t>Q2</w:t>
            </w:r>
          </w:p>
        </w:tc>
        <w:tc>
          <w:tcPr>
            <w:tcW w:w="709" w:type="dxa"/>
            <w:shd w:val="clear" w:color="auto" w:fill="C6EFCE"/>
            <w:vAlign w:val="center"/>
          </w:tcPr>
          <w:p w14:paraId="2829E688" w14:textId="77777777" w:rsidR="00154E32" w:rsidRDefault="00A43E04">
            <w:pPr>
              <w:pStyle w:val="P68B1DB1-Normal11"/>
              <w:spacing w:before="120" w:after="120"/>
              <w:jc w:val="center"/>
              <w:rPr>
                <w:noProof/>
              </w:rPr>
            </w:pPr>
            <w:r>
              <w:rPr>
                <w:noProof/>
              </w:rPr>
              <w:t>2022</w:t>
            </w:r>
          </w:p>
        </w:tc>
        <w:tc>
          <w:tcPr>
            <w:tcW w:w="3794" w:type="dxa"/>
            <w:shd w:val="clear" w:color="auto" w:fill="C6EFCE"/>
            <w:vAlign w:val="center"/>
          </w:tcPr>
          <w:p w14:paraId="6A7DC32C" w14:textId="77777777" w:rsidR="00154E32" w:rsidRDefault="00A43E04">
            <w:pPr>
              <w:pStyle w:val="P68B1DB1-Normal11"/>
              <w:spacing w:before="120" w:after="120"/>
              <w:rPr>
                <w:noProof/>
              </w:rPr>
            </w:pPr>
            <w:r>
              <w:rPr>
                <w:noProof/>
              </w:rPr>
              <w:t>Obvestilo o oddaji vseh javnih naročil za projekte hitrejšega povezovanja, ki jih sestavljajo (i) „Italia a 1 Giga“, (ii) „Italia 5G“, (iii) „Povezane šole“, (iv) „Povezane zdravstvene ustanove“; in (v) „Povezani manjši otoki“.</w:t>
            </w:r>
          </w:p>
        </w:tc>
      </w:tr>
      <w:tr w:rsidR="00154E32" w14:paraId="363DB6D3" w14:textId="77777777">
        <w:trPr>
          <w:trHeight w:val="315"/>
        </w:trPr>
        <w:tc>
          <w:tcPr>
            <w:tcW w:w="1424" w:type="dxa"/>
            <w:shd w:val="clear" w:color="auto" w:fill="C6EFCE"/>
            <w:vAlign w:val="center"/>
          </w:tcPr>
          <w:p w14:paraId="4CE49132" w14:textId="77777777" w:rsidR="00154E32" w:rsidRDefault="00A43E04">
            <w:pPr>
              <w:pStyle w:val="P68B1DB1-Normal11"/>
              <w:spacing w:before="120" w:after="120"/>
              <w:jc w:val="center"/>
              <w:rPr>
                <w:noProof/>
              </w:rPr>
            </w:pPr>
            <w:r>
              <w:rPr>
                <w:noProof/>
              </w:rPr>
              <w:t>M1C2–17</w:t>
            </w:r>
          </w:p>
        </w:tc>
        <w:tc>
          <w:tcPr>
            <w:tcW w:w="1578" w:type="dxa"/>
            <w:shd w:val="clear" w:color="auto" w:fill="C6EFCE"/>
            <w:vAlign w:val="center"/>
          </w:tcPr>
          <w:p w14:paraId="77A30167" w14:textId="77777777" w:rsidR="00154E32" w:rsidRDefault="00A43E04">
            <w:pPr>
              <w:pStyle w:val="P68B1DB1-Normal11"/>
              <w:spacing w:before="120" w:after="120"/>
              <w:jc w:val="center"/>
              <w:rPr>
                <w:noProof/>
              </w:rPr>
            </w:pPr>
            <w:r>
              <w:rPr>
                <w:noProof/>
              </w:rPr>
              <w:t>Naložba 3: Hitre internetne povezave (Ultra-širokopasovne povezave in 5G)</w:t>
            </w:r>
          </w:p>
        </w:tc>
        <w:tc>
          <w:tcPr>
            <w:tcW w:w="1078" w:type="dxa"/>
            <w:shd w:val="clear" w:color="auto" w:fill="C6EFCE"/>
            <w:vAlign w:val="center"/>
          </w:tcPr>
          <w:p w14:paraId="4379CF3E" w14:textId="77777777" w:rsidR="00154E32" w:rsidRDefault="00A43E04">
            <w:pPr>
              <w:pStyle w:val="P68B1DB1-Normal11"/>
              <w:spacing w:before="120" w:after="120"/>
              <w:jc w:val="center"/>
              <w:rPr>
                <w:noProof/>
              </w:rPr>
            </w:pPr>
            <w:r>
              <w:rPr>
                <w:noProof/>
              </w:rPr>
              <w:t>Tarča</w:t>
            </w:r>
          </w:p>
        </w:tc>
        <w:tc>
          <w:tcPr>
            <w:tcW w:w="1329" w:type="dxa"/>
            <w:shd w:val="clear" w:color="auto" w:fill="C6EFCE"/>
            <w:vAlign w:val="center"/>
          </w:tcPr>
          <w:p w14:paraId="33105D0F" w14:textId="77777777" w:rsidR="00154E32" w:rsidRDefault="00A43E04">
            <w:pPr>
              <w:pStyle w:val="P68B1DB1-Normal11"/>
              <w:spacing w:before="120" w:after="120"/>
              <w:jc w:val="center"/>
              <w:rPr>
                <w:noProof/>
              </w:rPr>
            </w:pPr>
            <w:r>
              <w:rPr>
                <w:noProof/>
              </w:rPr>
              <w:t>Hišne številke s povezljivostjo 1 Gb/s</w:t>
            </w:r>
          </w:p>
        </w:tc>
        <w:tc>
          <w:tcPr>
            <w:tcW w:w="1275" w:type="dxa"/>
            <w:shd w:val="clear" w:color="auto" w:fill="C6EFCE"/>
            <w:vAlign w:val="center"/>
          </w:tcPr>
          <w:p w14:paraId="15CED2A2" w14:textId="77777777" w:rsidR="00154E32" w:rsidRDefault="00A43E04">
            <w:pPr>
              <w:pStyle w:val="P68B1DB1-Normal11"/>
              <w:spacing w:before="120" w:after="120"/>
              <w:jc w:val="center"/>
              <w:rPr>
                <w:noProof/>
              </w:rPr>
            </w:pPr>
            <w:r>
              <w:rPr>
                <w:noProof/>
              </w:rPr>
              <w:t>JIH NI</w:t>
            </w:r>
          </w:p>
        </w:tc>
        <w:tc>
          <w:tcPr>
            <w:tcW w:w="1134" w:type="dxa"/>
            <w:shd w:val="clear" w:color="auto" w:fill="C6EFCE"/>
            <w:vAlign w:val="center"/>
          </w:tcPr>
          <w:p w14:paraId="3A733D96" w14:textId="77777777" w:rsidR="00154E32" w:rsidRDefault="00A43E04">
            <w:pPr>
              <w:pStyle w:val="P68B1DB1-Normal11"/>
              <w:spacing w:before="120" w:after="120"/>
              <w:jc w:val="center"/>
              <w:rPr>
                <w:noProof/>
              </w:rPr>
            </w:pPr>
            <w:r>
              <w:rPr>
                <w:noProof/>
              </w:rPr>
              <w:t>Število</w:t>
            </w:r>
          </w:p>
        </w:tc>
        <w:tc>
          <w:tcPr>
            <w:tcW w:w="993" w:type="dxa"/>
            <w:shd w:val="clear" w:color="auto" w:fill="C6EFCE"/>
            <w:vAlign w:val="center"/>
          </w:tcPr>
          <w:p w14:paraId="720E67D3" w14:textId="77777777" w:rsidR="00154E32" w:rsidRDefault="00A43E04">
            <w:pPr>
              <w:pStyle w:val="P68B1DB1-Normal11"/>
              <w:spacing w:before="120" w:after="120"/>
              <w:jc w:val="center"/>
              <w:rPr>
                <w:noProof/>
              </w:rPr>
            </w:pPr>
            <w:r>
              <w:rPr>
                <w:noProof/>
              </w:rPr>
              <w:t>0</w:t>
            </w:r>
          </w:p>
        </w:tc>
        <w:tc>
          <w:tcPr>
            <w:tcW w:w="992" w:type="dxa"/>
            <w:shd w:val="clear" w:color="auto" w:fill="C6EFCE"/>
            <w:vAlign w:val="center"/>
          </w:tcPr>
          <w:p w14:paraId="2DB1FCAB" w14:textId="77777777" w:rsidR="00154E32" w:rsidRDefault="00A43E04">
            <w:pPr>
              <w:pStyle w:val="P68B1DB1-Normal11"/>
              <w:spacing w:before="120" w:after="120"/>
              <w:jc w:val="center"/>
              <w:rPr>
                <w:noProof/>
              </w:rPr>
            </w:pPr>
            <w:r>
              <w:rPr>
                <w:noProof/>
              </w:rPr>
              <w:t>3 400 000</w:t>
            </w:r>
          </w:p>
        </w:tc>
        <w:tc>
          <w:tcPr>
            <w:tcW w:w="850" w:type="dxa"/>
            <w:shd w:val="clear" w:color="auto" w:fill="C6EFCE"/>
            <w:vAlign w:val="center"/>
          </w:tcPr>
          <w:p w14:paraId="2036FF12" w14:textId="77777777" w:rsidR="00154E32" w:rsidRDefault="00A43E04">
            <w:pPr>
              <w:pStyle w:val="P68B1DB1-Normal11"/>
              <w:spacing w:before="120" w:after="120"/>
              <w:jc w:val="center"/>
              <w:rPr>
                <w:noProof/>
              </w:rPr>
            </w:pPr>
            <w:r>
              <w:rPr>
                <w:noProof/>
              </w:rPr>
              <w:t>Q2</w:t>
            </w:r>
          </w:p>
        </w:tc>
        <w:tc>
          <w:tcPr>
            <w:tcW w:w="709" w:type="dxa"/>
            <w:shd w:val="clear" w:color="auto" w:fill="C6EFCE"/>
            <w:vAlign w:val="center"/>
          </w:tcPr>
          <w:p w14:paraId="78E40BEF" w14:textId="77777777" w:rsidR="00154E32" w:rsidRDefault="00A43E04">
            <w:pPr>
              <w:pStyle w:val="P68B1DB1-Normal11"/>
              <w:spacing w:before="120" w:after="120"/>
              <w:jc w:val="center"/>
              <w:rPr>
                <w:noProof/>
              </w:rPr>
            </w:pPr>
            <w:r>
              <w:rPr>
                <w:noProof/>
              </w:rPr>
              <w:t>2026</w:t>
            </w:r>
          </w:p>
        </w:tc>
        <w:tc>
          <w:tcPr>
            <w:tcW w:w="3794" w:type="dxa"/>
            <w:shd w:val="clear" w:color="auto" w:fill="C6EFCE"/>
            <w:vAlign w:val="center"/>
          </w:tcPr>
          <w:p w14:paraId="5FAACB14" w14:textId="77777777" w:rsidR="00154E32" w:rsidRDefault="00A43E04">
            <w:pPr>
              <w:pStyle w:val="P68B1DB1-Normal11"/>
              <w:rPr>
                <w:noProof/>
              </w:rPr>
            </w:pPr>
            <w:r>
              <w:rPr>
                <w:noProof/>
              </w:rPr>
              <w:t>Vsaj 3400000 dodatnih hišnih številk (med katerimi je vsaj 450000 razpršenih gospodinjstev, tj. na oddaljenih območjih), povezanih s povezljivostjo vsaj 1 Gb/s prek povezave Fiber-the home/stavbe (FTTH/B), fiksni brezžični dostop (FWA)</w:t>
            </w:r>
          </w:p>
        </w:tc>
      </w:tr>
      <w:tr w:rsidR="00154E32" w14:paraId="1081A2C9" w14:textId="77777777">
        <w:trPr>
          <w:trHeight w:val="315"/>
        </w:trPr>
        <w:tc>
          <w:tcPr>
            <w:tcW w:w="1424" w:type="dxa"/>
            <w:shd w:val="clear" w:color="auto" w:fill="C6EFCE"/>
            <w:vAlign w:val="center"/>
          </w:tcPr>
          <w:p w14:paraId="789BA074" w14:textId="77777777" w:rsidR="00154E32" w:rsidRDefault="00A43E04">
            <w:pPr>
              <w:pStyle w:val="P68B1DB1-Normal11"/>
              <w:spacing w:before="120" w:after="120"/>
              <w:jc w:val="center"/>
              <w:rPr>
                <w:noProof/>
              </w:rPr>
            </w:pPr>
            <w:r>
              <w:rPr>
                <w:noProof/>
              </w:rPr>
              <w:t>M1C2–18</w:t>
            </w:r>
          </w:p>
        </w:tc>
        <w:tc>
          <w:tcPr>
            <w:tcW w:w="1578" w:type="dxa"/>
            <w:shd w:val="clear" w:color="auto" w:fill="C6EFCE"/>
            <w:vAlign w:val="center"/>
          </w:tcPr>
          <w:p w14:paraId="05678040" w14:textId="77777777" w:rsidR="00154E32" w:rsidRDefault="00A43E04">
            <w:pPr>
              <w:pStyle w:val="P68B1DB1-Normal11"/>
              <w:spacing w:before="120" w:after="120"/>
              <w:jc w:val="center"/>
              <w:rPr>
                <w:noProof/>
              </w:rPr>
            </w:pPr>
            <w:r>
              <w:rPr>
                <w:noProof/>
              </w:rPr>
              <w:t>Naložba 3: Hitre internetne povezave (Ultra-širokopasovne povezave in 5G)</w:t>
            </w:r>
          </w:p>
        </w:tc>
        <w:tc>
          <w:tcPr>
            <w:tcW w:w="1078" w:type="dxa"/>
            <w:shd w:val="clear" w:color="auto" w:fill="C6EFCE"/>
            <w:vAlign w:val="center"/>
          </w:tcPr>
          <w:p w14:paraId="6EAFBF56" w14:textId="77777777" w:rsidR="00154E32" w:rsidRDefault="00A43E04">
            <w:pPr>
              <w:pStyle w:val="P68B1DB1-Normal11"/>
              <w:spacing w:before="120" w:after="120"/>
              <w:jc w:val="center"/>
              <w:rPr>
                <w:noProof/>
              </w:rPr>
            </w:pPr>
            <w:r>
              <w:rPr>
                <w:noProof/>
              </w:rPr>
              <w:t>Tarča</w:t>
            </w:r>
          </w:p>
        </w:tc>
        <w:tc>
          <w:tcPr>
            <w:tcW w:w="1329" w:type="dxa"/>
            <w:shd w:val="clear" w:color="auto" w:fill="C6EFCE"/>
            <w:vAlign w:val="center"/>
          </w:tcPr>
          <w:p w14:paraId="674C26E6" w14:textId="77777777" w:rsidR="00154E32" w:rsidRDefault="00A43E04">
            <w:pPr>
              <w:pStyle w:val="P68B1DB1-Normal11"/>
              <w:spacing w:before="120" w:after="120"/>
              <w:jc w:val="center"/>
              <w:rPr>
                <w:noProof/>
              </w:rPr>
            </w:pPr>
            <w:r>
              <w:rPr>
                <w:noProof/>
              </w:rPr>
              <w:t>Šolske stavbe in zdravstvene ustanove s povezljivostjo 1 Gb/s</w:t>
            </w:r>
          </w:p>
        </w:tc>
        <w:tc>
          <w:tcPr>
            <w:tcW w:w="1275" w:type="dxa"/>
            <w:shd w:val="clear" w:color="auto" w:fill="C6EFCE"/>
            <w:vAlign w:val="center"/>
          </w:tcPr>
          <w:p w14:paraId="6F7D2BAE" w14:textId="77777777" w:rsidR="00154E32" w:rsidRDefault="00A43E04">
            <w:pPr>
              <w:pStyle w:val="P68B1DB1-Normal11"/>
              <w:spacing w:before="120" w:after="120"/>
              <w:jc w:val="center"/>
              <w:rPr>
                <w:noProof/>
              </w:rPr>
            </w:pPr>
            <w:r>
              <w:rPr>
                <w:noProof/>
              </w:rPr>
              <w:t>JIH NI</w:t>
            </w:r>
          </w:p>
        </w:tc>
        <w:tc>
          <w:tcPr>
            <w:tcW w:w="1134" w:type="dxa"/>
            <w:shd w:val="clear" w:color="auto" w:fill="C6EFCE"/>
            <w:vAlign w:val="center"/>
          </w:tcPr>
          <w:p w14:paraId="3001A228" w14:textId="77777777" w:rsidR="00154E32" w:rsidRDefault="00A43E04">
            <w:pPr>
              <w:pStyle w:val="P68B1DB1-Normal11"/>
              <w:spacing w:before="120" w:after="120"/>
              <w:jc w:val="center"/>
              <w:rPr>
                <w:noProof/>
              </w:rPr>
            </w:pPr>
            <w:r>
              <w:rPr>
                <w:noProof/>
              </w:rPr>
              <w:t>Število</w:t>
            </w:r>
          </w:p>
        </w:tc>
        <w:tc>
          <w:tcPr>
            <w:tcW w:w="993" w:type="dxa"/>
            <w:shd w:val="clear" w:color="auto" w:fill="C6EFCE"/>
            <w:vAlign w:val="center"/>
          </w:tcPr>
          <w:p w14:paraId="49B69A65" w14:textId="77777777" w:rsidR="00154E32" w:rsidRDefault="00A43E04">
            <w:pPr>
              <w:pStyle w:val="P68B1DB1-Normal11"/>
              <w:spacing w:before="120" w:after="120"/>
              <w:jc w:val="center"/>
              <w:rPr>
                <w:noProof/>
              </w:rPr>
            </w:pPr>
            <w:r>
              <w:rPr>
                <w:noProof/>
              </w:rPr>
              <w:t>0</w:t>
            </w:r>
          </w:p>
        </w:tc>
        <w:tc>
          <w:tcPr>
            <w:tcW w:w="992" w:type="dxa"/>
            <w:shd w:val="clear" w:color="auto" w:fill="C6EFCE"/>
            <w:vAlign w:val="center"/>
          </w:tcPr>
          <w:p w14:paraId="7D4DE190" w14:textId="77777777" w:rsidR="00154E32" w:rsidRDefault="00A43E04">
            <w:pPr>
              <w:pStyle w:val="P68B1DB1-Normal11"/>
              <w:spacing w:before="120" w:after="120"/>
              <w:jc w:val="center"/>
              <w:rPr>
                <w:noProof/>
              </w:rPr>
            </w:pPr>
            <w:r>
              <w:rPr>
                <w:noProof/>
              </w:rPr>
              <w:t>17 700</w:t>
            </w:r>
          </w:p>
        </w:tc>
        <w:tc>
          <w:tcPr>
            <w:tcW w:w="850" w:type="dxa"/>
            <w:shd w:val="clear" w:color="auto" w:fill="C6EFCE"/>
            <w:vAlign w:val="center"/>
          </w:tcPr>
          <w:p w14:paraId="2FD35F74" w14:textId="77777777" w:rsidR="00154E32" w:rsidRDefault="00A43E04">
            <w:pPr>
              <w:pStyle w:val="P68B1DB1-Normal11"/>
              <w:spacing w:before="120" w:after="120"/>
              <w:jc w:val="center"/>
              <w:rPr>
                <w:noProof/>
              </w:rPr>
            </w:pPr>
            <w:r>
              <w:rPr>
                <w:noProof/>
              </w:rPr>
              <w:t>Q2</w:t>
            </w:r>
          </w:p>
        </w:tc>
        <w:tc>
          <w:tcPr>
            <w:tcW w:w="709" w:type="dxa"/>
            <w:shd w:val="clear" w:color="auto" w:fill="C6EFCE"/>
            <w:vAlign w:val="center"/>
          </w:tcPr>
          <w:p w14:paraId="5B01AEA5" w14:textId="77777777" w:rsidR="00154E32" w:rsidRDefault="00A43E04">
            <w:pPr>
              <w:pStyle w:val="P68B1DB1-Normal11"/>
              <w:spacing w:before="120" w:after="120"/>
              <w:jc w:val="center"/>
              <w:rPr>
                <w:noProof/>
              </w:rPr>
            </w:pPr>
            <w:r>
              <w:rPr>
                <w:noProof/>
              </w:rPr>
              <w:t>2026</w:t>
            </w:r>
          </w:p>
        </w:tc>
        <w:tc>
          <w:tcPr>
            <w:tcW w:w="3794" w:type="dxa"/>
            <w:shd w:val="clear" w:color="auto" w:fill="C6EFCE"/>
            <w:vAlign w:val="center"/>
          </w:tcPr>
          <w:p w14:paraId="6A95D10C" w14:textId="77777777" w:rsidR="00154E32" w:rsidRDefault="00A43E04">
            <w:pPr>
              <w:pStyle w:val="P68B1DB1-Normal11"/>
              <w:spacing w:before="120" w:after="120"/>
              <w:rPr>
                <w:noProof/>
              </w:rPr>
            </w:pPr>
            <w:r>
              <w:rPr>
                <w:noProof/>
              </w:rPr>
              <w:t>Vsaj dodatnih 9000 šol in 8700 javnih zdravstvenih ustanov s povezljivostjo vsaj 1 Gb/s.</w:t>
            </w:r>
          </w:p>
        </w:tc>
      </w:tr>
      <w:tr w:rsidR="00154E32" w14:paraId="4C55BE3C" w14:textId="77777777">
        <w:trPr>
          <w:trHeight w:val="315"/>
        </w:trPr>
        <w:tc>
          <w:tcPr>
            <w:tcW w:w="1424" w:type="dxa"/>
            <w:shd w:val="clear" w:color="auto" w:fill="C6EFCE"/>
            <w:vAlign w:val="center"/>
          </w:tcPr>
          <w:p w14:paraId="584EC24C" w14:textId="77777777" w:rsidR="00154E32" w:rsidRDefault="00A43E04">
            <w:pPr>
              <w:pStyle w:val="P68B1DB1-Normal11"/>
              <w:spacing w:before="120" w:after="120"/>
              <w:jc w:val="center"/>
              <w:rPr>
                <w:noProof/>
              </w:rPr>
            </w:pPr>
            <w:r>
              <w:rPr>
                <w:noProof/>
              </w:rPr>
              <w:t>M1C2–19</w:t>
            </w:r>
          </w:p>
        </w:tc>
        <w:tc>
          <w:tcPr>
            <w:tcW w:w="1578" w:type="dxa"/>
            <w:shd w:val="clear" w:color="auto" w:fill="C6EFCE"/>
            <w:vAlign w:val="center"/>
          </w:tcPr>
          <w:p w14:paraId="6080D02C" w14:textId="77777777" w:rsidR="00154E32" w:rsidRDefault="00A43E04">
            <w:pPr>
              <w:pStyle w:val="P68B1DB1-Normal11"/>
              <w:spacing w:before="120" w:after="120"/>
              <w:jc w:val="center"/>
              <w:rPr>
                <w:noProof/>
              </w:rPr>
            </w:pPr>
            <w:r>
              <w:rPr>
                <w:noProof/>
              </w:rPr>
              <w:t>Naložba 3: Hitre internetne povezave (Ultra-širokopasovne povezave in 5G)</w:t>
            </w:r>
          </w:p>
        </w:tc>
        <w:tc>
          <w:tcPr>
            <w:tcW w:w="1078" w:type="dxa"/>
            <w:shd w:val="clear" w:color="auto" w:fill="C6EFCE"/>
            <w:vAlign w:val="center"/>
          </w:tcPr>
          <w:p w14:paraId="48BF1DC5" w14:textId="77777777" w:rsidR="00154E32" w:rsidRDefault="00A43E04">
            <w:pPr>
              <w:pStyle w:val="P68B1DB1-Normal11"/>
              <w:spacing w:before="120" w:after="120"/>
              <w:jc w:val="center"/>
              <w:rPr>
                <w:noProof/>
              </w:rPr>
            </w:pPr>
            <w:r>
              <w:rPr>
                <w:noProof/>
              </w:rPr>
              <w:t>Tarča</w:t>
            </w:r>
          </w:p>
        </w:tc>
        <w:tc>
          <w:tcPr>
            <w:tcW w:w="1329" w:type="dxa"/>
            <w:shd w:val="clear" w:color="auto" w:fill="C6EFCE"/>
            <w:vAlign w:val="center"/>
          </w:tcPr>
          <w:p w14:paraId="66E5FD15" w14:textId="77777777" w:rsidR="00154E32" w:rsidRDefault="00A43E04">
            <w:pPr>
              <w:pStyle w:val="P68B1DB1-Normal11"/>
              <w:spacing w:before="120" w:after="120"/>
              <w:jc w:val="center"/>
              <w:rPr>
                <w:noProof/>
              </w:rPr>
            </w:pPr>
            <w:r>
              <w:rPr>
                <w:noProof/>
              </w:rPr>
              <w:t>Otoki z ultraširokopasovno povezljivostjo</w:t>
            </w:r>
          </w:p>
        </w:tc>
        <w:tc>
          <w:tcPr>
            <w:tcW w:w="1275" w:type="dxa"/>
            <w:shd w:val="clear" w:color="auto" w:fill="C6EFCE"/>
            <w:vAlign w:val="center"/>
          </w:tcPr>
          <w:p w14:paraId="202B0BC3" w14:textId="77777777" w:rsidR="00154E32" w:rsidRDefault="00A43E04">
            <w:pPr>
              <w:pStyle w:val="P68B1DB1-Normal11"/>
              <w:spacing w:before="120" w:after="120"/>
              <w:jc w:val="center"/>
              <w:rPr>
                <w:noProof/>
              </w:rPr>
            </w:pPr>
            <w:r>
              <w:rPr>
                <w:noProof/>
              </w:rPr>
              <w:t>JIH NI</w:t>
            </w:r>
          </w:p>
        </w:tc>
        <w:tc>
          <w:tcPr>
            <w:tcW w:w="1134" w:type="dxa"/>
            <w:shd w:val="clear" w:color="auto" w:fill="C6EFCE"/>
            <w:vAlign w:val="center"/>
          </w:tcPr>
          <w:p w14:paraId="2E6EF85B" w14:textId="77777777" w:rsidR="00154E32" w:rsidRDefault="00A43E04">
            <w:pPr>
              <w:pStyle w:val="P68B1DB1-Normal11"/>
              <w:spacing w:before="120" w:after="120"/>
              <w:jc w:val="center"/>
              <w:rPr>
                <w:noProof/>
              </w:rPr>
            </w:pPr>
            <w:r>
              <w:rPr>
                <w:noProof/>
              </w:rPr>
              <w:t>Število</w:t>
            </w:r>
          </w:p>
        </w:tc>
        <w:tc>
          <w:tcPr>
            <w:tcW w:w="993" w:type="dxa"/>
            <w:shd w:val="clear" w:color="auto" w:fill="C6EFCE"/>
            <w:vAlign w:val="center"/>
          </w:tcPr>
          <w:p w14:paraId="723A7D98" w14:textId="77777777" w:rsidR="00154E32" w:rsidRDefault="00A43E04">
            <w:pPr>
              <w:pStyle w:val="P68B1DB1-Normal11"/>
              <w:spacing w:before="120" w:after="120"/>
              <w:jc w:val="center"/>
              <w:rPr>
                <w:noProof/>
              </w:rPr>
            </w:pPr>
            <w:r>
              <w:rPr>
                <w:noProof/>
              </w:rPr>
              <w:t>0</w:t>
            </w:r>
          </w:p>
        </w:tc>
        <w:tc>
          <w:tcPr>
            <w:tcW w:w="992" w:type="dxa"/>
            <w:shd w:val="clear" w:color="auto" w:fill="C6EFCE"/>
            <w:vAlign w:val="center"/>
          </w:tcPr>
          <w:p w14:paraId="48F11572" w14:textId="77777777" w:rsidR="00154E32" w:rsidRDefault="00A43E04">
            <w:pPr>
              <w:pStyle w:val="P68B1DB1-Normal11"/>
              <w:spacing w:before="120" w:after="120"/>
              <w:jc w:val="center"/>
              <w:rPr>
                <w:noProof/>
              </w:rPr>
            </w:pPr>
            <w:r>
              <w:rPr>
                <w:noProof/>
              </w:rPr>
              <w:t>18</w:t>
            </w:r>
          </w:p>
        </w:tc>
        <w:tc>
          <w:tcPr>
            <w:tcW w:w="850" w:type="dxa"/>
            <w:shd w:val="clear" w:color="auto" w:fill="C6EFCE"/>
            <w:vAlign w:val="center"/>
          </w:tcPr>
          <w:p w14:paraId="63D09F89" w14:textId="77777777" w:rsidR="00154E32" w:rsidRDefault="00A43E04">
            <w:pPr>
              <w:pStyle w:val="P68B1DB1-Normal11"/>
              <w:spacing w:before="120" w:after="120"/>
              <w:jc w:val="center"/>
              <w:rPr>
                <w:noProof/>
              </w:rPr>
            </w:pPr>
            <w:r>
              <w:rPr>
                <w:noProof/>
              </w:rPr>
              <w:t>Q4</w:t>
            </w:r>
          </w:p>
        </w:tc>
        <w:tc>
          <w:tcPr>
            <w:tcW w:w="709" w:type="dxa"/>
            <w:shd w:val="clear" w:color="auto" w:fill="C6EFCE"/>
            <w:vAlign w:val="center"/>
          </w:tcPr>
          <w:p w14:paraId="558544E7" w14:textId="77777777" w:rsidR="00154E32" w:rsidRDefault="00A43E04">
            <w:pPr>
              <w:pStyle w:val="P68B1DB1-Normal11"/>
              <w:spacing w:before="120" w:after="120"/>
              <w:jc w:val="center"/>
              <w:rPr>
                <w:noProof/>
              </w:rPr>
            </w:pPr>
            <w:r>
              <w:rPr>
                <w:noProof/>
              </w:rPr>
              <w:t>2024</w:t>
            </w:r>
          </w:p>
        </w:tc>
        <w:tc>
          <w:tcPr>
            <w:tcW w:w="3794" w:type="dxa"/>
            <w:shd w:val="clear" w:color="auto" w:fill="C6EFCE"/>
            <w:vAlign w:val="center"/>
          </w:tcPr>
          <w:p w14:paraId="74B12E9A" w14:textId="77777777" w:rsidR="00154E32" w:rsidRDefault="00A43E04">
            <w:pPr>
              <w:pStyle w:val="P68B1DB1-Normal11"/>
              <w:spacing w:before="120" w:after="120"/>
              <w:rPr>
                <w:noProof/>
              </w:rPr>
            </w:pPr>
            <w:r>
              <w:rPr>
                <w:noProof/>
              </w:rPr>
              <w:t>Vsaj dodatnih 18 otokov, ki nimajo optičnih povezav s celino, je bilo opremljenih z ultraširokopasovno povezljivostjo prek novega optičnega zalednega omrežja.</w:t>
            </w:r>
          </w:p>
        </w:tc>
      </w:tr>
      <w:tr w:rsidR="00154E32" w14:paraId="530985C1" w14:textId="77777777">
        <w:trPr>
          <w:trHeight w:val="315"/>
        </w:trPr>
        <w:tc>
          <w:tcPr>
            <w:tcW w:w="1424" w:type="dxa"/>
            <w:shd w:val="clear" w:color="auto" w:fill="C6EFCE"/>
            <w:vAlign w:val="center"/>
          </w:tcPr>
          <w:p w14:paraId="106FDA0B" w14:textId="77777777" w:rsidR="00154E32" w:rsidRDefault="00A43E04">
            <w:pPr>
              <w:pStyle w:val="P68B1DB1-Normal11"/>
              <w:spacing w:before="120" w:after="120"/>
              <w:jc w:val="center"/>
              <w:rPr>
                <w:noProof/>
              </w:rPr>
            </w:pPr>
            <w:r>
              <w:rPr>
                <w:noProof/>
              </w:rPr>
              <w:t>M1C2–20</w:t>
            </w:r>
          </w:p>
        </w:tc>
        <w:tc>
          <w:tcPr>
            <w:tcW w:w="1578" w:type="dxa"/>
            <w:shd w:val="clear" w:color="auto" w:fill="C6EFCE"/>
            <w:vAlign w:val="center"/>
          </w:tcPr>
          <w:p w14:paraId="2E0C8E19" w14:textId="77777777" w:rsidR="00154E32" w:rsidRDefault="00A43E04">
            <w:pPr>
              <w:pStyle w:val="P68B1DB1-Normal11"/>
              <w:spacing w:before="120" w:after="120"/>
              <w:jc w:val="center"/>
              <w:rPr>
                <w:noProof/>
              </w:rPr>
            </w:pPr>
            <w:r>
              <w:rPr>
                <w:noProof/>
              </w:rPr>
              <w:t>Naložba 3: Hitre internetne povezave (Ultra-širokopasovne povezave in 5G)</w:t>
            </w:r>
          </w:p>
        </w:tc>
        <w:tc>
          <w:tcPr>
            <w:tcW w:w="1078" w:type="dxa"/>
            <w:shd w:val="clear" w:color="auto" w:fill="C6EFCE"/>
            <w:vAlign w:val="center"/>
          </w:tcPr>
          <w:p w14:paraId="32B40E1B" w14:textId="77777777" w:rsidR="00154E32" w:rsidRDefault="00A43E04">
            <w:pPr>
              <w:pStyle w:val="P68B1DB1-Normal11"/>
              <w:spacing w:before="120" w:after="120"/>
              <w:jc w:val="center"/>
              <w:rPr>
                <w:noProof/>
              </w:rPr>
            </w:pPr>
            <w:r>
              <w:rPr>
                <w:noProof/>
              </w:rPr>
              <w:t>Tarča</w:t>
            </w:r>
          </w:p>
        </w:tc>
        <w:tc>
          <w:tcPr>
            <w:tcW w:w="1329" w:type="dxa"/>
            <w:shd w:val="clear" w:color="auto" w:fill="C6EFCE"/>
            <w:vAlign w:val="center"/>
          </w:tcPr>
          <w:p w14:paraId="408DDE0D" w14:textId="77777777" w:rsidR="00154E32" w:rsidRDefault="00A43E04">
            <w:pPr>
              <w:pStyle w:val="P68B1DB1-Normal11"/>
              <w:spacing w:before="120" w:after="120"/>
              <w:jc w:val="center"/>
              <w:rPr>
                <w:noProof/>
              </w:rPr>
            </w:pPr>
            <w:r>
              <w:rPr>
                <w:noProof/>
              </w:rPr>
              <w:t>Zunajmestne ceste in koridorji, ki so omogočeni s pokritostjo 5G</w:t>
            </w:r>
          </w:p>
        </w:tc>
        <w:tc>
          <w:tcPr>
            <w:tcW w:w="1275" w:type="dxa"/>
            <w:shd w:val="clear" w:color="auto" w:fill="C6EFCE"/>
            <w:vAlign w:val="center"/>
          </w:tcPr>
          <w:p w14:paraId="1D8C7410" w14:textId="77777777" w:rsidR="00154E32" w:rsidRDefault="00A43E04">
            <w:pPr>
              <w:pStyle w:val="P68B1DB1-Normal11"/>
              <w:spacing w:before="120" w:after="120"/>
              <w:jc w:val="center"/>
              <w:rPr>
                <w:noProof/>
              </w:rPr>
            </w:pPr>
            <w:r>
              <w:rPr>
                <w:noProof/>
              </w:rPr>
              <w:t>JIH NI</w:t>
            </w:r>
          </w:p>
        </w:tc>
        <w:tc>
          <w:tcPr>
            <w:tcW w:w="1134" w:type="dxa"/>
            <w:shd w:val="clear" w:color="auto" w:fill="C6EFCE"/>
            <w:vAlign w:val="center"/>
          </w:tcPr>
          <w:p w14:paraId="304D4D66" w14:textId="77777777" w:rsidR="00154E32" w:rsidRDefault="00A43E04">
            <w:pPr>
              <w:pStyle w:val="P68B1DB1-Normal11"/>
              <w:spacing w:before="120" w:after="120"/>
              <w:jc w:val="center"/>
              <w:rPr>
                <w:noProof/>
              </w:rPr>
            </w:pPr>
            <w:r>
              <w:rPr>
                <w:noProof/>
              </w:rPr>
              <w:t>Število</w:t>
            </w:r>
          </w:p>
        </w:tc>
        <w:tc>
          <w:tcPr>
            <w:tcW w:w="993" w:type="dxa"/>
            <w:shd w:val="clear" w:color="auto" w:fill="C6EFCE"/>
            <w:vAlign w:val="center"/>
          </w:tcPr>
          <w:p w14:paraId="209F15C0" w14:textId="77777777" w:rsidR="00154E32" w:rsidRDefault="00A43E04">
            <w:pPr>
              <w:pStyle w:val="P68B1DB1-Normal11"/>
              <w:spacing w:before="120" w:after="120"/>
              <w:jc w:val="center"/>
              <w:rPr>
                <w:noProof/>
              </w:rPr>
            </w:pPr>
            <w:r>
              <w:rPr>
                <w:noProof/>
              </w:rPr>
              <w:t>0</w:t>
            </w:r>
          </w:p>
        </w:tc>
        <w:tc>
          <w:tcPr>
            <w:tcW w:w="992" w:type="dxa"/>
            <w:shd w:val="clear" w:color="auto" w:fill="C6EFCE"/>
            <w:vAlign w:val="center"/>
          </w:tcPr>
          <w:p w14:paraId="12123C79" w14:textId="77777777" w:rsidR="00154E32" w:rsidRDefault="00A43E04">
            <w:pPr>
              <w:pStyle w:val="P68B1DB1-Normal11"/>
              <w:spacing w:before="120" w:after="160" w:line="257" w:lineRule="auto"/>
              <w:jc w:val="center"/>
              <w:rPr>
                <w:noProof/>
              </w:rPr>
            </w:pPr>
            <w:r>
              <w:rPr>
                <w:noProof/>
              </w:rPr>
              <w:t>12 600</w:t>
            </w:r>
          </w:p>
        </w:tc>
        <w:tc>
          <w:tcPr>
            <w:tcW w:w="850" w:type="dxa"/>
            <w:shd w:val="clear" w:color="auto" w:fill="C6EFCE"/>
            <w:vAlign w:val="center"/>
          </w:tcPr>
          <w:p w14:paraId="60A699A3" w14:textId="77777777" w:rsidR="00154E32" w:rsidRDefault="00A43E04">
            <w:pPr>
              <w:pStyle w:val="P68B1DB1-Normal11"/>
              <w:spacing w:before="120" w:after="120"/>
              <w:jc w:val="center"/>
              <w:rPr>
                <w:noProof/>
              </w:rPr>
            </w:pPr>
            <w:r>
              <w:rPr>
                <w:noProof/>
              </w:rPr>
              <w:t>Q2</w:t>
            </w:r>
          </w:p>
        </w:tc>
        <w:tc>
          <w:tcPr>
            <w:tcW w:w="709" w:type="dxa"/>
            <w:shd w:val="clear" w:color="auto" w:fill="C6EFCE"/>
            <w:vAlign w:val="center"/>
          </w:tcPr>
          <w:p w14:paraId="7260FE71" w14:textId="77777777" w:rsidR="00154E32" w:rsidRDefault="00A43E04">
            <w:pPr>
              <w:pStyle w:val="P68B1DB1-Normal11"/>
              <w:spacing w:before="120" w:after="120"/>
              <w:jc w:val="center"/>
              <w:rPr>
                <w:noProof/>
              </w:rPr>
            </w:pPr>
            <w:r>
              <w:rPr>
                <w:noProof/>
              </w:rPr>
              <w:t>2026</w:t>
            </w:r>
          </w:p>
        </w:tc>
        <w:tc>
          <w:tcPr>
            <w:tcW w:w="3794" w:type="dxa"/>
            <w:shd w:val="clear" w:color="auto" w:fill="C6EFCE"/>
            <w:vAlign w:val="center"/>
          </w:tcPr>
          <w:p w14:paraId="0E0E3B67" w14:textId="77777777" w:rsidR="00154E32" w:rsidRDefault="00A43E04">
            <w:pPr>
              <w:pStyle w:val="P68B1DB1-Normal11"/>
              <w:spacing w:before="120" w:after="120"/>
              <w:rPr>
                <w:noProof/>
              </w:rPr>
            </w:pPr>
            <w:r>
              <w:rPr>
                <w:noProof/>
              </w:rPr>
              <w:t>Vsaj dodatnih 12 600 km zunajmestnih cest in koridorjev s pokritostjo 5G.</w:t>
            </w:r>
          </w:p>
        </w:tc>
      </w:tr>
      <w:tr w:rsidR="00154E32" w14:paraId="463BB30D" w14:textId="77777777">
        <w:trPr>
          <w:trHeight w:val="315"/>
        </w:trPr>
        <w:tc>
          <w:tcPr>
            <w:tcW w:w="1424" w:type="dxa"/>
            <w:shd w:val="clear" w:color="auto" w:fill="C6EFCE"/>
            <w:vAlign w:val="center"/>
          </w:tcPr>
          <w:p w14:paraId="2F5D24D1" w14:textId="77777777" w:rsidR="00154E32" w:rsidRDefault="00A43E04">
            <w:pPr>
              <w:pStyle w:val="P68B1DB1-Normal11"/>
              <w:spacing w:before="120" w:after="120"/>
              <w:jc w:val="center"/>
              <w:rPr>
                <w:noProof/>
              </w:rPr>
            </w:pPr>
            <w:r>
              <w:rPr>
                <w:noProof/>
              </w:rPr>
              <w:t>M1C2–21</w:t>
            </w:r>
          </w:p>
        </w:tc>
        <w:tc>
          <w:tcPr>
            <w:tcW w:w="1578" w:type="dxa"/>
            <w:shd w:val="clear" w:color="auto" w:fill="C6EFCE"/>
            <w:vAlign w:val="center"/>
          </w:tcPr>
          <w:p w14:paraId="235A2864" w14:textId="77777777" w:rsidR="00154E32" w:rsidRDefault="00A43E04">
            <w:pPr>
              <w:pStyle w:val="P68B1DB1-Normal11"/>
              <w:spacing w:before="120" w:after="120"/>
              <w:jc w:val="center"/>
              <w:rPr>
                <w:noProof/>
              </w:rPr>
            </w:pPr>
            <w:r>
              <w:rPr>
                <w:noProof/>
              </w:rPr>
              <w:t>Naložba 3: Hitre internetne povezave (Ultra-širokopasovne povezave in 5G)</w:t>
            </w:r>
          </w:p>
        </w:tc>
        <w:tc>
          <w:tcPr>
            <w:tcW w:w="1078" w:type="dxa"/>
            <w:shd w:val="clear" w:color="auto" w:fill="C6EFCE"/>
            <w:vAlign w:val="center"/>
          </w:tcPr>
          <w:p w14:paraId="54CC3C39" w14:textId="77777777" w:rsidR="00154E32" w:rsidRDefault="00A43E04">
            <w:pPr>
              <w:pStyle w:val="P68B1DB1-Normal11"/>
              <w:spacing w:before="120" w:after="120"/>
              <w:jc w:val="center"/>
              <w:rPr>
                <w:noProof/>
              </w:rPr>
            </w:pPr>
            <w:r>
              <w:rPr>
                <w:noProof/>
              </w:rPr>
              <w:t>Tarča</w:t>
            </w:r>
          </w:p>
        </w:tc>
        <w:tc>
          <w:tcPr>
            <w:tcW w:w="1329" w:type="dxa"/>
            <w:shd w:val="clear" w:color="auto" w:fill="C6EFCE"/>
            <w:vAlign w:val="center"/>
          </w:tcPr>
          <w:p w14:paraId="3A2F43E1" w14:textId="77777777" w:rsidR="00154E32" w:rsidRDefault="00A43E04">
            <w:pPr>
              <w:pStyle w:val="P68B1DB1-Normal11"/>
              <w:spacing w:before="120" w:after="120"/>
              <w:jc w:val="center"/>
              <w:rPr>
                <w:noProof/>
              </w:rPr>
            </w:pPr>
            <w:r>
              <w:rPr>
                <w:noProof/>
              </w:rPr>
              <w:t>Območja tržne nepopolnosti, omogočena s pokritostjo 5G</w:t>
            </w:r>
          </w:p>
        </w:tc>
        <w:tc>
          <w:tcPr>
            <w:tcW w:w="1275" w:type="dxa"/>
            <w:shd w:val="clear" w:color="auto" w:fill="C6EFCE"/>
            <w:vAlign w:val="center"/>
          </w:tcPr>
          <w:p w14:paraId="424BDB2A" w14:textId="77777777" w:rsidR="00154E32" w:rsidRDefault="00A43E04">
            <w:pPr>
              <w:pStyle w:val="P68B1DB1-Normal11"/>
              <w:spacing w:before="120" w:after="120"/>
              <w:jc w:val="center"/>
              <w:rPr>
                <w:noProof/>
              </w:rPr>
            </w:pPr>
            <w:r>
              <w:rPr>
                <w:noProof/>
              </w:rPr>
              <w:t>JIH NI</w:t>
            </w:r>
          </w:p>
        </w:tc>
        <w:tc>
          <w:tcPr>
            <w:tcW w:w="1134" w:type="dxa"/>
            <w:shd w:val="clear" w:color="auto" w:fill="C6EFCE"/>
            <w:vAlign w:val="center"/>
          </w:tcPr>
          <w:p w14:paraId="7323BE96" w14:textId="77777777" w:rsidR="00154E32" w:rsidRDefault="00A43E04">
            <w:pPr>
              <w:pStyle w:val="P68B1DB1-Normal11"/>
              <w:spacing w:before="120" w:after="120"/>
              <w:jc w:val="center"/>
              <w:rPr>
                <w:noProof/>
              </w:rPr>
            </w:pPr>
            <w:r>
              <w:rPr>
                <w:noProof/>
              </w:rPr>
              <w:t>Število</w:t>
            </w:r>
          </w:p>
        </w:tc>
        <w:tc>
          <w:tcPr>
            <w:tcW w:w="993" w:type="dxa"/>
            <w:shd w:val="clear" w:color="auto" w:fill="C6EFCE"/>
            <w:vAlign w:val="center"/>
          </w:tcPr>
          <w:p w14:paraId="3D5362A6" w14:textId="77777777" w:rsidR="00154E32" w:rsidRDefault="00A43E04">
            <w:pPr>
              <w:pStyle w:val="P68B1DB1-Normal11"/>
              <w:spacing w:before="120" w:after="120"/>
              <w:jc w:val="center"/>
              <w:rPr>
                <w:noProof/>
              </w:rPr>
            </w:pPr>
            <w:r>
              <w:rPr>
                <w:noProof/>
              </w:rPr>
              <w:t>0</w:t>
            </w:r>
          </w:p>
        </w:tc>
        <w:tc>
          <w:tcPr>
            <w:tcW w:w="992" w:type="dxa"/>
            <w:shd w:val="clear" w:color="auto" w:fill="C6EFCE"/>
            <w:vAlign w:val="center"/>
          </w:tcPr>
          <w:p w14:paraId="42FC5258" w14:textId="77777777" w:rsidR="00154E32" w:rsidRDefault="00A43E04">
            <w:pPr>
              <w:pStyle w:val="P68B1DB1-Normal11"/>
              <w:spacing w:before="120" w:after="120"/>
              <w:jc w:val="center"/>
              <w:rPr>
                <w:noProof/>
              </w:rPr>
            </w:pPr>
            <w:r>
              <w:rPr>
                <w:noProof/>
              </w:rPr>
              <w:t>1 400</w:t>
            </w:r>
          </w:p>
        </w:tc>
        <w:tc>
          <w:tcPr>
            <w:tcW w:w="850" w:type="dxa"/>
            <w:shd w:val="clear" w:color="auto" w:fill="C6EFCE"/>
            <w:vAlign w:val="center"/>
          </w:tcPr>
          <w:p w14:paraId="64EFE437" w14:textId="77777777" w:rsidR="00154E32" w:rsidRDefault="00A43E04">
            <w:pPr>
              <w:pStyle w:val="P68B1DB1-Normal11"/>
              <w:spacing w:before="120" w:after="120"/>
              <w:jc w:val="center"/>
              <w:rPr>
                <w:noProof/>
              </w:rPr>
            </w:pPr>
            <w:r>
              <w:rPr>
                <w:noProof/>
              </w:rPr>
              <w:t>Q2</w:t>
            </w:r>
          </w:p>
        </w:tc>
        <w:tc>
          <w:tcPr>
            <w:tcW w:w="709" w:type="dxa"/>
            <w:shd w:val="clear" w:color="auto" w:fill="C6EFCE"/>
            <w:vAlign w:val="center"/>
          </w:tcPr>
          <w:p w14:paraId="6213018C" w14:textId="77777777" w:rsidR="00154E32" w:rsidRDefault="00A43E04">
            <w:pPr>
              <w:pStyle w:val="P68B1DB1-Normal11"/>
              <w:spacing w:before="120" w:after="120"/>
              <w:jc w:val="center"/>
              <w:rPr>
                <w:noProof/>
              </w:rPr>
            </w:pPr>
            <w:r>
              <w:rPr>
                <w:noProof/>
              </w:rPr>
              <w:t>2026</w:t>
            </w:r>
          </w:p>
        </w:tc>
        <w:tc>
          <w:tcPr>
            <w:tcW w:w="3794" w:type="dxa"/>
            <w:shd w:val="clear" w:color="auto" w:fill="C6EFCE"/>
            <w:vAlign w:val="center"/>
          </w:tcPr>
          <w:p w14:paraId="0E2F4376" w14:textId="77777777" w:rsidR="00154E32" w:rsidRDefault="00A43E04">
            <w:pPr>
              <w:pStyle w:val="P68B1DB1-Normal11"/>
              <w:spacing w:before="120" w:after="120"/>
              <w:rPr>
                <w:noProof/>
              </w:rPr>
            </w:pPr>
            <w:r>
              <w:rPr>
                <w:noProof/>
              </w:rPr>
              <w:t>Vsaj dodatnih 1400 kvadratnih kilometrov nedelovanja trga na območjih, ki so omogočena s pokritostjo 5G, od katerih jih vsaj 500 km zagotavlja pokritost s 5G.</w:t>
            </w:r>
          </w:p>
        </w:tc>
      </w:tr>
      <w:tr w:rsidR="00154E32" w14:paraId="760A162D" w14:textId="77777777">
        <w:trPr>
          <w:trHeight w:val="315"/>
        </w:trPr>
        <w:tc>
          <w:tcPr>
            <w:tcW w:w="1424" w:type="dxa"/>
            <w:shd w:val="clear" w:color="auto" w:fill="C6EFCE"/>
            <w:vAlign w:val="center"/>
          </w:tcPr>
          <w:p w14:paraId="7B50C180" w14:textId="77777777" w:rsidR="00154E32" w:rsidRDefault="00A43E04">
            <w:pPr>
              <w:pStyle w:val="P68B1DB1-Normal11"/>
              <w:spacing w:before="120" w:after="120"/>
              <w:jc w:val="center"/>
              <w:rPr>
                <w:noProof/>
              </w:rPr>
            </w:pPr>
            <w:r>
              <w:rPr>
                <w:noProof/>
              </w:rPr>
              <w:t>M1C2–22</w:t>
            </w:r>
          </w:p>
        </w:tc>
        <w:tc>
          <w:tcPr>
            <w:tcW w:w="1578" w:type="dxa"/>
            <w:shd w:val="clear" w:color="auto" w:fill="C6EFCE"/>
            <w:vAlign w:val="center"/>
          </w:tcPr>
          <w:p w14:paraId="641C4C26" w14:textId="77777777" w:rsidR="00154E32" w:rsidRDefault="00A43E04">
            <w:pPr>
              <w:pStyle w:val="P68B1DB1-Normal11"/>
              <w:spacing w:before="120" w:after="120"/>
              <w:jc w:val="center"/>
              <w:rPr>
                <w:noProof/>
              </w:rPr>
            </w:pPr>
            <w:r>
              <w:rPr>
                <w:noProof/>
              </w:rPr>
              <w:t>Naložba 4: Satelitska tehnologija in vesoljsko gospodarstvo</w:t>
            </w:r>
          </w:p>
        </w:tc>
        <w:tc>
          <w:tcPr>
            <w:tcW w:w="1078" w:type="dxa"/>
            <w:shd w:val="clear" w:color="auto" w:fill="C6EFCE"/>
            <w:vAlign w:val="center"/>
          </w:tcPr>
          <w:p w14:paraId="2CA2495D" w14:textId="77777777" w:rsidR="00154E32" w:rsidRDefault="00A43E04">
            <w:pPr>
              <w:pStyle w:val="P68B1DB1-Normal11"/>
              <w:spacing w:before="120" w:after="120"/>
              <w:jc w:val="center"/>
              <w:rPr>
                <w:noProof/>
              </w:rPr>
            </w:pPr>
            <w:r>
              <w:rPr>
                <w:noProof/>
              </w:rPr>
              <w:t>Mejnik</w:t>
            </w:r>
          </w:p>
        </w:tc>
        <w:tc>
          <w:tcPr>
            <w:tcW w:w="1329" w:type="dxa"/>
            <w:shd w:val="clear" w:color="auto" w:fill="C6EFCE"/>
            <w:vAlign w:val="center"/>
          </w:tcPr>
          <w:p w14:paraId="68E53C6A" w14:textId="77777777" w:rsidR="00154E32" w:rsidRDefault="00A43E04">
            <w:pPr>
              <w:pStyle w:val="P68B1DB1-Normal11"/>
              <w:spacing w:before="120" w:after="120"/>
              <w:jc w:val="center"/>
              <w:rPr>
                <w:noProof/>
              </w:rPr>
            </w:pPr>
            <w:r>
              <w:rPr>
                <w:noProof/>
              </w:rPr>
              <w:t>Oddaja vseh javnih naročil za projekte satelitske tehnologije in vesolja</w:t>
            </w:r>
          </w:p>
        </w:tc>
        <w:tc>
          <w:tcPr>
            <w:tcW w:w="1275" w:type="dxa"/>
            <w:shd w:val="clear" w:color="auto" w:fill="C6EFCE"/>
            <w:vAlign w:val="center"/>
          </w:tcPr>
          <w:p w14:paraId="3D4BA139" w14:textId="77777777" w:rsidR="00154E32" w:rsidRDefault="00A43E04">
            <w:pPr>
              <w:pStyle w:val="P68B1DB1-Normal11"/>
              <w:spacing w:before="120" w:after="120"/>
              <w:jc w:val="center"/>
              <w:rPr>
                <w:noProof/>
              </w:rPr>
            </w:pPr>
            <w:r>
              <w:rPr>
                <w:noProof/>
              </w:rPr>
              <w:t>Obvestilo o oddaji vseh javnih naročil za projekte satelitske tehnologije in vesolja</w:t>
            </w:r>
          </w:p>
        </w:tc>
        <w:tc>
          <w:tcPr>
            <w:tcW w:w="1134" w:type="dxa"/>
            <w:shd w:val="clear" w:color="auto" w:fill="C6EFCE"/>
            <w:vAlign w:val="center"/>
          </w:tcPr>
          <w:p w14:paraId="1974E512" w14:textId="77777777" w:rsidR="00154E32" w:rsidRDefault="00A43E04">
            <w:pPr>
              <w:pStyle w:val="P68B1DB1-Normal11"/>
              <w:spacing w:before="120" w:after="120"/>
              <w:jc w:val="center"/>
              <w:rPr>
                <w:noProof/>
              </w:rPr>
            </w:pPr>
            <w:r>
              <w:rPr>
                <w:noProof/>
              </w:rPr>
              <w:t>JIH NI</w:t>
            </w:r>
          </w:p>
        </w:tc>
        <w:tc>
          <w:tcPr>
            <w:tcW w:w="993" w:type="dxa"/>
            <w:shd w:val="clear" w:color="auto" w:fill="C6EFCE"/>
            <w:vAlign w:val="center"/>
          </w:tcPr>
          <w:p w14:paraId="3484A374" w14:textId="77777777" w:rsidR="00154E32" w:rsidRDefault="00A43E04">
            <w:pPr>
              <w:pStyle w:val="P68B1DB1-Normal11"/>
              <w:spacing w:before="120" w:after="120"/>
              <w:jc w:val="center"/>
              <w:rPr>
                <w:noProof/>
              </w:rPr>
            </w:pPr>
            <w:r>
              <w:rPr>
                <w:noProof/>
              </w:rPr>
              <w:t>JIH NI</w:t>
            </w:r>
          </w:p>
        </w:tc>
        <w:tc>
          <w:tcPr>
            <w:tcW w:w="992" w:type="dxa"/>
            <w:shd w:val="clear" w:color="auto" w:fill="C6EFCE"/>
            <w:vAlign w:val="center"/>
          </w:tcPr>
          <w:p w14:paraId="5F7F70A8" w14:textId="77777777" w:rsidR="00154E32" w:rsidRDefault="00A43E04">
            <w:pPr>
              <w:pStyle w:val="P68B1DB1-Normal11"/>
              <w:spacing w:before="120" w:after="120"/>
              <w:jc w:val="center"/>
              <w:rPr>
                <w:noProof/>
              </w:rPr>
            </w:pPr>
            <w:r>
              <w:rPr>
                <w:noProof/>
              </w:rPr>
              <w:t>JIH NI</w:t>
            </w:r>
          </w:p>
        </w:tc>
        <w:tc>
          <w:tcPr>
            <w:tcW w:w="850" w:type="dxa"/>
            <w:shd w:val="clear" w:color="auto" w:fill="C6EFCE"/>
            <w:vAlign w:val="center"/>
          </w:tcPr>
          <w:p w14:paraId="3711BCDE" w14:textId="77777777" w:rsidR="00154E32" w:rsidRDefault="00A43E04">
            <w:pPr>
              <w:pStyle w:val="P68B1DB1-Normal11"/>
              <w:spacing w:before="120" w:after="120"/>
              <w:jc w:val="center"/>
              <w:rPr>
                <w:noProof/>
              </w:rPr>
            </w:pPr>
            <w:r>
              <w:rPr>
                <w:noProof/>
              </w:rPr>
              <w:t>ČETRTLETJE 1</w:t>
            </w:r>
          </w:p>
        </w:tc>
        <w:tc>
          <w:tcPr>
            <w:tcW w:w="709" w:type="dxa"/>
            <w:shd w:val="clear" w:color="auto" w:fill="C6EFCE"/>
            <w:vAlign w:val="center"/>
          </w:tcPr>
          <w:p w14:paraId="3E875057" w14:textId="77777777" w:rsidR="00154E32" w:rsidRDefault="00A43E04">
            <w:pPr>
              <w:pStyle w:val="P68B1DB1-Normal11"/>
              <w:spacing w:before="120" w:after="120"/>
              <w:jc w:val="center"/>
              <w:rPr>
                <w:noProof/>
              </w:rPr>
            </w:pPr>
            <w:r>
              <w:rPr>
                <w:noProof/>
              </w:rPr>
              <w:t>2023</w:t>
            </w:r>
          </w:p>
        </w:tc>
        <w:tc>
          <w:tcPr>
            <w:tcW w:w="3794" w:type="dxa"/>
            <w:shd w:val="clear" w:color="auto" w:fill="C6EFCE"/>
            <w:vAlign w:val="center"/>
          </w:tcPr>
          <w:p w14:paraId="6821DC37" w14:textId="77777777" w:rsidR="00154E32" w:rsidRDefault="00A43E04">
            <w:pPr>
              <w:pStyle w:val="P68B1DB1-Normal11"/>
              <w:spacing w:before="120" w:after="120"/>
              <w:rPr>
                <w:noProof/>
              </w:rPr>
            </w:pPr>
            <w:r>
              <w:rPr>
                <w:noProof/>
              </w:rPr>
              <w:t>Obvestilo o oddaji vseh javnih naročil za satelitsko tehnologijo in vesoljske projekte, ki jih sestavljajo (i) Satcom, (ii) opazovanje Zemlje, (iii) vesoljska tehnologija in (iv) gospodarstvo v orbiti.</w:t>
            </w:r>
          </w:p>
        </w:tc>
      </w:tr>
      <w:tr w:rsidR="00154E32" w14:paraId="5C2CEBE0" w14:textId="77777777">
        <w:trPr>
          <w:trHeight w:val="315"/>
        </w:trPr>
        <w:tc>
          <w:tcPr>
            <w:tcW w:w="1424" w:type="dxa"/>
            <w:shd w:val="clear" w:color="auto" w:fill="C6EFCE"/>
            <w:vAlign w:val="center"/>
          </w:tcPr>
          <w:p w14:paraId="7C01A146" w14:textId="77777777" w:rsidR="00154E32" w:rsidRDefault="00A43E04">
            <w:pPr>
              <w:pStyle w:val="P68B1DB1-Normal11"/>
              <w:spacing w:before="120" w:after="120"/>
              <w:jc w:val="center"/>
              <w:rPr>
                <w:noProof/>
              </w:rPr>
            </w:pPr>
            <w:r>
              <w:rPr>
                <w:noProof/>
              </w:rPr>
              <w:t>M1C2–23</w:t>
            </w:r>
          </w:p>
        </w:tc>
        <w:tc>
          <w:tcPr>
            <w:tcW w:w="1578" w:type="dxa"/>
            <w:shd w:val="clear" w:color="auto" w:fill="C6EFCE"/>
            <w:vAlign w:val="center"/>
          </w:tcPr>
          <w:p w14:paraId="6594EE0B" w14:textId="77777777" w:rsidR="00154E32" w:rsidRDefault="00A43E04">
            <w:pPr>
              <w:pStyle w:val="P68B1DB1-Normal11"/>
              <w:spacing w:before="120" w:after="120"/>
              <w:jc w:val="center"/>
              <w:rPr>
                <w:noProof/>
              </w:rPr>
            </w:pPr>
            <w:r>
              <w:rPr>
                <w:noProof/>
              </w:rPr>
              <w:t>Naložba 4: Satelitska tehnologija in vesoljsko gospodarstvo</w:t>
            </w:r>
          </w:p>
        </w:tc>
        <w:tc>
          <w:tcPr>
            <w:tcW w:w="1078" w:type="dxa"/>
            <w:shd w:val="clear" w:color="auto" w:fill="C6EFCE"/>
            <w:vAlign w:val="center"/>
          </w:tcPr>
          <w:p w14:paraId="1D7D0054" w14:textId="77777777" w:rsidR="00154E32" w:rsidRDefault="00A43E04">
            <w:pPr>
              <w:pStyle w:val="P68B1DB1-Normal11"/>
              <w:spacing w:before="120" w:after="120"/>
              <w:jc w:val="center"/>
              <w:rPr>
                <w:noProof/>
              </w:rPr>
            </w:pPr>
            <w:r>
              <w:rPr>
                <w:noProof/>
              </w:rPr>
              <w:t>Tarča</w:t>
            </w:r>
          </w:p>
        </w:tc>
        <w:tc>
          <w:tcPr>
            <w:tcW w:w="1329" w:type="dxa"/>
            <w:shd w:val="clear" w:color="auto" w:fill="C6EFCE"/>
            <w:vAlign w:val="center"/>
          </w:tcPr>
          <w:p w14:paraId="5F82524F" w14:textId="77777777" w:rsidR="00154E32" w:rsidRDefault="00A43E04">
            <w:pPr>
              <w:pStyle w:val="P68B1DB1-Normal11"/>
              <w:spacing w:before="120" w:after="120"/>
              <w:jc w:val="center"/>
              <w:rPr>
                <w:noProof/>
              </w:rPr>
            </w:pPr>
            <w:r>
              <w:rPr>
                <w:noProof/>
              </w:rPr>
              <w:t>Nameščeni zemeljski teleskopi, operativni center SST, vesoljski tovarniški in tekoči pogonski demonstrator</w:t>
            </w:r>
          </w:p>
        </w:tc>
        <w:tc>
          <w:tcPr>
            <w:tcW w:w="1275" w:type="dxa"/>
            <w:shd w:val="clear" w:color="auto" w:fill="C6EFCE"/>
            <w:vAlign w:val="center"/>
          </w:tcPr>
          <w:p w14:paraId="259C7898" w14:textId="77777777" w:rsidR="00154E32" w:rsidRDefault="00A43E04">
            <w:pPr>
              <w:pStyle w:val="P68B1DB1-Normal11"/>
              <w:spacing w:before="120" w:after="120"/>
              <w:jc w:val="center"/>
              <w:rPr>
                <w:noProof/>
              </w:rPr>
            </w:pPr>
            <w:r>
              <w:rPr>
                <w:noProof/>
              </w:rPr>
              <w:t>JIH NI</w:t>
            </w:r>
          </w:p>
        </w:tc>
        <w:tc>
          <w:tcPr>
            <w:tcW w:w="1134" w:type="dxa"/>
            <w:shd w:val="clear" w:color="auto" w:fill="C6EFCE"/>
            <w:vAlign w:val="center"/>
          </w:tcPr>
          <w:p w14:paraId="7ECB152A" w14:textId="77777777" w:rsidR="00154E32" w:rsidRDefault="00A43E04">
            <w:pPr>
              <w:pStyle w:val="P68B1DB1-Normal11"/>
              <w:spacing w:before="120" w:after="120"/>
              <w:jc w:val="center"/>
              <w:rPr>
                <w:noProof/>
              </w:rPr>
            </w:pPr>
            <w:r>
              <w:rPr>
                <w:noProof/>
              </w:rPr>
              <w:t>Število</w:t>
            </w:r>
          </w:p>
        </w:tc>
        <w:tc>
          <w:tcPr>
            <w:tcW w:w="993" w:type="dxa"/>
            <w:shd w:val="clear" w:color="auto" w:fill="C6EFCE"/>
            <w:vAlign w:val="center"/>
          </w:tcPr>
          <w:p w14:paraId="4FF7E411" w14:textId="77777777" w:rsidR="00154E32" w:rsidRDefault="00A43E04">
            <w:pPr>
              <w:pStyle w:val="P68B1DB1-Normal11"/>
              <w:spacing w:before="120" w:after="120"/>
              <w:jc w:val="center"/>
              <w:rPr>
                <w:noProof/>
              </w:rPr>
            </w:pPr>
            <w:r>
              <w:rPr>
                <w:noProof/>
              </w:rPr>
              <w:t>0</w:t>
            </w:r>
          </w:p>
        </w:tc>
        <w:tc>
          <w:tcPr>
            <w:tcW w:w="992" w:type="dxa"/>
            <w:shd w:val="clear" w:color="auto" w:fill="C6EFCE"/>
            <w:vAlign w:val="center"/>
          </w:tcPr>
          <w:p w14:paraId="73F54B18" w14:textId="77777777" w:rsidR="00154E32" w:rsidRDefault="00A43E04">
            <w:pPr>
              <w:pStyle w:val="P68B1DB1-Normal11"/>
              <w:spacing w:before="120" w:after="120"/>
              <w:jc w:val="center"/>
              <w:rPr>
                <w:noProof/>
              </w:rPr>
            </w:pPr>
            <w:r>
              <w:rPr>
                <w:noProof/>
              </w:rPr>
              <w:t>6</w:t>
            </w:r>
          </w:p>
        </w:tc>
        <w:tc>
          <w:tcPr>
            <w:tcW w:w="850" w:type="dxa"/>
            <w:shd w:val="clear" w:color="auto" w:fill="C6EFCE"/>
            <w:vAlign w:val="center"/>
          </w:tcPr>
          <w:p w14:paraId="244EDFA4" w14:textId="77777777" w:rsidR="00154E32" w:rsidRDefault="00A43E04">
            <w:pPr>
              <w:pStyle w:val="P68B1DB1-Normal11"/>
              <w:spacing w:before="120" w:after="120"/>
              <w:jc w:val="center"/>
              <w:rPr>
                <w:noProof/>
              </w:rPr>
            </w:pPr>
            <w:r>
              <w:rPr>
                <w:noProof/>
              </w:rPr>
              <w:t>Q2</w:t>
            </w:r>
          </w:p>
        </w:tc>
        <w:tc>
          <w:tcPr>
            <w:tcW w:w="709" w:type="dxa"/>
            <w:shd w:val="clear" w:color="auto" w:fill="C6EFCE"/>
            <w:vAlign w:val="center"/>
          </w:tcPr>
          <w:p w14:paraId="00E65D3D" w14:textId="77777777" w:rsidR="00154E32" w:rsidRDefault="00A43E04">
            <w:pPr>
              <w:pStyle w:val="P68B1DB1-Normal11"/>
              <w:spacing w:before="120" w:after="120"/>
              <w:jc w:val="center"/>
              <w:rPr>
                <w:noProof/>
              </w:rPr>
            </w:pPr>
            <w:r>
              <w:rPr>
                <w:noProof/>
              </w:rPr>
              <w:t>2026</w:t>
            </w:r>
          </w:p>
        </w:tc>
        <w:tc>
          <w:tcPr>
            <w:tcW w:w="3794" w:type="dxa"/>
            <w:shd w:val="clear" w:color="auto" w:fill="C6EFCE"/>
            <w:vAlign w:val="center"/>
          </w:tcPr>
          <w:p w14:paraId="2093ABA7" w14:textId="77777777" w:rsidR="00154E32" w:rsidRDefault="00A43E04">
            <w:pPr>
              <w:pStyle w:val="P68B1DB1-Normal11"/>
              <w:spacing w:before="120" w:after="120"/>
              <w:rPr>
                <w:noProof/>
              </w:rPr>
            </w:pPr>
            <w:r>
              <w:rPr>
                <w:noProof/>
              </w:rPr>
              <w:t>Vsaj trije visoko zmogljivi teleskopi, ki lahko identificirajo vesoljske objekte, en operativni center za nadzor in sledenje v vesolju (mreža za opazovanje in sledenje vesoljskih odpadkov), en vesoljski Factory (integrirane linije za proizvodnjo, sestavljanje, integracijo in testiranje (M-AIT) majhnih satelitov), en demonstrator s tekočim pogonom za nameščene nosilne rakete nove generacije.</w:t>
            </w:r>
          </w:p>
        </w:tc>
      </w:tr>
      <w:tr w:rsidR="00154E32" w14:paraId="3883CBF0" w14:textId="77777777">
        <w:trPr>
          <w:trHeight w:val="315"/>
        </w:trPr>
        <w:tc>
          <w:tcPr>
            <w:tcW w:w="1424" w:type="dxa"/>
            <w:shd w:val="clear" w:color="auto" w:fill="C6EFCE"/>
            <w:vAlign w:val="center"/>
          </w:tcPr>
          <w:p w14:paraId="4261DD49" w14:textId="77777777" w:rsidR="00154E32" w:rsidRDefault="00A43E04">
            <w:pPr>
              <w:pStyle w:val="P68B1DB1-Normal11"/>
              <w:spacing w:before="120" w:after="120"/>
              <w:jc w:val="center"/>
              <w:rPr>
                <w:noProof/>
              </w:rPr>
            </w:pPr>
            <w:r>
              <w:rPr>
                <w:noProof/>
              </w:rPr>
              <w:t>M1C2–24</w:t>
            </w:r>
          </w:p>
        </w:tc>
        <w:tc>
          <w:tcPr>
            <w:tcW w:w="1578" w:type="dxa"/>
            <w:shd w:val="clear" w:color="auto" w:fill="C6EFCE"/>
            <w:vAlign w:val="center"/>
          </w:tcPr>
          <w:p w14:paraId="3F7300B4" w14:textId="77777777" w:rsidR="00154E32" w:rsidRDefault="00A43E04">
            <w:pPr>
              <w:pStyle w:val="P68B1DB1-Normal11"/>
              <w:spacing w:before="120" w:after="120"/>
              <w:jc w:val="center"/>
              <w:rPr>
                <w:rFonts w:eastAsia="Calibri"/>
                <w:noProof/>
              </w:rPr>
            </w:pPr>
            <w:r>
              <w:rPr>
                <w:noProof/>
              </w:rPr>
              <w:t>Naložba 4: Satelitska tehnologija in vesoljsko gospodarstvo</w:t>
            </w:r>
          </w:p>
        </w:tc>
        <w:tc>
          <w:tcPr>
            <w:tcW w:w="1078" w:type="dxa"/>
            <w:shd w:val="clear" w:color="auto" w:fill="C6EFCE"/>
            <w:vAlign w:val="center"/>
          </w:tcPr>
          <w:p w14:paraId="39EEC24C" w14:textId="77777777" w:rsidR="00154E32" w:rsidRDefault="00A43E04">
            <w:pPr>
              <w:pStyle w:val="P68B1DB1-Normal11"/>
              <w:spacing w:before="120" w:after="120"/>
              <w:jc w:val="center"/>
              <w:rPr>
                <w:noProof/>
              </w:rPr>
            </w:pPr>
            <w:r>
              <w:rPr>
                <w:noProof/>
              </w:rPr>
              <w:t>Tarča</w:t>
            </w:r>
          </w:p>
        </w:tc>
        <w:tc>
          <w:tcPr>
            <w:tcW w:w="1329" w:type="dxa"/>
            <w:shd w:val="clear" w:color="auto" w:fill="C6EFCE"/>
            <w:vAlign w:val="center"/>
          </w:tcPr>
          <w:p w14:paraId="17A0AD56" w14:textId="77777777" w:rsidR="00154E32" w:rsidRDefault="00A43E04">
            <w:pPr>
              <w:pStyle w:val="P68B1DB1-Normal11"/>
              <w:spacing w:before="120" w:after="120"/>
              <w:jc w:val="center"/>
              <w:rPr>
                <w:noProof/>
              </w:rPr>
            </w:pPr>
            <w:r>
              <w:rPr>
                <w:noProof/>
              </w:rPr>
              <w:t>Konstelacije ali potrditev koncepta uporabljenih konstelacij</w:t>
            </w:r>
          </w:p>
        </w:tc>
        <w:tc>
          <w:tcPr>
            <w:tcW w:w="1275" w:type="dxa"/>
            <w:shd w:val="clear" w:color="auto" w:fill="C6EFCE"/>
            <w:vAlign w:val="center"/>
          </w:tcPr>
          <w:p w14:paraId="0A2679E9" w14:textId="77777777" w:rsidR="00154E32" w:rsidRDefault="00A43E04">
            <w:pPr>
              <w:pStyle w:val="P68B1DB1-Normal11"/>
              <w:spacing w:before="120" w:after="120"/>
              <w:jc w:val="center"/>
              <w:rPr>
                <w:noProof/>
              </w:rPr>
            </w:pPr>
            <w:r>
              <w:rPr>
                <w:noProof/>
              </w:rPr>
              <w:t>JIH NI</w:t>
            </w:r>
          </w:p>
        </w:tc>
        <w:tc>
          <w:tcPr>
            <w:tcW w:w="1134" w:type="dxa"/>
            <w:shd w:val="clear" w:color="auto" w:fill="C6EFCE"/>
            <w:vAlign w:val="center"/>
          </w:tcPr>
          <w:p w14:paraId="011FA5EE" w14:textId="77777777" w:rsidR="00154E32" w:rsidRDefault="00A43E04">
            <w:pPr>
              <w:pStyle w:val="P68B1DB1-Normal11"/>
              <w:spacing w:before="120" w:after="120"/>
              <w:jc w:val="center"/>
              <w:rPr>
                <w:noProof/>
              </w:rPr>
            </w:pPr>
            <w:r>
              <w:rPr>
                <w:noProof/>
              </w:rPr>
              <w:t>Število</w:t>
            </w:r>
          </w:p>
        </w:tc>
        <w:tc>
          <w:tcPr>
            <w:tcW w:w="993" w:type="dxa"/>
            <w:shd w:val="clear" w:color="auto" w:fill="C6EFCE"/>
            <w:vAlign w:val="center"/>
          </w:tcPr>
          <w:p w14:paraId="362D5D79" w14:textId="77777777" w:rsidR="00154E32" w:rsidRDefault="00A43E04">
            <w:pPr>
              <w:pStyle w:val="P68B1DB1-Normal11"/>
              <w:spacing w:before="120" w:after="120"/>
              <w:jc w:val="center"/>
              <w:rPr>
                <w:noProof/>
              </w:rPr>
            </w:pPr>
            <w:r>
              <w:rPr>
                <w:noProof/>
              </w:rPr>
              <w:t>0</w:t>
            </w:r>
          </w:p>
        </w:tc>
        <w:tc>
          <w:tcPr>
            <w:tcW w:w="992" w:type="dxa"/>
            <w:shd w:val="clear" w:color="auto" w:fill="C6EFCE"/>
            <w:vAlign w:val="center"/>
          </w:tcPr>
          <w:p w14:paraId="0567C5C6" w14:textId="77777777" w:rsidR="00154E32" w:rsidRDefault="00A43E04">
            <w:pPr>
              <w:pStyle w:val="P68B1DB1-Normal11"/>
              <w:spacing w:before="120" w:after="120"/>
              <w:jc w:val="center"/>
              <w:rPr>
                <w:noProof/>
              </w:rPr>
            </w:pPr>
            <w:r>
              <w:rPr>
                <w:noProof/>
              </w:rPr>
              <w:t>2</w:t>
            </w:r>
          </w:p>
        </w:tc>
        <w:tc>
          <w:tcPr>
            <w:tcW w:w="850" w:type="dxa"/>
            <w:shd w:val="clear" w:color="auto" w:fill="C6EFCE"/>
            <w:vAlign w:val="center"/>
          </w:tcPr>
          <w:p w14:paraId="791B0190" w14:textId="77777777" w:rsidR="00154E32" w:rsidRDefault="00A43E04">
            <w:pPr>
              <w:pStyle w:val="P68B1DB1-Normal11"/>
              <w:spacing w:before="120" w:after="120"/>
              <w:jc w:val="center"/>
              <w:rPr>
                <w:noProof/>
              </w:rPr>
            </w:pPr>
            <w:r>
              <w:rPr>
                <w:noProof/>
              </w:rPr>
              <w:t>Q2</w:t>
            </w:r>
          </w:p>
        </w:tc>
        <w:tc>
          <w:tcPr>
            <w:tcW w:w="709" w:type="dxa"/>
            <w:shd w:val="clear" w:color="auto" w:fill="C6EFCE"/>
            <w:vAlign w:val="center"/>
          </w:tcPr>
          <w:p w14:paraId="1C17D9D7" w14:textId="77777777" w:rsidR="00154E32" w:rsidRDefault="00A43E04">
            <w:pPr>
              <w:pStyle w:val="P68B1DB1-Normal11"/>
              <w:spacing w:before="120" w:after="120"/>
              <w:jc w:val="center"/>
              <w:rPr>
                <w:noProof/>
              </w:rPr>
            </w:pPr>
            <w:r>
              <w:rPr>
                <w:noProof/>
              </w:rPr>
              <w:t>2026</w:t>
            </w:r>
          </w:p>
        </w:tc>
        <w:tc>
          <w:tcPr>
            <w:tcW w:w="3794" w:type="dxa"/>
            <w:shd w:val="clear" w:color="auto" w:fill="C6EFCE"/>
            <w:vAlign w:val="center"/>
          </w:tcPr>
          <w:p w14:paraId="5A0CCF91" w14:textId="77777777" w:rsidR="00154E32" w:rsidRDefault="00A43E04">
            <w:pPr>
              <w:pStyle w:val="P68B1DB1-Normal11"/>
              <w:spacing w:before="120" w:after="120"/>
              <w:rPr>
                <w:noProof/>
              </w:rPr>
            </w:pPr>
            <w:r>
              <w:rPr>
                <w:noProof/>
              </w:rPr>
              <w:t>Vsaj dve dodatni konstelaciji ali potrditev koncepta konstelacij, ki se uporabljajo v okviru pobud Satcom in opazovanja Zemlje</w:t>
            </w:r>
          </w:p>
        </w:tc>
      </w:tr>
      <w:tr w:rsidR="00154E32" w14:paraId="52476225" w14:textId="77777777">
        <w:trPr>
          <w:trHeight w:val="315"/>
        </w:trPr>
        <w:tc>
          <w:tcPr>
            <w:tcW w:w="1424" w:type="dxa"/>
            <w:shd w:val="clear" w:color="auto" w:fill="C6EFCE"/>
            <w:vAlign w:val="center"/>
          </w:tcPr>
          <w:p w14:paraId="33337CFF" w14:textId="77777777" w:rsidR="00154E32" w:rsidRDefault="00A43E04">
            <w:pPr>
              <w:pStyle w:val="P68B1DB1-Normal11"/>
              <w:spacing w:before="120" w:after="120"/>
              <w:jc w:val="center"/>
              <w:rPr>
                <w:noProof/>
              </w:rPr>
            </w:pPr>
            <w:r>
              <w:rPr>
                <w:noProof/>
              </w:rPr>
              <w:t>M1C2–25</w:t>
            </w:r>
          </w:p>
        </w:tc>
        <w:tc>
          <w:tcPr>
            <w:tcW w:w="1578" w:type="dxa"/>
            <w:shd w:val="clear" w:color="auto" w:fill="C6EFCE"/>
            <w:vAlign w:val="center"/>
          </w:tcPr>
          <w:p w14:paraId="594F0F10" w14:textId="77777777" w:rsidR="00154E32" w:rsidRDefault="00A43E04">
            <w:pPr>
              <w:pStyle w:val="P68B1DB1-Normal11"/>
              <w:spacing w:before="120" w:after="120"/>
              <w:jc w:val="center"/>
              <w:rPr>
                <w:rFonts w:eastAsia="Calibri"/>
                <w:noProof/>
              </w:rPr>
            </w:pPr>
            <w:r>
              <w:rPr>
                <w:noProof/>
              </w:rPr>
              <w:t>Naložba 4: Satelitska tehnologija in vesoljsko gospodarstvo</w:t>
            </w:r>
          </w:p>
        </w:tc>
        <w:tc>
          <w:tcPr>
            <w:tcW w:w="1078" w:type="dxa"/>
            <w:shd w:val="clear" w:color="auto" w:fill="C6EFCE"/>
            <w:vAlign w:val="center"/>
          </w:tcPr>
          <w:p w14:paraId="4901BD24" w14:textId="77777777" w:rsidR="00154E32" w:rsidRDefault="00A43E04">
            <w:pPr>
              <w:pStyle w:val="P68B1DB1-Normal11"/>
              <w:spacing w:before="120" w:after="120"/>
              <w:jc w:val="center"/>
              <w:rPr>
                <w:noProof/>
              </w:rPr>
            </w:pPr>
            <w:r>
              <w:rPr>
                <w:noProof/>
              </w:rPr>
              <w:t>Tarča</w:t>
            </w:r>
          </w:p>
        </w:tc>
        <w:tc>
          <w:tcPr>
            <w:tcW w:w="1329" w:type="dxa"/>
            <w:shd w:val="clear" w:color="auto" w:fill="C6EFCE"/>
            <w:vAlign w:val="center"/>
          </w:tcPr>
          <w:p w14:paraId="62C1F03B" w14:textId="77777777" w:rsidR="00154E32" w:rsidRDefault="00A43E04">
            <w:pPr>
              <w:pStyle w:val="P68B1DB1-Normal11"/>
              <w:spacing w:before="120" w:after="120"/>
              <w:jc w:val="center"/>
              <w:rPr>
                <w:noProof/>
              </w:rPr>
            </w:pPr>
            <w:r>
              <w:rPr>
                <w:noProof/>
              </w:rPr>
              <w:t>Storitve za javne uprave</w:t>
            </w:r>
          </w:p>
        </w:tc>
        <w:tc>
          <w:tcPr>
            <w:tcW w:w="1275" w:type="dxa"/>
            <w:shd w:val="clear" w:color="auto" w:fill="C6EFCE"/>
            <w:vAlign w:val="center"/>
          </w:tcPr>
          <w:p w14:paraId="452A05B0" w14:textId="77777777" w:rsidR="00154E32" w:rsidRDefault="00A43E04">
            <w:pPr>
              <w:pStyle w:val="P68B1DB1-Normal11"/>
              <w:spacing w:before="120" w:after="120"/>
              <w:jc w:val="center"/>
              <w:rPr>
                <w:noProof/>
              </w:rPr>
            </w:pPr>
            <w:r>
              <w:rPr>
                <w:noProof/>
              </w:rPr>
              <w:t>JIH NI</w:t>
            </w:r>
          </w:p>
        </w:tc>
        <w:tc>
          <w:tcPr>
            <w:tcW w:w="1134" w:type="dxa"/>
            <w:shd w:val="clear" w:color="auto" w:fill="C6EFCE"/>
            <w:vAlign w:val="center"/>
          </w:tcPr>
          <w:p w14:paraId="78290D3F" w14:textId="77777777" w:rsidR="00154E32" w:rsidRDefault="00A43E04">
            <w:pPr>
              <w:pStyle w:val="P68B1DB1-Normal11"/>
              <w:spacing w:before="120" w:after="120"/>
              <w:jc w:val="center"/>
              <w:rPr>
                <w:noProof/>
              </w:rPr>
            </w:pPr>
            <w:r>
              <w:rPr>
                <w:noProof/>
              </w:rPr>
              <w:t>Število</w:t>
            </w:r>
          </w:p>
        </w:tc>
        <w:tc>
          <w:tcPr>
            <w:tcW w:w="993" w:type="dxa"/>
            <w:shd w:val="clear" w:color="auto" w:fill="C6EFCE"/>
            <w:vAlign w:val="center"/>
          </w:tcPr>
          <w:p w14:paraId="59EE21B2" w14:textId="77777777" w:rsidR="00154E32" w:rsidRDefault="00A43E04">
            <w:pPr>
              <w:pStyle w:val="P68B1DB1-Normal11"/>
              <w:spacing w:before="120" w:after="120"/>
              <w:jc w:val="center"/>
              <w:rPr>
                <w:noProof/>
              </w:rPr>
            </w:pPr>
            <w:r>
              <w:rPr>
                <w:noProof/>
              </w:rPr>
              <w:t>0</w:t>
            </w:r>
          </w:p>
        </w:tc>
        <w:tc>
          <w:tcPr>
            <w:tcW w:w="992" w:type="dxa"/>
            <w:shd w:val="clear" w:color="auto" w:fill="C6EFCE"/>
            <w:vAlign w:val="center"/>
          </w:tcPr>
          <w:p w14:paraId="1F8F9497" w14:textId="77777777" w:rsidR="00154E32" w:rsidRDefault="00A43E04">
            <w:pPr>
              <w:pStyle w:val="P68B1DB1-Normal11"/>
              <w:spacing w:before="120" w:after="120"/>
              <w:jc w:val="center"/>
              <w:rPr>
                <w:noProof/>
              </w:rPr>
            </w:pPr>
            <w:r>
              <w:rPr>
                <w:noProof/>
              </w:rPr>
              <w:t>8</w:t>
            </w:r>
          </w:p>
        </w:tc>
        <w:tc>
          <w:tcPr>
            <w:tcW w:w="850" w:type="dxa"/>
            <w:shd w:val="clear" w:color="auto" w:fill="C6EFCE"/>
            <w:vAlign w:val="center"/>
          </w:tcPr>
          <w:p w14:paraId="6244200C" w14:textId="77777777" w:rsidR="00154E32" w:rsidRDefault="00A43E04">
            <w:pPr>
              <w:pStyle w:val="P68B1DB1-Normal11"/>
              <w:spacing w:before="120" w:after="120"/>
              <w:jc w:val="center"/>
              <w:rPr>
                <w:noProof/>
              </w:rPr>
            </w:pPr>
            <w:r>
              <w:rPr>
                <w:noProof/>
              </w:rPr>
              <w:t>Q2</w:t>
            </w:r>
          </w:p>
        </w:tc>
        <w:tc>
          <w:tcPr>
            <w:tcW w:w="709" w:type="dxa"/>
            <w:shd w:val="clear" w:color="auto" w:fill="C6EFCE"/>
            <w:vAlign w:val="center"/>
          </w:tcPr>
          <w:p w14:paraId="6A8E593A" w14:textId="77777777" w:rsidR="00154E32" w:rsidRDefault="00A43E04">
            <w:pPr>
              <w:pStyle w:val="P68B1DB1-Normal11"/>
              <w:spacing w:before="120" w:after="120"/>
              <w:jc w:val="center"/>
              <w:rPr>
                <w:noProof/>
              </w:rPr>
            </w:pPr>
            <w:r>
              <w:rPr>
                <w:noProof/>
              </w:rPr>
              <w:t>2026</w:t>
            </w:r>
          </w:p>
        </w:tc>
        <w:tc>
          <w:tcPr>
            <w:tcW w:w="3794" w:type="dxa"/>
            <w:shd w:val="clear" w:color="auto" w:fill="C6EFCE"/>
            <w:vAlign w:val="center"/>
          </w:tcPr>
          <w:p w14:paraId="72020359" w14:textId="77777777" w:rsidR="00154E32" w:rsidRDefault="00A43E04">
            <w:pPr>
              <w:pStyle w:val="P68B1DB1-Normal11"/>
              <w:spacing w:before="120" w:after="120"/>
              <w:rPr>
                <w:noProof/>
              </w:rPr>
            </w:pPr>
            <w:r>
              <w:rPr>
                <w:noProof/>
              </w:rPr>
              <w:t>Vsaj dodatnih osem storitev, zagotovljenih javnim upravam, ki izhajajo iz podprtih vesoljskih pobud, kot so obalne storitve in pomorsko-obalno spremljanje, storitve kakovosti zraka, storitev premikanja po tleh, pokritost s storitvami spremljanja in rabe zemljišč, hidrometeorološke storitve, storitve vodnih virov, službe za ukrepanje ob nesrečah, varnostne storitve.</w:t>
            </w:r>
          </w:p>
        </w:tc>
      </w:tr>
      <w:tr w:rsidR="00154E32" w14:paraId="7056D564" w14:textId="77777777">
        <w:trPr>
          <w:trHeight w:val="315"/>
        </w:trPr>
        <w:tc>
          <w:tcPr>
            <w:tcW w:w="1424" w:type="dxa"/>
            <w:shd w:val="clear" w:color="auto" w:fill="C6EFCE"/>
            <w:vAlign w:val="center"/>
          </w:tcPr>
          <w:p w14:paraId="178D062D" w14:textId="77777777" w:rsidR="00154E32" w:rsidRDefault="00A43E04">
            <w:pPr>
              <w:pStyle w:val="P68B1DB1-Normal11"/>
              <w:spacing w:before="120" w:after="120"/>
              <w:jc w:val="center"/>
              <w:rPr>
                <w:noProof/>
              </w:rPr>
            </w:pPr>
            <w:r>
              <w:rPr>
                <w:noProof/>
              </w:rPr>
              <w:t>M1C2–26</w:t>
            </w:r>
          </w:p>
        </w:tc>
        <w:tc>
          <w:tcPr>
            <w:tcW w:w="1578" w:type="dxa"/>
            <w:shd w:val="clear" w:color="auto" w:fill="C6EFCE"/>
            <w:vAlign w:val="center"/>
          </w:tcPr>
          <w:p w14:paraId="1832B2EF" w14:textId="77777777" w:rsidR="00154E32" w:rsidRDefault="00A43E04">
            <w:pPr>
              <w:pStyle w:val="P68B1DB1-Normal11"/>
              <w:spacing w:before="120" w:after="120"/>
              <w:jc w:val="center"/>
              <w:rPr>
                <w:noProof/>
              </w:rPr>
            </w:pPr>
            <w:r>
              <w:rPr>
                <w:noProof/>
              </w:rPr>
              <w:t>Naložba 5.1: Refinanciranje in preoblikovanje sklada 394/81, ki ga upravlja SIMEST</w:t>
            </w:r>
          </w:p>
        </w:tc>
        <w:tc>
          <w:tcPr>
            <w:tcW w:w="1078" w:type="dxa"/>
            <w:shd w:val="clear" w:color="auto" w:fill="C6EFCE"/>
            <w:vAlign w:val="center"/>
          </w:tcPr>
          <w:p w14:paraId="6C073258" w14:textId="77777777" w:rsidR="00154E32" w:rsidRDefault="00A43E04">
            <w:pPr>
              <w:pStyle w:val="P68B1DB1-Normal11"/>
              <w:spacing w:before="120" w:after="120"/>
              <w:jc w:val="center"/>
              <w:rPr>
                <w:noProof/>
              </w:rPr>
            </w:pPr>
            <w:r>
              <w:rPr>
                <w:noProof/>
              </w:rPr>
              <w:t>Mejnik</w:t>
            </w:r>
          </w:p>
        </w:tc>
        <w:tc>
          <w:tcPr>
            <w:tcW w:w="1329" w:type="dxa"/>
            <w:shd w:val="clear" w:color="auto" w:fill="C6EFCE"/>
            <w:vAlign w:val="center"/>
          </w:tcPr>
          <w:p w14:paraId="6B234AA9" w14:textId="77777777" w:rsidR="00154E32" w:rsidRDefault="00A43E04">
            <w:pPr>
              <w:pStyle w:val="P68B1DB1-Normal11"/>
              <w:spacing w:before="120" w:after="120"/>
              <w:jc w:val="center"/>
              <w:rPr>
                <w:noProof/>
              </w:rPr>
            </w:pPr>
            <w:r>
              <w:rPr>
                <w:noProof/>
              </w:rPr>
              <w:t>Začetek veljavnosti refinanciranja Sklada 394/81 in sprejetje naložbene politike</w:t>
            </w:r>
          </w:p>
        </w:tc>
        <w:tc>
          <w:tcPr>
            <w:tcW w:w="1275" w:type="dxa"/>
            <w:shd w:val="clear" w:color="auto" w:fill="C6EFCE"/>
            <w:vAlign w:val="center"/>
          </w:tcPr>
          <w:p w14:paraId="43F4166D" w14:textId="77777777" w:rsidR="00154E32" w:rsidRDefault="00A43E04">
            <w:pPr>
              <w:pStyle w:val="P68B1DB1-Normal11"/>
              <w:spacing w:before="120" w:after="120"/>
              <w:jc w:val="center"/>
              <w:rPr>
                <w:noProof/>
              </w:rPr>
            </w:pPr>
            <w:r>
              <w:rPr>
                <w:noProof/>
              </w:rPr>
              <w:t>Določba zakona o začetku veljavnosti zakonskih odlokov o refinanciranju dela nepovratnih sredstev in posojil sklada 394/81</w:t>
            </w:r>
          </w:p>
          <w:p w14:paraId="060D3622" w14:textId="77777777" w:rsidR="00154E32" w:rsidRDefault="00154E32">
            <w:pPr>
              <w:spacing w:before="120" w:after="120"/>
              <w:jc w:val="center"/>
              <w:rPr>
                <w:rFonts w:ascii="Arial Narrow" w:hAnsi="Arial Narrow"/>
                <w:noProof/>
                <w:sz w:val="20"/>
              </w:rPr>
            </w:pPr>
          </w:p>
          <w:p w14:paraId="43E2645C" w14:textId="77777777" w:rsidR="00154E32" w:rsidRDefault="00A43E04">
            <w:pPr>
              <w:pStyle w:val="P68B1DB1-Normal11"/>
              <w:spacing w:before="120" w:after="120"/>
              <w:jc w:val="center"/>
              <w:rPr>
                <w:noProof/>
              </w:rPr>
            </w:pPr>
            <w:r>
              <w:rPr>
                <w:noProof/>
              </w:rPr>
              <w:t>Odobritev sklepa odbora o določitvi meril za izbor projektov, ki se financirajo</w:t>
            </w:r>
          </w:p>
        </w:tc>
        <w:tc>
          <w:tcPr>
            <w:tcW w:w="1134" w:type="dxa"/>
            <w:shd w:val="clear" w:color="auto" w:fill="C6EFCE"/>
            <w:vAlign w:val="center"/>
          </w:tcPr>
          <w:p w14:paraId="5F30E520" w14:textId="77777777" w:rsidR="00154E32" w:rsidRDefault="00A43E04">
            <w:pPr>
              <w:pStyle w:val="P68B1DB1-Normal11"/>
              <w:spacing w:before="120" w:after="120"/>
              <w:jc w:val="center"/>
              <w:rPr>
                <w:noProof/>
              </w:rPr>
            </w:pPr>
            <w:r>
              <w:rPr>
                <w:noProof/>
              </w:rPr>
              <w:t>JIH NI</w:t>
            </w:r>
          </w:p>
        </w:tc>
        <w:tc>
          <w:tcPr>
            <w:tcW w:w="993" w:type="dxa"/>
            <w:shd w:val="clear" w:color="auto" w:fill="C6EFCE"/>
            <w:vAlign w:val="center"/>
          </w:tcPr>
          <w:p w14:paraId="71D2F64E" w14:textId="77777777" w:rsidR="00154E32" w:rsidRDefault="00A43E04">
            <w:pPr>
              <w:pStyle w:val="P68B1DB1-Normal11"/>
              <w:spacing w:before="120" w:after="120"/>
              <w:jc w:val="center"/>
              <w:rPr>
                <w:noProof/>
              </w:rPr>
            </w:pPr>
            <w:r>
              <w:rPr>
                <w:noProof/>
              </w:rPr>
              <w:t>JIH NI</w:t>
            </w:r>
          </w:p>
        </w:tc>
        <w:tc>
          <w:tcPr>
            <w:tcW w:w="992" w:type="dxa"/>
            <w:shd w:val="clear" w:color="auto" w:fill="C6EFCE"/>
            <w:vAlign w:val="center"/>
          </w:tcPr>
          <w:p w14:paraId="45400DF0" w14:textId="77777777" w:rsidR="00154E32" w:rsidRDefault="00A43E04">
            <w:pPr>
              <w:pStyle w:val="P68B1DB1-Normal11"/>
              <w:spacing w:before="120" w:after="120"/>
              <w:jc w:val="center"/>
              <w:rPr>
                <w:noProof/>
              </w:rPr>
            </w:pPr>
            <w:r>
              <w:rPr>
                <w:noProof/>
              </w:rPr>
              <w:t>JIH NI</w:t>
            </w:r>
          </w:p>
        </w:tc>
        <w:tc>
          <w:tcPr>
            <w:tcW w:w="850" w:type="dxa"/>
            <w:shd w:val="clear" w:color="auto" w:fill="C6EFCE"/>
            <w:vAlign w:val="center"/>
          </w:tcPr>
          <w:p w14:paraId="456396EA" w14:textId="77777777" w:rsidR="00154E32" w:rsidRDefault="00A43E04">
            <w:pPr>
              <w:pStyle w:val="P68B1DB1-Normal11"/>
              <w:spacing w:before="120" w:after="120"/>
              <w:jc w:val="center"/>
              <w:rPr>
                <w:noProof/>
              </w:rPr>
            </w:pPr>
            <w:r>
              <w:rPr>
                <w:noProof/>
              </w:rPr>
              <w:t>Q3</w:t>
            </w:r>
          </w:p>
        </w:tc>
        <w:tc>
          <w:tcPr>
            <w:tcW w:w="709" w:type="dxa"/>
            <w:shd w:val="clear" w:color="auto" w:fill="C6EFCE"/>
            <w:vAlign w:val="center"/>
          </w:tcPr>
          <w:p w14:paraId="18A169F9" w14:textId="77777777" w:rsidR="00154E32" w:rsidRDefault="00A43E04">
            <w:pPr>
              <w:pStyle w:val="P68B1DB1-Normal11"/>
              <w:spacing w:before="120" w:after="120"/>
              <w:jc w:val="center"/>
              <w:rPr>
                <w:noProof/>
              </w:rPr>
            </w:pPr>
            <w:r>
              <w:rPr>
                <w:noProof/>
              </w:rPr>
              <w:t>2021</w:t>
            </w:r>
          </w:p>
        </w:tc>
        <w:tc>
          <w:tcPr>
            <w:tcW w:w="3794" w:type="dxa"/>
            <w:shd w:val="clear" w:color="auto" w:fill="C6EFCE"/>
            <w:vAlign w:val="center"/>
          </w:tcPr>
          <w:p w14:paraId="036B3C91" w14:textId="77777777" w:rsidR="00154E32" w:rsidRDefault="00A43E04">
            <w:pPr>
              <w:pStyle w:val="P68B1DB1-Normal11"/>
              <w:spacing w:before="120"/>
              <w:rPr>
                <w:noProof/>
              </w:rPr>
            </w:pPr>
            <w:r>
              <w:rPr>
                <w:noProof/>
              </w:rPr>
              <w:t>Zakonski odlok(-i) določa(-jo) refinanciranje dela nepovratnih sredstev in posojil Sklada 394/81. Odbor sklada odobri sklep o določitvi naložbene politike.</w:t>
            </w:r>
          </w:p>
          <w:p w14:paraId="43FF489D" w14:textId="77777777" w:rsidR="00154E32" w:rsidRDefault="00A43E04">
            <w:pPr>
              <w:pStyle w:val="P68B1DB1-Normal11"/>
              <w:spacing w:before="120"/>
              <w:rPr>
                <w:noProof/>
              </w:rPr>
            </w:pPr>
            <w:r>
              <w:rPr>
                <w:noProof/>
              </w:rPr>
              <w:t>Naložbena politika, povezana z refinanciranjem sklada 394/81, opredeljuje najmanj: (I) naravo in obseg podprtih projektov, ki so v skladu s cilji Uredbe (EU) 2021/241; pristojnosti in naloge vključujejo merila za upravičenost za zagotovitev skladnosti s tehničnimi smernicami „da se ne škoduje bistveno“ (2021/C58/01) projektov, podprtih v okviru tega ukrepa, z uporabo preverjanja trajnostnosti, seznama izključitev in zahteve po skladnosti z ustrezno okoljsko zakonodajo EU in nacionalno okoljsko zakonodajo, (ii) vrsto podprtih operacij, (iii) ciljnimi upravičenci, pri katerih prevladujejo MSP, in njihovimi merili za upravičenost, (iv) določbami o ponovnem vlaganju morebitnih vrnjenih sredstev za podobne cilje politike, tudi po letu 2026, če se ne bodo ponovno uporabile za ponovno plačilo obrestnih mer, ki izhajajo iz posojil, zagotovljenih v skladu z Uredbo (EU) 2021/241.</w:t>
            </w:r>
          </w:p>
          <w:p w14:paraId="339182E2" w14:textId="77777777" w:rsidR="00154E32" w:rsidRDefault="00A43E04">
            <w:pPr>
              <w:pStyle w:val="P68B1DB1-Normal11"/>
              <w:spacing w:before="120"/>
              <w:rPr>
                <w:noProof/>
              </w:rPr>
            </w:pPr>
            <w:r>
              <w:rPr>
                <w:noProof/>
              </w:rPr>
              <w:t>Pogodbeni dogovor s pooblaščenim subjektom ali finančnim posrednikom zahteva uporabo tehničnih smernic, da se ne škoduje bistveno (2021/C58/01).</w:t>
            </w:r>
          </w:p>
        </w:tc>
      </w:tr>
      <w:tr w:rsidR="00154E32" w14:paraId="3AB2A2E6" w14:textId="77777777">
        <w:trPr>
          <w:trHeight w:val="315"/>
        </w:trPr>
        <w:tc>
          <w:tcPr>
            <w:tcW w:w="1424" w:type="dxa"/>
            <w:shd w:val="clear" w:color="auto" w:fill="C6EFCE"/>
            <w:vAlign w:val="center"/>
          </w:tcPr>
          <w:p w14:paraId="4E454D7F" w14:textId="77777777" w:rsidR="00154E32" w:rsidRDefault="00A43E04">
            <w:pPr>
              <w:pStyle w:val="P68B1DB1-Normal11"/>
              <w:spacing w:before="120" w:after="120"/>
              <w:jc w:val="center"/>
              <w:rPr>
                <w:noProof/>
              </w:rPr>
            </w:pPr>
            <w:r>
              <w:rPr>
                <w:noProof/>
              </w:rPr>
              <w:t>M1C2–27</w:t>
            </w:r>
          </w:p>
        </w:tc>
        <w:tc>
          <w:tcPr>
            <w:tcW w:w="1578" w:type="dxa"/>
            <w:shd w:val="clear" w:color="auto" w:fill="C6EFCE"/>
            <w:vAlign w:val="center"/>
          </w:tcPr>
          <w:p w14:paraId="53BAD7D4" w14:textId="77777777" w:rsidR="00154E32" w:rsidRDefault="00A43E04">
            <w:pPr>
              <w:pStyle w:val="P68B1DB1-Normal11"/>
              <w:spacing w:before="120" w:after="120"/>
              <w:jc w:val="center"/>
              <w:rPr>
                <w:noProof/>
              </w:rPr>
            </w:pPr>
            <w:r>
              <w:rPr>
                <w:noProof/>
              </w:rPr>
              <w:t>Naložba 5.1: Refinanciranje in preoblikovanje sklada 394/81, ki ga upravlja SIMEST</w:t>
            </w:r>
          </w:p>
        </w:tc>
        <w:tc>
          <w:tcPr>
            <w:tcW w:w="1078" w:type="dxa"/>
            <w:shd w:val="clear" w:color="auto" w:fill="C6EFCE"/>
            <w:vAlign w:val="center"/>
          </w:tcPr>
          <w:p w14:paraId="41F6BFED" w14:textId="77777777" w:rsidR="00154E32" w:rsidRDefault="00A43E04">
            <w:pPr>
              <w:pStyle w:val="P68B1DB1-Normal11"/>
              <w:spacing w:before="120" w:after="120"/>
              <w:jc w:val="center"/>
              <w:rPr>
                <w:noProof/>
              </w:rPr>
            </w:pPr>
            <w:r>
              <w:rPr>
                <w:noProof/>
              </w:rPr>
              <w:t>Tarča</w:t>
            </w:r>
          </w:p>
        </w:tc>
        <w:tc>
          <w:tcPr>
            <w:tcW w:w="1329" w:type="dxa"/>
            <w:shd w:val="clear" w:color="auto" w:fill="C6EFCE"/>
            <w:vAlign w:val="center"/>
          </w:tcPr>
          <w:p w14:paraId="322DADC2" w14:textId="77777777" w:rsidR="00154E32" w:rsidRDefault="00A43E04">
            <w:pPr>
              <w:pStyle w:val="P68B1DB1-Normal11"/>
              <w:spacing w:before="120" w:after="120"/>
              <w:jc w:val="center"/>
              <w:rPr>
                <w:noProof/>
              </w:rPr>
            </w:pPr>
            <w:r>
              <w:rPr>
                <w:noProof/>
              </w:rPr>
              <w:t>MSP, ki so prejela podporo iz Sklada 394/81</w:t>
            </w:r>
          </w:p>
        </w:tc>
        <w:tc>
          <w:tcPr>
            <w:tcW w:w="1275" w:type="dxa"/>
            <w:shd w:val="clear" w:color="auto" w:fill="C6EFCE"/>
            <w:vAlign w:val="center"/>
          </w:tcPr>
          <w:p w14:paraId="1D6FA9F8" w14:textId="77777777" w:rsidR="00154E32" w:rsidRDefault="00A43E04">
            <w:pPr>
              <w:pStyle w:val="P68B1DB1-Normal11"/>
              <w:spacing w:before="120" w:after="120"/>
              <w:jc w:val="center"/>
              <w:rPr>
                <w:noProof/>
              </w:rPr>
            </w:pPr>
            <w:r>
              <w:rPr>
                <w:noProof/>
              </w:rPr>
              <w:t>JIH NI</w:t>
            </w:r>
          </w:p>
        </w:tc>
        <w:tc>
          <w:tcPr>
            <w:tcW w:w="1134" w:type="dxa"/>
            <w:shd w:val="clear" w:color="auto" w:fill="C6EFCE"/>
            <w:vAlign w:val="center"/>
          </w:tcPr>
          <w:p w14:paraId="5FD8554D" w14:textId="77777777" w:rsidR="00154E32" w:rsidRDefault="00A43E04">
            <w:pPr>
              <w:pStyle w:val="P68B1DB1-Normal11"/>
              <w:spacing w:before="120" w:after="120"/>
              <w:jc w:val="center"/>
              <w:rPr>
                <w:noProof/>
              </w:rPr>
            </w:pPr>
            <w:r>
              <w:rPr>
                <w:noProof/>
              </w:rPr>
              <w:t>Število</w:t>
            </w:r>
          </w:p>
        </w:tc>
        <w:tc>
          <w:tcPr>
            <w:tcW w:w="993" w:type="dxa"/>
            <w:shd w:val="clear" w:color="auto" w:fill="C6EFCE"/>
            <w:vAlign w:val="center"/>
          </w:tcPr>
          <w:p w14:paraId="094D4C62" w14:textId="77777777" w:rsidR="00154E32" w:rsidRDefault="00A43E04">
            <w:pPr>
              <w:pStyle w:val="P68B1DB1-Normal11"/>
              <w:spacing w:before="120" w:after="120"/>
              <w:jc w:val="center"/>
              <w:rPr>
                <w:noProof/>
              </w:rPr>
            </w:pPr>
            <w:r>
              <w:rPr>
                <w:noProof/>
              </w:rPr>
              <w:t>0</w:t>
            </w:r>
          </w:p>
        </w:tc>
        <w:tc>
          <w:tcPr>
            <w:tcW w:w="992" w:type="dxa"/>
            <w:shd w:val="clear" w:color="auto" w:fill="C6EFCE"/>
            <w:vAlign w:val="center"/>
          </w:tcPr>
          <w:p w14:paraId="7578042B" w14:textId="400C7AE4" w:rsidR="00154E32" w:rsidRDefault="00A43E04">
            <w:pPr>
              <w:pStyle w:val="P68B1DB1-Normal11"/>
              <w:spacing w:before="120" w:after="120"/>
              <w:jc w:val="center"/>
              <w:rPr>
                <w:noProof/>
              </w:rPr>
            </w:pPr>
            <w:r>
              <w:rPr>
                <w:noProof/>
              </w:rPr>
              <w:t>4 000</w:t>
            </w:r>
          </w:p>
        </w:tc>
        <w:tc>
          <w:tcPr>
            <w:tcW w:w="850" w:type="dxa"/>
            <w:shd w:val="clear" w:color="auto" w:fill="C6EFCE"/>
            <w:vAlign w:val="center"/>
          </w:tcPr>
          <w:p w14:paraId="1844EB25" w14:textId="77777777" w:rsidR="00154E32" w:rsidRDefault="00A43E04">
            <w:pPr>
              <w:pStyle w:val="P68B1DB1-Normal11"/>
              <w:spacing w:before="120" w:after="120"/>
              <w:jc w:val="center"/>
              <w:rPr>
                <w:noProof/>
              </w:rPr>
            </w:pPr>
            <w:r>
              <w:rPr>
                <w:noProof/>
              </w:rPr>
              <w:t>Q4</w:t>
            </w:r>
          </w:p>
        </w:tc>
        <w:tc>
          <w:tcPr>
            <w:tcW w:w="709" w:type="dxa"/>
            <w:shd w:val="clear" w:color="auto" w:fill="C6EFCE"/>
            <w:vAlign w:val="center"/>
          </w:tcPr>
          <w:p w14:paraId="26FDB84B" w14:textId="77777777" w:rsidR="00154E32" w:rsidRDefault="00A43E04">
            <w:pPr>
              <w:pStyle w:val="P68B1DB1-Normal11"/>
              <w:spacing w:before="120" w:after="120"/>
              <w:jc w:val="center"/>
              <w:rPr>
                <w:noProof/>
              </w:rPr>
            </w:pPr>
            <w:r>
              <w:rPr>
                <w:noProof/>
              </w:rPr>
              <w:t>2021</w:t>
            </w:r>
          </w:p>
        </w:tc>
        <w:tc>
          <w:tcPr>
            <w:tcW w:w="3794" w:type="dxa"/>
            <w:shd w:val="clear" w:color="auto" w:fill="C6EFCE"/>
            <w:vAlign w:val="center"/>
          </w:tcPr>
          <w:p w14:paraId="6E93E485" w14:textId="790A4E50" w:rsidR="00154E32" w:rsidRDefault="00A43E04">
            <w:pPr>
              <w:pStyle w:val="P68B1DB1-Normal11"/>
              <w:spacing w:before="120" w:after="120"/>
              <w:rPr>
                <w:noProof/>
              </w:rPr>
            </w:pPr>
            <w:r>
              <w:rPr>
                <w:noProof/>
              </w:rPr>
              <w:t>Od 1. januarja 2021 je podporo iz Sklada 394/81 prejelo vsaj dodatnih 4000 MSP.</w:t>
            </w:r>
          </w:p>
        </w:tc>
      </w:tr>
      <w:tr w:rsidR="00154E32" w14:paraId="3A60A892" w14:textId="77777777">
        <w:trPr>
          <w:trHeight w:val="315"/>
        </w:trPr>
        <w:tc>
          <w:tcPr>
            <w:tcW w:w="1424" w:type="dxa"/>
            <w:shd w:val="clear" w:color="auto" w:fill="C6EFCE"/>
            <w:vAlign w:val="center"/>
          </w:tcPr>
          <w:p w14:paraId="722030A3" w14:textId="77777777" w:rsidR="00154E32" w:rsidRDefault="00A43E04">
            <w:pPr>
              <w:pStyle w:val="P68B1DB1-Normal11"/>
              <w:spacing w:before="120" w:after="120"/>
              <w:jc w:val="center"/>
              <w:rPr>
                <w:noProof/>
              </w:rPr>
            </w:pPr>
            <w:r>
              <w:rPr>
                <w:noProof/>
              </w:rPr>
              <w:t>M1C2–28</w:t>
            </w:r>
          </w:p>
        </w:tc>
        <w:tc>
          <w:tcPr>
            <w:tcW w:w="1578" w:type="dxa"/>
            <w:shd w:val="clear" w:color="auto" w:fill="C6EFCE"/>
            <w:vAlign w:val="center"/>
          </w:tcPr>
          <w:p w14:paraId="57F6CA4F" w14:textId="77777777" w:rsidR="00154E32" w:rsidRDefault="00A43E04">
            <w:pPr>
              <w:pStyle w:val="P68B1DB1-Normal11"/>
              <w:spacing w:before="120" w:after="120"/>
              <w:jc w:val="center"/>
              <w:rPr>
                <w:noProof/>
              </w:rPr>
            </w:pPr>
            <w:r>
              <w:rPr>
                <w:noProof/>
              </w:rPr>
              <w:t>Naložba 5.2: Konkurenčnost in odpornost dobavnih verig</w:t>
            </w:r>
          </w:p>
        </w:tc>
        <w:tc>
          <w:tcPr>
            <w:tcW w:w="1078" w:type="dxa"/>
            <w:shd w:val="clear" w:color="auto" w:fill="C6EFCE"/>
            <w:vAlign w:val="center"/>
          </w:tcPr>
          <w:p w14:paraId="31BC2486" w14:textId="77777777" w:rsidR="00154E32" w:rsidRDefault="00A43E04">
            <w:pPr>
              <w:pStyle w:val="P68B1DB1-Normal11"/>
              <w:spacing w:before="120" w:after="120"/>
              <w:jc w:val="center"/>
              <w:rPr>
                <w:noProof/>
              </w:rPr>
            </w:pPr>
            <w:r>
              <w:rPr>
                <w:noProof/>
              </w:rPr>
              <w:t>Mejnik</w:t>
            </w:r>
          </w:p>
        </w:tc>
        <w:tc>
          <w:tcPr>
            <w:tcW w:w="1329" w:type="dxa"/>
            <w:shd w:val="clear" w:color="auto" w:fill="C6EFCE"/>
            <w:vAlign w:val="center"/>
          </w:tcPr>
          <w:p w14:paraId="19D1EAC5" w14:textId="77777777" w:rsidR="00154E32" w:rsidRDefault="00A43E04">
            <w:pPr>
              <w:pStyle w:val="P68B1DB1-Normal11"/>
              <w:spacing w:before="120" w:after="120"/>
              <w:jc w:val="center"/>
              <w:rPr>
                <w:noProof/>
              </w:rPr>
            </w:pPr>
            <w:r>
              <w:rPr>
                <w:noProof/>
              </w:rPr>
              <w:t>Začetek veljavnosti odloka, ki vključuje naložbeno politiko pogodb o razvoju</w:t>
            </w:r>
          </w:p>
        </w:tc>
        <w:tc>
          <w:tcPr>
            <w:tcW w:w="1275" w:type="dxa"/>
            <w:shd w:val="clear" w:color="auto" w:fill="C6EFCE"/>
            <w:vAlign w:val="center"/>
          </w:tcPr>
          <w:p w14:paraId="235EDFEC" w14:textId="2EBCDE7A" w:rsidR="00154E32" w:rsidRDefault="00A43E04">
            <w:pPr>
              <w:pStyle w:val="P68B1DB1-Normal11"/>
              <w:spacing w:before="120" w:after="120"/>
              <w:jc w:val="center"/>
              <w:rPr>
                <w:noProof/>
              </w:rPr>
            </w:pPr>
            <w:r>
              <w:rPr>
                <w:noProof/>
              </w:rPr>
              <w:t>Določba zakona o začetku veljavnosti uredbe</w:t>
            </w:r>
          </w:p>
        </w:tc>
        <w:tc>
          <w:tcPr>
            <w:tcW w:w="1134" w:type="dxa"/>
            <w:shd w:val="clear" w:color="auto" w:fill="C6EFCE"/>
            <w:vAlign w:val="center"/>
          </w:tcPr>
          <w:p w14:paraId="09C13050" w14:textId="77777777" w:rsidR="00154E32" w:rsidRDefault="00A43E04">
            <w:pPr>
              <w:pStyle w:val="P68B1DB1-Normal11"/>
              <w:spacing w:before="120" w:after="120"/>
              <w:jc w:val="center"/>
              <w:rPr>
                <w:noProof/>
              </w:rPr>
            </w:pPr>
            <w:r>
              <w:rPr>
                <w:noProof/>
              </w:rPr>
              <w:t>JIH NI</w:t>
            </w:r>
          </w:p>
        </w:tc>
        <w:tc>
          <w:tcPr>
            <w:tcW w:w="993" w:type="dxa"/>
            <w:shd w:val="clear" w:color="auto" w:fill="C6EFCE"/>
            <w:vAlign w:val="center"/>
          </w:tcPr>
          <w:p w14:paraId="53671CCA" w14:textId="77777777" w:rsidR="00154E32" w:rsidRDefault="00A43E04">
            <w:pPr>
              <w:pStyle w:val="P68B1DB1-Normal11"/>
              <w:spacing w:before="120" w:after="120"/>
              <w:jc w:val="center"/>
              <w:rPr>
                <w:noProof/>
              </w:rPr>
            </w:pPr>
            <w:r>
              <w:rPr>
                <w:noProof/>
              </w:rPr>
              <w:t>JIH NI</w:t>
            </w:r>
          </w:p>
        </w:tc>
        <w:tc>
          <w:tcPr>
            <w:tcW w:w="992" w:type="dxa"/>
            <w:shd w:val="clear" w:color="auto" w:fill="C6EFCE"/>
            <w:vAlign w:val="center"/>
          </w:tcPr>
          <w:p w14:paraId="35C86646" w14:textId="77777777" w:rsidR="00154E32" w:rsidRDefault="00A43E04">
            <w:pPr>
              <w:pStyle w:val="P68B1DB1-Normal11"/>
              <w:spacing w:before="120" w:after="120"/>
              <w:jc w:val="center"/>
              <w:rPr>
                <w:noProof/>
              </w:rPr>
            </w:pPr>
            <w:r>
              <w:rPr>
                <w:noProof/>
              </w:rPr>
              <w:t>JIH NI</w:t>
            </w:r>
          </w:p>
        </w:tc>
        <w:tc>
          <w:tcPr>
            <w:tcW w:w="850" w:type="dxa"/>
            <w:shd w:val="clear" w:color="auto" w:fill="C6EFCE"/>
            <w:vAlign w:val="center"/>
          </w:tcPr>
          <w:p w14:paraId="64084CB1" w14:textId="77777777" w:rsidR="00154E32" w:rsidRDefault="00A43E04">
            <w:pPr>
              <w:pStyle w:val="P68B1DB1-Normal11"/>
              <w:spacing w:before="120" w:after="120"/>
              <w:jc w:val="center"/>
              <w:rPr>
                <w:noProof/>
              </w:rPr>
            </w:pPr>
            <w:r>
              <w:rPr>
                <w:noProof/>
              </w:rPr>
              <w:t>ČETRTLETJE 1</w:t>
            </w:r>
          </w:p>
        </w:tc>
        <w:tc>
          <w:tcPr>
            <w:tcW w:w="709" w:type="dxa"/>
            <w:shd w:val="clear" w:color="auto" w:fill="C6EFCE"/>
            <w:vAlign w:val="center"/>
          </w:tcPr>
          <w:p w14:paraId="2D730429" w14:textId="77777777" w:rsidR="00154E32" w:rsidRDefault="00A43E04">
            <w:pPr>
              <w:pStyle w:val="P68B1DB1-Normal11"/>
              <w:spacing w:before="120" w:after="120"/>
              <w:jc w:val="center"/>
              <w:rPr>
                <w:noProof/>
              </w:rPr>
            </w:pPr>
            <w:r>
              <w:rPr>
                <w:noProof/>
              </w:rPr>
              <w:t>2022</w:t>
            </w:r>
          </w:p>
        </w:tc>
        <w:tc>
          <w:tcPr>
            <w:tcW w:w="3794" w:type="dxa"/>
            <w:shd w:val="clear" w:color="auto" w:fill="C6EFCE"/>
            <w:vAlign w:val="center"/>
          </w:tcPr>
          <w:p w14:paraId="307354EA" w14:textId="77777777" w:rsidR="00154E32" w:rsidRDefault="00A43E04">
            <w:pPr>
              <w:pStyle w:val="P68B1DB1-Normal11"/>
              <w:rPr>
                <w:noProof/>
              </w:rPr>
            </w:pPr>
            <w:r>
              <w:rPr>
                <w:noProof/>
              </w:rPr>
              <w:t>Naložbena politika pogodb o razvoju opredeljuje najmanj: (I) naravo in obseg podprtih projektov, ki so v skladu s cilji Uredbe (EU) 2021/241; mandat vključuje merila za upravičenost za zagotovitev skladnosti s tehničnimi smernicami „da se ne škoduje bistveno“ (2021/C58/01) projektov, podprtih v okviru tega ukrepa, z uporabo preverjanja trajnostnosti, seznama izključitev in zahteve po skladnosti z ustrezno okoljsko zakonodajo EU in nacionalno okoljsko zakonodajo, (ii) vrsto podprtih operacij, (iii) ciljnimi upravičenci in njihovimi merili za upravičenost, (iv) določbami za ponovno vlaganje morebitnih vrnjenih sredstev za podobne cilje politike, tudi po letu 2026, če se ne uporabijo ponovno za ponovno plačilo obrestnih mer, ki izhajajo iz posojil, zagotovljenih na podlagi Uredbe (EU) 2021/241.</w:t>
            </w:r>
          </w:p>
          <w:p w14:paraId="538D5B71" w14:textId="77777777" w:rsidR="00154E32" w:rsidRDefault="00154E32">
            <w:pPr>
              <w:rPr>
                <w:rFonts w:ascii="Arial Narrow" w:hAnsi="Arial Narrow"/>
                <w:noProof/>
                <w:color w:val="006100"/>
                <w:sz w:val="20"/>
              </w:rPr>
            </w:pPr>
          </w:p>
          <w:p w14:paraId="70F9CDFF" w14:textId="77777777" w:rsidR="00154E32" w:rsidRDefault="00A43E04">
            <w:pPr>
              <w:pStyle w:val="P68B1DB1-Normal11"/>
              <w:rPr>
                <w:noProof/>
              </w:rPr>
            </w:pPr>
            <w:r>
              <w:rPr>
                <w:noProof/>
              </w:rPr>
              <w:t>Pogodbeni dogovor s pooblaščenim subjektom ali finančnim posrednikom zahteva uporabo tehničnih smernic, da se ne škoduje bistveno (2021/C58/01).</w:t>
            </w:r>
          </w:p>
        </w:tc>
      </w:tr>
      <w:tr w:rsidR="00154E32" w14:paraId="7DCE3B31" w14:textId="77777777">
        <w:trPr>
          <w:trHeight w:val="315"/>
        </w:trPr>
        <w:tc>
          <w:tcPr>
            <w:tcW w:w="1424" w:type="dxa"/>
            <w:shd w:val="clear" w:color="auto" w:fill="C6EFCE"/>
            <w:vAlign w:val="center"/>
          </w:tcPr>
          <w:p w14:paraId="292FC979" w14:textId="77777777" w:rsidR="00154E32" w:rsidRDefault="00A43E04">
            <w:pPr>
              <w:pStyle w:val="P68B1DB1-Normal11"/>
              <w:spacing w:before="120" w:after="120"/>
              <w:jc w:val="center"/>
              <w:rPr>
                <w:noProof/>
              </w:rPr>
            </w:pPr>
            <w:r>
              <w:rPr>
                <w:noProof/>
              </w:rPr>
              <w:t>M1C2–29</w:t>
            </w:r>
          </w:p>
        </w:tc>
        <w:tc>
          <w:tcPr>
            <w:tcW w:w="1578" w:type="dxa"/>
            <w:shd w:val="clear" w:color="auto" w:fill="C6EFCE"/>
            <w:vAlign w:val="center"/>
          </w:tcPr>
          <w:p w14:paraId="2950F808" w14:textId="77777777" w:rsidR="00154E32" w:rsidRDefault="00A43E04">
            <w:pPr>
              <w:pStyle w:val="P68B1DB1-Normal11"/>
              <w:spacing w:before="120" w:after="120"/>
              <w:jc w:val="center"/>
              <w:rPr>
                <w:noProof/>
              </w:rPr>
            </w:pPr>
            <w:r>
              <w:rPr>
                <w:noProof/>
              </w:rPr>
              <w:t>Naložba 5.2: Konkurenčnost in odpornost dobavnih verig</w:t>
            </w:r>
          </w:p>
        </w:tc>
        <w:tc>
          <w:tcPr>
            <w:tcW w:w="1078" w:type="dxa"/>
            <w:shd w:val="clear" w:color="auto" w:fill="C6EFCE"/>
            <w:vAlign w:val="center"/>
          </w:tcPr>
          <w:p w14:paraId="224812EA" w14:textId="77777777" w:rsidR="00154E32" w:rsidRDefault="00A43E04">
            <w:pPr>
              <w:pStyle w:val="P68B1DB1-Normal11"/>
              <w:spacing w:before="120" w:after="120"/>
              <w:jc w:val="center"/>
              <w:rPr>
                <w:noProof/>
              </w:rPr>
            </w:pPr>
            <w:r>
              <w:rPr>
                <w:noProof/>
              </w:rPr>
              <w:t>Tarča</w:t>
            </w:r>
          </w:p>
        </w:tc>
        <w:tc>
          <w:tcPr>
            <w:tcW w:w="1329" w:type="dxa"/>
            <w:shd w:val="clear" w:color="auto" w:fill="C6EFCE"/>
            <w:vAlign w:val="center"/>
          </w:tcPr>
          <w:p w14:paraId="420A63D7" w14:textId="77777777" w:rsidR="00154E32" w:rsidRDefault="00A43E04">
            <w:pPr>
              <w:pStyle w:val="P68B1DB1-Normal11"/>
              <w:spacing w:before="120" w:after="120"/>
              <w:jc w:val="center"/>
              <w:rPr>
                <w:noProof/>
              </w:rPr>
            </w:pPr>
            <w:r>
              <w:rPr>
                <w:noProof/>
              </w:rPr>
              <w:t>Odobrene pogodbe o razvoju</w:t>
            </w:r>
          </w:p>
        </w:tc>
        <w:tc>
          <w:tcPr>
            <w:tcW w:w="1275" w:type="dxa"/>
            <w:shd w:val="clear" w:color="auto" w:fill="C6EFCE"/>
            <w:vAlign w:val="center"/>
          </w:tcPr>
          <w:p w14:paraId="23A4F7DD" w14:textId="77777777" w:rsidR="00154E32" w:rsidRDefault="00A43E04">
            <w:pPr>
              <w:pStyle w:val="P68B1DB1-Normal11"/>
              <w:jc w:val="center"/>
              <w:rPr>
                <w:noProof/>
              </w:rPr>
            </w:pPr>
            <w:r>
              <w:rPr>
                <w:noProof/>
              </w:rPr>
              <w:t>JIH NI</w:t>
            </w:r>
          </w:p>
        </w:tc>
        <w:tc>
          <w:tcPr>
            <w:tcW w:w="1134" w:type="dxa"/>
            <w:shd w:val="clear" w:color="auto" w:fill="C6EFCE"/>
            <w:vAlign w:val="center"/>
          </w:tcPr>
          <w:p w14:paraId="0AC59B13" w14:textId="77777777" w:rsidR="00154E32" w:rsidRDefault="00A43E04">
            <w:pPr>
              <w:pStyle w:val="P68B1DB1-Normal11"/>
              <w:jc w:val="center"/>
              <w:rPr>
                <w:noProof/>
              </w:rPr>
            </w:pPr>
            <w:r>
              <w:rPr>
                <w:noProof/>
              </w:rPr>
              <w:t>Število</w:t>
            </w:r>
          </w:p>
        </w:tc>
        <w:tc>
          <w:tcPr>
            <w:tcW w:w="993" w:type="dxa"/>
            <w:shd w:val="clear" w:color="auto" w:fill="C6EFCE"/>
            <w:vAlign w:val="center"/>
          </w:tcPr>
          <w:p w14:paraId="59DAEDCF" w14:textId="1B344965" w:rsidR="00154E32" w:rsidRDefault="00A43E04">
            <w:pPr>
              <w:pStyle w:val="P68B1DB1-Normal11"/>
              <w:jc w:val="center"/>
              <w:rPr>
                <w:noProof/>
              </w:rPr>
            </w:pPr>
            <w:r>
              <w:rPr>
                <w:noProof/>
              </w:rPr>
              <w:t>0</w:t>
            </w:r>
          </w:p>
        </w:tc>
        <w:tc>
          <w:tcPr>
            <w:tcW w:w="992" w:type="dxa"/>
            <w:shd w:val="clear" w:color="auto" w:fill="C6EFCE"/>
            <w:vAlign w:val="center"/>
          </w:tcPr>
          <w:p w14:paraId="3EE20A19" w14:textId="41B7969E" w:rsidR="00154E32" w:rsidRDefault="00A43E04">
            <w:pPr>
              <w:pStyle w:val="P68B1DB1-Normal11"/>
              <w:jc w:val="center"/>
              <w:rPr>
                <w:noProof/>
              </w:rPr>
            </w:pPr>
            <w:r>
              <w:rPr>
                <w:noProof/>
              </w:rPr>
              <w:t>40</w:t>
            </w:r>
          </w:p>
        </w:tc>
        <w:tc>
          <w:tcPr>
            <w:tcW w:w="850" w:type="dxa"/>
            <w:shd w:val="clear" w:color="auto" w:fill="C6EFCE"/>
            <w:vAlign w:val="center"/>
          </w:tcPr>
          <w:p w14:paraId="518026DD" w14:textId="024B6745" w:rsidR="00154E32" w:rsidRDefault="00A43E04">
            <w:pPr>
              <w:pStyle w:val="P68B1DB1-Normal11"/>
              <w:jc w:val="center"/>
              <w:rPr>
                <w:noProof/>
              </w:rPr>
            </w:pPr>
            <w:r>
              <w:rPr>
                <w:noProof/>
              </w:rPr>
              <w:t>Q4</w:t>
            </w:r>
          </w:p>
        </w:tc>
        <w:tc>
          <w:tcPr>
            <w:tcW w:w="709" w:type="dxa"/>
            <w:shd w:val="clear" w:color="auto" w:fill="C6EFCE"/>
            <w:vAlign w:val="center"/>
          </w:tcPr>
          <w:p w14:paraId="3C5FC4AA" w14:textId="77777777" w:rsidR="00154E32" w:rsidRDefault="00A43E04">
            <w:pPr>
              <w:pStyle w:val="P68B1DB1-Normal11"/>
              <w:spacing w:before="120" w:after="120"/>
              <w:jc w:val="center"/>
              <w:rPr>
                <w:noProof/>
              </w:rPr>
            </w:pPr>
            <w:r>
              <w:rPr>
                <w:noProof/>
              </w:rPr>
              <w:t>2023</w:t>
            </w:r>
          </w:p>
        </w:tc>
        <w:tc>
          <w:tcPr>
            <w:tcW w:w="3794" w:type="dxa"/>
            <w:shd w:val="clear" w:color="auto" w:fill="C6EFCE"/>
            <w:vAlign w:val="center"/>
          </w:tcPr>
          <w:p w14:paraId="41087DC8" w14:textId="1FA0258F" w:rsidR="00154E32" w:rsidRDefault="00A43E04">
            <w:pPr>
              <w:pStyle w:val="P68B1DB1-Normal12"/>
              <w:spacing w:before="120" w:after="120"/>
              <w:rPr>
                <w:rFonts w:ascii="Arial Narrow" w:hAnsi="Arial Narrow"/>
                <w:noProof/>
              </w:rPr>
            </w:pPr>
            <w:r>
              <w:rPr>
                <w:rFonts w:ascii="Arial Narrow" w:hAnsi="Arial Narrow"/>
                <w:noProof/>
              </w:rPr>
              <w:t>V skladu s svojo naložbeno politiko je bilo odobrenih vsaj 40 pogodb o razvoju. Zadovoljivo izpolnjevanje cilja je odvisno tudi od aktivacije vsaj</w:t>
            </w:r>
            <w:r>
              <w:rPr>
                <w:noProof/>
              </w:rPr>
              <w:t xml:space="preserve"> </w:t>
            </w:r>
            <w:r>
              <w:rPr>
                <w:rFonts w:ascii="Arial Narrow" w:hAnsi="Arial Narrow"/>
                <w:noProof/>
              </w:rPr>
              <w:t>1500 milijonov EUR naložb.</w:t>
            </w:r>
          </w:p>
        </w:tc>
      </w:tr>
      <w:tr w:rsidR="00154E32" w14:paraId="3BE11AB6" w14:textId="77777777">
        <w:trPr>
          <w:trHeight w:val="315"/>
        </w:trPr>
        <w:tc>
          <w:tcPr>
            <w:tcW w:w="1424" w:type="dxa"/>
            <w:shd w:val="clear" w:color="auto" w:fill="C6EFCE"/>
            <w:vAlign w:val="center"/>
          </w:tcPr>
          <w:p w14:paraId="6BC1C953" w14:textId="77777777" w:rsidR="00154E32" w:rsidRDefault="00A43E04">
            <w:pPr>
              <w:pStyle w:val="P68B1DB1-Normal11"/>
              <w:spacing w:before="120" w:after="120"/>
              <w:jc w:val="center"/>
              <w:rPr>
                <w:noProof/>
              </w:rPr>
            </w:pPr>
            <w:r>
              <w:rPr>
                <w:noProof/>
              </w:rPr>
              <w:t>M1C2–30</w:t>
            </w:r>
          </w:p>
        </w:tc>
        <w:tc>
          <w:tcPr>
            <w:tcW w:w="1578" w:type="dxa"/>
            <w:shd w:val="clear" w:color="auto" w:fill="C6EFCE"/>
            <w:vAlign w:val="center"/>
          </w:tcPr>
          <w:p w14:paraId="04555F2E" w14:textId="647410A1" w:rsidR="00154E32" w:rsidRDefault="00A43E04">
            <w:pPr>
              <w:pStyle w:val="P68B1DB1-Normal11"/>
              <w:spacing w:before="120" w:after="120"/>
              <w:jc w:val="center"/>
              <w:rPr>
                <w:noProof/>
              </w:rPr>
            </w:pPr>
            <w:r>
              <w:rPr>
                <w:noProof/>
              </w:rPr>
              <w:t>Naložba 7. Podpora proizvodnemu sistemu za ekološki prehod, neto ničelne tehnologije ter konkurenčnost in odpornost strateških dobavnih verig</w:t>
            </w:r>
          </w:p>
        </w:tc>
        <w:tc>
          <w:tcPr>
            <w:tcW w:w="1078" w:type="dxa"/>
            <w:shd w:val="clear" w:color="auto" w:fill="C6EFCE"/>
            <w:vAlign w:val="center"/>
          </w:tcPr>
          <w:p w14:paraId="5A311C16" w14:textId="77777777" w:rsidR="00154E32" w:rsidRDefault="00A43E04">
            <w:pPr>
              <w:pStyle w:val="P68B1DB1-Normal11"/>
              <w:spacing w:before="120" w:after="120"/>
              <w:rPr>
                <w:noProof/>
              </w:rPr>
            </w:pPr>
            <w:r>
              <w:rPr>
                <w:noProof/>
              </w:rPr>
              <w:t>Mejnik</w:t>
            </w:r>
          </w:p>
        </w:tc>
        <w:tc>
          <w:tcPr>
            <w:tcW w:w="1329" w:type="dxa"/>
            <w:shd w:val="clear" w:color="auto" w:fill="C6EFCE"/>
            <w:vAlign w:val="center"/>
          </w:tcPr>
          <w:p w14:paraId="290F508F" w14:textId="77777777" w:rsidR="00154E32" w:rsidRDefault="00A43E04">
            <w:pPr>
              <w:pStyle w:val="P68B1DB1-Normal11"/>
              <w:spacing w:before="120" w:after="120"/>
              <w:rPr>
                <w:noProof/>
              </w:rPr>
            </w:pPr>
            <w:r>
              <w:rPr>
                <w:noProof/>
              </w:rPr>
              <w:t>Izvedbeni sporazum</w:t>
            </w:r>
          </w:p>
        </w:tc>
        <w:tc>
          <w:tcPr>
            <w:tcW w:w="1275" w:type="dxa"/>
            <w:shd w:val="clear" w:color="auto" w:fill="C6EFCE"/>
            <w:vAlign w:val="center"/>
          </w:tcPr>
          <w:p w14:paraId="4B924C40" w14:textId="77777777" w:rsidR="00154E32" w:rsidRDefault="00A43E04">
            <w:pPr>
              <w:pStyle w:val="P68B1DB1-Normal11"/>
              <w:rPr>
                <w:noProof/>
              </w:rPr>
            </w:pPr>
            <w:r>
              <w:rPr>
                <w:noProof/>
              </w:rPr>
              <w:t>Začetek veljavnosti izvedbenega sporazuma</w:t>
            </w:r>
          </w:p>
        </w:tc>
        <w:tc>
          <w:tcPr>
            <w:tcW w:w="1134" w:type="dxa"/>
            <w:shd w:val="clear" w:color="auto" w:fill="C6EFCE"/>
            <w:vAlign w:val="center"/>
          </w:tcPr>
          <w:p w14:paraId="468405F9" w14:textId="331097DC" w:rsidR="00154E32" w:rsidRDefault="00A43E04">
            <w:pPr>
              <w:pStyle w:val="P68B1DB1-Normal11"/>
              <w:jc w:val="center"/>
              <w:rPr>
                <w:noProof/>
              </w:rPr>
            </w:pPr>
            <w:r>
              <w:rPr>
                <w:noProof/>
              </w:rPr>
              <w:t>JIH NI</w:t>
            </w:r>
          </w:p>
        </w:tc>
        <w:tc>
          <w:tcPr>
            <w:tcW w:w="993" w:type="dxa"/>
            <w:shd w:val="clear" w:color="auto" w:fill="C6EFCE"/>
            <w:vAlign w:val="center"/>
          </w:tcPr>
          <w:p w14:paraId="51E5E950" w14:textId="45FDC18A" w:rsidR="00154E32" w:rsidRDefault="00A43E04">
            <w:pPr>
              <w:pStyle w:val="P68B1DB1-Normal11"/>
              <w:jc w:val="center"/>
              <w:rPr>
                <w:noProof/>
              </w:rPr>
            </w:pPr>
            <w:r>
              <w:rPr>
                <w:noProof/>
              </w:rPr>
              <w:t>JIH NI</w:t>
            </w:r>
          </w:p>
        </w:tc>
        <w:tc>
          <w:tcPr>
            <w:tcW w:w="992" w:type="dxa"/>
            <w:shd w:val="clear" w:color="auto" w:fill="C6EFCE"/>
            <w:vAlign w:val="center"/>
          </w:tcPr>
          <w:p w14:paraId="7C348351" w14:textId="3DAA7908" w:rsidR="00154E32" w:rsidRDefault="00A43E04">
            <w:pPr>
              <w:pStyle w:val="P68B1DB1-Normal11"/>
              <w:jc w:val="center"/>
              <w:rPr>
                <w:noProof/>
              </w:rPr>
            </w:pPr>
            <w:r>
              <w:rPr>
                <w:noProof/>
              </w:rPr>
              <w:t>JIH NI</w:t>
            </w:r>
          </w:p>
        </w:tc>
        <w:tc>
          <w:tcPr>
            <w:tcW w:w="850" w:type="dxa"/>
            <w:shd w:val="clear" w:color="auto" w:fill="C6EFCE"/>
            <w:vAlign w:val="center"/>
          </w:tcPr>
          <w:p w14:paraId="059EB1CA" w14:textId="77777777" w:rsidR="00154E32" w:rsidRDefault="00A43E04">
            <w:pPr>
              <w:pStyle w:val="P68B1DB1-Normal11"/>
              <w:jc w:val="center"/>
              <w:rPr>
                <w:noProof/>
              </w:rPr>
            </w:pPr>
            <w:r>
              <w:rPr>
                <w:noProof/>
              </w:rPr>
              <w:t>Q4</w:t>
            </w:r>
          </w:p>
        </w:tc>
        <w:tc>
          <w:tcPr>
            <w:tcW w:w="709" w:type="dxa"/>
            <w:shd w:val="clear" w:color="auto" w:fill="C6EFCE"/>
            <w:vAlign w:val="center"/>
          </w:tcPr>
          <w:p w14:paraId="3417537F" w14:textId="77777777" w:rsidR="00154E32" w:rsidRDefault="00A43E04">
            <w:pPr>
              <w:pStyle w:val="P68B1DB1-Normal11"/>
              <w:spacing w:before="120" w:after="120"/>
              <w:jc w:val="center"/>
              <w:rPr>
                <w:noProof/>
              </w:rPr>
            </w:pPr>
            <w:r>
              <w:rPr>
                <w:noProof/>
              </w:rPr>
              <w:t>2024</w:t>
            </w:r>
          </w:p>
        </w:tc>
        <w:tc>
          <w:tcPr>
            <w:tcW w:w="3794" w:type="dxa"/>
            <w:shd w:val="clear" w:color="auto" w:fill="C6EFCE"/>
            <w:vAlign w:val="center"/>
          </w:tcPr>
          <w:p w14:paraId="7DEB030E" w14:textId="11477B88" w:rsidR="00154E32" w:rsidRDefault="00A43E04">
            <w:pPr>
              <w:pStyle w:val="P68B1DB1-Normal11"/>
              <w:spacing w:before="120" w:after="120"/>
              <w:rPr>
                <w:noProof/>
              </w:rPr>
            </w:pPr>
            <w:r>
              <w:rPr>
                <w:noProof/>
              </w:rPr>
              <w:t>Začetek veljavnosti izvedbenega sporazuma.</w:t>
            </w:r>
          </w:p>
        </w:tc>
      </w:tr>
      <w:tr w:rsidR="00154E32" w14:paraId="57DDA9BB" w14:textId="77777777">
        <w:trPr>
          <w:trHeight w:val="315"/>
        </w:trPr>
        <w:tc>
          <w:tcPr>
            <w:tcW w:w="1424" w:type="dxa"/>
            <w:shd w:val="clear" w:color="auto" w:fill="C6EFCE"/>
            <w:vAlign w:val="center"/>
          </w:tcPr>
          <w:p w14:paraId="45CA7DE0" w14:textId="77777777" w:rsidR="00154E32" w:rsidRDefault="00A43E04">
            <w:pPr>
              <w:pStyle w:val="P68B1DB1-Normal11"/>
              <w:spacing w:before="120" w:after="120"/>
              <w:jc w:val="center"/>
              <w:rPr>
                <w:noProof/>
              </w:rPr>
            </w:pPr>
            <w:r>
              <w:rPr>
                <w:noProof/>
              </w:rPr>
              <w:t>M1C2–31</w:t>
            </w:r>
          </w:p>
        </w:tc>
        <w:tc>
          <w:tcPr>
            <w:tcW w:w="1578" w:type="dxa"/>
            <w:shd w:val="clear" w:color="auto" w:fill="C6EFCE"/>
            <w:vAlign w:val="center"/>
          </w:tcPr>
          <w:p w14:paraId="044BD857" w14:textId="563B3317" w:rsidR="00154E32" w:rsidRDefault="00A43E04">
            <w:pPr>
              <w:pStyle w:val="P68B1DB1-Normal11"/>
              <w:spacing w:before="120" w:after="120"/>
              <w:jc w:val="center"/>
              <w:rPr>
                <w:noProof/>
              </w:rPr>
            </w:pPr>
            <w:r>
              <w:rPr>
                <w:noProof/>
              </w:rPr>
              <w:t>Naložba 7 Podpora proizvodnemu sistemu za ekološki prehod, neto ničelne tehnologije ter konkurenčnost in odpornost strateških dobavnih verig</w:t>
            </w:r>
          </w:p>
        </w:tc>
        <w:tc>
          <w:tcPr>
            <w:tcW w:w="1078" w:type="dxa"/>
            <w:shd w:val="clear" w:color="auto" w:fill="C6EFCE"/>
            <w:vAlign w:val="center"/>
          </w:tcPr>
          <w:p w14:paraId="6CB72C89" w14:textId="77777777" w:rsidR="00154E32" w:rsidRDefault="00A43E04">
            <w:pPr>
              <w:pStyle w:val="P68B1DB1-Normal11"/>
              <w:spacing w:before="120" w:after="120"/>
              <w:rPr>
                <w:noProof/>
              </w:rPr>
            </w:pPr>
            <w:r>
              <w:rPr>
                <w:noProof/>
              </w:rPr>
              <w:t>Mejnik</w:t>
            </w:r>
          </w:p>
        </w:tc>
        <w:tc>
          <w:tcPr>
            <w:tcW w:w="1329" w:type="dxa"/>
            <w:shd w:val="clear" w:color="auto" w:fill="C6EFCE"/>
            <w:vAlign w:val="center"/>
          </w:tcPr>
          <w:p w14:paraId="4A34870B" w14:textId="77777777" w:rsidR="00154E32" w:rsidRDefault="00A43E04">
            <w:pPr>
              <w:pStyle w:val="P68B1DB1-Normal11"/>
              <w:spacing w:before="120" w:after="120"/>
              <w:rPr>
                <w:noProof/>
              </w:rPr>
            </w:pPr>
            <w:r>
              <w:rPr>
                <w:noProof/>
              </w:rPr>
              <w:t>Italijansko ministrstvo za podjetja in Made je zaključilo naložbo</w:t>
            </w:r>
          </w:p>
        </w:tc>
        <w:tc>
          <w:tcPr>
            <w:tcW w:w="1275" w:type="dxa"/>
            <w:shd w:val="clear" w:color="auto" w:fill="C6EFCE"/>
            <w:vAlign w:val="center"/>
          </w:tcPr>
          <w:p w14:paraId="5C2D93D3" w14:textId="77777777" w:rsidR="00154E32" w:rsidRDefault="00A43E04">
            <w:pPr>
              <w:pStyle w:val="P68B1DB1-Normal11"/>
              <w:rPr>
                <w:noProof/>
              </w:rPr>
            </w:pPr>
            <w:r>
              <w:rPr>
                <w:noProof/>
              </w:rPr>
              <w:t xml:space="preserve">Potrdilo o prenosu </w:t>
            </w:r>
          </w:p>
        </w:tc>
        <w:tc>
          <w:tcPr>
            <w:tcW w:w="1134" w:type="dxa"/>
            <w:shd w:val="clear" w:color="auto" w:fill="C6EFCE"/>
            <w:vAlign w:val="center"/>
          </w:tcPr>
          <w:p w14:paraId="5B8CF5E5" w14:textId="063FD5D3" w:rsidR="00154E32" w:rsidRDefault="00A43E04">
            <w:pPr>
              <w:pStyle w:val="P68B1DB1-Normal11"/>
              <w:jc w:val="center"/>
              <w:rPr>
                <w:noProof/>
              </w:rPr>
            </w:pPr>
            <w:r>
              <w:rPr>
                <w:noProof/>
              </w:rPr>
              <w:t>JIH NI</w:t>
            </w:r>
          </w:p>
        </w:tc>
        <w:tc>
          <w:tcPr>
            <w:tcW w:w="993" w:type="dxa"/>
            <w:shd w:val="clear" w:color="auto" w:fill="C6EFCE"/>
            <w:vAlign w:val="center"/>
          </w:tcPr>
          <w:p w14:paraId="49C22FC7" w14:textId="59FAA62A" w:rsidR="00154E32" w:rsidRDefault="00A43E04">
            <w:pPr>
              <w:pStyle w:val="P68B1DB1-Normal11"/>
              <w:jc w:val="center"/>
              <w:rPr>
                <w:noProof/>
              </w:rPr>
            </w:pPr>
            <w:r>
              <w:rPr>
                <w:noProof/>
              </w:rPr>
              <w:t>JIH NI</w:t>
            </w:r>
          </w:p>
        </w:tc>
        <w:tc>
          <w:tcPr>
            <w:tcW w:w="992" w:type="dxa"/>
            <w:shd w:val="clear" w:color="auto" w:fill="C6EFCE"/>
            <w:vAlign w:val="center"/>
          </w:tcPr>
          <w:p w14:paraId="39AFBA1D" w14:textId="7FC58108" w:rsidR="00154E32" w:rsidRDefault="00A43E04">
            <w:pPr>
              <w:pStyle w:val="P68B1DB1-Normal11"/>
              <w:jc w:val="center"/>
              <w:rPr>
                <w:noProof/>
              </w:rPr>
            </w:pPr>
            <w:r>
              <w:rPr>
                <w:noProof/>
              </w:rPr>
              <w:t>JIH NI</w:t>
            </w:r>
          </w:p>
        </w:tc>
        <w:tc>
          <w:tcPr>
            <w:tcW w:w="850" w:type="dxa"/>
            <w:shd w:val="clear" w:color="auto" w:fill="C6EFCE"/>
            <w:vAlign w:val="center"/>
          </w:tcPr>
          <w:p w14:paraId="2583B5B1" w14:textId="77777777" w:rsidR="00154E32" w:rsidRDefault="00A43E04">
            <w:pPr>
              <w:pStyle w:val="P68B1DB1-Normal11"/>
              <w:jc w:val="center"/>
              <w:rPr>
                <w:noProof/>
              </w:rPr>
            </w:pPr>
            <w:r>
              <w:rPr>
                <w:noProof/>
              </w:rPr>
              <w:t>Q4</w:t>
            </w:r>
          </w:p>
        </w:tc>
        <w:tc>
          <w:tcPr>
            <w:tcW w:w="709" w:type="dxa"/>
            <w:shd w:val="clear" w:color="auto" w:fill="C6EFCE"/>
            <w:vAlign w:val="center"/>
          </w:tcPr>
          <w:p w14:paraId="48DE01E5" w14:textId="77777777" w:rsidR="00154E32" w:rsidRDefault="00A43E04">
            <w:pPr>
              <w:pStyle w:val="P68B1DB1-Normal11"/>
              <w:spacing w:before="120" w:after="120"/>
              <w:jc w:val="center"/>
              <w:rPr>
                <w:noProof/>
              </w:rPr>
            </w:pPr>
            <w:r>
              <w:rPr>
                <w:noProof/>
              </w:rPr>
              <w:t>2024</w:t>
            </w:r>
          </w:p>
        </w:tc>
        <w:tc>
          <w:tcPr>
            <w:tcW w:w="3794" w:type="dxa"/>
            <w:shd w:val="clear" w:color="auto" w:fill="C6EFCE"/>
            <w:vAlign w:val="center"/>
          </w:tcPr>
          <w:p w14:paraId="55A11E7A" w14:textId="1BEC1ABA" w:rsidR="00154E32" w:rsidRDefault="00A43E04">
            <w:pPr>
              <w:pStyle w:val="P68B1DB1-Normal12"/>
              <w:spacing w:before="120" w:after="120"/>
              <w:rPr>
                <w:rFonts w:ascii="Arial Narrow" w:hAnsi="Arial Narrow"/>
                <w:noProof/>
              </w:rPr>
            </w:pPr>
            <w:r>
              <w:rPr>
                <w:rFonts w:ascii="Arial Narrow" w:hAnsi="Arial Narrow"/>
                <w:noProof/>
              </w:rPr>
              <w:t>Italija prenese 2 500 000 000 EUR</w:t>
            </w:r>
            <w:r>
              <w:rPr>
                <w:noProof/>
              </w:rPr>
              <w:t xml:space="preserve">   </w:t>
            </w:r>
            <w:r>
              <w:rPr>
                <w:rFonts w:ascii="Arial Narrow" w:hAnsi="Arial Narrow"/>
                <w:noProof/>
              </w:rPr>
              <w:t>na Invitalijo za instrument.</w:t>
            </w:r>
          </w:p>
          <w:p w14:paraId="3B9221AA" w14:textId="30BA8D01" w:rsidR="00154E32" w:rsidRDefault="00A43E04">
            <w:pPr>
              <w:pStyle w:val="P68B1DB1-Normal11"/>
              <w:spacing w:before="120" w:after="120"/>
              <w:rPr>
                <w:noProof/>
              </w:rPr>
            </w:pPr>
            <w:r>
              <w:rPr>
                <w:noProof/>
              </w:rPr>
              <w:t xml:space="preserve">Izmed katerih: </w:t>
            </w:r>
          </w:p>
          <w:p w14:paraId="08AD545B" w14:textId="62BB5F17" w:rsidR="00154E32" w:rsidRDefault="00A43E04">
            <w:pPr>
              <w:pStyle w:val="P68B1DB1-ListParagraph22"/>
              <w:numPr>
                <w:ilvl w:val="0"/>
                <w:numId w:val="135"/>
              </w:numPr>
              <w:rPr>
                <w:rFonts w:ascii="Arial Narrow" w:hAnsi="Arial Narrow"/>
                <w:noProof/>
              </w:rPr>
            </w:pPr>
            <w:r>
              <w:rPr>
                <w:rFonts w:ascii="Arial Narrow" w:hAnsi="Arial Narrow"/>
                <w:noProof/>
              </w:rPr>
              <w:t>2000000000 EUR</w:t>
            </w:r>
            <w:r>
              <w:rPr>
                <w:noProof/>
              </w:rPr>
              <w:t xml:space="preserve">  </w:t>
            </w:r>
            <w:r>
              <w:rPr>
                <w:rFonts w:ascii="Arial Narrow" w:hAnsi="Arial Narrow"/>
                <w:noProof/>
              </w:rPr>
              <w:t>za</w:t>
            </w:r>
            <w:r>
              <w:rPr>
                <w:noProof/>
              </w:rPr>
              <w:t xml:space="preserve"> </w:t>
            </w:r>
            <w:r>
              <w:rPr>
                <w:rFonts w:ascii="Arial Narrow" w:hAnsi="Arial Narrow"/>
                <w:noProof/>
              </w:rPr>
              <w:t>podnaložbo 1 neto ničelne tehnologije;</w:t>
            </w:r>
          </w:p>
          <w:p w14:paraId="07FB89AF" w14:textId="4902D946" w:rsidR="00154E32" w:rsidRDefault="00A43E04">
            <w:pPr>
              <w:pStyle w:val="P68B1DB1-ListParagraph22"/>
              <w:numPr>
                <w:ilvl w:val="0"/>
                <w:numId w:val="135"/>
              </w:numPr>
              <w:rPr>
                <w:rFonts w:ascii="Arial Narrow" w:hAnsi="Arial Narrow"/>
                <w:noProof/>
              </w:rPr>
            </w:pPr>
            <w:r>
              <w:rPr>
                <w:rFonts w:ascii="Arial Narrow" w:hAnsi="Arial Narrow"/>
                <w:noProof/>
              </w:rPr>
              <w:t>500000000 EUR</w:t>
            </w:r>
            <w:r>
              <w:rPr>
                <w:noProof/>
              </w:rPr>
              <w:t xml:space="preserve">  </w:t>
            </w:r>
            <w:r>
              <w:rPr>
                <w:rFonts w:ascii="Arial Narrow" w:hAnsi="Arial Narrow"/>
                <w:noProof/>
              </w:rPr>
              <w:t>za podnaložbe 2 Konkurenčnost in odpornost strateških dobavnih verig.</w:t>
            </w:r>
          </w:p>
        </w:tc>
      </w:tr>
      <w:tr w:rsidR="00154E32" w14:paraId="3F255485" w14:textId="77777777">
        <w:trPr>
          <w:trHeight w:val="315"/>
        </w:trPr>
        <w:tc>
          <w:tcPr>
            <w:tcW w:w="1424" w:type="dxa"/>
            <w:shd w:val="clear" w:color="auto" w:fill="C6EFCE"/>
            <w:vAlign w:val="center"/>
          </w:tcPr>
          <w:p w14:paraId="6DC55CBF" w14:textId="77777777" w:rsidR="00154E32" w:rsidRDefault="00A43E04">
            <w:pPr>
              <w:pStyle w:val="P68B1DB1-Normal11"/>
              <w:spacing w:before="120" w:after="120"/>
              <w:jc w:val="center"/>
              <w:rPr>
                <w:noProof/>
              </w:rPr>
            </w:pPr>
            <w:r>
              <w:rPr>
                <w:noProof/>
              </w:rPr>
              <w:t>M1C2–32</w:t>
            </w:r>
          </w:p>
        </w:tc>
        <w:tc>
          <w:tcPr>
            <w:tcW w:w="1578" w:type="dxa"/>
            <w:shd w:val="clear" w:color="auto" w:fill="C6EFCE"/>
            <w:vAlign w:val="center"/>
          </w:tcPr>
          <w:p w14:paraId="47840838" w14:textId="2EACEAD3" w:rsidR="00154E32" w:rsidRDefault="00A43E04">
            <w:pPr>
              <w:pStyle w:val="P68B1DB1-Normal11"/>
              <w:spacing w:before="120" w:after="120"/>
              <w:jc w:val="center"/>
              <w:rPr>
                <w:noProof/>
              </w:rPr>
            </w:pPr>
            <w:r>
              <w:rPr>
                <w:noProof/>
              </w:rPr>
              <w:t>Naložba 7. Podpora proizvodnemu sistemu za ekološki prehod, neto ničelne tehnologije ter konkurenčnost in odpornost strateških dobavnih verig</w:t>
            </w:r>
          </w:p>
        </w:tc>
        <w:tc>
          <w:tcPr>
            <w:tcW w:w="1078" w:type="dxa"/>
            <w:shd w:val="clear" w:color="auto" w:fill="C6EFCE"/>
            <w:vAlign w:val="center"/>
          </w:tcPr>
          <w:p w14:paraId="2F3C1780" w14:textId="77777777" w:rsidR="00154E32" w:rsidRDefault="00A43E04">
            <w:pPr>
              <w:pStyle w:val="P68B1DB1-Normal11"/>
              <w:spacing w:before="120" w:after="120"/>
              <w:jc w:val="center"/>
              <w:rPr>
                <w:noProof/>
              </w:rPr>
            </w:pPr>
            <w:r>
              <w:rPr>
                <w:noProof/>
              </w:rPr>
              <w:t>Tarča</w:t>
            </w:r>
          </w:p>
        </w:tc>
        <w:tc>
          <w:tcPr>
            <w:tcW w:w="1329" w:type="dxa"/>
            <w:shd w:val="clear" w:color="auto" w:fill="C6EFCE"/>
            <w:vAlign w:val="center"/>
          </w:tcPr>
          <w:p w14:paraId="2F5E4418" w14:textId="77777777" w:rsidR="00154E32" w:rsidRDefault="00A43E04">
            <w:pPr>
              <w:pStyle w:val="P68B1DB1-Normal11"/>
              <w:spacing w:before="120" w:after="120"/>
              <w:rPr>
                <w:noProof/>
              </w:rPr>
            </w:pPr>
            <w:r>
              <w:rPr>
                <w:noProof/>
              </w:rPr>
              <w:t>Pravni sporazumi, podpisani s končnimi upravičenci</w:t>
            </w:r>
          </w:p>
        </w:tc>
        <w:tc>
          <w:tcPr>
            <w:tcW w:w="1275" w:type="dxa"/>
            <w:shd w:val="clear" w:color="auto" w:fill="C6EFCE"/>
            <w:vAlign w:val="center"/>
          </w:tcPr>
          <w:p w14:paraId="4E672835" w14:textId="77777777" w:rsidR="00154E32" w:rsidRDefault="00A43E04">
            <w:pPr>
              <w:pStyle w:val="P68B1DB1-Normal11"/>
              <w:rPr>
                <w:noProof/>
              </w:rPr>
            </w:pPr>
            <w:r>
              <w:rPr>
                <w:noProof/>
              </w:rPr>
              <w:t>Začetek veljavnosti pravnih sporazumov o financiranju</w:t>
            </w:r>
          </w:p>
        </w:tc>
        <w:tc>
          <w:tcPr>
            <w:tcW w:w="1134" w:type="dxa"/>
            <w:shd w:val="clear" w:color="auto" w:fill="C6EFCE"/>
            <w:vAlign w:val="center"/>
          </w:tcPr>
          <w:p w14:paraId="667E4AC6" w14:textId="77777777" w:rsidR="00154E32" w:rsidRDefault="00A43E04">
            <w:pPr>
              <w:pStyle w:val="P68B1DB1-Normal11"/>
              <w:jc w:val="center"/>
              <w:rPr>
                <w:noProof/>
              </w:rPr>
            </w:pPr>
            <w:r>
              <w:rPr>
                <w:noProof/>
              </w:rPr>
              <w:t>Delež</w:t>
            </w:r>
          </w:p>
        </w:tc>
        <w:tc>
          <w:tcPr>
            <w:tcW w:w="993" w:type="dxa"/>
            <w:shd w:val="clear" w:color="auto" w:fill="C6EFCE"/>
            <w:vAlign w:val="center"/>
          </w:tcPr>
          <w:p w14:paraId="16077FC0" w14:textId="77777777" w:rsidR="00154E32" w:rsidRDefault="00A43E04">
            <w:pPr>
              <w:pStyle w:val="P68B1DB1-Normal11"/>
              <w:jc w:val="center"/>
              <w:rPr>
                <w:noProof/>
              </w:rPr>
            </w:pPr>
            <w:r>
              <w:rPr>
                <w:noProof/>
              </w:rPr>
              <w:t>0</w:t>
            </w:r>
          </w:p>
        </w:tc>
        <w:tc>
          <w:tcPr>
            <w:tcW w:w="992" w:type="dxa"/>
            <w:shd w:val="clear" w:color="auto" w:fill="C6EFCE"/>
            <w:vAlign w:val="center"/>
          </w:tcPr>
          <w:p w14:paraId="38BC98DB" w14:textId="77777777" w:rsidR="00154E32" w:rsidRDefault="00A43E04">
            <w:pPr>
              <w:pStyle w:val="P68B1DB1-Normal11"/>
              <w:jc w:val="center"/>
              <w:rPr>
                <w:noProof/>
              </w:rPr>
            </w:pPr>
            <w:r>
              <w:rPr>
                <w:noProof/>
              </w:rPr>
              <w:t>100</w:t>
            </w:r>
          </w:p>
        </w:tc>
        <w:tc>
          <w:tcPr>
            <w:tcW w:w="850" w:type="dxa"/>
            <w:shd w:val="clear" w:color="auto" w:fill="C6EFCE"/>
            <w:vAlign w:val="center"/>
          </w:tcPr>
          <w:p w14:paraId="3640D490" w14:textId="77777777" w:rsidR="00154E32" w:rsidRDefault="00A43E04">
            <w:pPr>
              <w:pStyle w:val="P68B1DB1-Normal11"/>
              <w:jc w:val="center"/>
              <w:rPr>
                <w:noProof/>
              </w:rPr>
            </w:pPr>
            <w:r>
              <w:rPr>
                <w:noProof/>
              </w:rPr>
              <w:t>Q2</w:t>
            </w:r>
          </w:p>
        </w:tc>
        <w:tc>
          <w:tcPr>
            <w:tcW w:w="709" w:type="dxa"/>
            <w:shd w:val="clear" w:color="auto" w:fill="C6EFCE"/>
            <w:vAlign w:val="center"/>
          </w:tcPr>
          <w:p w14:paraId="70276B55" w14:textId="77777777" w:rsidR="00154E32" w:rsidRDefault="00A43E04">
            <w:pPr>
              <w:pStyle w:val="P68B1DB1-Normal11"/>
              <w:spacing w:before="120" w:after="120"/>
              <w:jc w:val="center"/>
              <w:rPr>
                <w:noProof/>
              </w:rPr>
            </w:pPr>
            <w:r>
              <w:rPr>
                <w:noProof/>
              </w:rPr>
              <w:t>2026</w:t>
            </w:r>
          </w:p>
        </w:tc>
        <w:tc>
          <w:tcPr>
            <w:tcW w:w="3794" w:type="dxa"/>
            <w:shd w:val="clear" w:color="auto" w:fill="C6EFCE"/>
            <w:vAlign w:val="center"/>
          </w:tcPr>
          <w:p w14:paraId="7070375E" w14:textId="442CFA33" w:rsidR="00154E32" w:rsidRDefault="00A43E04">
            <w:pPr>
              <w:pStyle w:val="P68B1DB1-Normal23"/>
              <w:spacing w:before="120" w:after="120"/>
              <w:rPr>
                <w:rFonts w:ascii="Arial Narrow" w:hAnsi="Arial Narrow"/>
                <w:noProof/>
                <w:sz w:val="20"/>
              </w:rPr>
            </w:pPr>
            <w:r>
              <w:rPr>
                <w:rFonts w:ascii="Arial Narrow" w:hAnsi="Arial Narrow"/>
                <w:noProof/>
                <w:sz w:val="20"/>
              </w:rPr>
              <w:t>Invitalia je sklenila pravne sporazume o financiranju s končnimi upravičenci za znesek, potreben za uporabo 100 % od 2 500 000 000 EUR naložb</w:t>
            </w:r>
            <w:r>
              <w:rPr>
                <w:noProof/>
                <w:sz w:val="20"/>
              </w:rPr>
              <w:t xml:space="preserve"> </w:t>
            </w:r>
            <w:r>
              <w:rPr>
                <w:rFonts w:ascii="Arial Narrow" w:hAnsi="Arial Narrow"/>
                <w:noProof/>
                <w:sz w:val="20"/>
              </w:rPr>
              <w:t xml:space="preserve"> mehanizma za okrevanje in odpornost </w:t>
            </w:r>
            <w:r>
              <w:rPr>
                <w:rFonts w:ascii="Arial Narrow" w:hAnsi="Arial Narrow"/>
                <w:noProof/>
                <w:sz w:val="22"/>
              </w:rPr>
              <w:t>(ob upoštevanju provizij za upravljanje).</w:t>
            </w:r>
          </w:p>
          <w:p w14:paraId="7766FAF9" w14:textId="178B2DF3" w:rsidR="00154E32" w:rsidRDefault="00A43E04">
            <w:pPr>
              <w:pStyle w:val="P68B1DB1-Normal11"/>
              <w:spacing w:before="120" w:after="120"/>
              <w:rPr>
                <w:noProof/>
              </w:rPr>
            </w:pPr>
            <w:r>
              <w:rPr>
                <w:noProof/>
              </w:rPr>
              <w:t xml:space="preserve">Še zlasti: </w:t>
            </w:r>
          </w:p>
          <w:p w14:paraId="44B71A31" w14:textId="600DDE95" w:rsidR="00154E32" w:rsidRDefault="00A43E04">
            <w:pPr>
              <w:pStyle w:val="P68B1DB1-ListParagraph22"/>
              <w:numPr>
                <w:ilvl w:val="0"/>
                <w:numId w:val="135"/>
              </w:numPr>
              <w:rPr>
                <w:rFonts w:ascii="Arial Narrow" w:hAnsi="Arial Narrow"/>
                <w:noProof/>
              </w:rPr>
            </w:pPr>
            <w:r>
              <w:rPr>
                <w:rFonts w:ascii="Arial Narrow" w:hAnsi="Arial Narrow"/>
                <w:noProof/>
              </w:rPr>
              <w:t>2000000000 EUR</w:t>
            </w:r>
            <w:r>
              <w:rPr>
                <w:noProof/>
              </w:rPr>
              <w:t xml:space="preserve">  </w:t>
            </w:r>
            <w:r>
              <w:rPr>
                <w:rFonts w:ascii="Arial Narrow" w:hAnsi="Arial Narrow"/>
                <w:noProof/>
              </w:rPr>
              <w:t>za</w:t>
            </w:r>
            <w:r>
              <w:rPr>
                <w:noProof/>
              </w:rPr>
              <w:t xml:space="preserve"> </w:t>
            </w:r>
            <w:r>
              <w:rPr>
                <w:rFonts w:ascii="Arial Narrow" w:hAnsi="Arial Narrow"/>
                <w:noProof/>
              </w:rPr>
              <w:t>podnaložbo 1 neto ničelne tehnologije;</w:t>
            </w:r>
          </w:p>
          <w:p w14:paraId="334D7F9C" w14:textId="13632E28" w:rsidR="00154E32" w:rsidRDefault="00A43E04">
            <w:pPr>
              <w:pStyle w:val="P68B1DB1-ListParagraph22"/>
              <w:numPr>
                <w:ilvl w:val="0"/>
                <w:numId w:val="135"/>
              </w:numPr>
              <w:rPr>
                <w:rFonts w:ascii="Arial Narrow" w:hAnsi="Arial Narrow"/>
                <w:noProof/>
              </w:rPr>
            </w:pPr>
            <w:r>
              <w:rPr>
                <w:rFonts w:ascii="Arial Narrow" w:hAnsi="Arial Narrow"/>
                <w:noProof/>
              </w:rPr>
              <w:t>500000000 EUR</w:t>
            </w:r>
            <w:r>
              <w:rPr>
                <w:noProof/>
              </w:rPr>
              <w:t xml:space="preserve">  </w:t>
            </w:r>
            <w:r>
              <w:rPr>
                <w:rFonts w:ascii="Arial Narrow" w:hAnsi="Arial Narrow"/>
                <w:noProof/>
              </w:rPr>
              <w:t>za podnaložbe 2 Konkurenčnost in odpornost strateških dobavnih verig.</w:t>
            </w:r>
          </w:p>
        </w:tc>
      </w:tr>
    </w:tbl>
    <w:p w14:paraId="16284BC9" w14:textId="77777777" w:rsidR="00154E32" w:rsidRDefault="00154E32">
      <w:pPr>
        <w:spacing w:before="120" w:after="120"/>
        <w:jc w:val="both"/>
        <w:rPr>
          <w:b/>
          <w:noProof/>
        </w:rPr>
      </w:pPr>
    </w:p>
    <w:p w14:paraId="22F00CDA" w14:textId="77777777" w:rsidR="00154E32" w:rsidRDefault="00154E32">
      <w:pPr>
        <w:rPr>
          <w:b/>
          <w:noProof/>
        </w:rPr>
        <w:sectPr w:rsidR="00154E32" w:rsidSect="001354D1">
          <w:headerReference w:type="even" r:id="rId62"/>
          <w:headerReference w:type="default" r:id="rId63"/>
          <w:footerReference w:type="even" r:id="rId64"/>
          <w:footerReference w:type="default" r:id="rId65"/>
          <w:headerReference w:type="first" r:id="rId66"/>
          <w:footerReference w:type="first" r:id="rId67"/>
          <w:pgSz w:w="16838" w:h="11907" w:orient="landscape" w:code="12"/>
          <w:pgMar w:top="1134" w:right="1134" w:bottom="1134" w:left="1134" w:header="567" w:footer="567" w:gutter="0"/>
          <w:cols w:space="720"/>
          <w:docGrid w:linePitch="360"/>
        </w:sectPr>
      </w:pPr>
    </w:p>
    <w:p w14:paraId="2514A4A3" w14:textId="77777777" w:rsidR="00154E32" w:rsidRDefault="00A43E04">
      <w:pPr>
        <w:pStyle w:val="Heading2"/>
        <w:numPr>
          <w:ilvl w:val="0"/>
          <w:numId w:val="0"/>
        </w:numPr>
        <w:ind w:left="850" w:hanging="850"/>
        <w:rPr>
          <w:noProof/>
          <w:u w:val="single"/>
        </w:rPr>
      </w:pPr>
      <w:r>
        <w:rPr>
          <w:noProof/>
        </w:rPr>
        <w:t xml:space="preserve">C. MISIJA 1, KOMPONENTA 3: </w:t>
      </w:r>
      <w:r>
        <w:rPr>
          <w:noProof/>
          <w:u w:val="single"/>
        </w:rPr>
        <w:t>Turizem in kultura 4.0</w:t>
      </w:r>
      <w:r>
        <w:rPr>
          <w:noProof/>
        </w:rPr>
        <w:t xml:space="preserve">. </w:t>
      </w:r>
    </w:p>
    <w:p w14:paraId="23FCB66B" w14:textId="77777777" w:rsidR="00154E32" w:rsidRDefault="00A43E04">
      <w:pPr>
        <w:spacing w:before="120" w:after="120"/>
        <w:jc w:val="both"/>
        <w:rPr>
          <w:noProof/>
        </w:rPr>
      </w:pPr>
      <w:r>
        <w:rPr>
          <w:noProof/>
        </w:rPr>
        <w:t xml:space="preserve">Ta komponenta italijanskega načrta za okrevanje in odpornost se osredotoča na ponovni zagon dveh sektorjev, ki ju je kriza zaradi COVID-19 močno prizadela: kultura in turizem. Cilj ukrepov, povezanih s kulturnim sektorjem, je narediti kulturne objekte dostopnejše digitalno in fizično, energijsko učinkovitejše in varnejše v zvezi z naravnimi nesrečami, podpreti okrevanje kulturnega in ustvarjalnega sektorja, tudi s podpiranjem privlačnosti majhnih kulturnih znamenitosti in podeželske arhitekture, da bi se okrepila teritorialna kohezija. Predvideni so trije sklopi ukrepov: I) ukrepe za razvoj kulturne dediščine za naslednjo generacijo, vključno z naložbami v digitalni prehod in izboljšanje energijske učinkovitosti kulturnih znamenitosti, ii) kulturno vodeno obnovo majhnih zgodovinskih znamenitosti ter versko in podeželsko dediščino; III) ukrepi za kulturne in ustvarjalne industrije 4.0. Cilj ukrepov, povezanih s turizmom, je povečati konkurenčnost sektorja, tudi z zmanjšanjem razdrobljenosti sektorja in povečanjem ekonomije obsega, izboljšanjem in nadgradnjo standardov gostinstva in gostinstva, spodbujanjem digitalnih inovacij in uporabe novih tehnologij s strani operaterjev ter podporo zelenemu prehodu sektorja. V zvezi s tem so predvideni ukrepi za podporo podjetjem, vključno z MSP, ki delajo v turističnem sektorju, in turističnim izvajalcem, tudi z naložbami v digitalna orodja. </w:t>
      </w:r>
    </w:p>
    <w:p w14:paraId="30EEF001" w14:textId="77777777" w:rsidR="00154E32" w:rsidRDefault="00A43E04">
      <w:pPr>
        <w:spacing w:before="120" w:after="120"/>
        <w:jc w:val="both"/>
        <w:rPr>
          <w:noProof/>
        </w:rPr>
      </w:pPr>
      <w:r>
        <w:rPr>
          <w:noProof/>
        </w:rPr>
        <w:t xml:space="preserve">Naložbe in reforme v okviru te komponente prispevajo k obravnavanju priporočil za posamezne države, naslovljenih na Italijo, zlasti glede potrebe po „spodbujanju zasebnih naložb za spodbujanje gospodarskega okrevanja in osredotočanju naložb na zeleni in digitalni prehod“ (priporočilo za posamezno državo št. 3, 2020). Podpirajo tudi socialno in teritorialno kohezijo ter konkurenčnost italijanskega gospodarstva, hkrati pa spodbujajo digitalizacijo in trajnostnost turističnega sektorja. </w:t>
      </w:r>
    </w:p>
    <w:p w14:paraId="597A14A1" w14:textId="77777777" w:rsidR="00154E32" w:rsidRDefault="00A43E04">
      <w:pPr>
        <w:pStyle w:val="Heading3"/>
        <w:numPr>
          <w:ilvl w:val="0"/>
          <w:numId w:val="0"/>
        </w:numPr>
        <w:ind w:left="850" w:hanging="850"/>
        <w:rPr>
          <w:rFonts w:eastAsia="Times New Roman"/>
          <w:b/>
          <w:i w:val="0"/>
          <w:noProof/>
          <w:u w:val="single"/>
        </w:rPr>
      </w:pPr>
      <w:r>
        <w:rPr>
          <w:b/>
          <w:i w:val="0"/>
          <w:noProof/>
          <w:u w:val="single"/>
        </w:rPr>
        <w:t xml:space="preserve">C.1. </w:t>
      </w:r>
      <w:r>
        <w:rPr>
          <w:noProof/>
        </w:rPr>
        <w:tab/>
      </w:r>
      <w:r>
        <w:rPr>
          <w:b/>
          <w:i w:val="0"/>
          <w:noProof/>
          <w:u w:val="single"/>
        </w:rPr>
        <w:t>Opis reform in naložb za nepovratno finančno podporo</w:t>
      </w:r>
    </w:p>
    <w:p w14:paraId="3B763C28" w14:textId="77777777" w:rsidR="00154E32" w:rsidRDefault="00A43E04">
      <w:pPr>
        <w:pStyle w:val="P68B1DB1-Normal2"/>
        <w:spacing w:before="120" w:after="120"/>
        <w:jc w:val="both"/>
        <w:rPr>
          <w:noProof/>
        </w:rPr>
      </w:pPr>
      <w:r>
        <w:rPr>
          <w:noProof/>
        </w:rPr>
        <w:t xml:space="preserve">Naložba 1.1 Digitalna strategija in platforme kulturne dediščine </w:t>
      </w:r>
    </w:p>
    <w:p w14:paraId="41EE91F0" w14:textId="77777777" w:rsidR="00154E32" w:rsidRDefault="00A43E04">
      <w:pPr>
        <w:spacing w:before="120" w:after="120"/>
        <w:jc w:val="both"/>
        <w:rPr>
          <w:noProof/>
        </w:rPr>
      </w:pPr>
      <w:r>
        <w:rPr>
          <w:noProof/>
        </w:rPr>
        <w:t>Ukrep vključuje dejavnosti za digitalizacijo italijanske kulturne dediščine, da bi se izboljšal dostop do kulturnih virov in digitalnih storitev.</w:t>
      </w:r>
    </w:p>
    <w:p w14:paraId="786181FF" w14:textId="77777777" w:rsidR="00154E32" w:rsidRDefault="00A43E04">
      <w:pPr>
        <w:spacing w:before="120" w:after="120"/>
        <w:jc w:val="both"/>
        <w:rPr>
          <w:noProof/>
        </w:rPr>
      </w:pPr>
      <w:r>
        <w:rPr>
          <w:noProof/>
        </w:rPr>
        <w:t xml:space="preserve">S posredovanjem se vzpostavi nova nacionalna digitalna infrastruktura za zbiranje, povezovanje in ohranjanje digitalnih virov ter njihovo dajanje na voljo za javno uporabo prek namenskih platform. Ukrepe na področju „fizične“ dediščine spremlja digitalizacija muzejev, arhivov, knjižnic in kulturnih znamenitosti, da se državljanom omogoči raziskovanje novih oblik izkoriščanja kulturne dediščine. </w:t>
      </w:r>
    </w:p>
    <w:p w14:paraId="4FC4FD5C" w14:textId="77777777" w:rsidR="00154E32" w:rsidRDefault="00A43E04">
      <w:pPr>
        <w:pStyle w:val="P68B1DB1-Normal2"/>
        <w:spacing w:before="120" w:after="120"/>
        <w:jc w:val="both"/>
        <w:rPr>
          <w:noProof/>
        </w:rPr>
      </w:pPr>
      <w:r>
        <w:rPr>
          <w:noProof/>
        </w:rPr>
        <w:t>Naložba 1.2: Odprava fizičnih in kognitivnih ovir v muzejih, knjižnicah in arhivih, da se omogočita širši dostop do kulture in sodelovanje v njej</w:t>
      </w:r>
    </w:p>
    <w:p w14:paraId="533897A6" w14:textId="77777777" w:rsidR="00154E32" w:rsidRDefault="00A43E04">
      <w:pPr>
        <w:spacing w:before="120" w:after="120"/>
        <w:jc w:val="both"/>
        <w:rPr>
          <w:noProof/>
        </w:rPr>
      </w:pPr>
      <w:r>
        <w:rPr>
          <w:noProof/>
        </w:rPr>
        <w:t>Cilj ukrepa je odpraviti arhitekturne, kulturne in kognitivne ovire v številnih italijanskih kulturnih ustanovah. Intervencije se kombinirajo z usposabljanjem upravnega osebja in kulturnih izvajalcev, s čimer se spodbuja kultura dostopnosti in razvija strokovno znanje o pravnih vidikih, sprejemu, kulturnem posredovanju in promociji.</w:t>
      </w:r>
    </w:p>
    <w:p w14:paraId="3D1EA45B" w14:textId="77777777" w:rsidR="00154E32" w:rsidRDefault="00A43E04">
      <w:pPr>
        <w:pStyle w:val="P68B1DB1-Normal2"/>
        <w:spacing w:before="120" w:after="120"/>
        <w:jc w:val="both"/>
        <w:rPr>
          <w:noProof/>
        </w:rPr>
      </w:pPr>
      <w:r>
        <w:rPr>
          <w:noProof/>
        </w:rPr>
        <w:t>Naložba 1.3: Izboljšanje energetske učinkovitosti v kinematografih, gledališčih in muzejih</w:t>
      </w:r>
    </w:p>
    <w:p w14:paraId="5B9403DC" w14:textId="77777777" w:rsidR="00154E32" w:rsidRDefault="00A43E04">
      <w:pPr>
        <w:spacing w:before="120" w:after="120"/>
        <w:jc w:val="both"/>
        <w:rPr>
          <w:noProof/>
        </w:rPr>
      </w:pPr>
      <w:r>
        <w:rPr>
          <w:noProof/>
        </w:rPr>
        <w:t>Ukrep bo izboljšal energetsko učinkovitost stavb, povezanih s kulturnim in ustvarjalnim sektorjem. Pogosto jih najdemo v zastarelih, energetsko neučinkovitih objektih, ki povzročajo visoke stroške vzdrževanja, povezane s klimatskimi napravami, razsvetljavo, komunikacijo in varnostjo. Z naložbo se financirajo ukrepi za izboljšanje energetske učinkovitosti italijanskih muzejev, kinematografov in gledališča (javnih in zasebnih).</w:t>
      </w:r>
    </w:p>
    <w:p w14:paraId="5864EFBA" w14:textId="77777777" w:rsidR="00154E32" w:rsidRDefault="00A43E04">
      <w:pPr>
        <w:pStyle w:val="P68B1DB1-Normal2"/>
        <w:spacing w:before="120" w:after="120"/>
        <w:jc w:val="both"/>
        <w:rPr>
          <w:noProof/>
        </w:rPr>
      </w:pPr>
      <w:r>
        <w:rPr>
          <w:noProof/>
        </w:rPr>
        <w:t>Reforma 3.1: Sprejetje minimalnih okoljskih meril za kulturne prireditve</w:t>
      </w:r>
    </w:p>
    <w:p w14:paraId="334DA67C" w14:textId="77777777" w:rsidR="00154E32" w:rsidRDefault="00A43E04">
      <w:pPr>
        <w:spacing w:before="120" w:after="120"/>
        <w:jc w:val="both"/>
        <w:rPr>
          <w:noProof/>
        </w:rPr>
      </w:pPr>
      <w:r>
        <w:rPr>
          <w:noProof/>
        </w:rPr>
        <w:t>Cilj reforme je izboljšati ekološki odtis kulturnih dogodkov (kot so razstave, festivali, kulturni dogodki in glasbeni dogodki) z vključitvijo socialnih in okoljskih meril v javna naročila kulturnih dogodkov, ki jih financira, spodbuja ali organizira javni organ.</w:t>
      </w:r>
    </w:p>
    <w:p w14:paraId="44F8BCD0" w14:textId="77777777" w:rsidR="00154E32" w:rsidRDefault="00A43E04">
      <w:pPr>
        <w:pStyle w:val="P68B1DB1-Normal24"/>
        <w:spacing w:before="120" w:after="120"/>
        <w:jc w:val="both"/>
        <w:rPr>
          <w:noProof/>
        </w:rPr>
      </w:pPr>
      <w:r>
        <w:rPr>
          <w:noProof/>
        </w:rPr>
        <w:t xml:space="preserve">Naložba 3.3: Krepitev zmogljivosti kulturnih izvajalcev za upravljanje digitalnega in zelenega prehoda </w:t>
      </w:r>
    </w:p>
    <w:p w14:paraId="15704245" w14:textId="77777777" w:rsidR="00154E32" w:rsidRDefault="00A43E04">
      <w:pPr>
        <w:spacing w:before="120" w:after="120"/>
        <w:jc w:val="both"/>
        <w:rPr>
          <w:noProof/>
        </w:rPr>
      </w:pPr>
      <w:r>
        <w:rPr>
          <w:noProof/>
        </w:rPr>
        <w:t xml:space="preserve">Splošni cilj naložbe je podpreti okrevanje kulturnega in ustvarjalnega sektorja. To je sestavljeno iz dveh intervencij. </w:t>
      </w:r>
    </w:p>
    <w:p w14:paraId="0EAB0838" w14:textId="77777777" w:rsidR="00154E32" w:rsidRDefault="00A43E04">
      <w:pPr>
        <w:spacing w:before="120" w:after="120"/>
        <w:jc w:val="both"/>
        <w:rPr>
          <w:noProof/>
        </w:rPr>
      </w:pPr>
      <w:r>
        <w:rPr>
          <w:noProof/>
        </w:rPr>
        <w:t>Cilj prvega ukrepa („podpora okrevanju kulturnih dejavnosti s spodbujanjem inovacij in uporabe digitalne tehnologije v celotni vrednostni verigi“) je podpreti kulturne in ustvarjalne izvajalce pri izvajanju digitalnih strategij in povečanju njihovih zmogljivosti upravljanja.</w:t>
      </w:r>
    </w:p>
    <w:p w14:paraId="5266F3D5" w14:textId="4CC2F72C" w:rsidR="00154E32" w:rsidRDefault="00A43E04">
      <w:pPr>
        <w:spacing w:before="120" w:after="120"/>
        <w:jc w:val="both"/>
        <w:rPr>
          <w:noProof/>
        </w:rPr>
      </w:pPr>
      <w:r>
        <w:rPr>
          <w:noProof/>
        </w:rPr>
        <w:t>Cilj drugega ukrepa („spodbujanje zelenega pristopa v celotni kulturni in ustvarjalni verigi“) je spodbujati okoljsko trajnosten pristop v celotni verigi, zmanjšati ekološki odtis ter spodbujati inovativno in vključujočo okoljsko primerno zasnovo, tudi v okviru krožnega gospodarstva, da bi javnost usmerili k odgovornejšemu okoljskemu ravnanju.</w:t>
      </w:r>
    </w:p>
    <w:p w14:paraId="52A501A7" w14:textId="2D09B1E6" w:rsidR="00154E32" w:rsidRDefault="00A43E04">
      <w:pPr>
        <w:spacing w:before="120" w:after="120"/>
        <w:jc w:val="both"/>
        <w:rPr>
          <w:noProof/>
        </w:rPr>
      </w:pPr>
      <w:r>
        <w:rPr>
          <w:noProof/>
        </w:rPr>
        <w:t>Da se zagotovi skladnost ukrepa s tehničnimi smernicami za uporabo načela, da se ne škoduje bistveno (2021/C58/01), merila za upravičenost iz projektne naloge za prihodnje razpise za projekte ne vključujejo naslednjega seznama dejavnosti: (I) dejavnosti, povezane s fosilnimi gorivi, vključno z nadaljnjo uporabo</w:t>
      </w:r>
      <w:r>
        <w:rPr>
          <w:rStyle w:val="FootnoteReference"/>
          <w:noProof/>
        </w:rPr>
        <w:footnoteReference w:id="19"/>
      </w:r>
      <w:r>
        <w:rPr>
          <w:noProof/>
        </w:rPr>
        <w:t>; (II) dejavnosti v okviru sistema EU za trgovanje z emisijami (ETS), s katerimi se dosegajo predvidene emisije toplogrednih plinov, ki niso nižje od ustreznih referenčnih vrednosti</w:t>
      </w:r>
      <w:r>
        <w:rPr>
          <w:rStyle w:val="FootnoteReference"/>
          <w:noProof/>
        </w:rPr>
        <w:footnoteReference w:id="20"/>
      </w:r>
      <w:r>
        <w:rPr>
          <w:noProof/>
        </w:rPr>
        <w:t>; (III) dejavnosti, povezane z odlagališči odpadkov, sežigalnicami</w:t>
      </w:r>
      <w:r>
        <w:rPr>
          <w:rStyle w:val="FootnoteReference"/>
          <w:noProof/>
        </w:rPr>
        <w:footnoteReference w:id="21"/>
      </w:r>
      <w:r>
        <w:rPr>
          <w:noProof/>
        </w:rPr>
        <w:t xml:space="preserve"> in napravami za mehansko-biološko obdelavo</w:t>
      </w:r>
      <w:r>
        <w:rPr>
          <w:rStyle w:val="FootnoteReference"/>
          <w:noProof/>
        </w:rPr>
        <w:footnoteReference w:id="22"/>
      </w:r>
      <w:r>
        <w:rPr>
          <w:noProof/>
        </w:rPr>
        <w:t>; ter (iv) dejavnosti, pri katerih lahko dolgotrajno odstranjevanje odpadkov dolgoročno škoduje okolju. Poleg tega se zahteva, da se lahko izberejo samo dejavnosti, ki so skladne z ustrezno okoljsko zakonodajo EU in nacionalno okoljsko zakonodajo.</w:t>
      </w:r>
    </w:p>
    <w:p w14:paraId="1F3D4441" w14:textId="6995E33B" w:rsidR="00154E32" w:rsidRDefault="00A43E04">
      <w:pPr>
        <w:pStyle w:val="P68B1DB1-Normal2"/>
        <w:rPr>
          <w:i/>
          <w:noProof/>
        </w:rPr>
      </w:pPr>
      <w:r>
        <w:rPr>
          <w:noProof/>
        </w:rPr>
        <w:t>Naložba 4.1: Vozlišče za digitalni turizem</w:t>
      </w:r>
    </w:p>
    <w:p w14:paraId="0C702A43" w14:textId="77777777" w:rsidR="00154E32" w:rsidRDefault="00A43E04">
      <w:pPr>
        <w:spacing w:before="120" w:after="120"/>
        <w:jc w:val="both"/>
        <w:rPr>
          <w:noProof/>
        </w:rPr>
      </w:pPr>
      <w:r>
        <w:rPr>
          <w:noProof/>
        </w:rPr>
        <w:t>Cilj ukrepa je vzpostaviti digitalno turistično vozlišče, dostopno prek namenske spletne platforme, ki bo celotnemu turističnemu ekosistemu omogočilo krepitev, povezovanje in promocijo lastne ponudbe. Naložba financira novo digitalno infrastrukturo in podpira podjetja z orodji za podatkovno analitiko, ki jih zagotavlja nacionalni observatorij turizma.</w:t>
      </w:r>
    </w:p>
    <w:p w14:paraId="46120C1B" w14:textId="047888E3" w:rsidR="00154E32" w:rsidRDefault="00A43E04">
      <w:pPr>
        <w:spacing w:before="120" w:after="120"/>
        <w:jc w:val="both"/>
        <w:rPr>
          <w:noProof/>
        </w:rPr>
      </w:pPr>
      <w:r>
        <w:rPr>
          <w:noProof/>
        </w:rPr>
        <w:t>Nazadnje, ukrep predvideva tudi ustanovitev strokovnega centra za podporo programom za pospeševanje.</w:t>
      </w:r>
    </w:p>
    <w:p w14:paraId="3D673163" w14:textId="407C4A56" w:rsidR="00154E32" w:rsidRDefault="00A43E04">
      <w:pPr>
        <w:spacing w:before="120" w:after="120"/>
        <w:jc w:val="both"/>
        <w:rPr>
          <w:noProof/>
        </w:rPr>
      </w:pPr>
      <w:r>
        <w:rPr>
          <w:noProof/>
        </w:rPr>
        <w:t>Da se zagotovi skladnost ukrepa s tehničnimi smernicami za uporabo načela, da se ne škoduje bistveno (2021/C58/01), merila za upravičenost iz projektne naloge za prihodnje razpise za projekte ne vključujejo naslednjega seznama dejavnosti: (I) dejavnosti, povezane s fosilnimi gorivi, vključno z nadaljnjo uporabo</w:t>
      </w:r>
      <w:r>
        <w:rPr>
          <w:rStyle w:val="FootnoteReference"/>
          <w:noProof/>
        </w:rPr>
        <w:footnoteReference w:id="23"/>
      </w:r>
      <w:r>
        <w:rPr>
          <w:noProof/>
        </w:rPr>
        <w:t>; (II) dejavnosti v okviru sistema EU za trgovanje z emisijami (ETS), s katerimi se dosegajo predvidene emisije toplogrednih plinov, ki niso nižje od ustreznih referenčnih vrednosti</w:t>
      </w:r>
      <w:r>
        <w:rPr>
          <w:rStyle w:val="FootnoteReference"/>
          <w:noProof/>
        </w:rPr>
        <w:footnoteReference w:id="24"/>
      </w:r>
      <w:r>
        <w:rPr>
          <w:noProof/>
        </w:rPr>
        <w:t>; (III) dejavnosti, povezane z odlagališči odpadkov, sežigalnicami</w:t>
      </w:r>
      <w:r>
        <w:rPr>
          <w:rStyle w:val="FootnoteReference"/>
          <w:noProof/>
        </w:rPr>
        <w:footnoteReference w:id="25"/>
      </w:r>
      <w:r>
        <w:rPr>
          <w:noProof/>
        </w:rPr>
        <w:t xml:space="preserve"> in napravami za mehansko-biološko obdelavo</w:t>
      </w:r>
      <w:r>
        <w:rPr>
          <w:rStyle w:val="FootnoteReference"/>
          <w:noProof/>
        </w:rPr>
        <w:footnoteReference w:id="26"/>
      </w:r>
      <w:r>
        <w:rPr>
          <w:noProof/>
        </w:rPr>
        <w:t>; ter (iv) dejavnosti, pri katerih lahko dolgotrajno odstranjevanje odpadkov dolgoročno škoduje okolju. V formalnih pogojih se poleg tega zahteva, da se lahko izberejo samo dejavnosti, ki so skladne z ustrezno okoljsko zakonodajo EU in nacionalno okoljsko zakonodajo.</w:t>
      </w:r>
    </w:p>
    <w:p w14:paraId="3ADE8B0A" w14:textId="77777777" w:rsidR="00154E32" w:rsidRDefault="00A43E04">
      <w:pPr>
        <w:pStyle w:val="P68B1DB1-Normal24"/>
        <w:jc w:val="both"/>
        <w:rPr>
          <w:noProof/>
        </w:rPr>
      </w:pPr>
      <w:r>
        <w:rPr>
          <w:noProof/>
        </w:rPr>
        <w:t>Reforma 4.1: Regulacija poklicev turističnih vodnikov</w:t>
      </w:r>
    </w:p>
    <w:p w14:paraId="0688E3F1" w14:textId="77777777" w:rsidR="00154E32" w:rsidRDefault="00A43E04">
      <w:pPr>
        <w:spacing w:before="120" w:after="120"/>
        <w:jc w:val="both"/>
        <w:rPr>
          <w:noProof/>
        </w:rPr>
      </w:pPr>
      <w:r>
        <w:rPr>
          <w:noProof/>
        </w:rPr>
        <w:t>Naložbe v vozlišče za digitalni turizem dopolnjuje reforma za racionalizacijo predpisov o turističnih vodnikih. Ukrep ob upoštevanju lokalne ureditve zagotavlja poklicno organizacijo turističnih vodnikov in njihovo območje izvora. Sistematična in enotna uporaba reforme bi omogočila ureditev temeljnih načel poklica in standardizacijo ravni opravljanja storitev na celotnem nacionalnem ozemlju, kar bi pozitivno vplivalo na trg. Reforma vključuje usposabljanje in nadaljnje usposabljanje, da bi čim bolje podprli ponudbo.</w:t>
      </w:r>
    </w:p>
    <w:p w14:paraId="4C9D37D7" w14:textId="77777777" w:rsidR="00154E32" w:rsidRDefault="00154E32">
      <w:pPr>
        <w:pStyle w:val="Heading3"/>
        <w:numPr>
          <w:ilvl w:val="0"/>
          <w:numId w:val="0"/>
        </w:numPr>
        <w:ind w:left="850" w:hanging="850"/>
        <w:rPr>
          <w:rFonts w:eastAsia="Calibri"/>
          <w:noProof/>
          <w:color w:val="000000" w:themeColor="text1"/>
        </w:rPr>
        <w:sectPr w:rsidR="00154E32">
          <w:headerReference w:type="even" r:id="rId68"/>
          <w:headerReference w:type="default" r:id="rId69"/>
          <w:footerReference w:type="even" r:id="rId70"/>
          <w:footerReference w:type="default" r:id="rId71"/>
          <w:headerReference w:type="first" r:id="rId72"/>
          <w:footerReference w:type="first" r:id="rId73"/>
          <w:pgSz w:w="11907" w:h="16839"/>
          <w:pgMar w:top="1440" w:right="1440" w:bottom="1440" w:left="1440" w:header="567" w:footer="567" w:gutter="0"/>
          <w:cols w:space="720"/>
          <w:docGrid w:linePitch="360"/>
        </w:sectPr>
      </w:pPr>
    </w:p>
    <w:p w14:paraId="46742226" w14:textId="58259A6B" w:rsidR="00154E32" w:rsidRDefault="00A43E04">
      <w:pPr>
        <w:pStyle w:val="Heading3"/>
        <w:numPr>
          <w:ilvl w:val="0"/>
          <w:numId w:val="0"/>
        </w:numPr>
        <w:ind w:left="850" w:hanging="850"/>
        <w:rPr>
          <w:b/>
          <w:i w:val="0"/>
          <w:noProof/>
          <w:u w:val="single"/>
        </w:rPr>
      </w:pPr>
      <w:r>
        <w:rPr>
          <w:b/>
          <w:i w:val="0"/>
          <w:noProof/>
          <w:u w:val="single"/>
        </w:rPr>
        <w:t xml:space="preserve">C.2. </w:t>
      </w:r>
      <w:r>
        <w:rPr>
          <w:noProof/>
        </w:rPr>
        <w:tab/>
      </w:r>
      <w:r>
        <w:rPr>
          <w:b/>
          <w:i w:val="0"/>
          <w:noProof/>
          <w:u w:val="single"/>
        </w:rPr>
        <w:t>Mejniki, cilji, kazalniki in časovni razpored za spremljanje in izvajanje nepovratne finančne podpore Naslednje;</w:t>
      </w:r>
    </w:p>
    <w:tbl>
      <w:tblPr>
        <w:tblpPr w:leftFromText="180" w:rightFromText="180" w:vertAnchor="text" w:tblpY="1"/>
        <w:tblOverlap w:val="neve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1135"/>
        <w:gridCol w:w="1344"/>
        <w:gridCol w:w="1603"/>
        <w:gridCol w:w="1135"/>
        <w:gridCol w:w="1135"/>
        <w:gridCol w:w="1162"/>
        <w:gridCol w:w="990"/>
        <w:gridCol w:w="694"/>
        <w:gridCol w:w="3672"/>
      </w:tblGrid>
      <w:tr w:rsidR="00154E32" w14:paraId="49A5B195" w14:textId="77777777">
        <w:trPr>
          <w:trHeight w:val="1013"/>
          <w:tblHeader/>
        </w:trPr>
        <w:tc>
          <w:tcPr>
            <w:tcW w:w="366" w:type="pct"/>
            <w:vMerge w:val="restart"/>
            <w:shd w:val="clear" w:color="auto" w:fill="BDD7EE"/>
            <w:vAlign w:val="center"/>
          </w:tcPr>
          <w:p w14:paraId="704EECFC" w14:textId="77777777" w:rsidR="00154E32" w:rsidRDefault="00A43E04">
            <w:pPr>
              <w:pStyle w:val="P68B1DB1-Normal9"/>
              <w:spacing w:after="200" w:line="276" w:lineRule="auto"/>
              <w:rPr>
                <w:noProof/>
              </w:rPr>
            </w:pPr>
            <w:r>
              <w:rPr>
                <w:noProof/>
              </w:rPr>
              <w:t>Zaporedna številka</w:t>
            </w:r>
          </w:p>
        </w:tc>
        <w:tc>
          <w:tcPr>
            <w:tcW w:w="460" w:type="pct"/>
            <w:vMerge w:val="restart"/>
            <w:shd w:val="clear" w:color="auto" w:fill="BDD7EE"/>
            <w:vAlign w:val="center"/>
          </w:tcPr>
          <w:p w14:paraId="1EE66FF1" w14:textId="77777777" w:rsidR="00154E32" w:rsidRDefault="00A43E04">
            <w:pPr>
              <w:pStyle w:val="P68B1DB1-Normal9"/>
              <w:jc w:val="center"/>
              <w:rPr>
                <w:noProof/>
              </w:rPr>
            </w:pPr>
            <w:r>
              <w:rPr>
                <w:noProof/>
              </w:rPr>
              <w:t>Ukrep</w:t>
            </w:r>
          </w:p>
        </w:tc>
        <w:tc>
          <w:tcPr>
            <w:tcW w:w="368" w:type="pct"/>
            <w:vMerge w:val="restart"/>
            <w:shd w:val="clear" w:color="auto" w:fill="BDD7EE"/>
            <w:vAlign w:val="center"/>
          </w:tcPr>
          <w:p w14:paraId="096135B7" w14:textId="77777777" w:rsidR="00154E32" w:rsidRDefault="00A43E04">
            <w:pPr>
              <w:pStyle w:val="P68B1DB1-Normal9"/>
              <w:jc w:val="center"/>
              <w:rPr>
                <w:noProof/>
              </w:rPr>
            </w:pPr>
            <w:r>
              <w:rPr>
                <w:noProof/>
              </w:rPr>
              <w:t>Mejnik/cilj</w:t>
            </w:r>
          </w:p>
        </w:tc>
        <w:tc>
          <w:tcPr>
            <w:tcW w:w="436" w:type="pct"/>
            <w:vMerge w:val="restart"/>
            <w:shd w:val="clear" w:color="auto" w:fill="BDD7EE"/>
            <w:vAlign w:val="center"/>
          </w:tcPr>
          <w:p w14:paraId="715653B1" w14:textId="77777777" w:rsidR="00154E32" w:rsidRDefault="00A43E04">
            <w:pPr>
              <w:pStyle w:val="P68B1DB1-Normal9"/>
              <w:jc w:val="center"/>
              <w:rPr>
                <w:noProof/>
              </w:rPr>
            </w:pPr>
            <w:r>
              <w:rPr>
                <w:noProof/>
              </w:rPr>
              <w:t>Ime</w:t>
            </w:r>
          </w:p>
        </w:tc>
        <w:tc>
          <w:tcPr>
            <w:tcW w:w="520" w:type="pct"/>
            <w:vMerge w:val="restart"/>
            <w:shd w:val="clear" w:color="auto" w:fill="BDD7EE"/>
            <w:vAlign w:val="center"/>
          </w:tcPr>
          <w:p w14:paraId="17D59F92" w14:textId="77777777" w:rsidR="00154E32" w:rsidRDefault="00A43E04">
            <w:pPr>
              <w:pStyle w:val="P68B1DB1-Normal19"/>
              <w:jc w:val="center"/>
              <w:rPr>
                <w:b/>
                <w:noProof/>
              </w:rPr>
            </w:pPr>
            <w:r>
              <w:rPr>
                <w:b/>
                <w:noProof/>
              </w:rPr>
              <w:t>Kakovostni kazalniki</w:t>
            </w:r>
            <w:r>
              <w:rPr>
                <w:noProof/>
              </w:rPr>
              <w:t xml:space="preserve"> </w:t>
            </w:r>
            <w:r>
              <w:rPr>
                <w:noProof/>
              </w:rPr>
              <w:br/>
            </w:r>
            <w:r>
              <w:rPr>
                <w:b/>
                <w:noProof/>
              </w:rPr>
              <w:t>(za mejnike)</w:t>
            </w:r>
          </w:p>
        </w:tc>
        <w:tc>
          <w:tcPr>
            <w:tcW w:w="1113" w:type="pct"/>
            <w:gridSpan w:val="3"/>
            <w:shd w:val="clear" w:color="auto" w:fill="BDD7EE"/>
            <w:vAlign w:val="center"/>
          </w:tcPr>
          <w:p w14:paraId="795757A9" w14:textId="77777777" w:rsidR="00154E32" w:rsidRDefault="00A43E04">
            <w:pPr>
              <w:pStyle w:val="P68B1DB1-Normal19"/>
              <w:jc w:val="center"/>
              <w:rPr>
                <w:b/>
                <w:noProof/>
              </w:rPr>
            </w:pPr>
            <w:r>
              <w:rPr>
                <w:b/>
                <w:noProof/>
              </w:rPr>
              <w:t>Kvantitativni kazalniki</w:t>
            </w:r>
            <w:r>
              <w:rPr>
                <w:noProof/>
              </w:rPr>
              <w:t xml:space="preserve"> </w:t>
            </w:r>
            <w:r>
              <w:rPr>
                <w:noProof/>
              </w:rPr>
              <w:br/>
            </w:r>
            <w:r>
              <w:rPr>
                <w:b/>
                <w:noProof/>
              </w:rPr>
              <w:t>(za ciljne vrednosti)</w:t>
            </w:r>
          </w:p>
        </w:tc>
        <w:tc>
          <w:tcPr>
            <w:tcW w:w="546" w:type="pct"/>
            <w:gridSpan w:val="2"/>
            <w:shd w:val="clear" w:color="auto" w:fill="BDD7EE"/>
            <w:vAlign w:val="center"/>
          </w:tcPr>
          <w:p w14:paraId="26CAF45E" w14:textId="77777777" w:rsidR="00154E32" w:rsidRDefault="00A43E04">
            <w:pPr>
              <w:pStyle w:val="P68B1DB1-Normal9"/>
              <w:jc w:val="center"/>
              <w:rPr>
                <w:noProof/>
              </w:rPr>
            </w:pPr>
            <w:r>
              <w:rPr>
                <w:noProof/>
              </w:rPr>
              <w:t>Okvirni časovni razpored za dokončanje</w:t>
            </w:r>
          </w:p>
        </w:tc>
        <w:tc>
          <w:tcPr>
            <w:tcW w:w="1192" w:type="pct"/>
            <w:vMerge w:val="restart"/>
            <w:shd w:val="clear" w:color="auto" w:fill="BDD7EE"/>
            <w:vAlign w:val="center"/>
          </w:tcPr>
          <w:p w14:paraId="530D8B4C" w14:textId="77777777" w:rsidR="00154E32" w:rsidRDefault="00A43E04">
            <w:pPr>
              <w:pStyle w:val="P68B1DB1-Normal9"/>
              <w:rPr>
                <w:noProof/>
              </w:rPr>
            </w:pPr>
            <w:r>
              <w:rPr>
                <w:noProof/>
              </w:rPr>
              <w:t>Opis vsakega mejnika in cilja</w:t>
            </w:r>
          </w:p>
        </w:tc>
      </w:tr>
      <w:tr w:rsidR="00154E32" w14:paraId="68C0102A" w14:textId="77777777">
        <w:trPr>
          <w:trHeight w:val="1013"/>
          <w:tblHeader/>
        </w:trPr>
        <w:tc>
          <w:tcPr>
            <w:tcW w:w="366" w:type="pct"/>
            <w:vMerge/>
            <w:vAlign w:val="center"/>
            <w:hideMark/>
          </w:tcPr>
          <w:p w14:paraId="749A8C33" w14:textId="77777777" w:rsidR="00154E32" w:rsidRDefault="00154E32">
            <w:pPr>
              <w:spacing w:after="200" w:line="276" w:lineRule="auto"/>
              <w:rPr>
                <w:rFonts w:ascii="Arial Narrow" w:hAnsi="Arial Narrow"/>
                <w:b/>
                <w:noProof/>
                <w:sz w:val="20"/>
              </w:rPr>
            </w:pPr>
          </w:p>
        </w:tc>
        <w:tc>
          <w:tcPr>
            <w:tcW w:w="460" w:type="pct"/>
            <w:vMerge/>
            <w:vAlign w:val="center"/>
            <w:hideMark/>
          </w:tcPr>
          <w:p w14:paraId="68017005" w14:textId="77777777" w:rsidR="00154E32" w:rsidRDefault="00154E32">
            <w:pPr>
              <w:jc w:val="center"/>
              <w:rPr>
                <w:rFonts w:ascii="Arial Narrow" w:hAnsi="Arial Narrow"/>
                <w:b/>
                <w:noProof/>
                <w:sz w:val="20"/>
              </w:rPr>
            </w:pPr>
          </w:p>
        </w:tc>
        <w:tc>
          <w:tcPr>
            <w:tcW w:w="368" w:type="pct"/>
            <w:vMerge/>
            <w:vAlign w:val="center"/>
            <w:hideMark/>
          </w:tcPr>
          <w:p w14:paraId="1A335473" w14:textId="77777777" w:rsidR="00154E32" w:rsidRDefault="00154E32">
            <w:pPr>
              <w:jc w:val="center"/>
              <w:rPr>
                <w:rFonts w:ascii="Arial Narrow" w:hAnsi="Arial Narrow"/>
                <w:b/>
                <w:noProof/>
                <w:sz w:val="20"/>
              </w:rPr>
            </w:pPr>
          </w:p>
        </w:tc>
        <w:tc>
          <w:tcPr>
            <w:tcW w:w="436" w:type="pct"/>
            <w:vMerge/>
            <w:vAlign w:val="center"/>
            <w:hideMark/>
          </w:tcPr>
          <w:p w14:paraId="3E3B7115" w14:textId="77777777" w:rsidR="00154E32" w:rsidRDefault="00154E32">
            <w:pPr>
              <w:jc w:val="center"/>
              <w:rPr>
                <w:rFonts w:ascii="Arial Narrow" w:hAnsi="Arial Narrow"/>
                <w:b/>
                <w:noProof/>
                <w:sz w:val="20"/>
              </w:rPr>
            </w:pPr>
          </w:p>
        </w:tc>
        <w:tc>
          <w:tcPr>
            <w:tcW w:w="520" w:type="pct"/>
            <w:vMerge/>
            <w:vAlign w:val="center"/>
            <w:hideMark/>
          </w:tcPr>
          <w:p w14:paraId="096DFA0A" w14:textId="77777777" w:rsidR="00154E32" w:rsidRDefault="00154E32">
            <w:pPr>
              <w:jc w:val="center"/>
              <w:rPr>
                <w:rFonts w:ascii="Arial Narrow" w:hAnsi="Arial Narrow"/>
                <w:b/>
                <w:noProof/>
                <w:sz w:val="20"/>
              </w:rPr>
            </w:pPr>
          </w:p>
        </w:tc>
        <w:tc>
          <w:tcPr>
            <w:tcW w:w="368" w:type="pct"/>
            <w:shd w:val="clear" w:color="auto" w:fill="BDD7EE"/>
            <w:vAlign w:val="center"/>
            <w:hideMark/>
          </w:tcPr>
          <w:p w14:paraId="5B1E0914" w14:textId="77777777" w:rsidR="00154E32" w:rsidRDefault="00A43E04">
            <w:pPr>
              <w:pStyle w:val="P68B1DB1-Normal9"/>
              <w:jc w:val="center"/>
              <w:rPr>
                <w:noProof/>
              </w:rPr>
            </w:pPr>
            <w:r>
              <w:rPr>
                <w:noProof/>
              </w:rPr>
              <w:t>Merska enota</w:t>
            </w:r>
          </w:p>
        </w:tc>
        <w:tc>
          <w:tcPr>
            <w:tcW w:w="368" w:type="pct"/>
            <w:shd w:val="clear" w:color="auto" w:fill="BDD7EE"/>
            <w:vAlign w:val="center"/>
            <w:hideMark/>
          </w:tcPr>
          <w:p w14:paraId="2A4F2DFE" w14:textId="77777777" w:rsidR="00154E32" w:rsidRDefault="00A43E04">
            <w:pPr>
              <w:pStyle w:val="P68B1DB1-Normal9"/>
              <w:jc w:val="center"/>
              <w:rPr>
                <w:noProof/>
              </w:rPr>
            </w:pPr>
            <w:r>
              <w:rPr>
                <w:noProof/>
              </w:rPr>
              <w:t>Izhodišče</w:t>
            </w:r>
          </w:p>
        </w:tc>
        <w:tc>
          <w:tcPr>
            <w:tcW w:w="377" w:type="pct"/>
            <w:shd w:val="clear" w:color="auto" w:fill="BDD7EE"/>
            <w:vAlign w:val="center"/>
            <w:hideMark/>
          </w:tcPr>
          <w:p w14:paraId="3AA42810" w14:textId="77777777" w:rsidR="00154E32" w:rsidRDefault="00A43E04">
            <w:pPr>
              <w:pStyle w:val="P68B1DB1-Normal9"/>
              <w:jc w:val="center"/>
              <w:rPr>
                <w:noProof/>
              </w:rPr>
            </w:pPr>
            <w:r>
              <w:rPr>
                <w:noProof/>
              </w:rPr>
              <w:t>Cilj</w:t>
            </w:r>
          </w:p>
        </w:tc>
        <w:tc>
          <w:tcPr>
            <w:tcW w:w="321" w:type="pct"/>
            <w:shd w:val="clear" w:color="auto" w:fill="BDD7EE"/>
            <w:vAlign w:val="center"/>
            <w:hideMark/>
          </w:tcPr>
          <w:p w14:paraId="46A1CFE5" w14:textId="77777777" w:rsidR="00154E32" w:rsidRDefault="00A43E04">
            <w:pPr>
              <w:pStyle w:val="P68B1DB1-Normal9"/>
              <w:jc w:val="center"/>
              <w:rPr>
                <w:noProof/>
              </w:rPr>
            </w:pPr>
            <w:r>
              <w:rPr>
                <w:noProof/>
              </w:rPr>
              <w:t>Četrtletje</w:t>
            </w:r>
          </w:p>
        </w:tc>
        <w:tc>
          <w:tcPr>
            <w:tcW w:w="224" w:type="pct"/>
            <w:shd w:val="clear" w:color="auto" w:fill="BDD7EE"/>
            <w:vAlign w:val="center"/>
            <w:hideMark/>
          </w:tcPr>
          <w:p w14:paraId="48B1551D" w14:textId="77777777" w:rsidR="00154E32" w:rsidRDefault="00A43E04">
            <w:pPr>
              <w:pStyle w:val="P68B1DB1-Normal9"/>
              <w:jc w:val="center"/>
              <w:rPr>
                <w:noProof/>
              </w:rPr>
            </w:pPr>
            <w:r>
              <w:rPr>
                <w:noProof/>
              </w:rPr>
              <w:t>Leto</w:t>
            </w:r>
          </w:p>
        </w:tc>
        <w:tc>
          <w:tcPr>
            <w:tcW w:w="1192" w:type="pct"/>
            <w:vMerge/>
            <w:vAlign w:val="center"/>
            <w:hideMark/>
          </w:tcPr>
          <w:p w14:paraId="561B19F8" w14:textId="77777777" w:rsidR="00154E32" w:rsidRDefault="00154E32">
            <w:pPr>
              <w:rPr>
                <w:rFonts w:ascii="Arial Narrow" w:hAnsi="Arial Narrow"/>
                <w:b/>
                <w:noProof/>
                <w:sz w:val="20"/>
              </w:rPr>
            </w:pPr>
          </w:p>
        </w:tc>
      </w:tr>
      <w:tr w:rsidR="00154E32" w14:paraId="47B14BBD" w14:textId="77777777">
        <w:trPr>
          <w:trHeight w:val="309"/>
        </w:trPr>
        <w:tc>
          <w:tcPr>
            <w:tcW w:w="366" w:type="pct"/>
            <w:shd w:val="clear" w:color="auto" w:fill="C6EFCE"/>
            <w:noWrap/>
            <w:vAlign w:val="center"/>
            <w:hideMark/>
          </w:tcPr>
          <w:p w14:paraId="2B3909A1" w14:textId="77777777" w:rsidR="00154E32" w:rsidRDefault="00A43E04">
            <w:pPr>
              <w:pStyle w:val="P68B1DB1-Normal11"/>
              <w:jc w:val="center"/>
              <w:rPr>
                <w:noProof/>
              </w:rPr>
            </w:pPr>
            <w:r>
              <w:rPr>
                <w:noProof/>
              </w:rPr>
              <w:t>M1C3–1</w:t>
            </w:r>
          </w:p>
        </w:tc>
        <w:tc>
          <w:tcPr>
            <w:tcW w:w="460" w:type="pct"/>
            <w:shd w:val="clear" w:color="auto" w:fill="C6EFCE"/>
            <w:noWrap/>
            <w:vAlign w:val="center"/>
            <w:hideMark/>
          </w:tcPr>
          <w:p w14:paraId="46332E52" w14:textId="77777777" w:rsidR="00154E32" w:rsidRDefault="00A43E04">
            <w:pPr>
              <w:pStyle w:val="P68B1DB1-Normal11"/>
              <w:jc w:val="center"/>
              <w:rPr>
                <w:noProof/>
              </w:rPr>
            </w:pPr>
            <w:r>
              <w:rPr>
                <w:noProof/>
              </w:rPr>
              <w:t>Naložba 1.1 Digitalna strategija in platforme za kulturno dediščino</w:t>
            </w:r>
          </w:p>
        </w:tc>
        <w:tc>
          <w:tcPr>
            <w:tcW w:w="368" w:type="pct"/>
            <w:shd w:val="clear" w:color="auto" w:fill="C6EFCE"/>
            <w:noWrap/>
            <w:vAlign w:val="center"/>
            <w:hideMark/>
          </w:tcPr>
          <w:p w14:paraId="3484C88C" w14:textId="77777777" w:rsidR="00154E32" w:rsidRDefault="00A43E04">
            <w:pPr>
              <w:pStyle w:val="P68B1DB1-Normal11"/>
              <w:jc w:val="center"/>
              <w:rPr>
                <w:noProof/>
              </w:rPr>
            </w:pPr>
            <w:r>
              <w:rPr>
                <w:noProof/>
              </w:rPr>
              <w:t>Tarča</w:t>
            </w:r>
          </w:p>
        </w:tc>
        <w:tc>
          <w:tcPr>
            <w:tcW w:w="436" w:type="pct"/>
            <w:shd w:val="clear" w:color="auto" w:fill="C6EFCE"/>
            <w:noWrap/>
            <w:vAlign w:val="center"/>
            <w:hideMark/>
          </w:tcPr>
          <w:p w14:paraId="650E64A5" w14:textId="77777777" w:rsidR="00154E32" w:rsidRDefault="00A43E04">
            <w:pPr>
              <w:pStyle w:val="P68B1DB1-Normal11"/>
              <w:jc w:val="center"/>
              <w:rPr>
                <w:noProof/>
              </w:rPr>
            </w:pPr>
            <w:r>
              <w:rPr>
                <w:noProof/>
              </w:rPr>
              <w:t>Uporabniki, usposobljeni prek platforme za e-učenje na področju kulturne dediščine</w:t>
            </w:r>
          </w:p>
        </w:tc>
        <w:tc>
          <w:tcPr>
            <w:tcW w:w="520" w:type="pct"/>
            <w:shd w:val="clear" w:color="auto" w:fill="C6EFCE"/>
            <w:noWrap/>
            <w:vAlign w:val="center"/>
            <w:hideMark/>
          </w:tcPr>
          <w:p w14:paraId="7437FA36" w14:textId="77777777" w:rsidR="00154E32" w:rsidRDefault="00A43E04">
            <w:pPr>
              <w:pStyle w:val="P68B1DB1-Normal11"/>
              <w:jc w:val="center"/>
              <w:rPr>
                <w:noProof/>
              </w:rPr>
            </w:pPr>
            <w:r>
              <w:rPr>
                <w:noProof/>
              </w:rPr>
              <w:t>JIH NI</w:t>
            </w:r>
          </w:p>
        </w:tc>
        <w:tc>
          <w:tcPr>
            <w:tcW w:w="368" w:type="pct"/>
            <w:shd w:val="clear" w:color="auto" w:fill="C6EFCE"/>
            <w:noWrap/>
            <w:vAlign w:val="center"/>
            <w:hideMark/>
          </w:tcPr>
          <w:p w14:paraId="2286D584" w14:textId="77777777" w:rsidR="00154E32" w:rsidRDefault="00A43E04">
            <w:pPr>
              <w:pStyle w:val="P68B1DB1-Normal11"/>
              <w:jc w:val="center"/>
              <w:rPr>
                <w:noProof/>
              </w:rPr>
            </w:pPr>
            <w:r>
              <w:rPr>
                <w:noProof/>
              </w:rPr>
              <w:t>Število</w:t>
            </w:r>
          </w:p>
        </w:tc>
        <w:tc>
          <w:tcPr>
            <w:tcW w:w="368" w:type="pct"/>
            <w:shd w:val="clear" w:color="auto" w:fill="C6EFCE"/>
            <w:noWrap/>
            <w:vAlign w:val="center"/>
            <w:hideMark/>
          </w:tcPr>
          <w:p w14:paraId="29B9F203" w14:textId="77777777" w:rsidR="00154E32" w:rsidRDefault="00A43E04">
            <w:pPr>
              <w:pStyle w:val="P68B1DB1-Normal11"/>
              <w:jc w:val="center"/>
              <w:rPr>
                <w:noProof/>
              </w:rPr>
            </w:pPr>
            <w:r>
              <w:rPr>
                <w:noProof/>
              </w:rPr>
              <w:t>0</w:t>
            </w:r>
          </w:p>
        </w:tc>
        <w:tc>
          <w:tcPr>
            <w:tcW w:w="377" w:type="pct"/>
            <w:shd w:val="clear" w:color="auto" w:fill="C6EFCE"/>
            <w:noWrap/>
            <w:vAlign w:val="center"/>
            <w:hideMark/>
          </w:tcPr>
          <w:p w14:paraId="5D861463" w14:textId="06C300C0" w:rsidR="00154E32" w:rsidRDefault="00A43E04">
            <w:pPr>
              <w:pStyle w:val="P68B1DB1-Normal11"/>
              <w:jc w:val="center"/>
              <w:rPr>
                <w:noProof/>
              </w:rPr>
            </w:pPr>
            <w:r>
              <w:rPr>
                <w:noProof/>
              </w:rPr>
              <w:t>30 000</w:t>
            </w:r>
          </w:p>
        </w:tc>
        <w:tc>
          <w:tcPr>
            <w:tcW w:w="321" w:type="pct"/>
            <w:shd w:val="clear" w:color="auto" w:fill="C6EFCE"/>
            <w:noWrap/>
            <w:vAlign w:val="center"/>
            <w:hideMark/>
          </w:tcPr>
          <w:p w14:paraId="7BC8F5C0" w14:textId="77777777" w:rsidR="00154E32" w:rsidRDefault="00A43E04">
            <w:pPr>
              <w:pStyle w:val="P68B1DB1-Normal11"/>
              <w:jc w:val="center"/>
              <w:rPr>
                <w:noProof/>
              </w:rPr>
            </w:pPr>
            <w:r>
              <w:rPr>
                <w:noProof/>
              </w:rPr>
              <w:t>Q4</w:t>
            </w:r>
          </w:p>
        </w:tc>
        <w:tc>
          <w:tcPr>
            <w:tcW w:w="224" w:type="pct"/>
            <w:shd w:val="clear" w:color="auto" w:fill="C6EFCE"/>
            <w:noWrap/>
            <w:vAlign w:val="center"/>
            <w:hideMark/>
          </w:tcPr>
          <w:p w14:paraId="6788B425" w14:textId="77777777" w:rsidR="00154E32" w:rsidRDefault="00A43E04">
            <w:pPr>
              <w:pStyle w:val="P68B1DB1-Normal11"/>
              <w:jc w:val="center"/>
              <w:rPr>
                <w:noProof/>
              </w:rPr>
            </w:pPr>
            <w:r>
              <w:rPr>
                <w:noProof/>
              </w:rPr>
              <w:t>2025</w:t>
            </w:r>
          </w:p>
        </w:tc>
        <w:tc>
          <w:tcPr>
            <w:tcW w:w="1192" w:type="pct"/>
            <w:shd w:val="clear" w:color="auto" w:fill="C6EFCE"/>
            <w:noWrap/>
            <w:vAlign w:val="center"/>
            <w:hideMark/>
          </w:tcPr>
          <w:p w14:paraId="0273D0C7" w14:textId="77777777" w:rsidR="00154E32" w:rsidRDefault="00A43E04">
            <w:pPr>
              <w:pStyle w:val="P68B1DB1-Normal11"/>
              <w:rPr>
                <w:noProof/>
              </w:rPr>
            </w:pPr>
            <w:r>
              <w:rPr>
                <w:noProof/>
              </w:rPr>
              <w:t>Usposobljeni ciljni uporabniki merijo učinkovitost ponudbe usposabljanja, ki se izvaja digitalno za program vseživljenjskega učenja.</w:t>
            </w:r>
          </w:p>
          <w:p w14:paraId="301D13E6" w14:textId="77777777" w:rsidR="00154E32" w:rsidRDefault="00A43E04">
            <w:pPr>
              <w:pStyle w:val="P68B1DB1-Normal11"/>
              <w:rPr>
                <w:noProof/>
              </w:rPr>
            </w:pPr>
            <w:r>
              <w:rPr>
                <w:noProof/>
              </w:rPr>
              <w:t>Vrsta intervencij vključuje:</w:t>
            </w:r>
          </w:p>
          <w:p w14:paraId="66911B79" w14:textId="77777777" w:rsidR="00154E32" w:rsidRDefault="00A43E04">
            <w:pPr>
              <w:pStyle w:val="P68B1DB1-Normal11"/>
              <w:rPr>
                <w:noProof/>
              </w:rPr>
            </w:pPr>
            <w:r>
              <w:rPr>
                <w:noProof/>
              </w:rPr>
              <w:t>priprava tečajev usposabljanja, izvajanje s programi osnovnega poučevanja in e-učenja, zasnovanimi na podlagi ocene kompetenc različnih ciljnih skupin učečih se (ki ustrezajo trem ravnem tečaja: temeljne spretnosti, strokovna znanja in spretnosti, vodstvene sposobnosti).</w:t>
            </w:r>
          </w:p>
          <w:p w14:paraId="67D7D549" w14:textId="77777777" w:rsidR="00154E32" w:rsidRDefault="00A43E04">
            <w:pPr>
              <w:pStyle w:val="P68B1DB1-Normal11"/>
              <w:rPr>
                <w:noProof/>
              </w:rPr>
            </w:pPr>
            <w:r>
              <w:rPr>
                <w:noProof/>
              </w:rPr>
              <w:t>Prejemniki tega ukrepa so: zaposleni na ministrstvu, zaposleni v kulturnih inštitutih lokalnih skupnosti, samostojni kulturni izvajalci.</w:t>
            </w:r>
          </w:p>
          <w:p w14:paraId="5E1E33AD" w14:textId="77777777" w:rsidR="00154E32" w:rsidRDefault="00154E32">
            <w:pPr>
              <w:rPr>
                <w:rFonts w:ascii="Arial Narrow" w:hAnsi="Arial Narrow"/>
                <w:noProof/>
                <w:color w:val="006100"/>
                <w:sz w:val="20"/>
              </w:rPr>
            </w:pPr>
          </w:p>
        </w:tc>
      </w:tr>
      <w:tr w:rsidR="00154E32" w14:paraId="341D5C18" w14:textId="77777777">
        <w:trPr>
          <w:trHeight w:val="309"/>
        </w:trPr>
        <w:tc>
          <w:tcPr>
            <w:tcW w:w="366" w:type="pct"/>
            <w:shd w:val="clear" w:color="auto" w:fill="C6EFCE"/>
            <w:noWrap/>
            <w:vAlign w:val="center"/>
            <w:hideMark/>
          </w:tcPr>
          <w:p w14:paraId="77B36DF8" w14:textId="77777777" w:rsidR="00154E32" w:rsidRDefault="00A43E04">
            <w:pPr>
              <w:pStyle w:val="P68B1DB1-Normal11"/>
              <w:jc w:val="center"/>
              <w:rPr>
                <w:noProof/>
              </w:rPr>
            </w:pPr>
            <w:r>
              <w:rPr>
                <w:noProof/>
              </w:rPr>
              <w:t>M1C3–2</w:t>
            </w:r>
          </w:p>
        </w:tc>
        <w:tc>
          <w:tcPr>
            <w:tcW w:w="460" w:type="pct"/>
            <w:shd w:val="clear" w:color="auto" w:fill="C6EFCE"/>
            <w:noWrap/>
            <w:vAlign w:val="center"/>
            <w:hideMark/>
          </w:tcPr>
          <w:p w14:paraId="398EBAE8" w14:textId="77777777" w:rsidR="00154E32" w:rsidRDefault="00A43E04">
            <w:pPr>
              <w:pStyle w:val="P68B1DB1-Normal11"/>
              <w:jc w:val="center"/>
              <w:rPr>
                <w:noProof/>
              </w:rPr>
            </w:pPr>
            <w:r>
              <w:rPr>
                <w:noProof/>
              </w:rPr>
              <w:t>Naložba – 1.1 Digitalna strategija in platforme za kulturno dediščino</w:t>
            </w:r>
          </w:p>
        </w:tc>
        <w:tc>
          <w:tcPr>
            <w:tcW w:w="368" w:type="pct"/>
            <w:shd w:val="clear" w:color="auto" w:fill="C6EFCE"/>
            <w:noWrap/>
            <w:vAlign w:val="center"/>
            <w:hideMark/>
          </w:tcPr>
          <w:p w14:paraId="33A51AD7" w14:textId="77777777" w:rsidR="00154E32" w:rsidRDefault="00A43E04">
            <w:pPr>
              <w:pStyle w:val="P68B1DB1-Normal11"/>
              <w:jc w:val="center"/>
              <w:rPr>
                <w:noProof/>
              </w:rPr>
            </w:pPr>
            <w:r>
              <w:rPr>
                <w:noProof/>
              </w:rPr>
              <w:t>Tarča</w:t>
            </w:r>
          </w:p>
        </w:tc>
        <w:tc>
          <w:tcPr>
            <w:tcW w:w="436" w:type="pct"/>
            <w:shd w:val="clear" w:color="auto" w:fill="C6EFCE"/>
            <w:noWrap/>
            <w:vAlign w:val="center"/>
            <w:hideMark/>
          </w:tcPr>
          <w:p w14:paraId="60038BA9" w14:textId="77777777" w:rsidR="00154E32" w:rsidRDefault="00A43E04">
            <w:pPr>
              <w:pStyle w:val="P68B1DB1-Normal11"/>
              <w:jc w:val="center"/>
              <w:rPr>
                <w:noProof/>
              </w:rPr>
            </w:pPr>
            <w:r>
              <w:rPr>
                <w:noProof/>
              </w:rPr>
              <w:t>Digitalni viri, pripravljeni in objavljeni v digitalni knjižnici</w:t>
            </w:r>
          </w:p>
          <w:p w14:paraId="0311BF45" w14:textId="77777777" w:rsidR="00154E32" w:rsidRDefault="00154E32">
            <w:pPr>
              <w:jc w:val="center"/>
              <w:rPr>
                <w:rFonts w:ascii="Arial Narrow" w:hAnsi="Arial Narrow"/>
                <w:noProof/>
                <w:color w:val="006100"/>
                <w:sz w:val="20"/>
              </w:rPr>
            </w:pPr>
          </w:p>
        </w:tc>
        <w:tc>
          <w:tcPr>
            <w:tcW w:w="520" w:type="pct"/>
            <w:shd w:val="clear" w:color="auto" w:fill="C6EFCE"/>
            <w:noWrap/>
            <w:vAlign w:val="center"/>
            <w:hideMark/>
          </w:tcPr>
          <w:p w14:paraId="5AE36A9E" w14:textId="77777777" w:rsidR="00154E32" w:rsidRDefault="00A43E04">
            <w:pPr>
              <w:pStyle w:val="P68B1DB1-Normal11"/>
              <w:jc w:val="center"/>
              <w:rPr>
                <w:noProof/>
              </w:rPr>
            </w:pPr>
            <w:r>
              <w:rPr>
                <w:noProof/>
              </w:rPr>
              <w:t>JIH NI</w:t>
            </w:r>
          </w:p>
        </w:tc>
        <w:tc>
          <w:tcPr>
            <w:tcW w:w="368" w:type="pct"/>
            <w:shd w:val="clear" w:color="auto" w:fill="C6EFCE"/>
            <w:noWrap/>
            <w:vAlign w:val="center"/>
            <w:hideMark/>
          </w:tcPr>
          <w:p w14:paraId="617E2436" w14:textId="77777777" w:rsidR="00154E32" w:rsidRDefault="00A43E04">
            <w:pPr>
              <w:pStyle w:val="P68B1DB1-Normal11"/>
              <w:jc w:val="center"/>
              <w:rPr>
                <w:noProof/>
              </w:rPr>
            </w:pPr>
            <w:r>
              <w:rPr>
                <w:noProof/>
              </w:rPr>
              <w:t>Število</w:t>
            </w:r>
          </w:p>
        </w:tc>
        <w:tc>
          <w:tcPr>
            <w:tcW w:w="368" w:type="pct"/>
            <w:shd w:val="clear" w:color="auto" w:fill="C6EFCE"/>
            <w:noWrap/>
            <w:vAlign w:val="center"/>
            <w:hideMark/>
          </w:tcPr>
          <w:p w14:paraId="3F402347" w14:textId="77777777" w:rsidR="00154E32" w:rsidRDefault="00A43E04">
            <w:pPr>
              <w:pStyle w:val="P68B1DB1-Normal11"/>
              <w:jc w:val="center"/>
              <w:rPr>
                <w:noProof/>
              </w:rPr>
            </w:pPr>
            <w:r>
              <w:rPr>
                <w:noProof/>
              </w:rPr>
              <w:t>0</w:t>
            </w:r>
          </w:p>
        </w:tc>
        <w:tc>
          <w:tcPr>
            <w:tcW w:w="377" w:type="pct"/>
            <w:shd w:val="clear" w:color="auto" w:fill="C6EFCE"/>
            <w:noWrap/>
            <w:vAlign w:val="center"/>
            <w:hideMark/>
          </w:tcPr>
          <w:p w14:paraId="1A9637B5" w14:textId="2BCB918E" w:rsidR="00154E32" w:rsidRDefault="00A43E04">
            <w:pPr>
              <w:pStyle w:val="P68B1DB1-Normal11"/>
              <w:jc w:val="center"/>
              <w:rPr>
                <w:noProof/>
              </w:rPr>
            </w:pPr>
            <w:r>
              <w:rPr>
                <w:noProof/>
              </w:rPr>
              <w:t>65 000 000</w:t>
            </w:r>
          </w:p>
        </w:tc>
        <w:tc>
          <w:tcPr>
            <w:tcW w:w="321" w:type="pct"/>
            <w:shd w:val="clear" w:color="auto" w:fill="C6EFCE"/>
            <w:noWrap/>
            <w:vAlign w:val="center"/>
            <w:hideMark/>
          </w:tcPr>
          <w:p w14:paraId="0FE3D739" w14:textId="77777777" w:rsidR="00154E32" w:rsidRDefault="00A43E04">
            <w:pPr>
              <w:pStyle w:val="P68B1DB1-Normal11"/>
              <w:jc w:val="center"/>
              <w:rPr>
                <w:noProof/>
              </w:rPr>
            </w:pPr>
            <w:r>
              <w:rPr>
                <w:noProof/>
              </w:rPr>
              <w:t>Q4</w:t>
            </w:r>
          </w:p>
        </w:tc>
        <w:tc>
          <w:tcPr>
            <w:tcW w:w="224" w:type="pct"/>
            <w:shd w:val="clear" w:color="auto" w:fill="C6EFCE"/>
            <w:noWrap/>
            <w:vAlign w:val="center"/>
            <w:hideMark/>
          </w:tcPr>
          <w:p w14:paraId="32C46F96" w14:textId="77777777" w:rsidR="00154E32" w:rsidRDefault="00154E32">
            <w:pPr>
              <w:jc w:val="center"/>
              <w:rPr>
                <w:rFonts w:ascii="Arial Narrow" w:hAnsi="Arial Narrow"/>
                <w:noProof/>
                <w:color w:val="006100"/>
                <w:sz w:val="20"/>
              </w:rPr>
            </w:pPr>
          </w:p>
          <w:p w14:paraId="34F9AB14" w14:textId="77777777" w:rsidR="00154E32" w:rsidRDefault="00A43E04">
            <w:pPr>
              <w:pStyle w:val="P68B1DB1-Normal11"/>
              <w:jc w:val="center"/>
              <w:rPr>
                <w:noProof/>
              </w:rPr>
            </w:pPr>
            <w:r>
              <w:rPr>
                <w:noProof/>
              </w:rPr>
              <w:t>2025</w:t>
            </w:r>
          </w:p>
          <w:p w14:paraId="6924F315" w14:textId="77777777" w:rsidR="00154E32" w:rsidRDefault="00154E32">
            <w:pPr>
              <w:jc w:val="center"/>
              <w:rPr>
                <w:rFonts w:ascii="Arial Narrow" w:hAnsi="Arial Narrow"/>
                <w:noProof/>
                <w:color w:val="006100"/>
                <w:sz w:val="20"/>
              </w:rPr>
            </w:pPr>
          </w:p>
        </w:tc>
        <w:tc>
          <w:tcPr>
            <w:tcW w:w="1192" w:type="pct"/>
            <w:shd w:val="clear" w:color="auto" w:fill="C6EFCE"/>
            <w:noWrap/>
            <w:vAlign w:val="center"/>
            <w:hideMark/>
          </w:tcPr>
          <w:p w14:paraId="498E5E25" w14:textId="77777777" w:rsidR="00154E32" w:rsidRDefault="00A43E04">
            <w:pPr>
              <w:pStyle w:val="P68B1DB1-Normal11"/>
              <w:rPr>
                <w:noProof/>
              </w:rPr>
            </w:pPr>
            <w:r>
              <w:rPr>
                <w:noProof/>
              </w:rPr>
              <w:t>S ciljnimi digitalnimi viri se meri povečanje količine digitaliziranih kulturnih dobrin, katerih digitalne reprodukcije se lahko uporabljajo na spletu prek digitalnih tehnologij.</w:t>
            </w:r>
          </w:p>
          <w:p w14:paraId="75BE9265" w14:textId="77777777" w:rsidR="00154E32" w:rsidRDefault="00A43E04">
            <w:pPr>
              <w:pStyle w:val="P68B1DB1-Normal11"/>
              <w:rPr>
                <w:noProof/>
              </w:rPr>
            </w:pPr>
            <w:r>
              <w:rPr>
                <w:noProof/>
              </w:rPr>
              <w:t>Vrsta digitalnih virov, ki jih je treba dopolniti, vključuje: digitalizacija knjig in rokopisov, dokumentov in fotografij, umetniških del ter zgodovinskih in arheoloških artefaktov, spomenikov in arheoloških najdišč, avdio-video gradiv, vključno z normalizacijo prejšnjih digitalizacije in metapodatkov</w:t>
            </w:r>
          </w:p>
          <w:p w14:paraId="2B032E8B" w14:textId="77777777" w:rsidR="00154E32" w:rsidRDefault="00A43E04">
            <w:pPr>
              <w:pStyle w:val="P68B1DB1-Normal11"/>
              <w:rPr>
                <w:noProof/>
              </w:rPr>
            </w:pPr>
            <w:r>
              <w:rPr>
                <w:noProof/>
              </w:rPr>
              <w:t>Upravičenci: muzeji, arhivi, knjižnice in kulturni inštituti</w:t>
            </w:r>
          </w:p>
        </w:tc>
      </w:tr>
      <w:tr w:rsidR="00154E32" w14:paraId="6A56286B" w14:textId="77777777">
        <w:trPr>
          <w:trHeight w:val="309"/>
        </w:trPr>
        <w:tc>
          <w:tcPr>
            <w:tcW w:w="366" w:type="pct"/>
            <w:shd w:val="clear" w:color="auto" w:fill="C6EFCE"/>
            <w:noWrap/>
            <w:vAlign w:val="center"/>
            <w:hideMark/>
          </w:tcPr>
          <w:p w14:paraId="6562D723" w14:textId="77777777" w:rsidR="00154E32" w:rsidRDefault="00A43E04">
            <w:pPr>
              <w:pStyle w:val="P68B1DB1-Normal11"/>
              <w:jc w:val="center"/>
              <w:rPr>
                <w:noProof/>
              </w:rPr>
            </w:pPr>
            <w:r>
              <w:rPr>
                <w:noProof/>
              </w:rPr>
              <w:t>M1C3–3</w:t>
            </w:r>
          </w:p>
        </w:tc>
        <w:tc>
          <w:tcPr>
            <w:tcW w:w="460" w:type="pct"/>
            <w:shd w:val="clear" w:color="auto" w:fill="C6EFCE"/>
            <w:noWrap/>
            <w:vAlign w:val="center"/>
            <w:hideMark/>
          </w:tcPr>
          <w:p w14:paraId="1BE4526D" w14:textId="77777777" w:rsidR="00154E32" w:rsidRDefault="00A43E04">
            <w:pPr>
              <w:pStyle w:val="P68B1DB1-Normal11"/>
              <w:jc w:val="center"/>
              <w:rPr>
                <w:noProof/>
              </w:rPr>
            </w:pPr>
            <w:r>
              <w:rPr>
                <w:noProof/>
              </w:rPr>
              <w:t>Naložbe – 1.2 Odstranitev fizičnih in kognitivnih ovir v muzejih, knjižnicah in arhivih, da se omogočita širši dostop do kulture in sodelovanje v njej</w:t>
            </w:r>
          </w:p>
        </w:tc>
        <w:tc>
          <w:tcPr>
            <w:tcW w:w="368" w:type="pct"/>
            <w:shd w:val="clear" w:color="auto" w:fill="C6EFCE"/>
            <w:noWrap/>
            <w:vAlign w:val="center"/>
            <w:hideMark/>
          </w:tcPr>
          <w:p w14:paraId="213AEAFA" w14:textId="77777777" w:rsidR="00154E32" w:rsidRDefault="00A43E04">
            <w:pPr>
              <w:pStyle w:val="P68B1DB1-Normal11"/>
              <w:jc w:val="center"/>
              <w:rPr>
                <w:noProof/>
              </w:rPr>
            </w:pPr>
            <w:r>
              <w:rPr>
                <w:noProof/>
              </w:rPr>
              <w:t>Tarča</w:t>
            </w:r>
          </w:p>
        </w:tc>
        <w:tc>
          <w:tcPr>
            <w:tcW w:w="436" w:type="pct"/>
            <w:shd w:val="clear" w:color="auto" w:fill="C6EFCE"/>
            <w:noWrap/>
            <w:vAlign w:val="center"/>
            <w:hideMark/>
          </w:tcPr>
          <w:p w14:paraId="6C554851" w14:textId="77777777" w:rsidR="00154E32" w:rsidRDefault="00A43E04">
            <w:pPr>
              <w:pStyle w:val="P68B1DB1-Normal11"/>
              <w:jc w:val="center"/>
              <w:rPr>
                <w:noProof/>
              </w:rPr>
            </w:pPr>
            <w:r>
              <w:rPr>
                <w:noProof/>
              </w:rPr>
              <w:t>Ukrepi za izboljšanje fizične in kognitivne dostopnosti kultur</w:t>
            </w:r>
          </w:p>
        </w:tc>
        <w:tc>
          <w:tcPr>
            <w:tcW w:w="520" w:type="pct"/>
            <w:shd w:val="clear" w:color="auto" w:fill="C6EFCE"/>
            <w:noWrap/>
            <w:vAlign w:val="center"/>
            <w:hideMark/>
          </w:tcPr>
          <w:p w14:paraId="1EC440EA" w14:textId="77777777" w:rsidR="00154E32" w:rsidRDefault="00A43E04">
            <w:pPr>
              <w:pStyle w:val="P68B1DB1-Normal11"/>
              <w:jc w:val="center"/>
              <w:rPr>
                <w:noProof/>
              </w:rPr>
            </w:pPr>
            <w:r>
              <w:rPr>
                <w:noProof/>
              </w:rPr>
              <w:t>JIH NI</w:t>
            </w:r>
          </w:p>
        </w:tc>
        <w:tc>
          <w:tcPr>
            <w:tcW w:w="368" w:type="pct"/>
            <w:shd w:val="clear" w:color="auto" w:fill="C6EFCE"/>
            <w:noWrap/>
            <w:vAlign w:val="center"/>
            <w:hideMark/>
          </w:tcPr>
          <w:p w14:paraId="69FB23A7" w14:textId="77777777" w:rsidR="00154E32" w:rsidRDefault="00A43E04">
            <w:pPr>
              <w:pStyle w:val="P68B1DB1-Normal11"/>
              <w:jc w:val="center"/>
              <w:rPr>
                <w:noProof/>
              </w:rPr>
            </w:pPr>
            <w:r>
              <w:rPr>
                <w:noProof/>
              </w:rPr>
              <w:t>Število</w:t>
            </w:r>
          </w:p>
        </w:tc>
        <w:tc>
          <w:tcPr>
            <w:tcW w:w="368" w:type="pct"/>
            <w:shd w:val="clear" w:color="auto" w:fill="C6EFCE"/>
            <w:noWrap/>
            <w:vAlign w:val="center"/>
            <w:hideMark/>
          </w:tcPr>
          <w:p w14:paraId="6293A4EB" w14:textId="77777777" w:rsidR="00154E32" w:rsidRDefault="00A43E04">
            <w:pPr>
              <w:pStyle w:val="P68B1DB1-Normal11"/>
              <w:jc w:val="center"/>
              <w:rPr>
                <w:noProof/>
              </w:rPr>
            </w:pPr>
            <w:r>
              <w:rPr>
                <w:noProof/>
              </w:rPr>
              <w:t>0</w:t>
            </w:r>
          </w:p>
        </w:tc>
        <w:tc>
          <w:tcPr>
            <w:tcW w:w="377" w:type="pct"/>
            <w:shd w:val="clear" w:color="auto" w:fill="C6EFCE"/>
            <w:noWrap/>
            <w:vAlign w:val="center"/>
            <w:hideMark/>
          </w:tcPr>
          <w:p w14:paraId="552AB0C0" w14:textId="77777777" w:rsidR="00154E32" w:rsidRDefault="00A43E04">
            <w:pPr>
              <w:pStyle w:val="P68B1DB1-Normal11"/>
              <w:jc w:val="center"/>
              <w:rPr>
                <w:noProof/>
              </w:rPr>
            </w:pPr>
            <w:r>
              <w:rPr>
                <w:noProof/>
              </w:rPr>
              <w:t>617</w:t>
            </w:r>
          </w:p>
        </w:tc>
        <w:tc>
          <w:tcPr>
            <w:tcW w:w="321" w:type="pct"/>
            <w:shd w:val="clear" w:color="auto" w:fill="C6EFCE"/>
            <w:noWrap/>
            <w:vAlign w:val="center"/>
            <w:hideMark/>
          </w:tcPr>
          <w:p w14:paraId="61CB865F" w14:textId="77777777" w:rsidR="00154E32" w:rsidRDefault="00A43E04">
            <w:pPr>
              <w:pStyle w:val="P68B1DB1-Normal11"/>
              <w:jc w:val="center"/>
              <w:rPr>
                <w:noProof/>
              </w:rPr>
            </w:pPr>
            <w:r>
              <w:rPr>
                <w:noProof/>
              </w:rPr>
              <w:t>Q2</w:t>
            </w:r>
          </w:p>
        </w:tc>
        <w:tc>
          <w:tcPr>
            <w:tcW w:w="224" w:type="pct"/>
            <w:shd w:val="clear" w:color="auto" w:fill="C6EFCE"/>
            <w:noWrap/>
            <w:vAlign w:val="center"/>
            <w:hideMark/>
          </w:tcPr>
          <w:p w14:paraId="57EED56F" w14:textId="77777777" w:rsidR="00154E32" w:rsidRDefault="00A43E04">
            <w:pPr>
              <w:pStyle w:val="P68B1DB1-Normal11"/>
              <w:jc w:val="center"/>
              <w:rPr>
                <w:noProof/>
              </w:rPr>
            </w:pPr>
            <w:r>
              <w:rPr>
                <w:noProof/>
              </w:rPr>
              <w:t>2026</w:t>
            </w:r>
          </w:p>
        </w:tc>
        <w:tc>
          <w:tcPr>
            <w:tcW w:w="1192" w:type="pct"/>
            <w:shd w:val="clear" w:color="auto" w:fill="C6EFCE"/>
            <w:noWrap/>
            <w:vAlign w:val="center"/>
            <w:hideMark/>
          </w:tcPr>
          <w:p w14:paraId="007EE4E3" w14:textId="77777777" w:rsidR="00154E32" w:rsidRDefault="00154E32">
            <w:pPr>
              <w:rPr>
                <w:rFonts w:ascii="Arial Narrow" w:hAnsi="Arial Narrow"/>
                <w:noProof/>
                <w:color w:val="006100"/>
                <w:sz w:val="20"/>
              </w:rPr>
            </w:pPr>
          </w:p>
          <w:p w14:paraId="1F1F789D" w14:textId="77777777" w:rsidR="00154E32" w:rsidRDefault="00A43E04">
            <w:pPr>
              <w:pStyle w:val="P68B1DB1-Normal11"/>
              <w:rPr>
                <w:noProof/>
              </w:rPr>
            </w:pPr>
            <w:r>
              <w:rPr>
                <w:noProof/>
              </w:rPr>
              <w:t>352 muzejev, spomenikov/, arheoloških območij in parkov, 129 arhivov, 46 knjižnic in 90 nedržavnih kulturnih znamenitosti.</w:t>
            </w:r>
          </w:p>
          <w:p w14:paraId="1562CF98" w14:textId="77777777" w:rsidR="00154E32" w:rsidRDefault="00154E32">
            <w:pPr>
              <w:rPr>
                <w:rFonts w:ascii="Arial Narrow" w:hAnsi="Arial Narrow"/>
                <w:noProof/>
                <w:color w:val="006100"/>
                <w:sz w:val="20"/>
              </w:rPr>
            </w:pPr>
          </w:p>
          <w:p w14:paraId="0AC2ADCF" w14:textId="77777777" w:rsidR="00154E32" w:rsidRDefault="00A43E04">
            <w:pPr>
              <w:pStyle w:val="P68B1DB1-Normal11"/>
              <w:rPr>
                <w:noProof/>
              </w:rPr>
            </w:pPr>
            <w:r>
              <w:rPr>
                <w:noProof/>
              </w:rPr>
              <w:t>Posegi se nanašajo na fizične posege za odstranitev arhitekturnih ovir in namestitev tehnoloških orodij, da se omogoči uporaba za udeležence z zmanjšano senzorično sposobnostjo (taktne, zvočne, vohalne izkušnje).</w:t>
            </w:r>
          </w:p>
          <w:p w14:paraId="6992A724" w14:textId="77777777" w:rsidR="00154E32" w:rsidRDefault="00154E32">
            <w:pPr>
              <w:rPr>
                <w:rFonts w:ascii="Arial Narrow" w:hAnsi="Arial Narrow"/>
                <w:noProof/>
                <w:color w:val="006100"/>
                <w:sz w:val="20"/>
              </w:rPr>
            </w:pPr>
          </w:p>
          <w:p w14:paraId="3A22F678" w14:textId="77777777" w:rsidR="00154E32" w:rsidRDefault="00A43E04">
            <w:pPr>
              <w:pStyle w:val="P68B1DB1-Normal11"/>
              <w:rPr>
                <w:noProof/>
              </w:rPr>
            </w:pPr>
            <w:r>
              <w:rPr>
                <w:noProof/>
              </w:rPr>
              <w:t>37 % intervencij se izvede v južnih regijah.</w:t>
            </w:r>
          </w:p>
        </w:tc>
      </w:tr>
      <w:tr w:rsidR="00154E32" w14:paraId="137FD82E" w14:textId="77777777">
        <w:trPr>
          <w:trHeight w:val="309"/>
        </w:trPr>
        <w:tc>
          <w:tcPr>
            <w:tcW w:w="366" w:type="pct"/>
            <w:shd w:val="clear" w:color="auto" w:fill="C6EFCE"/>
            <w:noWrap/>
            <w:vAlign w:val="center"/>
            <w:hideMark/>
          </w:tcPr>
          <w:p w14:paraId="06596E03" w14:textId="77777777" w:rsidR="00154E32" w:rsidRDefault="00A43E04">
            <w:pPr>
              <w:pStyle w:val="P68B1DB1-Normal11"/>
              <w:jc w:val="center"/>
              <w:rPr>
                <w:noProof/>
              </w:rPr>
            </w:pPr>
            <w:r>
              <w:rPr>
                <w:noProof/>
              </w:rPr>
              <w:t>M1C3–4</w:t>
            </w:r>
          </w:p>
        </w:tc>
        <w:tc>
          <w:tcPr>
            <w:tcW w:w="460" w:type="pct"/>
            <w:shd w:val="clear" w:color="auto" w:fill="C6EFCE"/>
            <w:noWrap/>
            <w:vAlign w:val="center"/>
            <w:hideMark/>
          </w:tcPr>
          <w:p w14:paraId="2FDE141A" w14:textId="77777777" w:rsidR="00154E32" w:rsidRDefault="00A43E04">
            <w:pPr>
              <w:pStyle w:val="P68B1DB1-Normal11"/>
              <w:jc w:val="center"/>
              <w:rPr>
                <w:noProof/>
              </w:rPr>
            </w:pPr>
            <w:r>
              <w:rPr>
                <w:noProof/>
              </w:rPr>
              <w:t>Naložbe – 1.3 Izboljšanje energetske učinkovitosti v kinematografih, gledališčih in muzejih</w:t>
            </w:r>
          </w:p>
        </w:tc>
        <w:tc>
          <w:tcPr>
            <w:tcW w:w="368" w:type="pct"/>
            <w:shd w:val="clear" w:color="auto" w:fill="C6EFCE"/>
            <w:noWrap/>
            <w:vAlign w:val="center"/>
            <w:hideMark/>
          </w:tcPr>
          <w:p w14:paraId="75B5E6F5" w14:textId="77777777" w:rsidR="00154E32" w:rsidRDefault="00A43E04">
            <w:pPr>
              <w:pStyle w:val="P68B1DB1-Normal11"/>
              <w:jc w:val="center"/>
              <w:rPr>
                <w:noProof/>
              </w:rPr>
            </w:pPr>
            <w:r>
              <w:rPr>
                <w:noProof/>
              </w:rPr>
              <w:t>Tarča</w:t>
            </w:r>
          </w:p>
        </w:tc>
        <w:tc>
          <w:tcPr>
            <w:tcW w:w="436" w:type="pct"/>
            <w:shd w:val="clear" w:color="auto" w:fill="C6EFCE"/>
            <w:noWrap/>
            <w:vAlign w:val="center"/>
            <w:hideMark/>
          </w:tcPr>
          <w:p w14:paraId="5E6A4A13" w14:textId="77777777" w:rsidR="00154E32" w:rsidRDefault="00A43E04">
            <w:pPr>
              <w:pStyle w:val="P68B1DB1-Normal11"/>
              <w:jc w:val="center"/>
              <w:rPr>
                <w:noProof/>
              </w:rPr>
            </w:pPr>
            <w:r>
              <w:rPr>
                <w:noProof/>
              </w:rPr>
              <w:t>Zaključeni posegi v državne muzeje in kulturne objekte, gledališke dvorane in kinematografe (prvi sklop)</w:t>
            </w:r>
          </w:p>
        </w:tc>
        <w:tc>
          <w:tcPr>
            <w:tcW w:w="520" w:type="pct"/>
            <w:shd w:val="clear" w:color="auto" w:fill="C6EFCE"/>
            <w:noWrap/>
            <w:vAlign w:val="center"/>
            <w:hideMark/>
          </w:tcPr>
          <w:p w14:paraId="2EA8AB85" w14:textId="77777777" w:rsidR="00154E32" w:rsidRDefault="00A43E04">
            <w:pPr>
              <w:pStyle w:val="P68B1DB1-Normal11"/>
              <w:jc w:val="center"/>
              <w:rPr>
                <w:noProof/>
              </w:rPr>
            </w:pPr>
            <w:r>
              <w:rPr>
                <w:noProof/>
              </w:rPr>
              <w:t>JIH NI</w:t>
            </w:r>
          </w:p>
        </w:tc>
        <w:tc>
          <w:tcPr>
            <w:tcW w:w="368" w:type="pct"/>
            <w:shd w:val="clear" w:color="auto" w:fill="C6EFCE"/>
            <w:noWrap/>
            <w:vAlign w:val="center"/>
            <w:hideMark/>
          </w:tcPr>
          <w:p w14:paraId="17C8E762" w14:textId="77777777" w:rsidR="00154E32" w:rsidRDefault="00A43E04">
            <w:pPr>
              <w:pStyle w:val="P68B1DB1-Normal11"/>
              <w:jc w:val="center"/>
              <w:rPr>
                <w:noProof/>
              </w:rPr>
            </w:pPr>
            <w:r>
              <w:rPr>
                <w:noProof/>
              </w:rPr>
              <w:t>Število</w:t>
            </w:r>
          </w:p>
        </w:tc>
        <w:tc>
          <w:tcPr>
            <w:tcW w:w="368" w:type="pct"/>
            <w:shd w:val="clear" w:color="auto" w:fill="C6EFCE"/>
            <w:noWrap/>
            <w:vAlign w:val="center"/>
            <w:hideMark/>
          </w:tcPr>
          <w:p w14:paraId="11615AD1" w14:textId="77777777" w:rsidR="00154E32" w:rsidRDefault="00A43E04">
            <w:pPr>
              <w:pStyle w:val="P68B1DB1-Normal11"/>
              <w:jc w:val="center"/>
              <w:rPr>
                <w:noProof/>
              </w:rPr>
            </w:pPr>
            <w:r>
              <w:rPr>
                <w:noProof/>
              </w:rPr>
              <w:t>0</w:t>
            </w:r>
          </w:p>
        </w:tc>
        <w:tc>
          <w:tcPr>
            <w:tcW w:w="377" w:type="pct"/>
            <w:shd w:val="clear" w:color="auto" w:fill="C6EFCE"/>
            <w:noWrap/>
            <w:vAlign w:val="center"/>
            <w:hideMark/>
          </w:tcPr>
          <w:p w14:paraId="5EE5D0F3" w14:textId="77777777" w:rsidR="00154E32" w:rsidRDefault="00A43E04">
            <w:pPr>
              <w:pStyle w:val="P68B1DB1-Normal11"/>
              <w:jc w:val="center"/>
              <w:rPr>
                <w:noProof/>
              </w:rPr>
            </w:pPr>
            <w:r>
              <w:rPr>
                <w:noProof/>
              </w:rPr>
              <w:t>80</w:t>
            </w:r>
          </w:p>
        </w:tc>
        <w:tc>
          <w:tcPr>
            <w:tcW w:w="321" w:type="pct"/>
            <w:shd w:val="clear" w:color="auto" w:fill="C6EFCE"/>
            <w:noWrap/>
            <w:vAlign w:val="center"/>
            <w:hideMark/>
          </w:tcPr>
          <w:p w14:paraId="318DEFFE" w14:textId="77777777" w:rsidR="00154E32" w:rsidRDefault="00A43E04">
            <w:pPr>
              <w:pStyle w:val="P68B1DB1-Normal11"/>
              <w:jc w:val="center"/>
              <w:rPr>
                <w:noProof/>
              </w:rPr>
            </w:pPr>
            <w:r>
              <w:rPr>
                <w:noProof/>
              </w:rPr>
              <w:t>Q3</w:t>
            </w:r>
          </w:p>
        </w:tc>
        <w:tc>
          <w:tcPr>
            <w:tcW w:w="224" w:type="pct"/>
            <w:shd w:val="clear" w:color="auto" w:fill="C6EFCE"/>
            <w:noWrap/>
            <w:vAlign w:val="center"/>
            <w:hideMark/>
          </w:tcPr>
          <w:p w14:paraId="2D3CA476" w14:textId="77777777" w:rsidR="00154E32" w:rsidRDefault="00A43E04">
            <w:pPr>
              <w:pStyle w:val="P68B1DB1-Normal11"/>
              <w:jc w:val="center"/>
              <w:rPr>
                <w:noProof/>
              </w:rPr>
            </w:pPr>
            <w:r>
              <w:rPr>
                <w:noProof/>
              </w:rPr>
              <w:t>2023</w:t>
            </w:r>
          </w:p>
        </w:tc>
        <w:tc>
          <w:tcPr>
            <w:tcW w:w="1192" w:type="pct"/>
            <w:shd w:val="clear" w:color="auto" w:fill="C6EFCE"/>
            <w:noWrap/>
            <w:vAlign w:val="center"/>
            <w:hideMark/>
          </w:tcPr>
          <w:p w14:paraId="0A7E1DC2" w14:textId="77777777" w:rsidR="00154E32" w:rsidRDefault="00A43E04">
            <w:pPr>
              <w:pStyle w:val="P68B1DB1-Normal11"/>
              <w:rPr>
                <w:noProof/>
              </w:rPr>
            </w:pPr>
            <w:r>
              <w:rPr>
                <w:noProof/>
              </w:rPr>
              <w:t>Kazalnik se nanaša na število zaključenih intervencij, kot je dokazano s certificiranjem rednega izvajanja del.</w:t>
            </w:r>
          </w:p>
          <w:p w14:paraId="29EF8275" w14:textId="149DC8DA" w:rsidR="00154E32" w:rsidRDefault="00A43E04">
            <w:pPr>
              <w:pStyle w:val="P68B1DB1-Normal11"/>
              <w:rPr>
                <w:noProof/>
              </w:rPr>
            </w:pPr>
            <w:r>
              <w:rPr>
                <w:noProof/>
              </w:rPr>
              <w:t>Vrsta intervencij, ki jih je treba zaključiti, vključuje:</w:t>
            </w:r>
          </w:p>
          <w:p w14:paraId="646C95F9" w14:textId="77777777" w:rsidR="00154E32" w:rsidRDefault="00A43E04">
            <w:pPr>
              <w:pStyle w:val="P68B1DB1-Normal10"/>
              <w:ind w:left="315" w:hanging="315"/>
              <w:rPr>
                <w:noProof/>
                <w:color w:val="006100"/>
                <w:sz w:val="20"/>
              </w:rPr>
            </w:pPr>
            <w:r>
              <w:rPr>
                <w:noProof/>
                <w:color w:val="006100"/>
                <w:sz w:val="20"/>
              </w:rPr>
              <w:t>-</w:t>
            </w:r>
            <w:r>
              <w:rPr>
                <w:noProof/>
              </w:rPr>
              <w:tab/>
            </w:r>
            <w:r>
              <w:rPr>
                <w:noProof/>
                <w:color w:val="006100"/>
                <w:sz w:val="20"/>
              </w:rPr>
              <w:t>tehnično in ekonomsko-finančno načrtovanje, energetske preglede, začetne okoljske analize, presojo vplivov na okolje, olajšave in presoje, namenjene opredelitvi kritičnih vprašanj, opredelitvi posledičnih posegov za izboljšanje energetske učinkovitosti;</w:t>
            </w:r>
          </w:p>
          <w:p w14:paraId="34C258A2" w14:textId="77777777" w:rsidR="00154E32" w:rsidRDefault="00A43E04">
            <w:pPr>
              <w:pStyle w:val="P68B1DB1-Normal10"/>
              <w:ind w:left="315" w:hanging="315"/>
              <w:rPr>
                <w:noProof/>
                <w:color w:val="006100"/>
                <w:sz w:val="20"/>
              </w:rPr>
            </w:pPr>
            <w:r>
              <w:rPr>
                <w:noProof/>
                <w:color w:val="006100"/>
                <w:sz w:val="20"/>
              </w:rPr>
              <w:t>-</w:t>
            </w:r>
            <w:r>
              <w:rPr>
                <w:noProof/>
              </w:rPr>
              <w:tab/>
            </w:r>
            <w:r>
              <w:rPr>
                <w:noProof/>
                <w:color w:val="006100"/>
                <w:sz w:val="20"/>
              </w:rPr>
              <w:t>intervencije v zvezi s sredstvi za stavbe;</w:t>
            </w:r>
          </w:p>
          <w:p w14:paraId="1ECF1D43" w14:textId="77777777" w:rsidR="00154E32" w:rsidRDefault="00A43E04">
            <w:pPr>
              <w:pStyle w:val="P68B1DB1-Normal10"/>
              <w:ind w:left="315" w:hanging="315"/>
              <w:rPr>
                <w:noProof/>
                <w:color w:val="006100"/>
                <w:sz w:val="20"/>
              </w:rPr>
            </w:pPr>
            <w:r>
              <w:rPr>
                <w:noProof/>
                <w:color w:val="006100"/>
                <w:sz w:val="20"/>
              </w:rPr>
              <w:t>-</w:t>
            </w:r>
            <w:r>
              <w:rPr>
                <w:noProof/>
              </w:rPr>
              <w:tab/>
            </w:r>
            <w:r>
              <w:rPr>
                <w:noProof/>
                <w:color w:val="006100"/>
                <w:sz w:val="20"/>
              </w:rPr>
              <w:t>posegi v zamenjavo/pridobitev opreme, orodij, sistemov, naprav, programske opreme za digitalne aplikacije ter dodatnih instrumentov za njihovo delovanje, pridobitev patentov, licenc in strokovnega znanja;</w:t>
            </w:r>
          </w:p>
          <w:p w14:paraId="0AA26816" w14:textId="77777777" w:rsidR="00154E32" w:rsidRDefault="00A43E04">
            <w:pPr>
              <w:pStyle w:val="P68B1DB1-Normal10"/>
              <w:ind w:left="315" w:hanging="315"/>
              <w:rPr>
                <w:noProof/>
                <w:color w:val="006100"/>
                <w:sz w:val="20"/>
              </w:rPr>
            </w:pPr>
            <w:r>
              <w:rPr>
                <w:noProof/>
                <w:color w:val="006100"/>
                <w:sz w:val="20"/>
              </w:rPr>
              <w:t>-</w:t>
            </w:r>
            <w:r>
              <w:rPr>
                <w:noProof/>
              </w:rPr>
              <w:tab/>
            </w:r>
            <w:r>
              <w:rPr>
                <w:noProof/>
                <w:color w:val="006100"/>
                <w:sz w:val="20"/>
              </w:rPr>
              <w:t>namestitev inteligentnih sistemov za daljinsko upravljanje, urejanje, upravljanje, spremljanje in optimizacijo porabe energije (pametne stavbe) in emisij onesnaževal, tudi z uporabo tehnoloških mešanic.</w:t>
            </w:r>
          </w:p>
        </w:tc>
      </w:tr>
      <w:tr w:rsidR="00154E32" w14:paraId="7CEB9B37" w14:textId="77777777">
        <w:trPr>
          <w:trHeight w:val="309"/>
        </w:trPr>
        <w:tc>
          <w:tcPr>
            <w:tcW w:w="366" w:type="pct"/>
            <w:shd w:val="clear" w:color="auto" w:fill="C6EFCE"/>
            <w:noWrap/>
            <w:vAlign w:val="center"/>
            <w:hideMark/>
          </w:tcPr>
          <w:p w14:paraId="2A951B6D" w14:textId="77777777" w:rsidR="00154E32" w:rsidRDefault="00A43E04">
            <w:pPr>
              <w:pStyle w:val="P68B1DB1-Normal11"/>
              <w:jc w:val="center"/>
              <w:rPr>
                <w:noProof/>
              </w:rPr>
            </w:pPr>
            <w:r>
              <w:rPr>
                <w:noProof/>
              </w:rPr>
              <w:t>M1C3–5</w:t>
            </w:r>
          </w:p>
        </w:tc>
        <w:tc>
          <w:tcPr>
            <w:tcW w:w="460" w:type="pct"/>
            <w:shd w:val="clear" w:color="auto" w:fill="C6EFCE"/>
            <w:noWrap/>
            <w:vAlign w:val="center"/>
            <w:hideMark/>
          </w:tcPr>
          <w:p w14:paraId="3549FFB6" w14:textId="77777777" w:rsidR="00154E32" w:rsidRDefault="00A43E04">
            <w:pPr>
              <w:pStyle w:val="P68B1DB1-Normal11"/>
              <w:jc w:val="center"/>
              <w:rPr>
                <w:noProof/>
              </w:rPr>
            </w:pPr>
            <w:r>
              <w:rPr>
                <w:noProof/>
              </w:rPr>
              <w:t>Naložbe – 1.3 Izboljšanje energetske učinkovitosti v kinematografih, gledališčih in muzejih</w:t>
            </w:r>
          </w:p>
        </w:tc>
        <w:tc>
          <w:tcPr>
            <w:tcW w:w="368" w:type="pct"/>
            <w:shd w:val="clear" w:color="auto" w:fill="C6EFCE"/>
            <w:noWrap/>
            <w:vAlign w:val="center"/>
            <w:hideMark/>
          </w:tcPr>
          <w:p w14:paraId="72E3BE28" w14:textId="77777777" w:rsidR="00154E32" w:rsidRDefault="00A43E04">
            <w:pPr>
              <w:pStyle w:val="P68B1DB1-Normal11"/>
              <w:jc w:val="center"/>
              <w:rPr>
                <w:noProof/>
              </w:rPr>
            </w:pPr>
            <w:r>
              <w:rPr>
                <w:noProof/>
              </w:rPr>
              <w:t>Tarča</w:t>
            </w:r>
          </w:p>
        </w:tc>
        <w:tc>
          <w:tcPr>
            <w:tcW w:w="436" w:type="pct"/>
            <w:shd w:val="clear" w:color="auto" w:fill="C6EFCE"/>
            <w:noWrap/>
            <w:vAlign w:val="center"/>
            <w:hideMark/>
          </w:tcPr>
          <w:p w14:paraId="26030AF4" w14:textId="77777777" w:rsidR="00154E32" w:rsidRDefault="00A43E04">
            <w:pPr>
              <w:pStyle w:val="P68B1DB1-Normal11"/>
              <w:jc w:val="center"/>
              <w:rPr>
                <w:noProof/>
              </w:rPr>
            </w:pPr>
            <w:r>
              <w:rPr>
                <w:noProof/>
              </w:rPr>
              <w:t>Zaključeni so posegi v državne muzeje in kulturne znamenitosti, gledališke dvorane in kinematografe (drugi sklop)</w:t>
            </w:r>
          </w:p>
        </w:tc>
        <w:tc>
          <w:tcPr>
            <w:tcW w:w="520" w:type="pct"/>
            <w:shd w:val="clear" w:color="auto" w:fill="C6EFCE"/>
            <w:noWrap/>
            <w:vAlign w:val="center"/>
            <w:hideMark/>
          </w:tcPr>
          <w:p w14:paraId="5DC80762" w14:textId="77777777" w:rsidR="00154E32" w:rsidRDefault="00A43E04">
            <w:pPr>
              <w:pStyle w:val="P68B1DB1-Normal11"/>
              <w:jc w:val="center"/>
              <w:rPr>
                <w:noProof/>
              </w:rPr>
            </w:pPr>
            <w:r>
              <w:rPr>
                <w:noProof/>
              </w:rPr>
              <w:t>JIH NI</w:t>
            </w:r>
          </w:p>
        </w:tc>
        <w:tc>
          <w:tcPr>
            <w:tcW w:w="368" w:type="pct"/>
            <w:shd w:val="clear" w:color="auto" w:fill="C6EFCE"/>
            <w:noWrap/>
            <w:vAlign w:val="center"/>
            <w:hideMark/>
          </w:tcPr>
          <w:p w14:paraId="5DD02526" w14:textId="77777777" w:rsidR="00154E32" w:rsidRDefault="00A43E04">
            <w:pPr>
              <w:pStyle w:val="P68B1DB1-Normal11"/>
              <w:jc w:val="center"/>
              <w:rPr>
                <w:noProof/>
              </w:rPr>
            </w:pPr>
            <w:r>
              <w:rPr>
                <w:noProof/>
              </w:rPr>
              <w:t>Število</w:t>
            </w:r>
          </w:p>
        </w:tc>
        <w:tc>
          <w:tcPr>
            <w:tcW w:w="368" w:type="pct"/>
            <w:shd w:val="clear" w:color="auto" w:fill="C6EFCE"/>
            <w:noWrap/>
            <w:vAlign w:val="center"/>
            <w:hideMark/>
          </w:tcPr>
          <w:p w14:paraId="152E07E3" w14:textId="77777777" w:rsidR="00154E32" w:rsidRDefault="00A43E04">
            <w:pPr>
              <w:pStyle w:val="P68B1DB1-Normal11"/>
              <w:jc w:val="center"/>
              <w:rPr>
                <w:noProof/>
              </w:rPr>
            </w:pPr>
            <w:r>
              <w:rPr>
                <w:noProof/>
              </w:rPr>
              <w:t>0</w:t>
            </w:r>
          </w:p>
        </w:tc>
        <w:tc>
          <w:tcPr>
            <w:tcW w:w="377" w:type="pct"/>
            <w:shd w:val="clear" w:color="auto" w:fill="C6EFCE"/>
            <w:noWrap/>
            <w:vAlign w:val="center"/>
            <w:hideMark/>
          </w:tcPr>
          <w:p w14:paraId="21F14437" w14:textId="77777777" w:rsidR="00154E32" w:rsidRDefault="00A43E04">
            <w:pPr>
              <w:pStyle w:val="P68B1DB1-Normal11"/>
              <w:jc w:val="center"/>
              <w:rPr>
                <w:noProof/>
              </w:rPr>
            </w:pPr>
            <w:r>
              <w:rPr>
                <w:noProof/>
              </w:rPr>
              <w:t>420</w:t>
            </w:r>
          </w:p>
        </w:tc>
        <w:tc>
          <w:tcPr>
            <w:tcW w:w="321" w:type="pct"/>
            <w:shd w:val="clear" w:color="auto" w:fill="C6EFCE"/>
            <w:noWrap/>
            <w:vAlign w:val="center"/>
            <w:hideMark/>
          </w:tcPr>
          <w:p w14:paraId="3FD2C706" w14:textId="77777777" w:rsidR="00154E32" w:rsidRDefault="00A43E04">
            <w:pPr>
              <w:pStyle w:val="P68B1DB1-Normal11"/>
              <w:jc w:val="center"/>
              <w:rPr>
                <w:noProof/>
              </w:rPr>
            </w:pPr>
            <w:r>
              <w:rPr>
                <w:noProof/>
              </w:rPr>
              <w:t>Q4</w:t>
            </w:r>
          </w:p>
        </w:tc>
        <w:tc>
          <w:tcPr>
            <w:tcW w:w="224" w:type="pct"/>
            <w:shd w:val="clear" w:color="auto" w:fill="C6EFCE"/>
            <w:noWrap/>
            <w:vAlign w:val="center"/>
            <w:hideMark/>
          </w:tcPr>
          <w:p w14:paraId="142A113E" w14:textId="77777777" w:rsidR="00154E32" w:rsidRDefault="00A43E04">
            <w:pPr>
              <w:pStyle w:val="P68B1DB1-Normal11"/>
              <w:jc w:val="center"/>
              <w:rPr>
                <w:noProof/>
              </w:rPr>
            </w:pPr>
            <w:r>
              <w:rPr>
                <w:noProof/>
              </w:rPr>
              <w:t>2025</w:t>
            </w:r>
          </w:p>
        </w:tc>
        <w:tc>
          <w:tcPr>
            <w:tcW w:w="1192" w:type="pct"/>
            <w:shd w:val="clear" w:color="auto" w:fill="C6EFCE"/>
            <w:noWrap/>
            <w:vAlign w:val="center"/>
            <w:hideMark/>
          </w:tcPr>
          <w:p w14:paraId="2CE425C1" w14:textId="77777777" w:rsidR="00154E32" w:rsidRDefault="00A43E04">
            <w:pPr>
              <w:pStyle w:val="P68B1DB1-Normal11"/>
              <w:rPr>
                <w:noProof/>
              </w:rPr>
            </w:pPr>
            <w:r>
              <w:rPr>
                <w:noProof/>
              </w:rPr>
              <w:t>Kazalnik se nanaša na 55 posegov v državne muzeje in kulturne znamenitosti, 230 gledaliških dvoran in 135 kinematografov, zaključenih s potrdilom o rednem izvajanju del.</w:t>
            </w:r>
          </w:p>
          <w:p w14:paraId="478939B9" w14:textId="77777777" w:rsidR="00154E32" w:rsidRDefault="00A43E04">
            <w:pPr>
              <w:pStyle w:val="P68B1DB1-Normal11"/>
              <w:rPr>
                <w:noProof/>
              </w:rPr>
            </w:pPr>
            <w:r>
              <w:rPr>
                <w:noProof/>
              </w:rPr>
              <w:t>Vrsta intervencij, ki jih je treba zaključiti, vključuje:</w:t>
            </w:r>
          </w:p>
          <w:p w14:paraId="76785B86" w14:textId="77777777" w:rsidR="00154E32" w:rsidRDefault="00A43E04">
            <w:pPr>
              <w:pStyle w:val="P68B1DB1-Normal10"/>
              <w:ind w:left="173" w:hanging="173"/>
              <w:rPr>
                <w:noProof/>
                <w:color w:val="006100"/>
                <w:sz w:val="20"/>
              </w:rPr>
            </w:pPr>
            <w:r>
              <w:rPr>
                <w:noProof/>
                <w:color w:val="006100"/>
                <w:sz w:val="20"/>
              </w:rPr>
              <w:t>-</w:t>
            </w:r>
            <w:r>
              <w:rPr>
                <w:noProof/>
              </w:rPr>
              <w:tab/>
            </w:r>
            <w:r>
              <w:rPr>
                <w:noProof/>
                <w:color w:val="006100"/>
                <w:sz w:val="20"/>
              </w:rPr>
              <w:t>tehnično in ekonomsko-finančno načrtovanje, energetske preglede, začetne okoljske analize, presojo vplivov na okolje, olajšave in presoje, namenjene opredelitvi kritičnih vprašanj, opredelitvi posledičnih posegov za izboljšanje energetske učinkovitosti;</w:t>
            </w:r>
          </w:p>
          <w:p w14:paraId="025C2469" w14:textId="77777777" w:rsidR="00154E32" w:rsidRDefault="00A43E04">
            <w:pPr>
              <w:pStyle w:val="P68B1DB1-Normal10"/>
              <w:ind w:left="173" w:hanging="173"/>
              <w:rPr>
                <w:noProof/>
                <w:color w:val="006100"/>
                <w:sz w:val="20"/>
              </w:rPr>
            </w:pPr>
            <w:r>
              <w:rPr>
                <w:noProof/>
                <w:color w:val="006100"/>
                <w:sz w:val="20"/>
              </w:rPr>
              <w:t>-</w:t>
            </w:r>
            <w:r>
              <w:rPr>
                <w:noProof/>
              </w:rPr>
              <w:tab/>
            </w:r>
            <w:r>
              <w:rPr>
                <w:noProof/>
                <w:color w:val="006100"/>
                <w:sz w:val="20"/>
              </w:rPr>
              <w:t>intervencije v zvezi s sredstvi za stavbe;</w:t>
            </w:r>
          </w:p>
          <w:p w14:paraId="23ED8605" w14:textId="77777777" w:rsidR="00154E32" w:rsidRDefault="00A43E04">
            <w:pPr>
              <w:pStyle w:val="P68B1DB1-Normal10"/>
              <w:ind w:left="173" w:hanging="173"/>
              <w:rPr>
                <w:noProof/>
                <w:color w:val="006100"/>
                <w:sz w:val="20"/>
              </w:rPr>
            </w:pPr>
            <w:r>
              <w:rPr>
                <w:noProof/>
                <w:color w:val="006100"/>
                <w:sz w:val="20"/>
              </w:rPr>
              <w:t>-</w:t>
            </w:r>
            <w:r>
              <w:rPr>
                <w:noProof/>
              </w:rPr>
              <w:tab/>
            </w:r>
            <w:r>
              <w:rPr>
                <w:noProof/>
                <w:color w:val="006100"/>
                <w:sz w:val="20"/>
              </w:rPr>
              <w:t>posegi v zamenjavo/pridobitev opreme, orodij, sistemov, naprav, programske opreme za digitalne aplikacije ter dodatnih instrumentov za njihovo delovanje, pridobitev patentov, licenc in strokovnega znanja;</w:t>
            </w:r>
          </w:p>
          <w:p w14:paraId="6A3B384C" w14:textId="77777777" w:rsidR="00154E32" w:rsidRDefault="00A43E04">
            <w:pPr>
              <w:pStyle w:val="P68B1DB1-Normal10"/>
              <w:ind w:left="173" w:hanging="173"/>
              <w:rPr>
                <w:noProof/>
                <w:color w:val="006100"/>
                <w:sz w:val="20"/>
              </w:rPr>
            </w:pPr>
            <w:r>
              <w:rPr>
                <w:noProof/>
                <w:color w:val="006100"/>
                <w:sz w:val="20"/>
              </w:rPr>
              <w:t>-</w:t>
            </w:r>
            <w:r>
              <w:rPr>
                <w:noProof/>
              </w:rPr>
              <w:tab/>
            </w:r>
            <w:r>
              <w:rPr>
                <w:noProof/>
                <w:color w:val="006100"/>
                <w:sz w:val="20"/>
              </w:rPr>
              <w:t>namestitev inteligentnih sistemov za daljinsko upravljanje, urejanje, upravljanje, spremljanje in optimizacijo porabe energije (pametne stavbe) in emisij onesnaževal, tudi z uporabo tehnoloških mešanic.</w:t>
            </w:r>
          </w:p>
        </w:tc>
      </w:tr>
      <w:tr w:rsidR="00154E32" w14:paraId="1DFA948A" w14:textId="77777777">
        <w:trPr>
          <w:trHeight w:val="309"/>
        </w:trPr>
        <w:tc>
          <w:tcPr>
            <w:tcW w:w="366" w:type="pct"/>
            <w:shd w:val="clear" w:color="auto" w:fill="C6EFCE"/>
            <w:noWrap/>
            <w:vAlign w:val="center"/>
            <w:hideMark/>
          </w:tcPr>
          <w:p w14:paraId="75AE847D" w14:textId="77777777" w:rsidR="00154E32" w:rsidRDefault="00A43E04">
            <w:pPr>
              <w:pStyle w:val="P68B1DB1-Normal11"/>
              <w:jc w:val="center"/>
              <w:rPr>
                <w:noProof/>
              </w:rPr>
            </w:pPr>
            <w:r>
              <w:rPr>
                <w:noProof/>
              </w:rPr>
              <w:t>M1C3–6</w:t>
            </w:r>
          </w:p>
        </w:tc>
        <w:tc>
          <w:tcPr>
            <w:tcW w:w="460" w:type="pct"/>
            <w:shd w:val="clear" w:color="auto" w:fill="C6EFCE"/>
            <w:noWrap/>
            <w:vAlign w:val="center"/>
            <w:hideMark/>
          </w:tcPr>
          <w:p w14:paraId="431DA4D3" w14:textId="77777777" w:rsidR="00154E32" w:rsidRDefault="00A43E04">
            <w:pPr>
              <w:pStyle w:val="P68B1DB1-Normal11"/>
              <w:jc w:val="center"/>
              <w:rPr>
                <w:noProof/>
              </w:rPr>
            </w:pPr>
            <w:r>
              <w:rPr>
                <w:noProof/>
              </w:rPr>
              <w:t>Reforma – 3.1 Minimalna okoljska merila za kulturne dogodke</w:t>
            </w:r>
          </w:p>
        </w:tc>
        <w:tc>
          <w:tcPr>
            <w:tcW w:w="368" w:type="pct"/>
            <w:shd w:val="clear" w:color="auto" w:fill="C6EFCE"/>
            <w:noWrap/>
            <w:vAlign w:val="center"/>
            <w:hideMark/>
          </w:tcPr>
          <w:p w14:paraId="6348FE67" w14:textId="77777777" w:rsidR="00154E32" w:rsidRDefault="00A43E04">
            <w:pPr>
              <w:pStyle w:val="P68B1DB1-Normal11"/>
              <w:jc w:val="center"/>
              <w:rPr>
                <w:noProof/>
              </w:rPr>
            </w:pPr>
            <w:r>
              <w:rPr>
                <w:noProof/>
              </w:rPr>
              <w:t>Mejnik</w:t>
            </w:r>
          </w:p>
        </w:tc>
        <w:tc>
          <w:tcPr>
            <w:tcW w:w="436" w:type="pct"/>
            <w:shd w:val="clear" w:color="auto" w:fill="C6EFCE"/>
            <w:noWrap/>
            <w:vAlign w:val="center"/>
            <w:hideMark/>
          </w:tcPr>
          <w:p w14:paraId="0254A7C3" w14:textId="77777777" w:rsidR="00154E32" w:rsidRDefault="00A43E04">
            <w:pPr>
              <w:pStyle w:val="P68B1DB1-Normal11"/>
              <w:jc w:val="center"/>
              <w:rPr>
                <w:noProof/>
              </w:rPr>
            </w:pPr>
            <w:r>
              <w:rPr>
                <w:noProof/>
              </w:rPr>
              <w:t>Začetek veljavnosti odloka o določitvi socialnih in okoljskih meril v razpisih za javna naročila v zvezi s kulturnimi dogodki, ki se financirajo iz javnih sredstev</w:t>
            </w:r>
          </w:p>
        </w:tc>
        <w:tc>
          <w:tcPr>
            <w:tcW w:w="520" w:type="pct"/>
            <w:shd w:val="clear" w:color="auto" w:fill="C6EFCE"/>
            <w:noWrap/>
            <w:vAlign w:val="center"/>
            <w:hideMark/>
          </w:tcPr>
          <w:p w14:paraId="04B49E5D" w14:textId="77777777" w:rsidR="00154E32" w:rsidRDefault="00A43E04">
            <w:pPr>
              <w:pStyle w:val="P68B1DB1-Normal11"/>
              <w:jc w:val="center"/>
              <w:rPr>
                <w:noProof/>
              </w:rPr>
            </w:pPr>
            <w:r>
              <w:rPr>
                <w:noProof/>
              </w:rPr>
              <w:t>Določba uredbe o začetku veljavnosti odloka za sprejetje minimalnih okoljskih meril za kulturne prireditve</w:t>
            </w:r>
          </w:p>
        </w:tc>
        <w:tc>
          <w:tcPr>
            <w:tcW w:w="368" w:type="pct"/>
            <w:shd w:val="clear" w:color="auto" w:fill="C6EFCE"/>
            <w:noWrap/>
            <w:vAlign w:val="center"/>
            <w:hideMark/>
          </w:tcPr>
          <w:p w14:paraId="202C03F2" w14:textId="77777777" w:rsidR="00154E32" w:rsidRDefault="00A43E04">
            <w:pPr>
              <w:pStyle w:val="P68B1DB1-Normal11"/>
              <w:jc w:val="center"/>
              <w:rPr>
                <w:noProof/>
              </w:rPr>
            </w:pPr>
            <w:r>
              <w:rPr>
                <w:noProof/>
              </w:rPr>
              <w:t>JIH NI</w:t>
            </w:r>
          </w:p>
        </w:tc>
        <w:tc>
          <w:tcPr>
            <w:tcW w:w="368" w:type="pct"/>
            <w:shd w:val="clear" w:color="auto" w:fill="C6EFCE"/>
            <w:noWrap/>
            <w:vAlign w:val="center"/>
            <w:hideMark/>
          </w:tcPr>
          <w:p w14:paraId="53A02130" w14:textId="77777777" w:rsidR="00154E32" w:rsidRDefault="00A43E04">
            <w:pPr>
              <w:pStyle w:val="P68B1DB1-Normal11"/>
              <w:jc w:val="center"/>
              <w:rPr>
                <w:noProof/>
              </w:rPr>
            </w:pPr>
            <w:r>
              <w:rPr>
                <w:noProof/>
              </w:rPr>
              <w:t>JIH NI</w:t>
            </w:r>
          </w:p>
        </w:tc>
        <w:tc>
          <w:tcPr>
            <w:tcW w:w="377" w:type="pct"/>
            <w:shd w:val="clear" w:color="auto" w:fill="C6EFCE"/>
            <w:noWrap/>
            <w:vAlign w:val="center"/>
            <w:hideMark/>
          </w:tcPr>
          <w:p w14:paraId="41260791" w14:textId="77777777" w:rsidR="00154E32" w:rsidRDefault="00A43E04">
            <w:pPr>
              <w:pStyle w:val="P68B1DB1-Normal11"/>
              <w:jc w:val="center"/>
              <w:rPr>
                <w:noProof/>
              </w:rPr>
            </w:pPr>
            <w:r>
              <w:rPr>
                <w:noProof/>
              </w:rPr>
              <w:t>JIH NI</w:t>
            </w:r>
          </w:p>
        </w:tc>
        <w:tc>
          <w:tcPr>
            <w:tcW w:w="321" w:type="pct"/>
            <w:shd w:val="clear" w:color="auto" w:fill="C6EFCE"/>
            <w:noWrap/>
            <w:vAlign w:val="center"/>
            <w:hideMark/>
          </w:tcPr>
          <w:p w14:paraId="6AFD0EA7" w14:textId="77777777" w:rsidR="00154E32" w:rsidRDefault="00A43E04">
            <w:pPr>
              <w:pStyle w:val="P68B1DB1-Normal11"/>
              <w:jc w:val="center"/>
              <w:rPr>
                <w:noProof/>
              </w:rPr>
            </w:pPr>
            <w:r>
              <w:rPr>
                <w:noProof/>
              </w:rPr>
              <w:t>Q4</w:t>
            </w:r>
          </w:p>
        </w:tc>
        <w:tc>
          <w:tcPr>
            <w:tcW w:w="224" w:type="pct"/>
            <w:shd w:val="clear" w:color="auto" w:fill="C6EFCE"/>
            <w:noWrap/>
            <w:vAlign w:val="center"/>
            <w:hideMark/>
          </w:tcPr>
          <w:p w14:paraId="092819BA" w14:textId="77777777" w:rsidR="00154E32" w:rsidRDefault="00A43E04">
            <w:pPr>
              <w:pStyle w:val="P68B1DB1-Normal11"/>
              <w:jc w:val="center"/>
              <w:rPr>
                <w:noProof/>
              </w:rPr>
            </w:pPr>
            <w:r>
              <w:rPr>
                <w:noProof/>
              </w:rPr>
              <w:t>2022</w:t>
            </w:r>
          </w:p>
        </w:tc>
        <w:tc>
          <w:tcPr>
            <w:tcW w:w="1192" w:type="pct"/>
            <w:shd w:val="clear" w:color="auto" w:fill="C6EFCE"/>
            <w:noWrap/>
            <w:vAlign w:val="center"/>
            <w:hideMark/>
          </w:tcPr>
          <w:p w14:paraId="626FAE30" w14:textId="77777777" w:rsidR="00154E32" w:rsidRDefault="00A43E04">
            <w:pPr>
              <w:pStyle w:val="P68B1DB1-Normal11"/>
              <w:rPr>
                <w:noProof/>
              </w:rPr>
            </w:pPr>
            <w:r>
              <w:rPr>
                <w:noProof/>
              </w:rPr>
              <w:t>Sprejmejo se merila za naslednje vidike: zmanjšanje uporabe papirja in tiskanih izdelkov, uporaba okolju prijaznih materialov, priprava faz iz recikliranih in ponovno uporabljenih materialov ter trajnostna oprema, izdelki z majhnim vplivom na okolje, izbira lokacije na podlagi varstva biotske raznovrstnosti, gostinske storitve z majhnim vplivom na okolje, prevoz do dogodka in prevoz materialov, poraba energije za organizacijo dogodka.</w:t>
            </w:r>
          </w:p>
          <w:p w14:paraId="717A5B6C" w14:textId="77777777" w:rsidR="00154E32" w:rsidRDefault="00A43E04">
            <w:pPr>
              <w:pStyle w:val="P68B1DB1-Normal11"/>
              <w:rPr>
                <w:noProof/>
              </w:rPr>
            </w:pPr>
            <w:r>
              <w:rPr>
                <w:noProof/>
              </w:rPr>
              <w:t>Socialna merila, ki spodbujajo dostopnost in vključevanje, vključujejo: spodbujanje dostopnosti za invalide; spodbujanje možnosti za zaposlovanje mladih, dolgotrajno brezposelne, ljudi iz prikrajšanih skupin (kot so delavci migranti in etnične manjšine) in invalide; zagotoviti enak dostop do javnih naročil za podjetja, katerih lastniki ali zaposleni pripadajo etničnim ali manjšinskim skupinam, kot so zadruge, socialna podjetja in neprofitne organizacije; spodbujanje „dostojnega dela“, ki se razume kot pravica do produktivnega in svobodno izbranega dela, temeljnih načel in pravic pri delu, dostojnih plač, socialne zaščite in socialnega dialoga.</w:t>
            </w:r>
          </w:p>
          <w:p w14:paraId="7E124554" w14:textId="77777777" w:rsidR="00154E32" w:rsidRDefault="00A43E04">
            <w:pPr>
              <w:pStyle w:val="P68B1DB1-Normal11"/>
              <w:rPr>
                <w:noProof/>
              </w:rPr>
            </w:pPr>
            <w:r>
              <w:rPr>
                <w:noProof/>
              </w:rPr>
              <w:t>Reforma zajema kulturne dogodke, kot so razstave, festivali in uprizoritvene umetnosti.</w:t>
            </w:r>
          </w:p>
        </w:tc>
      </w:tr>
      <w:tr w:rsidR="00154E32" w14:paraId="4B5AAAD1" w14:textId="77777777">
        <w:trPr>
          <w:trHeight w:val="309"/>
        </w:trPr>
        <w:tc>
          <w:tcPr>
            <w:tcW w:w="366" w:type="pct"/>
            <w:shd w:val="clear" w:color="auto" w:fill="C6EFCE"/>
            <w:noWrap/>
            <w:vAlign w:val="center"/>
            <w:hideMark/>
          </w:tcPr>
          <w:p w14:paraId="312130B3" w14:textId="77777777" w:rsidR="00154E32" w:rsidRDefault="00A43E04">
            <w:pPr>
              <w:pStyle w:val="P68B1DB1-Normal11"/>
              <w:jc w:val="center"/>
              <w:rPr>
                <w:noProof/>
              </w:rPr>
            </w:pPr>
            <w:r>
              <w:rPr>
                <w:noProof/>
              </w:rPr>
              <w:t>M1C3–7</w:t>
            </w:r>
          </w:p>
        </w:tc>
        <w:tc>
          <w:tcPr>
            <w:tcW w:w="460" w:type="pct"/>
            <w:shd w:val="clear" w:color="auto" w:fill="C6EFCE"/>
            <w:noWrap/>
            <w:vAlign w:val="center"/>
            <w:hideMark/>
          </w:tcPr>
          <w:p w14:paraId="61561034" w14:textId="77777777" w:rsidR="00154E32" w:rsidRDefault="00A43E04">
            <w:pPr>
              <w:pStyle w:val="P68B1DB1-Normal11"/>
              <w:jc w:val="center"/>
              <w:rPr>
                <w:noProof/>
              </w:rPr>
            </w:pPr>
            <w:r>
              <w:rPr>
                <w:noProof/>
              </w:rPr>
              <w:t>Naložbe – 3.3 Krepitev zmogljivosti kulturnih operaterjev za upravljanje digitalnega in zelenega prehoda.</w:t>
            </w:r>
          </w:p>
        </w:tc>
        <w:tc>
          <w:tcPr>
            <w:tcW w:w="368" w:type="pct"/>
            <w:shd w:val="clear" w:color="auto" w:fill="C6EFCE"/>
            <w:noWrap/>
            <w:vAlign w:val="center"/>
            <w:hideMark/>
          </w:tcPr>
          <w:p w14:paraId="3DB8782D" w14:textId="77777777" w:rsidR="00154E32" w:rsidRDefault="00A43E04">
            <w:pPr>
              <w:pStyle w:val="P68B1DB1-Normal11"/>
              <w:jc w:val="center"/>
              <w:rPr>
                <w:noProof/>
              </w:rPr>
            </w:pPr>
            <w:r>
              <w:rPr>
                <w:noProof/>
              </w:rPr>
              <w:t>Mejnik</w:t>
            </w:r>
          </w:p>
        </w:tc>
        <w:tc>
          <w:tcPr>
            <w:tcW w:w="436" w:type="pct"/>
            <w:shd w:val="clear" w:color="auto" w:fill="C6EFCE"/>
            <w:noWrap/>
            <w:vAlign w:val="center"/>
            <w:hideMark/>
          </w:tcPr>
          <w:p w14:paraId="68E735A7" w14:textId="77777777" w:rsidR="00154E32" w:rsidRDefault="00A43E04">
            <w:pPr>
              <w:pStyle w:val="P68B1DB1-Normal11"/>
              <w:jc w:val="center"/>
              <w:rPr>
                <w:noProof/>
              </w:rPr>
            </w:pPr>
            <w:r>
              <w:rPr>
                <w:noProof/>
              </w:rPr>
              <w:t>Oddaja vseh javnih naročil izvajalski organizaciji/upravičencem za vse ukrepe za upravljanje digitalnega in zelenega prehoda kulturnih izvajalcev</w:t>
            </w:r>
          </w:p>
        </w:tc>
        <w:tc>
          <w:tcPr>
            <w:tcW w:w="520" w:type="pct"/>
            <w:shd w:val="clear" w:color="auto" w:fill="C6EFCE"/>
            <w:noWrap/>
            <w:vAlign w:val="center"/>
            <w:hideMark/>
          </w:tcPr>
          <w:p w14:paraId="090249AC" w14:textId="77777777" w:rsidR="00154E32" w:rsidRDefault="00A43E04">
            <w:pPr>
              <w:pStyle w:val="P68B1DB1-Normal11"/>
              <w:jc w:val="center"/>
              <w:rPr>
                <w:noProof/>
              </w:rPr>
            </w:pPr>
            <w:r>
              <w:rPr>
                <w:noProof/>
              </w:rPr>
              <w:t>Obvestilo o oddaji vseh javnih naročil za organizacije in omrežja, ki so odgovorne za izvedbo dejavnosti krepitve zmogljivosti</w:t>
            </w:r>
          </w:p>
        </w:tc>
        <w:tc>
          <w:tcPr>
            <w:tcW w:w="368" w:type="pct"/>
            <w:shd w:val="clear" w:color="auto" w:fill="C6EFCE"/>
            <w:noWrap/>
            <w:vAlign w:val="center"/>
            <w:hideMark/>
          </w:tcPr>
          <w:p w14:paraId="37D10495" w14:textId="77777777" w:rsidR="00154E32" w:rsidRDefault="00A43E04">
            <w:pPr>
              <w:pStyle w:val="P68B1DB1-Normal11"/>
              <w:jc w:val="center"/>
              <w:rPr>
                <w:noProof/>
              </w:rPr>
            </w:pPr>
            <w:r>
              <w:rPr>
                <w:noProof/>
              </w:rPr>
              <w:t>JIH NI</w:t>
            </w:r>
          </w:p>
        </w:tc>
        <w:tc>
          <w:tcPr>
            <w:tcW w:w="368" w:type="pct"/>
            <w:shd w:val="clear" w:color="auto" w:fill="C6EFCE"/>
            <w:noWrap/>
            <w:vAlign w:val="center"/>
            <w:hideMark/>
          </w:tcPr>
          <w:p w14:paraId="68A98B56" w14:textId="77777777" w:rsidR="00154E32" w:rsidRDefault="00A43E04">
            <w:pPr>
              <w:pStyle w:val="P68B1DB1-Normal11"/>
              <w:jc w:val="center"/>
              <w:rPr>
                <w:noProof/>
              </w:rPr>
            </w:pPr>
            <w:r>
              <w:rPr>
                <w:noProof/>
              </w:rPr>
              <w:t>JIH NI</w:t>
            </w:r>
          </w:p>
        </w:tc>
        <w:tc>
          <w:tcPr>
            <w:tcW w:w="377" w:type="pct"/>
            <w:shd w:val="clear" w:color="auto" w:fill="C6EFCE"/>
            <w:noWrap/>
            <w:vAlign w:val="center"/>
            <w:hideMark/>
          </w:tcPr>
          <w:p w14:paraId="4B535FD2" w14:textId="77777777" w:rsidR="00154E32" w:rsidRDefault="00A43E04">
            <w:pPr>
              <w:pStyle w:val="P68B1DB1-Normal11"/>
              <w:jc w:val="center"/>
              <w:rPr>
                <w:noProof/>
              </w:rPr>
            </w:pPr>
            <w:r>
              <w:rPr>
                <w:noProof/>
              </w:rPr>
              <w:t>JIH NI</w:t>
            </w:r>
          </w:p>
        </w:tc>
        <w:tc>
          <w:tcPr>
            <w:tcW w:w="321" w:type="pct"/>
            <w:shd w:val="clear" w:color="auto" w:fill="C6EFCE"/>
            <w:noWrap/>
            <w:vAlign w:val="center"/>
            <w:hideMark/>
          </w:tcPr>
          <w:p w14:paraId="588FE59C" w14:textId="77777777" w:rsidR="00154E32" w:rsidRDefault="00A43E04">
            <w:pPr>
              <w:pStyle w:val="P68B1DB1-Normal11"/>
              <w:jc w:val="center"/>
              <w:rPr>
                <w:noProof/>
              </w:rPr>
            </w:pPr>
            <w:r>
              <w:rPr>
                <w:noProof/>
              </w:rPr>
              <w:t>Q4</w:t>
            </w:r>
          </w:p>
        </w:tc>
        <w:tc>
          <w:tcPr>
            <w:tcW w:w="224" w:type="pct"/>
            <w:shd w:val="clear" w:color="auto" w:fill="C6EFCE"/>
            <w:noWrap/>
            <w:vAlign w:val="center"/>
            <w:hideMark/>
          </w:tcPr>
          <w:p w14:paraId="23688836" w14:textId="77777777" w:rsidR="00154E32" w:rsidRDefault="00A43E04">
            <w:pPr>
              <w:pStyle w:val="P68B1DB1-Normal11"/>
              <w:jc w:val="center"/>
              <w:rPr>
                <w:noProof/>
              </w:rPr>
            </w:pPr>
            <w:r>
              <w:rPr>
                <w:noProof/>
              </w:rPr>
              <w:t>2023</w:t>
            </w:r>
          </w:p>
        </w:tc>
        <w:tc>
          <w:tcPr>
            <w:tcW w:w="1192" w:type="pct"/>
            <w:shd w:val="clear" w:color="auto" w:fill="C6EFCE"/>
            <w:noWrap/>
            <w:vAlign w:val="center"/>
            <w:hideMark/>
          </w:tcPr>
          <w:p w14:paraId="7C3E40BA" w14:textId="77777777" w:rsidR="00154E32" w:rsidRDefault="00A43E04">
            <w:pPr>
              <w:pStyle w:val="P68B1DB1-Normal11"/>
              <w:rPr>
                <w:noProof/>
              </w:rPr>
            </w:pPr>
            <w:r>
              <w:rPr>
                <w:noProof/>
              </w:rPr>
              <w:t>Izbrani izvajalski organi so specializirane organizacije ali mreže, ki imajo znanje in izkušnje tako na področju usposabljanja kot na področju kulturne produkcije, okolja, upravljanja kulture in usposabljanja.</w:t>
            </w:r>
          </w:p>
          <w:p w14:paraId="7B4619DA" w14:textId="77777777" w:rsidR="00154E32" w:rsidRDefault="00A43E04">
            <w:pPr>
              <w:pStyle w:val="P68B1DB1-Normal11"/>
              <w:rPr>
                <w:noProof/>
              </w:rPr>
            </w:pPr>
            <w:r>
              <w:rPr>
                <w:noProof/>
              </w:rPr>
              <w:t>Obvestilo o oddaji vseh javnih naročil za projekte, izbrane v okviru konkurenčnih razpisov za zbiranje predlogov, mora biti v skladu s tehničnimi smernicami o tem, da se ne škoduje bistveno (2021/C58/01), in sicer z uporabo seznama za izključitev in zahtevo po skladnosti z ustrezno okoljsko zakonodajo EU in nacionalno okoljsko zakonodajo.</w:t>
            </w:r>
          </w:p>
        </w:tc>
      </w:tr>
      <w:tr w:rsidR="00154E32" w14:paraId="2937AE53" w14:textId="77777777">
        <w:trPr>
          <w:trHeight w:val="309"/>
        </w:trPr>
        <w:tc>
          <w:tcPr>
            <w:tcW w:w="366" w:type="pct"/>
            <w:shd w:val="clear" w:color="auto" w:fill="C6EFCE"/>
            <w:noWrap/>
            <w:vAlign w:val="center"/>
            <w:hideMark/>
          </w:tcPr>
          <w:p w14:paraId="7058000B" w14:textId="77777777" w:rsidR="00154E32" w:rsidRDefault="00A43E04">
            <w:pPr>
              <w:pStyle w:val="P68B1DB1-Normal11"/>
              <w:jc w:val="center"/>
              <w:rPr>
                <w:noProof/>
              </w:rPr>
            </w:pPr>
            <w:r>
              <w:rPr>
                <w:noProof/>
              </w:rPr>
              <w:t>M1C3–8</w:t>
            </w:r>
          </w:p>
        </w:tc>
        <w:tc>
          <w:tcPr>
            <w:tcW w:w="460" w:type="pct"/>
            <w:shd w:val="clear" w:color="auto" w:fill="C6EFCE"/>
            <w:noWrap/>
            <w:vAlign w:val="center"/>
            <w:hideMark/>
          </w:tcPr>
          <w:p w14:paraId="7B06AA51" w14:textId="77777777" w:rsidR="00154E32" w:rsidRDefault="00A43E04">
            <w:pPr>
              <w:pStyle w:val="P68B1DB1-Normal11"/>
              <w:jc w:val="center"/>
              <w:rPr>
                <w:noProof/>
              </w:rPr>
            </w:pPr>
            <w:r>
              <w:rPr>
                <w:noProof/>
              </w:rPr>
              <w:t>Naložbe – 4.1 Digitalno vozlišče za turizem</w:t>
            </w:r>
          </w:p>
        </w:tc>
        <w:tc>
          <w:tcPr>
            <w:tcW w:w="368" w:type="pct"/>
            <w:shd w:val="clear" w:color="auto" w:fill="C6EFCE"/>
            <w:noWrap/>
            <w:vAlign w:val="center"/>
            <w:hideMark/>
          </w:tcPr>
          <w:p w14:paraId="49C0DD3C" w14:textId="77777777" w:rsidR="00154E32" w:rsidRDefault="00A43E04">
            <w:pPr>
              <w:pStyle w:val="P68B1DB1-Normal11"/>
              <w:jc w:val="center"/>
              <w:rPr>
                <w:noProof/>
              </w:rPr>
            </w:pPr>
            <w:r>
              <w:rPr>
                <w:noProof/>
              </w:rPr>
              <w:t>Mejnik</w:t>
            </w:r>
          </w:p>
        </w:tc>
        <w:tc>
          <w:tcPr>
            <w:tcW w:w="436" w:type="pct"/>
            <w:shd w:val="clear" w:color="auto" w:fill="C6EFCE"/>
            <w:noWrap/>
            <w:vAlign w:val="center"/>
            <w:hideMark/>
          </w:tcPr>
          <w:p w14:paraId="06F431B9" w14:textId="77777777" w:rsidR="00154E32" w:rsidRDefault="00A43E04">
            <w:pPr>
              <w:pStyle w:val="P68B1DB1-Normal11"/>
              <w:jc w:val="center"/>
              <w:rPr>
                <w:noProof/>
              </w:rPr>
            </w:pPr>
            <w:r>
              <w:rPr>
                <w:noProof/>
              </w:rPr>
              <w:t>Oddaja naročil za razvoj digitalnega turističnega portala</w:t>
            </w:r>
          </w:p>
        </w:tc>
        <w:tc>
          <w:tcPr>
            <w:tcW w:w="520" w:type="pct"/>
            <w:shd w:val="clear" w:color="auto" w:fill="C6EFCE"/>
            <w:noWrap/>
            <w:vAlign w:val="center"/>
            <w:hideMark/>
          </w:tcPr>
          <w:p w14:paraId="61244166" w14:textId="77777777" w:rsidR="00154E32" w:rsidRDefault="00A43E04">
            <w:pPr>
              <w:pStyle w:val="P68B1DB1-Normal11"/>
              <w:jc w:val="center"/>
              <w:rPr>
                <w:noProof/>
              </w:rPr>
            </w:pPr>
            <w:r>
              <w:rPr>
                <w:noProof/>
              </w:rPr>
              <w:t>Obvestilo o oddaji vseh javnih naročil za razvoj digitalnega turističnega portala</w:t>
            </w:r>
          </w:p>
        </w:tc>
        <w:tc>
          <w:tcPr>
            <w:tcW w:w="368" w:type="pct"/>
            <w:shd w:val="clear" w:color="auto" w:fill="C6EFCE"/>
            <w:noWrap/>
            <w:vAlign w:val="center"/>
            <w:hideMark/>
          </w:tcPr>
          <w:p w14:paraId="46EDD2ED" w14:textId="77777777" w:rsidR="00154E32" w:rsidRDefault="00A43E04">
            <w:pPr>
              <w:pStyle w:val="P68B1DB1-Normal11"/>
              <w:jc w:val="center"/>
              <w:rPr>
                <w:noProof/>
              </w:rPr>
            </w:pPr>
            <w:r>
              <w:rPr>
                <w:noProof/>
              </w:rPr>
              <w:t>JIH NI</w:t>
            </w:r>
          </w:p>
        </w:tc>
        <w:tc>
          <w:tcPr>
            <w:tcW w:w="368" w:type="pct"/>
            <w:shd w:val="clear" w:color="auto" w:fill="C6EFCE"/>
            <w:noWrap/>
            <w:vAlign w:val="center"/>
            <w:hideMark/>
          </w:tcPr>
          <w:p w14:paraId="2CC1A504" w14:textId="77777777" w:rsidR="00154E32" w:rsidRDefault="00A43E04">
            <w:pPr>
              <w:pStyle w:val="P68B1DB1-Normal11"/>
              <w:jc w:val="center"/>
              <w:rPr>
                <w:noProof/>
              </w:rPr>
            </w:pPr>
            <w:r>
              <w:rPr>
                <w:noProof/>
              </w:rPr>
              <w:t>JIH NI</w:t>
            </w:r>
          </w:p>
        </w:tc>
        <w:tc>
          <w:tcPr>
            <w:tcW w:w="377" w:type="pct"/>
            <w:shd w:val="clear" w:color="auto" w:fill="C6EFCE"/>
            <w:noWrap/>
            <w:vAlign w:val="center"/>
            <w:hideMark/>
          </w:tcPr>
          <w:p w14:paraId="1BE458E8" w14:textId="77777777" w:rsidR="00154E32" w:rsidRDefault="00A43E04">
            <w:pPr>
              <w:pStyle w:val="P68B1DB1-Normal11"/>
              <w:jc w:val="center"/>
              <w:rPr>
                <w:noProof/>
              </w:rPr>
            </w:pPr>
            <w:r>
              <w:rPr>
                <w:noProof/>
              </w:rPr>
              <w:t>JIH NI</w:t>
            </w:r>
          </w:p>
        </w:tc>
        <w:tc>
          <w:tcPr>
            <w:tcW w:w="321" w:type="pct"/>
            <w:shd w:val="clear" w:color="auto" w:fill="C6EFCE"/>
            <w:noWrap/>
            <w:vAlign w:val="center"/>
            <w:hideMark/>
          </w:tcPr>
          <w:p w14:paraId="22337694" w14:textId="77777777" w:rsidR="00154E32" w:rsidRDefault="00A43E04">
            <w:pPr>
              <w:pStyle w:val="P68B1DB1-Normal11"/>
              <w:jc w:val="center"/>
              <w:rPr>
                <w:noProof/>
              </w:rPr>
            </w:pPr>
            <w:r>
              <w:rPr>
                <w:noProof/>
              </w:rPr>
              <w:t>Q4</w:t>
            </w:r>
          </w:p>
        </w:tc>
        <w:tc>
          <w:tcPr>
            <w:tcW w:w="224" w:type="pct"/>
            <w:shd w:val="clear" w:color="auto" w:fill="C6EFCE"/>
            <w:noWrap/>
            <w:vAlign w:val="center"/>
            <w:hideMark/>
          </w:tcPr>
          <w:p w14:paraId="2B58CB62" w14:textId="77777777" w:rsidR="00154E32" w:rsidRDefault="00A43E04">
            <w:pPr>
              <w:pStyle w:val="P68B1DB1-Normal11"/>
              <w:jc w:val="center"/>
              <w:rPr>
                <w:noProof/>
              </w:rPr>
            </w:pPr>
            <w:r>
              <w:rPr>
                <w:noProof/>
              </w:rPr>
              <w:t>2021</w:t>
            </w:r>
          </w:p>
        </w:tc>
        <w:tc>
          <w:tcPr>
            <w:tcW w:w="1192" w:type="pct"/>
            <w:shd w:val="clear" w:color="auto" w:fill="C6EFCE"/>
            <w:noWrap/>
            <w:vAlign w:val="center"/>
            <w:hideMark/>
          </w:tcPr>
          <w:p w14:paraId="087F2A40" w14:textId="77777777" w:rsidR="00154E32" w:rsidRDefault="00A43E04">
            <w:pPr>
              <w:pStyle w:val="P68B1DB1-Normal11"/>
              <w:rPr>
                <w:noProof/>
              </w:rPr>
            </w:pPr>
            <w:r>
              <w:rPr>
                <w:noProof/>
              </w:rPr>
              <w:t>Obvestilo o oddaji (vseh) javnih naročil za razvoj digitalnega turističnega portala.</w:t>
            </w:r>
          </w:p>
          <w:p w14:paraId="11847CD8" w14:textId="77777777" w:rsidR="00154E32" w:rsidRDefault="00A43E04">
            <w:pPr>
              <w:pStyle w:val="P68B1DB1-Normal11"/>
              <w:rPr>
                <w:noProof/>
              </w:rPr>
            </w:pPr>
            <w:r>
              <w:rPr>
                <w:noProof/>
              </w:rPr>
              <w:t>Digitalni turistični portal bo nadgradil sedanji portal Italia.it z uvedbo oblaka in odprte arhitekture, kar bo zelo naklonjeno povezovanju z ekosistemom. Nadgrajeni portal vključuje: oblikovanje novega čelnega vmesnika in navigacijskega drevesa; pregled oblike, strukture in funkcionalnosti oddelkov, strani in člankov; uvedbo zemljevidov; večjezično upravljanje (v času zamenjave bo portal predstavljen v italijanščini in angleščini). Vključevanje drugih jezikov, ki se trenutno podpirajo, se pričakuje v mesecih, ki takoj sledijo naročilu.</w:t>
            </w:r>
          </w:p>
          <w:p w14:paraId="22B628A9" w14:textId="77777777" w:rsidR="00154E32" w:rsidRDefault="00154E32">
            <w:pPr>
              <w:rPr>
                <w:rFonts w:ascii="Arial Narrow" w:hAnsi="Arial Narrow"/>
                <w:noProof/>
                <w:color w:val="006100"/>
                <w:sz w:val="20"/>
              </w:rPr>
            </w:pPr>
          </w:p>
          <w:p w14:paraId="4142AC18" w14:textId="77777777" w:rsidR="00154E32" w:rsidRDefault="00A43E04">
            <w:pPr>
              <w:pStyle w:val="P68B1DB1-Normal11"/>
              <w:rPr>
                <w:noProof/>
              </w:rPr>
            </w:pPr>
            <w:r>
              <w:rPr>
                <w:noProof/>
              </w:rPr>
              <w:t>Dodelitev naročil projektom, izbranim v okviru konkurenčnih razpisov za zbiranje predlogov, v skladu s tehničnimi smernicami, da se ne škoduje bistveno (2021/C58/01), z uporabo seznama za izključitev in zahtevo po skladnosti z ustrezno okoljsko zakonodajo EU in nacionalno okoljsko zakonodajo.</w:t>
            </w:r>
          </w:p>
          <w:p w14:paraId="35D0E03F" w14:textId="77777777" w:rsidR="00154E32" w:rsidRDefault="00154E32">
            <w:pPr>
              <w:rPr>
                <w:rFonts w:ascii="Arial Narrow" w:hAnsi="Arial Narrow"/>
                <w:noProof/>
                <w:color w:val="006100"/>
                <w:sz w:val="20"/>
              </w:rPr>
            </w:pPr>
          </w:p>
        </w:tc>
      </w:tr>
      <w:tr w:rsidR="00154E32" w14:paraId="40E94FD7" w14:textId="77777777">
        <w:trPr>
          <w:trHeight w:val="309"/>
        </w:trPr>
        <w:tc>
          <w:tcPr>
            <w:tcW w:w="366" w:type="pct"/>
            <w:shd w:val="clear" w:color="auto" w:fill="C6EFCE"/>
            <w:noWrap/>
            <w:vAlign w:val="center"/>
            <w:hideMark/>
          </w:tcPr>
          <w:p w14:paraId="58276D09" w14:textId="77777777" w:rsidR="00154E32" w:rsidRDefault="00A43E04">
            <w:pPr>
              <w:pStyle w:val="P68B1DB1-Normal11"/>
              <w:jc w:val="center"/>
              <w:rPr>
                <w:noProof/>
              </w:rPr>
            </w:pPr>
            <w:r>
              <w:rPr>
                <w:noProof/>
              </w:rPr>
              <w:t>M1C3–9</w:t>
            </w:r>
          </w:p>
        </w:tc>
        <w:tc>
          <w:tcPr>
            <w:tcW w:w="460" w:type="pct"/>
            <w:shd w:val="clear" w:color="auto" w:fill="C6EFCE"/>
            <w:noWrap/>
            <w:vAlign w:val="center"/>
            <w:hideMark/>
          </w:tcPr>
          <w:p w14:paraId="7B8EC5A9" w14:textId="77777777" w:rsidR="00154E32" w:rsidRDefault="00A43E04">
            <w:pPr>
              <w:pStyle w:val="P68B1DB1-Normal11"/>
              <w:jc w:val="center"/>
              <w:rPr>
                <w:noProof/>
              </w:rPr>
            </w:pPr>
            <w:r>
              <w:rPr>
                <w:noProof/>
              </w:rPr>
              <w:t>Naložba 4.1 Digitalno vozlišče za turizem</w:t>
            </w:r>
          </w:p>
        </w:tc>
        <w:tc>
          <w:tcPr>
            <w:tcW w:w="368" w:type="pct"/>
            <w:shd w:val="clear" w:color="auto" w:fill="C6EFCE"/>
            <w:noWrap/>
            <w:vAlign w:val="center"/>
            <w:hideMark/>
          </w:tcPr>
          <w:p w14:paraId="2F41EAF8" w14:textId="77777777" w:rsidR="00154E32" w:rsidRDefault="00A43E04">
            <w:pPr>
              <w:pStyle w:val="P68B1DB1-Normal11"/>
              <w:jc w:val="center"/>
              <w:rPr>
                <w:noProof/>
              </w:rPr>
            </w:pPr>
            <w:r>
              <w:rPr>
                <w:noProof/>
              </w:rPr>
              <w:t>Tarča</w:t>
            </w:r>
          </w:p>
        </w:tc>
        <w:tc>
          <w:tcPr>
            <w:tcW w:w="436" w:type="pct"/>
            <w:shd w:val="clear" w:color="auto" w:fill="C6EFCE"/>
            <w:noWrap/>
            <w:vAlign w:val="center"/>
            <w:hideMark/>
          </w:tcPr>
          <w:p w14:paraId="0EDFE844" w14:textId="77777777" w:rsidR="00154E32" w:rsidRDefault="00A43E04">
            <w:pPr>
              <w:pStyle w:val="P68B1DB1-Normal11"/>
              <w:jc w:val="center"/>
              <w:rPr>
                <w:noProof/>
              </w:rPr>
            </w:pPr>
            <w:r>
              <w:rPr>
                <w:noProof/>
              </w:rPr>
              <w:t>Sodelovanje turističnih izvajalcev v digitalnem turističnem vozlišču</w:t>
            </w:r>
          </w:p>
        </w:tc>
        <w:tc>
          <w:tcPr>
            <w:tcW w:w="520" w:type="pct"/>
            <w:shd w:val="clear" w:color="auto" w:fill="C6EFCE"/>
            <w:noWrap/>
            <w:vAlign w:val="center"/>
            <w:hideMark/>
          </w:tcPr>
          <w:p w14:paraId="3EDE26B6" w14:textId="77777777" w:rsidR="00154E32" w:rsidRDefault="00A43E04">
            <w:pPr>
              <w:pStyle w:val="P68B1DB1-Normal11"/>
              <w:jc w:val="center"/>
              <w:rPr>
                <w:noProof/>
              </w:rPr>
            </w:pPr>
            <w:r>
              <w:rPr>
                <w:noProof/>
              </w:rPr>
              <w:t>JIH NI</w:t>
            </w:r>
          </w:p>
        </w:tc>
        <w:tc>
          <w:tcPr>
            <w:tcW w:w="368" w:type="pct"/>
            <w:shd w:val="clear" w:color="auto" w:fill="C6EFCE"/>
            <w:noWrap/>
            <w:vAlign w:val="center"/>
            <w:hideMark/>
          </w:tcPr>
          <w:p w14:paraId="6B7FDBD2" w14:textId="77777777" w:rsidR="00154E32" w:rsidRDefault="00A43E04">
            <w:pPr>
              <w:pStyle w:val="P68B1DB1-Normal11"/>
              <w:jc w:val="center"/>
              <w:rPr>
                <w:noProof/>
              </w:rPr>
            </w:pPr>
            <w:r>
              <w:rPr>
                <w:noProof/>
              </w:rPr>
              <w:t>Število</w:t>
            </w:r>
          </w:p>
        </w:tc>
        <w:tc>
          <w:tcPr>
            <w:tcW w:w="368" w:type="pct"/>
            <w:shd w:val="clear" w:color="auto" w:fill="C6EFCE"/>
            <w:noWrap/>
            <w:vAlign w:val="center"/>
            <w:hideMark/>
          </w:tcPr>
          <w:p w14:paraId="232100FA" w14:textId="77777777" w:rsidR="00154E32" w:rsidRDefault="00A43E04">
            <w:pPr>
              <w:pStyle w:val="P68B1DB1-Normal11"/>
              <w:jc w:val="center"/>
              <w:rPr>
                <w:noProof/>
              </w:rPr>
            </w:pPr>
            <w:r>
              <w:rPr>
                <w:noProof/>
              </w:rPr>
              <w:t>0</w:t>
            </w:r>
          </w:p>
        </w:tc>
        <w:tc>
          <w:tcPr>
            <w:tcW w:w="377" w:type="pct"/>
            <w:shd w:val="clear" w:color="auto" w:fill="C6EFCE"/>
            <w:noWrap/>
            <w:vAlign w:val="center"/>
            <w:hideMark/>
          </w:tcPr>
          <w:p w14:paraId="442F29B2" w14:textId="5E31F7FB" w:rsidR="00154E32" w:rsidRDefault="00A43E04">
            <w:pPr>
              <w:pStyle w:val="P68B1DB1-Normal11"/>
              <w:jc w:val="center"/>
              <w:rPr>
                <w:noProof/>
              </w:rPr>
            </w:pPr>
            <w:r>
              <w:rPr>
                <w:noProof/>
              </w:rPr>
              <w:t>20 000</w:t>
            </w:r>
          </w:p>
        </w:tc>
        <w:tc>
          <w:tcPr>
            <w:tcW w:w="321" w:type="pct"/>
            <w:shd w:val="clear" w:color="auto" w:fill="C6EFCE"/>
            <w:noWrap/>
            <w:vAlign w:val="center"/>
            <w:hideMark/>
          </w:tcPr>
          <w:p w14:paraId="605F7850" w14:textId="77777777" w:rsidR="00154E32" w:rsidRDefault="00A43E04">
            <w:pPr>
              <w:pStyle w:val="P68B1DB1-Normal11"/>
              <w:jc w:val="center"/>
              <w:rPr>
                <w:noProof/>
              </w:rPr>
            </w:pPr>
            <w:r>
              <w:rPr>
                <w:noProof/>
              </w:rPr>
              <w:t>Q2</w:t>
            </w:r>
          </w:p>
        </w:tc>
        <w:tc>
          <w:tcPr>
            <w:tcW w:w="224" w:type="pct"/>
            <w:shd w:val="clear" w:color="auto" w:fill="C6EFCE"/>
            <w:noWrap/>
            <w:vAlign w:val="center"/>
            <w:hideMark/>
          </w:tcPr>
          <w:p w14:paraId="49978F6C" w14:textId="77777777" w:rsidR="00154E32" w:rsidRDefault="00A43E04">
            <w:pPr>
              <w:pStyle w:val="P68B1DB1-Normal11"/>
              <w:jc w:val="center"/>
              <w:rPr>
                <w:noProof/>
              </w:rPr>
            </w:pPr>
            <w:r>
              <w:rPr>
                <w:noProof/>
              </w:rPr>
              <w:t>2024</w:t>
            </w:r>
          </w:p>
        </w:tc>
        <w:tc>
          <w:tcPr>
            <w:tcW w:w="1192" w:type="pct"/>
            <w:shd w:val="clear" w:color="auto" w:fill="C6EFCE"/>
            <w:noWrap/>
            <w:vAlign w:val="center"/>
            <w:hideMark/>
          </w:tcPr>
          <w:p w14:paraId="5665ED76" w14:textId="7796C960" w:rsidR="00154E32" w:rsidRDefault="00A43E04">
            <w:pPr>
              <w:pStyle w:val="P68B1DB1-Normal12"/>
              <w:jc w:val="both"/>
              <w:rPr>
                <w:rFonts w:ascii="Arial Narrow" w:hAnsi="Arial Narrow"/>
                <w:noProof/>
              </w:rPr>
            </w:pPr>
            <w:r>
              <w:rPr>
                <w:rFonts w:ascii="Arial Narrow" w:hAnsi="Arial Narrow"/>
                <w:noProof/>
              </w:rPr>
              <w:t>Število vključenih turističnih operaterjev (kot so hotel, organizator potovanj in podjetja, kot so opredeljena s kodami ATECO 55.00.00; 56.00.00; 79,00,00 in druge strukture, ki pripadajo sektorju) ustreza 4 % od ocenjenih 500000</w:t>
            </w:r>
            <w:r>
              <w:rPr>
                <w:noProof/>
              </w:rPr>
              <w:t xml:space="preserve"> </w:t>
            </w:r>
            <w:r>
              <w:rPr>
                <w:rFonts w:ascii="Arial Narrow" w:hAnsi="Arial Narrow"/>
                <w:noProof/>
              </w:rPr>
              <w:t>italijanskih operaterjev (izpopolnjevanje, usposabljanje, komunikacija, analiza podatkov, rešitve za podporo inovacijam).</w:t>
            </w:r>
          </w:p>
          <w:p w14:paraId="1F53AFCC" w14:textId="77777777" w:rsidR="00154E32" w:rsidRDefault="00154E32">
            <w:pPr>
              <w:jc w:val="both"/>
              <w:rPr>
                <w:rFonts w:ascii="Arial Narrow" w:hAnsi="Arial Narrow"/>
                <w:noProof/>
                <w:color w:val="006100"/>
                <w:sz w:val="20"/>
              </w:rPr>
            </w:pPr>
          </w:p>
          <w:p w14:paraId="57A1E86E" w14:textId="042F10A4" w:rsidR="00154E32" w:rsidRDefault="00A43E04">
            <w:pPr>
              <w:pStyle w:val="P68B1DB1-Normal11"/>
              <w:jc w:val="both"/>
              <w:rPr>
                <w:noProof/>
              </w:rPr>
            </w:pPr>
            <w:r>
              <w:rPr>
                <w:noProof/>
              </w:rPr>
              <w:t>Najmanj 37 % vključenih turističnih izvajalcev je na jugu.</w:t>
            </w:r>
          </w:p>
          <w:p w14:paraId="795EB241" w14:textId="77777777" w:rsidR="00154E32" w:rsidRDefault="00154E32">
            <w:pPr>
              <w:rPr>
                <w:rFonts w:ascii="Arial Narrow" w:hAnsi="Arial Narrow"/>
                <w:noProof/>
                <w:color w:val="006100"/>
                <w:sz w:val="20"/>
              </w:rPr>
            </w:pPr>
          </w:p>
        </w:tc>
      </w:tr>
      <w:tr w:rsidR="00154E32" w14:paraId="655CDADE" w14:textId="77777777">
        <w:trPr>
          <w:trHeight w:val="309"/>
        </w:trPr>
        <w:tc>
          <w:tcPr>
            <w:tcW w:w="366" w:type="pct"/>
            <w:shd w:val="clear" w:color="auto" w:fill="C6EFCE"/>
            <w:noWrap/>
            <w:vAlign w:val="center"/>
            <w:hideMark/>
          </w:tcPr>
          <w:p w14:paraId="51A8B80E" w14:textId="77777777" w:rsidR="00154E32" w:rsidRDefault="00A43E04">
            <w:pPr>
              <w:pStyle w:val="P68B1DB1-Normal11"/>
              <w:jc w:val="center"/>
              <w:rPr>
                <w:noProof/>
              </w:rPr>
            </w:pPr>
            <w:r>
              <w:rPr>
                <w:noProof/>
              </w:rPr>
              <w:t>M1C3–10</w:t>
            </w:r>
          </w:p>
        </w:tc>
        <w:tc>
          <w:tcPr>
            <w:tcW w:w="460" w:type="pct"/>
            <w:shd w:val="clear" w:color="auto" w:fill="C6EFCE"/>
            <w:noWrap/>
            <w:vAlign w:val="center"/>
            <w:hideMark/>
          </w:tcPr>
          <w:p w14:paraId="50A9DFD4" w14:textId="77777777" w:rsidR="00154E32" w:rsidRDefault="00A43E04">
            <w:pPr>
              <w:pStyle w:val="P68B1DB1-Normal11"/>
              <w:jc w:val="center"/>
              <w:rPr>
                <w:noProof/>
              </w:rPr>
            </w:pPr>
            <w:r>
              <w:rPr>
                <w:noProof/>
              </w:rPr>
              <w:t>Reforma 4.1: regulacija poklicev turističnih vodnikov.</w:t>
            </w:r>
          </w:p>
          <w:p w14:paraId="1FFCB3B1" w14:textId="77777777" w:rsidR="00154E32" w:rsidRDefault="00154E32">
            <w:pPr>
              <w:jc w:val="center"/>
              <w:rPr>
                <w:rFonts w:ascii="Arial Narrow" w:hAnsi="Arial Narrow"/>
                <w:noProof/>
                <w:color w:val="006100"/>
                <w:sz w:val="20"/>
              </w:rPr>
            </w:pPr>
          </w:p>
        </w:tc>
        <w:tc>
          <w:tcPr>
            <w:tcW w:w="368" w:type="pct"/>
            <w:shd w:val="clear" w:color="auto" w:fill="C6EFCE"/>
            <w:noWrap/>
            <w:vAlign w:val="center"/>
            <w:hideMark/>
          </w:tcPr>
          <w:p w14:paraId="3C864174" w14:textId="77777777" w:rsidR="00154E32" w:rsidRDefault="00A43E04">
            <w:pPr>
              <w:pStyle w:val="P68B1DB1-Normal11"/>
              <w:jc w:val="center"/>
              <w:rPr>
                <w:noProof/>
              </w:rPr>
            </w:pPr>
            <w:r>
              <w:rPr>
                <w:noProof/>
              </w:rPr>
              <w:t>Mejnik</w:t>
            </w:r>
          </w:p>
        </w:tc>
        <w:tc>
          <w:tcPr>
            <w:tcW w:w="436" w:type="pct"/>
            <w:shd w:val="clear" w:color="auto" w:fill="C6EFCE"/>
            <w:noWrap/>
            <w:vAlign w:val="center"/>
            <w:hideMark/>
          </w:tcPr>
          <w:p w14:paraId="0589C2CE" w14:textId="77777777" w:rsidR="00154E32" w:rsidRDefault="00A43E04">
            <w:pPr>
              <w:pStyle w:val="P68B1DB1-Normal11"/>
              <w:jc w:val="center"/>
              <w:rPr>
                <w:noProof/>
              </w:rPr>
            </w:pPr>
            <w:r>
              <w:rPr>
                <w:noProof/>
              </w:rPr>
              <w:t>Opredelitev nacionalnega standarda za turistične vodnike</w:t>
            </w:r>
          </w:p>
        </w:tc>
        <w:tc>
          <w:tcPr>
            <w:tcW w:w="520" w:type="pct"/>
            <w:shd w:val="clear" w:color="auto" w:fill="C6EFCE"/>
            <w:noWrap/>
            <w:vAlign w:val="center"/>
            <w:hideMark/>
          </w:tcPr>
          <w:p w14:paraId="11030D24" w14:textId="77777777" w:rsidR="00154E32" w:rsidRDefault="00A43E04">
            <w:pPr>
              <w:pStyle w:val="P68B1DB1-Normal11"/>
              <w:jc w:val="center"/>
              <w:rPr>
                <w:noProof/>
              </w:rPr>
            </w:pPr>
            <w:r>
              <w:rPr>
                <w:noProof/>
              </w:rPr>
              <w:t>Opredelitev minimalnega nacionalnega standarda ne pomeni uvedbe novega reguliranega poklica.</w:t>
            </w:r>
          </w:p>
        </w:tc>
        <w:tc>
          <w:tcPr>
            <w:tcW w:w="368" w:type="pct"/>
            <w:shd w:val="clear" w:color="auto" w:fill="C6EFCE"/>
            <w:noWrap/>
            <w:vAlign w:val="center"/>
            <w:hideMark/>
          </w:tcPr>
          <w:p w14:paraId="3D1BC950" w14:textId="77777777" w:rsidR="00154E32" w:rsidRDefault="00A43E04">
            <w:pPr>
              <w:pStyle w:val="P68B1DB1-Normal11"/>
              <w:jc w:val="center"/>
              <w:rPr>
                <w:noProof/>
              </w:rPr>
            </w:pPr>
            <w:r>
              <w:rPr>
                <w:noProof/>
              </w:rPr>
              <w:t>JIH NI</w:t>
            </w:r>
          </w:p>
        </w:tc>
        <w:tc>
          <w:tcPr>
            <w:tcW w:w="368" w:type="pct"/>
            <w:shd w:val="clear" w:color="auto" w:fill="C6EFCE"/>
            <w:noWrap/>
            <w:vAlign w:val="center"/>
            <w:hideMark/>
          </w:tcPr>
          <w:p w14:paraId="6E06D47B" w14:textId="77777777" w:rsidR="00154E32" w:rsidRDefault="00A43E04">
            <w:pPr>
              <w:pStyle w:val="P68B1DB1-Normal11"/>
              <w:jc w:val="center"/>
              <w:rPr>
                <w:noProof/>
              </w:rPr>
            </w:pPr>
            <w:r>
              <w:rPr>
                <w:noProof/>
              </w:rPr>
              <w:t>JIH NI</w:t>
            </w:r>
          </w:p>
        </w:tc>
        <w:tc>
          <w:tcPr>
            <w:tcW w:w="377" w:type="pct"/>
            <w:shd w:val="clear" w:color="auto" w:fill="C6EFCE"/>
            <w:noWrap/>
            <w:vAlign w:val="center"/>
            <w:hideMark/>
          </w:tcPr>
          <w:p w14:paraId="17126B65" w14:textId="77777777" w:rsidR="00154E32" w:rsidRDefault="00A43E04">
            <w:pPr>
              <w:pStyle w:val="P68B1DB1-Normal11"/>
              <w:jc w:val="center"/>
              <w:rPr>
                <w:noProof/>
              </w:rPr>
            </w:pPr>
            <w:r>
              <w:rPr>
                <w:noProof/>
              </w:rPr>
              <w:t>JIH NI</w:t>
            </w:r>
          </w:p>
        </w:tc>
        <w:tc>
          <w:tcPr>
            <w:tcW w:w="321" w:type="pct"/>
            <w:shd w:val="clear" w:color="auto" w:fill="C6EFCE"/>
            <w:noWrap/>
            <w:vAlign w:val="center"/>
            <w:hideMark/>
          </w:tcPr>
          <w:p w14:paraId="38AECD25" w14:textId="77777777" w:rsidR="00154E32" w:rsidRDefault="00A43E04">
            <w:pPr>
              <w:pStyle w:val="P68B1DB1-Normal11"/>
              <w:jc w:val="center"/>
              <w:rPr>
                <w:noProof/>
              </w:rPr>
            </w:pPr>
            <w:r>
              <w:rPr>
                <w:noProof/>
              </w:rPr>
              <w:t>Q2</w:t>
            </w:r>
          </w:p>
          <w:p w14:paraId="2500DAE9" w14:textId="77777777" w:rsidR="00154E32" w:rsidRDefault="00154E32">
            <w:pPr>
              <w:jc w:val="center"/>
              <w:rPr>
                <w:rFonts w:ascii="Arial Narrow" w:hAnsi="Arial Narrow"/>
                <w:noProof/>
                <w:color w:val="006100"/>
                <w:sz w:val="20"/>
              </w:rPr>
            </w:pPr>
          </w:p>
        </w:tc>
        <w:tc>
          <w:tcPr>
            <w:tcW w:w="224" w:type="pct"/>
            <w:shd w:val="clear" w:color="auto" w:fill="C6EFCE"/>
            <w:noWrap/>
            <w:vAlign w:val="center"/>
            <w:hideMark/>
          </w:tcPr>
          <w:p w14:paraId="2CDAE7A6" w14:textId="77777777" w:rsidR="00154E32" w:rsidRDefault="00A43E04">
            <w:pPr>
              <w:pStyle w:val="P68B1DB1-Normal11"/>
              <w:jc w:val="center"/>
              <w:rPr>
                <w:noProof/>
              </w:rPr>
            </w:pPr>
            <w:r>
              <w:rPr>
                <w:noProof/>
              </w:rPr>
              <w:t>2024</w:t>
            </w:r>
          </w:p>
          <w:p w14:paraId="64F59E53" w14:textId="77777777" w:rsidR="00154E32" w:rsidRDefault="00154E32">
            <w:pPr>
              <w:jc w:val="center"/>
              <w:rPr>
                <w:rFonts w:ascii="Arial Narrow" w:hAnsi="Arial Narrow"/>
                <w:noProof/>
                <w:color w:val="006100"/>
                <w:sz w:val="20"/>
              </w:rPr>
            </w:pPr>
          </w:p>
        </w:tc>
        <w:tc>
          <w:tcPr>
            <w:tcW w:w="1192" w:type="pct"/>
            <w:shd w:val="clear" w:color="auto" w:fill="C6EFCE"/>
            <w:noWrap/>
            <w:vAlign w:val="center"/>
            <w:hideMark/>
          </w:tcPr>
          <w:p w14:paraId="3DC7B9E2" w14:textId="77777777" w:rsidR="00154E32" w:rsidRDefault="00A43E04">
            <w:pPr>
              <w:pStyle w:val="P68B1DB1-Normal11"/>
              <w:rPr>
                <w:noProof/>
              </w:rPr>
            </w:pPr>
            <w:r>
              <w:rPr>
                <w:noProof/>
              </w:rPr>
              <w:t>Opredelitev minimalnega nacionalnega standarda ne pomeni uvedbe novega reguliranega poklica.</w:t>
            </w:r>
          </w:p>
          <w:p w14:paraId="3232E3E0" w14:textId="654B9FCB" w:rsidR="00154E32" w:rsidRDefault="00A43E04">
            <w:pPr>
              <w:pStyle w:val="P68B1DB1-Normal11"/>
              <w:rPr>
                <w:noProof/>
              </w:rPr>
            </w:pPr>
            <w:r>
              <w:rPr>
                <w:noProof/>
              </w:rPr>
              <w:t>Reforma zagotavlja tudi usposabljanje in strokovno izpopolnjevanje za boljšo podporo ponudbi. Reforma se šteje za metodo za pridobitev edinstvene poklicne kvalifikacije, sprejeto z enotnimi standardi na nacionalni ravni z nacionalnim zakonom in poznejšimi izvedbenimi ministrskimi odloki o soglasju v državnih regijah.</w:t>
            </w:r>
          </w:p>
        </w:tc>
      </w:tr>
      <w:tr w:rsidR="00154E32" w14:paraId="19500451" w14:textId="77777777">
        <w:trPr>
          <w:trHeight w:val="309"/>
        </w:trPr>
        <w:tc>
          <w:tcPr>
            <w:tcW w:w="366" w:type="pct"/>
            <w:shd w:val="clear" w:color="auto" w:fill="C6EFCE"/>
            <w:noWrap/>
            <w:vAlign w:val="center"/>
          </w:tcPr>
          <w:p w14:paraId="36457654" w14:textId="77777777" w:rsidR="00154E32" w:rsidRDefault="00A43E04">
            <w:pPr>
              <w:pStyle w:val="P68B1DB1-Normal11"/>
              <w:jc w:val="center"/>
              <w:rPr>
                <w:noProof/>
              </w:rPr>
            </w:pPr>
            <w:r>
              <w:rPr>
                <w:noProof/>
              </w:rPr>
              <w:t>M1C3–11</w:t>
            </w:r>
          </w:p>
        </w:tc>
        <w:tc>
          <w:tcPr>
            <w:tcW w:w="460" w:type="pct"/>
            <w:shd w:val="clear" w:color="auto" w:fill="C6EFCE"/>
            <w:noWrap/>
            <w:vAlign w:val="center"/>
          </w:tcPr>
          <w:p w14:paraId="21D93BC6" w14:textId="77777777" w:rsidR="00154E32" w:rsidRDefault="00A43E04">
            <w:pPr>
              <w:pStyle w:val="P68B1DB1-Normal11"/>
              <w:jc w:val="center"/>
              <w:rPr>
                <w:noProof/>
              </w:rPr>
            </w:pPr>
            <w:r>
              <w:rPr>
                <w:noProof/>
              </w:rPr>
              <w:t>Naložba 1.3 – Izboljšanje energetske učinkovitosti v kinematografih, gledališčih in muzejih</w:t>
            </w:r>
          </w:p>
        </w:tc>
        <w:tc>
          <w:tcPr>
            <w:tcW w:w="368" w:type="pct"/>
            <w:shd w:val="clear" w:color="auto" w:fill="C6EFCE"/>
            <w:noWrap/>
            <w:vAlign w:val="center"/>
          </w:tcPr>
          <w:p w14:paraId="25D6EACE" w14:textId="77777777" w:rsidR="00154E32" w:rsidRDefault="00A43E04">
            <w:pPr>
              <w:pStyle w:val="P68B1DB1-Normal11"/>
              <w:jc w:val="center"/>
              <w:rPr>
                <w:noProof/>
              </w:rPr>
            </w:pPr>
            <w:r>
              <w:rPr>
                <w:noProof/>
              </w:rPr>
              <w:t>Mejnik</w:t>
            </w:r>
          </w:p>
        </w:tc>
        <w:tc>
          <w:tcPr>
            <w:tcW w:w="436" w:type="pct"/>
            <w:shd w:val="clear" w:color="auto" w:fill="C6EFCE"/>
            <w:noWrap/>
            <w:vAlign w:val="center"/>
          </w:tcPr>
          <w:p w14:paraId="40FAAC70" w14:textId="77777777" w:rsidR="00154E32" w:rsidRDefault="00A43E04">
            <w:pPr>
              <w:pStyle w:val="P68B1DB1-Normal11"/>
              <w:spacing w:line="276" w:lineRule="auto"/>
              <w:jc w:val="center"/>
              <w:rPr>
                <w:noProof/>
              </w:rPr>
            </w:pPr>
            <w:r>
              <w:rPr>
                <w:noProof/>
              </w:rPr>
              <w:t>Začetek veljavnosti odloka ministrstva za kulturo o dodelitvi sredstev:</w:t>
            </w:r>
          </w:p>
          <w:p w14:paraId="6BB62917" w14:textId="77777777" w:rsidR="00154E32" w:rsidRDefault="00A43E04">
            <w:pPr>
              <w:pStyle w:val="P68B1DB1-Normal11"/>
              <w:spacing w:line="276" w:lineRule="auto"/>
              <w:jc w:val="center"/>
              <w:rPr>
                <w:noProof/>
              </w:rPr>
            </w:pPr>
            <w:r>
              <w:rPr>
                <w:noProof/>
              </w:rPr>
              <w:t>izboljšanje energetske učinkovitosti v krajih kulture</w:t>
            </w:r>
          </w:p>
          <w:p w14:paraId="4653407B" w14:textId="77777777" w:rsidR="00154E32" w:rsidRDefault="00154E32">
            <w:pPr>
              <w:jc w:val="center"/>
              <w:rPr>
                <w:rFonts w:ascii="Arial Narrow" w:hAnsi="Arial Narrow"/>
                <w:noProof/>
                <w:color w:val="006100"/>
                <w:sz w:val="20"/>
              </w:rPr>
            </w:pPr>
          </w:p>
        </w:tc>
        <w:tc>
          <w:tcPr>
            <w:tcW w:w="520" w:type="pct"/>
            <w:shd w:val="clear" w:color="auto" w:fill="C6EFCE"/>
            <w:noWrap/>
            <w:vAlign w:val="center"/>
          </w:tcPr>
          <w:p w14:paraId="02DD8288" w14:textId="77777777" w:rsidR="00154E32" w:rsidRDefault="00A43E04">
            <w:pPr>
              <w:pStyle w:val="P68B1DB1-Normal11"/>
              <w:jc w:val="center"/>
              <w:rPr>
                <w:noProof/>
              </w:rPr>
            </w:pPr>
            <w:r>
              <w:rPr>
                <w:noProof/>
              </w:rPr>
              <w:t>Določba odloka o začetku veljavnosti odloka ministrstva za kulturo (MIC) o dodelitvi sredstev za izboljšanje energetske učinkovitosti na krajih kulture</w:t>
            </w:r>
          </w:p>
          <w:p w14:paraId="06E558B4" w14:textId="77777777" w:rsidR="00154E32" w:rsidRDefault="00154E32">
            <w:pPr>
              <w:jc w:val="center"/>
              <w:rPr>
                <w:rFonts w:ascii="Arial Narrow" w:hAnsi="Arial Narrow"/>
                <w:noProof/>
                <w:color w:val="006100"/>
                <w:sz w:val="20"/>
              </w:rPr>
            </w:pPr>
          </w:p>
        </w:tc>
        <w:tc>
          <w:tcPr>
            <w:tcW w:w="368" w:type="pct"/>
            <w:shd w:val="clear" w:color="auto" w:fill="C6EFCE"/>
            <w:noWrap/>
            <w:vAlign w:val="center"/>
          </w:tcPr>
          <w:p w14:paraId="278894D6" w14:textId="77777777" w:rsidR="00154E32" w:rsidRDefault="00A43E04">
            <w:pPr>
              <w:pStyle w:val="P68B1DB1-Normal11"/>
              <w:jc w:val="center"/>
              <w:rPr>
                <w:noProof/>
              </w:rPr>
            </w:pPr>
            <w:r>
              <w:rPr>
                <w:noProof/>
              </w:rPr>
              <w:t>JIH NI</w:t>
            </w:r>
          </w:p>
        </w:tc>
        <w:tc>
          <w:tcPr>
            <w:tcW w:w="368" w:type="pct"/>
            <w:shd w:val="clear" w:color="auto" w:fill="C6EFCE"/>
            <w:noWrap/>
            <w:vAlign w:val="center"/>
          </w:tcPr>
          <w:p w14:paraId="3DC29CFD" w14:textId="77777777" w:rsidR="00154E32" w:rsidRDefault="00A43E04">
            <w:pPr>
              <w:pStyle w:val="P68B1DB1-Normal11"/>
              <w:jc w:val="center"/>
              <w:rPr>
                <w:noProof/>
              </w:rPr>
            </w:pPr>
            <w:r>
              <w:rPr>
                <w:noProof/>
              </w:rPr>
              <w:t>JIH NI</w:t>
            </w:r>
          </w:p>
        </w:tc>
        <w:tc>
          <w:tcPr>
            <w:tcW w:w="377" w:type="pct"/>
            <w:shd w:val="clear" w:color="auto" w:fill="C6EFCE"/>
            <w:noWrap/>
            <w:vAlign w:val="center"/>
          </w:tcPr>
          <w:p w14:paraId="6E0D7CE6" w14:textId="77777777" w:rsidR="00154E32" w:rsidRDefault="00A43E04">
            <w:pPr>
              <w:pStyle w:val="P68B1DB1-Normal11"/>
              <w:jc w:val="center"/>
              <w:rPr>
                <w:noProof/>
              </w:rPr>
            </w:pPr>
            <w:r>
              <w:rPr>
                <w:noProof/>
              </w:rPr>
              <w:t>JIH NI</w:t>
            </w:r>
          </w:p>
        </w:tc>
        <w:tc>
          <w:tcPr>
            <w:tcW w:w="321" w:type="pct"/>
            <w:shd w:val="clear" w:color="auto" w:fill="C6EFCE"/>
            <w:noWrap/>
            <w:vAlign w:val="center"/>
          </w:tcPr>
          <w:p w14:paraId="167D63C4" w14:textId="77777777" w:rsidR="00154E32" w:rsidRDefault="00A43E04">
            <w:pPr>
              <w:pStyle w:val="P68B1DB1-Normal11"/>
              <w:jc w:val="center"/>
              <w:rPr>
                <w:noProof/>
              </w:rPr>
            </w:pPr>
            <w:r>
              <w:rPr>
                <w:noProof/>
              </w:rPr>
              <w:t>Q2</w:t>
            </w:r>
          </w:p>
        </w:tc>
        <w:tc>
          <w:tcPr>
            <w:tcW w:w="224" w:type="pct"/>
            <w:shd w:val="clear" w:color="auto" w:fill="C6EFCE"/>
            <w:noWrap/>
            <w:vAlign w:val="center"/>
          </w:tcPr>
          <w:p w14:paraId="6369125E" w14:textId="77777777" w:rsidR="00154E32" w:rsidRDefault="00A43E04">
            <w:pPr>
              <w:pStyle w:val="P68B1DB1-Normal11"/>
              <w:jc w:val="center"/>
              <w:rPr>
                <w:noProof/>
              </w:rPr>
            </w:pPr>
            <w:r>
              <w:rPr>
                <w:noProof/>
              </w:rPr>
              <w:t>2022</w:t>
            </w:r>
          </w:p>
        </w:tc>
        <w:tc>
          <w:tcPr>
            <w:tcW w:w="1192" w:type="pct"/>
            <w:shd w:val="clear" w:color="auto" w:fill="C6EFCE"/>
            <w:noWrap/>
            <w:vAlign w:val="center"/>
          </w:tcPr>
          <w:p w14:paraId="50F29AE1" w14:textId="77777777" w:rsidR="00154E32" w:rsidRDefault="00A43E04">
            <w:pPr>
              <w:pStyle w:val="P68B1DB1-Normal11"/>
              <w:rPr>
                <w:noProof/>
              </w:rPr>
            </w:pPr>
            <w:r>
              <w:rPr>
                <w:noProof/>
              </w:rPr>
              <w:t>Kraji kulture se nanašajo na kinematografe, gledališča in muzeje.</w:t>
            </w:r>
          </w:p>
          <w:p w14:paraId="062C97D0" w14:textId="77777777" w:rsidR="00154E32" w:rsidRDefault="00A43E04">
            <w:pPr>
              <w:pStyle w:val="P68B1DB1-Normal11"/>
              <w:rPr>
                <w:noProof/>
              </w:rPr>
            </w:pPr>
            <w:r>
              <w:rPr>
                <w:noProof/>
              </w:rPr>
              <w:t>(INV. 1.3) Za muzeje in kraje kulture za izboljšanje energetske učinkovitosti se intervencija izvaja s priznanjem projektnih predlogov na državnih kulturnih objektih Ministrstva za kulturo (MiC) v primeru cilja 1. V nasprotnem primeru se opredelitev nedržavnih institucij v primerih Cilja 2 in 3 izvede z javnimi razpisi.</w:t>
            </w:r>
          </w:p>
          <w:p w14:paraId="77C8B384" w14:textId="77777777" w:rsidR="00154E32" w:rsidRDefault="00A43E04">
            <w:pPr>
              <w:pStyle w:val="P68B1DB1-Normal11"/>
              <w:rPr>
                <w:noProof/>
              </w:rPr>
            </w:pPr>
            <w:r>
              <w:rPr>
                <w:noProof/>
              </w:rPr>
              <w:t>Oddaja naročil projektom, izbranim v okviru konkurenčnih razpisov za zbiranje predlogov, je v skladu s tehničnimi smernicami o tem, da se ne škoduje bistveno (2021/C58/01), in sicer z uporabo seznama za izključitev in zahtevo po skladnosti z ustrezno okoljsko zakonodajo EU in nacionalno okoljsko zakonodajo.</w:t>
            </w:r>
          </w:p>
          <w:p w14:paraId="699BCE8E" w14:textId="77777777" w:rsidR="00154E32" w:rsidRDefault="00154E32">
            <w:pPr>
              <w:rPr>
                <w:rFonts w:ascii="Arial Narrow" w:hAnsi="Arial Narrow"/>
                <w:noProof/>
                <w:color w:val="006100"/>
                <w:sz w:val="20"/>
              </w:rPr>
            </w:pPr>
          </w:p>
        </w:tc>
      </w:tr>
    </w:tbl>
    <w:p w14:paraId="2DC24C07" w14:textId="77777777" w:rsidR="00154E32" w:rsidRDefault="00154E32">
      <w:pPr>
        <w:spacing w:before="120" w:after="120"/>
        <w:ind w:left="709"/>
        <w:jc w:val="both"/>
        <w:rPr>
          <w:noProof/>
        </w:rPr>
      </w:pPr>
    </w:p>
    <w:p w14:paraId="11EB6FA7" w14:textId="77777777" w:rsidR="00154E32" w:rsidRDefault="00154E32">
      <w:pPr>
        <w:spacing w:before="120" w:after="120"/>
        <w:ind w:left="709"/>
        <w:jc w:val="both"/>
        <w:rPr>
          <w:noProof/>
        </w:rPr>
        <w:sectPr w:rsidR="00154E32" w:rsidSect="001354D1">
          <w:headerReference w:type="even" r:id="rId74"/>
          <w:headerReference w:type="default" r:id="rId75"/>
          <w:footerReference w:type="even" r:id="rId76"/>
          <w:footerReference w:type="default" r:id="rId77"/>
          <w:headerReference w:type="first" r:id="rId78"/>
          <w:footerReference w:type="first" r:id="rId79"/>
          <w:pgSz w:w="16839" w:h="11907" w:orient="landscape"/>
          <w:pgMar w:top="1134" w:right="1134" w:bottom="1134" w:left="1134" w:header="567" w:footer="567" w:gutter="0"/>
          <w:cols w:space="720"/>
          <w:docGrid w:linePitch="360"/>
        </w:sectPr>
      </w:pPr>
    </w:p>
    <w:p w14:paraId="10271B9C" w14:textId="77777777" w:rsidR="00154E32" w:rsidRDefault="00A43E04">
      <w:pPr>
        <w:pStyle w:val="Heading3"/>
        <w:numPr>
          <w:ilvl w:val="0"/>
          <w:numId w:val="0"/>
        </w:numPr>
        <w:ind w:left="850" w:hanging="850"/>
        <w:rPr>
          <w:b/>
          <w:i w:val="0"/>
          <w:noProof/>
          <w:u w:val="single"/>
        </w:rPr>
      </w:pPr>
      <w:r>
        <w:rPr>
          <w:b/>
          <w:i w:val="0"/>
          <w:noProof/>
          <w:u w:val="single"/>
        </w:rPr>
        <w:t xml:space="preserve">C3. </w:t>
      </w:r>
      <w:r>
        <w:rPr>
          <w:noProof/>
        </w:rPr>
        <w:tab/>
      </w:r>
      <w:r>
        <w:rPr>
          <w:b/>
          <w:i w:val="0"/>
          <w:noProof/>
          <w:u w:val="single"/>
        </w:rPr>
        <w:t xml:space="preserve">Opis reform in naložb za posojilo </w:t>
      </w:r>
    </w:p>
    <w:p w14:paraId="475ADD27" w14:textId="77777777" w:rsidR="00154E32" w:rsidRDefault="00A43E04">
      <w:pPr>
        <w:pStyle w:val="P68B1DB1-Normal2"/>
        <w:jc w:val="both"/>
        <w:rPr>
          <w:noProof/>
        </w:rPr>
      </w:pPr>
      <w:r>
        <w:rPr>
          <w:noProof/>
        </w:rPr>
        <w:t>Naložba 2.1: Privlačnost majhnih zgodovinskih mest</w:t>
      </w:r>
    </w:p>
    <w:p w14:paraId="03E304D4" w14:textId="77777777" w:rsidR="00154E32" w:rsidRDefault="00154E32">
      <w:pPr>
        <w:jc w:val="both"/>
        <w:rPr>
          <w:noProof/>
        </w:rPr>
      </w:pPr>
    </w:p>
    <w:p w14:paraId="373CDC75" w14:textId="77777777" w:rsidR="00154E32" w:rsidRDefault="00A43E04">
      <w:pPr>
        <w:jc w:val="both"/>
        <w:rPr>
          <w:noProof/>
        </w:rPr>
      </w:pPr>
      <w:r>
        <w:rPr>
          <w:noProof/>
        </w:rPr>
        <w:t>Ta naložba je vključena v program „Piano Nazionale Borghi“, ki podpira gospodarski/socialni razvoj prikrajšanih območij, ki temelji na kulturni prenovi majhnih mest in oživitvi turizma. Ukrepi temeljijo na integriranih lokalnih kulturnih projektih.</w:t>
      </w:r>
    </w:p>
    <w:p w14:paraId="34E24B1F" w14:textId="77777777" w:rsidR="00154E32" w:rsidRDefault="00154E32">
      <w:pPr>
        <w:jc w:val="both"/>
        <w:rPr>
          <w:noProof/>
        </w:rPr>
      </w:pPr>
    </w:p>
    <w:p w14:paraId="6868BD33" w14:textId="77777777" w:rsidR="00154E32" w:rsidRDefault="00A43E04">
      <w:pPr>
        <w:spacing w:after="120"/>
        <w:jc w:val="both"/>
        <w:rPr>
          <w:noProof/>
        </w:rPr>
      </w:pPr>
      <w:r>
        <w:rPr>
          <w:noProof/>
        </w:rPr>
        <w:t>Ukrepi se osredotočajo na: I) obnova zgodovinske dediščine, nadgradnja odprtih javnih prostorov (npr. odprava arhitekturnih ovir, izboljšanje mestnega pohištva), ustvarjanje majhnih kulturnih storitev, tudi za turistične namene; spodbujati je treba ustvarjanje in spodbujanje novih poti (npr. tematskih poti, zgodovinskih poti) in vodenih ogledov; III) uvedbo finančne podpore za kulturne, ustvarjalne, turistične, komercialne, agroživilske in obrtne dejavnosti, namenjene oživitvi lokalnega gospodarstva s krepitvijo lokalnih proizvodov, znanja in tehnik.</w:t>
      </w:r>
    </w:p>
    <w:p w14:paraId="50840A99" w14:textId="38F90647" w:rsidR="00154E32" w:rsidRDefault="00A43E04">
      <w:pPr>
        <w:spacing w:after="120"/>
        <w:jc w:val="both"/>
        <w:rPr>
          <w:noProof/>
        </w:rPr>
      </w:pPr>
      <w:r>
        <w:rPr>
          <w:noProof/>
        </w:rPr>
        <w:t>Da se zagotovi skladnost ukrepa s tehničnimi smernicami za uporabo načela, da se ne škoduje bistveno (2021/C58/01), merila za upravičenost iz projektne naloge za prihodnje razpise za projekte ne vključujejo naslednjega seznama dejavnosti: (I) dejavnosti, povezane s fosilnimi gorivi, vključno z nadaljnjo uporabo</w:t>
      </w:r>
      <w:r>
        <w:rPr>
          <w:rStyle w:val="FootnoteReference"/>
          <w:noProof/>
        </w:rPr>
        <w:footnoteReference w:id="27"/>
      </w:r>
      <w:r>
        <w:rPr>
          <w:noProof/>
        </w:rPr>
        <w:t>; (II) dejavnosti v okviru sistema EU za trgovanje z emisijami (ETS), s katerimi se dosegajo predvidene emisije toplogrednih plinov, ki niso nižje od ustreznih referenčnih vrednosti</w:t>
      </w:r>
      <w:r>
        <w:rPr>
          <w:rStyle w:val="FootnoteReference"/>
          <w:noProof/>
        </w:rPr>
        <w:footnoteReference w:id="28"/>
      </w:r>
      <w:r>
        <w:rPr>
          <w:noProof/>
        </w:rPr>
        <w:t>; (III) dejavnosti, povezane z odlagališči odpadkov, sežigalnicami</w:t>
      </w:r>
      <w:r>
        <w:rPr>
          <w:rStyle w:val="FootnoteReference"/>
          <w:noProof/>
        </w:rPr>
        <w:footnoteReference w:id="29"/>
      </w:r>
      <w:r>
        <w:rPr>
          <w:noProof/>
        </w:rPr>
        <w:t xml:space="preserve"> in napravami za mehansko-biološko obdelavo</w:t>
      </w:r>
      <w:r>
        <w:rPr>
          <w:rStyle w:val="FootnoteReference"/>
          <w:noProof/>
        </w:rPr>
        <w:footnoteReference w:id="30"/>
      </w:r>
      <w:r>
        <w:rPr>
          <w:noProof/>
        </w:rPr>
        <w:t>; ter (iv) dejavnosti, pri katerih lahko dolgotrajno odstranjevanje odpadkov dolgoročno škoduje okolju. Poleg tega se zahteva, da se izberejo samo dejavnosti, ki so skladne z ustrezno okoljsko zakonodajo EU in nacionalno okoljsko zakonodajo.</w:t>
      </w:r>
    </w:p>
    <w:p w14:paraId="7309DF7E" w14:textId="1F1084FE" w:rsidR="00154E32" w:rsidRDefault="00A43E04">
      <w:pPr>
        <w:pStyle w:val="P68B1DB1-Normal2"/>
        <w:spacing w:after="120"/>
        <w:jc w:val="both"/>
        <w:rPr>
          <w:noProof/>
        </w:rPr>
      </w:pPr>
      <w:r>
        <w:rPr>
          <w:noProof/>
        </w:rPr>
        <w:t xml:space="preserve">Naložba 2.2: Zaščita in krepitev podeželske arhitekture in krajine </w:t>
      </w:r>
    </w:p>
    <w:p w14:paraId="2F0E96E1" w14:textId="225206C7" w:rsidR="00154E32" w:rsidRDefault="00A43E04">
      <w:pPr>
        <w:spacing w:after="120"/>
        <w:jc w:val="both"/>
        <w:rPr>
          <w:noProof/>
        </w:rPr>
      </w:pPr>
      <w:r>
        <w:rPr>
          <w:noProof/>
        </w:rPr>
        <w:t>Ta naložba spodbuja sistematičen proces posodabljanja zgodovinskih podeželskih stavb (subjekti zasebnega ali tretjega sektorja) in varstva krajine.</w:t>
      </w:r>
    </w:p>
    <w:p w14:paraId="5DBEFA39" w14:textId="77777777" w:rsidR="00154E32" w:rsidRDefault="00A43E04">
      <w:pPr>
        <w:spacing w:after="120"/>
        <w:jc w:val="both"/>
        <w:rPr>
          <w:noProof/>
        </w:rPr>
      </w:pPr>
      <w:r>
        <w:rPr>
          <w:noProof/>
        </w:rPr>
        <w:t xml:space="preserve">Številne podeželske stavbe in kmetijske strukture so doživele postopen proces opuščanja, degradacije in sprememb, kar je oslabilo njihove posebne značilnosti in odnos do okolice. Z obnovo podeželskega stavbnega fonda ukrep izboljša kakovost krajine na podeželju, tako da se skupnosti vrne premalo izkoriščen stavbni fond, ki ni dostopen javnosti. </w:t>
      </w:r>
    </w:p>
    <w:p w14:paraId="3E60293D" w14:textId="35299CFB" w:rsidR="00154E32" w:rsidRDefault="00A43E04">
      <w:pPr>
        <w:pStyle w:val="P68B1DB1-Normal2"/>
        <w:spacing w:after="120"/>
        <w:jc w:val="both"/>
        <w:rPr>
          <w:noProof/>
        </w:rPr>
      </w:pPr>
      <w:r>
        <w:rPr>
          <w:noProof/>
        </w:rPr>
        <w:t xml:space="preserve">Naložba 2.3: Programi za krepitev identitete krajev: parki in zgodovinski vrtovi </w:t>
      </w:r>
    </w:p>
    <w:p w14:paraId="0A1ADFB5" w14:textId="77777777" w:rsidR="00154E32" w:rsidRDefault="00A43E04">
      <w:pPr>
        <w:spacing w:after="120"/>
        <w:jc w:val="both"/>
        <w:rPr>
          <w:noProof/>
        </w:rPr>
      </w:pPr>
      <w:r>
        <w:rPr>
          <w:noProof/>
        </w:rPr>
        <w:t xml:space="preserve">Namen te naložbe je preprečiti upadanje mest in obnoviti skupno identiteto krajev, ustvariti nove priložnosti za oživitev lokalnega gospodarstva in ublažiti posledice krize ter izboljšati znanja in spretnosti za upravljanje in vzdrževanje zgodovinskih parkov in vrtov. </w:t>
      </w:r>
    </w:p>
    <w:p w14:paraId="4404E55E" w14:textId="77777777" w:rsidR="00154E32" w:rsidRDefault="00A43E04">
      <w:pPr>
        <w:spacing w:after="120"/>
        <w:jc w:val="both"/>
        <w:rPr>
          <w:noProof/>
        </w:rPr>
      </w:pPr>
      <w:r>
        <w:rPr>
          <w:noProof/>
        </w:rPr>
        <w:t>Naložba predvideva obnovo zgodovinskih parkov in vrtov ter uvaja obsežno znanje in sanacijo italijanskih zgodovinskih parkov in vrtov za njihovo ustrezno vzdrževanje, upravljanje in javno uporabo. Sredstva se dodelijo za obnovo teh območij in usposabljanje lokalnega osebja, ki jih lahko sčasoma zdravi/ohranjuje.</w:t>
      </w:r>
    </w:p>
    <w:p w14:paraId="505EDE1D" w14:textId="52A49F2F" w:rsidR="00154E32" w:rsidRDefault="00A43E04">
      <w:pPr>
        <w:spacing w:after="120"/>
        <w:jc w:val="both"/>
        <w:rPr>
          <w:noProof/>
        </w:rPr>
      </w:pPr>
      <w:r>
        <w:rPr>
          <w:noProof/>
        </w:rPr>
        <w:t>Poleg kulturne in zgodovinske vrednosti vrtovi in zgodovinski parki prispevajo h krepitvi okoljskih vrednot in imajo pomembno vlogo pri ohranjanju, proizvodnji kisika, zmanjšanju onesnaževanja okolja in hrupa ter urejanju mikropodnebij.</w:t>
      </w:r>
    </w:p>
    <w:p w14:paraId="627BCBB6" w14:textId="77777777" w:rsidR="00154E32" w:rsidRDefault="00A43E04">
      <w:pPr>
        <w:pStyle w:val="P68B1DB1-Normal2"/>
        <w:spacing w:after="120"/>
        <w:jc w:val="both"/>
        <w:rPr>
          <w:noProof/>
        </w:rPr>
      </w:pPr>
      <w:r>
        <w:rPr>
          <w:noProof/>
        </w:rPr>
        <w:t>Naložba 2.4: Seizmična varnost verskih objektov, obnova dediščine FEC in zavetišč za umetniška dela (obnova umetnosti)</w:t>
      </w:r>
    </w:p>
    <w:p w14:paraId="1AF468BB" w14:textId="04FFF39A" w:rsidR="00154E32" w:rsidRDefault="00A43E04">
      <w:pPr>
        <w:spacing w:after="120"/>
        <w:jc w:val="both"/>
        <w:rPr>
          <w:noProof/>
        </w:rPr>
      </w:pPr>
      <w:r>
        <w:rPr>
          <w:noProof/>
        </w:rPr>
        <w:t>Vzpostavi se protipotresni preventivni akcijski načrt, da se znatno zmanjša tveganje za verske objekte in tako preprečijo morebitni stroški obnove po nesrečah, pa tudi trajna izguba številnih sredstev. Akcijski načrt vsebuje tri vrste ukrepov:  zaščito verskih objektov pred potresnimi tveganji; obnova dediščine Sklada za verske objekte (FEC) in gradnja skladišč kot zatočišča za umetniška dela v primeru katastrofalnih dogodkov.</w:t>
      </w:r>
    </w:p>
    <w:p w14:paraId="375067B7" w14:textId="5E4E8C85" w:rsidR="00154E32" w:rsidRDefault="00A43E04">
      <w:pPr>
        <w:spacing w:after="120"/>
        <w:jc w:val="both"/>
        <w:rPr>
          <w:b/>
          <w:noProof/>
          <w:u w:val="single"/>
        </w:rPr>
      </w:pPr>
      <w:r>
        <w:rPr>
          <w:noProof/>
        </w:rPr>
        <w:t>Naložba predvideva tudi ustanovitev nacionalnega funkcionalnega centra za zaščito kulturnih dobrin pred človeškimi in naravnimi tveganji (CEFURISC), ki bo omogočil bolj sinergijsko uporabo obstoječih tehnologij in okoljskih sistemov za spremljanje, nadzor in upravljanje kulturnih znamenitosti.</w:t>
      </w:r>
      <w:r>
        <w:rPr>
          <w:b/>
          <w:noProof/>
          <w:u w:val="single"/>
        </w:rPr>
        <w:t xml:space="preserve"> </w:t>
      </w:r>
    </w:p>
    <w:p w14:paraId="12E64F85" w14:textId="0F13C509" w:rsidR="00154E32" w:rsidRDefault="00A43E04">
      <w:pPr>
        <w:pStyle w:val="P68B1DB1-Normal2"/>
        <w:spacing w:after="120"/>
        <w:jc w:val="both"/>
        <w:rPr>
          <w:noProof/>
        </w:rPr>
      </w:pPr>
      <w:r>
        <w:rPr>
          <w:noProof/>
        </w:rPr>
        <w:t>Naložba 4.2: Sredstva za konkurenčnost turističnih podjetij</w:t>
      </w:r>
    </w:p>
    <w:p w14:paraId="28856547" w14:textId="77777777" w:rsidR="00154E32" w:rsidRDefault="00A43E04">
      <w:pPr>
        <w:spacing w:after="120"/>
        <w:jc w:val="both"/>
        <w:rPr>
          <w:noProof/>
        </w:rPr>
      </w:pPr>
      <w:r>
        <w:rPr>
          <w:noProof/>
        </w:rPr>
        <w:t>Cilj ukrepa je podpreti podjetja, ki delujejo v turističnem sektorju.  Vključuje davčno olajšavo za dela, namenjena izboljšanju nastanitvenih zmogljivosti, jamstveni sklad za olajšanje dostopa do posojil za podjetja v sektorju (prek posebnega oddelka Jamstvenega sklada za MSP), aktivacijo tematskega sklada EIB za turizem za podporo inovativnim naložbam v sektorju, kapitalski sklad (Nacionalni sklad za turizem) za obnovo nepremičnin z velikim turističnim potencialom. Dodatne finančne instrumente (FRI – Fondo Rotativo) dopolnjujejo zgoraj navedene ukrepe za podporo podjetjem, ki delujejo v turističnem sektorju. Zgoraj navedena posredovanja se izvajajo v skladu z naložbenimi politikami v skladu s cilji Uredbe (EU) 2021/241, tudi v zvezi z uporabo načela, da se ne škoduje bistveno, kot je podrobneje opredeljeno v tehničnih smernicah za uporabo načela, da se ne škoduje bistveno, v skladu z uredbo o mehanizmu za okrevanje in odpornost (2021/C58/01).</w:t>
      </w:r>
    </w:p>
    <w:p w14:paraId="208B24F8" w14:textId="38B667E3" w:rsidR="00154E32" w:rsidRDefault="00A43E04">
      <w:pPr>
        <w:pStyle w:val="Text1"/>
        <w:spacing w:before="0"/>
        <w:ind w:left="0"/>
        <w:rPr>
          <w:noProof/>
        </w:rPr>
      </w:pPr>
      <w:r>
        <w:rPr>
          <w:noProof/>
        </w:rPr>
        <w:t xml:space="preserve">Za zagotovitev, da je ukrep skladen s tehničnimi smernicami, da se ne škoduje bistveno (2021/C58/01), se v pravnem sporazumu in poznejši naložbeni politiki finančnih instrumentov </w:t>
      </w:r>
    </w:p>
    <w:p w14:paraId="1515FF36" w14:textId="77777777" w:rsidR="00154E32" w:rsidRDefault="00A43E04">
      <w:pPr>
        <w:pStyle w:val="Text1"/>
        <w:numPr>
          <w:ilvl w:val="0"/>
          <w:numId w:val="78"/>
        </w:numPr>
        <w:spacing w:before="0"/>
        <w:ind w:left="567" w:hanging="283"/>
        <w:rPr>
          <w:noProof/>
        </w:rPr>
      </w:pPr>
      <w:r>
        <w:rPr>
          <w:noProof/>
        </w:rPr>
        <w:t>zahteva uporabo tehničnih smernic Komisije o preverjanju trajnostnosti za sklad InvestEU; in</w:t>
      </w:r>
    </w:p>
    <w:p w14:paraId="07EC682D" w14:textId="744129E1" w:rsidR="00154E32" w:rsidRDefault="00A43E04">
      <w:pPr>
        <w:pStyle w:val="Text1"/>
        <w:numPr>
          <w:ilvl w:val="0"/>
          <w:numId w:val="78"/>
        </w:numPr>
        <w:spacing w:before="0"/>
        <w:ind w:left="567" w:hanging="283"/>
        <w:rPr>
          <w:noProof/>
        </w:rPr>
      </w:pPr>
      <w:r>
        <w:rPr>
          <w:noProof/>
        </w:rPr>
        <w:t>izključiti naslednji seznam dejavnosti: (I) dejavnosti, povezane s fosilnimi gorivi, vključno z nadaljnjo uporabo</w:t>
      </w:r>
      <w:r>
        <w:rPr>
          <w:rStyle w:val="FootnoteReference"/>
          <w:noProof/>
        </w:rPr>
        <w:footnoteReference w:id="31"/>
      </w:r>
      <w:r>
        <w:rPr>
          <w:noProof/>
        </w:rPr>
        <w:t>; (II) dejavnosti v okviru sistema EU za trgovanje z emisijami (ETS), s katerimi se dosegajo predvidene emisije toplogrednih plinov, ki niso nižje od ustreznih referenčnih vrednosti</w:t>
      </w:r>
      <w:r>
        <w:rPr>
          <w:rStyle w:val="FootnoteReference"/>
          <w:noProof/>
        </w:rPr>
        <w:footnoteReference w:id="32"/>
      </w:r>
      <w:r>
        <w:rPr>
          <w:noProof/>
        </w:rPr>
        <w:t>; (III) dejavnosti, povezane z odlagališči odpadkov, sežigalnicami</w:t>
      </w:r>
      <w:r>
        <w:rPr>
          <w:rStyle w:val="FootnoteReference"/>
          <w:noProof/>
        </w:rPr>
        <w:footnoteReference w:id="33"/>
      </w:r>
      <w:r>
        <w:rPr>
          <w:noProof/>
        </w:rPr>
        <w:t xml:space="preserve"> in napravami za mehansko-biološko obdelavo</w:t>
      </w:r>
      <w:r>
        <w:rPr>
          <w:rStyle w:val="FootnoteReference"/>
          <w:noProof/>
        </w:rPr>
        <w:footnoteReference w:id="34"/>
      </w:r>
      <w:r>
        <w:rPr>
          <w:noProof/>
        </w:rPr>
        <w:t>; in (iv) dejavnosti, pri katerih lahko dolgoročno odlaganje odpadkov škoduje okolju; in</w:t>
      </w:r>
    </w:p>
    <w:p w14:paraId="13654A9C" w14:textId="77777777" w:rsidR="00154E32" w:rsidRDefault="00A43E04">
      <w:pPr>
        <w:pStyle w:val="Text1"/>
        <w:numPr>
          <w:ilvl w:val="0"/>
          <w:numId w:val="78"/>
        </w:numPr>
        <w:spacing w:before="0"/>
        <w:ind w:left="567" w:hanging="283"/>
        <w:rPr>
          <w:noProof/>
        </w:rPr>
      </w:pPr>
      <w:r>
        <w:rPr>
          <w:noProof/>
        </w:rPr>
        <w:t>zahteva, da pooblaščeni subjekt ali finančni posrednik preveri pravno skladnost projektov z ustrezno okoljsko zakonodajo EU in nacionalno okoljsko zakonodajo za vse transakcije, vključno s tistimi, ki so izvzeti iz preverjanja trajnostnosti.</w:t>
      </w:r>
    </w:p>
    <w:p w14:paraId="0D09620E" w14:textId="618DB066" w:rsidR="00154E32" w:rsidRDefault="00A43E04">
      <w:pPr>
        <w:pStyle w:val="P68B1DB1-Normal2"/>
        <w:spacing w:after="120"/>
        <w:jc w:val="both"/>
        <w:rPr>
          <w:noProof/>
        </w:rPr>
      </w:pPr>
      <w:r>
        <w:rPr>
          <w:noProof/>
        </w:rPr>
        <w:t>Naložba 3.2: Razvoj filmske industrije (projekt Cinecittà)</w:t>
      </w:r>
    </w:p>
    <w:p w14:paraId="3C036224" w14:textId="77777777" w:rsidR="00154E32" w:rsidRDefault="00A43E04">
      <w:pPr>
        <w:spacing w:after="120"/>
        <w:jc w:val="both"/>
        <w:rPr>
          <w:noProof/>
        </w:rPr>
      </w:pPr>
      <w:r>
        <w:rPr>
          <w:noProof/>
        </w:rPr>
        <w:t xml:space="preserve"> Cilj naložbe je povečati konkurenčnost italijanskega filmskega in avdiovizualnega sektorja. Cilj projekta je ublažiti socialne in gospodarske posledice krize s ciljem okrepiti gospodarsko rast, zaposlovanje in konkurenčnost, tudi z ukrepi za usposabljanje, in sicer s tremi vrstami ukrepanja.</w:t>
      </w:r>
    </w:p>
    <w:p w14:paraId="68D8DB9D" w14:textId="77777777" w:rsidR="00154E32" w:rsidRDefault="00A43E04">
      <w:pPr>
        <w:pStyle w:val="ListParagraph"/>
        <w:numPr>
          <w:ilvl w:val="0"/>
          <w:numId w:val="77"/>
        </w:numPr>
        <w:spacing w:before="0"/>
        <w:contextualSpacing w:val="0"/>
        <w:rPr>
          <w:noProof/>
        </w:rPr>
      </w:pPr>
      <w:r>
        <w:rPr>
          <w:noProof/>
        </w:rPr>
        <w:t>Vrstica A: Izgradnja novih studiev ter obnovitev obstoječih in prilog, vključno z visokotehnološkimi rešitvami.</w:t>
      </w:r>
    </w:p>
    <w:p w14:paraId="626DFC63" w14:textId="77777777" w:rsidR="00154E32" w:rsidRDefault="00A43E04">
      <w:pPr>
        <w:pStyle w:val="ListParagraph"/>
        <w:numPr>
          <w:ilvl w:val="0"/>
          <w:numId w:val="77"/>
        </w:numPr>
        <w:spacing w:before="0"/>
        <w:contextualSpacing w:val="0"/>
        <w:rPr>
          <w:noProof/>
        </w:rPr>
      </w:pPr>
      <w:r>
        <w:rPr>
          <w:noProof/>
        </w:rPr>
        <w:t>Vrstica B: Inovativne naložbe za izboljšanje produkcijskih dejavnosti in dejavnosti usposabljanja eksperimentalnega centra za kinografijo, vključno z novimi orodji za avdiovizualno produkcijo, internacionalizacijo ter kulturne in izobraževalne izmenjave; razvoj infrastrukture (virtualna proizvodnja v živo) za poklicno in izobraževalno uporabo z e-učenjem, digitalizacijo in posodobitvijo stavbnega in rastlinskega fonda, zlasti z namenom spodbujanja tehnološke in okoljske preobrazbe; ohranjanje in digitalizacija avdiovizualne dediščine</w:t>
      </w:r>
    </w:p>
    <w:p w14:paraId="30784073" w14:textId="77777777" w:rsidR="00154E32" w:rsidRDefault="00A43E04">
      <w:pPr>
        <w:pStyle w:val="ListParagraph"/>
        <w:numPr>
          <w:ilvl w:val="0"/>
          <w:numId w:val="77"/>
        </w:numPr>
        <w:spacing w:before="0"/>
        <w:contextualSpacing w:val="0"/>
        <w:rPr>
          <w:noProof/>
        </w:rPr>
      </w:pPr>
      <w:r>
        <w:rPr>
          <w:noProof/>
        </w:rPr>
        <w:t>Vrstica C: Krepitev poklicnih spretnosti in kompetenc v avdiovizualnem sektorju na treh strokovnih makropodročjih: podjetje/vodstvo; ustvarjalni/umetniški; tehnični delavci.</w:t>
      </w:r>
    </w:p>
    <w:p w14:paraId="104D577E" w14:textId="77777777" w:rsidR="00154E32" w:rsidRDefault="00A43E04">
      <w:pPr>
        <w:pStyle w:val="P68B1DB1-Normal2"/>
        <w:spacing w:after="120"/>
        <w:jc w:val="both"/>
        <w:rPr>
          <w:noProof/>
        </w:rPr>
      </w:pPr>
      <w:r>
        <w:rPr>
          <w:noProof/>
        </w:rPr>
        <w:t>Naložba 4.3: Kaput Mundi Next Generation EU za turistične odlične dogodke.</w:t>
      </w:r>
    </w:p>
    <w:p w14:paraId="02223CD7" w14:textId="48BC50CC" w:rsidR="00154E32" w:rsidRDefault="00A43E04">
      <w:pPr>
        <w:tabs>
          <w:tab w:val="left" w:pos="1340"/>
          <w:tab w:val="left" w:pos="1341"/>
        </w:tabs>
        <w:spacing w:after="120"/>
        <w:ind w:right="-7"/>
        <w:jc w:val="both"/>
        <w:rPr>
          <w:noProof/>
        </w:rPr>
      </w:pPr>
      <w:r>
        <w:rPr>
          <w:noProof/>
        </w:rPr>
        <w:t>Projekt bo povečal število dostopnih turističnih znamenitosti, ustvaril veljavne in kvalificirane turistične in kulturne alternative v zvezi z natrpanimi osrednjimi območji ter povečal uporabo digitalnih tehnologij, okrepil zelene površine in trajnost turizma. Naložba predvideva šest vrst intervencij:</w:t>
      </w:r>
    </w:p>
    <w:p w14:paraId="7684C331" w14:textId="77777777" w:rsidR="00154E32" w:rsidRDefault="00A43E04">
      <w:pPr>
        <w:pStyle w:val="ListParagraph"/>
        <w:numPr>
          <w:ilvl w:val="0"/>
          <w:numId w:val="139"/>
        </w:numPr>
        <w:tabs>
          <w:tab w:val="left" w:pos="1340"/>
          <w:tab w:val="left" w:pos="1341"/>
        </w:tabs>
        <w:ind w:right="-7"/>
        <w:rPr>
          <w:noProof/>
        </w:rPr>
      </w:pPr>
      <w:r>
        <w:rPr>
          <w:noProof/>
        </w:rPr>
        <w:t xml:space="preserve">„Rimska kulturna dediščina za naslednjo generacijo EU“, ki zajema obnovo in obnovo kulturne in mestne dediščine ter kompleksov z zgodovinsko-arhitekturno vrednostjo mesta Rim;  </w:t>
      </w:r>
    </w:p>
    <w:p w14:paraId="5E412CC2" w14:textId="3838EE7A" w:rsidR="00154E32" w:rsidRDefault="00A43E04">
      <w:pPr>
        <w:pStyle w:val="ListParagraph"/>
        <w:numPr>
          <w:ilvl w:val="0"/>
          <w:numId w:val="139"/>
        </w:numPr>
        <w:tabs>
          <w:tab w:val="left" w:pos="1340"/>
          <w:tab w:val="left" w:pos="1341"/>
        </w:tabs>
        <w:ind w:right="-7"/>
        <w:rPr>
          <w:noProof/>
        </w:rPr>
      </w:pPr>
      <w:r>
        <w:rPr>
          <w:noProof/>
        </w:rPr>
        <w:t>„Jubilee poti“ (od pagana do krščanskega Rima), usmerjene v krepitev, varnost, protiseizmično utrjevanje, obnovo krajev in stavb zgodovinskega pomena in arheološke poti;</w:t>
      </w:r>
    </w:p>
    <w:p w14:paraId="055EE5EC" w14:textId="77777777" w:rsidR="00154E32" w:rsidRDefault="00A43E04">
      <w:pPr>
        <w:pStyle w:val="ListParagraph"/>
        <w:numPr>
          <w:ilvl w:val="0"/>
          <w:numId w:val="139"/>
        </w:numPr>
        <w:tabs>
          <w:tab w:val="left" w:pos="1340"/>
          <w:tab w:val="left" w:pos="1341"/>
        </w:tabs>
        <w:ind w:right="-7"/>
        <w:rPr>
          <w:noProof/>
        </w:rPr>
      </w:pPr>
      <w:r>
        <w:rPr>
          <w:noProof/>
        </w:rPr>
        <w:t>#LaCittàCondivisa, ki zajema prenovo območij na obrobnih območjih;</w:t>
      </w:r>
    </w:p>
    <w:p w14:paraId="24A7413D" w14:textId="77777777" w:rsidR="00154E32" w:rsidRDefault="00A43E04">
      <w:pPr>
        <w:pStyle w:val="ListParagraph"/>
        <w:numPr>
          <w:ilvl w:val="0"/>
          <w:numId w:val="139"/>
        </w:numPr>
        <w:tabs>
          <w:tab w:val="left" w:pos="1340"/>
          <w:tab w:val="left" w:pos="1341"/>
        </w:tabs>
        <w:ind w:right="-7"/>
        <w:rPr>
          <w:noProof/>
        </w:rPr>
      </w:pPr>
      <w:r>
        <w:rPr>
          <w:noProof/>
        </w:rPr>
        <w:t>#Mitingodiverde, ki zajema posege na parkih, zgodovinskih vrtovih, vilah in avtomatih;</w:t>
      </w:r>
    </w:p>
    <w:p w14:paraId="3F7E84F8" w14:textId="77777777" w:rsidR="00154E32" w:rsidRDefault="00A43E04">
      <w:pPr>
        <w:pStyle w:val="ListParagraph"/>
        <w:numPr>
          <w:ilvl w:val="0"/>
          <w:numId w:val="139"/>
        </w:numPr>
        <w:tabs>
          <w:tab w:val="left" w:pos="1340"/>
          <w:tab w:val="left" w:pos="1341"/>
        </w:tabs>
        <w:ind w:right="-7"/>
        <w:rPr>
          <w:noProof/>
        </w:rPr>
      </w:pPr>
      <w:r>
        <w:rPr>
          <w:noProof/>
        </w:rPr>
        <w:t>#Roma 4.0, ki zajema digitalizacijo kulturnih storitev in razvoj aplikacij za turiste;</w:t>
      </w:r>
    </w:p>
    <w:p w14:paraId="73C006B1" w14:textId="77777777" w:rsidR="00154E32" w:rsidRDefault="00A43E04">
      <w:pPr>
        <w:pStyle w:val="ListParagraph"/>
        <w:numPr>
          <w:ilvl w:val="0"/>
          <w:numId w:val="139"/>
        </w:numPr>
        <w:tabs>
          <w:tab w:val="left" w:pos="1340"/>
          <w:tab w:val="left" w:pos="1341"/>
        </w:tabs>
        <w:ind w:right="-7"/>
        <w:rPr>
          <w:noProof/>
          <w:shd w:val="clear" w:color="auto" w:fill="E6E6E6"/>
        </w:rPr>
        <w:sectPr w:rsidR="00154E32">
          <w:headerReference w:type="even" r:id="rId80"/>
          <w:headerReference w:type="default" r:id="rId81"/>
          <w:footerReference w:type="even" r:id="rId82"/>
          <w:footerReference w:type="default" r:id="rId83"/>
          <w:headerReference w:type="first" r:id="rId84"/>
          <w:footerReference w:type="first" r:id="rId85"/>
          <w:pgSz w:w="11907" w:h="16839"/>
          <w:pgMar w:top="1134" w:right="1134" w:bottom="1134" w:left="1134" w:header="567" w:footer="567" w:gutter="0"/>
          <w:cols w:space="720"/>
          <w:docGrid w:linePitch="360"/>
        </w:sectPr>
      </w:pPr>
      <w:r>
        <w:rPr>
          <w:noProof/>
        </w:rPr>
        <w:t>#Amanotesa, katerega cilj je povečati ponudbo kulturne ponudbe obrobjem za socialno vključevanje.</w:t>
      </w:r>
    </w:p>
    <w:p w14:paraId="28CDA405" w14:textId="77777777" w:rsidR="00154E32" w:rsidRDefault="00A43E04">
      <w:pPr>
        <w:pStyle w:val="Heading3"/>
        <w:numPr>
          <w:ilvl w:val="0"/>
          <w:numId w:val="0"/>
        </w:numPr>
        <w:ind w:left="850" w:hanging="850"/>
        <w:rPr>
          <w:b/>
          <w:i w:val="0"/>
          <w:noProof/>
          <w:u w:val="single"/>
        </w:rPr>
      </w:pPr>
      <w:r>
        <w:rPr>
          <w:b/>
          <w:i w:val="0"/>
          <w:noProof/>
          <w:u w:val="single"/>
        </w:rPr>
        <w:t xml:space="preserve">C.4. </w:t>
      </w:r>
      <w:r>
        <w:rPr>
          <w:noProof/>
        </w:rPr>
        <w:tab/>
      </w:r>
      <w:r>
        <w:rPr>
          <w:b/>
          <w:i w:val="0"/>
          <w:noProof/>
          <w:u w:val="single"/>
        </w:rPr>
        <w:t xml:space="preserve">Mejniki, cilji, kazalniki in časovni razpored za spremljanje in izvajanje posojila </w:t>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1560"/>
        <w:gridCol w:w="1134"/>
        <w:gridCol w:w="1559"/>
        <w:gridCol w:w="1559"/>
        <w:gridCol w:w="992"/>
        <w:gridCol w:w="995"/>
        <w:gridCol w:w="1271"/>
        <w:gridCol w:w="995"/>
        <w:gridCol w:w="660"/>
        <w:gridCol w:w="3136"/>
      </w:tblGrid>
      <w:tr w:rsidR="00154E32" w14:paraId="07EFF2B5" w14:textId="77777777">
        <w:trPr>
          <w:trHeight w:val="313"/>
          <w:tblHeader/>
          <w:jc w:val="center"/>
        </w:trPr>
        <w:tc>
          <w:tcPr>
            <w:tcW w:w="377" w:type="pct"/>
            <w:vMerge w:val="restart"/>
            <w:shd w:val="clear" w:color="auto" w:fill="BDD7EE"/>
            <w:noWrap/>
            <w:vAlign w:val="center"/>
          </w:tcPr>
          <w:p w14:paraId="741A270F" w14:textId="77777777" w:rsidR="00154E32" w:rsidRDefault="00154E32">
            <w:pPr>
              <w:jc w:val="center"/>
              <w:rPr>
                <w:rFonts w:ascii="Arial Narrow" w:hAnsi="Arial Narrow"/>
                <w:noProof/>
                <w:sz w:val="20"/>
              </w:rPr>
            </w:pPr>
          </w:p>
          <w:p w14:paraId="2A596316" w14:textId="77777777" w:rsidR="00154E32" w:rsidRDefault="00A43E04">
            <w:pPr>
              <w:pStyle w:val="P68B1DB1-Normal9"/>
              <w:jc w:val="center"/>
              <w:rPr>
                <w:noProof/>
              </w:rPr>
            </w:pPr>
            <w:r>
              <w:rPr>
                <w:noProof/>
              </w:rPr>
              <w:t>Zaporedna številka</w:t>
            </w:r>
          </w:p>
        </w:tc>
        <w:tc>
          <w:tcPr>
            <w:tcW w:w="520" w:type="pct"/>
            <w:vMerge w:val="restart"/>
            <w:shd w:val="clear" w:color="auto" w:fill="BDD7EE"/>
            <w:noWrap/>
            <w:vAlign w:val="center"/>
          </w:tcPr>
          <w:p w14:paraId="423B078D" w14:textId="77777777" w:rsidR="00154E32" w:rsidRDefault="00A43E04">
            <w:pPr>
              <w:pStyle w:val="P68B1DB1-Normal9"/>
              <w:jc w:val="center"/>
              <w:rPr>
                <w:noProof/>
              </w:rPr>
            </w:pPr>
            <w:r>
              <w:rPr>
                <w:noProof/>
              </w:rPr>
              <w:t>Povezani ukrep (reforma ali naložba)</w:t>
            </w:r>
          </w:p>
        </w:tc>
        <w:tc>
          <w:tcPr>
            <w:tcW w:w="378" w:type="pct"/>
            <w:vMerge w:val="restart"/>
            <w:shd w:val="clear" w:color="auto" w:fill="BDD7EE"/>
            <w:noWrap/>
            <w:vAlign w:val="center"/>
          </w:tcPr>
          <w:p w14:paraId="6D9D8DC7" w14:textId="77777777" w:rsidR="00154E32" w:rsidRDefault="00A43E04">
            <w:pPr>
              <w:pStyle w:val="P68B1DB1-Normal9"/>
              <w:jc w:val="center"/>
              <w:rPr>
                <w:noProof/>
              </w:rPr>
            </w:pPr>
            <w:r>
              <w:rPr>
                <w:noProof/>
              </w:rPr>
              <w:t>Mejnik/cilj</w:t>
            </w:r>
          </w:p>
        </w:tc>
        <w:tc>
          <w:tcPr>
            <w:tcW w:w="520" w:type="pct"/>
            <w:vMerge w:val="restart"/>
            <w:shd w:val="clear" w:color="auto" w:fill="BDD7EE"/>
            <w:noWrap/>
            <w:vAlign w:val="center"/>
          </w:tcPr>
          <w:p w14:paraId="5054F82A" w14:textId="77777777" w:rsidR="00154E32" w:rsidRDefault="00A43E04">
            <w:pPr>
              <w:pStyle w:val="P68B1DB1-Normal9"/>
              <w:jc w:val="center"/>
              <w:rPr>
                <w:noProof/>
              </w:rPr>
            </w:pPr>
            <w:r>
              <w:rPr>
                <w:noProof/>
              </w:rPr>
              <w:t>Ime</w:t>
            </w:r>
          </w:p>
        </w:tc>
        <w:tc>
          <w:tcPr>
            <w:tcW w:w="520" w:type="pct"/>
            <w:vMerge w:val="restart"/>
            <w:shd w:val="clear" w:color="auto" w:fill="BDD7EE"/>
            <w:noWrap/>
            <w:vAlign w:val="center"/>
          </w:tcPr>
          <w:p w14:paraId="66C13A3F" w14:textId="77777777" w:rsidR="00154E32" w:rsidRDefault="00A43E04">
            <w:pPr>
              <w:pStyle w:val="P68B1DB1-Normal10"/>
              <w:jc w:val="center"/>
              <w:rPr>
                <w:b/>
                <w:noProof/>
                <w:sz w:val="20"/>
              </w:rPr>
            </w:pPr>
            <w:r>
              <w:rPr>
                <w:b/>
                <w:noProof/>
                <w:sz w:val="20"/>
              </w:rPr>
              <w:t>Kakovostni kazalniki</w:t>
            </w:r>
            <w:r>
              <w:rPr>
                <w:noProof/>
              </w:rPr>
              <w:t xml:space="preserve"> </w:t>
            </w:r>
            <w:r>
              <w:rPr>
                <w:noProof/>
              </w:rPr>
              <w:br/>
            </w:r>
            <w:r>
              <w:rPr>
                <w:b/>
                <w:noProof/>
                <w:sz w:val="20"/>
              </w:rPr>
              <w:t>(za mejnike)</w:t>
            </w:r>
          </w:p>
        </w:tc>
        <w:tc>
          <w:tcPr>
            <w:tcW w:w="1087" w:type="pct"/>
            <w:gridSpan w:val="3"/>
            <w:shd w:val="clear" w:color="auto" w:fill="BDD7EE"/>
            <w:noWrap/>
            <w:vAlign w:val="center"/>
          </w:tcPr>
          <w:p w14:paraId="1DE47EAC" w14:textId="77777777" w:rsidR="00154E32" w:rsidRDefault="00A43E04">
            <w:pPr>
              <w:pStyle w:val="P68B1DB1-Normal10"/>
              <w:jc w:val="center"/>
              <w:rPr>
                <w:noProof/>
                <w:sz w:val="20"/>
              </w:rPr>
            </w:pPr>
            <w:r>
              <w:rPr>
                <w:b/>
                <w:noProof/>
                <w:sz w:val="20"/>
              </w:rPr>
              <w:t>Kvantitativni kazalniki</w:t>
            </w:r>
            <w:r>
              <w:rPr>
                <w:noProof/>
              </w:rPr>
              <w:t xml:space="preserve"> </w:t>
            </w:r>
            <w:r>
              <w:rPr>
                <w:noProof/>
              </w:rPr>
              <w:br/>
            </w:r>
            <w:r>
              <w:rPr>
                <w:b/>
                <w:noProof/>
                <w:sz w:val="20"/>
              </w:rPr>
              <w:t>(za ciljne vrednosti)</w:t>
            </w:r>
          </w:p>
        </w:tc>
        <w:tc>
          <w:tcPr>
            <w:tcW w:w="551" w:type="pct"/>
            <w:gridSpan w:val="2"/>
            <w:shd w:val="clear" w:color="auto" w:fill="BDD7EE"/>
            <w:noWrap/>
            <w:vAlign w:val="center"/>
          </w:tcPr>
          <w:p w14:paraId="61DC42A8" w14:textId="77777777" w:rsidR="00154E32" w:rsidRDefault="00A43E04">
            <w:pPr>
              <w:pStyle w:val="P68B1DB1-Normal9"/>
              <w:jc w:val="center"/>
              <w:rPr>
                <w:noProof/>
              </w:rPr>
            </w:pPr>
            <w:r>
              <w:rPr>
                <w:noProof/>
              </w:rPr>
              <w:t>Okvirni časovni razpored za dokončanje</w:t>
            </w:r>
          </w:p>
        </w:tc>
        <w:tc>
          <w:tcPr>
            <w:tcW w:w="1047" w:type="pct"/>
            <w:vMerge w:val="restart"/>
            <w:shd w:val="clear" w:color="auto" w:fill="BDD7EE"/>
            <w:noWrap/>
            <w:vAlign w:val="center"/>
          </w:tcPr>
          <w:p w14:paraId="59F60D62" w14:textId="77777777" w:rsidR="00154E32" w:rsidRDefault="00154E32">
            <w:pPr>
              <w:jc w:val="center"/>
              <w:rPr>
                <w:rFonts w:ascii="Arial Narrow" w:eastAsia="Calibri" w:hAnsi="Arial Narrow"/>
                <w:noProof/>
                <w:color w:val="006100"/>
                <w:sz w:val="20"/>
              </w:rPr>
            </w:pPr>
          </w:p>
          <w:p w14:paraId="4F6C4716" w14:textId="77777777" w:rsidR="00154E32" w:rsidRDefault="00A43E04">
            <w:pPr>
              <w:pStyle w:val="P68B1DB1-Normal9"/>
              <w:jc w:val="center"/>
              <w:rPr>
                <w:rFonts w:eastAsia="Calibri"/>
                <w:noProof/>
                <w:color w:val="006100"/>
              </w:rPr>
            </w:pPr>
            <w:r>
              <w:rPr>
                <w:noProof/>
              </w:rPr>
              <w:t>Opis vsakega mejnika in cilja</w:t>
            </w:r>
          </w:p>
        </w:tc>
      </w:tr>
      <w:tr w:rsidR="00154E32" w14:paraId="3236FAFF" w14:textId="77777777">
        <w:trPr>
          <w:trHeight w:val="313"/>
          <w:tblHeader/>
          <w:jc w:val="center"/>
        </w:trPr>
        <w:tc>
          <w:tcPr>
            <w:tcW w:w="377" w:type="pct"/>
            <w:vMerge/>
            <w:noWrap/>
            <w:vAlign w:val="center"/>
          </w:tcPr>
          <w:p w14:paraId="1B3EC9D2" w14:textId="77777777" w:rsidR="00154E32" w:rsidRDefault="00154E32">
            <w:pPr>
              <w:jc w:val="center"/>
              <w:rPr>
                <w:rFonts w:ascii="Arial Narrow" w:hAnsi="Arial Narrow"/>
                <w:noProof/>
                <w:sz w:val="20"/>
              </w:rPr>
            </w:pPr>
          </w:p>
        </w:tc>
        <w:tc>
          <w:tcPr>
            <w:tcW w:w="520" w:type="pct"/>
            <w:vMerge/>
            <w:noWrap/>
            <w:vAlign w:val="center"/>
          </w:tcPr>
          <w:p w14:paraId="52D13C61" w14:textId="77777777" w:rsidR="00154E32" w:rsidRDefault="00154E32">
            <w:pPr>
              <w:jc w:val="center"/>
              <w:rPr>
                <w:rFonts w:ascii="Arial Narrow" w:hAnsi="Arial Narrow"/>
                <w:noProof/>
                <w:sz w:val="20"/>
              </w:rPr>
            </w:pPr>
          </w:p>
        </w:tc>
        <w:tc>
          <w:tcPr>
            <w:tcW w:w="378" w:type="pct"/>
            <w:vMerge/>
            <w:noWrap/>
            <w:vAlign w:val="center"/>
          </w:tcPr>
          <w:p w14:paraId="40062CD4" w14:textId="77777777" w:rsidR="00154E32" w:rsidRDefault="00154E32">
            <w:pPr>
              <w:jc w:val="center"/>
              <w:rPr>
                <w:rFonts w:ascii="Arial Narrow" w:hAnsi="Arial Narrow"/>
                <w:noProof/>
                <w:sz w:val="20"/>
              </w:rPr>
            </w:pPr>
          </w:p>
        </w:tc>
        <w:tc>
          <w:tcPr>
            <w:tcW w:w="520" w:type="pct"/>
            <w:vMerge/>
            <w:noWrap/>
            <w:vAlign w:val="center"/>
          </w:tcPr>
          <w:p w14:paraId="47F2A7D1" w14:textId="77777777" w:rsidR="00154E32" w:rsidRDefault="00154E32">
            <w:pPr>
              <w:jc w:val="center"/>
              <w:rPr>
                <w:rFonts w:ascii="Arial Narrow" w:hAnsi="Arial Narrow"/>
                <w:noProof/>
                <w:sz w:val="20"/>
              </w:rPr>
            </w:pPr>
          </w:p>
        </w:tc>
        <w:tc>
          <w:tcPr>
            <w:tcW w:w="520" w:type="pct"/>
            <w:vMerge/>
            <w:noWrap/>
            <w:vAlign w:val="center"/>
          </w:tcPr>
          <w:p w14:paraId="431CDEDB" w14:textId="77777777" w:rsidR="00154E32" w:rsidRDefault="00154E32">
            <w:pPr>
              <w:jc w:val="center"/>
              <w:rPr>
                <w:rFonts w:ascii="Arial Narrow" w:eastAsia="Calibri" w:hAnsi="Arial Narrow"/>
                <w:noProof/>
                <w:sz w:val="20"/>
              </w:rPr>
            </w:pPr>
          </w:p>
        </w:tc>
        <w:tc>
          <w:tcPr>
            <w:tcW w:w="331" w:type="pct"/>
            <w:shd w:val="clear" w:color="auto" w:fill="BDD7EE"/>
            <w:noWrap/>
            <w:vAlign w:val="center"/>
          </w:tcPr>
          <w:p w14:paraId="459E60E8" w14:textId="77777777" w:rsidR="00154E32" w:rsidRDefault="00A43E04">
            <w:pPr>
              <w:pStyle w:val="P68B1DB1-Normal9"/>
              <w:jc w:val="center"/>
              <w:rPr>
                <w:noProof/>
              </w:rPr>
            </w:pPr>
            <w:r>
              <w:rPr>
                <w:noProof/>
              </w:rPr>
              <w:t>Merska enota</w:t>
            </w:r>
          </w:p>
        </w:tc>
        <w:tc>
          <w:tcPr>
            <w:tcW w:w="332" w:type="pct"/>
            <w:shd w:val="clear" w:color="auto" w:fill="BDD7EE"/>
            <w:noWrap/>
            <w:vAlign w:val="center"/>
          </w:tcPr>
          <w:p w14:paraId="67F88CF4" w14:textId="77777777" w:rsidR="00154E32" w:rsidRDefault="00A43E04">
            <w:pPr>
              <w:pStyle w:val="P68B1DB1-Normal9"/>
              <w:jc w:val="center"/>
              <w:rPr>
                <w:noProof/>
              </w:rPr>
            </w:pPr>
            <w:r>
              <w:rPr>
                <w:noProof/>
              </w:rPr>
              <w:t>Izhodišče</w:t>
            </w:r>
          </w:p>
        </w:tc>
        <w:tc>
          <w:tcPr>
            <w:tcW w:w="424" w:type="pct"/>
            <w:shd w:val="clear" w:color="auto" w:fill="BDD7EE"/>
            <w:noWrap/>
            <w:vAlign w:val="center"/>
          </w:tcPr>
          <w:p w14:paraId="45446354" w14:textId="77777777" w:rsidR="00154E32" w:rsidRDefault="00A43E04">
            <w:pPr>
              <w:pStyle w:val="P68B1DB1-Normal9"/>
              <w:jc w:val="center"/>
              <w:rPr>
                <w:noProof/>
              </w:rPr>
            </w:pPr>
            <w:r>
              <w:rPr>
                <w:noProof/>
              </w:rPr>
              <w:t>Cilj</w:t>
            </w:r>
          </w:p>
        </w:tc>
        <w:tc>
          <w:tcPr>
            <w:tcW w:w="332" w:type="pct"/>
            <w:shd w:val="clear" w:color="auto" w:fill="BDD7EE"/>
            <w:noWrap/>
            <w:vAlign w:val="center"/>
          </w:tcPr>
          <w:p w14:paraId="6BA35C90" w14:textId="77777777" w:rsidR="00154E32" w:rsidRDefault="00A43E04">
            <w:pPr>
              <w:pStyle w:val="P68B1DB1-Normal9"/>
              <w:jc w:val="center"/>
              <w:rPr>
                <w:noProof/>
              </w:rPr>
            </w:pPr>
            <w:r>
              <w:rPr>
                <w:noProof/>
              </w:rPr>
              <w:t>Četrtletje</w:t>
            </w:r>
          </w:p>
        </w:tc>
        <w:tc>
          <w:tcPr>
            <w:tcW w:w="220" w:type="pct"/>
            <w:shd w:val="clear" w:color="auto" w:fill="BDD7EE"/>
            <w:noWrap/>
            <w:vAlign w:val="center"/>
          </w:tcPr>
          <w:p w14:paraId="7522F25A" w14:textId="77777777" w:rsidR="00154E32" w:rsidRDefault="00A43E04">
            <w:pPr>
              <w:pStyle w:val="P68B1DB1-Normal9"/>
              <w:jc w:val="center"/>
              <w:rPr>
                <w:noProof/>
              </w:rPr>
            </w:pPr>
            <w:r>
              <w:rPr>
                <w:noProof/>
              </w:rPr>
              <w:t>Leto</w:t>
            </w:r>
          </w:p>
        </w:tc>
        <w:tc>
          <w:tcPr>
            <w:tcW w:w="1047" w:type="pct"/>
            <w:vMerge/>
            <w:noWrap/>
            <w:vAlign w:val="center"/>
          </w:tcPr>
          <w:p w14:paraId="58B85237" w14:textId="77777777" w:rsidR="00154E32" w:rsidRDefault="00154E32">
            <w:pPr>
              <w:jc w:val="center"/>
              <w:rPr>
                <w:rFonts w:ascii="Arial Narrow" w:eastAsia="Calibri" w:hAnsi="Arial Narrow"/>
                <w:noProof/>
                <w:color w:val="006100"/>
                <w:sz w:val="20"/>
              </w:rPr>
            </w:pPr>
          </w:p>
        </w:tc>
      </w:tr>
      <w:tr w:rsidR="00154E32" w14:paraId="1D4257FE" w14:textId="77777777">
        <w:trPr>
          <w:trHeight w:val="313"/>
          <w:jc w:val="center"/>
        </w:trPr>
        <w:tc>
          <w:tcPr>
            <w:tcW w:w="377" w:type="pct"/>
            <w:shd w:val="clear" w:color="auto" w:fill="C6EFCE"/>
            <w:noWrap/>
            <w:vAlign w:val="center"/>
          </w:tcPr>
          <w:p w14:paraId="0247DB83" w14:textId="77777777" w:rsidR="00154E32" w:rsidRDefault="00A43E04">
            <w:pPr>
              <w:pStyle w:val="P68B1DB1-Normal11"/>
              <w:jc w:val="center"/>
              <w:rPr>
                <w:noProof/>
              </w:rPr>
            </w:pPr>
            <w:r>
              <w:rPr>
                <w:noProof/>
              </w:rPr>
              <w:t>M1C3–12</w:t>
            </w:r>
          </w:p>
        </w:tc>
        <w:tc>
          <w:tcPr>
            <w:tcW w:w="520" w:type="pct"/>
            <w:shd w:val="clear" w:color="auto" w:fill="C6EFCE"/>
            <w:noWrap/>
            <w:vAlign w:val="center"/>
          </w:tcPr>
          <w:p w14:paraId="19BCE006" w14:textId="77777777" w:rsidR="00154E32" w:rsidRDefault="00A43E04">
            <w:pPr>
              <w:pStyle w:val="P68B1DB1-Normal11"/>
              <w:jc w:val="center"/>
              <w:rPr>
                <w:noProof/>
              </w:rPr>
            </w:pPr>
            <w:r>
              <w:rPr>
                <w:noProof/>
              </w:rPr>
              <w:t>Naložba 2.1 – Privlačnost majhnega zgodovinskega mesta</w:t>
            </w:r>
          </w:p>
        </w:tc>
        <w:tc>
          <w:tcPr>
            <w:tcW w:w="378" w:type="pct"/>
            <w:shd w:val="clear" w:color="auto" w:fill="C6EFCE"/>
            <w:noWrap/>
            <w:vAlign w:val="center"/>
          </w:tcPr>
          <w:p w14:paraId="7DEAF8D5" w14:textId="77777777" w:rsidR="00154E32" w:rsidRDefault="00A43E04">
            <w:pPr>
              <w:pStyle w:val="P68B1DB1-Normal11"/>
              <w:jc w:val="center"/>
              <w:rPr>
                <w:noProof/>
              </w:rPr>
            </w:pPr>
            <w:r>
              <w:rPr>
                <w:noProof/>
              </w:rPr>
              <w:t>Mejnik</w:t>
            </w:r>
          </w:p>
        </w:tc>
        <w:tc>
          <w:tcPr>
            <w:tcW w:w="520" w:type="pct"/>
            <w:shd w:val="clear" w:color="auto" w:fill="C6EFCE"/>
            <w:noWrap/>
            <w:vAlign w:val="center"/>
          </w:tcPr>
          <w:p w14:paraId="1E76A5D4" w14:textId="513EC9A2" w:rsidR="00154E32" w:rsidRDefault="00A43E04">
            <w:pPr>
              <w:pStyle w:val="P68B1DB1-Normal11"/>
              <w:jc w:val="center"/>
              <w:rPr>
                <w:noProof/>
              </w:rPr>
            </w:pPr>
            <w:r>
              <w:rPr>
                <w:noProof/>
              </w:rPr>
              <w:t>Začetek veljavnosti odloka ministrstva za kulturo o dodelitvi sredstev občinam za privlačnost majhnih zgodovinskih mest</w:t>
            </w:r>
          </w:p>
        </w:tc>
        <w:tc>
          <w:tcPr>
            <w:tcW w:w="520" w:type="pct"/>
            <w:shd w:val="clear" w:color="auto" w:fill="C6EFCE"/>
            <w:noWrap/>
            <w:vAlign w:val="center"/>
          </w:tcPr>
          <w:p w14:paraId="48C479D4" w14:textId="77777777" w:rsidR="00154E32" w:rsidRDefault="00A43E04">
            <w:pPr>
              <w:pStyle w:val="P68B1DB1-Normal11"/>
              <w:jc w:val="center"/>
              <w:rPr>
                <w:noProof/>
              </w:rPr>
            </w:pPr>
            <w:r>
              <w:rPr>
                <w:noProof/>
              </w:rPr>
              <w:t>Določba odloka o začetku veljavnosti odloka ministrstva za kulturo o dodelitvi sredstev občinam zaradi privlačnosti majhnih zgodovinskih mest</w:t>
            </w:r>
          </w:p>
        </w:tc>
        <w:tc>
          <w:tcPr>
            <w:tcW w:w="331" w:type="pct"/>
            <w:shd w:val="clear" w:color="auto" w:fill="C6EFCE"/>
            <w:noWrap/>
            <w:vAlign w:val="center"/>
          </w:tcPr>
          <w:p w14:paraId="34828AA4" w14:textId="77777777" w:rsidR="00154E32" w:rsidRDefault="00A43E04">
            <w:pPr>
              <w:pStyle w:val="P68B1DB1-Normal11"/>
              <w:jc w:val="center"/>
              <w:rPr>
                <w:noProof/>
              </w:rPr>
            </w:pPr>
            <w:r>
              <w:rPr>
                <w:noProof/>
              </w:rPr>
              <w:t>JIH NI</w:t>
            </w:r>
          </w:p>
        </w:tc>
        <w:tc>
          <w:tcPr>
            <w:tcW w:w="332" w:type="pct"/>
            <w:shd w:val="clear" w:color="auto" w:fill="C6EFCE"/>
            <w:noWrap/>
            <w:vAlign w:val="center"/>
          </w:tcPr>
          <w:p w14:paraId="0F0D7A24" w14:textId="77777777" w:rsidR="00154E32" w:rsidRDefault="00A43E04">
            <w:pPr>
              <w:pStyle w:val="P68B1DB1-Normal11"/>
              <w:jc w:val="center"/>
              <w:rPr>
                <w:noProof/>
              </w:rPr>
            </w:pPr>
            <w:r>
              <w:rPr>
                <w:noProof/>
              </w:rPr>
              <w:t>JIH NI</w:t>
            </w:r>
          </w:p>
        </w:tc>
        <w:tc>
          <w:tcPr>
            <w:tcW w:w="424" w:type="pct"/>
            <w:shd w:val="clear" w:color="auto" w:fill="C6EFCE"/>
            <w:noWrap/>
            <w:vAlign w:val="center"/>
          </w:tcPr>
          <w:p w14:paraId="13137246" w14:textId="77777777" w:rsidR="00154E32" w:rsidRDefault="00A43E04">
            <w:pPr>
              <w:pStyle w:val="P68B1DB1-Normal11"/>
              <w:jc w:val="center"/>
              <w:rPr>
                <w:noProof/>
              </w:rPr>
            </w:pPr>
            <w:r>
              <w:rPr>
                <w:noProof/>
              </w:rPr>
              <w:t>JIH NI</w:t>
            </w:r>
          </w:p>
        </w:tc>
        <w:tc>
          <w:tcPr>
            <w:tcW w:w="332" w:type="pct"/>
            <w:shd w:val="clear" w:color="auto" w:fill="C6EFCE"/>
            <w:noWrap/>
            <w:vAlign w:val="center"/>
          </w:tcPr>
          <w:p w14:paraId="6C13ADEF" w14:textId="77777777" w:rsidR="00154E32" w:rsidRDefault="00A43E04">
            <w:pPr>
              <w:pStyle w:val="P68B1DB1-Normal11"/>
              <w:jc w:val="center"/>
              <w:rPr>
                <w:noProof/>
              </w:rPr>
            </w:pPr>
            <w:r>
              <w:rPr>
                <w:noProof/>
              </w:rPr>
              <w:t>Q2</w:t>
            </w:r>
          </w:p>
        </w:tc>
        <w:tc>
          <w:tcPr>
            <w:tcW w:w="220" w:type="pct"/>
            <w:shd w:val="clear" w:color="auto" w:fill="C6EFCE"/>
            <w:noWrap/>
            <w:vAlign w:val="center"/>
          </w:tcPr>
          <w:p w14:paraId="4A04A71B" w14:textId="77777777" w:rsidR="00154E32" w:rsidRDefault="00A43E04">
            <w:pPr>
              <w:pStyle w:val="P68B1DB1-Normal11"/>
              <w:jc w:val="center"/>
              <w:rPr>
                <w:noProof/>
              </w:rPr>
            </w:pPr>
            <w:r>
              <w:rPr>
                <w:noProof/>
              </w:rPr>
              <w:t>2022</w:t>
            </w:r>
          </w:p>
        </w:tc>
        <w:tc>
          <w:tcPr>
            <w:tcW w:w="1047" w:type="pct"/>
            <w:shd w:val="clear" w:color="auto" w:fill="C6EFCE"/>
            <w:noWrap/>
            <w:vAlign w:val="center"/>
          </w:tcPr>
          <w:p w14:paraId="2F8B8543" w14:textId="77777777" w:rsidR="00154E32" w:rsidRDefault="00A43E04">
            <w:pPr>
              <w:pStyle w:val="P68B1DB1-Normal11"/>
              <w:rPr>
                <w:noProof/>
              </w:rPr>
            </w:pPr>
            <w:r>
              <w:rPr>
                <w:noProof/>
              </w:rPr>
              <w:t>Z odlokom ministrstva za kulturo se občinam dodelijo sredstva za privlačnost majhnih zgodovinskih mest.</w:t>
            </w:r>
          </w:p>
          <w:p w14:paraId="168415A3" w14:textId="77777777" w:rsidR="00154E32" w:rsidRDefault="00154E32">
            <w:pPr>
              <w:rPr>
                <w:rFonts w:ascii="Arial Narrow" w:hAnsi="Arial Narrow"/>
                <w:noProof/>
                <w:color w:val="006100"/>
                <w:sz w:val="20"/>
              </w:rPr>
            </w:pPr>
          </w:p>
          <w:p w14:paraId="643ECDD4" w14:textId="77777777" w:rsidR="00154E32" w:rsidRDefault="00A43E04">
            <w:pPr>
              <w:pStyle w:val="P68B1DB1-Normal11"/>
              <w:rPr>
                <w:noProof/>
              </w:rPr>
            </w:pPr>
            <w:r>
              <w:rPr>
                <w:noProof/>
              </w:rPr>
              <w:t>Občine, ki sodelujejo pri povečanju privlačnosti majhnih zgodovinskih mest, se nanašajo na 250 občin/vasov, ki so ministrstvu za kulturo posredovale intervencijske programe.</w:t>
            </w:r>
          </w:p>
          <w:p w14:paraId="586B2005" w14:textId="77777777" w:rsidR="00154E32" w:rsidRDefault="00154E32">
            <w:pPr>
              <w:rPr>
                <w:rFonts w:ascii="Arial Narrow" w:hAnsi="Arial Narrow"/>
                <w:noProof/>
                <w:color w:val="006100"/>
                <w:sz w:val="20"/>
              </w:rPr>
            </w:pPr>
          </w:p>
          <w:p w14:paraId="20B85023" w14:textId="500DCE05" w:rsidR="00154E32" w:rsidRDefault="00A43E04">
            <w:pPr>
              <w:pStyle w:val="P68B1DB1-Normal12"/>
              <w:rPr>
                <w:rFonts w:ascii="Arial Narrow" w:hAnsi="Arial Narrow"/>
                <w:noProof/>
              </w:rPr>
            </w:pPr>
            <w:r>
              <w:rPr>
                <w:rFonts w:ascii="Arial Narrow" w:hAnsi="Arial Narrow"/>
                <w:noProof/>
              </w:rPr>
              <w:t>Merila za izbor 250 vasi (Inv. 2.1) si delijo MiC, regije, ANCI in notranja območja, ki: predhodno opredelijo teritorialna območja, upravičena do (Inv2.1) zaradi dopolnjevanja med različnimi programi. Nato se vasi izberejo na podlagi a) ozemeljskih, ekonomskih in socialnih meril (statistični kazalniki), b) zmožnosti projekta, da vpliva na turistično privlačnost in poveča kulturno udeležbo. Statistični kazalniki, ki se upoštevajo, so: demografska velikost (občine s pojavnim oknom) &amp;</w:t>
            </w:r>
            <w:r>
              <w:rPr>
                <w:noProof/>
              </w:rPr>
              <w:t xml:space="preserve"> </w:t>
            </w:r>
            <w:r>
              <w:rPr>
                <w:rFonts w:ascii="Arial Narrow" w:hAnsi="Arial Narrow"/>
                <w:noProof/>
              </w:rPr>
              <w:t>5000 inhab.) in trend; turistični tokovi, obiskovalci muzejev; skladnost turistične ponudbe (hoteli in drugi hoteli, B&amp;B, sobe in najemna nastanitev); demografski trend v občini; stopnjo kulturnega udejstvovanja prebivalstva; skladnost kulturnih, ustvarjalnih in turističnih podjetij (pridobitnih in neprofitnih) ter z njimi povezanih zaposlenih.</w:t>
            </w:r>
          </w:p>
          <w:p w14:paraId="59E70CE7" w14:textId="77777777" w:rsidR="00154E32" w:rsidRDefault="00A43E04">
            <w:pPr>
              <w:pStyle w:val="P68B1DB1-Normal11"/>
              <w:rPr>
                <w:noProof/>
              </w:rPr>
            </w:pPr>
            <w:r>
              <w:rPr>
                <w:noProof/>
              </w:rPr>
              <w:t xml:space="preserve">Oddaja naročil projektom, izbranim v okviru konkurenčnih razpisov za zbiranje predlogov, vključuje naslednje: </w:t>
            </w:r>
          </w:p>
          <w:p w14:paraId="0FE6F0FB" w14:textId="3CA5726E" w:rsidR="00154E32" w:rsidRDefault="00A43E04">
            <w:pPr>
              <w:pStyle w:val="P68B1DB1-Normal11"/>
              <w:rPr>
                <w:noProof/>
              </w:rPr>
            </w:pPr>
            <w:r>
              <w:rPr>
                <w:noProof/>
              </w:rPr>
              <w:t xml:space="preserve">merila za upravičenost, ki zagotavljajo, da so izbrani projekti skladni s tehničnimi smernicami, da se ne škoduje bistveno (2021/C58/01), z uporabo seznama za izključitev in zahtevo po skladnosti z ustrezno okoljsko zakonodajo EU in nacionalno okoljsko zakonodajo. </w:t>
            </w:r>
          </w:p>
          <w:p w14:paraId="29B798B7" w14:textId="77777777" w:rsidR="00154E32" w:rsidRDefault="00A43E04">
            <w:pPr>
              <w:pStyle w:val="P68B1DB1-Normal11"/>
              <w:rPr>
                <w:noProof/>
              </w:rPr>
            </w:pPr>
            <w:r>
              <w:rPr>
                <w:noProof/>
              </w:rPr>
              <w:t xml:space="preserve">b) zaveza, da bo podnebni prispevek naložbe v skladu z metodologijo iz Priloge VI k Uredbi (EU) 2021/241 predstavljal vsaj 25 % skupnih stroškov naložbe, ki jo podpira mehanizem za okrevanje in odpornost. </w:t>
            </w:r>
          </w:p>
          <w:p w14:paraId="036A5B8F" w14:textId="77777777" w:rsidR="00154E32" w:rsidRDefault="00A43E04">
            <w:pPr>
              <w:pStyle w:val="P68B1DB1-Normal11"/>
              <w:rPr>
                <w:noProof/>
              </w:rPr>
            </w:pPr>
            <w:r>
              <w:rPr>
                <w:noProof/>
              </w:rPr>
              <w:t>C) zaveza za poročanje o izvajanju ukrepa na polovici trajanja sheme in konca sheme.</w:t>
            </w:r>
          </w:p>
          <w:p w14:paraId="22471D78" w14:textId="77777777" w:rsidR="00154E32" w:rsidRDefault="00154E32">
            <w:pPr>
              <w:rPr>
                <w:rFonts w:ascii="Arial Narrow" w:hAnsi="Arial Narrow"/>
                <w:noProof/>
                <w:color w:val="006100"/>
                <w:sz w:val="20"/>
              </w:rPr>
            </w:pPr>
          </w:p>
        </w:tc>
      </w:tr>
      <w:tr w:rsidR="00154E32" w14:paraId="4B6A81E1" w14:textId="77777777">
        <w:trPr>
          <w:trHeight w:val="313"/>
          <w:jc w:val="center"/>
        </w:trPr>
        <w:tc>
          <w:tcPr>
            <w:tcW w:w="377" w:type="pct"/>
            <w:shd w:val="clear" w:color="auto" w:fill="C6EFCE"/>
            <w:noWrap/>
            <w:vAlign w:val="center"/>
          </w:tcPr>
          <w:p w14:paraId="1536651F" w14:textId="77777777" w:rsidR="00154E32" w:rsidRDefault="00A43E04">
            <w:pPr>
              <w:pStyle w:val="P68B1DB1-Normal11"/>
              <w:jc w:val="center"/>
              <w:rPr>
                <w:noProof/>
              </w:rPr>
            </w:pPr>
            <w:r>
              <w:rPr>
                <w:noProof/>
              </w:rPr>
              <w:t>M1C3–13</w:t>
            </w:r>
          </w:p>
        </w:tc>
        <w:tc>
          <w:tcPr>
            <w:tcW w:w="520" w:type="pct"/>
            <w:shd w:val="clear" w:color="auto" w:fill="C6EFCE"/>
            <w:noWrap/>
            <w:vAlign w:val="center"/>
          </w:tcPr>
          <w:p w14:paraId="62D2126D" w14:textId="77777777" w:rsidR="00154E32" w:rsidRDefault="00A43E04">
            <w:pPr>
              <w:pStyle w:val="P68B1DB1-Normal11"/>
              <w:jc w:val="center"/>
              <w:rPr>
                <w:noProof/>
              </w:rPr>
            </w:pPr>
            <w:r>
              <w:rPr>
                <w:noProof/>
              </w:rPr>
              <w:t>Naložba 2.2 – Zaščita in izboljšanje podeželske arhitekture in krajine</w:t>
            </w:r>
          </w:p>
        </w:tc>
        <w:tc>
          <w:tcPr>
            <w:tcW w:w="378" w:type="pct"/>
            <w:shd w:val="clear" w:color="auto" w:fill="C6EFCE"/>
            <w:noWrap/>
            <w:vAlign w:val="center"/>
          </w:tcPr>
          <w:p w14:paraId="3019DA55" w14:textId="77777777" w:rsidR="00154E32" w:rsidRDefault="00A43E04">
            <w:pPr>
              <w:pStyle w:val="P68B1DB1-Normal11"/>
              <w:jc w:val="center"/>
              <w:rPr>
                <w:noProof/>
              </w:rPr>
            </w:pPr>
            <w:r>
              <w:rPr>
                <w:noProof/>
              </w:rPr>
              <w:t>Mejnik</w:t>
            </w:r>
          </w:p>
        </w:tc>
        <w:tc>
          <w:tcPr>
            <w:tcW w:w="520" w:type="pct"/>
            <w:shd w:val="clear" w:color="auto" w:fill="C6EFCE"/>
            <w:noWrap/>
            <w:vAlign w:val="center"/>
          </w:tcPr>
          <w:p w14:paraId="6AD9B695" w14:textId="77777777" w:rsidR="00154E32" w:rsidRDefault="00A43E04">
            <w:pPr>
              <w:pStyle w:val="P68B1DB1-Normal11"/>
              <w:jc w:val="center"/>
              <w:rPr>
                <w:noProof/>
              </w:rPr>
            </w:pPr>
            <w:r>
              <w:rPr>
                <w:noProof/>
              </w:rPr>
              <w:t>Začetek veljavnosti odloka ministrstva za kulturo o dodelitvi sredstev:</w:t>
            </w:r>
          </w:p>
          <w:p w14:paraId="1EBAE3CE" w14:textId="14A00ED0" w:rsidR="00154E32" w:rsidRDefault="00A43E04">
            <w:pPr>
              <w:pStyle w:val="P68B1DB1-Normal11"/>
              <w:jc w:val="center"/>
              <w:rPr>
                <w:noProof/>
              </w:rPr>
            </w:pPr>
            <w:r>
              <w:rPr>
                <w:noProof/>
              </w:rPr>
              <w:t>za zaščito in krepitev podeželske arhitekture in krajine</w:t>
            </w:r>
          </w:p>
        </w:tc>
        <w:tc>
          <w:tcPr>
            <w:tcW w:w="520" w:type="pct"/>
            <w:shd w:val="clear" w:color="auto" w:fill="C6EFCE"/>
            <w:noWrap/>
            <w:vAlign w:val="center"/>
          </w:tcPr>
          <w:p w14:paraId="02C21621" w14:textId="77777777" w:rsidR="00154E32" w:rsidRDefault="00A43E04">
            <w:pPr>
              <w:pStyle w:val="P68B1DB1-Normal11"/>
              <w:jc w:val="center"/>
              <w:rPr>
                <w:noProof/>
              </w:rPr>
            </w:pPr>
            <w:r>
              <w:rPr>
                <w:noProof/>
              </w:rPr>
              <w:t>Določba odloka o začetku veljavnosti odloka ministrstva za kulturo (MIC) o dodelitvi sredstev</w:t>
            </w:r>
          </w:p>
          <w:p w14:paraId="6AD79D9E" w14:textId="77777777" w:rsidR="00154E32" w:rsidRDefault="00A43E04">
            <w:pPr>
              <w:pStyle w:val="P68B1DB1-Normal11"/>
              <w:jc w:val="center"/>
              <w:rPr>
                <w:noProof/>
              </w:rPr>
            </w:pPr>
            <w:r>
              <w:rPr>
                <w:noProof/>
              </w:rPr>
              <w:t>za zaščito in krepitev podeželske arhitekture in krajine</w:t>
            </w:r>
          </w:p>
        </w:tc>
        <w:tc>
          <w:tcPr>
            <w:tcW w:w="331" w:type="pct"/>
            <w:shd w:val="clear" w:color="auto" w:fill="C6EFCE"/>
            <w:noWrap/>
            <w:vAlign w:val="center"/>
          </w:tcPr>
          <w:p w14:paraId="6CC6A7FD" w14:textId="77777777" w:rsidR="00154E32" w:rsidRDefault="00A43E04">
            <w:pPr>
              <w:pStyle w:val="P68B1DB1-Normal11"/>
              <w:jc w:val="center"/>
              <w:rPr>
                <w:noProof/>
              </w:rPr>
            </w:pPr>
            <w:r>
              <w:rPr>
                <w:noProof/>
              </w:rPr>
              <w:t>JIH NI</w:t>
            </w:r>
          </w:p>
        </w:tc>
        <w:tc>
          <w:tcPr>
            <w:tcW w:w="332" w:type="pct"/>
            <w:shd w:val="clear" w:color="auto" w:fill="C6EFCE"/>
            <w:noWrap/>
            <w:vAlign w:val="center"/>
          </w:tcPr>
          <w:p w14:paraId="1C2793EB" w14:textId="77777777" w:rsidR="00154E32" w:rsidRDefault="00A43E04">
            <w:pPr>
              <w:pStyle w:val="P68B1DB1-Normal11"/>
              <w:jc w:val="center"/>
              <w:rPr>
                <w:noProof/>
              </w:rPr>
            </w:pPr>
            <w:r>
              <w:rPr>
                <w:noProof/>
              </w:rPr>
              <w:t>JIH NI</w:t>
            </w:r>
          </w:p>
        </w:tc>
        <w:tc>
          <w:tcPr>
            <w:tcW w:w="424" w:type="pct"/>
            <w:shd w:val="clear" w:color="auto" w:fill="C6EFCE"/>
            <w:noWrap/>
            <w:vAlign w:val="center"/>
          </w:tcPr>
          <w:p w14:paraId="35624D5A" w14:textId="77777777" w:rsidR="00154E32" w:rsidRDefault="00A43E04">
            <w:pPr>
              <w:pStyle w:val="P68B1DB1-Normal11"/>
              <w:jc w:val="center"/>
              <w:rPr>
                <w:noProof/>
              </w:rPr>
            </w:pPr>
            <w:r>
              <w:rPr>
                <w:noProof/>
              </w:rPr>
              <w:t>JIH NI</w:t>
            </w:r>
          </w:p>
        </w:tc>
        <w:tc>
          <w:tcPr>
            <w:tcW w:w="332" w:type="pct"/>
            <w:shd w:val="clear" w:color="auto" w:fill="C6EFCE"/>
            <w:noWrap/>
            <w:vAlign w:val="center"/>
          </w:tcPr>
          <w:p w14:paraId="173E4B44" w14:textId="77777777" w:rsidR="00154E32" w:rsidRDefault="00A43E04">
            <w:pPr>
              <w:pStyle w:val="P68B1DB1-Normal11"/>
              <w:jc w:val="center"/>
              <w:rPr>
                <w:noProof/>
              </w:rPr>
            </w:pPr>
            <w:r>
              <w:rPr>
                <w:noProof/>
              </w:rPr>
              <w:t>Q2</w:t>
            </w:r>
          </w:p>
        </w:tc>
        <w:tc>
          <w:tcPr>
            <w:tcW w:w="220" w:type="pct"/>
            <w:shd w:val="clear" w:color="auto" w:fill="C6EFCE"/>
            <w:noWrap/>
            <w:vAlign w:val="center"/>
          </w:tcPr>
          <w:p w14:paraId="4BDA33D0" w14:textId="77777777" w:rsidR="00154E32" w:rsidRDefault="00A43E04">
            <w:pPr>
              <w:pStyle w:val="P68B1DB1-Normal11"/>
              <w:jc w:val="center"/>
              <w:rPr>
                <w:noProof/>
              </w:rPr>
            </w:pPr>
            <w:r>
              <w:rPr>
                <w:noProof/>
              </w:rPr>
              <w:t>2022</w:t>
            </w:r>
          </w:p>
        </w:tc>
        <w:tc>
          <w:tcPr>
            <w:tcW w:w="1047" w:type="pct"/>
            <w:shd w:val="clear" w:color="auto" w:fill="C6EFCE"/>
            <w:noWrap/>
            <w:vAlign w:val="center"/>
          </w:tcPr>
          <w:p w14:paraId="0D0290AD" w14:textId="77777777" w:rsidR="00154E32" w:rsidRDefault="00A43E04">
            <w:pPr>
              <w:pStyle w:val="P68B1DB1-Normal11"/>
              <w:rPr>
                <w:noProof/>
              </w:rPr>
            </w:pPr>
            <w:r>
              <w:rPr>
                <w:noProof/>
              </w:rPr>
              <w:t>Z uredbo ministrstva za kulturo se dodelijo sredstva.</w:t>
            </w:r>
          </w:p>
          <w:p w14:paraId="3674F5B8" w14:textId="77777777" w:rsidR="00154E32" w:rsidRDefault="00A43E04">
            <w:pPr>
              <w:pStyle w:val="P68B1DB1-Normal11"/>
              <w:rPr>
                <w:noProof/>
              </w:rPr>
            </w:pPr>
            <w:r>
              <w:rPr>
                <w:noProof/>
              </w:rPr>
              <w:t xml:space="preserve">za zaščito in krepitev podeželske arhitekture in krajine. </w:t>
            </w:r>
          </w:p>
          <w:p w14:paraId="40036883" w14:textId="77777777" w:rsidR="00154E32" w:rsidRDefault="00154E32">
            <w:pPr>
              <w:rPr>
                <w:rFonts w:ascii="Arial Narrow" w:hAnsi="Arial Narrow"/>
                <w:noProof/>
                <w:color w:val="006100"/>
                <w:sz w:val="20"/>
              </w:rPr>
            </w:pPr>
          </w:p>
          <w:p w14:paraId="5DCD4D2B" w14:textId="77777777" w:rsidR="00154E32" w:rsidRDefault="00A43E04">
            <w:pPr>
              <w:pStyle w:val="P68B1DB1-Normal11"/>
              <w:rPr>
                <w:noProof/>
              </w:rPr>
            </w:pPr>
            <w:r>
              <w:rPr>
                <w:noProof/>
              </w:rPr>
              <w:t>Za zaščito in krepitev podeželske arhitekture in krajine (Inv 2.2) se pri izbiri sredstev, ki jih je treba povrniti, daje prednost sposobnosti naložbe, da vpliva na cilje ohranjanja krajinskih vrednosti. Prednost imajo:</w:t>
            </w:r>
          </w:p>
          <w:p w14:paraId="281653D2" w14:textId="77777777" w:rsidR="00154E32" w:rsidRDefault="00A43E04">
            <w:pPr>
              <w:pStyle w:val="P68B1DB1-Normal11"/>
              <w:rPr>
                <w:noProof/>
              </w:rPr>
            </w:pPr>
            <w:r>
              <w:rPr>
                <w:noProof/>
              </w:rPr>
              <w:t>— za sredstva, ki se nahajajo na teritorialnih območjih visoke krajinske vrednosti (sredstva, ki se nahajajo na območjih v interesu krajine ali pomembnega javnega interesa (členi 142–139 DLgs 42/2004), krajine, za katere velja Unescovo priznanje, GIAHS FAO;</w:t>
            </w:r>
          </w:p>
          <w:p w14:paraId="7B9A7A06" w14:textId="77777777" w:rsidR="00154E32" w:rsidRDefault="00A43E04">
            <w:pPr>
              <w:pStyle w:val="P68B1DB1-Normal11"/>
              <w:rPr>
                <w:noProof/>
              </w:rPr>
            </w:pPr>
            <w:r>
              <w:rPr>
                <w:noProof/>
              </w:rPr>
              <w:t>— za sredstva, ki so že na voljo za javno uporabo ali za katere lastnik soglaša, da so dostopna tudi znotraj lokalnih in integriranih vezij in omrežij;</w:t>
            </w:r>
          </w:p>
          <w:p w14:paraId="7048371B" w14:textId="77777777" w:rsidR="00154E32" w:rsidRDefault="00A43E04">
            <w:pPr>
              <w:pStyle w:val="P68B1DB1-Normal11"/>
              <w:rPr>
                <w:noProof/>
              </w:rPr>
            </w:pPr>
            <w:r>
              <w:rPr>
                <w:noProof/>
              </w:rPr>
              <w:t>— za „projekte na površino“, predstavljene po združenih temah, ki lahko učinkoviteje zagotovijo doseganje ciljev obnove krajine;</w:t>
            </w:r>
          </w:p>
          <w:p w14:paraId="1D76FBA0" w14:textId="77777777" w:rsidR="00154E32" w:rsidRDefault="00A43E04">
            <w:pPr>
              <w:pStyle w:val="P68B1DB1-Normal11"/>
              <w:rPr>
                <w:noProof/>
              </w:rPr>
            </w:pPr>
            <w:r>
              <w:rPr>
                <w:noProof/>
              </w:rPr>
              <w:t>— projekti na področjih, ki krepijo povezovanje in sinergije z drugimi kandidati za PNRR, ter druge načrte/projekte teritorialne narave, ki jih podpira nacionalna programska država (ministrstvo za kulturo).</w:t>
            </w:r>
          </w:p>
          <w:p w14:paraId="789FE37E" w14:textId="77777777" w:rsidR="00154E32" w:rsidRDefault="00A43E04">
            <w:pPr>
              <w:pStyle w:val="P68B1DB1-Normal11"/>
              <w:rPr>
                <w:noProof/>
              </w:rPr>
            </w:pPr>
            <w:r>
              <w:rPr>
                <w:noProof/>
              </w:rPr>
              <w:t>Za opredelitev vrst podeželske arhitekture, ki so predmet intervencije, je lahko referenčni odlok MiBAC z dne 6. oktobra 2005 (v okviru izvajanja zakona z dne 24. decembra 2003, n.378 – varstvo in izboljšanje podeželske arhitekture). Merila se lahko predhodno nanašajo na: stanje ohranjenosti premoženja, raven uporabe in vlogo, ki jo imajo ta sredstva v teritorialnem in urbanem okolju.</w:t>
            </w:r>
          </w:p>
          <w:p w14:paraId="28E745B9" w14:textId="77777777" w:rsidR="00154E32" w:rsidRDefault="00A43E04">
            <w:pPr>
              <w:pStyle w:val="P68B1DB1-Normal11"/>
              <w:rPr>
                <w:noProof/>
              </w:rPr>
            </w:pPr>
            <w:r>
              <w:rPr>
                <w:noProof/>
              </w:rPr>
              <w:t>Oddaja naročil projektom, izbranim v okviru konkurenčnih razpisov za zbiranje predlogov, je v skladu s tehničnimi smernicami za uporabo načela, da se ne škoduje bistveno (2021/C58/01), in sicer z uporabo seznama za izključitev in zahtevo po skladnosti z ustrezno okoljsko zakonodajo EU in nacionalno okoljsko zakonodajo.</w:t>
            </w:r>
          </w:p>
        </w:tc>
      </w:tr>
      <w:tr w:rsidR="00154E32" w14:paraId="035461EE" w14:textId="77777777">
        <w:trPr>
          <w:trHeight w:val="313"/>
          <w:jc w:val="center"/>
        </w:trPr>
        <w:tc>
          <w:tcPr>
            <w:tcW w:w="377" w:type="pct"/>
            <w:shd w:val="clear" w:color="auto" w:fill="C6EFCE"/>
            <w:noWrap/>
            <w:vAlign w:val="center"/>
          </w:tcPr>
          <w:p w14:paraId="50056D01" w14:textId="77777777" w:rsidR="00154E32" w:rsidRDefault="00A43E04">
            <w:pPr>
              <w:pStyle w:val="P68B1DB1-Normal11"/>
              <w:jc w:val="center"/>
              <w:rPr>
                <w:noProof/>
              </w:rPr>
            </w:pPr>
            <w:r>
              <w:rPr>
                <w:noProof/>
              </w:rPr>
              <w:t>M1C3–14</w:t>
            </w:r>
          </w:p>
        </w:tc>
        <w:tc>
          <w:tcPr>
            <w:tcW w:w="520" w:type="pct"/>
            <w:shd w:val="clear" w:color="auto" w:fill="C6EFCE"/>
            <w:noWrap/>
            <w:vAlign w:val="center"/>
          </w:tcPr>
          <w:p w14:paraId="7B339826" w14:textId="77777777" w:rsidR="00154E32" w:rsidRDefault="00A43E04">
            <w:pPr>
              <w:pStyle w:val="P68B1DB1-Normal11"/>
              <w:jc w:val="center"/>
              <w:rPr>
                <w:noProof/>
              </w:rPr>
            </w:pPr>
            <w:r>
              <w:rPr>
                <w:noProof/>
              </w:rPr>
              <w:t>Naložba 2.3 – Programi za izboljšanje identitete krajev, parkov in zgodovinskih vrtov</w:t>
            </w:r>
          </w:p>
        </w:tc>
        <w:tc>
          <w:tcPr>
            <w:tcW w:w="378" w:type="pct"/>
            <w:shd w:val="clear" w:color="auto" w:fill="C6EFCE"/>
            <w:noWrap/>
            <w:vAlign w:val="center"/>
          </w:tcPr>
          <w:p w14:paraId="0560F360" w14:textId="77777777" w:rsidR="00154E32" w:rsidRDefault="00A43E04">
            <w:pPr>
              <w:pStyle w:val="P68B1DB1-Normal11"/>
              <w:jc w:val="center"/>
              <w:rPr>
                <w:noProof/>
              </w:rPr>
            </w:pPr>
            <w:r>
              <w:rPr>
                <w:noProof/>
              </w:rPr>
              <w:t>Mejnik</w:t>
            </w:r>
          </w:p>
        </w:tc>
        <w:tc>
          <w:tcPr>
            <w:tcW w:w="520" w:type="pct"/>
            <w:shd w:val="clear" w:color="auto" w:fill="C6EFCE"/>
            <w:noWrap/>
            <w:vAlign w:val="center"/>
          </w:tcPr>
          <w:p w14:paraId="158F76C8" w14:textId="31902F82" w:rsidR="00154E32" w:rsidRDefault="00A43E04">
            <w:pPr>
              <w:pStyle w:val="P68B1DB1-Normal11"/>
              <w:jc w:val="center"/>
              <w:rPr>
                <w:noProof/>
              </w:rPr>
            </w:pPr>
            <w:r>
              <w:rPr>
                <w:noProof/>
              </w:rPr>
              <w:t>Začetek veljavnosti odloka ministrstva za kulturo o dodelitvi sredstev: za projekte za izboljšanje identitete krajev, parkov in zgodovinskih vrtov</w:t>
            </w:r>
          </w:p>
          <w:p w14:paraId="3BCC8723" w14:textId="77777777" w:rsidR="00154E32" w:rsidRDefault="00154E32">
            <w:pPr>
              <w:jc w:val="center"/>
              <w:rPr>
                <w:rFonts w:ascii="Arial Narrow" w:hAnsi="Arial Narrow"/>
                <w:noProof/>
                <w:color w:val="006100"/>
                <w:sz w:val="20"/>
              </w:rPr>
            </w:pPr>
          </w:p>
        </w:tc>
        <w:tc>
          <w:tcPr>
            <w:tcW w:w="520" w:type="pct"/>
            <w:shd w:val="clear" w:color="auto" w:fill="C6EFCE"/>
            <w:noWrap/>
            <w:vAlign w:val="center"/>
          </w:tcPr>
          <w:p w14:paraId="49C58FF1" w14:textId="037B5F14" w:rsidR="00154E32" w:rsidRDefault="00A43E04">
            <w:pPr>
              <w:pStyle w:val="P68B1DB1-Normal11"/>
              <w:jc w:val="center"/>
              <w:rPr>
                <w:noProof/>
              </w:rPr>
            </w:pPr>
            <w:r>
              <w:rPr>
                <w:noProof/>
              </w:rPr>
              <w:t>Določba uredbe o začetku veljavnosti odloka ministrstva za kulturo o dodelitvi sredstev za projekte za izboljšanje identitete krajev, parkov in zgodovinskih vrtov</w:t>
            </w:r>
          </w:p>
        </w:tc>
        <w:tc>
          <w:tcPr>
            <w:tcW w:w="331" w:type="pct"/>
            <w:shd w:val="clear" w:color="auto" w:fill="C6EFCE"/>
            <w:noWrap/>
            <w:vAlign w:val="center"/>
          </w:tcPr>
          <w:p w14:paraId="3B2FF627" w14:textId="77777777" w:rsidR="00154E32" w:rsidRDefault="00A43E04">
            <w:pPr>
              <w:pStyle w:val="P68B1DB1-Normal11"/>
              <w:jc w:val="center"/>
              <w:rPr>
                <w:noProof/>
              </w:rPr>
            </w:pPr>
            <w:r>
              <w:rPr>
                <w:noProof/>
              </w:rPr>
              <w:t>JIH NI</w:t>
            </w:r>
          </w:p>
        </w:tc>
        <w:tc>
          <w:tcPr>
            <w:tcW w:w="332" w:type="pct"/>
            <w:shd w:val="clear" w:color="auto" w:fill="C6EFCE"/>
            <w:noWrap/>
            <w:vAlign w:val="center"/>
          </w:tcPr>
          <w:p w14:paraId="3A031BB2" w14:textId="77777777" w:rsidR="00154E32" w:rsidRDefault="00A43E04">
            <w:pPr>
              <w:pStyle w:val="P68B1DB1-Normal11"/>
              <w:jc w:val="center"/>
              <w:rPr>
                <w:noProof/>
              </w:rPr>
            </w:pPr>
            <w:r>
              <w:rPr>
                <w:noProof/>
              </w:rPr>
              <w:t>JIH NI</w:t>
            </w:r>
          </w:p>
        </w:tc>
        <w:tc>
          <w:tcPr>
            <w:tcW w:w="424" w:type="pct"/>
            <w:shd w:val="clear" w:color="auto" w:fill="C6EFCE"/>
            <w:noWrap/>
            <w:vAlign w:val="center"/>
          </w:tcPr>
          <w:p w14:paraId="244A5A3A" w14:textId="77777777" w:rsidR="00154E32" w:rsidRDefault="00A43E04">
            <w:pPr>
              <w:pStyle w:val="P68B1DB1-Normal11"/>
              <w:jc w:val="center"/>
              <w:rPr>
                <w:noProof/>
              </w:rPr>
            </w:pPr>
            <w:r>
              <w:rPr>
                <w:noProof/>
              </w:rPr>
              <w:t>JIH NI</w:t>
            </w:r>
          </w:p>
        </w:tc>
        <w:tc>
          <w:tcPr>
            <w:tcW w:w="332" w:type="pct"/>
            <w:shd w:val="clear" w:color="auto" w:fill="C6EFCE"/>
            <w:noWrap/>
            <w:vAlign w:val="center"/>
          </w:tcPr>
          <w:p w14:paraId="53741F63" w14:textId="77777777" w:rsidR="00154E32" w:rsidRDefault="00A43E04">
            <w:pPr>
              <w:pStyle w:val="P68B1DB1-Normal11"/>
              <w:jc w:val="center"/>
              <w:rPr>
                <w:noProof/>
              </w:rPr>
            </w:pPr>
            <w:r>
              <w:rPr>
                <w:noProof/>
              </w:rPr>
              <w:t>Q2</w:t>
            </w:r>
          </w:p>
        </w:tc>
        <w:tc>
          <w:tcPr>
            <w:tcW w:w="220" w:type="pct"/>
            <w:shd w:val="clear" w:color="auto" w:fill="C6EFCE"/>
            <w:noWrap/>
            <w:vAlign w:val="center"/>
          </w:tcPr>
          <w:p w14:paraId="28E4FB46" w14:textId="77777777" w:rsidR="00154E32" w:rsidRDefault="00A43E04">
            <w:pPr>
              <w:pStyle w:val="P68B1DB1-Normal11"/>
              <w:jc w:val="center"/>
              <w:rPr>
                <w:noProof/>
              </w:rPr>
            </w:pPr>
            <w:r>
              <w:rPr>
                <w:noProof/>
              </w:rPr>
              <w:t>2022</w:t>
            </w:r>
          </w:p>
        </w:tc>
        <w:tc>
          <w:tcPr>
            <w:tcW w:w="1047" w:type="pct"/>
            <w:shd w:val="clear" w:color="auto" w:fill="C6EFCE"/>
            <w:noWrap/>
            <w:vAlign w:val="center"/>
          </w:tcPr>
          <w:p w14:paraId="73886BE4" w14:textId="77777777" w:rsidR="00154E32" w:rsidRDefault="00A43E04">
            <w:pPr>
              <w:pStyle w:val="P68B1DB1-Normal11"/>
              <w:rPr>
                <w:noProof/>
              </w:rPr>
            </w:pPr>
            <w:r>
              <w:rPr>
                <w:noProof/>
              </w:rPr>
              <w:t>Uredba ministrstva za kulturo dodeli sredstva pristojnim upravam za projekte za izboljšanje identitete krajev, parkov in zgodovinskih vrtov.</w:t>
            </w:r>
          </w:p>
          <w:p w14:paraId="53A00443" w14:textId="77777777" w:rsidR="00154E32" w:rsidRDefault="00154E32">
            <w:pPr>
              <w:rPr>
                <w:rFonts w:ascii="Arial Narrow" w:hAnsi="Arial Narrow"/>
                <w:noProof/>
                <w:color w:val="006100"/>
                <w:sz w:val="20"/>
              </w:rPr>
            </w:pPr>
          </w:p>
          <w:p w14:paraId="3CD050B0" w14:textId="77777777" w:rsidR="00154E32" w:rsidRDefault="00A43E04">
            <w:pPr>
              <w:pStyle w:val="P68B1DB1-Normal11"/>
              <w:rPr>
                <w:noProof/>
              </w:rPr>
            </w:pPr>
            <w:r>
              <w:rPr>
                <w:noProof/>
              </w:rPr>
              <w:t>Zgodovinski parki in vrtovi (Inv. 2.3) so predmet intervencije izključno zaščitene kulturne dobrine, za katere je bil prijavljen umetniški ali zgodovinski interes. Pripadajo lahko državnemu ministrstvu za kulturo (MiC) in nedržavnemu premoženju. Izbor se opravi na podlagi meril, ki jih določi tehnično-znanstvena usklajevalna skupina, ki jo sestavljajo predstavniki MiC, Univerze, ANCI, sektorskih združenj.</w:t>
            </w:r>
          </w:p>
          <w:p w14:paraId="1EB43B51" w14:textId="77777777" w:rsidR="00154E32" w:rsidRDefault="00A43E04">
            <w:pPr>
              <w:pStyle w:val="P68B1DB1-Normal11"/>
              <w:rPr>
                <w:noProof/>
              </w:rPr>
            </w:pPr>
            <w:r>
              <w:rPr>
                <w:noProof/>
              </w:rPr>
              <w:t>Oddaja naročil projektom, izbranim v okviru konkurenčnih razpisov za zbiranje predlogov, je v skladu s tehničnimi smernicami za uporabo načela, da se ne škoduje bistveno (2021/C58/01), in sicer z uporabo seznama za izključitev in zahtevo po skladnosti z ustrezno okoljsko zakonodajo EU in nacionalno okoljsko zakonodajo.</w:t>
            </w:r>
          </w:p>
        </w:tc>
      </w:tr>
      <w:tr w:rsidR="00154E32" w14:paraId="7A3827F8" w14:textId="77777777">
        <w:trPr>
          <w:trHeight w:val="313"/>
          <w:jc w:val="center"/>
        </w:trPr>
        <w:tc>
          <w:tcPr>
            <w:tcW w:w="377" w:type="pct"/>
            <w:shd w:val="clear" w:color="auto" w:fill="C6EFCE"/>
            <w:noWrap/>
            <w:vAlign w:val="center"/>
          </w:tcPr>
          <w:p w14:paraId="573D9039" w14:textId="77777777" w:rsidR="00154E32" w:rsidRDefault="00A43E04">
            <w:pPr>
              <w:pStyle w:val="P68B1DB1-Normal11"/>
              <w:jc w:val="center"/>
              <w:rPr>
                <w:noProof/>
              </w:rPr>
            </w:pPr>
            <w:r>
              <w:rPr>
                <w:noProof/>
              </w:rPr>
              <w:t>M1C3–15</w:t>
            </w:r>
          </w:p>
        </w:tc>
        <w:tc>
          <w:tcPr>
            <w:tcW w:w="520" w:type="pct"/>
            <w:shd w:val="clear" w:color="auto" w:fill="C6EFCE"/>
            <w:noWrap/>
            <w:vAlign w:val="center"/>
          </w:tcPr>
          <w:p w14:paraId="6FD2AD5A" w14:textId="77777777" w:rsidR="00154E32" w:rsidRDefault="00A43E04">
            <w:pPr>
              <w:pStyle w:val="P68B1DB1-Normal11"/>
              <w:jc w:val="center"/>
              <w:rPr>
                <w:noProof/>
              </w:rPr>
            </w:pPr>
            <w:r>
              <w:rPr>
                <w:noProof/>
              </w:rPr>
              <w:t>Naložba 2.4 – Seizmična varnost verskih objektov, obnova dediščine FEC in zavetišč za umetniška dela</w:t>
            </w:r>
          </w:p>
        </w:tc>
        <w:tc>
          <w:tcPr>
            <w:tcW w:w="378" w:type="pct"/>
            <w:shd w:val="clear" w:color="auto" w:fill="C6EFCE"/>
            <w:noWrap/>
            <w:vAlign w:val="center"/>
          </w:tcPr>
          <w:p w14:paraId="005153F4" w14:textId="77777777" w:rsidR="00154E32" w:rsidRDefault="00A43E04">
            <w:pPr>
              <w:pStyle w:val="P68B1DB1-Normal11"/>
              <w:jc w:val="center"/>
              <w:rPr>
                <w:noProof/>
              </w:rPr>
            </w:pPr>
            <w:r>
              <w:rPr>
                <w:noProof/>
              </w:rPr>
              <w:t>Mejnik</w:t>
            </w:r>
          </w:p>
        </w:tc>
        <w:tc>
          <w:tcPr>
            <w:tcW w:w="520" w:type="pct"/>
            <w:shd w:val="clear" w:color="auto" w:fill="C6EFCE"/>
            <w:noWrap/>
            <w:vAlign w:val="center"/>
          </w:tcPr>
          <w:p w14:paraId="4B0E6DAA" w14:textId="77777777" w:rsidR="00154E32" w:rsidRDefault="00A43E04">
            <w:pPr>
              <w:pStyle w:val="P68B1DB1-Normal11"/>
              <w:jc w:val="center"/>
              <w:rPr>
                <w:noProof/>
              </w:rPr>
            </w:pPr>
            <w:r>
              <w:rPr>
                <w:noProof/>
              </w:rPr>
              <w:t>Začetek veljavnosti odloka ministrstva za kulturo o dodelitvi sredstev:</w:t>
            </w:r>
          </w:p>
          <w:p w14:paraId="0FF7EC1A" w14:textId="32CAA8E1" w:rsidR="00154E32" w:rsidRDefault="00A43E04">
            <w:pPr>
              <w:pStyle w:val="P68B1DB1-Normal11"/>
              <w:jc w:val="center"/>
              <w:rPr>
                <w:noProof/>
              </w:rPr>
            </w:pPr>
            <w:r>
              <w:rPr>
                <w:noProof/>
              </w:rPr>
              <w:t>za seizmično varnost namesto verskih obredov in obnovo kulturne dediščine (Fondo Edifici di Culto)</w:t>
            </w:r>
          </w:p>
        </w:tc>
        <w:tc>
          <w:tcPr>
            <w:tcW w:w="520" w:type="pct"/>
            <w:shd w:val="clear" w:color="auto" w:fill="C6EFCE"/>
            <w:noWrap/>
            <w:vAlign w:val="center"/>
          </w:tcPr>
          <w:p w14:paraId="35295140" w14:textId="2EFB355E" w:rsidR="00154E32" w:rsidRDefault="00A43E04">
            <w:pPr>
              <w:pStyle w:val="P68B1DB1-Normal11"/>
              <w:jc w:val="center"/>
              <w:rPr>
                <w:noProof/>
              </w:rPr>
            </w:pPr>
            <w:r>
              <w:rPr>
                <w:noProof/>
              </w:rPr>
              <w:t>Določba odloka o začetku veljavnosti odloka ministrstva za kulturo o dodelitvi sredstev</w:t>
            </w:r>
          </w:p>
          <w:p w14:paraId="0D1ED9BF" w14:textId="77777777" w:rsidR="00154E32" w:rsidRDefault="00A43E04">
            <w:pPr>
              <w:pStyle w:val="P68B1DB1-Normal11"/>
              <w:jc w:val="center"/>
              <w:rPr>
                <w:noProof/>
              </w:rPr>
            </w:pPr>
            <w:r>
              <w:rPr>
                <w:noProof/>
              </w:rPr>
              <w:t>za seizmično varnost namesto verskih obredov in obnovo kulturne dediščine (Fondo Edifici di Culto)</w:t>
            </w:r>
          </w:p>
        </w:tc>
        <w:tc>
          <w:tcPr>
            <w:tcW w:w="331" w:type="pct"/>
            <w:shd w:val="clear" w:color="auto" w:fill="C6EFCE"/>
            <w:noWrap/>
            <w:vAlign w:val="center"/>
          </w:tcPr>
          <w:p w14:paraId="73943186" w14:textId="77777777" w:rsidR="00154E32" w:rsidRDefault="00A43E04">
            <w:pPr>
              <w:pStyle w:val="P68B1DB1-Normal11"/>
              <w:jc w:val="center"/>
              <w:rPr>
                <w:noProof/>
              </w:rPr>
            </w:pPr>
            <w:r>
              <w:rPr>
                <w:noProof/>
              </w:rPr>
              <w:t>JIH NI</w:t>
            </w:r>
          </w:p>
        </w:tc>
        <w:tc>
          <w:tcPr>
            <w:tcW w:w="332" w:type="pct"/>
            <w:shd w:val="clear" w:color="auto" w:fill="C6EFCE"/>
            <w:noWrap/>
            <w:vAlign w:val="center"/>
          </w:tcPr>
          <w:p w14:paraId="173CEA47" w14:textId="77777777" w:rsidR="00154E32" w:rsidRDefault="00A43E04">
            <w:pPr>
              <w:pStyle w:val="P68B1DB1-Normal11"/>
              <w:jc w:val="center"/>
              <w:rPr>
                <w:noProof/>
              </w:rPr>
            </w:pPr>
            <w:r>
              <w:rPr>
                <w:noProof/>
              </w:rPr>
              <w:t>JIH NI</w:t>
            </w:r>
          </w:p>
        </w:tc>
        <w:tc>
          <w:tcPr>
            <w:tcW w:w="424" w:type="pct"/>
            <w:shd w:val="clear" w:color="auto" w:fill="C6EFCE"/>
            <w:noWrap/>
            <w:vAlign w:val="center"/>
          </w:tcPr>
          <w:p w14:paraId="16F45E5E" w14:textId="77777777" w:rsidR="00154E32" w:rsidRDefault="00A43E04">
            <w:pPr>
              <w:pStyle w:val="P68B1DB1-Normal11"/>
              <w:jc w:val="center"/>
              <w:rPr>
                <w:noProof/>
              </w:rPr>
            </w:pPr>
            <w:r>
              <w:rPr>
                <w:noProof/>
              </w:rPr>
              <w:t>JIH NI</w:t>
            </w:r>
          </w:p>
        </w:tc>
        <w:tc>
          <w:tcPr>
            <w:tcW w:w="332" w:type="pct"/>
            <w:shd w:val="clear" w:color="auto" w:fill="C6EFCE"/>
            <w:noWrap/>
            <w:vAlign w:val="center"/>
          </w:tcPr>
          <w:p w14:paraId="37D4F4F2" w14:textId="77777777" w:rsidR="00154E32" w:rsidRDefault="00A43E04">
            <w:pPr>
              <w:pStyle w:val="P68B1DB1-Normal11"/>
              <w:jc w:val="center"/>
              <w:rPr>
                <w:noProof/>
              </w:rPr>
            </w:pPr>
            <w:r>
              <w:rPr>
                <w:noProof/>
              </w:rPr>
              <w:t>Q2</w:t>
            </w:r>
          </w:p>
        </w:tc>
        <w:tc>
          <w:tcPr>
            <w:tcW w:w="220" w:type="pct"/>
            <w:shd w:val="clear" w:color="auto" w:fill="C6EFCE"/>
            <w:noWrap/>
            <w:vAlign w:val="center"/>
          </w:tcPr>
          <w:p w14:paraId="7FC5B59C" w14:textId="77777777" w:rsidR="00154E32" w:rsidRDefault="00A43E04">
            <w:pPr>
              <w:pStyle w:val="P68B1DB1-Normal11"/>
              <w:jc w:val="center"/>
              <w:rPr>
                <w:noProof/>
              </w:rPr>
            </w:pPr>
            <w:r>
              <w:rPr>
                <w:noProof/>
              </w:rPr>
              <w:t>2022</w:t>
            </w:r>
          </w:p>
        </w:tc>
        <w:tc>
          <w:tcPr>
            <w:tcW w:w="1047" w:type="pct"/>
            <w:shd w:val="clear" w:color="auto" w:fill="C6EFCE"/>
            <w:noWrap/>
            <w:vAlign w:val="center"/>
          </w:tcPr>
          <w:p w14:paraId="5ED52FBC" w14:textId="77777777" w:rsidR="00154E32" w:rsidRDefault="00154E32">
            <w:pPr>
              <w:rPr>
                <w:rFonts w:ascii="Arial Narrow" w:hAnsi="Arial Narrow"/>
                <w:noProof/>
                <w:color w:val="006100"/>
                <w:sz w:val="20"/>
              </w:rPr>
            </w:pPr>
          </w:p>
          <w:p w14:paraId="3395281F" w14:textId="77777777" w:rsidR="00154E32" w:rsidRDefault="00A43E04">
            <w:pPr>
              <w:pStyle w:val="P68B1DB1-Normal11"/>
              <w:rPr>
                <w:noProof/>
              </w:rPr>
            </w:pPr>
            <w:r>
              <w:rPr>
                <w:noProof/>
              </w:rPr>
              <w:t>Odlok ministrstva za kulturo določi izvedbeno enoto ter upravičenost in financiranje stavb, ki so predmet intervencije.</w:t>
            </w:r>
          </w:p>
          <w:p w14:paraId="7C310B85" w14:textId="77777777" w:rsidR="00154E32" w:rsidRDefault="00A43E04">
            <w:pPr>
              <w:pStyle w:val="P68B1DB1-Normal11"/>
              <w:rPr>
                <w:noProof/>
              </w:rPr>
            </w:pPr>
            <w:r>
              <w:rPr>
                <w:noProof/>
              </w:rPr>
              <w:t>in tipologija.</w:t>
            </w:r>
          </w:p>
          <w:p w14:paraId="0093DA7E" w14:textId="77777777" w:rsidR="00154E32" w:rsidRDefault="00154E32">
            <w:pPr>
              <w:rPr>
                <w:rFonts w:ascii="Arial Narrow" w:hAnsi="Arial Narrow"/>
                <w:noProof/>
                <w:color w:val="006100"/>
                <w:sz w:val="20"/>
              </w:rPr>
            </w:pPr>
          </w:p>
          <w:p w14:paraId="4331B9E9" w14:textId="77777777" w:rsidR="00154E32" w:rsidRDefault="00A43E04">
            <w:pPr>
              <w:pStyle w:val="P68B1DB1-Normal11"/>
              <w:rPr>
                <w:noProof/>
              </w:rPr>
            </w:pPr>
            <w:r>
              <w:rPr>
                <w:noProof/>
              </w:rPr>
              <w:t>(INV 2.4) Seizmični preventivni in varnostni ukrepi verskih objektov zadevajo območja, ki jih je prizadelo več potresov, ki so prizadeli italijanske regije od leta 2009 dalje (Abruzzo, Lacij, Marke in Umbrija).</w:t>
            </w:r>
          </w:p>
          <w:p w14:paraId="65B60AF1" w14:textId="77777777" w:rsidR="00154E32" w:rsidRDefault="00A43E04">
            <w:pPr>
              <w:pStyle w:val="P68B1DB1-Normal11"/>
              <w:rPr>
                <w:noProof/>
              </w:rPr>
            </w:pPr>
            <w:r>
              <w:rPr>
                <w:noProof/>
              </w:rPr>
              <w:t>Posegi FEC (Fondo Edifici di Culto) se izberejo na podlagi stanja ohranjanja premoženja dediščine FEC (Fondo Edifici di Culto).</w:t>
            </w:r>
          </w:p>
          <w:p w14:paraId="13CEA90E" w14:textId="77777777" w:rsidR="00154E32" w:rsidRDefault="00A43E04">
            <w:pPr>
              <w:pStyle w:val="P68B1DB1-Normal11"/>
              <w:rPr>
                <w:noProof/>
              </w:rPr>
            </w:pPr>
            <w:r>
              <w:rPr>
                <w:noProof/>
              </w:rPr>
              <w:t>Oddaja naročil projektom, izbranim v okviru konkurenčnih razpisov za zbiranje predlogov, je v skladu s tehničnimi smernicami za uporabo načela, da se ne škoduje bistveno (2021/C58/01), in sicer z uporabo seznama za izključitev in zahtevo po skladnosti z ustrezno okoljsko zakonodajo EU in nacionalno okoljsko zakonodajo.</w:t>
            </w:r>
          </w:p>
        </w:tc>
      </w:tr>
      <w:tr w:rsidR="00154E32" w14:paraId="48425214" w14:textId="77777777">
        <w:trPr>
          <w:trHeight w:val="313"/>
          <w:jc w:val="center"/>
        </w:trPr>
        <w:tc>
          <w:tcPr>
            <w:tcW w:w="377" w:type="pct"/>
            <w:shd w:val="clear" w:color="auto" w:fill="C6EFCE"/>
            <w:noWrap/>
            <w:vAlign w:val="center"/>
            <w:hideMark/>
          </w:tcPr>
          <w:p w14:paraId="57624389" w14:textId="77777777" w:rsidR="00154E32" w:rsidRDefault="00A43E04">
            <w:pPr>
              <w:pStyle w:val="P68B1DB1-Normal11"/>
              <w:jc w:val="center"/>
              <w:rPr>
                <w:noProof/>
              </w:rPr>
            </w:pPr>
            <w:r>
              <w:rPr>
                <w:noProof/>
              </w:rPr>
              <w:t>M1C3–16</w:t>
            </w:r>
          </w:p>
        </w:tc>
        <w:tc>
          <w:tcPr>
            <w:tcW w:w="520" w:type="pct"/>
            <w:shd w:val="clear" w:color="auto" w:fill="C6EFCE"/>
            <w:noWrap/>
            <w:vAlign w:val="center"/>
          </w:tcPr>
          <w:p w14:paraId="6FC5D514" w14:textId="77777777" w:rsidR="00154E32" w:rsidRDefault="00A43E04">
            <w:pPr>
              <w:pStyle w:val="P68B1DB1-Normal11"/>
              <w:jc w:val="center"/>
              <w:rPr>
                <w:noProof/>
              </w:rPr>
            </w:pPr>
            <w:r>
              <w:rPr>
                <w:noProof/>
              </w:rPr>
              <w:t>Naložbe – 2.1 Privlačnost majhnih zgodovinskih mest</w:t>
            </w:r>
          </w:p>
        </w:tc>
        <w:tc>
          <w:tcPr>
            <w:tcW w:w="378" w:type="pct"/>
            <w:shd w:val="clear" w:color="auto" w:fill="C6EFCE"/>
            <w:noWrap/>
            <w:vAlign w:val="center"/>
            <w:hideMark/>
          </w:tcPr>
          <w:p w14:paraId="138C5934" w14:textId="77777777" w:rsidR="00154E32" w:rsidRDefault="00A43E04">
            <w:pPr>
              <w:pStyle w:val="P68B1DB1-Normal11"/>
              <w:jc w:val="center"/>
              <w:rPr>
                <w:noProof/>
              </w:rPr>
            </w:pPr>
            <w:r>
              <w:rPr>
                <w:noProof/>
              </w:rPr>
              <w:t>Tarča</w:t>
            </w:r>
          </w:p>
        </w:tc>
        <w:tc>
          <w:tcPr>
            <w:tcW w:w="520" w:type="pct"/>
            <w:shd w:val="clear" w:color="auto" w:fill="C6EFCE"/>
            <w:noWrap/>
            <w:vAlign w:val="center"/>
          </w:tcPr>
          <w:p w14:paraId="0A46D9F7" w14:textId="77777777" w:rsidR="00154E32" w:rsidRDefault="00A43E04">
            <w:pPr>
              <w:pStyle w:val="P68B1DB1-Normal11"/>
              <w:jc w:val="center"/>
              <w:rPr>
                <w:noProof/>
              </w:rPr>
            </w:pPr>
            <w:r>
              <w:rPr>
                <w:noProof/>
              </w:rPr>
              <w:t>Zaključene intervencije za izboljšanje kulturnih ali turističnih znamenitosti</w:t>
            </w:r>
          </w:p>
        </w:tc>
        <w:tc>
          <w:tcPr>
            <w:tcW w:w="520" w:type="pct"/>
            <w:shd w:val="clear" w:color="auto" w:fill="C6EFCE"/>
            <w:noWrap/>
            <w:vAlign w:val="center"/>
            <w:hideMark/>
          </w:tcPr>
          <w:p w14:paraId="5B248370" w14:textId="77777777" w:rsidR="00154E32" w:rsidRDefault="00A43E04">
            <w:pPr>
              <w:pStyle w:val="P68B1DB1-Normal11"/>
              <w:jc w:val="center"/>
              <w:rPr>
                <w:noProof/>
              </w:rPr>
            </w:pPr>
            <w:r>
              <w:rPr>
                <w:noProof/>
              </w:rPr>
              <w:t>JIH NI</w:t>
            </w:r>
          </w:p>
        </w:tc>
        <w:tc>
          <w:tcPr>
            <w:tcW w:w="331" w:type="pct"/>
            <w:shd w:val="clear" w:color="auto" w:fill="C6EFCE"/>
            <w:noWrap/>
            <w:vAlign w:val="center"/>
            <w:hideMark/>
          </w:tcPr>
          <w:p w14:paraId="22D34E0F" w14:textId="77777777" w:rsidR="00154E32" w:rsidRDefault="00A43E04">
            <w:pPr>
              <w:pStyle w:val="P68B1DB1-Normal11"/>
              <w:jc w:val="center"/>
              <w:rPr>
                <w:noProof/>
              </w:rPr>
            </w:pPr>
            <w:r>
              <w:rPr>
                <w:noProof/>
              </w:rPr>
              <w:t>Število</w:t>
            </w:r>
          </w:p>
        </w:tc>
        <w:tc>
          <w:tcPr>
            <w:tcW w:w="332" w:type="pct"/>
            <w:shd w:val="clear" w:color="auto" w:fill="C6EFCE"/>
            <w:noWrap/>
            <w:vAlign w:val="center"/>
          </w:tcPr>
          <w:p w14:paraId="1F665E48" w14:textId="77777777" w:rsidR="00154E32" w:rsidRDefault="00A43E04">
            <w:pPr>
              <w:pStyle w:val="P68B1DB1-Normal11"/>
              <w:jc w:val="center"/>
              <w:rPr>
                <w:noProof/>
              </w:rPr>
            </w:pPr>
            <w:r>
              <w:rPr>
                <w:noProof/>
              </w:rPr>
              <w:t>0</w:t>
            </w:r>
          </w:p>
        </w:tc>
        <w:tc>
          <w:tcPr>
            <w:tcW w:w="424" w:type="pct"/>
            <w:shd w:val="clear" w:color="auto" w:fill="C6EFCE"/>
            <w:noWrap/>
            <w:vAlign w:val="center"/>
          </w:tcPr>
          <w:p w14:paraId="353BB8EA" w14:textId="6EFFB705" w:rsidR="00154E32" w:rsidRDefault="00A43E04">
            <w:pPr>
              <w:pStyle w:val="P68B1DB1-Normal11"/>
              <w:jc w:val="center"/>
              <w:rPr>
                <w:noProof/>
              </w:rPr>
            </w:pPr>
            <w:r>
              <w:rPr>
                <w:noProof/>
              </w:rPr>
              <w:t>1 300</w:t>
            </w:r>
          </w:p>
        </w:tc>
        <w:tc>
          <w:tcPr>
            <w:tcW w:w="332" w:type="pct"/>
            <w:shd w:val="clear" w:color="auto" w:fill="C6EFCE"/>
            <w:noWrap/>
            <w:vAlign w:val="center"/>
            <w:hideMark/>
          </w:tcPr>
          <w:p w14:paraId="4F31AACB" w14:textId="77777777" w:rsidR="00154E32" w:rsidRDefault="00A43E04">
            <w:pPr>
              <w:pStyle w:val="P68B1DB1-Normal11"/>
              <w:jc w:val="center"/>
              <w:rPr>
                <w:noProof/>
              </w:rPr>
            </w:pPr>
            <w:r>
              <w:rPr>
                <w:noProof/>
              </w:rPr>
              <w:t>Q2</w:t>
            </w:r>
          </w:p>
        </w:tc>
        <w:tc>
          <w:tcPr>
            <w:tcW w:w="220" w:type="pct"/>
            <w:shd w:val="clear" w:color="auto" w:fill="C6EFCE"/>
            <w:noWrap/>
            <w:vAlign w:val="center"/>
            <w:hideMark/>
          </w:tcPr>
          <w:p w14:paraId="3F721A05" w14:textId="77777777" w:rsidR="00154E32" w:rsidRDefault="00A43E04">
            <w:pPr>
              <w:pStyle w:val="P68B1DB1-Normal11"/>
              <w:jc w:val="center"/>
              <w:rPr>
                <w:noProof/>
              </w:rPr>
            </w:pPr>
            <w:r>
              <w:rPr>
                <w:noProof/>
              </w:rPr>
              <w:t>2025</w:t>
            </w:r>
          </w:p>
        </w:tc>
        <w:tc>
          <w:tcPr>
            <w:tcW w:w="1047" w:type="pct"/>
            <w:shd w:val="clear" w:color="auto" w:fill="C6EFCE"/>
            <w:noWrap/>
            <w:vAlign w:val="center"/>
            <w:hideMark/>
          </w:tcPr>
          <w:p w14:paraId="175CF75A" w14:textId="262E274D" w:rsidR="00154E32" w:rsidRDefault="00A43E04">
            <w:pPr>
              <w:pStyle w:val="P68B1DB1-Normal12"/>
              <w:rPr>
                <w:rFonts w:ascii="Arial Narrow" w:hAnsi="Arial Narrow"/>
                <w:noProof/>
              </w:rPr>
            </w:pPr>
            <w:r>
              <w:rPr>
                <w:rFonts w:ascii="Arial Narrow" w:hAnsi="Arial Narrow"/>
                <w:noProof/>
              </w:rPr>
              <w:t>Zadovoljivo izpolnjevanje cilja je odvisno tudi od podpore vsaj 1800 MSP</w:t>
            </w:r>
            <w:r>
              <w:rPr>
                <w:noProof/>
              </w:rPr>
              <w:t xml:space="preserve"> </w:t>
            </w:r>
            <w:r>
              <w:rPr>
                <w:rFonts w:ascii="Arial Narrow" w:hAnsi="Arial Narrow"/>
                <w:noProof/>
              </w:rPr>
              <w:t>za projekte v malih zgodovinskih mestih.</w:t>
            </w:r>
          </w:p>
          <w:p w14:paraId="1D4BA36A" w14:textId="77777777" w:rsidR="00154E32" w:rsidRDefault="00154E32">
            <w:pPr>
              <w:rPr>
                <w:rFonts w:ascii="Arial Narrow" w:hAnsi="Arial Narrow"/>
                <w:noProof/>
                <w:color w:val="006100"/>
                <w:sz w:val="20"/>
              </w:rPr>
            </w:pPr>
          </w:p>
          <w:p w14:paraId="79C8CEEE" w14:textId="77777777" w:rsidR="00154E32" w:rsidRDefault="00A43E04">
            <w:pPr>
              <w:pStyle w:val="P68B1DB1-Normal11"/>
              <w:rPr>
                <w:noProof/>
              </w:rPr>
            </w:pPr>
            <w:r>
              <w:rPr>
                <w:noProof/>
              </w:rPr>
              <w:t>Cilj meri število izvedenih posegov za izboljšanje kulturnih in turističnih znamenitosti, kar dokazujejo posamezna potrdila o redni izvedbi (obnova in obnova kulturne dediščine, stavbe, namenjene kulturnim in turističnim storitvam, majhna turistična infrastruktura). To vključuje:</w:t>
            </w:r>
          </w:p>
          <w:p w14:paraId="27B76DDC" w14:textId="77777777" w:rsidR="00154E32" w:rsidRDefault="00A43E04">
            <w:pPr>
              <w:pStyle w:val="P68B1DB1-Normal11"/>
              <w:rPr>
                <w:noProof/>
              </w:rPr>
            </w:pPr>
            <w:r>
              <w:rPr>
                <w:noProof/>
              </w:rPr>
              <w:t>Prilagojena ponovna uporaba ter funkcionalna, strukturna in strojna prenova stavb in javnih prostorov za kulturne storitve (kot so muzeji in knjižnice), izboljšanje energijske učinkovitosti, uporaba alternativnih in obnovljivih virov energije ter odprava ovir, ki omejujejo dostop invalidov.</w:t>
            </w:r>
          </w:p>
          <w:p w14:paraId="42FE4BE4" w14:textId="77777777" w:rsidR="00154E32" w:rsidRDefault="00A43E04">
            <w:pPr>
              <w:pStyle w:val="P68B1DB1-Normal11"/>
              <w:rPr>
                <w:noProof/>
              </w:rPr>
            </w:pPr>
            <w:r>
              <w:rPr>
                <w:noProof/>
              </w:rPr>
              <w:t>—Ohranjanje in valorizacija kulturne dediščine (kot so arheološka, zgodovinsko-umetniška, arhitekturna, demo-etnoantropologija);</w:t>
            </w:r>
          </w:p>
          <w:p w14:paraId="30B241CC" w14:textId="77777777" w:rsidR="00154E32" w:rsidRDefault="00A43E04">
            <w:pPr>
              <w:pStyle w:val="P68B1DB1-Normal11"/>
              <w:rPr>
                <w:noProof/>
              </w:rPr>
            </w:pPr>
            <w:r>
              <w:rPr>
                <w:noProof/>
              </w:rPr>
              <w:t>oblikovanje platform znanja in informacij ter integriranih informacijskih sistemov;</w:t>
            </w:r>
          </w:p>
          <w:p w14:paraId="4192EC07" w14:textId="77777777" w:rsidR="00154E32" w:rsidRDefault="00A43E04">
            <w:pPr>
              <w:pStyle w:val="P68B1DB1-Normal11"/>
              <w:rPr>
                <w:noProof/>
              </w:rPr>
            </w:pPr>
            <w:r>
              <w:rPr>
                <w:noProof/>
              </w:rPr>
              <w:t>—ustvarjanje kulturnih in umetniških dejavnosti, ustvarjanje in spodbujanje kulturnih in tematskih itinerarjev, zgodovinskih itinerarjev, kolesarskih poti in/ali poti za pešce za povezovanje in uporabo krajev v turističnem in kulturnem interesu (kot so muzeji, spomeniki, spomeniki Unesco, knjižnice, arheološka območja ter druge kulturne, verske in umetniške znamenitosti);</w:t>
            </w:r>
          </w:p>
          <w:p w14:paraId="3C7595DF" w14:textId="53A66BF8" w:rsidR="00154E32" w:rsidRDefault="00A43E04">
            <w:pPr>
              <w:pStyle w:val="P68B1DB1-Normal11"/>
              <w:rPr>
                <w:noProof/>
              </w:rPr>
            </w:pPr>
            <w:r>
              <w:rPr>
                <w:noProof/>
              </w:rPr>
              <w:t>— Podpora kulturnim, turističnim, komercialnim, agroživilskim in obrtnim podjetjem.</w:t>
            </w:r>
          </w:p>
          <w:p w14:paraId="060350E0" w14:textId="77777777" w:rsidR="00154E32" w:rsidRDefault="00A43E04">
            <w:pPr>
              <w:pStyle w:val="P68B1DB1-Normal11"/>
              <w:rPr>
                <w:noProof/>
              </w:rPr>
            </w:pPr>
            <w:r>
              <w:rPr>
                <w:noProof/>
              </w:rPr>
              <w:t>37 % intervencij se izvede v manj razvitih regijah.</w:t>
            </w:r>
          </w:p>
        </w:tc>
      </w:tr>
      <w:tr w:rsidR="00154E32" w14:paraId="777F8CD0" w14:textId="77777777">
        <w:trPr>
          <w:trHeight w:val="313"/>
          <w:jc w:val="center"/>
        </w:trPr>
        <w:tc>
          <w:tcPr>
            <w:tcW w:w="377" w:type="pct"/>
            <w:shd w:val="clear" w:color="auto" w:fill="C6EFCE"/>
            <w:noWrap/>
            <w:vAlign w:val="center"/>
            <w:hideMark/>
          </w:tcPr>
          <w:p w14:paraId="3353A5A7" w14:textId="77777777" w:rsidR="00154E32" w:rsidRDefault="00A43E04">
            <w:pPr>
              <w:pStyle w:val="P68B1DB1-Normal11"/>
              <w:jc w:val="center"/>
              <w:rPr>
                <w:noProof/>
              </w:rPr>
            </w:pPr>
            <w:r>
              <w:rPr>
                <w:noProof/>
              </w:rPr>
              <w:t>M1C3–17</w:t>
            </w:r>
          </w:p>
        </w:tc>
        <w:tc>
          <w:tcPr>
            <w:tcW w:w="520" w:type="pct"/>
            <w:shd w:val="clear" w:color="auto" w:fill="C6EFCE"/>
            <w:noWrap/>
            <w:vAlign w:val="center"/>
            <w:hideMark/>
          </w:tcPr>
          <w:p w14:paraId="2B06D016" w14:textId="77777777" w:rsidR="00154E32" w:rsidRDefault="00A43E04">
            <w:pPr>
              <w:pStyle w:val="P68B1DB1-Normal11"/>
              <w:jc w:val="center"/>
              <w:rPr>
                <w:noProof/>
              </w:rPr>
            </w:pPr>
            <w:r>
              <w:rPr>
                <w:noProof/>
              </w:rPr>
              <w:t>Naložbe – 2.2 Zaščita in izboljšanje podeželske arhitekture in krajine</w:t>
            </w:r>
          </w:p>
        </w:tc>
        <w:tc>
          <w:tcPr>
            <w:tcW w:w="378" w:type="pct"/>
            <w:shd w:val="clear" w:color="auto" w:fill="C6EFCE"/>
            <w:noWrap/>
            <w:vAlign w:val="center"/>
            <w:hideMark/>
          </w:tcPr>
          <w:p w14:paraId="3F699C5B" w14:textId="77777777" w:rsidR="00154E32" w:rsidRDefault="00A43E04">
            <w:pPr>
              <w:pStyle w:val="P68B1DB1-Normal11"/>
              <w:jc w:val="center"/>
              <w:rPr>
                <w:noProof/>
              </w:rPr>
            </w:pPr>
            <w:r>
              <w:rPr>
                <w:noProof/>
              </w:rPr>
              <w:t>Tarča</w:t>
            </w:r>
          </w:p>
        </w:tc>
        <w:tc>
          <w:tcPr>
            <w:tcW w:w="520" w:type="pct"/>
            <w:shd w:val="clear" w:color="auto" w:fill="C6EFCE"/>
            <w:noWrap/>
            <w:vAlign w:val="center"/>
            <w:hideMark/>
          </w:tcPr>
          <w:p w14:paraId="51A02A05" w14:textId="77777777" w:rsidR="00154E32" w:rsidRDefault="00A43E04">
            <w:pPr>
              <w:pStyle w:val="P68B1DB1-Normal11"/>
              <w:jc w:val="center"/>
              <w:rPr>
                <w:noProof/>
              </w:rPr>
            </w:pPr>
            <w:r>
              <w:rPr>
                <w:noProof/>
              </w:rPr>
              <w:t>Zaključene intervencije za zaščito in izboljšanje podeželske arhitekture in krajine</w:t>
            </w:r>
          </w:p>
        </w:tc>
        <w:tc>
          <w:tcPr>
            <w:tcW w:w="520" w:type="pct"/>
            <w:shd w:val="clear" w:color="auto" w:fill="C6EFCE"/>
            <w:noWrap/>
            <w:vAlign w:val="center"/>
            <w:hideMark/>
          </w:tcPr>
          <w:p w14:paraId="0878EF4A" w14:textId="77777777" w:rsidR="00154E32" w:rsidRDefault="00A43E04">
            <w:pPr>
              <w:pStyle w:val="P68B1DB1-Normal11"/>
              <w:jc w:val="center"/>
              <w:rPr>
                <w:noProof/>
              </w:rPr>
            </w:pPr>
            <w:r>
              <w:rPr>
                <w:noProof/>
              </w:rPr>
              <w:t>JIH NI</w:t>
            </w:r>
          </w:p>
        </w:tc>
        <w:tc>
          <w:tcPr>
            <w:tcW w:w="331" w:type="pct"/>
            <w:shd w:val="clear" w:color="auto" w:fill="C6EFCE"/>
            <w:noWrap/>
            <w:vAlign w:val="center"/>
            <w:hideMark/>
          </w:tcPr>
          <w:p w14:paraId="2280ABD2" w14:textId="77777777" w:rsidR="00154E32" w:rsidRDefault="00A43E04">
            <w:pPr>
              <w:pStyle w:val="P68B1DB1-Normal11"/>
              <w:jc w:val="center"/>
              <w:rPr>
                <w:noProof/>
              </w:rPr>
            </w:pPr>
            <w:r>
              <w:rPr>
                <w:noProof/>
              </w:rPr>
              <w:t>Število</w:t>
            </w:r>
          </w:p>
        </w:tc>
        <w:tc>
          <w:tcPr>
            <w:tcW w:w="332" w:type="pct"/>
            <w:shd w:val="clear" w:color="auto" w:fill="C6EFCE"/>
            <w:noWrap/>
            <w:vAlign w:val="center"/>
            <w:hideMark/>
          </w:tcPr>
          <w:p w14:paraId="3D4C6B22" w14:textId="77777777" w:rsidR="00154E32" w:rsidRDefault="00A43E04">
            <w:pPr>
              <w:pStyle w:val="P68B1DB1-Normal11"/>
              <w:jc w:val="center"/>
              <w:rPr>
                <w:noProof/>
              </w:rPr>
            </w:pPr>
            <w:r>
              <w:rPr>
                <w:noProof/>
              </w:rPr>
              <w:t>0</w:t>
            </w:r>
          </w:p>
        </w:tc>
        <w:tc>
          <w:tcPr>
            <w:tcW w:w="424" w:type="pct"/>
            <w:shd w:val="clear" w:color="auto" w:fill="C6EFCE"/>
            <w:noWrap/>
            <w:vAlign w:val="center"/>
            <w:hideMark/>
          </w:tcPr>
          <w:p w14:paraId="03672907" w14:textId="6F3810FC" w:rsidR="00154E32" w:rsidRDefault="00A43E04">
            <w:pPr>
              <w:pStyle w:val="P68B1DB1-Normal11"/>
              <w:jc w:val="center"/>
              <w:rPr>
                <w:noProof/>
              </w:rPr>
            </w:pPr>
            <w:r>
              <w:rPr>
                <w:noProof/>
              </w:rPr>
              <w:t>3 000</w:t>
            </w:r>
          </w:p>
        </w:tc>
        <w:tc>
          <w:tcPr>
            <w:tcW w:w="332" w:type="pct"/>
            <w:shd w:val="clear" w:color="auto" w:fill="C6EFCE"/>
            <w:noWrap/>
            <w:vAlign w:val="center"/>
            <w:hideMark/>
          </w:tcPr>
          <w:p w14:paraId="279DA41F" w14:textId="77777777" w:rsidR="00154E32" w:rsidRDefault="00A43E04">
            <w:pPr>
              <w:pStyle w:val="P68B1DB1-Normal11"/>
              <w:jc w:val="center"/>
              <w:rPr>
                <w:noProof/>
              </w:rPr>
            </w:pPr>
            <w:r>
              <w:rPr>
                <w:noProof/>
              </w:rPr>
              <w:t>Q4</w:t>
            </w:r>
          </w:p>
        </w:tc>
        <w:tc>
          <w:tcPr>
            <w:tcW w:w="220" w:type="pct"/>
            <w:shd w:val="clear" w:color="auto" w:fill="C6EFCE"/>
            <w:noWrap/>
            <w:vAlign w:val="center"/>
            <w:hideMark/>
          </w:tcPr>
          <w:p w14:paraId="65AE040A" w14:textId="77777777" w:rsidR="00154E32" w:rsidRDefault="00A43E04">
            <w:pPr>
              <w:pStyle w:val="P68B1DB1-Normal11"/>
              <w:jc w:val="center"/>
              <w:rPr>
                <w:noProof/>
              </w:rPr>
            </w:pPr>
            <w:r>
              <w:rPr>
                <w:noProof/>
              </w:rPr>
              <w:t>2025</w:t>
            </w:r>
          </w:p>
        </w:tc>
        <w:tc>
          <w:tcPr>
            <w:tcW w:w="1047" w:type="pct"/>
            <w:shd w:val="clear" w:color="auto" w:fill="C6EFCE"/>
            <w:noWrap/>
            <w:vAlign w:val="center"/>
            <w:hideMark/>
          </w:tcPr>
          <w:p w14:paraId="5FDDD81C" w14:textId="77777777" w:rsidR="00154E32" w:rsidRDefault="00A43E04">
            <w:pPr>
              <w:pStyle w:val="P68B1DB1-Normal11"/>
              <w:rPr>
                <w:noProof/>
              </w:rPr>
            </w:pPr>
            <w:r>
              <w:rPr>
                <w:noProof/>
              </w:rPr>
              <w:t>Ciljna skupina odkrije skupno število sredstev, ki so predmet zaključenih posegov (kot dokazuje potrdilo o rednem izvajanju del).</w:t>
            </w:r>
          </w:p>
          <w:p w14:paraId="5CB89A43" w14:textId="77777777" w:rsidR="00154E32" w:rsidRDefault="00154E32">
            <w:pPr>
              <w:rPr>
                <w:rFonts w:ascii="Arial Narrow" w:hAnsi="Arial Narrow"/>
                <w:noProof/>
                <w:color w:val="006100"/>
                <w:sz w:val="20"/>
              </w:rPr>
            </w:pPr>
          </w:p>
          <w:p w14:paraId="3102F25A" w14:textId="77777777" w:rsidR="00154E32" w:rsidRDefault="00A43E04">
            <w:pPr>
              <w:pStyle w:val="P68B1DB1-Normal11"/>
              <w:rPr>
                <w:noProof/>
              </w:rPr>
            </w:pPr>
            <w:r>
              <w:rPr>
                <w:noProof/>
              </w:rPr>
              <w:t>Zadovoljivo izpolnjevanje cilja je odvisno tudi od začetka 900 dodatnih del za zaščito in izboljšanje podeželske arhitekture in varstva krajine (kot dokazuje potrdilo o začetku del).</w:t>
            </w:r>
          </w:p>
          <w:p w14:paraId="591843C1" w14:textId="77777777" w:rsidR="00154E32" w:rsidRDefault="00154E32">
            <w:pPr>
              <w:rPr>
                <w:rFonts w:ascii="Arial Narrow" w:hAnsi="Arial Narrow"/>
                <w:noProof/>
                <w:color w:val="006100"/>
                <w:sz w:val="20"/>
              </w:rPr>
            </w:pPr>
          </w:p>
          <w:p w14:paraId="12EC33E2" w14:textId="77777777" w:rsidR="00154E32" w:rsidRDefault="00A43E04">
            <w:pPr>
              <w:pStyle w:val="P68B1DB1-Normal11"/>
              <w:rPr>
                <w:noProof/>
              </w:rPr>
            </w:pPr>
            <w:r>
              <w:rPr>
                <w:noProof/>
              </w:rPr>
              <w:t>Vrsta intervencij, ki jih je treba zaključiti, vključuje:</w:t>
            </w:r>
          </w:p>
          <w:p w14:paraId="0A8F26BE" w14:textId="77777777" w:rsidR="00154E32" w:rsidRDefault="00154E32">
            <w:pPr>
              <w:rPr>
                <w:rFonts w:ascii="Arial Narrow" w:hAnsi="Arial Narrow"/>
                <w:noProof/>
                <w:color w:val="006100"/>
                <w:sz w:val="20"/>
              </w:rPr>
            </w:pPr>
          </w:p>
          <w:p w14:paraId="30CDFEFF" w14:textId="77777777" w:rsidR="00154E32" w:rsidRDefault="00A43E04">
            <w:pPr>
              <w:pStyle w:val="P68B1DB1-Normal11"/>
              <w:rPr>
                <w:noProof/>
              </w:rPr>
            </w:pPr>
            <w:r>
              <w:rPr>
                <w:noProof/>
              </w:rPr>
              <w:t>1. Konservativna obnova in funkcionalna obnova kmetijskih naselij, artefaktov in zgodovinskih podeželskih poslopij, kmetijskih pridelkov zgodovinskega pomena ter značilnih elementov arhitekture in podeželske krajine. Med tehnikami za obnovo in strukturno prilagoditev imajo prednost ekološko združljive rešitve in uporaba alternativnih virov energije.</w:t>
            </w:r>
          </w:p>
          <w:p w14:paraId="69BC4A69" w14:textId="77777777" w:rsidR="00154E32" w:rsidRDefault="00A43E04">
            <w:pPr>
              <w:pStyle w:val="P68B1DB1-Normal11"/>
              <w:rPr>
                <w:noProof/>
              </w:rPr>
            </w:pPr>
            <w:r>
              <w:rPr>
                <w:noProof/>
              </w:rPr>
              <w:t>2. Zaključek popisa podeželske dediščine ter izvajanje nacionalnih in regionalnih informacijskih orodij</w:t>
            </w:r>
          </w:p>
        </w:tc>
      </w:tr>
      <w:tr w:rsidR="00154E32" w14:paraId="32EFDCD9" w14:textId="77777777">
        <w:trPr>
          <w:trHeight w:val="364"/>
          <w:jc w:val="center"/>
        </w:trPr>
        <w:tc>
          <w:tcPr>
            <w:tcW w:w="377" w:type="pct"/>
            <w:shd w:val="clear" w:color="auto" w:fill="C6EFCE"/>
            <w:noWrap/>
            <w:vAlign w:val="center"/>
            <w:hideMark/>
          </w:tcPr>
          <w:p w14:paraId="7349EC43" w14:textId="77777777" w:rsidR="00154E32" w:rsidRDefault="00A43E04">
            <w:pPr>
              <w:pStyle w:val="P68B1DB1-Normal11"/>
              <w:jc w:val="center"/>
              <w:rPr>
                <w:noProof/>
              </w:rPr>
            </w:pPr>
            <w:r>
              <w:rPr>
                <w:noProof/>
              </w:rPr>
              <w:t>M1C3–18</w:t>
            </w:r>
          </w:p>
        </w:tc>
        <w:tc>
          <w:tcPr>
            <w:tcW w:w="520" w:type="pct"/>
            <w:shd w:val="clear" w:color="auto" w:fill="C6EFCE"/>
            <w:noWrap/>
            <w:vAlign w:val="center"/>
            <w:hideMark/>
          </w:tcPr>
          <w:p w14:paraId="75F9CB56" w14:textId="77777777" w:rsidR="00154E32" w:rsidRDefault="00A43E04">
            <w:pPr>
              <w:pStyle w:val="P68B1DB1-Normal11"/>
              <w:jc w:val="center"/>
              <w:rPr>
                <w:noProof/>
              </w:rPr>
            </w:pPr>
            <w:r>
              <w:rPr>
                <w:noProof/>
              </w:rPr>
              <w:t>Naložbe 2.3 Programi za krepitev identitete krajev: parki in zgodovinski vrtovi</w:t>
            </w:r>
          </w:p>
        </w:tc>
        <w:tc>
          <w:tcPr>
            <w:tcW w:w="378" w:type="pct"/>
            <w:shd w:val="clear" w:color="auto" w:fill="C6EFCE"/>
            <w:noWrap/>
            <w:vAlign w:val="center"/>
            <w:hideMark/>
          </w:tcPr>
          <w:p w14:paraId="0AFA8BF8" w14:textId="77777777" w:rsidR="00154E32" w:rsidRDefault="00A43E04">
            <w:pPr>
              <w:pStyle w:val="P68B1DB1-Normal11"/>
              <w:jc w:val="center"/>
              <w:rPr>
                <w:noProof/>
              </w:rPr>
            </w:pPr>
            <w:r>
              <w:rPr>
                <w:noProof/>
              </w:rPr>
              <w:t>Tarča</w:t>
            </w:r>
          </w:p>
        </w:tc>
        <w:tc>
          <w:tcPr>
            <w:tcW w:w="520" w:type="pct"/>
            <w:shd w:val="clear" w:color="auto" w:fill="C6EFCE"/>
            <w:noWrap/>
            <w:vAlign w:val="center"/>
            <w:hideMark/>
          </w:tcPr>
          <w:p w14:paraId="48D867F5" w14:textId="77777777" w:rsidR="00154E32" w:rsidRDefault="00A43E04">
            <w:pPr>
              <w:pStyle w:val="P68B1DB1-Normal11"/>
              <w:jc w:val="center"/>
              <w:rPr>
                <w:noProof/>
              </w:rPr>
            </w:pPr>
            <w:r>
              <w:rPr>
                <w:noProof/>
              </w:rPr>
              <w:t>Število prekvalificiranih parkov in zgodovinskih vrtov</w:t>
            </w:r>
          </w:p>
        </w:tc>
        <w:tc>
          <w:tcPr>
            <w:tcW w:w="520" w:type="pct"/>
            <w:shd w:val="clear" w:color="auto" w:fill="C6EFCE"/>
            <w:noWrap/>
            <w:vAlign w:val="center"/>
            <w:hideMark/>
          </w:tcPr>
          <w:p w14:paraId="28C9E4E4" w14:textId="18EFACE1" w:rsidR="00154E32" w:rsidRDefault="00A43E04">
            <w:pPr>
              <w:pStyle w:val="P68B1DB1-Normal11"/>
              <w:jc w:val="center"/>
              <w:rPr>
                <w:noProof/>
              </w:rPr>
            </w:pPr>
            <w:r>
              <w:rPr>
                <w:noProof/>
              </w:rPr>
              <w:t>JIH NI</w:t>
            </w:r>
          </w:p>
        </w:tc>
        <w:tc>
          <w:tcPr>
            <w:tcW w:w="331" w:type="pct"/>
            <w:shd w:val="clear" w:color="auto" w:fill="C6EFCE"/>
            <w:noWrap/>
            <w:vAlign w:val="center"/>
            <w:hideMark/>
          </w:tcPr>
          <w:p w14:paraId="645EB945" w14:textId="77777777" w:rsidR="00154E32" w:rsidRDefault="00A43E04">
            <w:pPr>
              <w:pStyle w:val="P68B1DB1-Normal11"/>
              <w:jc w:val="center"/>
              <w:rPr>
                <w:noProof/>
              </w:rPr>
            </w:pPr>
            <w:r>
              <w:rPr>
                <w:noProof/>
              </w:rPr>
              <w:t>Število</w:t>
            </w:r>
          </w:p>
        </w:tc>
        <w:tc>
          <w:tcPr>
            <w:tcW w:w="332" w:type="pct"/>
            <w:shd w:val="clear" w:color="auto" w:fill="C6EFCE"/>
            <w:noWrap/>
            <w:vAlign w:val="center"/>
            <w:hideMark/>
          </w:tcPr>
          <w:p w14:paraId="20F67FFC" w14:textId="77777777" w:rsidR="00154E32" w:rsidRDefault="00A43E04">
            <w:pPr>
              <w:pStyle w:val="P68B1DB1-Normal11"/>
              <w:jc w:val="center"/>
              <w:rPr>
                <w:noProof/>
              </w:rPr>
            </w:pPr>
            <w:r>
              <w:rPr>
                <w:noProof/>
              </w:rPr>
              <w:t>0</w:t>
            </w:r>
          </w:p>
        </w:tc>
        <w:tc>
          <w:tcPr>
            <w:tcW w:w="424" w:type="pct"/>
            <w:shd w:val="clear" w:color="auto" w:fill="C6EFCE"/>
            <w:noWrap/>
            <w:vAlign w:val="center"/>
            <w:hideMark/>
          </w:tcPr>
          <w:p w14:paraId="2B9899F3" w14:textId="77777777" w:rsidR="00154E32" w:rsidRDefault="00A43E04">
            <w:pPr>
              <w:pStyle w:val="P68B1DB1-Normal11"/>
              <w:jc w:val="center"/>
              <w:rPr>
                <w:noProof/>
              </w:rPr>
            </w:pPr>
            <w:r>
              <w:rPr>
                <w:noProof/>
              </w:rPr>
              <w:t>40</w:t>
            </w:r>
          </w:p>
        </w:tc>
        <w:tc>
          <w:tcPr>
            <w:tcW w:w="332" w:type="pct"/>
            <w:shd w:val="clear" w:color="auto" w:fill="C6EFCE"/>
            <w:noWrap/>
            <w:vAlign w:val="center"/>
            <w:hideMark/>
          </w:tcPr>
          <w:p w14:paraId="1856C9FC" w14:textId="77777777" w:rsidR="00154E32" w:rsidRDefault="00A43E04">
            <w:pPr>
              <w:pStyle w:val="P68B1DB1-Normal11"/>
              <w:jc w:val="center"/>
              <w:rPr>
                <w:noProof/>
              </w:rPr>
            </w:pPr>
            <w:r>
              <w:rPr>
                <w:noProof/>
              </w:rPr>
              <w:t>Q4</w:t>
            </w:r>
          </w:p>
        </w:tc>
        <w:tc>
          <w:tcPr>
            <w:tcW w:w="220" w:type="pct"/>
            <w:shd w:val="clear" w:color="auto" w:fill="C6EFCE"/>
            <w:noWrap/>
            <w:vAlign w:val="center"/>
            <w:hideMark/>
          </w:tcPr>
          <w:p w14:paraId="548F7FB1" w14:textId="77777777" w:rsidR="00154E32" w:rsidRDefault="00A43E04">
            <w:pPr>
              <w:pStyle w:val="P68B1DB1-Normal11"/>
              <w:jc w:val="center"/>
              <w:rPr>
                <w:noProof/>
              </w:rPr>
            </w:pPr>
            <w:r>
              <w:rPr>
                <w:noProof/>
              </w:rPr>
              <w:t>2025</w:t>
            </w:r>
          </w:p>
        </w:tc>
        <w:tc>
          <w:tcPr>
            <w:tcW w:w="1047" w:type="pct"/>
            <w:shd w:val="clear" w:color="auto" w:fill="C6EFCE"/>
            <w:noWrap/>
            <w:vAlign w:val="center"/>
            <w:hideMark/>
          </w:tcPr>
          <w:p w14:paraId="20229D84" w14:textId="77777777" w:rsidR="00154E32" w:rsidRDefault="00A43E04">
            <w:pPr>
              <w:pStyle w:val="P68B1DB1-Normal11"/>
              <w:rPr>
                <w:noProof/>
              </w:rPr>
            </w:pPr>
            <w:r>
              <w:rPr>
                <w:noProof/>
              </w:rPr>
              <w:t>Kazalnik se nanaša na število prekvalificiranih zgodovinskih parkov in vrtov (kot dokazuje potrdilo o redni izvedbi del).</w:t>
            </w:r>
          </w:p>
          <w:p w14:paraId="6B01A03A" w14:textId="77777777" w:rsidR="00154E32" w:rsidRDefault="00154E32">
            <w:pPr>
              <w:rPr>
                <w:rFonts w:ascii="Arial Narrow" w:hAnsi="Arial Narrow"/>
                <w:noProof/>
                <w:color w:val="006100"/>
                <w:sz w:val="20"/>
              </w:rPr>
            </w:pPr>
          </w:p>
          <w:p w14:paraId="386CB1A7" w14:textId="4A53E707" w:rsidR="00154E32" w:rsidRDefault="00A43E04">
            <w:pPr>
              <w:pStyle w:val="P68B1DB1-Normal12"/>
              <w:rPr>
                <w:rFonts w:ascii="Arial Narrow" w:hAnsi="Arial Narrow"/>
                <w:noProof/>
              </w:rPr>
            </w:pPr>
            <w:r>
              <w:rPr>
                <w:rFonts w:ascii="Arial Narrow" w:hAnsi="Arial Narrow"/>
                <w:noProof/>
              </w:rPr>
              <w:t>Zadovoljivo izpolnjevanje cilja je odvisno tudi od dokončanja dejavnosti usposabljanja vsaj 1260 izvajalcev</w:t>
            </w:r>
            <w:r>
              <w:rPr>
                <w:noProof/>
              </w:rPr>
              <w:t xml:space="preserve"> </w:t>
            </w:r>
            <w:r>
              <w:rPr>
                <w:rFonts w:ascii="Arial Narrow" w:hAnsi="Arial Narrow"/>
                <w:noProof/>
              </w:rPr>
              <w:t>dejavnosti.</w:t>
            </w:r>
          </w:p>
          <w:p w14:paraId="7F0F6412" w14:textId="77777777" w:rsidR="00154E32" w:rsidRDefault="00A43E04">
            <w:pPr>
              <w:pStyle w:val="P68B1DB1-Normal11"/>
              <w:rPr>
                <w:noProof/>
              </w:rPr>
            </w:pPr>
            <w:r>
              <w:rPr>
                <w:noProof/>
              </w:rPr>
              <w:t>Vrsta posegov, ki jih je treba izvesti za zadovoljivo izpolnitev prekvalifikacije parkov in zgodovinskih vrtov, vključuje:</w:t>
            </w:r>
          </w:p>
          <w:p w14:paraId="695E7CEA" w14:textId="77777777" w:rsidR="00154E32" w:rsidRDefault="00A43E04">
            <w:pPr>
              <w:pStyle w:val="P68B1DB1-ListParagraph13"/>
              <w:numPr>
                <w:ilvl w:val="0"/>
                <w:numId w:val="76"/>
              </w:numPr>
              <w:rPr>
                <w:noProof/>
              </w:rPr>
            </w:pPr>
            <w:r>
              <w:rPr>
                <w:noProof/>
              </w:rPr>
              <w:t xml:space="preserve">vzdrževanje/obnova/upravljanje razvoja komponente vegetacije; </w:t>
            </w:r>
          </w:p>
          <w:p w14:paraId="19714FFB" w14:textId="77777777" w:rsidR="00154E32" w:rsidRDefault="00A43E04">
            <w:pPr>
              <w:pStyle w:val="P68B1DB1-ListParagraph13"/>
              <w:numPr>
                <w:ilvl w:val="0"/>
                <w:numId w:val="76"/>
              </w:numPr>
              <w:rPr>
                <w:noProof/>
              </w:rPr>
            </w:pPr>
            <w:r>
              <w:rPr>
                <w:noProof/>
              </w:rPr>
              <w:t xml:space="preserve">obnova sedanjih arhitekturnih in monumentalnih sestavnih delov (kot so majhne zgradbe, avtomati in oprema); </w:t>
            </w:r>
          </w:p>
          <w:p w14:paraId="07E78CF0" w14:textId="77777777" w:rsidR="00154E32" w:rsidRDefault="00A43E04">
            <w:pPr>
              <w:pStyle w:val="P68B1DB1-ListParagraph13"/>
              <w:numPr>
                <w:ilvl w:val="0"/>
                <w:numId w:val="76"/>
              </w:numPr>
              <w:rPr>
                <w:noProof/>
              </w:rPr>
            </w:pPr>
            <w:r>
              <w:rPr>
                <w:noProof/>
              </w:rPr>
              <w:t xml:space="preserve">analizo in optimizacijo sedanjih metod uporabe prostorov, da se omogoči optimalna uporaba, </w:t>
            </w:r>
          </w:p>
          <w:p w14:paraId="52A2FDA0" w14:textId="77777777" w:rsidR="00154E32" w:rsidRDefault="00A43E04">
            <w:pPr>
              <w:pStyle w:val="P68B1DB1-ListParagraph13"/>
              <w:numPr>
                <w:ilvl w:val="0"/>
                <w:numId w:val="76"/>
              </w:numPr>
              <w:rPr>
                <w:noProof/>
              </w:rPr>
            </w:pPr>
            <w:r>
              <w:rPr>
                <w:noProof/>
              </w:rPr>
              <w:t xml:space="preserve">spoštovanje najbolj občutljivih ali najdragocenejših območij; </w:t>
            </w:r>
          </w:p>
          <w:p w14:paraId="68080883" w14:textId="77777777" w:rsidR="00154E32" w:rsidRDefault="00A43E04">
            <w:pPr>
              <w:pStyle w:val="P68B1DB1-ListParagraph13"/>
              <w:numPr>
                <w:ilvl w:val="0"/>
                <w:numId w:val="76"/>
              </w:numPr>
              <w:rPr>
                <w:noProof/>
              </w:rPr>
            </w:pPr>
            <w:r>
              <w:rPr>
                <w:noProof/>
              </w:rPr>
              <w:t xml:space="preserve">ukrepi za zagotovitev dostopnosti za ljudi z zmanjšano funkcionalnostjo, </w:t>
            </w:r>
          </w:p>
          <w:p w14:paraId="6189A945" w14:textId="77777777" w:rsidR="00154E32" w:rsidRDefault="00A43E04">
            <w:pPr>
              <w:pStyle w:val="P68B1DB1-ListParagraph13"/>
              <w:numPr>
                <w:ilvl w:val="0"/>
                <w:numId w:val="76"/>
              </w:numPr>
              <w:rPr>
                <w:noProof/>
              </w:rPr>
            </w:pPr>
            <w:r>
              <w:rPr>
                <w:noProof/>
              </w:rPr>
              <w:t xml:space="preserve">zavarovanje ograjenih prostorov, vstopnih vrat, videonadzornih sistemov; </w:t>
            </w:r>
          </w:p>
          <w:p w14:paraId="3581E9D2" w14:textId="77777777" w:rsidR="00154E32" w:rsidRDefault="00A43E04">
            <w:pPr>
              <w:pStyle w:val="P68B1DB1-ListParagraph13"/>
              <w:numPr>
                <w:ilvl w:val="0"/>
                <w:numId w:val="76"/>
              </w:numPr>
              <w:rPr>
                <w:noProof/>
              </w:rPr>
            </w:pPr>
            <w:r>
              <w:rPr>
                <w:noProof/>
              </w:rPr>
              <w:t xml:space="preserve">vzpostavitev informacijskih orodij (kot so plakati in vodniki) za spodbujanje znanja in zavestne uporabe s strani državljanov; </w:t>
            </w:r>
          </w:p>
          <w:p w14:paraId="3CE832C1" w14:textId="53F3E3F2" w:rsidR="00154E32" w:rsidRDefault="00A43E04">
            <w:pPr>
              <w:pStyle w:val="P68B1DB1-ListParagraph13"/>
              <w:numPr>
                <w:ilvl w:val="0"/>
                <w:numId w:val="76"/>
              </w:numPr>
              <w:rPr>
                <w:noProof/>
              </w:rPr>
            </w:pPr>
            <w:r>
              <w:rPr>
                <w:noProof/>
              </w:rPr>
              <w:t>ukrepi valorizacije za spodbujanje kulturne, izobraževalne in rekreacijske uporabe.</w:t>
            </w:r>
          </w:p>
        </w:tc>
      </w:tr>
      <w:tr w:rsidR="00154E32" w14:paraId="73C99594" w14:textId="77777777">
        <w:trPr>
          <w:trHeight w:val="313"/>
          <w:jc w:val="center"/>
        </w:trPr>
        <w:tc>
          <w:tcPr>
            <w:tcW w:w="377" w:type="pct"/>
            <w:shd w:val="clear" w:color="auto" w:fill="C6EFCE"/>
            <w:noWrap/>
            <w:vAlign w:val="center"/>
            <w:hideMark/>
          </w:tcPr>
          <w:p w14:paraId="36F8364B" w14:textId="77777777" w:rsidR="00154E32" w:rsidRDefault="00A43E04">
            <w:pPr>
              <w:pStyle w:val="P68B1DB1-Normal11"/>
              <w:jc w:val="center"/>
              <w:rPr>
                <w:noProof/>
              </w:rPr>
            </w:pPr>
            <w:r>
              <w:rPr>
                <w:noProof/>
              </w:rPr>
              <w:t>M1C3–19</w:t>
            </w:r>
          </w:p>
        </w:tc>
        <w:tc>
          <w:tcPr>
            <w:tcW w:w="520" w:type="pct"/>
            <w:shd w:val="clear" w:color="auto" w:fill="C6EFCE"/>
            <w:noWrap/>
            <w:vAlign w:val="center"/>
            <w:hideMark/>
          </w:tcPr>
          <w:p w14:paraId="6B479D55" w14:textId="77777777" w:rsidR="00154E32" w:rsidRDefault="00A43E04">
            <w:pPr>
              <w:pStyle w:val="P68B1DB1-Normal11"/>
              <w:jc w:val="center"/>
              <w:rPr>
                <w:noProof/>
              </w:rPr>
            </w:pPr>
            <w:r>
              <w:rPr>
                <w:noProof/>
              </w:rPr>
              <w:t>Naložba – 2.4 Seizmična varnost verskih objektov, obnova dediščine Fondo Edifici di Culto (Fondo Edifici di Culto) in zavetja za umetniška dela (Recovery Art)</w:t>
            </w:r>
          </w:p>
        </w:tc>
        <w:tc>
          <w:tcPr>
            <w:tcW w:w="378" w:type="pct"/>
            <w:shd w:val="clear" w:color="auto" w:fill="C6EFCE"/>
            <w:noWrap/>
            <w:vAlign w:val="center"/>
            <w:hideMark/>
          </w:tcPr>
          <w:p w14:paraId="356BA7A9" w14:textId="77777777" w:rsidR="00154E32" w:rsidRDefault="00A43E04">
            <w:pPr>
              <w:pStyle w:val="P68B1DB1-Normal11"/>
              <w:jc w:val="center"/>
              <w:rPr>
                <w:noProof/>
              </w:rPr>
            </w:pPr>
            <w:r>
              <w:rPr>
                <w:noProof/>
              </w:rPr>
              <w:t>Tarča</w:t>
            </w:r>
          </w:p>
        </w:tc>
        <w:tc>
          <w:tcPr>
            <w:tcW w:w="520" w:type="pct"/>
            <w:shd w:val="clear" w:color="auto" w:fill="C6EFCE"/>
            <w:noWrap/>
            <w:vAlign w:val="center"/>
            <w:hideMark/>
          </w:tcPr>
          <w:p w14:paraId="7E0BD9E1" w14:textId="77777777" w:rsidR="00154E32" w:rsidRDefault="00A43E04">
            <w:pPr>
              <w:pStyle w:val="P68B1DB1-Normal11"/>
              <w:jc w:val="center"/>
              <w:rPr>
                <w:noProof/>
              </w:rPr>
            </w:pPr>
            <w:r>
              <w:rPr>
                <w:noProof/>
              </w:rPr>
              <w:t>Ukrepi za potresno varnost v verskih objektih, obnovo dediščine Fondo Edifici di Culto (Fondo Edifici di Culto) in dokončanih zavetišč za umetniška dela</w:t>
            </w:r>
          </w:p>
        </w:tc>
        <w:tc>
          <w:tcPr>
            <w:tcW w:w="520" w:type="pct"/>
            <w:shd w:val="clear" w:color="auto" w:fill="C6EFCE"/>
            <w:noWrap/>
            <w:vAlign w:val="center"/>
            <w:hideMark/>
          </w:tcPr>
          <w:p w14:paraId="27B284A0" w14:textId="77777777" w:rsidR="00154E32" w:rsidRDefault="00A43E04">
            <w:pPr>
              <w:pStyle w:val="P68B1DB1-Normal11"/>
              <w:jc w:val="center"/>
              <w:rPr>
                <w:noProof/>
              </w:rPr>
            </w:pPr>
            <w:r>
              <w:rPr>
                <w:noProof/>
              </w:rPr>
              <w:t>JIH NI</w:t>
            </w:r>
          </w:p>
        </w:tc>
        <w:tc>
          <w:tcPr>
            <w:tcW w:w="331" w:type="pct"/>
            <w:shd w:val="clear" w:color="auto" w:fill="C6EFCE"/>
            <w:noWrap/>
            <w:vAlign w:val="center"/>
            <w:hideMark/>
          </w:tcPr>
          <w:p w14:paraId="0696B995" w14:textId="77777777" w:rsidR="00154E32" w:rsidRDefault="00A43E04">
            <w:pPr>
              <w:pStyle w:val="P68B1DB1-Normal11"/>
              <w:jc w:val="center"/>
              <w:rPr>
                <w:noProof/>
              </w:rPr>
            </w:pPr>
            <w:r>
              <w:rPr>
                <w:noProof/>
              </w:rPr>
              <w:t>Število</w:t>
            </w:r>
          </w:p>
        </w:tc>
        <w:tc>
          <w:tcPr>
            <w:tcW w:w="332" w:type="pct"/>
            <w:shd w:val="clear" w:color="auto" w:fill="C6EFCE"/>
            <w:noWrap/>
            <w:vAlign w:val="center"/>
            <w:hideMark/>
          </w:tcPr>
          <w:p w14:paraId="5F5A393B" w14:textId="77777777" w:rsidR="00154E32" w:rsidRDefault="00A43E04">
            <w:pPr>
              <w:pStyle w:val="P68B1DB1-Normal11"/>
              <w:jc w:val="center"/>
              <w:rPr>
                <w:noProof/>
              </w:rPr>
            </w:pPr>
            <w:r>
              <w:rPr>
                <w:noProof/>
              </w:rPr>
              <w:t>0</w:t>
            </w:r>
          </w:p>
        </w:tc>
        <w:tc>
          <w:tcPr>
            <w:tcW w:w="424" w:type="pct"/>
            <w:shd w:val="clear" w:color="auto" w:fill="C6EFCE"/>
            <w:noWrap/>
            <w:vAlign w:val="center"/>
            <w:hideMark/>
          </w:tcPr>
          <w:p w14:paraId="23527DCD" w14:textId="77777777" w:rsidR="00154E32" w:rsidRDefault="00A43E04">
            <w:pPr>
              <w:pStyle w:val="P68B1DB1-Normal11"/>
              <w:jc w:val="center"/>
              <w:rPr>
                <w:noProof/>
              </w:rPr>
            </w:pPr>
            <w:r>
              <w:rPr>
                <w:noProof/>
              </w:rPr>
              <w:t>300</w:t>
            </w:r>
          </w:p>
        </w:tc>
        <w:tc>
          <w:tcPr>
            <w:tcW w:w="332" w:type="pct"/>
            <w:shd w:val="clear" w:color="auto" w:fill="C6EFCE"/>
            <w:noWrap/>
            <w:vAlign w:val="center"/>
            <w:hideMark/>
          </w:tcPr>
          <w:p w14:paraId="2EB0F47F" w14:textId="77777777" w:rsidR="00154E32" w:rsidRDefault="00A43E04">
            <w:pPr>
              <w:pStyle w:val="P68B1DB1-Normal11"/>
              <w:jc w:val="center"/>
              <w:rPr>
                <w:noProof/>
              </w:rPr>
            </w:pPr>
            <w:r>
              <w:rPr>
                <w:noProof/>
              </w:rPr>
              <w:t>Q4</w:t>
            </w:r>
          </w:p>
        </w:tc>
        <w:tc>
          <w:tcPr>
            <w:tcW w:w="220" w:type="pct"/>
            <w:shd w:val="clear" w:color="auto" w:fill="C6EFCE"/>
            <w:noWrap/>
            <w:vAlign w:val="center"/>
            <w:hideMark/>
          </w:tcPr>
          <w:p w14:paraId="55A06981" w14:textId="77777777" w:rsidR="00154E32" w:rsidRDefault="00A43E04">
            <w:pPr>
              <w:pStyle w:val="P68B1DB1-Normal11"/>
              <w:jc w:val="center"/>
              <w:rPr>
                <w:noProof/>
              </w:rPr>
            </w:pPr>
            <w:r>
              <w:rPr>
                <w:noProof/>
              </w:rPr>
              <w:t>2025</w:t>
            </w:r>
          </w:p>
        </w:tc>
        <w:tc>
          <w:tcPr>
            <w:tcW w:w="1047" w:type="pct"/>
            <w:shd w:val="clear" w:color="auto" w:fill="C6EFCE"/>
            <w:noWrap/>
            <w:vAlign w:val="center"/>
            <w:hideMark/>
          </w:tcPr>
          <w:p w14:paraId="05FC4AA4" w14:textId="77777777" w:rsidR="00154E32" w:rsidRDefault="00A43E04">
            <w:pPr>
              <w:pStyle w:val="P68B1DB1-Normal11"/>
              <w:rPr>
                <w:noProof/>
              </w:rPr>
            </w:pPr>
            <w:r>
              <w:rPr>
                <w:noProof/>
              </w:rPr>
              <w:t>Cilj meri število intervencij za protipotresno varnost verskih objektov, obnovo Fondo Edifici di Culto (Fondo Edifici di Culto) in dokončano zatočišče za umetniška dela v primeru nesreč (kot dokazuje potrdilo o rednem izvajanju del).</w:t>
            </w:r>
          </w:p>
          <w:p w14:paraId="3AC821B6" w14:textId="77777777" w:rsidR="00154E32" w:rsidRDefault="00A43E04">
            <w:pPr>
              <w:pStyle w:val="P68B1DB1-Normal11"/>
              <w:rPr>
                <w:noProof/>
              </w:rPr>
            </w:pPr>
            <w:r>
              <w:rPr>
                <w:noProof/>
              </w:rPr>
              <w:t xml:space="preserve">Intervencije vključujejo: </w:t>
            </w:r>
          </w:p>
          <w:p w14:paraId="2AC21C6F" w14:textId="4E7C9FC4" w:rsidR="00154E32" w:rsidRDefault="00A43E04">
            <w:pPr>
              <w:pStyle w:val="P68B1DB1-Normal10"/>
              <w:rPr>
                <w:noProof/>
                <w:color w:val="006100"/>
                <w:sz w:val="20"/>
              </w:rPr>
            </w:pPr>
            <w:r>
              <w:rPr>
                <w:noProof/>
                <w:color w:val="006100"/>
                <w:sz w:val="20"/>
              </w:rPr>
              <w:t>(I) preventivnimi protipotresnimi posegi arhitekturnih sredstev za povrnitev obstoječe škode in zaščito kulturne dediščine;</w:t>
            </w:r>
            <w:r>
              <w:rPr>
                <w:noProof/>
              </w:rPr>
              <w:t xml:space="preserve"> </w:t>
            </w:r>
            <w:r>
              <w:rPr>
                <w:noProof/>
              </w:rPr>
              <w:br/>
            </w:r>
            <w:r>
              <w:rPr>
                <w:noProof/>
                <w:color w:val="006100"/>
                <w:sz w:val="20"/>
              </w:rPr>
              <w:t>II) s projektom obnove, členom Ohranjanje, se ustvarijo začasna in zaščitena nahajališča za ohranitev premičnih sredstev v primeru nesreče.</w:t>
            </w:r>
          </w:p>
        </w:tc>
      </w:tr>
      <w:tr w:rsidR="00154E32" w14:paraId="7C234CDF" w14:textId="77777777">
        <w:trPr>
          <w:trHeight w:val="313"/>
          <w:jc w:val="center"/>
        </w:trPr>
        <w:tc>
          <w:tcPr>
            <w:tcW w:w="377" w:type="pct"/>
            <w:shd w:val="clear" w:color="auto" w:fill="C6EFCE"/>
            <w:noWrap/>
            <w:vAlign w:val="center"/>
            <w:hideMark/>
          </w:tcPr>
          <w:p w14:paraId="177C4501" w14:textId="77777777" w:rsidR="00154E32" w:rsidRDefault="00A43E04">
            <w:pPr>
              <w:pStyle w:val="P68B1DB1-Normal11"/>
              <w:jc w:val="center"/>
              <w:rPr>
                <w:noProof/>
              </w:rPr>
            </w:pPr>
            <w:r>
              <w:rPr>
                <w:noProof/>
              </w:rPr>
              <w:t>M1C3–20</w:t>
            </w:r>
          </w:p>
        </w:tc>
        <w:tc>
          <w:tcPr>
            <w:tcW w:w="520" w:type="pct"/>
            <w:shd w:val="clear" w:color="auto" w:fill="C6EFCE"/>
            <w:noWrap/>
            <w:vAlign w:val="center"/>
            <w:hideMark/>
          </w:tcPr>
          <w:p w14:paraId="1570031E" w14:textId="77777777" w:rsidR="00154E32" w:rsidRDefault="00A43E04">
            <w:pPr>
              <w:pStyle w:val="P68B1DB1-Normal11"/>
              <w:jc w:val="center"/>
              <w:rPr>
                <w:noProof/>
              </w:rPr>
            </w:pPr>
            <w:r>
              <w:rPr>
                <w:noProof/>
              </w:rPr>
              <w:t>Naložbe – 3.2 Razvoj filmske industrije (projekt Cinecittà)</w:t>
            </w:r>
          </w:p>
        </w:tc>
        <w:tc>
          <w:tcPr>
            <w:tcW w:w="378" w:type="pct"/>
            <w:shd w:val="clear" w:color="auto" w:fill="C6EFCE"/>
            <w:noWrap/>
            <w:vAlign w:val="center"/>
            <w:hideMark/>
          </w:tcPr>
          <w:p w14:paraId="053461E1" w14:textId="77777777" w:rsidR="00154E32" w:rsidRDefault="00A43E04">
            <w:pPr>
              <w:pStyle w:val="P68B1DB1-Normal11"/>
              <w:jc w:val="center"/>
              <w:rPr>
                <w:noProof/>
              </w:rPr>
            </w:pPr>
            <w:r>
              <w:rPr>
                <w:noProof/>
              </w:rPr>
              <w:t>Mejnik</w:t>
            </w:r>
          </w:p>
        </w:tc>
        <w:tc>
          <w:tcPr>
            <w:tcW w:w="520" w:type="pct"/>
            <w:shd w:val="clear" w:color="auto" w:fill="C6EFCE"/>
            <w:noWrap/>
            <w:vAlign w:val="center"/>
            <w:hideMark/>
          </w:tcPr>
          <w:p w14:paraId="459BAF42" w14:textId="77777777" w:rsidR="00154E32" w:rsidRDefault="00A43E04">
            <w:pPr>
              <w:pStyle w:val="P68B1DB1-Normal11"/>
              <w:jc w:val="center"/>
              <w:rPr>
                <w:noProof/>
              </w:rPr>
            </w:pPr>
            <w:r>
              <w:rPr>
                <w:noProof/>
              </w:rPr>
              <w:t>Podpis pogodb med izvajalcem Cinecittà SPA in družbami v zvezi z gradnjo devetih studiev</w:t>
            </w:r>
          </w:p>
        </w:tc>
        <w:tc>
          <w:tcPr>
            <w:tcW w:w="520" w:type="pct"/>
            <w:shd w:val="clear" w:color="auto" w:fill="C6EFCE"/>
            <w:noWrap/>
            <w:vAlign w:val="center"/>
            <w:hideMark/>
          </w:tcPr>
          <w:p w14:paraId="3CFCEFBC" w14:textId="77777777" w:rsidR="00154E32" w:rsidRDefault="00A43E04">
            <w:pPr>
              <w:pStyle w:val="P68B1DB1-Normal11"/>
              <w:jc w:val="center"/>
              <w:rPr>
                <w:noProof/>
              </w:rPr>
            </w:pPr>
            <w:r>
              <w:rPr>
                <w:noProof/>
              </w:rPr>
              <w:t>Podpis pogodb</w:t>
            </w:r>
          </w:p>
        </w:tc>
        <w:tc>
          <w:tcPr>
            <w:tcW w:w="331" w:type="pct"/>
            <w:shd w:val="clear" w:color="auto" w:fill="C6EFCE"/>
            <w:noWrap/>
            <w:vAlign w:val="center"/>
            <w:hideMark/>
          </w:tcPr>
          <w:p w14:paraId="4E85E4D3" w14:textId="77777777" w:rsidR="00154E32" w:rsidRDefault="00A43E04">
            <w:pPr>
              <w:pStyle w:val="P68B1DB1-Normal11"/>
              <w:spacing w:before="120" w:after="120"/>
              <w:jc w:val="center"/>
              <w:rPr>
                <w:noProof/>
              </w:rPr>
            </w:pPr>
            <w:r>
              <w:rPr>
                <w:noProof/>
              </w:rPr>
              <w:t>JIH NI</w:t>
            </w:r>
          </w:p>
        </w:tc>
        <w:tc>
          <w:tcPr>
            <w:tcW w:w="332" w:type="pct"/>
            <w:shd w:val="clear" w:color="auto" w:fill="C6EFCE"/>
            <w:noWrap/>
            <w:vAlign w:val="center"/>
            <w:hideMark/>
          </w:tcPr>
          <w:p w14:paraId="01A85137" w14:textId="77777777" w:rsidR="00154E32" w:rsidRDefault="00A43E04">
            <w:pPr>
              <w:pStyle w:val="P68B1DB1-Normal11"/>
              <w:jc w:val="center"/>
              <w:rPr>
                <w:noProof/>
              </w:rPr>
            </w:pPr>
            <w:r>
              <w:rPr>
                <w:noProof/>
              </w:rPr>
              <w:t>JIH NI</w:t>
            </w:r>
          </w:p>
        </w:tc>
        <w:tc>
          <w:tcPr>
            <w:tcW w:w="424" w:type="pct"/>
            <w:shd w:val="clear" w:color="auto" w:fill="C6EFCE"/>
            <w:noWrap/>
            <w:vAlign w:val="center"/>
            <w:hideMark/>
          </w:tcPr>
          <w:p w14:paraId="3140674D" w14:textId="77777777" w:rsidR="00154E32" w:rsidRDefault="00A43E04">
            <w:pPr>
              <w:pStyle w:val="P68B1DB1-Normal11"/>
              <w:jc w:val="center"/>
              <w:rPr>
                <w:noProof/>
              </w:rPr>
            </w:pPr>
            <w:r>
              <w:rPr>
                <w:noProof/>
              </w:rPr>
              <w:t>JIH NI</w:t>
            </w:r>
          </w:p>
        </w:tc>
        <w:tc>
          <w:tcPr>
            <w:tcW w:w="332" w:type="pct"/>
            <w:shd w:val="clear" w:color="auto" w:fill="C6EFCE"/>
            <w:noWrap/>
            <w:vAlign w:val="center"/>
            <w:hideMark/>
          </w:tcPr>
          <w:p w14:paraId="0EC7B0EB" w14:textId="77777777" w:rsidR="00154E32" w:rsidRDefault="00A43E04">
            <w:pPr>
              <w:pStyle w:val="P68B1DB1-Normal11"/>
              <w:jc w:val="center"/>
              <w:rPr>
                <w:noProof/>
              </w:rPr>
            </w:pPr>
            <w:r>
              <w:rPr>
                <w:noProof/>
              </w:rPr>
              <w:t>Q2</w:t>
            </w:r>
          </w:p>
        </w:tc>
        <w:tc>
          <w:tcPr>
            <w:tcW w:w="220" w:type="pct"/>
            <w:shd w:val="clear" w:color="auto" w:fill="C6EFCE"/>
            <w:noWrap/>
            <w:vAlign w:val="center"/>
            <w:hideMark/>
          </w:tcPr>
          <w:p w14:paraId="1DDAF257" w14:textId="77777777" w:rsidR="00154E32" w:rsidRDefault="00A43E04">
            <w:pPr>
              <w:pStyle w:val="P68B1DB1-Normal11"/>
              <w:jc w:val="center"/>
              <w:rPr>
                <w:noProof/>
              </w:rPr>
            </w:pPr>
            <w:r>
              <w:rPr>
                <w:noProof/>
              </w:rPr>
              <w:t>2023</w:t>
            </w:r>
          </w:p>
        </w:tc>
        <w:tc>
          <w:tcPr>
            <w:tcW w:w="1047" w:type="pct"/>
            <w:shd w:val="clear" w:color="auto" w:fill="C6EFCE"/>
            <w:noWrap/>
            <w:vAlign w:val="center"/>
            <w:hideMark/>
          </w:tcPr>
          <w:p w14:paraId="738FAFF5" w14:textId="77777777" w:rsidR="00154E32" w:rsidRDefault="00A43E04">
            <w:pPr>
              <w:pStyle w:val="P68B1DB1-Normal11"/>
              <w:rPr>
                <w:noProof/>
              </w:rPr>
            </w:pPr>
            <w:r>
              <w:rPr>
                <w:noProof/>
              </w:rPr>
              <w:t xml:space="preserve">Podpis pogodb med izvajalskim organom, družbo Cinecittà SPA, in podjetji v zvezi z gradnjo devetih studiev. </w:t>
            </w:r>
          </w:p>
          <w:p w14:paraId="6A5E42F9" w14:textId="77777777" w:rsidR="00154E32" w:rsidRDefault="00A43E04">
            <w:pPr>
              <w:pStyle w:val="P68B1DB1-Normal11"/>
              <w:rPr>
                <w:noProof/>
              </w:rPr>
            </w:pPr>
            <w:r>
              <w:rPr>
                <w:noProof/>
              </w:rPr>
              <w:t xml:space="preserve"> </w:t>
            </w:r>
          </w:p>
          <w:p w14:paraId="3D3C4185" w14:textId="77777777" w:rsidR="00154E32" w:rsidRDefault="00A43E04">
            <w:pPr>
              <w:pStyle w:val="P68B1DB1-Normal11"/>
              <w:rPr>
                <w:noProof/>
              </w:rPr>
            </w:pPr>
            <w:r>
              <w:rPr>
                <w:noProof/>
              </w:rPr>
              <w:t>Ta ukrep vključuje gradnjo novih studiev, obnovo obstoječih studiev, naložbe v nove digitalne tehnologije, sisteme in storitve, namenjene krepitvi filmskih studiev Cinecittà, ki jih upravlja družba Cinecittà SPA.</w:t>
            </w:r>
          </w:p>
          <w:p w14:paraId="4BAA56D8" w14:textId="77777777" w:rsidR="00154E32" w:rsidRDefault="00154E32">
            <w:pPr>
              <w:rPr>
                <w:rFonts w:ascii="Arial Narrow" w:hAnsi="Arial Narrow"/>
                <w:noProof/>
                <w:color w:val="006100"/>
                <w:sz w:val="20"/>
              </w:rPr>
            </w:pPr>
          </w:p>
          <w:p w14:paraId="60D279E7" w14:textId="73237D90" w:rsidR="00154E32" w:rsidRDefault="00A43E04">
            <w:pPr>
              <w:pStyle w:val="P68B1DB1-Normal11"/>
              <w:rPr>
                <w:noProof/>
              </w:rPr>
            </w:pPr>
            <w:r>
              <w:rPr>
                <w:noProof/>
              </w:rPr>
              <w:t>Pogodba med izvajalcem Cinecittà SPA in podjetji vsebuje merila za izbor/upravičenost za skladnost s tehničnimi smernicami za nebistveno škodovanje (2021/C58/01) o podprtih sredstvih/dejavnostih in/ali podjetjih.</w:t>
            </w:r>
          </w:p>
          <w:p w14:paraId="059B802B" w14:textId="77777777" w:rsidR="00154E32" w:rsidRDefault="00154E32">
            <w:pPr>
              <w:rPr>
                <w:rFonts w:ascii="Arial Narrow" w:hAnsi="Arial Narrow"/>
                <w:noProof/>
                <w:color w:val="006100"/>
                <w:sz w:val="20"/>
              </w:rPr>
            </w:pPr>
          </w:p>
          <w:p w14:paraId="39909EA7" w14:textId="04E924A2" w:rsidR="00154E32" w:rsidRDefault="00A43E04">
            <w:pPr>
              <w:pStyle w:val="P68B1DB1-Normal11"/>
              <w:rPr>
                <w:noProof/>
              </w:rPr>
            </w:pPr>
            <w:r>
              <w:rPr>
                <w:noProof/>
              </w:rPr>
              <w:t>Zaveza/cilj za naložbe 20 % v sredstva/dejavnosti in/ali podjetja, ki izpolnjujejo merila za izbor za digitalno označevanje, in 70 % z izbirnimi merili za spremljanje podnebnih ukrepov.</w:t>
            </w:r>
          </w:p>
        </w:tc>
      </w:tr>
      <w:tr w:rsidR="00154E32" w14:paraId="7E51AD89" w14:textId="77777777">
        <w:trPr>
          <w:trHeight w:val="313"/>
          <w:jc w:val="center"/>
        </w:trPr>
        <w:tc>
          <w:tcPr>
            <w:tcW w:w="377" w:type="pct"/>
            <w:shd w:val="clear" w:color="auto" w:fill="C6EFCE"/>
            <w:noWrap/>
            <w:vAlign w:val="center"/>
            <w:hideMark/>
          </w:tcPr>
          <w:p w14:paraId="71490FE7" w14:textId="77777777" w:rsidR="00154E32" w:rsidRDefault="00A43E04">
            <w:pPr>
              <w:pStyle w:val="P68B1DB1-Normal11"/>
              <w:jc w:val="center"/>
              <w:rPr>
                <w:noProof/>
              </w:rPr>
            </w:pPr>
            <w:r>
              <w:rPr>
                <w:noProof/>
              </w:rPr>
              <w:t>M1C3–21</w:t>
            </w:r>
          </w:p>
        </w:tc>
        <w:tc>
          <w:tcPr>
            <w:tcW w:w="520" w:type="pct"/>
            <w:shd w:val="clear" w:color="auto" w:fill="C6EFCE"/>
            <w:noWrap/>
            <w:vAlign w:val="center"/>
            <w:hideMark/>
          </w:tcPr>
          <w:p w14:paraId="1AF40BBA" w14:textId="77777777" w:rsidR="00154E32" w:rsidRDefault="00A43E04">
            <w:pPr>
              <w:pStyle w:val="P68B1DB1-Normal11"/>
              <w:jc w:val="center"/>
              <w:rPr>
                <w:noProof/>
              </w:rPr>
            </w:pPr>
            <w:r>
              <w:rPr>
                <w:noProof/>
              </w:rPr>
              <w:t>Naložbe – 3.2 Razvoj filmske industrije (projekt Cinecittà)</w:t>
            </w:r>
          </w:p>
        </w:tc>
        <w:tc>
          <w:tcPr>
            <w:tcW w:w="378" w:type="pct"/>
            <w:shd w:val="clear" w:color="auto" w:fill="C6EFCE"/>
            <w:noWrap/>
            <w:vAlign w:val="center"/>
            <w:hideMark/>
          </w:tcPr>
          <w:p w14:paraId="1F72AD52" w14:textId="77777777" w:rsidR="00154E32" w:rsidRDefault="00A43E04">
            <w:pPr>
              <w:pStyle w:val="P68B1DB1-Normal11"/>
              <w:jc w:val="center"/>
              <w:rPr>
                <w:noProof/>
              </w:rPr>
            </w:pPr>
            <w:r>
              <w:rPr>
                <w:noProof/>
              </w:rPr>
              <w:t>Tarča</w:t>
            </w:r>
          </w:p>
        </w:tc>
        <w:tc>
          <w:tcPr>
            <w:tcW w:w="520" w:type="pct"/>
            <w:shd w:val="clear" w:color="auto" w:fill="C6EFCE"/>
            <w:noWrap/>
            <w:vAlign w:val="center"/>
            <w:hideMark/>
          </w:tcPr>
          <w:p w14:paraId="0D6FF8F6" w14:textId="77777777" w:rsidR="00154E32" w:rsidRDefault="00A43E04">
            <w:pPr>
              <w:pStyle w:val="P68B1DB1-Normal11"/>
              <w:jc w:val="center"/>
              <w:rPr>
                <w:noProof/>
              </w:rPr>
            </w:pPr>
            <w:r>
              <w:rPr>
                <w:noProof/>
              </w:rPr>
              <w:t>Število studiev, katerih dela za prekvalifikacijo, posodobitev in gradnjo so končana</w:t>
            </w:r>
          </w:p>
        </w:tc>
        <w:tc>
          <w:tcPr>
            <w:tcW w:w="520" w:type="pct"/>
            <w:shd w:val="clear" w:color="auto" w:fill="C6EFCE"/>
            <w:noWrap/>
            <w:vAlign w:val="center"/>
            <w:hideMark/>
          </w:tcPr>
          <w:p w14:paraId="1BAEA480" w14:textId="77777777" w:rsidR="00154E32" w:rsidRDefault="00A43E04">
            <w:pPr>
              <w:pStyle w:val="P68B1DB1-Normal11"/>
              <w:jc w:val="center"/>
              <w:rPr>
                <w:noProof/>
              </w:rPr>
            </w:pPr>
            <w:r>
              <w:rPr>
                <w:noProof/>
              </w:rPr>
              <w:t>JIH NI</w:t>
            </w:r>
          </w:p>
        </w:tc>
        <w:tc>
          <w:tcPr>
            <w:tcW w:w="331" w:type="pct"/>
            <w:shd w:val="clear" w:color="auto" w:fill="C6EFCE"/>
            <w:noWrap/>
            <w:vAlign w:val="center"/>
            <w:hideMark/>
          </w:tcPr>
          <w:p w14:paraId="15E97FA5" w14:textId="77777777" w:rsidR="00154E32" w:rsidRDefault="00A43E04">
            <w:pPr>
              <w:pStyle w:val="P68B1DB1-Normal11"/>
              <w:jc w:val="center"/>
              <w:rPr>
                <w:noProof/>
              </w:rPr>
            </w:pPr>
            <w:r>
              <w:rPr>
                <w:noProof/>
              </w:rPr>
              <w:t>Število</w:t>
            </w:r>
          </w:p>
        </w:tc>
        <w:tc>
          <w:tcPr>
            <w:tcW w:w="332" w:type="pct"/>
            <w:shd w:val="clear" w:color="auto" w:fill="C6EFCE"/>
            <w:noWrap/>
            <w:vAlign w:val="center"/>
            <w:hideMark/>
          </w:tcPr>
          <w:p w14:paraId="39D298CF" w14:textId="77777777" w:rsidR="00154E32" w:rsidRDefault="00A43E04">
            <w:pPr>
              <w:pStyle w:val="P68B1DB1-Normal11"/>
              <w:jc w:val="center"/>
              <w:rPr>
                <w:noProof/>
              </w:rPr>
            </w:pPr>
            <w:r>
              <w:rPr>
                <w:noProof/>
              </w:rPr>
              <w:t>0</w:t>
            </w:r>
          </w:p>
        </w:tc>
        <w:tc>
          <w:tcPr>
            <w:tcW w:w="424" w:type="pct"/>
            <w:shd w:val="clear" w:color="auto" w:fill="C6EFCE"/>
            <w:noWrap/>
            <w:vAlign w:val="center"/>
            <w:hideMark/>
          </w:tcPr>
          <w:p w14:paraId="5F3D1C0F" w14:textId="77777777" w:rsidR="00154E32" w:rsidRDefault="00A43E04">
            <w:pPr>
              <w:pStyle w:val="P68B1DB1-Normal11"/>
              <w:jc w:val="center"/>
              <w:rPr>
                <w:noProof/>
              </w:rPr>
            </w:pPr>
            <w:r>
              <w:rPr>
                <w:noProof/>
              </w:rPr>
              <w:t>9</w:t>
            </w:r>
          </w:p>
        </w:tc>
        <w:tc>
          <w:tcPr>
            <w:tcW w:w="332" w:type="pct"/>
            <w:shd w:val="clear" w:color="auto" w:fill="C6EFCE"/>
            <w:noWrap/>
            <w:vAlign w:val="center"/>
            <w:hideMark/>
          </w:tcPr>
          <w:p w14:paraId="466A43A4" w14:textId="77777777" w:rsidR="00154E32" w:rsidRDefault="00A43E04">
            <w:pPr>
              <w:pStyle w:val="P68B1DB1-Normal11"/>
              <w:jc w:val="center"/>
              <w:rPr>
                <w:noProof/>
              </w:rPr>
            </w:pPr>
            <w:r>
              <w:rPr>
                <w:noProof/>
              </w:rPr>
              <w:t>Q2</w:t>
            </w:r>
          </w:p>
        </w:tc>
        <w:tc>
          <w:tcPr>
            <w:tcW w:w="220" w:type="pct"/>
            <w:shd w:val="clear" w:color="auto" w:fill="C6EFCE"/>
            <w:noWrap/>
            <w:vAlign w:val="center"/>
            <w:hideMark/>
          </w:tcPr>
          <w:p w14:paraId="75B1BC66" w14:textId="77777777" w:rsidR="00154E32" w:rsidRDefault="00A43E04">
            <w:pPr>
              <w:pStyle w:val="P68B1DB1-Normal11"/>
              <w:jc w:val="center"/>
              <w:rPr>
                <w:noProof/>
              </w:rPr>
            </w:pPr>
            <w:r>
              <w:rPr>
                <w:noProof/>
              </w:rPr>
              <w:t>2026</w:t>
            </w:r>
          </w:p>
        </w:tc>
        <w:tc>
          <w:tcPr>
            <w:tcW w:w="1047" w:type="pct"/>
            <w:shd w:val="clear" w:color="auto" w:fill="C6EFCE"/>
            <w:noWrap/>
            <w:vAlign w:val="center"/>
            <w:hideMark/>
          </w:tcPr>
          <w:p w14:paraId="3E957C62" w14:textId="77777777" w:rsidR="00154E32" w:rsidRDefault="00A43E04">
            <w:pPr>
              <w:pStyle w:val="P68B1DB1-Normal11"/>
              <w:rPr>
                <w:noProof/>
              </w:rPr>
            </w:pPr>
            <w:r>
              <w:rPr>
                <w:noProof/>
              </w:rPr>
              <w:t xml:space="preserve">Intervencije se nanašajo na </w:t>
            </w:r>
          </w:p>
          <w:p w14:paraId="07D181AA" w14:textId="77777777" w:rsidR="00154E32" w:rsidRDefault="00A43E04">
            <w:pPr>
              <w:pStyle w:val="P68B1DB1-Normal11"/>
              <w:rPr>
                <w:noProof/>
              </w:rPr>
            </w:pPr>
            <w:r>
              <w:rPr>
                <w:noProof/>
              </w:rPr>
              <w:t xml:space="preserve">gradnja petih novih studiev in </w:t>
            </w:r>
          </w:p>
          <w:p w14:paraId="0B6803DE" w14:textId="1628A57A" w:rsidR="00154E32" w:rsidRDefault="00A43E04">
            <w:pPr>
              <w:pStyle w:val="P68B1DB1-Normal11"/>
              <w:rPr>
                <w:noProof/>
              </w:rPr>
            </w:pPr>
            <w:r>
              <w:rPr>
                <w:noProof/>
              </w:rPr>
              <w:t>— prenova štirih obstoječih studiev.</w:t>
            </w:r>
          </w:p>
          <w:p w14:paraId="30691C76" w14:textId="77777777" w:rsidR="00154E32" w:rsidRDefault="00154E32">
            <w:pPr>
              <w:rPr>
                <w:rFonts w:ascii="Arial Narrow" w:hAnsi="Arial Narrow"/>
                <w:noProof/>
                <w:color w:val="006100"/>
                <w:sz w:val="20"/>
              </w:rPr>
            </w:pPr>
          </w:p>
          <w:p w14:paraId="4B75B947" w14:textId="6BB8D151" w:rsidR="00154E32" w:rsidRDefault="00A43E04">
            <w:pPr>
              <w:pStyle w:val="P68B1DB1-Normal11"/>
              <w:rPr>
                <w:noProof/>
              </w:rPr>
            </w:pPr>
            <w:r>
              <w:rPr>
                <w:noProof/>
              </w:rPr>
              <w:t>Zadovoljivo izpolnjevanje cilja je odvisno tudi od dokončanja intervencij, navedenih v vrsticah B in C v opisu ukrepa.</w:t>
            </w:r>
          </w:p>
        </w:tc>
      </w:tr>
      <w:tr w:rsidR="00154E32" w14:paraId="390116B2" w14:textId="77777777">
        <w:trPr>
          <w:trHeight w:val="313"/>
          <w:jc w:val="center"/>
        </w:trPr>
        <w:tc>
          <w:tcPr>
            <w:tcW w:w="377" w:type="pct"/>
            <w:shd w:val="clear" w:color="auto" w:fill="C6EFCE"/>
            <w:noWrap/>
            <w:vAlign w:val="center"/>
          </w:tcPr>
          <w:p w14:paraId="1E7B4B52" w14:textId="77777777" w:rsidR="00154E32" w:rsidRDefault="00A43E04">
            <w:pPr>
              <w:pStyle w:val="P68B1DB1-Normal11"/>
              <w:jc w:val="center"/>
              <w:rPr>
                <w:noProof/>
              </w:rPr>
            </w:pPr>
            <w:r>
              <w:rPr>
                <w:noProof/>
              </w:rPr>
              <w:t>M1C3–22</w:t>
            </w:r>
          </w:p>
        </w:tc>
        <w:tc>
          <w:tcPr>
            <w:tcW w:w="520" w:type="pct"/>
            <w:shd w:val="clear" w:color="auto" w:fill="C6EFCE"/>
            <w:noWrap/>
            <w:vAlign w:val="center"/>
          </w:tcPr>
          <w:p w14:paraId="149ABAB8" w14:textId="74CCAC5C" w:rsidR="00154E32" w:rsidRDefault="00A43E04">
            <w:pPr>
              <w:pStyle w:val="P68B1DB1-Normal11"/>
              <w:jc w:val="center"/>
              <w:rPr>
                <w:noProof/>
              </w:rPr>
            </w:pPr>
            <w:r>
              <w:rPr>
                <w:noProof/>
              </w:rPr>
              <w:t>Naložba 4.2 Skladi za konkurenčnost turističnega podjetja</w:t>
            </w:r>
          </w:p>
        </w:tc>
        <w:tc>
          <w:tcPr>
            <w:tcW w:w="378" w:type="pct"/>
            <w:shd w:val="clear" w:color="auto" w:fill="C6EFCE"/>
            <w:noWrap/>
            <w:vAlign w:val="center"/>
          </w:tcPr>
          <w:p w14:paraId="0EF9F1CC" w14:textId="77777777" w:rsidR="00154E32" w:rsidRDefault="00A43E04">
            <w:pPr>
              <w:pStyle w:val="P68B1DB1-Normal11"/>
              <w:jc w:val="center"/>
              <w:rPr>
                <w:noProof/>
              </w:rPr>
            </w:pPr>
            <w:r>
              <w:rPr>
                <w:noProof/>
              </w:rPr>
              <w:t>Mejnik</w:t>
            </w:r>
          </w:p>
        </w:tc>
        <w:tc>
          <w:tcPr>
            <w:tcW w:w="520" w:type="pct"/>
            <w:shd w:val="clear" w:color="auto" w:fill="C6EFCE"/>
            <w:noWrap/>
            <w:vAlign w:val="center"/>
          </w:tcPr>
          <w:p w14:paraId="25BDE77E" w14:textId="77777777" w:rsidR="00154E32" w:rsidRDefault="00A43E04">
            <w:pPr>
              <w:pStyle w:val="P68B1DB1-Normal11"/>
              <w:jc w:val="center"/>
              <w:rPr>
                <w:noProof/>
              </w:rPr>
            </w:pPr>
            <w:r>
              <w:rPr>
                <w:noProof/>
              </w:rPr>
              <w:t>Naložbena politika za:</w:t>
            </w:r>
          </w:p>
          <w:p w14:paraId="1134F11B" w14:textId="474FFACE" w:rsidR="00154E32" w:rsidRDefault="00A43E04">
            <w:pPr>
              <w:pStyle w:val="P68B1DB1-Normal11"/>
              <w:jc w:val="center"/>
              <w:rPr>
                <w:noProof/>
              </w:rPr>
            </w:pPr>
            <w:r>
              <w:rPr>
                <w:noProof/>
              </w:rPr>
              <w:t>tematski sklad Evropske investicijske banke;</w:t>
            </w:r>
          </w:p>
        </w:tc>
        <w:tc>
          <w:tcPr>
            <w:tcW w:w="520" w:type="pct"/>
            <w:shd w:val="clear" w:color="auto" w:fill="C6EFCE"/>
            <w:noWrap/>
            <w:vAlign w:val="center"/>
          </w:tcPr>
          <w:p w14:paraId="37125893" w14:textId="77777777" w:rsidR="00154E32" w:rsidRDefault="00A43E04">
            <w:pPr>
              <w:pStyle w:val="P68B1DB1-Normal11"/>
              <w:jc w:val="center"/>
              <w:rPr>
                <w:noProof/>
              </w:rPr>
            </w:pPr>
            <w:r>
              <w:rPr>
                <w:noProof/>
              </w:rPr>
              <w:t>Sprejetje naložbene politike</w:t>
            </w:r>
          </w:p>
        </w:tc>
        <w:tc>
          <w:tcPr>
            <w:tcW w:w="331" w:type="pct"/>
            <w:shd w:val="clear" w:color="auto" w:fill="C6EFCE"/>
            <w:noWrap/>
            <w:vAlign w:val="center"/>
          </w:tcPr>
          <w:p w14:paraId="55DCC8FB" w14:textId="77777777" w:rsidR="00154E32" w:rsidRDefault="00A43E04">
            <w:pPr>
              <w:pStyle w:val="P68B1DB1-Normal11"/>
              <w:jc w:val="center"/>
              <w:rPr>
                <w:noProof/>
              </w:rPr>
            </w:pPr>
            <w:r>
              <w:rPr>
                <w:noProof/>
              </w:rPr>
              <w:t>JIH NI</w:t>
            </w:r>
          </w:p>
        </w:tc>
        <w:tc>
          <w:tcPr>
            <w:tcW w:w="332" w:type="pct"/>
            <w:shd w:val="clear" w:color="auto" w:fill="C6EFCE"/>
            <w:noWrap/>
            <w:vAlign w:val="center"/>
          </w:tcPr>
          <w:p w14:paraId="12172D43" w14:textId="77777777" w:rsidR="00154E32" w:rsidRDefault="00A43E04">
            <w:pPr>
              <w:pStyle w:val="P68B1DB1-Normal11"/>
              <w:jc w:val="center"/>
              <w:rPr>
                <w:noProof/>
              </w:rPr>
            </w:pPr>
            <w:r>
              <w:rPr>
                <w:noProof/>
              </w:rPr>
              <w:t>JIH NI</w:t>
            </w:r>
          </w:p>
        </w:tc>
        <w:tc>
          <w:tcPr>
            <w:tcW w:w="424" w:type="pct"/>
            <w:shd w:val="clear" w:color="auto" w:fill="C6EFCE"/>
            <w:noWrap/>
            <w:vAlign w:val="center"/>
          </w:tcPr>
          <w:p w14:paraId="1E302248" w14:textId="77777777" w:rsidR="00154E32" w:rsidRDefault="00A43E04">
            <w:pPr>
              <w:pStyle w:val="P68B1DB1-Normal11"/>
              <w:jc w:val="center"/>
              <w:rPr>
                <w:noProof/>
              </w:rPr>
            </w:pPr>
            <w:r>
              <w:rPr>
                <w:noProof/>
              </w:rPr>
              <w:t>JIH NI</w:t>
            </w:r>
          </w:p>
        </w:tc>
        <w:tc>
          <w:tcPr>
            <w:tcW w:w="332" w:type="pct"/>
            <w:shd w:val="clear" w:color="auto" w:fill="C6EFCE"/>
            <w:noWrap/>
            <w:vAlign w:val="center"/>
          </w:tcPr>
          <w:p w14:paraId="379FEDD0" w14:textId="77777777" w:rsidR="00154E32" w:rsidRDefault="00A43E04">
            <w:pPr>
              <w:pStyle w:val="P68B1DB1-Normal11"/>
              <w:jc w:val="center"/>
              <w:rPr>
                <w:noProof/>
              </w:rPr>
            </w:pPr>
            <w:r>
              <w:rPr>
                <w:noProof/>
              </w:rPr>
              <w:t>Q4</w:t>
            </w:r>
          </w:p>
        </w:tc>
        <w:tc>
          <w:tcPr>
            <w:tcW w:w="220" w:type="pct"/>
            <w:shd w:val="clear" w:color="auto" w:fill="C6EFCE"/>
            <w:noWrap/>
            <w:vAlign w:val="center"/>
          </w:tcPr>
          <w:p w14:paraId="0D730D3F" w14:textId="77777777" w:rsidR="00154E32" w:rsidRDefault="00A43E04">
            <w:pPr>
              <w:pStyle w:val="P68B1DB1-Normal11"/>
              <w:jc w:val="center"/>
              <w:rPr>
                <w:noProof/>
              </w:rPr>
            </w:pPr>
            <w:r>
              <w:rPr>
                <w:noProof/>
              </w:rPr>
              <w:t>2021</w:t>
            </w:r>
          </w:p>
        </w:tc>
        <w:tc>
          <w:tcPr>
            <w:tcW w:w="1047" w:type="pct"/>
            <w:shd w:val="clear" w:color="auto" w:fill="C6EFCE"/>
            <w:noWrap/>
            <w:vAlign w:val="center"/>
          </w:tcPr>
          <w:p w14:paraId="11CFE4B5" w14:textId="77777777" w:rsidR="00154E32" w:rsidRDefault="00A43E04">
            <w:pPr>
              <w:pStyle w:val="P68B1DB1-Normal11"/>
              <w:rPr>
                <w:noProof/>
              </w:rPr>
            </w:pPr>
            <w:r>
              <w:rPr>
                <w:noProof/>
              </w:rPr>
              <w:t>Naložbena politika opredeljuje vsaj: naravo, obseg in podprte operacije, ciljne upravičence, merila za upravičenost finančnih upravičencev in njihovo izbiro na podlagi javnega razpisa; in določbe za ponovno vlaganje morebitnih vrnjenih sredstev za iste cilje politike.</w:t>
            </w:r>
          </w:p>
          <w:p w14:paraId="6F85BDC8" w14:textId="77777777" w:rsidR="00154E32" w:rsidRDefault="00A43E04">
            <w:pPr>
              <w:pStyle w:val="P68B1DB1-Normal11"/>
              <w:rPr>
                <w:noProof/>
              </w:rPr>
            </w:pPr>
            <w:r>
              <w:rPr>
                <w:noProof/>
              </w:rPr>
              <w:t>Naložbena politika predvideva, da je 50 % sklada namenjenih ukrepom za energetsko učinkovitost.</w:t>
            </w:r>
          </w:p>
          <w:p w14:paraId="68CDC4BB" w14:textId="3EF7D3C6" w:rsidR="00154E32" w:rsidRDefault="00A43E04">
            <w:pPr>
              <w:pStyle w:val="P68B1DB1-Normal11"/>
              <w:rPr>
                <w:noProof/>
              </w:rPr>
            </w:pPr>
            <w:r>
              <w:rPr>
                <w:noProof/>
              </w:rPr>
              <w:t>Naložbena politika vključuje izbirna merila za zagotovitev skladnosti s tehničnimi smernicami „da se ne škoduje bistveno“ (2021/C58/01) podprtih transakcij v okviru tega ukrepa z uporabo preverjanja trajnostnosti, seznama izključitev in zahteve po skladnosti z ustrezno okoljsko zakonodajo EU in nacionalno okoljsko zakonodajo.</w:t>
            </w:r>
          </w:p>
        </w:tc>
      </w:tr>
      <w:tr w:rsidR="00154E32" w14:paraId="065AE54B" w14:textId="77777777">
        <w:trPr>
          <w:trHeight w:val="313"/>
          <w:jc w:val="center"/>
        </w:trPr>
        <w:tc>
          <w:tcPr>
            <w:tcW w:w="377" w:type="pct"/>
            <w:shd w:val="clear" w:color="auto" w:fill="C6EFCE"/>
            <w:noWrap/>
            <w:vAlign w:val="center"/>
          </w:tcPr>
          <w:p w14:paraId="79D07F8E" w14:textId="77777777" w:rsidR="00154E32" w:rsidRDefault="00A43E04">
            <w:pPr>
              <w:pStyle w:val="P68B1DB1-Normal11"/>
              <w:jc w:val="center"/>
              <w:rPr>
                <w:noProof/>
              </w:rPr>
            </w:pPr>
            <w:r>
              <w:rPr>
                <w:noProof/>
              </w:rPr>
              <w:t>M1C3–23</w:t>
            </w:r>
          </w:p>
        </w:tc>
        <w:tc>
          <w:tcPr>
            <w:tcW w:w="520" w:type="pct"/>
            <w:shd w:val="clear" w:color="auto" w:fill="C6EFCE"/>
            <w:noWrap/>
            <w:vAlign w:val="center"/>
          </w:tcPr>
          <w:p w14:paraId="5F778660" w14:textId="74C49773" w:rsidR="00154E32" w:rsidRDefault="00A43E04">
            <w:pPr>
              <w:pStyle w:val="P68B1DB1-Normal11"/>
              <w:jc w:val="center"/>
              <w:rPr>
                <w:noProof/>
              </w:rPr>
            </w:pPr>
            <w:r>
              <w:rPr>
                <w:noProof/>
              </w:rPr>
              <w:t>Naložba 4.2:  Sredstva za konkurenčnost turističnih podjetij</w:t>
            </w:r>
          </w:p>
        </w:tc>
        <w:tc>
          <w:tcPr>
            <w:tcW w:w="378" w:type="pct"/>
            <w:shd w:val="clear" w:color="auto" w:fill="C6EFCE"/>
            <w:noWrap/>
            <w:vAlign w:val="center"/>
          </w:tcPr>
          <w:p w14:paraId="076AECBE" w14:textId="77777777" w:rsidR="00154E32" w:rsidRDefault="00A43E04">
            <w:pPr>
              <w:pStyle w:val="P68B1DB1-Normal11"/>
              <w:jc w:val="center"/>
              <w:rPr>
                <w:noProof/>
              </w:rPr>
            </w:pPr>
            <w:r>
              <w:rPr>
                <w:noProof/>
              </w:rPr>
              <w:t>Mejnik</w:t>
            </w:r>
          </w:p>
        </w:tc>
        <w:tc>
          <w:tcPr>
            <w:tcW w:w="520" w:type="pct"/>
            <w:shd w:val="clear" w:color="auto" w:fill="C6EFCE"/>
            <w:noWrap/>
            <w:vAlign w:val="center"/>
          </w:tcPr>
          <w:p w14:paraId="6B061C9A" w14:textId="349A918B" w:rsidR="00154E32" w:rsidRDefault="00A43E04">
            <w:pPr>
              <w:pStyle w:val="P68B1DB1-Normal11"/>
              <w:jc w:val="center"/>
              <w:rPr>
                <w:noProof/>
              </w:rPr>
            </w:pPr>
            <w:r>
              <w:rPr>
                <w:noProof/>
              </w:rPr>
              <w:t>Naložbena politika za Nacionalni sklad za turizem,</w:t>
            </w:r>
          </w:p>
        </w:tc>
        <w:tc>
          <w:tcPr>
            <w:tcW w:w="520" w:type="pct"/>
            <w:shd w:val="clear" w:color="auto" w:fill="C6EFCE"/>
            <w:noWrap/>
            <w:vAlign w:val="center"/>
          </w:tcPr>
          <w:p w14:paraId="64843EA6" w14:textId="77777777" w:rsidR="00154E32" w:rsidRDefault="00A43E04">
            <w:pPr>
              <w:pStyle w:val="P68B1DB1-Normal11"/>
              <w:jc w:val="center"/>
              <w:rPr>
                <w:noProof/>
              </w:rPr>
            </w:pPr>
            <w:r>
              <w:rPr>
                <w:noProof/>
              </w:rPr>
              <w:t>Sprejetje naložbene politike</w:t>
            </w:r>
          </w:p>
        </w:tc>
        <w:tc>
          <w:tcPr>
            <w:tcW w:w="331" w:type="pct"/>
            <w:shd w:val="clear" w:color="auto" w:fill="C6EFCE"/>
            <w:noWrap/>
            <w:vAlign w:val="center"/>
          </w:tcPr>
          <w:p w14:paraId="40644623" w14:textId="77777777" w:rsidR="00154E32" w:rsidRDefault="00A43E04">
            <w:pPr>
              <w:pStyle w:val="P68B1DB1-Normal11"/>
              <w:jc w:val="center"/>
              <w:rPr>
                <w:noProof/>
              </w:rPr>
            </w:pPr>
            <w:r>
              <w:rPr>
                <w:noProof/>
              </w:rPr>
              <w:t>JIH NI</w:t>
            </w:r>
          </w:p>
        </w:tc>
        <w:tc>
          <w:tcPr>
            <w:tcW w:w="332" w:type="pct"/>
            <w:shd w:val="clear" w:color="auto" w:fill="C6EFCE"/>
            <w:noWrap/>
            <w:vAlign w:val="center"/>
          </w:tcPr>
          <w:p w14:paraId="61E392C4" w14:textId="77777777" w:rsidR="00154E32" w:rsidRDefault="00A43E04">
            <w:pPr>
              <w:pStyle w:val="P68B1DB1-Normal11"/>
              <w:jc w:val="center"/>
              <w:rPr>
                <w:noProof/>
              </w:rPr>
            </w:pPr>
            <w:r>
              <w:rPr>
                <w:noProof/>
              </w:rPr>
              <w:t>JIH NI</w:t>
            </w:r>
          </w:p>
        </w:tc>
        <w:tc>
          <w:tcPr>
            <w:tcW w:w="424" w:type="pct"/>
            <w:shd w:val="clear" w:color="auto" w:fill="C6EFCE"/>
            <w:noWrap/>
            <w:vAlign w:val="center"/>
          </w:tcPr>
          <w:p w14:paraId="7282522D" w14:textId="77777777" w:rsidR="00154E32" w:rsidRDefault="00A43E04">
            <w:pPr>
              <w:pStyle w:val="P68B1DB1-Normal11"/>
              <w:jc w:val="center"/>
              <w:rPr>
                <w:noProof/>
              </w:rPr>
            </w:pPr>
            <w:r>
              <w:rPr>
                <w:noProof/>
              </w:rPr>
              <w:t>JIH NI</w:t>
            </w:r>
          </w:p>
        </w:tc>
        <w:tc>
          <w:tcPr>
            <w:tcW w:w="332" w:type="pct"/>
            <w:shd w:val="clear" w:color="auto" w:fill="C6EFCE"/>
            <w:noWrap/>
            <w:vAlign w:val="center"/>
          </w:tcPr>
          <w:p w14:paraId="0C97748C" w14:textId="77777777" w:rsidR="00154E32" w:rsidRDefault="00A43E04">
            <w:pPr>
              <w:pStyle w:val="P68B1DB1-Normal11"/>
              <w:jc w:val="center"/>
              <w:rPr>
                <w:noProof/>
              </w:rPr>
            </w:pPr>
            <w:r>
              <w:rPr>
                <w:noProof/>
              </w:rPr>
              <w:t>Q4</w:t>
            </w:r>
          </w:p>
        </w:tc>
        <w:tc>
          <w:tcPr>
            <w:tcW w:w="220" w:type="pct"/>
            <w:shd w:val="clear" w:color="auto" w:fill="C6EFCE"/>
            <w:noWrap/>
            <w:vAlign w:val="center"/>
          </w:tcPr>
          <w:p w14:paraId="295EDD6D" w14:textId="77777777" w:rsidR="00154E32" w:rsidRDefault="00A43E04">
            <w:pPr>
              <w:pStyle w:val="P68B1DB1-Normal11"/>
              <w:jc w:val="center"/>
              <w:rPr>
                <w:noProof/>
              </w:rPr>
            </w:pPr>
            <w:r>
              <w:rPr>
                <w:noProof/>
              </w:rPr>
              <w:t>2021</w:t>
            </w:r>
          </w:p>
        </w:tc>
        <w:tc>
          <w:tcPr>
            <w:tcW w:w="1047" w:type="pct"/>
            <w:shd w:val="clear" w:color="auto" w:fill="C6EFCE"/>
            <w:noWrap/>
            <w:vAlign w:val="center"/>
          </w:tcPr>
          <w:p w14:paraId="37616BC6" w14:textId="7E8D7A36" w:rsidR="00154E32" w:rsidRDefault="00A43E04">
            <w:pPr>
              <w:pStyle w:val="P68B1DB1-Normal11"/>
              <w:rPr>
                <w:noProof/>
              </w:rPr>
            </w:pPr>
            <w:r>
              <w:rPr>
                <w:noProof/>
              </w:rPr>
              <w:t xml:space="preserve">Sklad je namenjen nakupu, prestrukturiranju in prekvalifikaciji italijanskih nepremičnin za podporo turističnemu razvoju na območjih, ki jih je kriza najbolj prizadela, ali obrobnih območjih (obalna območja, manjši otoki, najbolj obrobne regije ter podeželska in gorska območja). </w:t>
            </w:r>
          </w:p>
          <w:p w14:paraId="2F706837" w14:textId="77777777" w:rsidR="00154E32" w:rsidRDefault="00A43E04">
            <w:pPr>
              <w:pStyle w:val="P68B1DB1-Normal11"/>
              <w:rPr>
                <w:noProof/>
              </w:rPr>
            </w:pPr>
            <w:r>
              <w:rPr>
                <w:noProof/>
              </w:rPr>
              <w:t>Naložbena politika vključuje izbirna merila za zagotovitev skladnosti s tehničnimi smernicami „da se ne škoduje bistveno“ (2021/C58/01) podprtih transakcij v okviru tega ukrepa z uporabo preverjanja trajnostnosti, seznama izključitev in zahteve po skladnosti z ustrezno okoljsko zakonodajo EU in nacionalno okoljsko zakonodajo.</w:t>
            </w:r>
          </w:p>
        </w:tc>
      </w:tr>
      <w:tr w:rsidR="00154E32" w14:paraId="6FD1F849" w14:textId="77777777">
        <w:trPr>
          <w:trHeight w:val="313"/>
          <w:jc w:val="center"/>
        </w:trPr>
        <w:tc>
          <w:tcPr>
            <w:tcW w:w="377" w:type="pct"/>
            <w:shd w:val="clear" w:color="auto" w:fill="C6EFCE"/>
            <w:noWrap/>
            <w:vAlign w:val="center"/>
          </w:tcPr>
          <w:p w14:paraId="681B2385" w14:textId="77777777" w:rsidR="00154E32" w:rsidRDefault="00A43E04">
            <w:pPr>
              <w:pStyle w:val="P68B1DB1-Normal11"/>
              <w:jc w:val="center"/>
              <w:rPr>
                <w:noProof/>
              </w:rPr>
            </w:pPr>
            <w:r>
              <w:rPr>
                <w:noProof/>
              </w:rPr>
              <w:t>M1C3–24</w:t>
            </w:r>
          </w:p>
        </w:tc>
        <w:tc>
          <w:tcPr>
            <w:tcW w:w="520" w:type="pct"/>
            <w:shd w:val="clear" w:color="auto" w:fill="C6EFCE"/>
            <w:noWrap/>
            <w:vAlign w:val="center"/>
          </w:tcPr>
          <w:p w14:paraId="37A88981" w14:textId="6D4B3E44" w:rsidR="00154E32" w:rsidRDefault="00A43E04">
            <w:pPr>
              <w:pStyle w:val="P68B1DB1-Normal11"/>
              <w:jc w:val="center"/>
              <w:rPr>
                <w:noProof/>
              </w:rPr>
            </w:pPr>
            <w:r>
              <w:rPr>
                <w:noProof/>
              </w:rPr>
              <w:t>Naložbe 4.2 Skladi za konkurenčnost turističnih podjetij</w:t>
            </w:r>
          </w:p>
        </w:tc>
        <w:tc>
          <w:tcPr>
            <w:tcW w:w="378" w:type="pct"/>
            <w:shd w:val="clear" w:color="auto" w:fill="C6EFCE"/>
            <w:noWrap/>
            <w:vAlign w:val="center"/>
          </w:tcPr>
          <w:p w14:paraId="57AFF127" w14:textId="77777777" w:rsidR="00154E32" w:rsidRDefault="00A43E04">
            <w:pPr>
              <w:pStyle w:val="P68B1DB1-Normal11"/>
              <w:jc w:val="center"/>
              <w:rPr>
                <w:noProof/>
              </w:rPr>
            </w:pPr>
            <w:r>
              <w:rPr>
                <w:noProof/>
              </w:rPr>
              <w:t>Mejnik</w:t>
            </w:r>
          </w:p>
        </w:tc>
        <w:tc>
          <w:tcPr>
            <w:tcW w:w="520" w:type="pct"/>
            <w:shd w:val="clear" w:color="auto" w:fill="C6EFCE"/>
            <w:noWrap/>
            <w:vAlign w:val="center"/>
          </w:tcPr>
          <w:p w14:paraId="47D8B8EB" w14:textId="2750BF76" w:rsidR="00154E32" w:rsidRDefault="00A43E04">
            <w:pPr>
              <w:pStyle w:val="P68B1DB1-Normal11"/>
              <w:jc w:val="center"/>
              <w:rPr>
                <w:noProof/>
              </w:rPr>
            </w:pPr>
            <w:r>
              <w:rPr>
                <w:noProof/>
              </w:rPr>
              <w:t>Naložbena politika za: Jamstveni sklad za MSP,</w:t>
            </w:r>
          </w:p>
        </w:tc>
        <w:tc>
          <w:tcPr>
            <w:tcW w:w="520" w:type="pct"/>
            <w:shd w:val="clear" w:color="auto" w:fill="C6EFCE"/>
            <w:noWrap/>
            <w:vAlign w:val="center"/>
          </w:tcPr>
          <w:p w14:paraId="603AF738" w14:textId="77777777" w:rsidR="00154E32" w:rsidRDefault="00A43E04">
            <w:pPr>
              <w:pStyle w:val="P68B1DB1-Normal11"/>
              <w:jc w:val="center"/>
              <w:rPr>
                <w:noProof/>
              </w:rPr>
            </w:pPr>
            <w:r>
              <w:rPr>
                <w:noProof/>
              </w:rPr>
              <w:t>Sprejetje naložbene politike</w:t>
            </w:r>
          </w:p>
        </w:tc>
        <w:tc>
          <w:tcPr>
            <w:tcW w:w="331" w:type="pct"/>
            <w:shd w:val="clear" w:color="auto" w:fill="C6EFCE"/>
            <w:noWrap/>
            <w:vAlign w:val="center"/>
          </w:tcPr>
          <w:p w14:paraId="512B161B" w14:textId="77777777" w:rsidR="00154E32" w:rsidRDefault="00A43E04">
            <w:pPr>
              <w:pStyle w:val="P68B1DB1-Normal11"/>
              <w:jc w:val="center"/>
              <w:rPr>
                <w:noProof/>
              </w:rPr>
            </w:pPr>
            <w:r>
              <w:rPr>
                <w:noProof/>
              </w:rPr>
              <w:t>JIH NI</w:t>
            </w:r>
          </w:p>
        </w:tc>
        <w:tc>
          <w:tcPr>
            <w:tcW w:w="332" w:type="pct"/>
            <w:shd w:val="clear" w:color="auto" w:fill="C6EFCE"/>
            <w:noWrap/>
            <w:vAlign w:val="center"/>
          </w:tcPr>
          <w:p w14:paraId="7CFBDFD3" w14:textId="77777777" w:rsidR="00154E32" w:rsidRDefault="00A43E04">
            <w:pPr>
              <w:pStyle w:val="P68B1DB1-Normal11"/>
              <w:jc w:val="center"/>
              <w:rPr>
                <w:noProof/>
              </w:rPr>
            </w:pPr>
            <w:r>
              <w:rPr>
                <w:noProof/>
              </w:rPr>
              <w:t>JIH NI</w:t>
            </w:r>
          </w:p>
        </w:tc>
        <w:tc>
          <w:tcPr>
            <w:tcW w:w="424" w:type="pct"/>
            <w:shd w:val="clear" w:color="auto" w:fill="C6EFCE"/>
            <w:noWrap/>
            <w:vAlign w:val="center"/>
          </w:tcPr>
          <w:p w14:paraId="65C68F92" w14:textId="77777777" w:rsidR="00154E32" w:rsidRDefault="00A43E04">
            <w:pPr>
              <w:pStyle w:val="P68B1DB1-Normal11"/>
              <w:jc w:val="center"/>
              <w:rPr>
                <w:noProof/>
              </w:rPr>
            </w:pPr>
            <w:r>
              <w:rPr>
                <w:noProof/>
              </w:rPr>
              <w:t>JIH NI</w:t>
            </w:r>
          </w:p>
        </w:tc>
        <w:tc>
          <w:tcPr>
            <w:tcW w:w="332" w:type="pct"/>
            <w:shd w:val="clear" w:color="auto" w:fill="C6EFCE"/>
            <w:noWrap/>
            <w:vAlign w:val="center"/>
          </w:tcPr>
          <w:p w14:paraId="0D7EBFDD" w14:textId="77777777" w:rsidR="00154E32" w:rsidRDefault="00A43E04">
            <w:pPr>
              <w:pStyle w:val="P68B1DB1-Normal11"/>
              <w:jc w:val="center"/>
              <w:rPr>
                <w:noProof/>
              </w:rPr>
            </w:pPr>
            <w:r>
              <w:rPr>
                <w:noProof/>
              </w:rPr>
              <w:t>Q4</w:t>
            </w:r>
          </w:p>
        </w:tc>
        <w:tc>
          <w:tcPr>
            <w:tcW w:w="220" w:type="pct"/>
            <w:shd w:val="clear" w:color="auto" w:fill="C6EFCE"/>
            <w:noWrap/>
            <w:vAlign w:val="center"/>
          </w:tcPr>
          <w:p w14:paraId="5293435F" w14:textId="77777777" w:rsidR="00154E32" w:rsidRDefault="00A43E04">
            <w:pPr>
              <w:pStyle w:val="P68B1DB1-Normal11"/>
              <w:jc w:val="center"/>
              <w:rPr>
                <w:noProof/>
              </w:rPr>
            </w:pPr>
            <w:r>
              <w:rPr>
                <w:noProof/>
              </w:rPr>
              <w:t>2021</w:t>
            </w:r>
          </w:p>
        </w:tc>
        <w:tc>
          <w:tcPr>
            <w:tcW w:w="1047" w:type="pct"/>
            <w:shd w:val="clear" w:color="auto" w:fill="C6EFCE"/>
            <w:noWrap/>
            <w:vAlign w:val="center"/>
          </w:tcPr>
          <w:p w14:paraId="768C754A" w14:textId="77777777" w:rsidR="00154E32" w:rsidRDefault="00A43E04">
            <w:pPr>
              <w:pStyle w:val="P68B1DB1-Normal11"/>
              <w:rPr>
                <w:noProof/>
              </w:rPr>
            </w:pPr>
            <w:r>
              <w:rPr>
                <w:noProof/>
              </w:rPr>
              <w:t>Naložbena politika predvideva, da je 50 % sklada namenjenih ukrepom za energetsko učinkovitost.</w:t>
            </w:r>
          </w:p>
          <w:p w14:paraId="181FB2F3" w14:textId="515AB0FF" w:rsidR="00154E32" w:rsidRDefault="00A43E04">
            <w:pPr>
              <w:pStyle w:val="P68B1DB1-Normal11"/>
              <w:rPr>
                <w:noProof/>
              </w:rPr>
            </w:pPr>
            <w:r>
              <w:rPr>
                <w:noProof/>
              </w:rPr>
              <w:t>Naložbena politika vključuje izbirna merila za zagotovitev skladnosti s tehničnimi smernicami „da se ne škoduje bistveno“ (2021/C58/01) podprtih transakcij v okviru tega ukrepa z uporabo preverjanja trajnostnosti, seznama izključitev in zahteve po skladnosti z ustrezno okoljsko zakonodajo EU in nacionalno okoljsko zakonodajo.</w:t>
            </w:r>
          </w:p>
          <w:p w14:paraId="1320E3DB" w14:textId="77777777" w:rsidR="00154E32" w:rsidRDefault="00154E32">
            <w:pPr>
              <w:rPr>
                <w:rFonts w:ascii="Arial Narrow" w:hAnsi="Arial Narrow"/>
                <w:noProof/>
                <w:color w:val="006100"/>
                <w:sz w:val="20"/>
              </w:rPr>
            </w:pPr>
          </w:p>
        </w:tc>
      </w:tr>
      <w:tr w:rsidR="00154E32" w14:paraId="00CE7785" w14:textId="77777777">
        <w:trPr>
          <w:trHeight w:val="313"/>
          <w:jc w:val="center"/>
        </w:trPr>
        <w:tc>
          <w:tcPr>
            <w:tcW w:w="377" w:type="pct"/>
            <w:shd w:val="clear" w:color="auto" w:fill="C6EFCE"/>
            <w:noWrap/>
            <w:vAlign w:val="center"/>
          </w:tcPr>
          <w:p w14:paraId="652EFD68" w14:textId="77777777" w:rsidR="00154E32" w:rsidRDefault="00A43E04">
            <w:pPr>
              <w:pStyle w:val="P68B1DB1-Normal11"/>
              <w:jc w:val="center"/>
              <w:rPr>
                <w:noProof/>
              </w:rPr>
            </w:pPr>
            <w:r>
              <w:rPr>
                <w:noProof/>
              </w:rPr>
              <w:t>M1C3–25</w:t>
            </w:r>
          </w:p>
        </w:tc>
        <w:tc>
          <w:tcPr>
            <w:tcW w:w="520" w:type="pct"/>
            <w:shd w:val="clear" w:color="auto" w:fill="C6EFCE"/>
            <w:noWrap/>
            <w:vAlign w:val="center"/>
          </w:tcPr>
          <w:p w14:paraId="14B185A4" w14:textId="2AD5AD7A" w:rsidR="00154E32" w:rsidRDefault="00A43E04">
            <w:pPr>
              <w:pStyle w:val="P68B1DB1-Normal11"/>
              <w:jc w:val="center"/>
              <w:rPr>
                <w:noProof/>
              </w:rPr>
            </w:pPr>
            <w:r>
              <w:rPr>
                <w:noProof/>
              </w:rPr>
              <w:t>Naložba 4.2:  Sredstva za konkurenčnost turističnih podjetij</w:t>
            </w:r>
          </w:p>
        </w:tc>
        <w:tc>
          <w:tcPr>
            <w:tcW w:w="378" w:type="pct"/>
            <w:shd w:val="clear" w:color="auto" w:fill="C6EFCE"/>
            <w:noWrap/>
            <w:vAlign w:val="center"/>
          </w:tcPr>
          <w:p w14:paraId="7960A098" w14:textId="77777777" w:rsidR="00154E32" w:rsidRDefault="00A43E04">
            <w:pPr>
              <w:pStyle w:val="P68B1DB1-Normal11"/>
              <w:jc w:val="center"/>
              <w:rPr>
                <w:noProof/>
              </w:rPr>
            </w:pPr>
            <w:r>
              <w:rPr>
                <w:noProof/>
              </w:rPr>
              <w:t>Mejnik</w:t>
            </w:r>
          </w:p>
        </w:tc>
        <w:tc>
          <w:tcPr>
            <w:tcW w:w="520" w:type="pct"/>
            <w:shd w:val="clear" w:color="auto" w:fill="C6EFCE"/>
            <w:noWrap/>
            <w:vAlign w:val="center"/>
          </w:tcPr>
          <w:p w14:paraId="1F60DAFE" w14:textId="1855BCD5" w:rsidR="00154E32" w:rsidRDefault="00A43E04">
            <w:pPr>
              <w:pStyle w:val="P68B1DB1-Normal11"/>
              <w:jc w:val="center"/>
              <w:rPr>
                <w:noProof/>
              </w:rPr>
            </w:pPr>
            <w:r>
              <w:rPr>
                <w:noProof/>
              </w:rPr>
              <w:t>Naložbena politika za Fondo Rotativo</w:t>
            </w:r>
          </w:p>
        </w:tc>
        <w:tc>
          <w:tcPr>
            <w:tcW w:w="520" w:type="pct"/>
            <w:shd w:val="clear" w:color="auto" w:fill="C6EFCE"/>
            <w:noWrap/>
            <w:vAlign w:val="center"/>
          </w:tcPr>
          <w:p w14:paraId="61BDFC31" w14:textId="77777777" w:rsidR="00154E32" w:rsidRDefault="00A43E04">
            <w:pPr>
              <w:pStyle w:val="P68B1DB1-Normal11"/>
              <w:jc w:val="center"/>
              <w:rPr>
                <w:noProof/>
              </w:rPr>
            </w:pPr>
            <w:r>
              <w:rPr>
                <w:noProof/>
              </w:rPr>
              <w:t>Sprejetje naložbene politike</w:t>
            </w:r>
          </w:p>
        </w:tc>
        <w:tc>
          <w:tcPr>
            <w:tcW w:w="331" w:type="pct"/>
            <w:shd w:val="clear" w:color="auto" w:fill="C6EFCE"/>
            <w:noWrap/>
            <w:vAlign w:val="center"/>
          </w:tcPr>
          <w:p w14:paraId="5080CD4D" w14:textId="77777777" w:rsidR="00154E32" w:rsidRDefault="00A43E04">
            <w:pPr>
              <w:pStyle w:val="P68B1DB1-Normal11"/>
              <w:jc w:val="center"/>
              <w:rPr>
                <w:noProof/>
              </w:rPr>
            </w:pPr>
            <w:r>
              <w:rPr>
                <w:noProof/>
              </w:rPr>
              <w:t>JIH NI</w:t>
            </w:r>
          </w:p>
        </w:tc>
        <w:tc>
          <w:tcPr>
            <w:tcW w:w="332" w:type="pct"/>
            <w:shd w:val="clear" w:color="auto" w:fill="C6EFCE"/>
            <w:noWrap/>
            <w:vAlign w:val="center"/>
          </w:tcPr>
          <w:p w14:paraId="7850D338" w14:textId="77777777" w:rsidR="00154E32" w:rsidRDefault="00A43E04">
            <w:pPr>
              <w:pStyle w:val="P68B1DB1-Normal11"/>
              <w:jc w:val="center"/>
              <w:rPr>
                <w:noProof/>
              </w:rPr>
            </w:pPr>
            <w:r>
              <w:rPr>
                <w:noProof/>
              </w:rPr>
              <w:t>JIH NI</w:t>
            </w:r>
          </w:p>
        </w:tc>
        <w:tc>
          <w:tcPr>
            <w:tcW w:w="424" w:type="pct"/>
            <w:shd w:val="clear" w:color="auto" w:fill="C6EFCE"/>
            <w:noWrap/>
            <w:vAlign w:val="center"/>
          </w:tcPr>
          <w:p w14:paraId="4FC3F9CA" w14:textId="77777777" w:rsidR="00154E32" w:rsidRDefault="00A43E04">
            <w:pPr>
              <w:pStyle w:val="P68B1DB1-Normal11"/>
              <w:jc w:val="center"/>
              <w:rPr>
                <w:noProof/>
              </w:rPr>
            </w:pPr>
            <w:r>
              <w:rPr>
                <w:noProof/>
              </w:rPr>
              <w:t>JIH NI</w:t>
            </w:r>
          </w:p>
        </w:tc>
        <w:tc>
          <w:tcPr>
            <w:tcW w:w="332" w:type="pct"/>
            <w:shd w:val="clear" w:color="auto" w:fill="C6EFCE"/>
            <w:noWrap/>
            <w:vAlign w:val="center"/>
          </w:tcPr>
          <w:p w14:paraId="2C528A55" w14:textId="77777777" w:rsidR="00154E32" w:rsidRDefault="00A43E04">
            <w:pPr>
              <w:pStyle w:val="P68B1DB1-Normal11"/>
              <w:jc w:val="center"/>
              <w:rPr>
                <w:noProof/>
              </w:rPr>
            </w:pPr>
            <w:r>
              <w:rPr>
                <w:noProof/>
              </w:rPr>
              <w:t>Q4</w:t>
            </w:r>
          </w:p>
        </w:tc>
        <w:tc>
          <w:tcPr>
            <w:tcW w:w="220" w:type="pct"/>
            <w:shd w:val="clear" w:color="auto" w:fill="C6EFCE"/>
            <w:noWrap/>
            <w:vAlign w:val="center"/>
          </w:tcPr>
          <w:p w14:paraId="7591B172" w14:textId="77777777" w:rsidR="00154E32" w:rsidRDefault="00A43E04">
            <w:pPr>
              <w:pStyle w:val="P68B1DB1-Normal11"/>
              <w:jc w:val="center"/>
              <w:rPr>
                <w:noProof/>
              </w:rPr>
            </w:pPr>
            <w:r>
              <w:rPr>
                <w:noProof/>
              </w:rPr>
              <w:t>2021</w:t>
            </w:r>
          </w:p>
        </w:tc>
        <w:tc>
          <w:tcPr>
            <w:tcW w:w="1047" w:type="pct"/>
            <w:shd w:val="clear" w:color="auto" w:fill="C6EFCE"/>
            <w:noWrap/>
            <w:vAlign w:val="center"/>
          </w:tcPr>
          <w:p w14:paraId="7151690F" w14:textId="77777777" w:rsidR="00154E32" w:rsidRDefault="00A43E04">
            <w:pPr>
              <w:pStyle w:val="P68B1DB1-Normal11"/>
              <w:rPr>
                <w:noProof/>
              </w:rPr>
            </w:pPr>
            <w:r>
              <w:rPr>
                <w:noProof/>
              </w:rPr>
              <w:t>Naložbena politika predvideva, da je 50 % sklada namenjenih ukrepom za energetsko učinkovitost.</w:t>
            </w:r>
          </w:p>
          <w:p w14:paraId="5BF5D3E2" w14:textId="02E5A357" w:rsidR="00154E32" w:rsidRDefault="00A43E04">
            <w:pPr>
              <w:pStyle w:val="P68B1DB1-Normal11"/>
              <w:rPr>
                <w:noProof/>
              </w:rPr>
            </w:pPr>
            <w:r>
              <w:rPr>
                <w:noProof/>
              </w:rPr>
              <w:t>Naložbena politika vključuje izbirna merila za zagotovitev skladnosti s tehničnimi smernicami „da se ne škoduje bistveno“ (2021/C58/01) podprtih transakcij v okviru tega ukrepa z uporabo preverjanja trajnostnosti, seznama izključitev in zahteve po skladnosti z ustrezno okoljsko zakonodajo EU in nacionalno okoljsko zakonodajo.</w:t>
            </w:r>
          </w:p>
        </w:tc>
      </w:tr>
      <w:tr w:rsidR="00154E32" w14:paraId="1F7D4ADF" w14:textId="77777777">
        <w:trPr>
          <w:trHeight w:val="313"/>
          <w:jc w:val="center"/>
        </w:trPr>
        <w:tc>
          <w:tcPr>
            <w:tcW w:w="377" w:type="pct"/>
            <w:shd w:val="clear" w:color="auto" w:fill="C6EFCE"/>
            <w:noWrap/>
            <w:vAlign w:val="center"/>
            <w:hideMark/>
          </w:tcPr>
          <w:p w14:paraId="0BCBEACF" w14:textId="77777777" w:rsidR="00154E32" w:rsidRDefault="00A43E04">
            <w:pPr>
              <w:pStyle w:val="P68B1DB1-Normal11"/>
              <w:jc w:val="center"/>
              <w:rPr>
                <w:noProof/>
              </w:rPr>
            </w:pPr>
            <w:r>
              <w:rPr>
                <w:noProof/>
              </w:rPr>
              <w:t>M1C3–26</w:t>
            </w:r>
          </w:p>
        </w:tc>
        <w:tc>
          <w:tcPr>
            <w:tcW w:w="520" w:type="pct"/>
            <w:shd w:val="clear" w:color="auto" w:fill="C6EFCE"/>
            <w:noWrap/>
            <w:vAlign w:val="center"/>
            <w:hideMark/>
          </w:tcPr>
          <w:p w14:paraId="3F6FF5A2" w14:textId="5A6CE012" w:rsidR="00154E32" w:rsidRDefault="00A43E04">
            <w:pPr>
              <w:pStyle w:val="P68B1DB1-Normal11"/>
              <w:jc w:val="center"/>
              <w:rPr>
                <w:noProof/>
              </w:rPr>
            </w:pPr>
            <w:r>
              <w:rPr>
                <w:noProof/>
              </w:rPr>
              <w:t>Naložba 4.2:  Sredstva za konkurenčnost turističnih podjetij</w:t>
            </w:r>
          </w:p>
        </w:tc>
        <w:tc>
          <w:tcPr>
            <w:tcW w:w="378" w:type="pct"/>
            <w:shd w:val="clear" w:color="auto" w:fill="C6EFCE"/>
            <w:noWrap/>
            <w:vAlign w:val="center"/>
            <w:hideMark/>
          </w:tcPr>
          <w:p w14:paraId="452F0DAF" w14:textId="77777777" w:rsidR="00154E32" w:rsidRDefault="00A43E04">
            <w:pPr>
              <w:pStyle w:val="P68B1DB1-Normal11"/>
              <w:jc w:val="center"/>
              <w:rPr>
                <w:noProof/>
              </w:rPr>
            </w:pPr>
            <w:r>
              <w:rPr>
                <w:noProof/>
              </w:rPr>
              <w:t>Mejnik</w:t>
            </w:r>
          </w:p>
        </w:tc>
        <w:tc>
          <w:tcPr>
            <w:tcW w:w="520" w:type="pct"/>
            <w:shd w:val="clear" w:color="auto" w:fill="C6EFCE"/>
            <w:noWrap/>
            <w:vAlign w:val="center"/>
            <w:hideMark/>
          </w:tcPr>
          <w:p w14:paraId="392CD781" w14:textId="77777777" w:rsidR="00154E32" w:rsidRDefault="00A43E04">
            <w:pPr>
              <w:pStyle w:val="P68B1DB1-Normal11"/>
              <w:jc w:val="center"/>
              <w:rPr>
                <w:noProof/>
              </w:rPr>
            </w:pPr>
            <w:r>
              <w:rPr>
                <w:noProof/>
              </w:rPr>
              <w:t>Začetek veljavnosti izvedbene uredbe za davčno olajšavo za prenovo nastanitvenih objektov.</w:t>
            </w:r>
          </w:p>
        </w:tc>
        <w:tc>
          <w:tcPr>
            <w:tcW w:w="520" w:type="pct"/>
            <w:shd w:val="clear" w:color="auto" w:fill="C6EFCE"/>
            <w:noWrap/>
            <w:vAlign w:val="center"/>
            <w:hideMark/>
          </w:tcPr>
          <w:p w14:paraId="08543D0B" w14:textId="77777777" w:rsidR="00154E32" w:rsidRDefault="00A43E04">
            <w:pPr>
              <w:pStyle w:val="P68B1DB1-Normal11"/>
              <w:jc w:val="center"/>
              <w:rPr>
                <w:noProof/>
              </w:rPr>
            </w:pPr>
            <w:r>
              <w:rPr>
                <w:noProof/>
              </w:rPr>
              <w:t>Določba zakona o začetku veljavnosti proračunskega zakona, ki omogoča davčne dobropise, in določba v povezanih izvedbenih aktih, v katerih je naveden začetek njihove veljavnosti</w:t>
            </w:r>
          </w:p>
        </w:tc>
        <w:tc>
          <w:tcPr>
            <w:tcW w:w="331" w:type="pct"/>
            <w:shd w:val="clear" w:color="auto" w:fill="C6EFCE"/>
            <w:noWrap/>
            <w:vAlign w:val="center"/>
            <w:hideMark/>
          </w:tcPr>
          <w:p w14:paraId="22B685EC" w14:textId="77777777" w:rsidR="00154E32" w:rsidRDefault="00A43E04">
            <w:pPr>
              <w:pStyle w:val="P68B1DB1-Normal11"/>
              <w:jc w:val="center"/>
              <w:rPr>
                <w:noProof/>
              </w:rPr>
            </w:pPr>
            <w:r>
              <w:rPr>
                <w:noProof/>
              </w:rPr>
              <w:t>JIH NI</w:t>
            </w:r>
          </w:p>
        </w:tc>
        <w:tc>
          <w:tcPr>
            <w:tcW w:w="332" w:type="pct"/>
            <w:shd w:val="clear" w:color="auto" w:fill="C6EFCE"/>
            <w:noWrap/>
            <w:vAlign w:val="center"/>
            <w:hideMark/>
          </w:tcPr>
          <w:p w14:paraId="4F3C67AE" w14:textId="77777777" w:rsidR="00154E32" w:rsidRDefault="00A43E04">
            <w:pPr>
              <w:pStyle w:val="P68B1DB1-Normal11"/>
              <w:jc w:val="center"/>
              <w:rPr>
                <w:noProof/>
              </w:rPr>
            </w:pPr>
            <w:r>
              <w:rPr>
                <w:noProof/>
              </w:rPr>
              <w:t>JIH NI</w:t>
            </w:r>
          </w:p>
        </w:tc>
        <w:tc>
          <w:tcPr>
            <w:tcW w:w="424" w:type="pct"/>
            <w:shd w:val="clear" w:color="auto" w:fill="C6EFCE"/>
            <w:noWrap/>
            <w:vAlign w:val="center"/>
            <w:hideMark/>
          </w:tcPr>
          <w:p w14:paraId="5B6259D9" w14:textId="77777777" w:rsidR="00154E32" w:rsidRDefault="00A43E04">
            <w:pPr>
              <w:pStyle w:val="P68B1DB1-Normal11"/>
              <w:jc w:val="center"/>
              <w:rPr>
                <w:noProof/>
              </w:rPr>
            </w:pPr>
            <w:r>
              <w:rPr>
                <w:noProof/>
              </w:rPr>
              <w:t>JIH NI</w:t>
            </w:r>
          </w:p>
        </w:tc>
        <w:tc>
          <w:tcPr>
            <w:tcW w:w="332" w:type="pct"/>
            <w:shd w:val="clear" w:color="auto" w:fill="C6EFCE"/>
            <w:noWrap/>
            <w:vAlign w:val="center"/>
            <w:hideMark/>
          </w:tcPr>
          <w:p w14:paraId="671DB94A" w14:textId="77777777" w:rsidR="00154E32" w:rsidRDefault="00A43E04">
            <w:pPr>
              <w:pStyle w:val="P68B1DB1-Normal11"/>
              <w:jc w:val="center"/>
              <w:rPr>
                <w:noProof/>
              </w:rPr>
            </w:pPr>
            <w:r>
              <w:rPr>
                <w:noProof/>
              </w:rPr>
              <w:t>Q4</w:t>
            </w:r>
          </w:p>
        </w:tc>
        <w:tc>
          <w:tcPr>
            <w:tcW w:w="220" w:type="pct"/>
            <w:shd w:val="clear" w:color="auto" w:fill="C6EFCE"/>
            <w:noWrap/>
            <w:vAlign w:val="center"/>
            <w:hideMark/>
          </w:tcPr>
          <w:p w14:paraId="7A5A3574" w14:textId="77777777" w:rsidR="00154E32" w:rsidRDefault="00A43E04">
            <w:pPr>
              <w:pStyle w:val="P68B1DB1-Normal11"/>
              <w:jc w:val="center"/>
              <w:rPr>
                <w:noProof/>
              </w:rPr>
            </w:pPr>
            <w:r>
              <w:rPr>
                <w:noProof/>
              </w:rPr>
              <w:t>2021</w:t>
            </w:r>
          </w:p>
        </w:tc>
        <w:tc>
          <w:tcPr>
            <w:tcW w:w="1047" w:type="pct"/>
            <w:shd w:val="clear" w:color="auto" w:fill="C6EFCE"/>
            <w:noWrap/>
            <w:vAlign w:val="center"/>
            <w:hideMark/>
          </w:tcPr>
          <w:p w14:paraId="71C1A0B8" w14:textId="77777777" w:rsidR="00154E32" w:rsidRDefault="00A43E04">
            <w:pPr>
              <w:pStyle w:val="P68B1DB1-Normal11"/>
              <w:rPr>
                <w:noProof/>
              </w:rPr>
            </w:pPr>
            <w:r>
              <w:rPr>
                <w:noProof/>
              </w:rPr>
              <w:t>Referenčna zakonodaja za odobritev davčnega dobropisa je zakon št. 83 z dne 31. maja 2014, s katerim je bilo uvedeno priznanje davčne olajšave za posege v obnovo turističnih nastanitvenih objektov.</w:t>
            </w:r>
          </w:p>
          <w:p w14:paraId="2C3F9D2B" w14:textId="77777777" w:rsidR="00154E32" w:rsidRDefault="00A43E04">
            <w:pPr>
              <w:pStyle w:val="P68B1DB1-Normal11"/>
              <w:rPr>
                <w:noProof/>
              </w:rPr>
            </w:pPr>
            <w:r>
              <w:rPr>
                <w:noProof/>
              </w:rPr>
              <w:t>Merila za izbor/upravičenost za skladnost s tehničnimi smernicami za načelo, da se ne škoduje bistveno (2021/C58/01), podprtih sredstev/dejavnosti in upravičencev, ki zahtevajo vsaj uporabo seznama izključitev in skladnost podprtih sredstev/dejavnosti in upravičencev z ustreznim okoljskim pravnim redom EU in nacionalnim okoljskim pravnim redom ter zagotavljanje skladnosti.</w:t>
            </w:r>
          </w:p>
        </w:tc>
      </w:tr>
      <w:tr w:rsidR="00154E32" w14:paraId="553F6BD3" w14:textId="77777777">
        <w:trPr>
          <w:trHeight w:val="313"/>
          <w:jc w:val="center"/>
        </w:trPr>
        <w:tc>
          <w:tcPr>
            <w:tcW w:w="377" w:type="pct"/>
            <w:shd w:val="clear" w:color="auto" w:fill="C6EFCE"/>
            <w:noWrap/>
            <w:vAlign w:val="center"/>
            <w:hideMark/>
          </w:tcPr>
          <w:p w14:paraId="24AE1518" w14:textId="77777777" w:rsidR="00154E32" w:rsidRDefault="00A43E04">
            <w:pPr>
              <w:pStyle w:val="P68B1DB1-Normal11"/>
              <w:jc w:val="center"/>
              <w:rPr>
                <w:noProof/>
              </w:rPr>
            </w:pPr>
            <w:r>
              <w:rPr>
                <w:noProof/>
              </w:rPr>
              <w:t>M1C3–27</w:t>
            </w:r>
          </w:p>
        </w:tc>
        <w:tc>
          <w:tcPr>
            <w:tcW w:w="520" w:type="pct"/>
            <w:shd w:val="clear" w:color="auto" w:fill="C6EFCE"/>
            <w:noWrap/>
            <w:vAlign w:val="center"/>
            <w:hideMark/>
          </w:tcPr>
          <w:p w14:paraId="456C0984" w14:textId="77777777" w:rsidR="00154E32" w:rsidRDefault="00A43E04">
            <w:pPr>
              <w:pStyle w:val="P68B1DB1-Normal11"/>
              <w:jc w:val="center"/>
              <w:rPr>
                <w:noProof/>
              </w:rPr>
            </w:pPr>
            <w:r>
              <w:rPr>
                <w:noProof/>
              </w:rPr>
              <w:t>Naložbe – 4.3 Caput Mundi-Next Generation EU za velike turistične dogodke</w:t>
            </w:r>
          </w:p>
        </w:tc>
        <w:tc>
          <w:tcPr>
            <w:tcW w:w="378" w:type="pct"/>
            <w:shd w:val="clear" w:color="auto" w:fill="C6EFCE"/>
            <w:noWrap/>
            <w:vAlign w:val="center"/>
            <w:hideMark/>
          </w:tcPr>
          <w:p w14:paraId="5CB5F7F3" w14:textId="77777777" w:rsidR="00154E32" w:rsidRDefault="00A43E04">
            <w:pPr>
              <w:pStyle w:val="P68B1DB1-Normal11"/>
              <w:jc w:val="center"/>
              <w:rPr>
                <w:noProof/>
              </w:rPr>
            </w:pPr>
            <w:r>
              <w:rPr>
                <w:noProof/>
              </w:rPr>
              <w:t>Tarča</w:t>
            </w:r>
          </w:p>
        </w:tc>
        <w:tc>
          <w:tcPr>
            <w:tcW w:w="520" w:type="pct"/>
            <w:shd w:val="clear" w:color="auto" w:fill="C6EFCE"/>
            <w:noWrap/>
            <w:vAlign w:val="center"/>
            <w:hideMark/>
          </w:tcPr>
          <w:p w14:paraId="4BF60DCD" w14:textId="77777777" w:rsidR="00154E32" w:rsidRDefault="00A43E04">
            <w:pPr>
              <w:pStyle w:val="P68B1DB1-Normal11"/>
              <w:jc w:val="center"/>
              <w:rPr>
                <w:noProof/>
              </w:rPr>
            </w:pPr>
            <w:r>
              <w:rPr>
                <w:noProof/>
              </w:rPr>
              <w:t>Število</w:t>
            </w:r>
          </w:p>
          <w:p w14:paraId="729E13FF" w14:textId="453C95C3" w:rsidR="00154E32" w:rsidRDefault="00A43E04">
            <w:pPr>
              <w:pStyle w:val="P68B1DB1-Normal11"/>
              <w:jc w:val="center"/>
              <w:rPr>
                <w:noProof/>
              </w:rPr>
            </w:pPr>
            <w:r>
              <w:rPr>
                <w:noProof/>
              </w:rPr>
              <w:t>kulturne in turistične znamenitosti, katerih prekvalifikacija je v povprečju dosegla 50 % podjetja Stato Avanzamento Lavori (SAL) (prvi sklop)</w:t>
            </w:r>
          </w:p>
        </w:tc>
        <w:tc>
          <w:tcPr>
            <w:tcW w:w="520" w:type="pct"/>
            <w:shd w:val="clear" w:color="auto" w:fill="C6EFCE"/>
            <w:noWrap/>
            <w:vAlign w:val="center"/>
            <w:hideMark/>
          </w:tcPr>
          <w:p w14:paraId="35720EEE" w14:textId="77777777" w:rsidR="00154E32" w:rsidRDefault="00A43E04">
            <w:pPr>
              <w:pStyle w:val="P68B1DB1-Normal11"/>
              <w:jc w:val="center"/>
              <w:rPr>
                <w:noProof/>
              </w:rPr>
            </w:pPr>
            <w:r>
              <w:rPr>
                <w:noProof/>
              </w:rPr>
              <w:t>JIH NI</w:t>
            </w:r>
          </w:p>
        </w:tc>
        <w:tc>
          <w:tcPr>
            <w:tcW w:w="331" w:type="pct"/>
            <w:shd w:val="clear" w:color="auto" w:fill="C6EFCE"/>
            <w:noWrap/>
            <w:vAlign w:val="center"/>
            <w:hideMark/>
          </w:tcPr>
          <w:p w14:paraId="73B38C83" w14:textId="77777777" w:rsidR="00154E32" w:rsidRDefault="00A43E04">
            <w:pPr>
              <w:pStyle w:val="P68B1DB1-Normal11"/>
              <w:jc w:val="center"/>
              <w:rPr>
                <w:noProof/>
              </w:rPr>
            </w:pPr>
            <w:r>
              <w:rPr>
                <w:noProof/>
              </w:rPr>
              <w:t>Število</w:t>
            </w:r>
          </w:p>
        </w:tc>
        <w:tc>
          <w:tcPr>
            <w:tcW w:w="332" w:type="pct"/>
            <w:shd w:val="clear" w:color="auto" w:fill="C6EFCE"/>
            <w:noWrap/>
            <w:vAlign w:val="center"/>
            <w:hideMark/>
          </w:tcPr>
          <w:p w14:paraId="4A226571" w14:textId="77777777" w:rsidR="00154E32" w:rsidRDefault="00A43E04">
            <w:pPr>
              <w:pStyle w:val="P68B1DB1-Normal11"/>
              <w:jc w:val="center"/>
              <w:rPr>
                <w:noProof/>
              </w:rPr>
            </w:pPr>
            <w:r>
              <w:rPr>
                <w:noProof/>
              </w:rPr>
              <w:t>0</w:t>
            </w:r>
          </w:p>
        </w:tc>
        <w:tc>
          <w:tcPr>
            <w:tcW w:w="424" w:type="pct"/>
            <w:shd w:val="clear" w:color="auto" w:fill="C6EFCE"/>
            <w:noWrap/>
            <w:vAlign w:val="center"/>
            <w:hideMark/>
          </w:tcPr>
          <w:p w14:paraId="249A709A" w14:textId="77777777" w:rsidR="00154E32" w:rsidRDefault="00A43E04">
            <w:pPr>
              <w:pStyle w:val="P68B1DB1-Normal11"/>
              <w:jc w:val="center"/>
              <w:rPr>
                <w:noProof/>
              </w:rPr>
            </w:pPr>
            <w:r>
              <w:rPr>
                <w:noProof/>
              </w:rPr>
              <w:t>100</w:t>
            </w:r>
          </w:p>
        </w:tc>
        <w:tc>
          <w:tcPr>
            <w:tcW w:w="332" w:type="pct"/>
            <w:shd w:val="clear" w:color="auto" w:fill="C6EFCE"/>
            <w:noWrap/>
            <w:vAlign w:val="center"/>
            <w:hideMark/>
          </w:tcPr>
          <w:p w14:paraId="53DE8189" w14:textId="77777777" w:rsidR="00154E32" w:rsidRDefault="00A43E04">
            <w:pPr>
              <w:pStyle w:val="P68B1DB1-Normal11"/>
              <w:jc w:val="center"/>
              <w:rPr>
                <w:noProof/>
              </w:rPr>
            </w:pPr>
            <w:r>
              <w:rPr>
                <w:noProof/>
              </w:rPr>
              <w:t>Q4</w:t>
            </w:r>
          </w:p>
        </w:tc>
        <w:tc>
          <w:tcPr>
            <w:tcW w:w="220" w:type="pct"/>
            <w:shd w:val="clear" w:color="auto" w:fill="C6EFCE"/>
            <w:noWrap/>
            <w:vAlign w:val="center"/>
            <w:hideMark/>
          </w:tcPr>
          <w:p w14:paraId="1A1C4A73" w14:textId="77777777" w:rsidR="00154E32" w:rsidRDefault="00A43E04">
            <w:pPr>
              <w:pStyle w:val="P68B1DB1-Normal11"/>
              <w:jc w:val="center"/>
              <w:rPr>
                <w:noProof/>
              </w:rPr>
            </w:pPr>
            <w:r>
              <w:rPr>
                <w:noProof/>
              </w:rPr>
              <w:t>2024</w:t>
            </w:r>
          </w:p>
        </w:tc>
        <w:tc>
          <w:tcPr>
            <w:tcW w:w="1047" w:type="pct"/>
            <w:shd w:val="clear" w:color="auto" w:fill="C6EFCE"/>
            <w:noWrap/>
            <w:vAlign w:val="center"/>
            <w:hideMark/>
          </w:tcPr>
          <w:p w14:paraId="4A60E3E9" w14:textId="77777777" w:rsidR="00154E32" w:rsidRDefault="00A43E04">
            <w:pPr>
              <w:pStyle w:val="P68B1DB1-Normal11"/>
              <w:rPr>
                <w:noProof/>
              </w:rPr>
            </w:pPr>
            <w:r>
              <w:rPr>
                <w:noProof/>
              </w:rPr>
              <w:t>Naložba vključuje intervencije, ki zajemajo:</w:t>
            </w:r>
          </w:p>
          <w:p w14:paraId="02143C16" w14:textId="77777777" w:rsidR="00154E32" w:rsidRDefault="00A43E04">
            <w:pPr>
              <w:pStyle w:val="P68B1DB1-ListParagraph13"/>
              <w:numPr>
                <w:ilvl w:val="0"/>
                <w:numId w:val="86"/>
              </w:numPr>
              <w:jc w:val="left"/>
              <w:rPr>
                <w:noProof/>
              </w:rPr>
            </w:pPr>
            <w:r>
              <w:rPr>
                <w:noProof/>
              </w:rPr>
              <w:t xml:space="preserve"> obnovo in obnovo kulturne in mestne dediščine ter kompleksov z visoko zgodovinsko-arhitekturno vrednostjo mesta Rim za naložbeno vrstico „Rimska kulturna dediščina za naslednjo generacijo EU“;  </w:t>
            </w:r>
          </w:p>
          <w:p w14:paraId="5D51D4AF" w14:textId="0DBBE65C" w:rsidR="00154E32" w:rsidRDefault="00A43E04">
            <w:pPr>
              <w:pStyle w:val="P68B1DB1-ListParagraph13"/>
              <w:numPr>
                <w:ilvl w:val="0"/>
                <w:numId w:val="86"/>
              </w:numPr>
              <w:tabs>
                <w:tab w:val="left" w:pos="1340"/>
                <w:tab w:val="left" w:pos="1341"/>
              </w:tabs>
              <w:ind w:right="-7"/>
              <w:jc w:val="left"/>
              <w:rPr>
                <w:noProof/>
              </w:rPr>
            </w:pPr>
            <w:r>
              <w:rPr>
                <w:noProof/>
              </w:rPr>
              <w:t>izboljšanje, varnost, protiseizmična konsolidacija, obnova krajev in stavb zgodovinskega pomena ter arheološke poti za naložbeno linijo „Jubilee paths“;</w:t>
            </w:r>
          </w:p>
          <w:p w14:paraId="27591C5D" w14:textId="77777777" w:rsidR="00154E32" w:rsidRDefault="00A43E04">
            <w:pPr>
              <w:pStyle w:val="P68B1DB1-ListParagraph13"/>
              <w:numPr>
                <w:ilvl w:val="0"/>
                <w:numId w:val="86"/>
              </w:numPr>
              <w:tabs>
                <w:tab w:val="left" w:pos="1340"/>
                <w:tab w:val="left" w:pos="1341"/>
              </w:tabs>
              <w:ind w:right="-7"/>
              <w:jc w:val="left"/>
              <w:rPr>
                <w:noProof/>
              </w:rPr>
            </w:pPr>
            <w:r>
              <w:rPr>
                <w:noProof/>
              </w:rPr>
              <w:t>prenova območij na obrobnih območjih za naložbeno linijo „#LaCittàCondivisa“;</w:t>
            </w:r>
          </w:p>
          <w:p w14:paraId="20A1DDA6" w14:textId="77777777" w:rsidR="00154E32" w:rsidRDefault="00A43E04">
            <w:pPr>
              <w:pStyle w:val="P68B1DB1-ListParagraph13"/>
              <w:numPr>
                <w:ilvl w:val="0"/>
                <w:numId w:val="86"/>
              </w:numPr>
              <w:tabs>
                <w:tab w:val="left" w:pos="1340"/>
                <w:tab w:val="left" w:pos="1341"/>
              </w:tabs>
              <w:ind w:right="-7"/>
              <w:jc w:val="left"/>
              <w:rPr>
                <w:noProof/>
              </w:rPr>
            </w:pPr>
            <w:r>
              <w:rPr>
                <w:noProof/>
              </w:rPr>
              <w:t>posegi na parkih, zgodovinskih vrtovih, vilah in avtomatih za naložbeno linijo #Mitingodiverde;</w:t>
            </w:r>
          </w:p>
          <w:p w14:paraId="7CC0F62D" w14:textId="77777777" w:rsidR="00154E32" w:rsidRDefault="00A43E04">
            <w:pPr>
              <w:pStyle w:val="P68B1DB1-ListParagraph13"/>
              <w:numPr>
                <w:ilvl w:val="0"/>
                <w:numId w:val="86"/>
              </w:numPr>
              <w:tabs>
                <w:tab w:val="left" w:pos="1340"/>
                <w:tab w:val="left" w:pos="1341"/>
              </w:tabs>
              <w:ind w:right="-7"/>
              <w:jc w:val="left"/>
              <w:rPr>
                <w:noProof/>
              </w:rPr>
            </w:pPr>
            <w:r>
              <w:rPr>
                <w:noProof/>
              </w:rPr>
              <w:t>digitalizacija kulturnih storitev in razvoj aplikacij za turiste ali naložbena vrstica #Roma 4.0;</w:t>
            </w:r>
          </w:p>
          <w:p w14:paraId="340C41A7" w14:textId="1E54446B" w:rsidR="00154E32" w:rsidRDefault="00A43E04">
            <w:pPr>
              <w:pStyle w:val="P68B1DB1-ListParagraph13"/>
              <w:numPr>
                <w:ilvl w:val="0"/>
                <w:numId w:val="86"/>
              </w:numPr>
              <w:tabs>
                <w:tab w:val="left" w:pos="1340"/>
                <w:tab w:val="left" w:pos="1341"/>
              </w:tabs>
              <w:ind w:right="-7"/>
              <w:jc w:val="left"/>
              <w:rPr>
                <w:noProof/>
              </w:rPr>
            </w:pPr>
            <w:r>
              <w:rPr>
                <w:noProof/>
              </w:rPr>
              <w:t>Ukrepi za povečanje ponudbe kulturne ponudbe obrobjem za socialno vključevanje za naložbeno vrstico št. #Amanotesa.</w:t>
            </w:r>
          </w:p>
        </w:tc>
      </w:tr>
      <w:tr w:rsidR="00154E32" w14:paraId="70BA11F3" w14:textId="77777777">
        <w:trPr>
          <w:trHeight w:val="313"/>
          <w:jc w:val="center"/>
        </w:trPr>
        <w:tc>
          <w:tcPr>
            <w:tcW w:w="377" w:type="pct"/>
            <w:shd w:val="clear" w:color="auto" w:fill="C6EFCE"/>
            <w:noWrap/>
            <w:vAlign w:val="center"/>
            <w:hideMark/>
          </w:tcPr>
          <w:p w14:paraId="7D18546A" w14:textId="77777777" w:rsidR="00154E32" w:rsidRDefault="00A43E04">
            <w:pPr>
              <w:pStyle w:val="P68B1DB1-Normal11"/>
              <w:jc w:val="center"/>
              <w:rPr>
                <w:noProof/>
              </w:rPr>
            </w:pPr>
            <w:r>
              <w:rPr>
                <w:noProof/>
              </w:rPr>
              <w:t>M1C3–28</w:t>
            </w:r>
          </w:p>
        </w:tc>
        <w:tc>
          <w:tcPr>
            <w:tcW w:w="520" w:type="pct"/>
            <w:shd w:val="clear" w:color="auto" w:fill="C6EFCE"/>
            <w:noWrap/>
            <w:vAlign w:val="center"/>
            <w:hideMark/>
          </w:tcPr>
          <w:p w14:paraId="1A444F5D" w14:textId="77777777" w:rsidR="00154E32" w:rsidRDefault="00A43E04">
            <w:pPr>
              <w:pStyle w:val="P68B1DB1-Normal11"/>
              <w:jc w:val="center"/>
              <w:rPr>
                <w:noProof/>
              </w:rPr>
            </w:pPr>
            <w:r>
              <w:rPr>
                <w:noProof/>
              </w:rPr>
              <w:t>Naložba 4.2:  Sredstva za konkurenčnost turističnih podjetij</w:t>
            </w:r>
          </w:p>
        </w:tc>
        <w:tc>
          <w:tcPr>
            <w:tcW w:w="378" w:type="pct"/>
            <w:shd w:val="clear" w:color="auto" w:fill="C6EFCE"/>
            <w:noWrap/>
            <w:vAlign w:val="center"/>
            <w:hideMark/>
          </w:tcPr>
          <w:p w14:paraId="49A5689E" w14:textId="77777777" w:rsidR="00154E32" w:rsidRDefault="00A43E04">
            <w:pPr>
              <w:pStyle w:val="P68B1DB1-Normal11"/>
              <w:jc w:val="center"/>
              <w:rPr>
                <w:noProof/>
              </w:rPr>
            </w:pPr>
            <w:r>
              <w:rPr>
                <w:noProof/>
              </w:rPr>
              <w:t>Tarča</w:t>
            </w:r>
          </w:p>
        </w:tc>
        <w:tc>
          <w:tcPr>
            <w:tcW w:w="520" w:type="pct"/>
            <w:shd w:val="clear" w:color="auto" w:fill="C6EFCE"/>
            <w:noWrap/>
            <w:vAlign w:val="center"/>
            <w:hideMark/>
          </w:tcPr>
          <w:p w14:paraId="570E0496" w14:textId="11E36953" w:rsidR="00154E32" w:rsidRDefault="00A43E04">
            <w:pPr>
              <w:pStyle w:val="P68B1DB1-Normal11"/>
              <w:jc w:val="center"/>
              <w:rPr>
                <w:noProof/>
              </w:rPr>
            </w:pPr>
            <w:r>
              <w:rPr>
                <w:noProof/>
              </w:rPr>
              <w:t>Število turističnih podjetij, podprtih z davčno olajšavo za infrastrukturo in/ali storitve;</w:t>
            </w:r>
          </w:p>
        </w:tc>
        <w:tc>
          <w:tcPr>
            <w:tcW w:w="520" w:type="pct"/>
            <w:shd w:val="clear" w:color="auto" w:fill="C6EFCE"/>
            <w:noWrap/>
            <w:vAlign w:val="center"/>
            <w:hideMark/>
          </w:tcPr>
          <w:p w14:paraId="6530ECFB" w14:textId="77777777" w:rsidR="00154E32" w:rsidRDefault="00A43E04">
            <w:pPr>
              <w:pStyle w:val="P68B1DB1-Normal11"/>
              <w:jc w:val="center"/>
              <w:rPr>
                <w:noProof/>
              </w:rPr>
            </w:pPr>
            <w:r>
              <w:rPr>
                <w:noProof/>
              </w:rPr>
              <w:t>JIH NI</w:t>
            </w:r>
          </w:p>
        </w:tc>
        <w:tc>
          <w:tcPr>
            <w:tcW w:w="331" w:type="pct"/>
            <w:shd w:val="clear" w:color="auto" w:fill="C6EFCE"/>
            <w:noWrap/>
            <w:vAlign w:val="center"/>
            <w:hideMark/>
          </w:tcPr>
          <w:p w14:paraId="21003486" w14:textId="77777777" w:rsidR="00154E32" w:rsidRDefault="00A43E04">
            <w:pPr>
              <w:pStyle w:val="P68B1DB1-Normal11"/>
              <w:jc w:val="center"/>
              <w:rPr>
                <w:noProof/>
              </w:rPr>
            </w:pPr>
            <w:r>
              <w:rPr>
                <w:noProof/>
              </w:rPr>
              <w:t>Število</w:t>
            </w:r>
          </w:p>
        </w:tc>
        <w:tc>
          <w:tcPr>
            <w:tcW w:w="332" w:type="pct"/>
            <w:shd w:val="clear" w:color="auto" w:fill="C6EFCE"/>
            <w:noWrap/>
            <w:vAlign w:val="center"/>
            <w:hideMark/>
          </w:tcPr>
          <w:p w14:paraId="1FEBBC44" w14:textId="77777777" w:rsidR="00154E32" w:rsidRDefault="00A43E04">
            <w:pPr>
              <w:pStyle w:val="P68B1DB1-Normal11"/>
              <w:jc w:val="center"/>
              <w:rPr>
                <w:noProof/>
              </w:rPr>
            </w:pPr>
            <w:r>
              <w:rPr>
                <w:noProof/>
              </w:rPr>
              <w:t>0</w:t>
            </w:r>
          </w:p>
        </w:tc>
        <w:tc>
          <w:tcPr>
            <w:tcW w:w="424" w:type="pct"/>
            <w:shd w:val="clear" w:color="auto" w:fill="C6EFCE"/>
            <w:noWrap/>
            <w:vAlign w:val="center"/>
            <w:hideMark/>
          </w:tcPr>
          <w:p w14:paraId="31A25066" w14:textId="2830CED0" w:rsidR="00154E32" w:rsidRDefault="00A43E04">
            <w:pPr>
              <w:pStyle w:val="P68B1DB1-Normal11"/>
              <w:jc w:val="center"/>
              <w:rPr>
                <w:noProof/>
              </w:rPr>
            </w:pPr>
            <w:r>
              <w:rPr>
                <w:noProof/>
              </w:rPr>
              <w:t>3 500</w:t>
            </w:r>
          </w:p>
        </w:tc>
        <w:tc>
          <w:tcPr>
            <w:tcW w:w="332" w:type="pct"/>
            <w:shd w:val="clear" w:color="auto" w:fill="C6EFCE"/>
            <w:noWrap/>
            <w:vAlign w:val="center"/>
            <w:hideMark/>
          </w:tcPr>
          <w:p w14:paraId="3AF32EC6" w14:textId="77777777" w:rsidR="00154E32" w:rsidRDefault="00A43E04">
            <w:pPr>
              <w:pStyle w:val="P68B1DB1-Normal11"/>
              <w:jc w:val="center"/>
              <w:rPr>
                <w:noProof/>
              </w:rPr>
            </w:pPr>
            <w:r>
              <w:rPr>
                <w:noProof/>
              </w:rPr>
              <w:t>Q4</w:t>
            </w:r>
          </w:p>
        </w:tc>
        <w:tc>
          <w:tcPr>
            <w:tcW w:w="220" w:type="pct"/>
            <w:shd w:val="clear" w:color="auto" w:fill="C6EFCE"/>
            <w:noWrap/>
            <w:vAlign w:val="center"/>
            <w:hideMark/>
          </w:tcPr>
          <w:p w14:paraId="1E5633FB" w14:textId="77777777" w:rsidR="00154E32" w:rsidRDefault="00A43E04">
            <w:pPr>
              <w:pStyle w:val="P68B1DB1-Normal11"/>
              <w:jc w:val="center"/>
              <w:rPr>
                <w:noProof/>
              </w:rPr>
            </w:pPr>
            <w:r>
              <w:rPr>
                <w:noProof/>
              </w:rPr>
              <w:t>2025</w:t>
            </w:r>
          </w:p>
        </w:tc>
        <w:tc>
          <w:tcPr>
            <w:tcW w:w="1047" w:type="pct"/>
            <w:shd w:val="clear" w:color="auto" w:fill="C6EFCE"/>
            <w:noWrap/>
            <w:vAlign w:val="center"/>
            <w:hideMark/>
          </w:tcPr>
          <w:p w14:paraId="6C14D3B0" w14:textId="3EB7F92D" w:rsidR="00154E32" w:rsidRDefault="00A43E04">
            <w:pPr>
              <w:pStyle w:val="P68B1DB1-Normal12"/>
              <w:rPr>
                <w:rFonts w:ascii="Arial Narrow" w:hAnsi="Arial Narrow"/>
                <w:noProof/>
              </w:rPr>
            </w:pPr>
            <w:r>
              <w:rPr>
                <w:rFonts w:ascii="Arial Narrow" w:hAnsi="Arial Narrow"/>
                <w:noProof/>
              </w:rPr>
              <w:t>Vsaj 3500</w:t>
            </w:r>
            <w:r>
              <w:rPr>
                <w:noProof/>
              </w:rPr>
              <w:t xml:space="preserve"> </w:t>
            </w:r>
            <w:r>
              <w:rPr>
                <w:rFonts w:ascii="Arial Narrow" w:hAnsi="Arial Narrow"/>
                <w:noProof/>
              </w:rPr>
              <w:t>turističnih podjetij, podprtih z davčno olajšavo za infrastrukturo in/ali storitve;</w:t>
            </w:r>
          </w:p>
          <w:p w14:paraId="7609E6EB" w14:textId="77777777" w:rsidR="00154E32" w:rsidRDefault="00A43E04">
            <w:pPr>
              <w:pStyle w:val="P68B1DB1-Normal11"/>
              <w:rPr>
                <w:noProof/>
              </w:rPr>
            </w:pPr>
            <w:r>
              <w:rPr>
                <w:noProof/>
              </w:rPr>
              <w:t xml:space="preserve">Podpora, zagotovljena z davčno olajšavo, poveča kakovost turistične gostoljubnosti z: </w:t>
            </w:r>
          </w:p>
          <w:p w14:paraId="74ECB96F" w14:textId="77777777" w:rsidR="00154E32" w:rsidRDefault="00A43E04">
            <w:pPr>
              <w:pStyle w:val="P68B1DB1-ListParagraph13"/>
              <w:numPr>
                <w:ilvl w:val="0"/>
                <w:numId w:val="88"/>
              </w:numPr>
              <w:ind w:left="310" w:hanging="310"/>
              <w:jc w:val="left"/>
              <w:rPr>
                <w:noProof/>
              </w:rPr>
            </w:pPr>
            <w:r>
              <w:rPr>
                <w:noProof/>
              </w:rPr>
              <w:t>naložbe za okoljsko trajnost (energetsko manj intenzivni obnovljivi viri)</w:t>
            </w:r>
          </w:p>
          <w:p w14:paraId="3892BF1A" w14:textId="77777777" w:rsidR="00154E32" w:rsidRDefault="00A43E04">
            <w:pPr>
              <w:pStyle w:val="P68B1DB1-ListParagraph13"/>
              <w:numPr>
                <w:ilvl w:val="0"/>
                <w:numId w:val="88"/>
              </w:numPr>
              <w:ind w:left="310" w:hanging="310"/>
              <w:jc w:val="left"/>
              <w:rPr>
                <w:noProof/>
              </w:rPr>
            </w:pPr>
            <w:r>
              <w:rPr>
                <w:noProof/>
              </w:rPr>
              <w:t>ponovna vzpostavitev in dvig standardov kakovosti italijanskih nastanitvenih objektov </w:t>
            </w:r>
          </w:p>
        </w:tc>
      </w:tr>
      <w:tr w:rsidR="00154E32" w14:paraId="5BD8D19E" w14:textId="77777777">
        <w:trPr>
          <w:trHeight w:val="313"/>
          <w:jc w:val="center"/>
        </w:trPr>
        <w:tc>
          <w:tcPr>
            <w:tcW w:w="377" w:type="pct"/>
            <w:shd w:val="clear" w:color="auto" w:fill="C6EFCE"/>
            <w:noWrap/>
            <w:vAlign w:val="center"/>
            <w:hideMark/>
          </w:tcPr>
          <w:p w14:paraId="2D4F7863" w14:textId="77777777" w:rsidR="00154E32" w:rsidRDefault="00A43E04">
            <w:pPr>
              <w:pStyle w:val="P68B1DB1-Normal11"/>
              <w:jc w:val="center"/>
              <w:rPr>
                <w:noProof/>
              </w:rPr>
            </w:pPr>
            <w:r>
              <w:rPr>
                <w:noProof/>
              </w:rPr>
              <w:t>M1C3–29</w:t>
            </w:r>
          </w:p>
        </w:tc>
        <w:tc>
          <w:tcPr>
            <w:tcW w:w="520" w:type="pct"/>
            <w:shd w:val="clear" w:color="auto" w:fill="C6EFCE"/>
            <w:noWrap/>
            <w:vAlign w:val="center"/>
            <w:hideMark/>
          </w:tcPr>
          <w:p w14:paraId="2CBE44DB" w14:textId="3B9DADD2" w:rsidR="00154E32" w:rsidRDefault="00A43E04">
            <w:pPr>
              <w:pStyle w:val="P68B1DB1-Normal11"/>
              <w:jc w:val="center"/>
              <w:rPr>
                <w:noProof/>
              </w:rPr>
            </w:pPr>
            <w:r>
              <w:rPr>
                <w:noProof/>
              </w:rPr>
              <w:t>Naložba 4.2:  Sredstva za konkurenčnost turističnih podjetij</w:t>
            </w:r>
          </w:p>
        </w:tc>
        <w:tc>
          <w:tcPr>
            <w:tcW w:w="378" w:type="pct"/>
            <w:shd w:val="clear" w:color="auto" w:fill="C6EFCE"/>
            <w:noWrap/>
            <w:vAlign w:val="center"/>
            <w:hideMark/>
          </w:tcPr>
          <w:p w14:paraId="1A6454FC" w14:textId="77777777" w:rsidR="00154E32" w:rsidRDefault="00A43E04">
            <w:pPr>
              <w:pStyle w:val="P68B1DB1-Normal11"/>
              <w:jc w:val="center"/>
              <w:rPr>
                <w:noProof/>
              </w:rPr>
            </w:pPr>
            <w:r>
              <w:rPr>
                <w:noProof/>
              </w:rPr>
              <w:t>Tarča</w:t>
            </w:r>
          </w:p>
        </w:tc>
        <w:tc>
          <w:tcPr>
            <w:tcW w:w="520" w:type="pct"/>
            <w:shd w:val="clear" w:color="auto" w:fill="C6EFCE"/>
            <w:noWrap/>
            <w:vAlign w:val="center"/>
            <w:hideMark/>
          </w:tcPr>
          <w:p w14:paraId="634D3C68" w14:textId="4974F7D5" w:rsidR="00154E32" w:rsidRDefault="00A43E04">
            <w:pPr>
              <w:pStyle w:val="P68B1DB1-Normal11"/>
              <w:jc w:val="center"/>
              <w:rPr>
                <w:noProof/>
              </w:rPr>
            </w:pPr>
            <w:r>
              <w:rPr>
                <w:noProof/>
              </w:rPr>
              <w:t>Število turističnih projektov, ki bodo prejeli podporo iz tematskih skladov Evropske investicijske banke</w:t>
            </w:r>
          </w:p>
        </w:tc>
        <w:tc>
          <w:tcPr>
            <w:tcW w:w="520" w:type="pct"/>
            <w:shd w:val="clear" w:color="auto" w:fill="C6EFCE"/>
            <w:noWrap/>
            <w:vAlign w:val="center"/>
            <w:hideMark/>
          </w:tcPr>
          <w:p w14:paraId="7027BA4F" w14:textId="77777777" w:rsidR="00154E32" w:rsidRDefault="00A43E04">
            <w:pPr>
              <w:pStyle w:val="P68B1DB1-Normal11"/>
              <w:jc w:val="center"/>
              <w:rPr>
                <w:noProof/>
              </w:rPr>
            </w:pPr>
            <w:r>
              <w:rPr>
                <w:noProof/>
              </w:rPr>
              <w:t>JIH NI</w:t>
            </w:r>
          </w:p>
        </w:tc>
        <w:tc>
          <w:tcPr>
            <w:tcW w:w="331" w:type="pct"/>
            <w:shd w:val="clear" w:color="auto" w:fill="C6EFCE"/>
            <w:noWrap/>
            <w:vAlign w:val="center"/>
            <w:hideMark/>
          </w:tcPr>
          <w:p w14:paraId="3F234DA1" w14:textId="77777777" w:rsidR="00154E32" w:rsidRDefault="00A43E04">
            <w:pPr>
              <w:pStyle w:val="P68B1DB1-Normal11"/>
              <w:jc w:val="center"/>
              <w:rPr>
                <w:noProof/>
              </w:rPr>
            </w:pPr>
            <w:r>
              <w:rPr>
                <w:noProof/>
              </w:rPr>
              <w:t>Število</w:t>
            </w:r>
          </w:p>
        </w:tc>
        <w:tc>
          <w:tcPr>
            <w:tcW w:w="332" w:type="pct"/>
            <w:shd w:val="clear" w:color="auto" w:fill="C6EFCE"/>
            <w:noWrap/>
            <w:vAlign w:val="center"/>
            <w:hideMark/>
          </w:tcPr>
          <w:p w14:paraId="4865E6BD" w14:textId="77777777" w:rsidR="00154E32" w:rsidRDefault="00A43E04">
            <w:pPr>
              <w:pStyle w:val="P68B1DB1-Normal11"/>
              <w:jc w:val="center"/>
              <w:rPr>
                <w:noProof/>
              </w:rPr>
            </w:pPr>
            <w:r>
              <w:rPr>
                <w:noProof/>
              </w:rPr>
              <w:t>0</w:t>
            </w:r>
          </w:p>
        </w:tc>
        <w:tc>
          <w:tcPr>
            <w:tcW w:w="424" w:type="pct"/>
            <w:shd w:val="clear" w:color="auto" w:fill="C6EFCE"/>
            <w:noWrap/>
            <w:vAlign w:val="center"/>
            <w:hideMark/>
          </w:tcPr>
          <w:p w14:paraId="43FC2032" w14:textId="7806EEE0" w:rsidR="00154E32" w:rsidRDefault="00A43E04">
            <w:pPr>
              <w:pStyle w:val="P68B1DB1-Normal11"/>
              <w:jc w:val="center"/>
              <w:rPr>
                <w:noProof/>
              </w:rPr>
            </w:pPr>
            <w:r>
              <w:rPr>
                <w:noProof/>
              </w:rPr>
              <w:t>170</w:t>
            </w:r>
          </w:p>
        </w:tc>
        <w:tc>
          <w:tcPr>
            <w:tcW w:w="332" w:type="pct"/>
            <w:shd w:val="clear" w:color="auto" w:fill="C6EFCE"/>
            <w:noWrap/>
            <w:vAlign w:val="center"/>
            <w:hideMark/>
          </w:tcPr>
          <w:p w14:paraId="5B696C49" w14:textId="02CFFEC9" w:rsidR="00154E32" w:rsidRDefault="00A43E04">
            <w:pPr>
              <w:pStyle w:val="P68B1DB1-Normal11"/>
              <w:jc w:val="center"/>
              <w:rPr>
                <w:noProof/>
              </w:rPr>
            </w:pPr>
            <w:r>
              <w:rPr>
                <w:noProof/>
              </w:rPr>
              <w:t>Q2</w:t>
            </w:r>
          </w:p>
        </w:tc>
        <w:tc>
          <w:tcPr>
            <w:tcW w:w="220" w:type="pct"/>
            <w:shd w:val="clear" w:color="auto" w:fill="C6EFCE"/>
            <w:noWrap/>
            <w:vAlign w:val="center"/>
            <w:hideMark/>
          </w:tcPr>
          <w:p w14:paraId="2881F180" w14:textId="0701E3C6" w:rsidR="00154E32" w:rsidRDefault="00A43E04">
            <w:pPr>
              <w:pStyle w:val="P68B1DB1-Normal11"/>
              <w:jc w:val="center"/>
              <w:rPr>
                <w:noProof/>
              </w:rPr>
            </w:pPr>
            <w:r>
              <w:rPr>
                <w:noProof/>
              </w:rPr>
              <w:t>2026</w:t>
            </w:r>
          </w:p>
        </w:tc>
        <w:tc>
          <w:tcPr>
            <w:tcW w:w="1047" w:type="pct"/>
            <w:shd w:val="clear" w:color="auto" w:fill="C6EFCE"/>
            <w:noWrap/>
            <w:vAlign w:val="center"/>
            <w:hideMark/>
          </w:tcPr>
          <w:p w14:paraId="1C1A944B" w14:textId="77777777" w:rsidR="00154E32" w:rsidRDefault="00A43E04">
            <w:pPr>
              <w:pStyle w:val="P68B1DB1-Normal11"/>
              <w:rPr>
                <w:noProof/>
              </w:rPr>
            </w:pPr>
            <w:r>
              <w:rPr>
                <w:noProof/>
              </w:rPr>
              <w:t>Podpora vsaj 170 turističnim projektom;</w:t>
            </w:r>
          </w:p>
          <w:p w14:paraId="42B7BE17" w14:textId="77777777" w:rsidR="00154E32" w:rsidRDefault="00A43E04">
            <w:pPr>
              <w:pStyle w:val="P68B1DB1-Normal11"/>
              <w:rPr>
                <w:noProof/>
              </w:rPr>
            </w:pPr>
            <w:r>
              <w:rPr>
                <w:noProof/>
              </w:rPr>
              <w:t xml:space="preserve">Podpora, ki se zagotavlja prek tematskih skladov Evropske investicijske banke, je namenjena: </w:t>
            </w:r>
          </w:p>
          <w:p w14:paraId="1E043EB7" w14:textId="77777777" w:rsidR="00154E32" w:rsidRDefault="00A43E04">
            <w:pPr>
              <w:pStyle w:val="P68B1DB1-ListParagraph13"/>
              <w:numPr>
                <w:ilvl w:val="0"/>
                <w:numId w:val="106"/>
              </w:numPr>
              <w:jc w:val="left"/>
              <w:rPr>
                <w:noProof/>
              </w:rPr>
            </w:pPr>
            <w:r>
              <w:rPr>
                <w:noProof/>
              </w:rPr>
              <w:t>podpiranje inovativnih naložb za digitalni prehod</w:t>
            </w:r>
          </w:p>
          <w:p w14:paraId="23E6BB76" w14:textId="77777777" w:rsidR="00154E32" w:rsidRDefault="00A43E04">
            <w:pPr>
              <w:pStyle w:val="P68B1DB1-ListParagraph13"/>
              <w:numPr>
                <w:ilvl w:val="0"/>
                <w:numId w:val="106"/>
              </w:numPr>
              <w:jc w:val="left"/>
              <w:rPr>
                <w:noProof/>
              </w:rPr>
            </w:pPr>
            <w:r>
              <w:rPr>
                <w:noProof/>
              </w:rPr>
              <w:t>povečanje ponudbe turističnih storitev</w:t>
            </w:r>
          </w:p>
          <w:p w14:paraId="0A2E71DC" w14:textId="77777777" w:rsidR="00154E32" w:rsidRDefault="00A43E04">
            <w:pPr>
              <w:pStyle w:val="P68B1DB1-ListParagraph13"/>
              <w:numPr>
                <w:ilvl w:val="0"/>
                <w:numId w:val="106"/>
              </w:numPr>
              <w:jc w:val="left"/>
              <w:rPr>
                <w:noProof/>
              </w:rPr>
            </w:pPr>
            <w:r>
              <w:rPr>
                <w:noProof/>
              </w:rPr>
              <w:t>spodbujanje procesov združevanja podjetij</w:t>
            </w:r>
          </w:p>
          <w:p w14:paraId="32D2CB95" w14:textId="77777777" w:rsidR="00154E32" w:rsidRDefault="00154E32">
            <w:pPr>
              <w:rPr>
                <w:rFonts w:ascii="Arial Narrow" w:hAnsi="Arial Narrow"/>
                <w:noProof/>
                <w:color w:val="006100"/>
                <w:sz w:val="20"/>
              </w:rPr>
            </w:pPr>
          </w:p>
        </w:tc>
      </w:tr>
      <w:tr w:rsidR="00154E32" w14:paraId="0FB20534" w14:textId="77777777">
        <w:trPr>
          <w:trHeight w:val="313"/>
          <w:jc w:val="center"/>
        </w:trPr>
        <w:tc>
          <w:tcPr>
            <w:tcW w:w="377" w:type="pct"/>
            <w:shd w:val="clear" w:color="auto" w:fill="C6EFCE"/>
            <w:noWrap/>
            <w:vAlign w:val="center"/>
          </w:tcPr>
          <w:p w14:paraId="27EE86F9" w14:textId="77777777" w:rsidR="00154E32" w:rsidRDefault="00A43E04">
            <w:pPr>
              <w:pStyle w:val="P68B1DB1-Normal11"/>
              <w:jc w:val="center"/>
              <w:rPr>
                <w:noProof/>
              </w:rPr>
            </w:pPr>
            <w:r>
              <w:rPr>
                <w:noProof/>
              </w:rPr>
              <w:t>M1C3–30</w:t>
            </w:r>
          </w:p>
        </w:tc>
        <w:tc>
          <w:tcPr>
            <w:tcW w:w="520" w:type="pct"/>
            <w:shd w:val="clear" w:color="auto" w:fill="C6EFCE"/>
            <w:noWrap/>
            <w:vAlign w:val="center"/>
          </w:tcPr>
          <w:p w14:paraId="04BCB981" w14:textId="77777777" w:rsidR="00154E32" w:rsidRDefault="00A43E04">
            <w:pPr>
              <w:pStyle w:val="P68B1DB1-Normal11"/>
              <w:jc w:val="center"/>
              <w:rPr>
                <w:noProof/>
              </w:rPr>
            </w:pPr>
            <w:r>
              <w:rPr>
                <w:noProof/>
              </w:rPr>
              <w:t>Naložba 4.2:  Sredstva za konkurenčnost turizma</w:t>
            </w:r>
          </w:p>
          <w:p w14:paraId="5725426F" w14:textId="77777777" w:rsidR="00154E32" w:rsidRDefault="00A43E04">
            <w:pPr>
              <w:pStyle w:val="P68B1DB1-Normal11"/>
              <w:jc w:val="center"/>
              <w:rPr>
                <w:noProof/>
              </w:rPr>
            </w:pPr>
            <w:r>
              <w:rPr>
                <w:noProof/>
              </w:rPr>
              <w:t>podjetja</w:t>
            </w:r>
          </w:p>
        </w:tc>
        <w:tc>
          <w:tcPr>
            <w:tcW w:w="378" w:type="pct"/>
            <w:shd w:val="clear" w:color="auto" w:fill="C6EFCE"/>
            <w:noWrap/>
            <w:vAlign w:val="center"/>
          </w:tcPr>
          <w:p w14:paraId="4B727B7C" w14:textId="77777777" w:rsidR="00154E32" w:rsidRDefault="00A43E04">
            <w:pPr>
              <w:pStyle w:val="P68B1DB1-Normal11"/>
              <w:jc w:val="center"/>
              <w:rPr>
                <w:noProof/>
              </w:rPr>
            </w:pPr>
            <w:r>
              <w:rPr>
                <w:noProof/>
              </w:rPr>
              <w:t>Tarča</w:t>
            </w:r>
          </w:p>
        </w:tc>
        <w:tc>
          <w:tcPr>
            <w:tcW w:w="520" w:type="pct"/>
            <w:shd w:val="clear" w:color="auto" w:fill="C6EFCE"/>
            <w:noWrap/>
            <w:vAlign w:val="center"/>
          </w:tcPr>
          <w:p w14:paraId="01F811C0" w14:textId="77777777" w:rsidR="00154E32" w:rsidRDefault="00A43E04">
            <w:pPr>
              <w:pStyle w:val="P68B1DB1-Normal11"/>
              <w:jc w:val="center"/>
              <w:rPr>
                <w:noProof/>
              </w:rPr>
            </w:pPr>
            <w:r>
              <w:rPr>
                <w:noProof/>
              </w:rPr>
              <w:t>Tematski skladi Evropske investicijske banke:</w:t>
            </w:r>
          </w:p>
          <w:p w14:paraId="24CDB417" w14:textId="698AE301" w:rsidR="00154E32" w:rsidRDefault="00A43E04">
            <w:pPr>
              <w:pStyle w:val="P68B1DB1-Normal12"/>
              <w:jc w:val="center"/>
              <w:rPr>
                <w:rFonts w:ascii="Arial Narrow" w:hAnsi="Arial Narrow"/>
                <w:noProof/>
              </w:rPr>
            </w:pPr>
            <w:r>
              <w:rPr>
                <w:rFonts w:ascii="Arial Narrow" w:hAnsi="Arial Narrow"/>
                <w:noProof/>
              </w:rPr>
              <w:t>Izplačilo v Sklad v skupni višini 350000000</w:t>
            </w:r>
            <w:r>
              <w:rPr>
                <w:noProof/>
              </w:rPr>
              <w:t xml:space="preserve">  </w:t>
            </w:r>
            <w:r>
              <w:rPr>
                <w:rFonts w:ascii="Arial Narrow" w:hAnsi="Arial Narrow"/>
                <w:noProof/>
              </w:rPr>
              <w:t>EUR</w:t>
            </w:r>
          </w:p>
        </w:tc>
        <w:tc>
          <w:tcPr>
            <w:tcW w:w="520" w:type="pct"/>
            <w:shd w:val="clear" w:color="auto" w:fill="C6EFCE"/>
            <w:noWrap/>
            <w:vAlign w:val="center"/>
          </w:tcPr>
          <w:p w14:paraId="028298D3" w14:textId="77777777" w:rsidR="00154E32" w:rsidRDefault="00A43E04">
            <w:pPr>
              <w:pStyle w:val="P68B1DB1-Normal11"/>
              <w:jc w:val="center"/>
              <w:rPr>
                <w:noProof/>
              </w:rPr>
            </w:pPr>
            <w:r>
              <w:rPr>
                <w:noProof/>
              </w:rPr>
              <w:t>JIH NI</w:t>
            </w:r>
          </w:p>
        </w:tc>
        <w:tc>
          <w:tcPr>
            <w:tcW w:w="331" w:type="pct"/>
            <w:shd w:val="clear" w:color="auto" w:fill="C6EFCE"/>
            <w:noWrap/>
            <w:vAlign w:val="center"/>
          </w:tcPr>
          <w:p w14:paraId="672D7F30" w14:textId="77777777" w:rsidR="00154E32" w:rsidRDefault="00A43E04">
            <w:pPr>
              <w:pStyle w:val="P68B1DB1-Normal11"/>
              <w:jc w:val="center"/>
              <w:rPr>
                <w:noProof/>
              </w:rPr>
            </w:pPr>
            <w:r>
              <w:rPr>
                <w:noProof/>
              </w:rPr>
              <w:t>Število</w:t>
            </w:r>
          </w:p>
        </w:tc>
        <w:tc>
          <w:tcPr>
            <w:tcW w:w="332" w:type="pct"/>
            <w:shd w:val="clear" w:color="auto" w:fill="C6EFCE"/>
            <w:noWrap/>
            <w:vAlign w:val="center"/>
          </w:tcPr>
          <w:p w14:paraId="5775388B" w14:textId="77777777" w:rsidR="00154E32" w:rsidRDefault="00A43E04">
            <w:pPr>
              <w:pStyle w:val="P68B1DB1-Normal11"/>
              <w:jc w:val="center"/>
              <w:rPr>
                <w:noProof/>
              </w:rPr>
            </w:pPr>
            <w:r>
              <w:rPr>
                <w:noProof/>
              </w:rPr>
              <w:t>0</w:t>
            </w:r>
          </w:p>
        </w:tc>
        <w:tc>
          <w:tcPr>
            <w:tcW w:w="424" w:type="pct"/>
            <w:shd w:val="clear" w:color="auto" w:fill="C6EFCE"/>
            <w:noWrap/>
            <w:vAlign w:val="center"/>
          </w:tcPr>
          <w:p w14:paraId="470710C0" w14:textId="695AD042" w:rsidR="00154E32" w:rsidRDefault="00A43E04">
            <w:pPr>
              <w:pStyle w:val="P68B1DB1-Normal11"/>
              <w:jc w:val="center"/>
              <w:rPr>
                <w:noProof/>
              </w:rPr>
            </w:pPr>
            <w:r>
              <w:rPr>
                <w:noProof/>
              </w:rPr>
              <w:t>350 000 000</w:t>
            </w:r>
          </w:p>
        </w:tc>
        <w:tc>
          <w:tcPr>
            <w:tcW w:w="332" w:type="pct"/>
            <w:shd w:val="clear" w:color="auto" w:fill="C6EFCE"/>
            <w:noWrap/>
            <w:vAlign w:val="center"/>
          </w:tcPr>
          <w:p w14:paraId="751A70EF" w14:textId="77777777" w:rsidR="00154E32" w:rsidRDefault="00A43E04">
            <w:pPr>
              <w:pStyle w:val="P68B1DB1-Normal11"/>
              <w:jc w:val="center"/>
              <w:rPr>
                <w:noProof/>
              </w:rPr>
            </w:pPr>
            <w:r>
              <w:rPr>
                <w:noProof/>
              </w:rPr>
              <w:t>Q4</w:t>
            </w:r>
          </w:p>
        </w:tc>
        <w:tc>
          <w:tcPr>
            <w:tcW w:w="220" w:type="pct"/>
            <w:shd w:val="clear" w:color="auto" w:fill="C6EFCE"/>
            <w:noWrap/>
            <w:vAlign w:val="center"/>
          </w:tcPr>
          <w:p w14:paraId="126B8334" w14:textId="77777777" w:rsidR="00154E32" w:rsidRDefault="00A43E04">
            <w:pPr>
              <w:pStyle w:val="P68B1DB1-Normal11"/>
              <w:jc w:val="center"/>
              <w:rPr>
                <w:noProof/>
              </w:rPr>
            </w:pPr>
            <w:r>
              <w:rPr>
                <w:noProof/>
              </w:rPr>
              <w:t>2022</w:t>
            </w:r>
          </w:p>
        </w:tc>
        <w:tc>
          <w:tcPr>
            <w:tcW w:w="1047" w:type="pct"/>
            <w:shd w:val="clear" w:color="auto" w:fill="C6EFCE"/>
            <w:noWrap/>
            <w:vAlign w:val="center"/>
          </w:tcPr>
          <w:p w14:paraId="41951777" w14:textId="77777777" w:rsidR="00154E32" w:rsidRDefault="00A43E04">
            <w:pPr>
              <w:pStyle w:val="P68B1DB1-Normal11"/>
              <w:rPr>
                <w:noProof/>
              </w:rPr>
            </w:pPr>
            <w:r>
              <w:rPr>
                <w:noProof/>
              </w:rPr>
              <w:t>Izplačilo je v skladu z naložbeno politiko, opredeljeno v mejniku.</w:t>
            </w:r>
          </w:p>
        </w:tc>
      </w:tr>
      <w:tr w:rsidR="00154E32" w14:paraId="6AC98B67" w14:textId="77777777">
        <w:trPr>
          <w:trHeight w:val="313"/>
          <w:jc w:val="center"/>
        </w:trPr>
        <w:tc>
          <w:tcPr>
            <w:tcW w:w="377" w:type="pct"/>
            <w:shd w:val="clear" w:color="auto" w:fill="C6EFCE"/>
            <w:noWrap/>
            <w:vAlign w:val="center"/>
          </w:tcPr>
          <w:p w14:paraId="3B7E4E9E" w14:textId="77777777" w:rsidR="00154E32" w:rsidRDefault="00A43E04">
            <w:pPr>
              <w:pStyle w:val="P68B1DB1-Normal11"/>
              <w:jc w:val="center"/>
              <w:rPr>
                <w:noProof/>
              </w:rPr>
            </w:pPr>
            <w:r>
              <w:rPr>
                <w:noProof/>
              </w:rPr>
              <w:t>M1C3–31</w:t>
            </w:r>
          </w:p>
        </w:tc>
        <w:tc>
          <w:tcPr>
            <w:tcW w:w="520" w:type="pct"/>
            <w:shd w:val="clear" w:color="auto" w:fill="C6EFCE"/>
            <w:noWrap/>
            <w:vAlign w:val="center"/>
          </w:tcPr>
          <w:p w14:paraId="0AFB20C7" w14:textId="5EEE6BEA" w:rsidR="00154E32" w:rsidRDefault="00A43E04">
            <w:pPr>
              <w:pStyle w:val="P68B1DB1-Normal11"/>
              <w:jc w:val="center"/>
              <w:rPr>
                <w:noProof/>
              </w:rPr>
            </w:pPr>
            <w:r>
              <w:rPr>
                <w:noProof/>
              </w:rPr>
              <w:t>Naložba 4.2:  Sredstva za konkurenčnost turističnih podjetij</w:t>
            </w:r>
          </w:p>
        </w:tc>
        <w:tc>
          <w:tcPr>
            <w:tcW w:w="378" w:type="pct"/>
            <w:shd w:val="clear" w:color="auto" w:fill="C6EFCE"/>
            <w:noWrap/>
            <w:vAlign w:val="center"/>
          </w:tcPr>
          <w:p w14:paraId="5F25167B" w14:textId="77777777" w:rsidR="00154E32" w:rsidRDefault="00A43E04">
            <w:pPr>
              <w:pStyle w:val="P68B1DB1-Normal11"/>
              <w:jc w:val="center"/>
              <w:rPr>
                <w:noProof/>
              </w:rPr>
            </w:pPr>
            <w:r>
              <w:rPr>
                <w:noProof/>
              </w:rPr>
              <w:t>Tarča</w:t>
            </w:r>
          </w:p>
        </w:tc>
        <w:tc>
          <w:tcPr>
            <w:tcW w:w="520" w:type="pct"/>
            <w:shd w:val="clear" w:color="auto" w:fill="C6EFCE"/>
            <w:noWrap/>
            <w:vAlign w:val="center"/>
          </w:tcPr>
          <w:p w14:paraId="2CDC629F" w14:textId="77777777" w:rsidR="00154E32" w:rsidRDefault="00154E32">
            <w:pPr>
              <w:jc w:val="center"/>
              <w:rPr>
                <w:rFonts w:ascii="Arial Narrow" w:hAnsi="Arial Narrow"/>
                <w:noProof/>
                <w:color w:val="006100"/>
                <w:sz w:val="20"/>
              </w:rPr>
            </w:pPr>
          </w:p>
          <w:p w14:paraId="1DC043DB" w14:textId="77777777" w:rsidR="00154E32" w:rsidRDefault="00A43E04">
            <w:pPr>
              <w:pStyle w:val="P68B1DB1-Normal11"/>
              <w:jc w:val="center"/>
              <w:rPr>
                <w:noProof/>
              </w:rPr>
            </w:pPr>
            <w:r>
              <w:rPr>
                <w:noProof/>
              </w:rPr>
              <w:t>Nacionalni sklad za turizem:</w:t>
            </w:r>
          </w:p>
          <w:p w14:paraId="73F7F715" w14:textId="10337D46" w:rsidR="00154E32" w:rsidRDefault="00A43E04">
            <w:pPr>
              <w:pStyle w:val="P68B1DB1-Normal12"/>
              <w:jc w:val="center"/>
              <w:rPr>
                <w:rFonts w:ascii="Arial Narrow" w:hAnsi="Arial Narrow"/>
                <w:noProof/>
              </w:rPr>
            </w:pPr>
            <w:r>
              <w:rPr>
                <w:rFonts w:ascii="Arial Narrow" w:hAnsi="Arial Narrow"/>
                <w:noProof/>
              </w:rPr>
              <w:t>Izplačilo v Sklad v skupni višini 150 000 000 EUR</w:t>
            </w:r>
            <w:r>
              <w:rPr>
                <w:noProof/>
              </w:rPr>
              <w:t xml:space="preserve"> </w:t>
            </w:r>
            <w:r>
              <w:rPr>
                <w:rFonts w:ascii="Arial Narrow" w:hAnsi="Arial Narrow"/>
                <w:noProof/>
              </w:rPr>
              <w:t>za</w:t>
            </w:r>
            <w:r>
              <w:rPr>
                <w:noProof/>
              </w:rPr>
              <w:t xml:space="preserve"> </w:t>
            </w:r>
            <w:r>
              <w:rPr>
                <w:rFonts w:ascii="Arial Narrow" w:hAnsi="Arial Narrow"/>
                <w:noProof/>
              </w:rPr>
              <w:t>podporo za lastniški kapital</w:t>
            </w:r>
          </w:p>
        </w:tc>
        <w:tc>
          <w:tcPr>
            <w:tcW w:w="520" w:type="pct"/>
            <w:shd w:val="clear" w:color="auto" w:fill="C6EFCE"/>
            <w:noWrap/>
            <w:vAlign w:val="center"/>
          </w:tcPr>
          <w:p w14:paraId="0ACEC842" w14:textId="77777777" w:rsidR="00154E32" w:rsidRDefault="00A43E04">
            <w:pPr>
              <w:pStyle w:val="P68B1DB1-Normal11"/>
              <w:jc w:val="center"/>
              <w:rPr>
                <w:noProof/>
              </w:rPr>
            </w:pPr>
            <w:r>
              <w:rPr>
                <w:noProof/>
              </w:rPr>
              <w:t>JIH NI</w:t>
            </w:r>
          </w:p>
        </w:tc>
        <w:tc>
          <w:tcPr>
            <w:tcW w:w="331" w:type="pct"/>
            <w:shd w:val="clear" w:color="auto" w:fill="C6EFCE"/>
            <w:noWrap/>
            <w:vAlign w:val="center"/>
          </w:tcPr>
          <w:p w14:paraId="39E5478C" w14:textId="77777777" w:rsidR="00154E32" w:rsidRDefault="00A43E04">
            <w:pPr>
              <w:pStyle w:val="P68B1DB1-Normal11"/>
              <w:jc w:val="center"/>
              <w:rPr>
                <w:noProof/>
              </w:rPr>
            </w:pPr>
            <w:r>
              <w:rPr>
                <w:noProof/>
              </w:rPr>
              <w:t>Število</w:t>
            </w:r>
          </w:p>
        </w:tc>
        <w:tc>
          <w:tcPr>
            <w:tcW w:w="332" w:type="pct"/>
            <w:shd w:val="clear" w:color="auto" w:fill="C6EFCE"/>
            <w:noWrap/>
            <w:vAlign w:val="center"/>
          </w:tcPr>
          <w:p w14:paraId="2BF688D9" w14:textId="77777777" w:rsidR="00154E32" w:rsidRDefault="00A43E04">
            <w:pPr>
              <w:pStyle w:val="P68B1DB1-Normal11"/>
              <w:jc w:val="center"/>
              <w:rPr>
                <w:noProof/>
              </w:rPr>
            </w:pPr>
            <w:r>
              <w:rPr>
                <w:noProof/>
              </w:rPr>
              <w:t>0</w:t>
            </w:r>
          </w:p>
        </w:tc>
        <w:tc>
          <w:tcPr>
            <w:tcW w:w="424" w:type="pct"/>
            <w:shd w:val="clear" w:color="auto" w:fill="C6EFCE"/>
            <w:noWrap/>
            <w:vAlign w:val="center"/>
          </w:tcPr>
          <w:p w14:paraId="2BECAF25" w14:textId="226F9A9A" w:rsidR="00154E32" w:rsidRDefault="00A43E04">
            <w:pPr>
              <w:pStyle w:val="P68B1DB1-Normal11"/>
              <w:jc w:val="center"/>
              <w:rPr>
                <w:noProof/>
              </w:rPr>
            </w:pPr>
            <w:r>
              <w:rPr>
                <w:noProof/>
              </w:rPr>
              <w:t>150 000 000</w:t>
            </w:r>
          </w:p>
        </w:tc>
        <w:tc>
          <w:tcPr>
            <w:tcW w:w="332" w:type="pct"/>
            <w:shd w:val="clear" w:color="auto" w:fill="C6EFCE"/>
            <w:noWrap/>
            <w:vAlign w:val="center"/>
          </w:tcPr>
          <w:p w14:paraId="3207EEC4" w14:textId="77777777" w:rsidR="00154E32" w:rsidRDefault="00A43E04">
            <w:pPr>
              <w:pStyle w:val="P68B1DB1-Normal11"/>
              <w:jc w:val="center"/>
              <w:rPr>
                <w:noProof/>
              </w:rPr>
            </w:pPr>
            <w:r>
              <w:rPr>
                <w:noProof/>
              </w:rPr>
              <w:t>Q4</w:t>
            </w:r>
          </w:p>
        </w:tc>
        <w:tc>
          <w:tcPr>
            <w:tcW w:w="220" w:type="pct"/>
            <w:shd w:val="clear" w:color="auto" w:fill="C6EFCE"/>
            <w:noWrap/>
            <w:vAlign w:val="center"/>
          </w:tcPr>
          <w:p w14:paraId="755FA440" w14:textId="77777777" w:rsidR="00154E32" w:rsidRDefault="00A43E04">
            <w:pPr>
              <w:pStyle w:val="P68B1DB1-Normal11"/>
              <w:jc w:val="center"/>
              <w:rPr>
                <w:noProof/>
              </w:rPr>
            </w:pPr>
            <w:r>
              <w:rPr>
                <w:noProof/>
              </w:rPr>
              <w:t>2022</w:t>
            </w:r>
          </w:p>
        </w:tc>
        <w:tc>
          <w:tcPr>
            <w:tcW w:w="1047" w:type="pct"/>
            <w:shd w:val="clear" w:color="auto" w:fill="C6EFCE"/>
            <w:noWrap/>
            <w:vAlign w:val="center"/>
          </w:tcPr>
          <w:p w14:paraId="712D1D4A" w14:textId="77777777" w:rsidR="00154E32" w:rsidRDefault="00A43E04">
            <w:pPr>
              <w:pStyle w:val="P68B1DB1-Normal11"/>
              <w:rPr>
                <w:noProof/>
              </w:rPr>
            </w:pPr>
            <w:r>
              <w:rPr>
                <w:noProof/>
              </w:rPr>
              <w:t>Izplačilo je v skladu z naložbeno politiko, opredeljeno v mejniku.</w:t>
            </w:r>
          </w:p>
        </w:tc>
      </w:tr>
      <w:tr w:rsidR="00154E32" w14:paraId="693F78F4" w14:textId="77777777">
        <w:trPr>
          <w:trHeight w:val="313"/>
          <w:jc w:val="center"/>
        </w:trPr>
        <w:tc>
          <w:tcPr>
            <w:tcW w:w="377" w:type="pct"/>
            <w:shd w:val="clear" w:color="auto" w:fill="C6EFCE"/>
            <w:noWrap/>
            <w:vAlign w:val="center"/>
            <w:hideMark/>
          </w:tcPr>
          <w:p w14:paraId="50F5E16F" w14:textId="77777777" w:rsidR="00154E32" w:rsidRDefault="00A43E04">
            <w:pPr>
              <w:pStyle w:val="P68B1DB1-Normal11"/>
              <w:jc w:val="center"/>
              <w:rPr>
                <w:noProof/>
              </w:rPr>
            </w:pPr>
            <w:r>
              <w:rPr>
                <w:noProof/>
              </w:rPr>
              <w:t>M1C3–32</w:t>
            </w:r>
          </w:p>
        </w:tc>
        <w:tc>
          <w:tcPr>
            <w:tcW w:w="520" w:type="pct"/>
            <w:shd w:val="clear" w:color="auto" w:fill="C6EFCE"/>
            <w:noWrap/>
            <w:vAlign w:val="center"/>
            <w:hideMark/>
          </w:tcPr>
          <w:p w14:paraId="2C3656C4" w14:textId="59D064C7" w:rsidR="00154E32" w:rsidRDefault="00A43E04">
            <w:pPr>
              <w:pStyle w:val="P68B1DB1-Normal11"/>
              <w:jc w:val="center"/>
              <w:rPr>
                <w:noProof/>
              </w:rPr>
            </w:pPr>
            <w:r>
              <w:rPr>
                <w:noProof/>
              </w:rPr>
              <w:t>Naložba 4.2:  Sredstva za konkurenčnost turističnih podjetij</w:t>
            </w:r>
          </w:p>
        </w:tc>
        <w:tc>
          <w:tcPr>
            <w:tcW w:w="378" w:type="pct"/>
            <w:shd w:val="clear" w:color="auto" w:fill="C6EFCE"/>
            <w:noWrap/>
            <w:vAlign w:val="center"/>
            <w:hideMark/>
          </w:tcPr>
          <w:p w14:paraId="3C75AD7F" w14:textId="2B266E42" w:rsidR="00154E32" w:rsidRDefault="00A43E04">
            <w:pPr>
              <w:pStyle w:val="P68B1DB1-Normal11"/>
              <w:jc w:val="center"/>
              <w:rPr>
                <w:noProof/>
              </w:rPr>
            </w:pPr>
            <w:r>
              <w:rPr>
                <w:noProof/>
              </w:rPr>
              <w:t>Tarča</w:t>
            </w:r>
          </w:p>
        </w:tc>
        <w:tc>
          <w:tcPr>
            <w:tcW w:w="520" w:type="pct"/>
            <w:shd w:val="clear" w:color="auto" w:fill="C6EFCE"/>
            <w:noWrap/>
            <w:vAlign w:val="center"/>
            <w:hideMark/>
          </w:tcPr>
          <w:p w14:paraId="098DAF24" w14:textId="77777777" w:rsidR="00154E32" w:rsidRDefault="00154E32">
            <w:pPr>
              <w:jc w:val="center"/>
              <w:rPr>
                <w:rFonts w:ascii="Arial Narrow" w:hAnsi="Arial Narrow"/>
                <w:noProof/>
                <w:color w:val="006100"/>
                <w:sz w:val="20"/>
              </w:rPr>
            </w:pPr>
          </w:p>
          <w:p w14:paraId="4C379270" w14:textId="3192D890" w:rsidR="00154E32" w:rsidRDefault="00A43E04">
            <w:pPr>
              <w:pStyle w:val="P68B1DB1-Normal11"/>
              <w:jc w:val="center"/>
              <w:rPr>
                <w:noProof/>
              </w:rPr>
            </w:pPr>
            <w:r>
              <w:rPr>
                <w:noProof/>
              </w:rPr>
              <w:t>Število turističnih podjetij, ki bodo prejela podporo iz Jamstvenega sklada za MSP</w:t>
            </w:r>
          </w:p>
        </w:tc>
        <w:tc>
          <w:tcPr>
            <w:tcW w:w="520" w:type="pct"/>
            <w:shd w:val="clear" w:color="auto" w:fill="C6EFCE"/>
            <w:noWrap/>
            <w:vAlign w:val="center"/>
            <w:hideMark/>
          </w:tcPr>
          <w:p w14:paraId="283F9E80" w14:textId="77777777" w:rsidR="00154E32" w:rsidRDefault="00A43E04">
            <w:pPr>
              <w:pStyle w:val="P68B1DB1-Normal11"/>
              <w:jc w:val="center"/>
              <w:rPr>
                <w:noProof/>
              </w:rPr>
            </w:pPr>
            <w:r>
              <w:rPr>
                <w:noProof/>
              </w:rPr>
              <w:t>JIH NI</w:t>
            </w:r>
          </w:p>
        </w:tc>
        <w:tc>
          <w:tcPr>
            <w:tcW w:w="331" w:type="pct"/>
            <w:shd w:val="clear" w:color="auto" w:fill="C6EFCE"/>
            <w:noWrap/>
            <w:vAlign w:val="center"/>
            <w:hideMark/>
          </w:tcPr>
          <w:p w14:paraId="2BB05B3C" w14:textId="77777777" w:rsidR="00154E32" w:rsidRDefault="00A43E04">
            <w:pPr>
              <w:pStyle w:val="P68B1DB1-Normal11"/>
              <w:jc w:val="center"/>
              <w:rPr>
                <w:noProof/>
              </w:rPr>
            </w:pPr>
            <w:r>
              <w:rPr>
                <w:noProof/>
              </w:rPr>
              <w:t>Število</w:t>
            </w:r>
          </w:p>
        </w:tc>
        <w:tc>
          <w:tcPr>
            <w:tcW w:w="332" w:type="pct"/>
            <w:shd w:val="clear" w:color="auto" w:fill="C6EFCE"/>
            <w:noWrap/>
            <w:vAlign w:val="center"/>
            <w:hideMark/>
          </w:tcPr>
          <w:p w14:paraId="27A8D242" w14:textId="77777777" w:rsidR="00154E32" w:rsidRDefault="00A43E04">
            <w:pPr>
              <w:pStyle w:val="P68B1DB1-Normal11"/>
              <w:jc w:val="center"/>
              <w:rPr>
                <w:noProof/>
              </w:rPr>
            </w:pPr>
            <w:r>
              <w:rPr>
                <w:noProof/>
              </w:rPr>
              <w:t>0</w:t>
            </w:r>
          </w:p>
        </w:tc>
        <w:tc>
          <w:tcPr>
            <w:tcW w:w="424" w:type="pct"/>
            <w:shd w:val="clear" w:color="auto" w:fill="C6EFCE"/>
            <w:noWrap/>
            <w:vAlign w:val="center"/>
            <w:hideMark/>
          </w:tcPr>
          <w:p w14:paraId="1296F011" w14:textId="1E1D11B3" w:rsidR="00154E32" w:rsidRDefault="00A43E04">
            <w:pPr>
              <w:pStyle w:val="P68B1DB1-Normal11"/>
              <w:jc w:val="center"/>
              <w:rPr>
                <w:noProof/>
              </w:rPr>
            </w:pPr>
            <w:r>
              <w:rPr>
                <w:noProof/>
              </w:rPr>
              <w:t>1 000</w:t>
            </w:r>
          </w:p>
        </w:tc>
        <w:tc>
          <w:tcPr>
            <w:tcW w:w="332" w:type="pct"/>
            <w:shd w:val="clear" w:color="auto" w:fill="C6EFCE"/>
            <w:noWrap/>
            <w:vAlign w:val="center"/>
            <w:hideMark/>
          </w:tcPr>
          <w:p w14:paraId="43847798" w14:textId="77777777" w:rsidR="00154E32" w:rsidRDefault="00A43E04">
            <w:pPr>
              <w:pStyle w:val="P68B1DB1-Normal11"/>
              <w:jc w:val="center"/>
              <w:rPr>
                <w:noProof/>
              </w:rPr>
            </w:pPr>
            <w:r>
              <w:rPr>
                <w:noProof/>
              </w:rPr>
              <w:t>Q4</w:t>
            </w:r>
          </w:p>
        </w:tc>
        <w:tc>
          <w:tcPr>
            <w:tcW w:w="220" w:type="pct"/>
            <w:shd w:val="clear" w:color="auto" w:fill="C6EFCE"/>
            <w:noWrap/>
            <w:vAlign w:val="center"/>
            <w:hideMark/>
          </w:tcPr>
          <w:p w14:paraId="4BECDDA2" w14:textId="77777777" w:rsidR="00154E32" w:rsidRDefault="00A43E04">
            <w:pPr>
              <w:pStyle w:val="P68B1DB1-Normal11"/>
              <w:jc w:val="center"/>
              <w:rPr>
                <w:noProof/>
              </w:rPr>
            </w:pPr>
            <w:r>
              <w:rPr>
                <w:noProof/>
              </w:rPr>
              <w:t>2025</w:t>
            </w:r>
          </w:p>
        </w:tc>
        <w:tc>
          <w:tcPr>
            <w:tcW w:w="1047" w:type="pct"/>
            <w:shd w:val="clear" w:color="auto" w:fill="C6EFCE"/>
            <w:noWrap/>
            <w:vAlign w:val="center"/>
            <w:hideMark/>
          </w:tcPr>
          <w:p w14:paraId="6AD42FED" w14:textId="5C3CB00E" w:rsidR="00154E32" w:rsidRDefault="00A43E04">
            <w:pPr>
              <w:pStyle w:val="P68B1DB1-Normal11"/>
              <w:rPr>
                <w:noProof/>
              </w:rPr>
            </w:pPr>
            <w:r>
              <w:rPr>
                <w:noProof/>
              </w:rPr>
              <w:t>Najmanj 1000 turističnih podjetij, podprtih iz Jamstvenega sklada za MSP.</w:t>
            </w:r>
          </w:p>
        </w:tc>
      </w:tr>
      <w:tr w:rsidR="00154E32" w14:paraId="5B4D0286" w14:textId="77777777">
        <w:trPr>
          <w:trHeight w:val="313"/>
          <w:jc w:val="center"/>
        </w:trPr>
        <w:tc>
          <w:tcPr>
            <w:tcW w:w="377" w:type="pct"/>
            <w:shd w:val="clear" w:color="auto" w:fill="C6EFCE"/>
            <w:noWrap/>
            <w:vAlign w:val="center"/>
            <w:hideMark/>
          </w:tcPr>
          <w:p w14:paraId="43100B2C" w14:textId="77777777" w:rsidR="00154E32" w:rsidRDefault="00A43E04">
            <w:pPr>
              <w:pStyle w:val="P68B1DB1-Normal11"/>
              <w:jc w:val="center"/>
              <w:rPr>
                <w:noProof/>
              </w:rPr>
            </w:pPr>
            <w:r>
              <w:rPr>
                <w:noProof/>
              </w:rPr>
              <w:t>M1C3–33</w:t>
            </w:r>
          </w:p>
        </w:tc>
        <w:tc>
          <w:tcPr>
            <w:tcW w:w="520" w:type="pct"/>
            <w:shd w:val="clear" w:color="auto" w:fill="C6EFCE"/>
            <w:noWrap/>
            <w:vAlign w:val="center"/>
            <w:hideMark/>
          </w:tcPr>
          <w:p w14:paraId="07E849C5" w14:textId="41B37B25" w:rsidR="00154E32" w:rsidRDefault="00A43E04">
            <w:pPr>
              <w:pStyle w:val="P68B1DB1-Normal11"/>
              <w:jc w:val="center"/>
              <w:rPr>
                <w:noProof/>
              </w:rPr>
            </w:pPr>
            <w:r>
              <w:rPr>
                <w:noProof/>
              </w:rPr>
              <w:t>Naložbe 4.2 Skladi za konkurenčnost turističnih podjetij</w:t>
            </w:r>
          </w:p>
        </w:tc>
        <w:tc>
          <w:tcPr>
            <w:tcW w:w="378" w:type="pct"/>
            <w:shd w:val="clear" w:color="auto" w:fill="C6EFCE"/>
            <w:noWrap/>
            <w:vAlign w:val="center"/>
            <w:hideMark/>
          </w:tcPr>
          <w:p w14:paraId="7562B785" w14:textId="77777777" w:rsidR="00154E32" w:rsidRDefault="00A43E04">
            <w:pPr>
              <w:pStyle w:val="P68B1DB1-Normal11"/>
              <w:jc w:val="center"/>
              <w:rPr>
                <w:noProof/>
              </w:rPr>
            </w:pPr>
            <w:r>
              <w:rPr>
                <w:noProof/>
              </w:rPr>
              <w:t>Tarča</w:t>
            </w:r>
          </w:p>
        </w:tc>
        <w:tc>
          <w:tcPr>
            <w:tcW w:w="520" w:type="pct"/>
            <w:shd w:val="clear" w:color="auto" w:fill="C6EFCE"/>
            <w:noWrap/>
            <w:vAlign w:val="center"/>
            <w:hideMark/>
          </w:tcPr>
          <w:p w14:paraId="2CE51B9E" w14:textId="47107059" w:rsidR="00154E32" w:rsidRDefault="00A43E04">
            <w:pPr>
              <w:pStyle w:val="P68B1DB1-Normal11"/>
              <w:jc w:val="center"/>
              <w:rPr>
                <w:noProof/>
              </w:rPr>
            </w:pPr>
            <w:r>
              <w:rPr>
                <w:noProof/>
              </w:rPr>
              <w:t>Število podjetij, ki bodo prejela podporo prek Fondo rotative(prva serija)</w:t>
            </w:r>
          </w:p>
        </w:tc>
        <w:tc>
          <w:tcPr>
            <w:tcW w:w="520" w:type="pct"/>
            <w:shd w:val="clear" w:color="auto" w:fill="C6EFCE"/>
            <w:noWrap/>
            <w:vAlign w:val="center"/>
            <w:hideMark/>
          </w:tcPr>
          <w:p w14:paraId="6C614C45" w14:textId="77777777" w:rsidR="00154E32" w:rsidRDefault="00A43E04">
            <w:pPr>
              <w:pStyle w:val="P68B1DB1-Normal11"/>
              <w:jc w:val="center"/>
              <w:rPr>
                <w:noProof/>
              </w:rPr>
            </w:pPr>
            <w:r>
              <w:rPr>
                <w:noProof/>
              </w:rPr>
              <w:t>JIH NI</w:t>
            </w:r>
          </w:p>
        </w:tc>
        <w:tc>
          <w:tcPr>
            <w:tcW w:w="331" w:type="pct"/>
            <w:shd w:val="clear" w:color="auto" w:fill="C6EFCE"/>
            <w:noWrap/>
            <w:vAlign w:val="center"/>
            <w:hideMark/>
          </w:tcPr>
          <w:p w14:paraId="08DA4864" w14:textId="7418C54D" w:rsidR="00154E32" w:rsidRDefault="00A43E04">
            <w:pPr>
              <w:pStyle w:val="P68B1DB1-Normal11"/>
              <w:jc w:val="center"/>
              <w:rPr>
                <w:noProof/>
              </w:rPr>
            </w:pPr>
            <w:r>
              <w:rPr>
                <w:noProof/>
              </w:rPr>
              <w:t>Število</w:t>
            </w:r>
          </w:p>
        </w:tc>
        <w:tc>
          <w:tcPr>
            <w:tcW w:w="332" w:type="pct"/>
            <w:shd w:val="clear" w:color="auto" w:fill="C6EFCE"/>
            <w:noWrap/>
            <w:vAlign w:val="center"/>
            <w:hideMark/>
          </w:tcPr>
          <w:p w14:paraId="6057A72F" w14:textId="10D0CF41" w:rsidR="00154E32" w:rsidRDefault="00A43E04">
            <w:pPr>
              <w:pStyle w:val="P68B1DB1-Normal11"/>
              <w:jc w:val="center"/>
              <w:rPr>
                <w:noProof/>
              </w:rPr>
            </w:pPr>
            <w:r>
              <w:rPr>
                <w:noProof/>
              </w:rPr>
              <w:t>0</w:t>
            </w:r>
          </w:p>
        </w:tc>
        <w:tc>
          <w:tcPr>
            <w:tcW w:w="424" w:type="pct"/>
            <w:shd w:val="clear" w:color="auto" w:fill="C6EFCE"/>
            <w:noWrap/>
            <w:vAlign w:val="center"/>
            <w:hideMark/>
          </w:tcPr>
          <w:p w14:paraId="593C573B" w14:textId="7B490138" w:rsidR="00154E32" w:rsidRDefault="00A43E04">
            <w:pPr>
              <w:pStyle w:val="P68B1DB1-Normal11"/>
              <w:jc w:val="center"/>
              <w:rPr>
                <w:noProof/>
              </w:rPr>
            </w:pPr>
            <w:r>
              <w:rPr>
                <w:noProof/>
              </w:rPr>
              <w:t>300</w:t>
            </w:r>
          </w:p>
        </w:tc>
        <w:tc>
          <w:tcPr>
            <w:tcW w:w="332" w:type="pct"/>
            <w:shd w:val="clear" w:color="auto" w:fill="C6EFCE"/>
            <w:noWrap/>
            <w:vAlign w:val="center"/>
            <w:hideMark/>
          </w:tcPr>
          <w:p w14:paraId="317218BD" w14:textId="45F85636" w:rsidR="00154E32" w:rsidRDefault="00A43E04">
            <w:pPr>
              <w:pStyle w:val="P68B1DB1-Normal11"/>
              <w:jc w:val="center"/>
              <w:rPr>
                <w:noProof/>
              </w:rPr>
            </w:pPr>
            <w:r>
              <w:rPr>
                <w:noProof/>
              </w:rPr>
              <w:t>Q4</w:t>
            </w:r>
          </w:p>
        </w:tc>
        <w:tc>
          <w:tcPr>
            <w:tcW w:w="220" w:type="pct"/>
            <w:shd w:val="clear" w:color="auto" w:fill="C6EFCE"/>
            <w:noWrap/>
            <w:vAlign w:val="center"/>
            <w:hideMark/>
          </w:tcPr>
          <w:p w14:paraId="0A62E5C4" w14:textId="691F2515" w:rsidR="00154E32" w:rsidRDefault="00A43E04">
            <w:pPr>
              <w:pStyle w:val="P68B1DB1-Normal11"/>
              <w:jc w:val="center"/>
              <w:rPr>
                <w:noProof/>
              </w:rPr>
            </w:pPr>
            <w:r>
              <w:rPr>
                <w:noProof/>
              </w:rPr>
              <w:t>2025</w:t>
            </w:r>
          </w:p>
        </w:tc>
        <w:tc>
          <w:tcPr>
            <w:tcW w:w="1047" w:type="pct"/>
            <w:shd w:val="clear" w:color="auto" w:fill="C6EFCE"/>
            <w:noWrap/>
            <w:vAlign w:val="center"/>
            <w:hideMark/>
          </w:tcPr>
          <w:p w14:paraId="0F153440" w14:textId="77777777" w:rsidR="00154E32" w:rsidRDefault="00A43E04">
            <w:pPr>
              <w:pStyle w:val="P68B1DB1-Normal11"/>
              <w:rPr>
                <w:noProof/>
              </w:rPr>
            </w:pPr>
            <w:r>
              <w:rPr>
                <w:noProof/>
              </w:rPr>
              <w:t>Vsaj 300 podjetij, ki jih podpira Fondo Rotativo;</w:t>
            </w:r>
          </w:p>
          <w:p w14:paraId="3B822207" w14:textId="77777777" w:rsidR="00154E32" w:rsidRDefault="00154E32">
            <w:pPr>
              <w:rPr>
                <w:rFonts w:ascii="Arial Narrow" w:hAnsi="Arial Narrow"/>
                <w:noProof/>
                <w:color w:val="006100"/>
                <w:sz w:val="20"/>
              </w:rPr>
            </w:pPr>
          </w:p>
          <w:p w14:paraId="0A602D2B" w14:textId="77777777" w:rsidR="00154E32" w:rsidRDefault="00A43E04">
            <w:pPr>
              <w:pStyle w:val="P68B1DB1-Normal11"/>
              <w:rPr>
                <w:noProof/>
              </w:rPr>
            </w:pPr>
            <w:r>
              <w:rPr>
                <w:noProof/>
              </w:rPr>
              <w:t>Intervencije, ki se financirajo prek Fondo Rotativo, vključujejo:</w:t>
            </w:r>
          </w:p>
          <w:p w14:paraId="26B1727C" w14:textId="77777777" w:rsidR="00154E32" w:rsidRDefault="00A43E04">
            <w:pPr>
              <w:pStyle w:val="P68B1DB1-ListParagraph13"/>
              <w:numPr>
                <w:ilvl w:val="0"/>
                <w:numId w:val="89"/>
              </w:numPr>
              <w:ind w:left="26" w:hanging="103"/>
              <w:jc w:val="left"/>
              <w:rPr>
                <w:noProof/>
              </w:rPr>
            </w:pPr>
            <w:r>
              <w:rPr>
                <w:noProof/>
              </w:rPr>
              <w:t>posegi v prekvalifikacijo na področju energije</w:t>
            </w:r>
          </w:p>
          <w:p w14:paraId="0081CACE" w14:textId="77777777" w:rsidR="00154E32" w:rsidRDefault="00A43E04">
            <w:pPr>
              <w:pStyle w:val="P68B1DB1-ListParagraph13"/>
              <w:numPr>
                <w:ilvl w:val="0"/>
                <w:numId w:val="89"/>
              </w:numPr>
              <w:ind w:left="26" w:hanging="103"/>
              <w:jc w:val="left"/>
              <w:rPr>
                <w:noProof/>
              </w:rPr>
            </w:pPr>
            <w:r>
              <w:rPr>
                <w:noProof/>
              </w:rPr>
              <w:t>posegi v zvezi z ovojem in prenovo stavbe v skladu s členom 3(1)(b) DPR 380/2001 (enotno besedilo zakonodajnih in regulativnih določb o stavbah)</w:t>
            </w:r>
          </w:p>
          <w:p w14:paraId="0E4DE674" w14:textId="77777777" w:rsidR="00154E32" w:rsidRDefault="00A43E04">
            <w:pPr>
              <w:pStyle w:val="P68B1DB1-ListParagraph13"/>
              <w:numPr>
                <w:ilvl w:val="0"/>
                <w:numId w:val="89"/>
              </w:numPr>
              <w:ind w:left="26" w:hanging="103"/>
              <w:jc w:val="left"/>
              <w:rPr>
                <w:noProof/>
              </w:rPr>
            </w:pPr>
            <w:r>
              <w:rPr>
                <w:noProof/>
              </w:rPr>
              <w:t>ukrepi za odpravo arhitekturnih ovir.</w:t>
            </w:r>
          </w:p>
          <w:p w14:paraId="5D8EAAA9" w14:textId="77777777" w:rsidR="00154E32" w:rsidRDefault="00A43E04">
            <w:pPr>
              <w:pStyle w:val="P68B1DB1-ListParagraph13"/>
              <w:numPr>
                <w:ilvl w:val="0"/>
                <w:numId w:val="89"/>
              </w:numPr>
              <w:ind w:left="26" w:hanging="103"/>
              <w:jc w:val="left"/>
              <w:rPr>
                <w:noProof/>
              </w:rPr>
            </w:pPr>
            <w:r>
              <w:rPr>
                <w:noProof/>
              </w:rPr>
              <w:t>posegi popolne ali delne zamenjave klimatskih sistemov.</w:t>
            </w:r>
          </w:p>
          <w:p w14:paraId="4535F56A" w14:textId="77777777" w:rsidR="00154E32" w:rsidRDefault="00A43E04">
            <w:pPr>
              <w:pStyle w:val="P68B1DB1-ListParagraph13"/>
              <w:numPr>
                <w:ilvl w:val="0"/>
                <w:numId w:val="89"/>
              </w:numPr>
              <w:ind w:left="26" w:hanging="103"/>
              <w:jc w:val="left"/>
              <w:rPr>
                <w:noProof/>
              </w:rPr>
            </w:pPr>
            <w:r>
              <w:rPr>
                <w:noProof/>
              </w:rPr>
              <w:t>nakup pohištva in delov opreme, namenjenih izključno za nastanitvene objekte, ki jih zajema ta uredba</w:t>
            </w:r>
          </w:p>
          <w:p w14:paraId="4214C7C3" w14:textId="77777777" w:rsidR="00154E32" w:rsidRDefault="00A43E04">
            <w:pPr>
              <w:pStyle w:val="P68B1DB1-ListParagraph13"/>
              <w:numPr>
                <w:ilvl w:val="0"/>
                <w:numId w:val="89"/>
              </w:numPr>
              <w:ind w:left="26" w:hanging="103"/>
              <w:jc w:val="left"/>
              <w:rPr>
                <w:noProof/>
              </w:rPr>
            </w:pPr>
            <w:r>
              <w:rPr>
                <w:noProof/>
              </w:rPr>
              <w:t>ukrepi za sprejetje protipotresnih ukrepov</w:t>
            </w:r>
          </w:p>
          <w:p w14:paraId="32405F07" w14:textId="77777777" w:rsidR="00154E32" w:rsidRDefault="00A43E04">
            <w:pPr>
              <w:pStyle w:val="P68B1DB1-ListParagraph13"/>
              <w:numPr>
                <w:ilvl w:val="0"/>
                <w:numId w:val="89"/>
              </w:numPr>
              <w:ind w:left="26" w:hanging="103"/>
              <w:jc w:val="left"/>
              <w:rPr>
                <w:noProof/>
              </w:rPr>
            </w:pPr>
            <w:r>
              <w:rPr>
                <w:noProof/>
              </w:rPr>
              <w:t>obnova sestavnih delov opreme.</w:t>
            </w:r>
          </w:p>
          <w:p w14:paraId="6A8A6B8D" w14:textId="77777777" w:rsidR="00154E32" w:rsidRDefault="00A43E04">
            <w:pPr>
              <w:pStyle w:val="P68B1DB1-ListParagraph13"/>
              <w:numPr>
                <w:ilvl w:val="0"/>
                <w:numId w:val="89"/>
              </w:numPr>
              <w:ind w:left="26" w:hanging="103"/>
              <w:jc w:val="left"/>
              <w:rPr>
                <w:noProof/>
              </w:rPr>
            </w:pPr>
            <w:r>
              <w:rPr>
                <w:noProof/>
              </w:rPr>
              <w:t>izgradnja toplotnih bazenov ter nakup opreme in aparatov, potrebnih za izvajanje zdraviliških dejavnosti, ter sejmi za obnovo razstavnih objektov.</w:t>
            </w:r>
          </w:p>
        </w:tc>
      </w:tr>
      <w:tr w:rsidR="00154E32" w14:paraId="331691A9" w14:textId="77777777">
        <w:trPr>
          <w:trHeight w:val="313"/>
          <w:jc w:val="center"/>
        </w:trPr>
        <w:tc>
          <w:tcPr>
            <w:tcW w:w="377" w:type="pct"/>
            <w:shd w:val="clear" w:color="auto" w:fill="C6EFCE"/>
            <w:noWrap/>
            <w:vAlign w:val="center"/>
            <w:hideMark/>
          </w:tcPr>
          <w:p w14:paraId="3466A3A6" w14:textId="77777777" w:rsidR="00154E32" w:rsidRDefault="00A43E04">
            <w:pPr>
              <w:pStyle w:val="P68B1DB1-Normal11"/>
              <w:jc w:val="center"/>
              <w:rPr>
                <w:noProof/>
              </w:rPr>
            </w:pPr>
            <w:r>
              <w:rPr>
                <w:noProof/>
              </w:rPr>
              <w:t>M1C3–34</w:t>
            </w:r>
          </w:p>
        </w:tc>
        <w:tc>
          <w:tcPr>
            <w:tcW w:w="520" w:type="pct"/>
            <w:shd w:val="clear" w:color="auto" w:fill="C6EFCE"/>
            <w:noWrap/>
            <w:vAlign w:val="center"/>
            <w:hideMark/>
          </w:tcPr>
          <w:p w14:paraId="19332B69" w14:textId="1E47C1AF" w:rsidR="00154E32" w:rsidRDefault="00A43E04">
            <w:pPr>
              <w:pStyle w:val="P68B1DB1-Normal11"/>
              <w:jc w:val="center"/>
              <w:rPr>
                <w:noProof/>
              </w:rPr>
            </w:pPr>
            <w:r>
              <w:rPr>
                <w:noProof/>
              </w:rPr>
              <w:t>Naložbe 4.2 Skladi za konkurenčnost turističnih podjetij</w:t>
            </w:r>
          </w:p>
        </w:tc>
        <w:tc>
          <w:tcPr>
            <w:tcW w:w="378" w:type="pct"/>
            <w:shd w:val="clear" w:color="auto" w:fill="C6EFCE"/>
            <w:noWrap/>
            <w:vAlign w:val="center"/>
            <w:hideMark/>
          </w:tcPr>
          <w:p w14:paraId="523AB74B" w14:textId="749C780E" w:rsidR="00154E32" w:rsidRDefault="00A43E04">
            <w:pPr>
              <w:pStyle w:val="P68B1DB1-Normal11"/>
              <w:jc w:val="center"/>
              <w:rPr>
                <w:noProof/>
              </w:rPr>
            </w:pPr>
            <w:r>
              <w:rPr>
                <w:noProof/>
              </w:rPr>
              <w:t>Tarča</w:t>
            </w:r>
          </w:p>
        </w:tc>
        <w:tc>
          <w:tcPr>
            <w:tcW w:w="520" w:type="pct"/>
            <w:shd w:val="clear" w:color="auto" w:fill="C6EFCE"/>
            <w:noWrap/>
            <w:vAlign w:val="center"/>
            <w:hideMark/>
          </w:tcPr>
          <w:p w14:paraId="02719F4A" w14:textId="43785402" w:rsidR="00154E32" w:rsidRDefault="00A43E04">
            <w:pPr>
              <w:pStyle w:val="P68B1DB1-Normal11"/>
              <w:jc w:val="center"/>
              <w:rPr>
                <w:noProof/>
              </w:rPr>
            </w:pPr>
            <w:r>
              <w:rPr>
                <w:noProof/>
              </w:rPr>
              <w:t>Število nepremičnin, preoblikovanih za turizem, s strani Nacionalnega sklada za turizem</w:t>
            </w:r>
          </w:p>
        </w:tc>
        <w:tc>
          <w:tcPr>
            <w:tcW w:w="520" w:type="pct"/>
            <w:shd w:val="clear" w:color="auto" w:fill="C6EFCE"/>
            <w:noWrap/>
            <w:vAlign w:val="center"/>
            <w:hideMark/>
          </w:tcPr>
          <w:p w14:paraId="5BF88A96" w14:textId="77777777" w:rsidR="00154E32" w:rsidRDefault="00154E32">
            <w:pPr>
              <w:jc w:val="center"/>
              <w:rPr>
                <w:rFonts w:ascii="Arial Narrow" w:hAnsi="Arial Narrow"/>
                <w:noProof/>
                <w:color w:val="006100"/>
                <w:sz w:val="20"/>
              </w:rPr>
            </w:pPr>
          </w:p>
        </w:tc>
        <w:tc>
          <w:tcPr>
            <w:tcW w:w="331" w:type="pct"/>
            <w:shd w:val="clear" w:color="auto" w:fill="C6EFCE"/>
            <w:noWrap/>
            <w:vAlign w:val="center"/>
            <w:hideMark/>
          </w:tcPr>
          <w:p w14:paraId="68E978E1" w14:textId="77777777" w:rsidR="00154E32" w:rsidRDefault="00A43E04">
            <w:pPr>
              <w:pStyle w:val="P68B1DB1-Normal11"/>
              <w:jc w:val="center"/>
              <w:rPr>
                <w:noProof/>
              </w:rPr>
            </w:pPr>
            <w:r>
              <w:rPr>
                <w:noProof/>
              </w:rPr>
              <w:t>Število</w:t>
            </w:r>
          </w:p>
        </w:tc>
        <w:tc>
          <w:tcPr>
            <w:tcW w:w="332" w:type="pct"/>
            <w:shd w:val="clear" w:color="auto" w:fill="C6EFCE"/>
            <w:noWrap/>
            <w:vAlign w:val="center"/>
            <w:hideMark/>
          </w:tcPr>
          <w:p w14:paraId="5FCF3F28" w14:textId="77777777" w:rsidR="00154E32" w:rsidRDefault="00A43E04">
            <w:pPr>
              <w:pStyle w:val="P68B1DB1-Normal11"/>
              <w:jc w:val="center"/>
              <w:rPr>
                <w:noProof/>
              </w:rPr>
            </w:pPr>
            <w:r>
              <w:rPr>
                <w:noProof/>
              </w:rPr>
              <w:t>0</w:t>
            </w:r>
          </w:p>
        </w:tc>
        <w:tc>
          <w:tcPr>
            <w:tcW w:w="424" w:type="pct"/>
            <w:shd w:val="clear" w:color="auto" w:fill="C6EFCE"/>
            <w:noWrap/>
            <w:vAlign w:val="center"/>
            <w:hideMark/>
          </w:tcPr>
          <w:p w14:paraId="79D19696" w14:textId="26F485D0" w:rsidR="00154E32" w:rsidRDefault="00A43E04">
            <w:pPr>
              <w:pStyle w:val="P68B1DB1-Normal11"/>
              <w:jc w:val="center"/>
              <w:rPr>
                <w:noProof/>
              </w:rPr>
            </w:pPr>
            <w:r>
              <w:rPr>
                <w:noProof/>
              </w:rPr>
              <w:t>12</w:t>
            </w:r>
          </w:p>
        </w:tc>
        <w:tc>
          <w:tcPr>
            <w:tcW w:w="332" w:type="pct"/>
            <w:shd w:val="clear" w:color="auto" w:fill="C6EFCE"/>
            <w:noWrap/>
            <w:vAlign w:val="center"/>
            <w:hideMark/>
          </w:tcPr>
          <w:p w14:paraId="788AE5E2" w14:textId="77777777" w:rsidR="00154E32" w:rsidRDefault="00A43E04">
            <w:pPr>
              <w:pStyle w:val="P68B1DB1-Normal11"/>
              <w:jc w:val="center"/>
              <w:rPr>
                <w:noProof/>
              </w:rPr>
            </w:pPr>
            <w:r>
              <w:rPr>
                <w:noProof/>
              </w:rPr>
              <w:t>Q4</w:t>
            </w:r>
          </w:p>
        </w:tc>
        <w:tc>
          <w:tcPr>
            <w:tcW w:w="220" w:type="pct"/>
            <w:shd w:val="clear" w:color="auto" w:fill="C6EFCE"/>
            <w:noWrap/>
            <w:vAlign w:val="center"/>
            <w:hideMark/>
          </w:tcPr>
          <w:p w14:paraId="03A216CD" w14:textId="77777777" w:rsidR="00154E32" w:rsidRDefault="00A43E04">
            <w:pPr>
              <w:pStyle w:val="P68B1DB1-Normal11"/>
              <w:jc w:val="center"/>
              <w:rPr>
                <w:noProof/>
              </w:rPr>
            </w:pPr>
            <w:r>
              <w:rPr>
                <w:noProof/>
              </w:rPr>
              <w:t>2025</w:t>
            </w:r>
          </w:p>
        </w:tc>
        <w:tc>
          <w:tcPr>
            <w:tcW w:w="1047" w:type="pct"/>
            <w:shd w:val="clear" w:color="auto" w:fill="C6EFCE"/>
            <w:noWrap/>
            <w:vAlign w:val="center"/>
            <w:hideMark/>
          </w:tcPr>
          <w:p w14:paraId="7C516826" w14:textId="77777777" w:rsidR="00154E32" w:rsidRDefault="00A43E04">
            <w:pPr>
              <w:pStyle w:val="P68B1DB1-Normal11"/>
              <w:rPr>
                <w:noProof/>
              </w:rPr>
            </w:pPr>
            <w:r>
              <w:rPr>
                <w:noProof/>
              </w:rPr>
              <w:t>Vsaj 12 nepremičnin, ki jih je nacionalni sklad za turizem preoblikoval za turizem in bi lahko ob upoštevanju učinka vzvoda dosegel 17 nepremičnin.</w:t>
            </w:r>
          </w:p>
          <w:p w14:paraId="5A15640D" w14:textId="77777777" w:rsidR="00154E32" w:rsidRDefault="00A43E04">
            <w:pPr>
              <w:pStyle w:val="P68B1DB1-ListParagraph13"/>
              <w:ind w:left="26"/>
              <w:jc w:val="left"/>
              <w:rPr>
                <w:noProof/>
              </w:rPr>
            </w:pPr>
            <w:r>
              <w:rPr>
                <w:noProof/>
              </w:rPr>
              <w:t xml:space="preserve">Podpora iz nacionalnega sklada za turizem je namenjena: </w:t>
            </w:r>
          </w:p>
          <w:p w14:paraId="01AC3672" w14:textId="77777777" w:rsidR="00154E32" w:rsidRDefault="00A43E04">
            <w:pPr>
              <w:pStyle w:val="P68B1DB1-ListParagraph13"/>
              <w:numPr>
                <w:ilvl w:val="0"/>
                <w:numId w:val="89"/>
              </w:numPr>
              <w:ind w:left="26" w:hanging="103"/>
              <w:jc w:val="left"/>
              <w:rPr>
                <w:noProof/>
              </w:rPr>
            </w:pPr>
            <w:r>
              <w:rPr>
                <w:noProof/>
              </w:rPr>
              <w:t>Vlaganje v inovacije na področju proizvodov, procesov in upravljanja za spodbujanje digitalne preobrazbe ponudbe turističnih storitev,</w:t>
            </w:r>
          </w:p>
          <w:p w14:paraId="46B16039" w14:textId="77777777" w:rsidR="00154E32" w:rsidRDefault="00A43E04">
            <w:pPr>
              <w:pStyle w:val="P68B1DB1-ListParagraph13"/>
              <w:numPr>
                <w:ilvl w:val="0"/>
                <w:numId w:val="89"/>
              </w:numPr>
              <w:ind w:left="26" w:hanging="103"/>
              <w:jc w:val="left"/>
              <w:rPr>
                <w:noProof/>
              </w:rPr>
            </w:pPr>
            <w:r>
              <w:rPr>
                <w:noProof/>
              </w:rPr>
              <w:t xml:space="preserve">Naložbe zagotavljajo kakovost standardov turistične gostoljubnosti </w:t>
            </w:r>
          </w:p>
          <w:p w14:paraId="5695276E" w14:textId="74012F20" w:rsidR="00154E32" w:rsidRDefault="00A43E04">
            <w:pPr>
              <w:pStyle w:val="P68B1DB1-ListParagraph13"/>
              <w:numPr>
                <w:ilvl w:val="0"/>
                <w:numId w:val="89"/>
              </w:numPr>
              <w:ind w:left="26" w:hanging="103"/>
              <w:jc w:val="left"/>
              <w:rPr>
                <w:noProof/>
              </w:rPr>
            </w:pPr>
            <w:r>
              <w:rPr>
                <w:noProof/>
              </w:rPr>
              <w:t>spodbujanje združevanja in razvoja poslovnih omrežij.</w:t>
            </w:r>
          </w:p>
        </w:tc>
      </w:tr>
      <w:tr w:rsidR="00154E32" w14:paraId="1A41421D" w14:textId="77777777">
        <w:trPr>
          <w:trHeight w:val="313"/>
          <w:jc w:val="center"/>
        </w:trPr>
        <w:tc>
          <w:tcPr>
            <w:tcW w:w="377" w:type="pct"/>
            <w:shd w:val="clear" w:color="auto" w:fill="C6EFCE"/>
            <w:noWrap/>
            <w:vAlign w:val="center"/>
            <w:hideMark/>
          </w:tcPr>
          <w:p w14:paraId="03DECD0D" w14:textId="77777777" w:rsidR="00154E32" w:rsidRDefault="00A43E04">
            <w:pPr>
              <w:pStyle w:val="P68B1DB1-Normal11"/>
              <w:jc w:val="center"/>
              <w:rPr>
                <w:noProof/>
              </w:rPr>
            </w:pPr>
            <w:r>
              <w:rPr>
                <w:noProof/>
              </w:rPr>
              <w:t>M1C3–35</w:t>
            </w:r>
          </w:p>
        </w:tc>
        <w:tc>
          <w:tcPr>
            <w:tcW w:w="520" w:type="pct"/>
            <w:shd w:val="clear" w:color="auto" w:fill="C6EFCE"/>
            <w:noWrap/>
            <w:vAlign w:val="center"/>
            <w:hideMark/>
          </w:tcPr>
          <w:p w14:paraId="156D183C" w14:textId="77777777" w:rsidR="00154E32" w:rsidRDefault="00A43E04">
            <w:pPr>
              <w:pStyle w:val="P68B1DB1-Normal11"/>
              <w:jc w:val="center"/>
              <w:rPr>
                <w:noProof/>
              </w:rPr>
            </w:pPr>
            <w:r>
              <w:rPr>
                <w:noProof/>
              </w:rPr>
              <w:t>Naložbe – 4.3 Caput Mundi-Next Generation EU za turistične odlične dogodke</w:t>
            </w:r>
          </w:p>
        </w:tc>
        <w:tc>
          <w:tcPr>
            <w:tcW w:w="378" w:type="pct"/>
            <w:shd w:val="clear" w:color="auto" w:fill="C6EFCE"/>
            <w:noWrap/>
            <w:vAlign w:val="center"/>
            <w:hideMark/>
          </w:tcPr>
          <w:p w14:paraId="1547653B" w14:textId="77777777" w:rsidR="00154E32" w:rsidRDefault="00A43E04">
            <w:pPr>
              <w:pStyle w:val="P68B1DB1-Normal11"/>
              <w:jc w:val="center"/>
              <w:rPr>
                <w:noProof/>
              </w:rPr>
            </w:pPr>
            <w:r>
              <w:rPr>
                <w:noProof/>
              </w:rPr>
              <w:t>Mejnik</w:t>
            </w:r>
          </w:p>
        </w:tc>
        <w:tc>
          <w:tcPr>
            <w:tcW w:w="520" w:type="pct"/>
            <w:shd w:val="clear" w:color="auto" w:fill="C6EFCE"/>
            <w:noWrap/>
            <w:vAlign w:val="center"/>
            <w:hideMark/>
          </w:tcPr>
          <w:p w14:paraId="6F033B15" w14:textId="77777777" w:rsidR="00154E32" w:rsidRDefault="00A43E04">
            <w:pPr>
              <w:pStyle w:val="P68B1DB1-Normal11"/>
              <w:jc w:val="center"/>
              <w:rPr>
                <w:noProof/>
              </w:rPr>
            </w:pPr>
            <w:r>
              <w:rPr>
                <w:noProof/>
              </w:rPr>
              <w:t>Podpis vsakega sporazuma za šest projektov med ministrstvom za turizem in upravičenci/izvajalskimi organi</w:t>
            </w:r>
          </w:p>
        </w:tc>
        <w:tc>
          <w:tcPr>
            <w:tcW w:w="520" w:type="pct"/>
            <w:shd w:val="clear" w:color="auto" w:fill="C6EFCE"/>
            <w:noWrap/>
            <w:vAlign w:val="center"/>
            <w:hideMark/>
          </w:tcPr>
          <w:p w14:paraId="656A0F17" w14:textId="1CA18EE2" w:rsidR="00154E32" w:rsidRDefault="00A43E04">
            <w:pPr>
              <w:pStyle w:val="P68B1DB1-Normal11"/>
              <w:jc w:val="center"/>
              <w:rPr>
                <w:noProof/>
              </w:rPr>
            </w:pPr>
            <w:r>
              <w:rPr>
                <w:noProof/>
              </w:rPr>
              <w:t>Objava programskega sporazuma med ministrstvom za turizem, občino Rim glavno mesto in drugimi udeleženimi akterji</w:t>
            </w:r>
          </w:p>
        </w:tc>
        <w:tc>
          <w:tcPr>
            <w:tcW w:w="331" w:type="pct"/>
            <w:shd w:val="clear" w:color="auto" w:fill="C6EFCE"/>
            <w:noWrap/>
            <w:vAlign w:val="center"/>
            <w:hideMark/>
          </w:tcPr>
          <w:p w14:paraId="30D1DCCB" w14:textId="77777777" w:rsidR="00154E32" w:rsidRDefault="00A43E04">
            <w:pPr>
              <w:pStyle w:val="P68B1DB1-Normal11"/>
              <w:jc w:val="center"/>
              <w:rPr>
                <w:noProof/>
              </w:rPr>
            </w:pPr>
            <w:r>
              <w:rPr>
                <w:noProof/>
              </w:rPr>
              <w:t>JIH NI</w:t>
            </w:r>
          </w:p>
        </w:tc>
        <w:tc>
          <w:tcPr>
            <w:tcW w:w="332" w:type="pct"/>
            <w:shd w:val="clear" w:color="auto" w:fill="C6EFCE"/>
            <w:noWrap/>
            <w:vAlign w:val="center"/>
            <w:hideMark/>
          </w:tcPr>
          <w:p w14:paraId="7E101FC0" w14:textId="77777777" w:rsidR="00154E32" w:rsidRDefault="00A43E04">
            <w:pPr>
              <w:pStyle w:val="P68B1DB1-Normal11"/>
              <w:jc w:val="center"/>
              <w:rPr>
                <w:noProof/>
              </w:rPr>
            </w:pPr>
            <w:r>
              <w:rPr>
                <w:noProof/>
              </w:rPr>
              <w:t>JIH NI</w:t>
            </w:r>
          </w:p>
        </w:tc>
        <w:tc>
          <w:tcPr>
            <w:tcW w:w="424" w:type="pct"/>
            <w:shd w:val="clear" w:color="auto" w:fill="C6EFCE"/>
            <w:noWrap/>
            <w:vAlign w:val="center"/>
            <w:hideMark/>
          </w:tcPr>
          <w:p w14:paraId="4B9EF7F1" w14:textId="77777777" w:rsidR="00154E32" w:rsidRDefault="00A43E04">
            <w:pPr>
              <w:pStyle w:val="P68B1DB1-Normal11"/>
              <w:jc w:val="center"/>
              <w:rPr>
                <w:noProof/>
              </w:rPr>
            </w:pPr>
            <w:r>
              <w:rPr>
                <w:noProof/>
              </w:rPr>
              <w:t>JIH NI</w:t>
            </w:r>
          </w:p>
        </w:tc>
        <w:tc>
          <w:tcPr>
            <w:tcW w:w="332" w:type="pct"/>
            <w:shd w:val="clear" w:color="auto" w:fill="C6EFCE"/>
            <w:noWrap/>
            <w:vAlign w:val="center"/>
            <w:hideMark/>
          </w:tcPr>
          <w:p w14:paraId="2C9AC7AC" w14:textId="77777777" w:rsidR="00154E32" w:rsidRDefault="00A43E04">
            <w:pPr>
              <w:pStyle w:val="P68B1DB1-Normal11"/>
              <w:jc w:val="center"/>
              <w:rPr>
                <w:noProof/>
              </w:rPr>
            </w:pPr>
            <w:r>
              <w:rPr>
                <w:noProof/>
              </w:rPr>
              <w:t>Q2</w:t>
            </w:r>
          </w:p>
        </w:tc>
        <w:tc>
          <w:tcPr>
            <w:tcW w:w="220" w:type="pct"/>
            <w:shd w:val="clear" w:color="auto" w:fill="C6EFCE"/>
            <w:noWrap/>
            <w:vAlign w:val="center"/>
            <w:hideMark/>
          </w:tcPr>
          <w:p w14:paraId="48EAD345" w14:textId="77777777" w:rsidR="00154E32" w:rsidRDefault="00A43E04">
            <w:pPr>
              <w:pStyle w:val="P68B1DB1-Normal11"/>
              <w:jc w:val="center"/>
              <w:rPr>
                <w:noProof/>
              </w:rPr>
            </w:pPr>
            <w:r>
              <w:rPr>
                <w:noProof/>
              </w:rPr>
              <w:t>2022</w:t>
            </w:r>
          </w:p>
        </w:tc>
        <w:tc>
          <w:tcPr>
            <w:tcW w:w="1047" w:type="pct"/>
            <w:shd w:val="clear" w:color="auto" w:fill="C6EFCE"/>
            <w:noWrap/>
            <w:vAlign w:val="center"/>
            <w:hideMark/>
          </w:tcPr>
          <w:p w14:paraId="73B7EA56" w14:textId="77777777" w:rsidR="00154E32" w:rsidRDefault="00154E32">
            <w:pPr>
              <w:rPr>
                <w:rFonts w:ascii="Arial Narrow" w:hAnsi="Arial Narrow"/>
                <w:noProof/>
                <w:color w:val="006100"/>
                <w:sz w:val="20"/>
              </w:rPr>
            </w:pPr>
          </w:p>
          <w:p w14:paraId="71A5D123" w14:textId="77777777" w:rsidR="00154E32" w:rsidRDefault="00A43E04">
            <w:pPr>
              <w:pStyle w:val="P68B1DB1-Normal10"/>
              <w:rPr>
                <w:noProof/>
                <w:color w:val="006100"/>
                <w:sz w:val="20"/>
              </w:rPr>
            </w:pPr>
            <w:r>
              <w:rPr>
                <w:noProof/>
                <w:color w:val="006100"/>
                <w:sz w:val="20"/>
              </w:rPr>
              <w:t>Sporazumi se podpišejo za šest projektov:</w:t>
            </w:r>
            <w:r>
              <w:rPr>
                <w:noProof/>
              </w:rPr>
              <w:t xml:space="preserve"> </w:t>
            </w:r>
            <w:r>
              <w:rPr>
                <w:noProof/>
              </w:rPr>
              <w:br/>
            </w:r>
            <w:r>
              <w:rPr>
                <w:noProof/>
                <w:color w:val="006100"/>
                <w:sz w:val="20"/>
              </w:rPr>
              <w:t xml:space="preserve"> 1) rimska kulturna dediščina za naslednjo generacijo EU; Od Pagana Rima do krščanskega Rima – Jubileejeve poti; 3) #Lacittàcondivisa; 4) #Mitingodiverde; 5) Romi 4.0; 6) #Amanotesa</w:t>
            </w:r>
          </w:p>
          <w:p w14:paraId="01551B23" w14:textId="77777777" w:rsidR="00154E32" w:rsidRDefault="00154E32">
            <w:pPr>
              <w:rPr>
                <w:rFonts w:ascii="Arial Narrow" w:hAnsi="Arial Narrow"/>
                <w:noProof/>
                <w:color w:val="006100"/>
                <w:sz w:val="20"/>
              </w:rPr>
            </w:pPr>
          </w:p>
          <w:p w14:paraId="38FEC516" w14:textId="77777777" w:rsidR="00154E32" w:rsidRDefault="00A43E04">
            <w:pPr>
              <w:pStyle w:val="P68B1DB1-Normal11"/>
              <w:rPr>
                <w:noProof/>
              </w:rPr>
            </w:pPr>
            <w:r>
              <w:rPr>
                <w:noProof/>
              </w:rPr>
              <w:t>Seznam upravičencev/izvajalskih organov vključuje: Glavno mesto Rim; Arheološki nadzor kulturne, okoljske in krajinske dediščine Rima (MIC); Arheološki park Colosseuma;  Arheološki park Appia Antica; Rimsko odejo; Ministrstvo za turizem; Dežela Lacij.</w:t>
            </w:r>
          </w:p>
          <w:p w14:paraId="20DBBFC0" w14:textId="77777777" w:rsidR="00154E32" w:rsidRDefault="00154E32">
            <w:pPr>
              <w:rPr>
                <w:rFonts w:ascii="Arial Narrow" w:hAnsi="Arial Narrow"/>
                <w:noProof/>
                <w:color w:val="006100"/>
                <w:sz w:val="20"/>
              </w:rPr>
            </w:pPr>
          </w:p>
          <w:p w14:paraId="2957F720" w14:textId="77777777" w:rsidR="00154E32" w:rsidRDefault="00A43E04">
            <w:pPr>
              <w:pStyle w:val="P68B1DB1-Normal11"/>
              <w:rPr>
                <w:noProof/>
              </w:rPr>
            </w:pPr>
            <w:r>
              <w:rPr>
                <w:noProof/>
              </w:rPr>
              <w:t>Pred javnim razpisom se merila za izbor in dodelitev ter posebnosti projektov opredelijo z ustreznimi viri.</w:t>
            </w:r>
          </w:p>
          <w:p w14:paraId="2EB06051" w14:textId="77777777" w:rsidR="00154E32" w:rsidRDefault="00154E32">
            <w:pPr>
              <w:rPr>
                <w:rFonts w:ascii="Arial Narrow" w:hAnsi="Arial Narrow"/>
                <w:noProof/>
                <w:color w:val="006100"/>
                <w:sz w:val="20"/>
              </w:rPr>
            </w:pPr>
          </w:p>
          <w:p w14:paraId="1A787585" w14:textId="078B4D60" w:rsidR="00154E32" w:rsidRDefault="00A43E04">
            <w:pPr>
              <w:pStyle w:val="P68B1DB1-Normal11"/>
              <w:rPr>
                <w:noProof/>
              </w:rPr>
            </w:pPr>
            <w:r>
              <w:rPr>
                <w:noProof/>
              </w:rPr>
              <w:t>Oddaja naročil projektom, izbranim v okviru konkurenčnih razpisov za zbiranje predlogov, je v skladu s tehničnimi smernicami za uporabo načela, da se ne škoduje bistveno (2021/C58/01), in sicer z uporabo seznama za izključitev in zahtevo po skladnosti z ustrezno okoljsko zakonodajo EU in nacionalno okoljsko zakonodajo.</w:t>
            </w:r>
          </w:p>
        </w:tc>
      </w:tr>
      <w:tr w:rsidR="00154E32" w14:paraId="7F2DBCD5" w14:textId="77777777">
        <w:trPr>
          <w:trHeight w:val="313"/>
          <w:jc w:val="center"/>
        </w:trPr>
        <w:tc>
          <w:tcPr>
            <w:tcW w:w="377" w:type="pct"/>
            <w:shd w:val="clear" w:color="auto" w:fill="C6EFCE"/>
            <w:noWrap/>
            <w:vAlign w:val="center"/>
            <w:hideMark/>
          </w:tcPr>
          <w:p w14:paraId="5492215C" w14:textId="77777777" w:rsidR="00154E32" w:rsidRDefault="00A43E04">
            <w:pPr>
              <w:pStyle w:val="P68B1DB1-Normal11"/>
              <w:jc w:val="center"/>
              <w:rPr>
                <w:noProof/>
              </w:rPr>
            </w:pPr>
            <w:r>
              <w:rPr>
                <w:noProof/>
              </w:rPr>
              <w:t>M1C3–36</w:t>
            </w:r>
          </w:p>
        </w:tc>
        <w:tc>
          <w:tcPr>
            <w:tcW w:w="520" w:type="pct"/>
            <w:shd w:val="clear" w:color="auto" w:fill="C6EFCE"/>
            <w:noWrap/>
            <w:vAlign w:val="center"/>
            <w:hideMark/>
          </w:tcPr>
          <w:p w14:paraId="0516A390" w14:textId="77777777" w:rsidR="00154E32" w:rsidRDefault="00A43E04">
            <w:pPr>
              <w:pStyle w:val="P68B1DB1-Normal11"/>
              <w:jc w:val="center"/>
              <w:rPr>
                <w:noProof/>
              </w:rPr>
            </w:pPr>
            <w:r>
              <w:rPr>
                <w:noProof/>
              </w:rPr>
              <w:t>Naložbe – 4.3 Caput Mundi-Next Generation EU za turistične odlične dogodke</w:t>
            </w:r>
          </w:p>
        </w:tc>
        <w:tc>
          <w:tcPr>
            <w:tcW w:w="378" w:type="pct"/>
            <w:shd w:val="clear" w:color="auto" w:fill="C6EFCE"/>
            <w:noWrap/>
            <w:vAlign w:val="center"/>
            <w:hideMark/>
          </w:tcPr>
          <w:p w14:paraId="508D7652" w14:textId="77777777" w:rsidR="00154E32" w:rsidRDefault="00A43E04">
            <w:pPr>
              <w:pStyle w:val="P68B1DB1-Normal11"/>
              <w:jc w:val="center"/>
              <w:rPr>
                <w:noProof/>
              </w:rPr>
            </w:pPr>
            <w:r>
              <w:rPr>
                <w:noProof/>
              </w:rPr>
              <w:t>Tarča</w:t>
            </w:r>
          </w:p>
        </w:tc>
        <w:tc>
          <w:tcPr>
            <w:tcW w:w="520" w:type="pct"/>
            <w:shd w:val="clear" w:color="auto" w:fill="C6EFCE"/>
            <w:noWrap/>
            <w:vAlign w:val="center"/>
            <w:hideMark/>
          </w:tcPr>
          <w:p w14:paraId="77CD1EA1" w14:textId="4C04C1E6" w:rsidR="00154E32" w:rsidRDefault="00A43E04">
            <w:pPr>
              <w:pStyle w:val="P68B1DB1-Normal11"/>
              <w:jc w:val="center"/>
              <w:rPr>
                <w:noProof/>
              </w:rPr>
            </w:pPr>
            <w:r>
              <w:rPr>
                <w:noProof/>
              </w:rPr>
              <w:t>Število kulturnih in turističnih znamenitosti, katerih prekvalifikacija je zaključena</w:t>
            </w:r>
          </w:p>
        </w:tc>
        <w:tc>
          <w:tcPr>
            <w:tcW w:w="520" w:type="pct"/>
            <w:shd w:val="clear" w:color="auto" w:fill="C6EFCE"/>
            <w:noWrap/>
            <w:vAlign w:val="center"/>
            <w:hideMark/>
          </w:tcPr>
          <w:p w14:paraId="131D06EB" w14:textId="77777777" w:rsidR="00154E32" w:rsidRDefault="00A43E04">
            <w:pPr>
              <w:pStyle w:val="P68B1DB1-Normal11"/>
              <w:jc w:val="center"/>
              <w:rPr>
                <w:noProof/>
              </w:rPr>
            </w:pPr>
            <w:r>
              <w:rPr>
                <w:noProof/>
              </w:rPr>
              <w:t>JIH NI</w:t>
            </w:r>
          </w:p>
        </w:tc>
        <w:tc>
          <w:tcPr>
            <w:tcW w:w="331" w:type="pct"/>
            <w:shd w:val="clear" w:color="auto" w:fill="C6EFCE"/>
            <w:noWrap/>
            <w:vAlign w:val="center"/>
            <w:hideMark/>
          </w:tcPr>
          <w:p w14:paraId="5B9F25BC" w14:textId="77777777" w:rsidR="00154E32" w:rsidRDefault="00A43E04">
            <w:pPr>
              <w:pStyle w:val="P68B1DB1-Normal11"/>
              <w:jc w:val="center"/>
              <w:rPr>
                <w:noProof/>
              </w:rPr>
            </w:pPr>
            <w:r>
              <w:rPr>
                <w:noProof/>
              </w:rPr>
              <w:t>Število</w:t>
            </w:r>
          </w:p>
        </w:tc>
        <w:tc>
          <w:tcPr>
            <w:tcW w:w="332" w:type="pct"/>
            <w:shd w:val="clear" w:color="auto" w:fill="C6EFCE"/>
            <w:noWrap/>
            <w:vAlign w:val="center"/>
            <w:hideMark/>
          </w:tcPr>
          <w:p w14:paraId="03777844" w14:textId="77777777" w:rsidR="00154E32" w:rsidRDefault="00A43E04">
            <w:pPr>
              <w:pStyle w:val="P68B1DB1-Normal11"/>
              <w:jc w:val="center"/>
              <w:rPr>
                <w:noProof/>
              </w:rPr>
            </w:pPr>
            <w:r>
              <w:rPr>
                <w:noProof/>
              </w:rPr>
              <w:t>0</w:t>
            </w:r>
          </w:p>
        </w:tc>
        <w:tc>
          <w:tcPr>
            <w:tcW w:w="424" w:type="pct"/>
            <w:shd w:val="clear" w:color="auto" w:fill="C6EFCE"/>
            <w:noWrap/>
            <w:vAlign w:val="center"/>
            <w:hideMark/>
          </w:tcPr>
          <w:p w14:paraId="194D6973" w14:textId="77777777" w:rsidR="00154E32" w:rsidRDefault="00A43E04">
            <w:pPr>
              <w:pStyle w:val="P68B1DB1-Normal11"/>
              <w:jc w:val="center"/>
              <w:rPr>
                <w:noProof/>
              </w:rPr>
            </w:pPr>
            <w:r>
              <w:rPr>
                <w:noProof/>
              </w:rPr>
              <w:t>200</w:t>
            </w:r>
          </w:p>
        </w:tc>
        <w:tc>
          <w:tcPr>
            <w:tcW w:w="332" w:type="pct"/>
            <w:shd w:val="clear" w:color="auto" w:fill="C6EFCE"/>
            <w:noWrap/>
            <w:vAlign w:val="center"/>
            <w:hideMark/>
          </w:tcPr>
          <w:p w14:paraId="49D322B7" w14:textId="77777777" w:rsidR="00154E32" w:rsidRDefault="00A43E04">
            <w:pPr>
              <w:pStyle w:val="P68B1DB1-Normal11"/>
              <w:jc w:val="center"/>
              <w:rPr>
                <w:noProof/>
              </w:rPr>
            </w:pPr>
            <w:r>
              <w:rPr>
                <w:noProof/>
              </w:rPr>
              <w:t>Q2</w:t>
            </w:r>
          </w:p>
        </w:tc>
        <w:tc>
          <w:tcPr>
            <w:tcW w:w="220" w:type="pct"/>
            <w:shd w:val="clear" w:color="auto" w:fill="C6EFCE"/>
            <w:noWrap/>
            <w:vAlign w:val="center"/>
            <w:hideMark/>
          </w:tcPr>
          <w:p w14:paraId="43E79A53" w14:textId="77777777" w:rsidR="00154E32" w:rsidRDefault="00A43E04">
            <w:pPr>
              <w:pStyle w:val="P68B1DB1-Normal11"/>
              <w:jc w:val="center"/>
              <w:rPr>
                <w:noProof/>
              </w:rPr>
            </w:pPr>
            <w:r>
              <w:rPr>
                <w:noProof/>
              </w:rPr>
              <w:t>2026</w:t>
            </w:r>
          </w:p>
        </w:tc>
        <w:tc>
          <w:tcPr>
            <w:tcW w:w="1047" w:type="pct"/>
            <w:shd w:val="clear" w:color="auto" w:fill="C6EFCE"/>
            <w:noWrap/>
            <w:vAlign w:val="center"/>
            <w:hideMark/>
          </w:tcPr>
          <w:p w14:paraId="271845CF" w14:textId="77777777" w:rsidR="00154E32" w:rsidRDefault="00A43E04">
            <w:pPr>
              <w:pStyle w:val="P68B1DB1-Normal11"/>
              <w:rPr>
                <w:noProof/>
              </w:rPr>
            </w:pPr>
            <w:r>
              <w:rPr>
                <w:noProof/>
              </w:rPr>
              <w:t>Naložba vključuje intervencije, ki zajemajo:</w:t>
            </w:r>
          </w:p>
          <w:p w14:paraId="693AE000" w14:textId="77777777" w:rsidR="00154E32" w:rsidRDefault="00A43E04">
            <w:pPr>
              <w:pStyle w:val="P68B1DB1-ListParagraph13"/>
              <w:numPr>
                <w:ilvl w:val="0"/>
                <w:numId w:val="87"/>
              </w:numPr>
              <w:ind w:left="599"/>
              <w:jc w:val="left"/>
              <w:rPr>
                <w:noProof/>
              </w:rPr>
            </w:pPr>
            <w:r>
              <w:rPr>
                <w:noProof/>
              </w:rPr>
              <w:t xml:space="preserve">obnovo in obnovo kulturne in mestne dediščine ter kompleksov z visoko zgodovinsko-arhitekturno vrednostjo mesta Rim za naložbeno vrstico „Rimska kulturna dediščina za naslednjo generacijo EU“;  </w:t>
            </w:r>
          </w:p>
          <w:p w14:paraId="12B05CFC" w14:textId="7EFEA00B" w:rsidR="00154E32" w:rsidRDefault="00A43E04">
            <w:pPr>
              <w:pStyle w:val="P68B1DB1-ListParagraph13"/>
              <w:numPr>
                <w:ilvl w:val="0"/>
                <w:numId w:val="87"/>
              </w:numPr>
              <w:tabs>
                <w:tab w:val="left" w:pos="1340"/>
                <w:tab w:val="left" w:pos="1341"/>
              </w:tabs>
              <w:spacing w:after="0"/>
              <w:ind w:left="599"/>
              <w:jc w:val="left"/>
              <w:rPr>
                <w:noProof/>
              </w:rPr>
            </w:pPr>
            <w:r>
              <w:rPr>
                <w:noProof/>
              </w:rPr>
              <w:t>izboljšanje, varnost, protiseizmična konsolidacija, obnova krajev in stavb zgodovinskega pomena ter arheološke poti za naložbeno linijo „Jubilee paths“;</w:t>
            </w:r>
          </w:p>
          <w:p w14:paraId="12EBE220" w14:textId="77777777" w:rsidR="00154E32" w:rsidRDefault="00A43E04">
            <w:pPr>
              <w:pStyle w:val="P68B1DB1-ListParagraph13"/>
              <w:numPr>
                <w:ilvl w:val="0"/>
                <w:numId w:val="87"/>
              </w:numPr>
              <w:tabs>
                <w:tab w:val="left" w:pos="1340"/>
                <w:tab w:val="left" w:pos="1341"/>
              </w:tabs>
              <w:spacing w:after="0"/>
              <w:ind w:left="599"/>
              <w:jc w:val="left"/>
              <w:rPr>
                <w:noProof/>
              </w:rPr>
            </w:pPr>
            <w:r>
              <w:rPr>
                <w:noProof/>
              </w:rPr>
              <w:t>prenova območij na obrobnih območjih za naložbeno linijo „#LaCittàCondivisa“;</w:t>
            </w:r>
          </w:p>
          <w:p w14:paraId="7E4EB066" w14:textId="77777777" w:rsidR="00154E32" w:rsidRDefault="00A43E04">
            <w:pPr>
              <w:pStyle w:val="P68B1DB1-ListParagraph13"/>
              <w:numPr>
                <w:ilvl w:val="0"/>
                <w:numId w:val="87"/>
              </w:numPr>
              <w:tabs>
                <w:tab w:val="left" w:pos="1340"/>
                <w:tab w:val="left" w:pos="1341"/>
              </w:tabs>
              <w:spacing w:after="0"/>
              <w:ind w:left="599"/>
              <w:jc w:val="left"/>
              <w:rPr>
                <w:noProof/>
              </w:rPr>
            </w:pPr>
            <w:r>
              <w:rPr>
                <w:noProof/>
              </w:rPr>
              <w:t>posegi na parkih, zgodovinskih vrtovih, vilah in avtomatih za naložbeno linijo #Mitingodiverde;</w:t>
            </w:r>
          </w:p>
          <w:p w14:paraId="2BD243E6" w14:textId="77777777" w:rsidR="00154E32" w:rsidRDefault="00A43E04">
            <w:pPr>
              <w:pStyle w:val="P68B1DB1-ListParagraph13"/>
              <w:numPr>
                <w:ilvl w:val="0"/>
                <w:numId w:val="87"/>
              </w:numPr>
              <w:tabs>
                <w:tab w:val="left" w:pos="1340"/>
                <w:tab w:val="left" w:pos="1341"/>
              </w:tabs>
              <w:spacing w:after="0"/>
              <w:ind w:left="599"/>
              <w:jc w:val="left"/>
              <w:rPr>
                <w:noProof/>
              </w:rPr>
            </w:pPr>
            <w:r>
              <w:rPr>
                <w:noProof/>
              </w:rPr>
              <w:t>digitalizacija kulturnih storitev in razvoj aplikacij za turiste ali naložbena vrstica #Roma 4.0;</w:t>
            </w:r>
          </w:p>
          <w:p w14:paraId="3C83985C" w14:textId="77777777" w:rsidR="00154E32" w:rsidRDefault="00A43E04">
            <w:pPr>
              <w:pStyle w:val="P68B1DB1-ListParagraph13"/>
              <w:numPr>
                <w:ilvl w:val="0"/>
                <w:numId w:val="87"/>
              </w:numPr>
              <w:tabs>
                <w:tab w:val="left" w:pos="1340"/>
                <w:tab w:val="left" w:pos="1341"/>
              </w:tabs>
              <w:spacing w:after="0"/>
              <w:ind w:left="599"/>
              <w:jc w:val="left"/>
              <w:rPr>
                <w:noProof/>
              </w:rPr>
            </w:pPr>
            <w:r>
              <w:rPr>
                <w:noProof/>
              </w:rPr>
              <w:t>ukrepi za povečanje ponudbe kulturne ponudbe obrobjem za socialno vključevanje za naložbeno vrstico št. #Amanotesa.</w:t>
            </w:r>
          </w:p>
          <w:p w14:paraId="1F78D80B" w14:textId="77777777" w:rsidR="00154E32" w:rsidRDefault="00154E32">
            <w:pPr>
              <w:pStyle w:val="ListParagraph"/>
              <w:tabs>
                <w:tab w:val="left" w:pos="1340"/>
                <w:tab w:val="left" w:pos="1341"/>
              </w:tabs>
              <w:spacing w:after="0"/>
              <w:jc w:val="left"/>
              <w:rPr>
                <w:rFonts w:ascii="Arial Narrow" w:hAnsi="Arial Narrow"/>
                <w:noProof/>
                <w:color w:val="006100"/>
                <w:sz w:val="20"/>
              </w:rPr>
            </w:pPr>
          </w:p>
          <w:p w14:paraId="7A04D092" w14:textId="77777777" w:rsidR="00154E32" w:rsidRDefault="00A43E04">
            <w:pPr>
              <w:pStyle w:val="P68B1DB1-Normal11"/>
              <w:rPr>
                <w:noProof/>
              </w:rPr>
            </w:pPr>
            <w:r>
              <w:rPr>
                <w:noProof/>
              </w:rPr>
              <w:t xml:space="preserve">Naložba vključuje ukrepe prekvalifikacije, ki se izvajajo na vsaj petih arheoloških/kulturnih znamenitostih za naložbeno vrstico „Rimska kulturna dediščina za naslednjo generacijo EU“, in sicer vsaj 125 arheoloških/kulturnih znamenitosti za „vseprisotne poti“; vsaj 50 arheoloških/kulturnih območij za #Lacittàcondivisa; vsaj 15 arheoloških/kulturnih znamenitosti za št. #Mitingodiverde, vsaj 5 arheoloških/kulturnih znamenitosti za Rome 4.0 </w:t>
            </w:r>
          </w:p>
          <w:p w14:paraId="25C2622F" w14:textId="77777777" w:rsidR="00154E32" w:rsidRDefault="00154E32">
            <w:pPr>
              <w:rPr>
                <w:rFonts w:ascii="Arial Narrow" w:hAnsi="Arial Narrow"/>
                <w:noProof/>
                <w:color w:val="006100"/>
                <w:sz w:val="20"/>
              </w:rPr>
            </w:pPr>
          </w:p>
          <w:p w14:paraId="2718D846" w14:textId="466E18C0" w:rsidR="00154E32" w:rsidRDefault="00A43E04">
            <w:pPr>
              <w:pStyle w:val="P68B1DB1-Normal11"/>
              <w:rPr>
                <w:noProof/>
              </w:rPr>
            </w:pPr>
            <w:r>
              <w:rPr>
                <w:noProof/>
              </w:rPr>
              <w:t>Zadovoljivo doseganje cilja je odvisno tudi od dokončanja vseh projektov naložbene vrstice „#Amanotesa“ in od razpoložljivosti aplikacije „CaputMundi – Roma4U“ za javnost.</w:t>
            </w:r>
          </w:p>
        </w:tc>
      </w:tr>
    </w:tbl>
    <w:p w14:paraId="18B23B8E" w14:textId="77777777" w:rsidR="00154E32" w:rsidRDefault="00154E32">
      <w:pPr>
        <w:rPr>
          <w:b/>
          <w:noProof/>
        </w:rPr>
      </w:pPr>
    </w:p>
    <w:p w14:paraId="08A379F3" w14:textId="77777777" w:rsidR="00154E32" w:rsidRDefault="00154E32">
      <w:pPr>
        <w:rPr>
          <w:b/>
          <w:noProof/>
        </w:rPr>
      </w:pPr>
    </w:p>
    <w:p w14:paraId="028A1E12" w14:textId="77777777" w:rsidR="00154E32" w:rsidRDefault="00154E32">
      <w:pPr>
        <w:spacing w:before="120" w:after="120"/>
        <w:jc w:val="both"/>
        <w:rPr>
          <w:noProof/>
        </w:rPr>
        <w:sectPr w:rsidR="00154E32" w:rsidSect="001354D1">
          <w:headerReference w:type="even" r:id="rId86"/>
          <w:headerReference w:type="default" r:id="rId87"/>
          <w:footerReference w:type="even" r:id="rId88"/>
          <w:footerReference w:type="default" r:id="rId89"/>
          <w:headerReference w:type="first" r:id="rId90"/>
          <w:footerReference w:type="first" r:id="rId91"/>
          <w:pgSz w:w="16839" w:h="11907" w:orient="landscape"/>
          <w:pgMar w:top="1134" w:right="1134" w:bottom="1134" w:left="1134" w:header="567" w:footer="567" w:gutter="0"/>
          <w:cols w:space="720"/>
          <w:docGrid w:linePitch="360"/>
        </w:sectPr>
      </w:pPr>
    </w:p>
    <w:p w14:paraId="4DD9C9DD" w14:textId="135696F1" w:rsidR="00154E32" w:rsidRDefault="00A43E04">
      <w:pPr>
        <w:pStyle w:val="Heading2"/>
        <w:numPr>
          <w:ilvl w:val="0"/>
          <w:numId w:val="0"/>
        </w:numPr>
        <w:ind w:left="850" w:hanging="850"/>
        <w:rPr>
          <w:noProof/>
        </w:rPr>
      </w:pPr>
      <w:r>
        <w:rPr>
          <w:noProof/>
        </w:rPr>
        <w:t>D. MISIJA ŠT. 2, KOMPONENTA 1: Krožno gospodarstvo, agroživilski in zeleni prehod</w:t>
      </w:r>
    </w:p>
    <w:p w14:paraId="37220E22" w14:textId="77777777" w:rsidR="00154E32" w:rsidRDefault="00A43E04">
      <w:pPr>
        <w:spacing w:before="120" w:after="120"/>
        <w:jc w:val="both"/>
        <w:rPr>
          <w:noProof/>
        </w:rPr>
      </w:pPr>
      <w:r>
        <w:rPr>
          <w:noProof/>
        </w:rPr>
        <w:t xml:space="preserve">Ta komponenta italijanskega načrta za okrevanje in odpornost zajema naložbe in reforme na področju ravnanja z odpadki, krožnega gospodarstva, podpore agroživilskim vrednostnim verigam in zelenemu prehodu. Te reforme in naložbe dopolnjujejo reforme za povečanje konkurence na področju ravnanja z odpadki in lokalnih javnih storitev v komponenti reforme poslovnega okolja ter izboljšanje porabe vode v kmetijstvu. Ta komponenta je odziv na priporočila za posamezne države, naj se naložbe osredotočijo na zeleni prehod, tudi v krožno gospodarstvo.  </w:t>
      </w:r>
    </w:p>
    <w:p w14:paraId="308508F1" w14:textId="77777777" w:rsidR="00154E32" w:rsidRDefault="00A43E04">
      <w:pPr>
        <w:spacing w:before="120" w:after="120"/>
        <w:jc w:val="both"/>
        <w:rPr>
          <w:noProof/>
        </w:rPr>
      </w:pPr>
      <w:r>
        <w:rPr>
          <w:noProof/>
        </w:rPr>
        <w:t>Naložbe in reforme v okviru te komponente prispevajo k obravnavanju priporočil za posamezne države, naslovljenih na Italijo v letih 2020 in 2019, v zvezi s potrebo po „usmerjenju naložb v zeleni in digitalni prehod, zlasti na [...] ravnanje z odpadki in gospodarjenjem z vodami“ (priporočilo št. 3 iz leta 2020) ter „osredotočenju ekonomske politike, povezane z naložbami, na [...] in kakovost infrastrukture, pri čemer se upoštevajo tudi regionalne razlike“ (priporočilo za državo št. 3 iz leta 2019).</w:t>
      </w:r>
    </w:p>
    <w:p w14:paraId="7AB4D02D" w14:textId="77777777" w:rsidR="00154E32" w:rsidRDefault="00A43E04">
      <w:pPr>
        <w:spacing w:before="120" w:after="120"/>
        <w:jc w:val="both"/>
        <w:rPr>
          <w:noProof/>
        </w:rPr>
      </w:pPr>
      <w:r>
        <w:rPr>
          <w:noProof/>
        </w:rPr>
        <w:t xml:space="preserve">Glede na opis ukrepov in blažilne ukrepe, določene v načrtu za okrevanje in odpornost v skladu s tehničnimi smernicami za uporabo načela, da se ne škoduje bistveno (2021/C58/01), noben ukrep v tej komponenti naj ne bi bistveno škodoval okoljskim ciljem v smislu člena 17 Uredbe (EU) 2020/852.  </w:t>
      </w:r>
    </w:p>
    <w:p w14:paraId="43D35804" w14:textId="77777777" w:rsidR="00154E32" w:rsidRDefault="00A43E04">
      <w:pPr>
        <w:pStyle w:val="Heading3"/>
        <w:numPr>
          <w:ilvl w:val="0"/>
          <w:numId w:val="0"/>
        </w:numPr>
        <w:ind w:left="850" w:hanging="850"/>
        <w:rPr>
          <w:b/>
          <w:i w:val="0"/>
          <w:noProof/>
          <w:u w:val="single"/>
        </w:rPr>
      </w:pPr>
      <w:r>
        <w:rPr>
          <w:b/>
          <w:i w:val="0"/>
          <w:noProof/>
          <w:u w:val="single"/>
        </w:rPr>
        <w:t>D.1.</w:t>
      </w:r>
      <w:r>
        <w:rPr>
          <w:b/>
          <w:noProof/>
          <w:u w:val="single"/>
        </w:rPr>
        <w:t xml:space="preserve"> </w:t>
      </w:r>
      <w:r>
        <w:rPr>
          <w:noProof/>
        </w:rPr>
        <w:tab/>
      </w:r>
      <w:r>
        <w:rPr>
          <w:b/>
          <w:i w:val="0"/>
          <w:noProof/>
          <w:u w:val="single"/>
        </w:rPr>
        <w:t xml:space="preserve">Opis reform in naložb za nepovratno finančno podporo </w:t>
      </w:r>
    </w:p>
    <w:p w14:paraId="05A34B42" w14:textId="1F84C702" w:rsidR="00154E32" w:rsidRDefault="00A43E04">
      <w:pPr>
        <w:pStyle w:val="Axistitle"/>
        <w:ind w:left="0"/>
        <w:rPr>
          <w:noProof/>
        </w:rPr>
      </w:pPr>
      <w:r>
        <w:rPr>
          <w:noProof/>
        </w:rPr>
        <w:t xml:space="preserve">Krožno gospodarstvo. </w:t>
      </w:r>
    </w:p>
    <w:p w14:paraId="648ACEA8" w14:textId="77777777" w:rsidR="00154E32" w:rsidRDefault="00A43E04">
      <w:pPr>
        <w:pStyle w:val="P68B1DB1-Normal2"/>
        <w:spacing w:before="120" w:after="120"/>
        <w:jc w:val="both"/>
        <w:rPr>
          <w:noProof/>
        </w:rPr>
      </w:pPr>
      <w:r>
        <w:rPr>
          <w:noProof/>
        </w:rPr>
        <w:t>Reforma 1.1 – Nacionalna strategija za krožno gospodarstvo</w:t>
      </w:r>
    </w:p>
    <w:p w14:paraId="3C26FF43" w14:textId="0B814230" w:rsidR="00154E32" w:rsidRDefault="00A43E04">
      <w:pPr>
        <w:spacing w:before="120" w:after="120"/>
        <w:jc w:val="both"/>
        <w:rPr>
          <w:noProof/>
        </w:rPr>
      </w:pPr>
      <w:r>
        <w:rPr>
          <w:noProof/>
        </w:rPr>
        <w:t>Ta reforma vključuje sprejetje široke nacionalne strategije za krožno gospodarstvo, ki zajema nov digitalni sistem sledljivosti odpadkov, davčne spodbude za podporo dejavnostim recikliranja in uporabi sekundarnih surovin, revizijo okoljske obdavčitve, pravico do ponovne uporabe in popravila, reformo razširjene odgovornosti proizvajalca in sistema konsortije, podporo obstoječim regulativnim orodjem (kot so zakonodaja o odpravi odpadkov in minimalna okoljska merila v okviru zelenih javnih naročil) ter podporo projektu industrijske simbioze. Reforma razširjene odgovornosti proizvajalca in konzorcijskega sistema obravnava tudi potrebo po učinkovitejši uporabi okoljskega prispevka, da se zagotovi uporaba preglednih in nediskriminatornih meril. Ustanovi se poseben nadzorni organ za spremljanje delovanja in učinkovitosti konzorcijskih sistemov pod predsedstvom ministrstva za ekološki prehod (MITE). Ukrep se nanaša na vse konzorcije (ne le sistem pakiranja CONAI).</w:t>
      </w:r>
    </w:p>
    <w:p w14:paraId="3F1B8D53" w14:textId="77777777" w:rsidR="00154E32" w:rsidRDefault="00A43E04">
      <w:pPr>
        <w:pStyle w:val="P68B1DB1-Normal2"/>
        <w:spacing w:before="120" w:after="120"/>
        <w:jc w:val="both"/>
        <w:rPr>
          <w:noProof/>
        </w:rPr>
      </w:pPr>
      <w:r>
        <w:rPr>
          <w:noProof/>
        </w:rPr>
        <w:t>Reforma 1.3 – Tehnična podpora lokalnim organom</w:t>
      </w:r>
    </w:p>
    <w:p w14:paraId="1F0976C8" w14:textId="77777777" w:rsidR="00154E32" w:rsidRDefault="00A43E04">
      <w:pPr>
        <w:spacing w:before="120" w:after="120"/>
        <w:jc w:val="both"/>
        <w:rPr>
          <w:noProof/>
        </w:rPr>
      </w:pPr>
      <w:r>
        <w:rPr>
          <w:noProof/>
        </w:rPr>
        <w:t>Ta reforma vključuje tehnično podporo vlade lokalnim organom pri izvajanju okoljskih predpisov EU in nacionalnih predpisov, razvoju načrtov in projektov v zvezi z ravnanjem z odpadki ter razpisnih postopkih. Podpora razpisnim postopkom zagotavlja, da se koncesije za ravnanje z odpadki dodeljujejo na pregleden in nediskriminatoren način, kar povečuje konkurenčne postopke za doseganje boljših standardov za javne storitve. Ta reforma zato podpira izvajanje reform ravnanja z odpadki, predlaganih v sklopu reforme poslovnega okolja. Tehnična podpora zajema tudi zelena javna naročila.</w:t>
      </w:r>
    </w:p>
    <w:p w14:paraId="491E9106" w14:textId="77777777" w:rsidR="00154E32" w:rsidRDefault="00A43E04">
      <w:pPr>
        <w:pStyle w:val="P68B1DB1-Normal2"/>
        <w:spacing w:before="120" w:after="120"/>
        <w:jc w:val="both"/>
        <w:rPr>
          <w:noProof/>
        </w:rPr>
      </w:pPr>
      <w:r>
        <w:rPr>
          <w:noProof/>
        </w:rPr>
        <w:t>Naložba 2.1 – Načrt za logistiko v agroživilskem, ribiškem in akvakulturnem sektorju, gozdarskem in cvetličarskem sektorju ter sektorju odraščanja rastlin</w:t>
      </w:r>
    </w:p>
    <w:p w14:paraId="34AE8020" w14:textId="77777777" w:rsidR="00154E32" w:rsidRDefault="00A43E04">
      <w:pPr>
        <w:spacing w:before="120" w:after="120"/>
        <w:jc w:val="both"/>
        <w:rPr>
          <w:noProof/>
        </w:rPr>
      </w:pPr>
      <w:r>
        <w:rPr>
          <w:noProof/>
        </w:rPr>
        <w:t xml:space="preserve">Ta ukrep zajema dodeljevanje podpore za materialne in nematerialne naložbe (kot so skladišča kmetijskih surovin, preoblikovanje in ohranjanje surovin, digitalizacija logistike in infrastrukturne intervencije na trgih hrane), naložbe v prevoz hrane in logistiko za zmanjšanje okoljskih in gospodarskih stroškov ter inovacij v proizvodnih procesih, precizno kmetovanje in sledljivost (kot je blokovna veriga). Izbirna merila so skladna z oceno potreb, ki jo v okviru strateškega načrta skupne kmetijske politike pripravi ministrstvo za kmetijsko, živilsko in gozdarsko politiko. Cilj ukrepa je spodbuditi zmanjšanje emisij v fazah prevoza in logistike v agroživilskem sektorju z električnimi vozili in prometnimi sistemi ter spodbujanjem digitalizacije sektorja in uporabe energije iz obnovljivih virov. </w:t>
      </w:r>
    </w:p>
    <w:p w14:paraId="25762983" w14:textId="77777777" w:rsidR="00154E32" w:rsidRDefault="00A43E04">
      <w:pPr>
        <w:pStyle w:val="P68B1DB1-Normal2"/>
        <w:spacing w:before="120" w:after="120"/>
        <w:jc w:val="both"/>
        <w:rPr>
          <w:noProof/>
        </w:rPr>
      </w:pPr>
      <w:r>
        <w:rPr>
          <w:noProof/>
        </w:rPr>
        <w:t>Naložba 2.2 – Kmetijski park</w:t>
      </w:r>
    </w:p>
    <w:p w14:paraId="412350EB" w14:textId="77777777" w:rsidR="00154E32" w:rsidRDefault="00A43E04">
      <w:pPr>
        <w:spacing w:before="120" w:after="120"/>
        <w:jc w:val="both"/>
        <w:rPr>
          <w:noProof/>
        </w:rPr>
      </w:pPr>
      <w:r>
        <w:rPr>
          <w:noProof/>
        </w:rPr>
        <w:t xml:space="preserve">Ta ukrep zajema dodelitev podpore za naložbe v proizvodne strukture kmetijskega, živinorejskega in kmetijsko-industrijskega sektorja, odstranitev in odstranitev obstoječe strehe ter gradnjo nove izolirane strehe, vzpostavitev avtomatiziranih prezračevalnih in/ali hladilnih sistemov, namestitev sončnih panelov, inteligentno upravljanje tokov in akumulatorjev. </w:t>
      </w:r>
    </w:p>
    <w:p w14:paraId="02E42868" w14:textId="77777777" w:rsidR="00154E32" w:rsidRDefault="00A43E04">
      <w:pPr>
        <w:pStyle w:val="P68B1DB1-Normal2"/>
        <w:spacing w:before="120" w:after="120"/>
        <w:jc w:val="both"/>
        <w:rPr>
          <w:noProof/>
        </w:rPr>
      </w:pPr>
      <w:r>
        <w:rPr>
          <w:noProof/>
        </w:rPr>
        <w:t>Naložbe 2.3 – Inovacije in mehanizacija v kmetijskem in živilskem sektorju</w:t>
      </w:r>
    </w:p>
    <w:p w14:paraId="05EED9E1" w14:textId="77777777" w:rsidR="00154E32" w:rsidRDefault="00A43E04">
      <w:pPr>
        <w:spacing w:before="120" w:after="120"/>
        <w:jc w:val="both"/>
        <w:rPr>
          <w:noProof/>
        </w:rPr>
      </w:pPr>
      <w:r>
        <w:rPr>
          <w:noProof/>
        </w:rPr>
        <w:t>Ta ukrep zajema dodelitev podpore za naložbe v opredmetena in neopredmetena sredstva, katerih cilj je:</w:t>
      </w:r>
    </w:p>
    <w:p w14:paraId="372933C7" w14:textId="77777777" w:rsidR="00154E32" w:rsidRDefault="00A43E04">
      <w:pPr>
        <w:numPr>
          <w:ilvl w:val="0"/>
          <w:numId w:val="63"/>
        </w:numPr>
        <w:spacing w:before="120" w:after="120" w:line="259" w:lineRule="auto"/>
        <w:ind w:left="360"/>
        <w:contextualSpacing/>
        <w:jc w:val="both"/>
        <w:rPr>
          <w:noProof/>
        </w:rPr>
      </w:pPr>
      <w:r>
        <w:rPr>
          <w:noProof/>
        </w:rPr>
        <w:t>inovacije v kmetijstvu in mehanizacija, zlasti terenska mehanizacija;</w:t>
      </w:r>
    </w:p>
    <w:p w14:paraId="42B43C1D" w14:textId="77777777" w:rsidR="00154E32" w:rsidRDefault="00A43E04">
      <w:pPr>
        <w:numPr>
          <w:ilvl w:val="0"/>
          <w:numId w:val="63"/>
        </w:numPr>
        <w:spacing w:before="120" w:after="120" w:line="259" w:lineRule="auto"/>
        <w:ind w:left="360"/>
        <w:contextualSpacing/>
        <w:jc w:val="both"/>
        <w:rPr>
          <w:i/>
          <w:noProof/>
        </w:rPr>
      </w:pPr>
      <w:r>
        <w:rPr>
          <w:noProof/>
        </w:rPr>
        <w:t>inovacije v procesih predelave, skladiščenja in pakiranja ekstra deviškega oljčnega olja.</w:t>
      </w:r>
    </w:p>
    <w:p w14:paraId="1773057F" w14:textId="77777777" w:rsidR="00154E32" w:rsidRDefault="00A43E04">
      <w:pPr>
        <w:spacing w:before="120" w:after="120" w:line="259" w:lineRule="auto"/>
        <w:contextualSpacing/>
        <w:jc w:val="both"/>
        <w:rPr>
          <w:noProof/>
        </w:rPr>
      </w:pPr>
      <w:r>
        <w:rPr>
          <w:noProof/>
        </w:rPr>
        <w:t xml:space="preserve">Terenska mehanizacija je brezemisijska ali deluje izključno na biometan v skladu z merili iz Direktive 2018/2001 (direktiva o spodbujanju uporabe energije iz obnovljivih virov). Proizvajalci biogoriv in biometana ter biogoriv morajo predložiti certifikate (dokazilo o trajnostnosti), ki jih izdajo neodvisni ocenjevalci, kot je določeno v Direktivi 2018/2001. Upravljavec kupi potrdilo o izvoru, ki je sorazmerno s pričakovano porabo goriva.  </w:t>
      </w:r>
    </w:p>
    <w:p w14:paraId="32A68E43" w14:textId="77777777" w:rsidR="00154E32" w:rsidRDefault="00A43E04">
      <w:pPr>
        <w:pStyle w:val="P68B1DB1-Normal2"/>
        <w:spacing w:before="120" w:after="120"/>
        <w:jc w:val="both"/>
        <w:rPr>
          <w:noProof/>
        </w:rPr>
      </w:pPr>
      <w:r>
        <w:rPr>
          <w:noProof/>
        </w:rPr>
        <w:t>Naložba 3.3 – Kultura in ozaveščenost o okoljskih temah in izzivih</w:t>
      </w:r>
    </w:p>
    <w:p w14:paraId="3B0D4B32" w14:textId="77777777" w:rsidR="00154E32" w:rsidRDefault="00A43E04">
      <w:pPr>
        <w:spacing w:before="120" w:after="120"/>
        <w:jc w:val="both"/>
        <w:rPr>
          <w:noProof/>
        </w:rPr>
        <w:sectPr w:rsidR="00154E32">
          <w:headerReference w:type="even" r:id="rId92"/>
          <w:headerReference w:type="default" r:id="rId93"/>
          <w:footerReference w:type="even" r:id="rId94"/>
          <w:footerReference w:type="default" r:id="rId95"/>
          <w:headerReference w:type="first" r:id="rId96"/>
          <w:footerReference w:type="first" r:id="rId97"/>
          <w:pgSz w:w="11907" w:h="16839"/>
          <w:pgMar w:top="1440" w:right="1440" w:bottom="1440" w:left="1440" w:header="567" w:footer="567" w:gutter="0"/>
          <w:cols w:space="720"/>
          <w:docGrid w:linePitch="360"/>
        </w:sectPr>
      </w:pPr>
      <w:r>
        <w:rPr>
          <w:noProof/>
        </w:rPr>
        <w:t>Ta naložba zajema zasnovo in proizvodnjo digitalnih vsebin za ozaveščanje o okoljskih in podnebnih izzivih. Digitalne vsebine so sestavljene iz poddaj, šolskih videoposnetkov, videoposnetkov in člankov. Vzpostavi se spletna platforma brez naročnine, da bi postala najobsežnejša „repositacija“ izobraževalnega in rekreacijskega gradiva o temah, povezanih z okoljem. Pričakuje se, da bodo v proizvodnjo digitalnih vsebin vključeni ključni vplivneži. Primeri tem, ki se obravnavajo prek različnih kanalov, so lahko: pravila prehoda, mešanica energijskih virov in vloga obnovljivih virov energije, podnebne spremembe, trajnost ozračja in globalne temperature, skrita vloga oceanov, vodnih rezerv, individualni in organizacijski ekološki odtis, krožno gospodarstvo in novo kmetijstvo.</w:t>
      </w:r>
    </w:p>
    <w:p w14:paraId="1668DC05" w14:textId="77777777" w:rsidR="00154E32" w:rsidRDefault="00A43E04">
      <w:pPr>
        <w:pStyle w:val="Heading3"/>
        <w:numPr>
          <w:ilvl w:val="0"/>
          <w:numId w:val="0"/>
        </w:numPr>
        <w:ind w:left="850" w:hanging="850"/>
        <w:rPr>
          <w:b/>
          <w:i w:val="0"/>
          <w:noProof/>
          <w:u w:val="single"/>
        </w:rPr>
      </w:pPr>
      <w:r>
        <w:rPr>
          <w:b/>
          <w:i w:val="0"/>
          <w:noProof/>
          <w:u w:val="single"/>
        </w:rPr>
        <w:t xml:space="preserve">D.2. </w:t>
      </w:r>
      <w:r>
        <w:rPr>
          <w:noProof/>
        </w:rPr>
        <w:tab/>
      </w:r>
      <w:r>
        <w:rPr>
          <w:b/>
          <w:i w:val="0"/>
          <w:noProof/>
          <w:u w:val="single"/>
        </w:rPr>
        <w:t>Mejniki, cilji, kazalniki in časovni razpored za spremljanje in izvajanje nepovratne finančne podpore Naslednje;</w:t>
      </w:r>
    </w:p>
    <w:tbl>
      <w:tblPr>
        <w:tblpPr w:leftFromText="180" w:rightFromText="180" w:vertAnchor="text" w:horzAnchor="margin" w:tblpY="781"/>
        <w:tblOverlap w:val="never"/>
        <w:tblW w:w="15309" w:type="dxa"/>
        <w:tblLayout w:type="fixed"/>
        <w:tblLook w:val="04A0" w:firstRow="1" w:lastRow="0" w:firstColumn="1" w:lastColumn="0" w:noHBand="0" w:noVBand="1"/>
      </w:tblPr>
      <w:tblGrid>
        <w:gridCol w:w="1129"/>
        <w:gridCol w:w="1701"/>
        <w:gridCol w:w="1134"/>
        <w:gridCol w:w="1701"/>
        <w:gridCol w:w="1843"/>
        <w:gridCol w:w="1180"/>
        <w:gridCol w:w="1159"/>
        <w:gridCol w:w="1347"/>
        <w:gridCol w:w="992"/>
        <w:gridCol w:w="680"/>
        <w:gridCol w:w="2443"/>
      </w:tblGrid>
      <w:tr w:rsidR="00154E32" w14:paraId="51206506" w14:textId="77777777">
        <w:trPr>
          <w:trHeight w:val="927"/>
          <w:tblHeader/>
        </w:trPr>
        <w:tc>
          <w:tcPr>
            <w:tcW w:w="112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ED0B0B4" w14:textId="77777777" w:rsidR="00154E32" w:rsidRDefault="00A43E04">
            <w:pPr>
              <w:pStyle w:val="P68B1DB1-Normal9"/>
              <w:jc w:val="center"/>
              <w:rPr>
                <w:noProof/>
              </w:rPr>
            </w:pPr>
            <w:r>
              <w:rPr>
                <w:noProof/>
              </w:rPr>
              <w:t>Zaporedna številka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717D9DC" w14:textId="77777777" w:rsidR="00154E32" w:rsidRDefault="00A43E04">
            <w:pPr>
              <w:pStyle w:val="P68B1DB1-Normal9"/>
              <w:jc w:val="center"/>
              <w:rPr>
                <w:noProof/>
              </w:rPr>
            </w:pPr>
            <w:r>
              <w:rPr>
                <w:noProof/>
              </w:rPr>
              <w:t>Povezani ukrep (reforma ali naložba)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90D990D" w14:textId="77777777" w:rsidR="00154E32" w:rsidRDefault="00A43E04">
            <w:pPr>
              <w:pStyle w:val="P68B1DB1-Normal9"/>
              <w:jc w:val="center"/>
              <w:rPr>
                <w:noProof/>
              </w:rPr>
            </w:pPr>
            <w:r>
              <w:rPr>
                <w:noProof/>
              </w:rPr>
              <w:t>Mejnik/cilj</w:t>
            </w:r>
          </w:p>
        </w:tc>
        <w:tc>
          <w:tcPr>
            <w:tcW w:w="1701" w:type="dxa"/>
            <w:vMerge w:val="restart"/>
            <w:tcBorders>
              <w:top w:val="single" w:sz="4" w:space="0" w:color="auto"/>
              <w:left w:val="nil"/>
              <w:bottom w:val="single" w:sz="4" w:space="0" w:color="auto"/>
              <w:right w:val="single" w:sz="4" w:space="0" w:color="auto"/>
            </w:tcBorders>
            <w:shd w:val="clear" w:color="auto" w:fill="BDD7EE"/>
            <w:vAlign w:val="center"/>
            <w:hideMark/>
          </w:tcPr>
          <w:p w14:paraId="09B5502F" w14:textId="77777777" w:rsidR="00154E32" w:rsidRDefault="00A43E04">
            <w:pPr>
              <w:pStyle w:val="P68B1DB1-Normal9"/>
              <w:jc w:val="center"/>
              <w:rPr>
                <w:noProof/>
              </w:rPr>
            </w:pPr>
            <w:r>
              <w:rPr>
                <w:noProof/>
              </w:rPr>
              <w:t>Ime</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BD1C0FE" w14:textId="77777777" w:rsidR="00154E32" w:rsidRDefault="00A43E04">
            <w:pPr>
              <w:pStyle w:val="P68B1DB1-Normal10"/>
              <w:jc w:val="center"/>
              <w:rPr>
                <w:b/>
                <w:noProof/>
                <w:sz w:val="20"/>
              </w:rPr>
            </w:pPr>
            <w:r>
              <w:rPr>
                <w:b/>
                <w:noProof/>
                <w:sz w:val="20"/>
              </w:rPr>
              <w:t>Kakovostni kazalniki</w:t>
            </w:r>
            <w:r>
              <w:rPr>
                <w:noProof/>
              </w:rPr>
              <w:t xml:space="preserve"> </w:t>
            </w:r>
            <w:r>
              <w:rPr>
                <w:noProof/>
              </w:rPr>
              <w:br/>
            </w:r>
            <w:r>
              <w:rPr>
                <w:b/>
                <w:noProof/>
                <w:sz w:val="20"/>
              </w:rPr>
              <w:t>(za mejnike)</w:t>
            </w:r>
          </w:p>
        </w:tc>
        <w:tc>
          <w:tcPr>
            <w:tcW w:w="3686" w:type="dxa"/>
            <w:gridSpan w:val="3"/>
            <w:tcBorders>
              <w:top w:val="single" w:sz="4" w:space="0" w:color="auto"/>
              <w:left w:val="nil"/>
              <w:bottom w:val="single" w:sz="4" w:space="0" w:color="auto"/>
              <w:right w:val="single" w:sz="4" w:space="0" w:color="auto"/>
            </w:tcBorders>
            <w:shd w:val="clear" w:color="auto" w:fill="BDD7EE"/>
            <w:vAlign w:val="center"/>
            <w:hideMark/>
          </w:tcPr>
          <w:p w14:paraId="08E5804E" w14:textId="77777777" w:rsidR="00154E32" w:rsidRDefault="00A43E04">
            <w:pPr>
              <w:pStyle w:val="P68B1DB1-Normal10"/>
              <w:jc w:val="center"/>
              <w:rPr>
                <w:b/>
                <w:noProof/>
                <w:sz w:val="20"/>
              </w:rPr>
            </w:pPr>
            <w:r>
              <w:rPr>
                <w:b/>
                <w:noProof/>
                <w:sz w:val="20"/>
              </w:rPr>
              <w:t>Kvantitativni kazalniki</w:t>
            </w:r>
            <w:r>
              <w:rPr>
                <w:noProof/>
              </w:rPr>
              <w:t xml:space="preserve"> </w:t>
            </w:r>
            <w:r>
              <w:rPr>
                <w:noProof/>
              </w:rPr>
              <w:br/>
            </w:r>
            <w:r>
              <w:rPr>
                <w:b/>
                <w:noProof/>
                <w:sz w:val="20"/>
              </w:rPr>
              <w:t>(za ciljne vrednosti)</w:t>
            </w:r>
          </w:p>
        </w:tc>
        <w:tc>
          <w:tcPr>
            <w:tcW w:w="1672" w:type="dxa"/>
            <w:gridSpan w:val="2"/>
            <w:tcBorders>
              <w:top w:val="single" w:sz="4" w:space="0" w:color="auto"/>
              <w:left w:val="nil"/>
              <w:bottom w:val="single" w:sz="4" w:space="0" w:color="auto"/>
              <w:right w:val="single" w:sz="4" w:space="0" w:color="auto"/>
            </w:tcBorders>
            <w:shd w:val="clear" w:color="auto" w:fill="BDD7EE"/>
            <w:vAlign w:val="center"/>
            <w:hideMark/>
          </w:tcPr>
          <w:p w14:paraId="6777F45E" w14:textId="77777777" w:rsidR="00154E32" w:rsidRDefault="00A43E04">
            <w:pPr>
              <w:pStyle w:val="P68B1DB1-Normal9"/>
              <w:jc w:val="center"/>
              <w:rPr>
                <w:noProof/>
              </w:rPr>
            </w:pPr>
            <w:r>
              <w:rPr>
                <w:noProof/>
              </w:rPr>
              <w:t>Okvirni časovni razpored za dokončanje</w:t>
            </w:r>
          </w:p>
        </w:tc>
        <w:tc>
          <w:tcPr>
            <w:tcW w:w="24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FE6B7A6" w14:textId="77777777" w:rsidR="00154E32" w:rsidRDefault="00A43E04">
            <w:pPr>
              <w:pStyle w:val="P68B1DB1-Normal9"/>
              <w:rPr>
                <w:noProof/>
              </w:rPr>
            </w:pPr>
            <w:r>
              <w:rPr>
                <w:noProof/>
              </w:rPr>
              <w:t>Opis vsakega mejnika in cilja</w:t>
            </w:r>
          </w:p>
        </w:tc>
      </w:tr>
      <w:tr w:rsidR="00154E32" w14:paraId="482C0B3E" w14:textId="77777777">
        <w:trPr>
          <w:trHeight w:val="617"/>
          <w:tblHead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2D06B9F" w14:textId="77777777" w:rsidR="00154E32" w:rsidRDefault="00154E32">
            <w:pPr>
              <w:jc w:val="center"/>
              <w:rPr>
                <w:rFonts w:ascii="Arial Narrow" w:hAnsi="Arial Narrow"/>
                <w:b/>
                <w:noProof/>
                <w:sz w:val="20"/>
              </w:rPr>
            </w:pPr>
          </w:p>
        </w:tc>
        <w:tc>
          <w:tcPr>
            <w:tcW w:w="1701" w:type="dxa"/>
            <w:vMerge/>
            <w:tcBorders>
              <w:left w:val="single" w:sz="4" w:space="0" w:color="auto"/>
              <w:bottom w:val="single" w:sz="4" w:space="0" w:color="auto"/>
              <w:right w:val="single" w:sz="4" w:space="0" w:color="auto"/>
            </w:tcBorders>
            <w:vAlign w:val="center"/>
            <w:hideMark/>
          </w:tcPr>
          <w:p w14:paraId="70BDA7CC" w14:textId="77777777" w:rsidR="00154E32" w:rsidRDefault="00154E32">
            <w:pPr>
              <w:jc w:val="center"/>
              <w:rPr>
                <w:rFonts w:ascii="Arial Narrow" w:hAnsi="Arial Narrow"/>
                <w:b/>
                <w:noProof/>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DB32AC" w14:textId="77777777" w:rsidR="00154E32" w:rsidRDefault="00154E32">
            <w:pPr>
              <w:jc w:val="center"/>
              <w:rPr>
                <w:rFonts w:ascii="Arial Narrow" w:hAnsi="Arial Narrow"/>
                <w:b/>
                <w:noProof/>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233CA2D" w14:textId="77777777" w:rsidR="00154E32" w:rsidRDefault="00154E32">
            <w:pPr>
              <w:jc w:val="center"/>
              <w:rPr>
                <w:rFonts w:ascii="Arial Narrow" w:hAnsi="Arial Narrow"/>
                <w:b/>
                <w:noProof/>
                <w:sz w:val="20"/>
              </w:rPr>
            </w:pPr>
          </w:p>
        </w:tc>
        <w:tc>
          <w:tcPr>
            <w:tcW w:w="1843" w:type="dxa"/>
            <w:vMerge/>
            <w:tcBorders>
              <w:left w:val="single" w:sz="4" w:space="0" w:color="auto"/>
              <w:bottom w:val="single" w:sz="4" w:space="0" w:color="auto"/>
            </w:tcBorders>
            <w:vAlign w:val="center"/>
            <w:hideMark/>
          </w:tcPr>
          <w:p w14:paraId="67DFE415" w14:textId="77777777" w:rsidR="00154E32" w:rsidRDefault="00154E32">
            <w:pPr>
              <w:jc w:val="center"/>
              <w:rPr>
                <w:rFonts w:ascii="Arial Narrow" w:hAnsi="Arial Narrow"/>
                <w:b/>
                <w:noProof/>
                <w:sz w:val="20"/>
              </w:rPr>
            </w:pPr>
          </w:p>
        </w:tc>
        <w:tc>
          <w:tcPr>
            <w:tcW w:w="1180" w:type="dxa"/>
            <w:tcBorders>
              <w:top w:val="nil"/>
              <w:left w:val="single" w:sz="4" w:space="0" w:color="auto"/>
              <w:bottom w:val="single" w:sz="4" w:space="0" w:color="auto"/>
              <w:right w:val="single" w:sz="4" w:space="0" w:color="auto"/>
            </w:tcBorders>
            <w:shd w:val="clear" w:color="auto" w:fill="BDD7EE"/>
            <w:vAlign w:val="center"/>
            <w:hideMark/>
          </w:tcPr>
          <w:p w14:paraId="133DDB43" w14:textId="77777777" w:rsidR="00154E32" w:rsidRDefault="00A43E04">
            <w:pPr>
              <w:pStyle w:val="P68B1DB1-Normal9"/>
              <w:jc w:val="center"/>
              <w:rPr>
                <w:noProof/>
              </w:rPr>
            </w:pPr>
            <w:r>
              <w:rPr>
                <w:noProof/>
              </w:rPr>
              <w:t>Merska enota</w:t>
            </w:r>
          </w:p>
        </w:tc>
        <w:tc>
          <w:tcPr>
            <w:tcW w:w="1159" w:type="dxa"/>
            <w:tcBorders>
              <w:top w:val="nil"/>
              <w:left w:val="nil"/>
              <w:bottom w:val="single" w:sz="4" w:space="0" w:color="auto"/>
              <w:right w:val="single" w:sz="4" w:space="0" w:color="auto"/>
            </w:tcBorders>
            <w:shd w:val="clear" w:color="auto" w:fill="BDD7EE"/>
            <w:vAlign w:val="center"/>
            <w:hideMark/>
          </w:tcPr>
          <w:p w14:paraId="471166D1" w14:textId="77777777" w:rsidR="00154E32" w:rsidRDefault="00A43E04">
            <w:pPr>
              <w:pStyle w:val="P68B1DB1-Normal9"/>
              <w:jc w:val="center"/>
              <w:rPr>
                <w:noProof/>
              </w:rPr>
            </w:pPr>
            <w:r>
              <w:rPr>
                <w:noProof/>
              </w:rPr>
              <w:t>Izhodišče</w:t>
            </w:r>
          </w:p>
        </w:tc>
        <w:tc>
          <w:tcPr>
            <w:tcW w:w="1347" w:type="dxa"/>
            <w:tcBorders>
              <w:top w:val="nil"/>
              <w:left w:val="nil"/>
              <w:bottom w:val="single" w:sz="4" w:space="0" w:color="auto"/>
              <w:right w:val="single" w:sz="4" w:space="0" w:color="auto"/>
            </w:tcBorders>
            <w:shd w:val="clear" w:color="auto" w:fill="BDD7EE"/>
            <w:vAlign w:val="center"/>
            <w:hideMark/>
          </w:tcPr>
          <w:p w14:paraId="01A232BA" w14:textId="77777777" w:rsidR="00154E32" w:rsidRDefault="00A43E04">
            <w:pPr>
              <w:pStyle w:val="P68B1DB1-Normal9"/>
              <w:jc w:val="center"/>
              <w:rPr>
                <w:noProof/>
              </w:rPr>
            </w:pPr>
            <w:r>
              <w:rPr>
                <w:noProof/>
              </w:rPr>
              <w:t>Cilj</w:t>
            </w:r>
          </w:p>
        </w:tc>
        <w:tc>
          <w:tcPr>
            <w:tcW w:w="992" w:type="dxa"/>
            <w:tcBorders>
              <w:top w:val="nil"/>
              <w:left w:val="nil"/>
              <w:bottom w:val="single" w:sz="4" w:space="0" w:color="auto"/>
              <w:right w:val="single" w:sz="4" w:space="0" w:color="auto"/>
            </w:tcBorders>
            <w:shd w:val="clear" w:color="auto" w:fill="BDD7EE"/>
            <w:vAlign w:val="center"/>
            <w:hideMark/>
          </w:tcPr>
          <w:p w14:paraId="4680B208" w14:textId="77777777" w:rsidR="00154E32" w:rsidRDefault="00A43E04">
            <w:pPr>
              <w:pStyle w:val="P68B1DB1-Normal9"/>
              <w:jc w:val="center"/>
              <w:rPr>
                <w:noProof/>
              </w:rPr>
            </w:pPr>
            <w:r>
              <w:rPr>
                <w:noProof/>
              </w:rPr>
              <w:t>Četrtletje</w:t>
            </w:r>
          </w:p>
        </w:tc>
        <w:tc>
          <w:tcPr>
            <w:tcW w:w="680" w:type="dxa"/>
            <w:tcBorders>
              <w:top w:val="nil"/>
              <w:left w:val="nil"/>
              <w:bottom w:val="single" w:sz="4" w:space="0" w:color="auto"/>
              <w:right w:val="single" w:sz="4" w:space="0" w:color="auto"/>
            </w:tcBorders>
            <w:shd w:val="clear" w:color="auto" w:fill="BDD7EE"/>
            <w:vAlign w:val="center"/>
            <w:hideMark/>
          </w:tcPr>
          <w:p w14:paraId="523ABA0B" w14:textId="77777777" w:rsidR="00154E32" w:rsidRDefault="00A43E04">
            <w:pPr>
              <w:pStyle w:val="P68B1DB1-Normal9"/>
              <w:jc w:val="center"/>
              <w:rPr>
                <w:noProof/>
              </w:rPr>
            </w:pPr>
            <w:r>
              <w:rPr>
                <w:noProof/>
              </w:rPr>
              <w:t>Leto</w:t>
            </w:r>
          </w:p>
        </w:tc>
        <w:tc>
          <w:tcPr>
            <w:tcW w:w="2443" w:type="dxa"/>
            <w:vMerge/>
            <w:tcBorders>
              <w:top w:val="single" w:sz="4" w:space="0" w:color="auto"/>
              <w:bottom w:val="single" w:sz="4" w:space="0" w:color="auto"/>
              <w:right w:val="single" w:sz="4" w:space="0" w:color="auto"/>
            </w:tcBorders>
            <w:vAlign w:val="center"/>
            <w:hideMark/>
          </w:tcPr>
          <w:p w14:paraId="320014D5" w14:textId="77777777" w:rsidR="00154E32" w:rsidRDefault="00154E32">
            <w:pPr>
              <w:rPr>
                <w:rFonts w:ascii="Arial Narrow" w:hAnsi="Arial Narrow"/>
                <w:b/>
                <w:noProof/>
                <w:sz w:val="20"/>
              </w:rPr>
            </w:pPr>
          </w:p>
        </w:tc>
      </w:tr>
      <w:tr w:rsidR="00154E32" w14:paraId="146B1C23" w14:textId="77777777">
        <w:trPr>
          <w:trHeight w:val="309"/>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CB81786" w14:textId="77777777" w:rsidR="00154E32" w:rsidRDefault="00A43E04">
            <w:pPr>
              <w:pStyle w:val="P68B1DB1-Normal11"/>
              <w:spacing w:line="276" w:lineRule="auto"/>
              <w:jc w:val="center"/>
              <w:rPr>
                <w:noProof/>
              </w:rPr>
            </w:pPr>
            <w:r>
              <w:rPr>
                <w:noProof/>
              </w:rPr>
              <w:t>M2C1–1</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D6B4CE5" w14:textId="77777777" w:rsidR="00154E32" w:rsidRDefault="00A43E04">
            <w:pPr>
              <w:pStyle w:val="P68B1DB1-Normal11"/>
              <w:spacing w:line="276" w:lineRule="auto"/>
              <w:jc w:val="center"/>
              <w:rPr>
                <w:noProof/>
              </w:rPr>
            </w:pPr>
            <w:r>
              <w:rPr>
                <w:noProof/>
              </w:rPr>
              <w:t>Reforma 1.1 – Nacionalna strategija za krožno gospodarstvo</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8719F2B" w14:textId="77777777" w:rsidR="00154E32" w:rsidRDefault="00A43E04">
            <w:pPr>
              <w:pStyle w:val="P68B1DB1-Normal11"/>
              <w:spacing w:line="276" w:lineRule="auto"/>
              <w:jc w:val="center"/>
              <w:rPr>
                <w:noProof/>
              </w:rPr>
            </w:pPr>
            <w:r>
              <w:rPr>
                <w:noProof/>
              </w:rPr>
              <w:t>Mejnik</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9F41460" w14:textId="77777777" w:rsidR="00154E32" w:rsidRDefault="00A43E04">
            <w:pPr>
              <w:pStyle w:val="P68B1DB1-Normal11"/>
              <w:spacing w:line="276" w:lineRule="auto"/>
              <w:jc w:val="center"/>
              <w:rPr>
                <w:noProof/>
              </w:rPr>
            </w:pPr>
            <w:r>
              <w:rPr>
                <w:noProof/>
              </w:rPr>
              <w:t>Začetek veljavnosti ministrske uredbe za sprejetje nacionalne strategije za krožno gospodarstvo</w:t>
            </w:r>
          </w:p>
        </w:tc>
        <w:tc>
          <w:tcPr>
            <w:tcW w:w="184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3BEAC53" w14:textId="77777777" w:rsidR="00154E32" w:rsidRDefault="00A43E04">
            <w:pPr>
              <w:pStyle w:val="P68B1DB1-Normal11"/>
              <w:spacing w:line="276" w:lineRule="auto"/>
              <w:jc w:val="center"/>
              <w:rPr>
                <w:noProof/>
              </w:rPr>
            </w:pPr>
            <w:r>
              <w:rPr>
                <w:noProof/>
              </w:rPr>
              <w:t>Določba ministrskega odloka o začetku veljavnosti</w:t>
            </w:r>
          </w:p>
        </w:tc>
        <w:tc>
          <w:tcPr>
            <w:tcW w:w="118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4E5B2F5" w14:textId="77777777" w:rsidR="00154E32" w:rsidRDefault="00A43E04">
            <w:pPr>
              <w:pStyle w:val="P68B1DB1-Normal11"/>
              <w:spacing w:line="276" w:lineRule="auto"/>
              <w:jc w:val="center"/>
              <w:rPr>
                <w:noProof/>
              </w:rPr>
            </w:pPr>
            <w:r>
              <w:rPr>
                <w:noProof/>
              </w:rPr>
              <w:t>JIH NI</w:t>
            </w:r>
          </w:p>
        </w:tc>
        <w:tc>
          <w:tcPr>
            <w:tcW w:w="115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5B0F53CB" w14:textId="77777777" w:rsidR="00154E32" w:rsidRDefault="00A43E04">
            <w:pPr>
              <w:pStyle w:val="P68B1DB1-Normal11"/>
              <w:spacing w:line="276" w:lineRule="auto"/>
              <w:jc w:val="center"/>
              <w:rPr>
                <w:noProof/>
              </w:rPr>
            </w:pPr>
            <w:r>
              <w:rPr>
                <w:noProof/>
              </w:rPr>
              <w:t>JIH NI</w:t>
            </w:r>
          </w:p>
        </w:tc>
        <w:tc>
          <w:tcPr>
            <w:tcW w:w="1347"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60E7712" w14:textId="77777777" w:rsidR="00154E32" w:rsidRDefault="00A43E04">
            <w:pPr>
              <w:pStyle w:val="P68B1DB1-Normal11"/>
              <w:spacing w:line="276" w:lineRule="auto"/>
              <w:jc w:val="center"/>
              <w:rPr>
                <w:noProof/>
              </w:rPr>
            </w:pPr>
            <w:r>
              <w:rPr>
                <w:noProof/>
              </w:rPr>
              <w:t>JIH NI</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3FAF60F" w14:textId="77777777" w:rsidR="00154E32" w:rsidRDefault="00A43E04">
            <w:pPr>
              <w:pStyle w:val="P68B1DB1-Normal11"/>
              <w:spacing w:line="276" w:lineRule="auto"/>
              <w:jc w:val="center"/>
              <w:rPr>
                <w:noProof/>
              </w:rPr>
            </w:pPr>
            <w:r>
              <w:rPr>
                <w:noProof/>
              </w:rPr>
              <w:t>Q2</w:t>
            </w:r>
          </w:p>
        </w:tc>
        <w:tc>
          <w:tcPr>
            <w:tcW w:w="68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DBE757D" w14:textId="77777777" w:rsidR="00154E32" w:rsidRDefault="00A43E04">
            <w:pPr>
              <w:pStyle w:val="P68B1DB1-Normal11"/>
              <w:spacing w:line="276" w:lineRule="auto"/>
              <w:jc w:val="center"/>
              <w:rPr>
                <w:noProof/>
              </w:rPr>
            </w:pPr>
            <w:r>
              <w:rPr>
                <w:noProof/>
              </w:rPr>
              <w:t>2022</w:t>
            </w:r>
          </w:p>
        </w:tc>
        <w:tc>
          <w:tcPr>
            <w:tcW w:w="244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3EAE26A9" w14:textId="77777777" w:rsidR="00154E32" w:rsidRDefault="00A43E04">
            <w:pPr>
              <w:pStyle w:val="P68B1DB1-Normal11"/>
              <w:spacing w:before="120" w:after="120" w:line="276" w:lineRule="auto"/>
              <w:rPr>
                <w:noProof/>
              </w:rPr>
            </w:pPr>
            <w:r>
              <w:rPr>
                <w:noProof/>
              </w:rPr>
              <w:t>Ministrski odlok za sprejetje nacionalne strategije za krožno gospodarstvo vsebuje vsaj naslednje ukrepe:</w:t>
            </w:r>
          </w:p>
          <w:p w14:paraId="3A0DEAC0" w14:textId="77777777" w:rsidR="00154E32" w:rsidRDefault="00A43E04">
            <w:pPr>
              <w:pStyle w:val="P68B1DB1-Normal11"/>
              <w:numPr>
                <w:ilvl w:val="0"/>
                <w:numId w:val="58"/>
              </w:numPr>
              <w:spacing w:before="120" w:line="276" w:lineRule="auto"/>
              <w:ind w:left="244" w:hanging="357"/>
              <w:rPr>
                <w:noProof/>
              </w:rPr>
            </w:pPr>
            <w:r>
              <w:rPr>
                <w:noProof/>
              </w:rPr>
              <w:t>nov digitalni sistem sledljivosti odpadkov, ki bo po eni strani podpiral razvoj sekundarnega trga surovin (z zagotavljanjem jasnega okvira za oskrbo s sekundarnimi surovinami) na drugi strani nadzornih organov pri preprečevanju nezakonitega ravnanja z odpadki in boju proti njemu.</w:t>
            </w:r>
          </w:p>
          <w:p w14:paraId="42F39AEC" w14:textId="77777777" w:rsidR="00154E32" w:rsidRDefault="00A43E04">
            <w:pPr>
              <w:pStyle w:val="P68B1DB1-Normal11"/>
              <w:numPr>
                <w:ilvl w:val="0"/>
                <w:numId w:val="58"/>
              </w:numPr>
              <w:spacing w:before="120" w:line="276" w:lineRule="auto"/>
              <w:ind w:left="244" w:hanging="357"/>
              <w:rPr>
                <w:noProof/>
              </w:rPr>
            </w:pPr>
            <w:r>
              <w:rPr>
                <w:noProof/>
              </w:rPr>
              <w:t>davčne spodbude za podporo dejavnostim recikliranja in uporabi sekundarnih surovin;</w:t>
            </w:r>
          </w:p>
          <w:p w14:paraId="168B1B0A" w14:textId="77777777" w:rsidR="00154E32" w:rsidRDefault="00A43E04">
            <w:pPr>
              <w:pStyle w:val="P68B1DB1-Normal11"/>
              <w:numPr>
                <w:ilvl w:val="0"/>
                <w:numId w:val="58"/>
              </w:numPr>
              <w:spacing w:before="120" w:line="276" w:lineRule="auto"/>
              <w:ind w:left="244" w:hanging="357"/>
              <w:rPr>
                <w:noProof/>
              </w:rPr>
            </w:pPr>
            <w:r>
              <w:rPr>
                <w:noProof/>
              </w:rPr>
              <w:t>revizijo sistema okoljske obdavčitve odpadkov, da bi recikliranje postalo bolj priročno kot odlaganje na odlagališčih in sežiganje na celotnem nacionalnem ozemlju;</w:t>
            </w:r>
          </w:p>
          <w:p w14:paraId="71991729" w14:textId="77777777" w:rsidR="00154E32" w:rsidRDefault="00A43E04">
            <w:pPr>
              <w:pStyle w:val="P68B1DB1-Normal11"/>
              <w:numPr>
                <w:ilvl w:val="0"/>
                <w:numId w:val="58"/>
              </w:numPr>
              <w:spacing w:before="120" w:line="276" w:lineRule="auto"/>
              <w:ind w:left="244" w:hanging="357"/>
              <w:rPr>
                <w:noProof/>
              </w:rPr>
            </w:pPr>
            <w:r>
              <w:rPr>
                <w:noProof/>
              </w:rPr>
              <w:t>pravica do ponovne uporabe in popravila;</w:t>
            </w:r>
          </w:p>
          <w:p w14:paraId="191A7981" w14:textId="77777777" w:rsidR="00154E32" w:rsidRDefault="00A43E04">
            <w:pPr>
              <w:pStyle w:val="P68B1DB1-Normal11"/>
              <w:numPr>
                <w:ilvl w:val="0"/>
                <w:numId w:val="58"/>
              </w:numPr>
              <w:spacing w:before="120" w:line="276" w:lineRule="auto"/>
              <w:ind w:left="244" w:hanging="357"/>
              <w:rPr>
                <w:noProof/>
              </w:rPr>
            </w:pPr>
            <w:r>
              <w:rPr>
                <w:noProof/>
              </w:rPr>
              <w:t>reforma razširjene odgovornosti proizvajalca in sistema konzorcijev, da bi podprli doseganje ciljev EU z ustanovitvijo posebnega nadzornega organa pod predsedstvom MITE, katerega cilj je spremljanje delovanja in učinkovitosti konzorcijskih sistemov;</w:t>
            </w:r>
          </w:p>
          <w:p w14:paraId="27B41C36" w14:textId="77777777" w:rsidR="00154E32" w:rsidRDefault="00A43E04">
            <w:pPr>
              <w:pStyle w:val="P68B1DB1-Normal11"/>
              <w:numPr>
                <w:ilvl w:val="0"/>
                <w:numId w:val="58"/>
              </w:numPr>
              <w:spacing w:before="120" w:line="276" w:lineRule="auto"/>
              <w:ind w:left="244" w:hanging="357"/>
              <w:rPr>
                <w:noProof/>
              </w:rPr>
            </w:pPr>
            <w:r>
              <w:rPr>
                <w:noProof/>
              </w:rPr>
              <w:t>podpora obstoječim regulativnim orodjem: Zakonodaja o odpravi odpadkov (nacionalna in regionalna), minimalna okoljska merila v okviru zelenih javnih naročil. Razvoj/posodobitev EOW in CAM posebej obravnava gradbeništvo, tekstil, plastiko ter odpadno električno in elektronsko opremo (OEEO).</w:t>
            </w:r>
          </w:p>
          <w:p w14:paraId="43AB0EFF" w14:textId="77777777" w:rsidR="00154E32" w:rsidRDefault="00A43E04">
            <w:pPr>
              <w:pStyle w:val="P68B1DB1-Normal11"/>
              <w:numPr>
                <w:ilvl w:val="0"/>
                <w:numId w:val="58"/>
              </w:numPr>
              <w:spacing w:before="120" w:line="276" w:lineRule="auto"/>
              <w:ind w:left="244" w:hanging="357"/>
              <w:rPr>
                <w:noProof/>
              </w:rPr>
            </w:pPr>
            <w:r>
              <w:rPr>
                <w:noProof/>
              </w:rPr>
              <w:t>podpora projektu industrijske simbioze z regulativnimi in finančnimi instrumenti.)</w:t>
            </w:r>
          </w:p>
        </w:tc>
      </w:tr>
      <w:tr w:rsidR="00154E32" w14:paraId="1349EF45" w14:textId="77777777">
        <w:trPr>
          <w:trHeight w:val="309"/>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C2339D6" w14:textId="77777777" w:rsidR="00154E32" w:rsidRDefault="00A43E04">
            <w:pPr>
              <w:pStyle w:val="P68B1DB1-Normal11"/>
              <w:spacing w:line="276" w:lineRule="auto"/>
              <w:jc w:val="center"/>
              <w:rPr>
                <w:noProof/>
              </w:rPr>
            </w:pPr>
            <w:r>
              <w:rPr>
                <w:noProof/>
              </w:rPr>
              <w:t>M2C1–2</w:t>
            </w:r>
          </w:p>
        </w:tc>
        <w:tc>
          <w:tcPr>
            <w:tcW w:w="1701" w:type="dxa"/>
            <w:tcBorders>
              <w:top w:val="single" w:sz="4" w:space="0" w:color="auto"/>
              <w:left w:val="nil"/>
              <w:bottom w:val="single" w:sz="4" w:space="0" w:color="auto"/>
              <w:right w:val="single" w:sz="4" w:space="0" w:color="auto"/>
            </w:tcBorders>
            <w:shd w:val="clear" w:color="auto" w:fill="C6EFCE"/>
            <w:noWrap/>
            <w:vAlign w:val="center"/>
            <w:hideMark/>
          </w:tcPr>
          <w:p w14:paraId="1E6EBFC1" w14:textId="77777777" w:rsidR="00154E32" w:rsidRDefault="00A43E04">
            <w:pPr>
              <w:pStyle w:val="P68B1DB1-Normal11"/>
              <w:spacing w:line="276" w:lineRule="auto"/>
              <w:jc w:val="center"/>
              <w:rPr>
                <w:noProof/>
              </w:rPr>
            </w:pPr>
            <w:r>
              <w:rPr>
                <w:noProof/>
              </w:rPr>
              <w:t>Reforma 1.3 – Tehnična podpora lokalnim organom</w:t>
            </w:r>
          </w:p>
        </w:tc>
        <w:tc>
          <w:tcPr>
            <w:tcW w:w="1134" w:type="dxa"/>
            <w:tcBorders>
              <w:top w:val="single" w:sz="4" w:space="0" w:color="auto"/>
              <w:left w:val="nil"/>
              <w:bottom w:val="single" w:sz="4" w:space="0" w:color="auto"/>
              <w:right w:val="single" w:sz="4" w:space="0" w:color="auto"/>
            </w:tcBorders>
            <w:shd w:val="clear" w:color="auto" w:fill="C6EFCE"/>
            <w:noWrap/>
            <w:vAlign w:val="center"/>
            <w:hideMark/>
          </w:tcPr>
          <w:p w14:paraId="19BF1014" w14:textId="77777777" w:rsidR="00154E32" w:rsidRDefault="00A43E04">
            <w:pPr>
              <w:pStyle w:val="P68B1DB1-Normal11"/>
              <w:spacing w:line="276" w:lineRule="auto"/>
              <w:jc w:val="center"/>
              <w:rPr>
                <w:noProof/>
              </w:rPr>
            </w:pPr>
            <w:r>
              <w:rPr>
                <w:noProof/>
              </w:rPr>
              <w:t>Mejnik</w:t>
            </w:r>
          </w:p>
        </w:tc>
        <w:tc>
          <w:tcPr>
            <w:tcW w:w="1701" w:type="dxa"/>
            <w:tcBorders>
              <w:top w:val="single" w:sz="4" w:space="0" w:color="auto"/>
              <w:left w:val="nil"/>
              <w:bottom w:val="single" w:sz="4" w:space="0" w:color="auto"/>
              <w:right w:val="single" w:sz="4" w:space="0" w:color="auto"/>
            </w:tcBorders>
            <w:shd w:val="clear" w:color="auto" w:fill="C6EFCE"/>
            <w:noWrap/>
            <w:vAlign w:val="center"/>
            <w:hideMark/>
          </w:tcPr>
          <w:p w14:paraId="51D8953F" w14:textId="77777777" w:rsidR="00154E32" w:rsidRDefault="00A43E04">
            <w:pPr>
              <w:pStyle w:val="P68B1DB1-Normal11"/>
              <w:spacing w:line="276" w:lineRule="auto"/>
              <w:jc w:val="center"/>
              <w:rPr>
                <w:noProof/>
              </w:rPr>
            </w:pPr>
            <w:r>
              <w:rPr>
                <w:noProof/>
              </w:rPr>
              <w:t>Odobritev sporazuma za pripravo akcijskega načrta za krepitev zmogljivosti v podporo lokalnim javnim organom</w:t>
            </w:r>
          </w:p>
        </w:tc>
        <w:tc>
          <w:tcPr>
            <w:tcW w:w="1843" w:type="dxa"/>
            <w:tcBorders>
              <w:top w:val="single" w:sz="4" w:space="0" w:color="auto"/>
              <w:left w:val="nil"/>
              <w:bottom w:val="single" w:sz="4" w:space="0" w:color="auto"/>
              <w:right w:val="single" w:sz="4" w:space="0" w:color="auto"/>
            </w:tcBorders>
            <w:shd w:val="clear" w:color="auto" w:fill="C6EFCE"/>
            <w:noWrap/>
            <w:vAlign w:val="center"/>
            <w:hideMark/>
          </w:tcPr>
          <w:p w14:paraId="7CE284C0" w14:textId="77A58ADA" w:rsidR="00154E32" w:rsidRDefault="00A43E04">
            <w:pPr>
              <w:pStyle w:val="P68B1DB1-Normal11"/>
              <w:spacing w:line="276" w:lineRule="auto"/>
              <w:jc w:val="center"/>
              <w:rPr>
                <w:noProof/>
              </w:rPr>
            </w:pPr>
            <w:r>
              <w:rPr>
                <w:noProof/>
              </w:rPr>
              <w:t>Objava odobrenega sporazuma na spletni strani ministrstva</w:t>
            </w:r>
          </w:p>
        </w:tc>
        <w:tc>
          <w:tcPr>
            <w:tcW w:w="1180" w:type="dxa"/>
            <w:tcBorders>
              <w:top w:val="single" w:sz="4" w:space="0" w:color="auto"/>
              <w:left w:val="nil"/>
              <w:bottom w:val="single" w:sz="4" w:space="0" w:color="auto"/>
              <w:right w:val="single" w:sz="4" w:space="0" w:color="auto"/>
            </w:tcBorders>
            <w:shd w:val="clear" w:color="auto" w:fill="C6EFCE"/>
            <w:noWrap/>
            <w:vAlign w:val="center"/>
            <w:hideMark/>
          </w:tcPr>
          <w:p w14:paraId="190BA50D" w14:textId="77777777" w:rsidR="00154E32" w:rsidRDefault="00A43E04">
            <w:pPr>
              <w:pStyle w:val="P68B1DB1-Normal11"/>
              <w:spacing w:line="276" w:lineRule="auto"/>
              <w:jc w:val="center"/>
              <w:rPr>
                <w:noProof/>
              </w:rPr>
            </w:pPr>
            <w:r>
              <w:rPr>
                <w:noProof/>
              </w:rPr>
              <w:t>JIH NI</w:t>
            </w:r>
          </w:p>
        </w:tc>
        <w:tc>
          <w:tcPr>
            <w:tcW w:w="1159" w:type="dxa"/>
            <w:tcBorders>
              <w:top w:val="single" w:sz="4" w:space="0" w:color="auto"/>
              <w:left w:val="nil"/>
              <w:bottom w:val="single" w:sz="4" w:space="0" w:color="auto"/>
              <w:right w:val="single" w:sz="4" w:space="0" w:color="auto"/>
            </w:tcBorders>
            <w:shd w:val="clear" w:color="auto" w:fill="C6EFCE"/>
            <w:noWrap/>
            <w:vAlign w:val="center"/>
            <w:hideMark/>
          </w:tcPr>
          <w:p w14:paraId="6EC79B64" w14:textId="77777777" w:rsidR="00154E32" w:rsidRDefault="00A43E04">
            <w:pPr>
              <w:pStyle w:val="P68B1DB1-Normal11"/>
              <w:spacing w:line="276" w:lineRule="auto"/>
              <w:jc w:val="center"/>
              <w:rPr>
                <w:noProof/>
              </w:rPr>
            </w:pPr>
            <w:r>
              <w:rPr>
                <w:noProof/>
              </w:rPr>
              <w:t>JIH NI</w:t>
            </w:r>
          </w:p>
        </w:tc>
        <w:tc>
          <w:tcPr>
            <w:tcW w:w="1347" w:type="dxa"/>
            <w:tcBorders>
              <w:top w:val="single" w:sz="4" w:space="0" w:color="auto"/>
              <w:left w:val="nil"/>
              <w:bottom w:val="single" w:sz="4" w:space="0" w:color="auto"/>
              <w:right w:val="single" w:sz="4" w:space="0" w:color="auto"/>
            </w:tcBorders>
            <w:shd w:val="clear" w:color="auto" w:fill="C6EFCE"/>
            <w:noWrap/>
            <w:vAlign w:val="center"/>
            <w:hideMark/>
          </w:tcPr>
          <w:p w14:paraId="7AA149F4" w14:textId="77777777" w:rsidR="00154E32" w:rsidRDefault="00A43E04">
            <w:pPr>
              <w:pStyle w:val="P68B1DB1-Normal11"/>
              <w:spacing w:line="276" w:lineRule="auto"/>
              <w:jc w:val="center"/>
              <w:rPr>
                <w:noProof/>
              </w:rPr>
            </w:pPr>
            <w:r>
              <w:rPr>
                <w:noProof/>
              </w:rPr>
              <w:t>JIH NI</w:t>
            </w:r>
          </w:p>
        </w:tc>
        <w:tc>
          <w:tcPr>
            <w:tcW w:w="992" w:type="dxa"/>
            <w:tcBorders>
              <w:top w:val="single" w:sz="4" w:space="0" w:color="auto"/>
              <w:left w:val="nil"/>
              <w:bottom w:val="single" w:sz="4" w:space="0" w:color="auto"/>
              <w:right w:val="single" w:sz="4" w:space="0" w:color="auto"/>
            </w:tcBorders>
            <w:shd w:val="clear" w:color="auto" w:fill="C6EFCE"/>
            <w:noWrap/>
            <w:vAlign w:val="center"/>
            <w:hideMark/>
          </w:tcPr>
          <w:p w14:paraId="189F14F2" w14:textId="77777777" w:rsidR="00154E32" w:rsidRDefault="00A43E04">
            <w:pPr>
              <w:pStyle w:val="P68B1DB1-Normal11"/>
              <w:spacing w:line="276" w:lineRule="auto"/>
              <w:jc w:val="center"/>
              <w:rPr>
                <w:noProof/>
              </w:rPr>
            </w:pPr>
            <w:r>
              <w:rPr>
                <w:noProof/>
              </w:rPr>
              <w:t>Q2</w:t>
            </w:r>
          </w:p>
        </w:tc>
        <w:tc>
          <w:tcPr>
            <w:tcW w:w="680" w:type="dxa"/>
            <w:tcBorders>
              <w:top w:val="single" w:sz="4" w:space="0" w:color="auto"/>
              <w:left w:val="nil"/>
              <w:bottom w:val="single" w:sz="4" w:space="0" w:color="auto"/>
              <w:right w:val="single" w:sz="4" w:space="0" w:color="auto"/>
            </w:tcBorders>
            <w:shd w:val="clear" w:color="auto" w:fill="C6EFCE"/>
            <w:noWrap/>
            <w:vAlign w:val="center"/>
            <w:hideMark/>
          </w:tcPr>
          <w:p w14:paraId="29F352C5" w14:textId="77777777" w:rsidR="00154E32" w:rsidRDefault="00A43E04">
            <w:pPr>
              <w:pStyle w:val="P68B1DB1-Normal11"/>
              <w:spacing w:line="276" w:lineRule="auto"/>
              <w:jc w:val="center"/>
              <w:rPr>
                <w:noProof/>
              </w:rPr>
            </w:pPr>
            <w:r>
              <w:rPr>
                <w:noProof/>
              </w:rPr>
              <w:t>2022</w:t>
            </w:r>
          </w:p>
        </w:tc>
        <w:tc>
          <w:tcPr>
            <w:tcW w:w="2443" w:type="dxa"/>
            <w:tcBorders>
              <w:top w:val="single" w:sz="4" w:space="0" w:color="auto"/>
              <w:left w:val="nil"/>
              <w:bottom w:val="single" w:sz="4" w:space="0" w:color="auto"/>
              <w:right w:val="single" w:sz="4" w:space="0" w:color="auto"/>
            </w:tcBorders>
            <w:shd w:val="clear" w:color="auto" w:fill="C6EFCE"/>
            <w:noWrap/>
            <w:vAlign w:val="center"/>
            <w:hideMark/>
          </w:tcPr>
          <w:p w14:paraId="76BB14A6" w14:textId="77777777" w:rsidR="00154E32" w:rsidRDefault="00A43E04">
            <w:pPr>
              <w:pStyle w:val="P68B1DB1-Normal11"/>
              <w:spacing w:before="120" w:after="120" w:line="276" w:lineRule="auto"/>
              <w:rPr>
                <w:noProof/>
              </w:rPr>
            </w:pPr>
            <w:r>
              <w:rPr>
                <w:noProof/>
              </w:rPr>
              <w:t>Odobri se dogovor o pripravi akcijskega načrta za krepitev zmogljivosti v podporo lokalnim javnim organom pri izvajanju minimalnih okoljskih meril, določenih z zakonom (zakonodajna uredba št. 50/2016 o javnem razpisu), v okviru zelenih javnih naročil (GPP) in začetku izvajanja podpornega ukrepa.</w:t>
            </w:r>
          </w:p>
          <w:p w14:paraId="02141048" w14:textId="77777777" w:rsidR="00154E32" w:rsidRDefault="00A43E04">
            <w:pPr>
              <w:pStyle w:val="P68B1DB1-Normal11"/>
              <w:suppressAutoHyphens/>
              <w:spacing w:line="276" w:lineRule="auto"/>
              <w:rPr>
                <w:noProof/>
              </w:rPr>
            </w:pPr>
            <w:r>
              <w:rPr>
                <w:noProof/>
              </w:rPr>
              <w:t>Tehnično podporo lokalnim organom (regijam, pokrajinam in občinam) zagotavlja vlada (ministrstvo za ekološki prehod, ministrstvo za gospodarski razvoj in drugo ustrezno) prek hišnih podjetij. Tehnična podpora zajema:</w:t>
            </w:r>
          </w:p>
          <w:p w14:paraId="56C143E4" w14:textId="77777777" w:rsidR="00154E32" w:rsidRDefault="00A43E04">
            <w:pPr>
              <w:pStyle w:val="P68B1DB1-Normal11"/>
              <w:numPr>
                <w:ilvl w:val="0"/>
                <w:numId w:val="58"/>
              </w:numPr>
              <w:suppressAutoHyphens/>
              <w:spacing w:before="120" w:line="276" w:lineRule="auto"/>
              <w:contextualSpacing/>
              <w:rPr>
                <w:noProof/>
              </w:rPr>
            </w:pPr>
            <w:r>
              <w:rPr>
                <w:noProof/>
              </w:rPr>
              <w:t>tehnična pomoč za izvajanje okoljskih predpisov EU in nacionalnih predpisov;</w:t>
            </w:r>
          </w:p>
          <w:p w14:paraId="4F566256" w14:textId="77777777" w:rsidR="00154E32" w:rsidRDefault="00A43E04">
            <w:pPr>
              <w:pStyle w:val="P68B1DB1-Normal11"/>
              <w:numPr>
                <w:ilvl w:val="0"/>
                <w:numId w:val="58"/>
              </w:numPr>
              <w:suppressAutoHyphens/>
              <w:spacing w:before="120" w:line="276" w:lineRule="auto"/>
              <w:contextualSpacing/>
              <w:rPr>
                <w:noProof/>
              </w:rPr>
            </w:pPr>
            <w:r>
              <w:rPr>
                <w:noProof/>
              </w:rPr>
              <w:t>podpora za razvoj načrtov in projektov v zvezi z ravnanjem z odpadki;</w:t>
            </w:r>
          </w:p>
          <w:p w14:paraId="40076C49" w14:textId="77777777" w:rsidR="00154E32" w:rsidRDefault="00A43E04">
            <w:pPr>
              <w:pStyle w:val="P68B1DB1-Normal11"/>
              <w:numPr>
                <w:ilvl w:val="0"/>
                <w:numId w:val="58"/>
              </w:numPr>
              <w:suppressAutoHyphens/>
              <w:spacing w:before="120" w:line="276" w:lineRule="auto"/>
              <w:contextualSpacing/>
              <w:rPr>
                <w:noProof/>
              </w:rPr>
            </w:pPr>
            <w:r>
              <w:rPr>
                <w:noProof/>
              </w:rPr>
              <w:t>podpora razpisnim postopkom, tudi za zagotovitev, da se koncesije za ravnanje z odpadki dodeljujejo na pregleden in nediskriminatoren način, kar povečuje konkurenčne postopke za doseganje boljših standardov za javne storitve.</w:t>
            </w:r>
          </w:p>
          <w:p w14:paraId="77D20DB3" w14:textId="77777777" w:rsidR="00154E32" w:rsidRDefault="00154E32">
            <w:pPr>
              <w:suppressAutoHyphens/>
              <w:spacing w:line="276" w:lineRule="auto"/>
              <w:rPr>
                <w:rFonts w:ascii="Arial Narrow" w:hAnsi="Arial Narrow"/>
                <w:noProof/>
                <w:color w:val="006100"/>
                <w:sz w:val="20"/>
              </w:rPr>
            </w:pPr>
          </w:p>
          <w:p w14:paraId="3A060065" w14:textId="4A47491C" w:rsidR="00154E32" w:rsidRDefault="00A43E04">
            <w:pPr>
              <w:pStyle w:val="P68B1DB1-Normal11"/>
              <w:suppressAutoHyphens/>
              <w:spacing w:line="276" w:lineRule="auto"/>
              <w:rPr>
                <w:noProof/>
              </w:rPr>
            </w:pPr>
            <w:r>
              <w:rPr>
                <w:noProof/>
              </w:rPr>
              <w:t>Ministrstvo za ekološki prehod pripravi poseben akcijski načrt za krepitev zmogljivosti za podporo lokalnim javnim organom in profesionalnim javnim kupcem pri uporabi minimalnih okoljskih meril (CAM), določenih z zakonom (zakonska uredba št. 50/2016 o javnem razpisu) v okviru zelenih javnih naročil (GPP).</w:t>
            </w:r>
          </w:p>
        </w:tc>
      </w:tr>
      <w:tr w:rsidR="00154E32" w14:paraId="77B3D194" w14:textId="77777777">
        <w:trPr>
          <w:trHeight w:val="309"/>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6CF5F9" w14:textId="77777777" w:rsidR="00154E32" w:rsidRDefault="00A43E04">
            <w:pPr>
              <w:pStyle w:val="P68B1DB1-Normal11"/>
              <w:spacing w:line="276" w:lineRule="auto"/>
              <w:jc w:val="center"/>
              <w:rPr>
                <w:noProof/>
              </w:rPr>
            </w:pPr>
            <w:r>
              <w:rPr>
                <w:noProof/>
              </w:rPr>
              <w:t>M2C1–3</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D250501" w14:textId="77777777" w:rsidR="00154E32" w:rsidRDefault="00A43E04">
            <w:pPr>
              <w:pStyle w:val="P68B1DB1-Normal11"/>
              <w:spacing w:line="276" w:lineRule="auto"/>
              <w:jc w:val="center"/>
              <w:rPr>
                <w:noProof/>
              </w:rPr>
            </w:pPr>
            <w:r>
              <w:rPr>
                <w:noProof/>
              </w:rPr>
              <w:t>Naložba 2.1: Logistični načrt za agroživilski, ribiški in akvakulturni sektor, gozdarstvo, cvetličarstvo in odraščanje rastlin</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403DF65E" w14:textId="77777777" w:rsidR="00154E32" w:rsidRDefault="00A43E04">
            <w:pPr>
              <w:pStyle w:val="P68B1DB1-Normal11"/>
              <w:spacing w:line="276" w:lineRule="auto"/>
              <w:jc w:val="center"/>
              <w:rPr>
                <w:noProof/>
              </w:rPr>
            </w:pPr>
            <w:r>
              <w:rPr>
                <w:noProof/>
              </w:rPr>
              <w:t>Mejnik</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2421497E" w14:textId="77777777" w:rsidR="00154E32" w:rsidRDefault="00A43E04">
            <w:pPr>
              <w:pStyle w:val="P68B1DB1-Normal11"/>
              <w:spacing w:line="276" w:lineRule="auto"/>
              <w:jc w:val="center"/>
              <w:rPr>
                <w:noProof/>
              </w:rPr>
            </w:pPr>
            <w:r>
              <w:rPr>
                <w:noProof/>
              </w:rPr>
              <w:t>Objava končne razvrstitve v skladu s shemo logističnih spodbud</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2C0D3C58" w14:textId="77777777" w:rsidR="00154E32" w:rsidRDefault="00A43E04">
            <w:pPr>
              <w:pStyle w:val="P68B1DB1-Normal11"/>
              <w:spacing w:line="276" w:lineRule="auto"/>
              <w:jc w:val="center"/>
              <w:rPr>
                <w:noProof/>
              </w:rPr>
            </w:pPr>
            <w:r>
              <w:rPr>
                <w:noProof/>
              </w:rPr>
              <w:t>Objava na spletišču ministrstva ali katerem koli drugem podpornem kanalu</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12D0C015" w14:textId="77777777" w:rsidR="00154E32" w:rsidRDefault="00A43E04">
            <w:pPr>
              <w:pStyle w:val="P68B1DB1-Normal11"/>
              <w:spacing w:line="276" w:lineRule="auto"/>
              <w:jc w:val="center"/>
              <w:rPr>
                <w:noProof/>
              </w:rPr>
            </w:pPr>
            <w:r>
              <w:rPr>
                <w:noProof/>
              </w:rPr>
              <w:t>JIH NI</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6D659D60" w14:textId="77777777" w:rsidR="00154E32" w:rsidRDefault="00A43E04">
            <w:pPr>
              <w:pStyle w:val="P68B1DB1-Normal11"/>
              <w:spacing w:line="276" w:lineRule="auto"/>
              <w:jc w:val="center"/>
              <w:rPr>
                <w:noProof/>
              </w:rPr>
            </w:pPr>
            <w:r>
              <w:rPr>
                <w:noProof/>
              </w:rPr>
              <w:t>JIH NI</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6E534B1B" w14:textId="77777777" w:rsidR="00154E32" w:rsidRDefault="00A43E04">
            <w:pPr>
              <w:pStyle w:val="P68B1DB1-Normal11"/>
              <w:spacing w:line="276" w:lineRule="auto"/>
              <w:jc w:val="center"/>
              <w:rPr>
                <w:noProof/>
              </w:rPr>
            </w:pPr>
            <w:r>
              <w:rPr>
                <w:noProof/>
              </w:rPr>
              <w:t>JIH NI</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0C7545EB" w14:textId="77777777" w:rsidR="00154E32" w:rsidRDefault="00A43E04">
            <w:pPr>
              <w:pStyle w:val="P68B1DB1-Normal11"/>
              <w:spacing w:line="276" w:lineRule="auto"/>
              <w:jc w:val="center"/>
              <w:rPr>
                <w:noProof/>
              </w:rPr>
            </w:pPr>
            <w:r>
              <w:rPr>
                <w:noProof/>
              </w:rPr>
              <w:t>Q4</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0A080CA2" w14:textId="77777777" w:rsidR="00154E32" w:rsidRDefault="00A43E04">
            <w:pPr>
              <w:pStyle w:val="P68B1DB1-Normal11"/>
              <w:spacing w:line="276" w:lineRule="auto"/>
              <w:jc w:val="center"/>
              <w:rPr>
                <w:noProof/>
              </w:rPr>
            </w:pPr>
            <w:r>
              <w:rPr>
                <w:noProof/>
              </w:rPr>
              <w:t>2022</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71D96888" w14:textId="7C00BA82" w:rsidR="00154E32" w:rsidRDefault="00A43E04">
            <w:pPr>
              <w:pStyle w:val="P68B1DB1-Normal11"/>
              <w:spacing w:line="276" w:lineRule="auto"/>
              <w:rPr>
                <w:noProof/>
              </w:rPr>
            </w:pPr>
            <w:r>
              <w:rPr>
                <w:noProof/>
              </w:rPr>
              <w:t>Končna razvrstitev se določi v uredbi o odobritvi.</w:t>
            </w:r>
          </w:p>
          <w:p w14:paraId="3C8C26C3" w14:textId="77777777" w:rsidR="00154E32" w:rsidRDefault="00154E32">
            <w:pPr>
              <w:spacing w:line="276" w:lineRule="auto"/>
              <w:rPr>
                <w:rFonts w:ascii="Arial Narrow" w:hAnsi="Arial Narrow"/>
                <w:noProof/>
                <w:color w:val="006100"/>
                <w:sz w:val="20"/>
              </w:rPr>
            </w:pPr>
          </w:p>
          <w:p w14:paraId="138C8C63" w14:textId="77777777" w:rsidR="00154E32" w:rsidRDefault="00A43E04">
            <w:pPr>
              <w:pStyle w:val="P68B1DB1-paragraph25"/>
              <w:spacing w:before="0" w:beforeAutospacing="0" w:after="0" w:afterAutospacing="0" w:line="276" w:lineRule="auto"/>
              <w:textAlignment w:val="baseline"/>
              <w:rPr>
                <w:noProof/>
              </w:rPr>
            </w:pPr>
            <w:r>
              <w:rPr>
                <w:noProof/>
              </w:rPr>
              <w:t>Logistična shema spodbud vključuje naslednje:</w:t>
            </w:r>
          </w:p>
          <w:p w14:paraId="11F26DD6" w14:textId="77777777" w:rsidR="00154E32" w:rsidRDefault="00A43E04">
            <w:pPr>
              <w:pStyle w:val="P68B1DB1-paragraph25"/>
              <w:spacing w:before="0" w:beforeAutospacing="0" w:after="0" w:afterAutospacing="0" w:line="276" w:lineRule="auto"/>
              <w:textAlignment w:val="baseline"/>
              <w:rPr>
                <w:noProof/>
              </w:rPr>
            </w:pPr>
            <w:r>
              <w:rPr>
                <w:noProof/>
              </w:rPr>
              <w:t>merila za upravičenost, ki zagotavljajo, da so izbrani projekti skladni s tehničnimi smernicami, da se ne škoduje bistveno (2021/C58/01), z uporabo seznama za izključitev in zahtevo po skladnosti z ustrezno okoljsko zakonodajo EU in nacionalno okoljsko zakonodajo.</w:t>
            </w:r>
          </w:p>
          <w:p w14:paraId="1C6C633E" w14:textId="77777777" w:rsidR="00154E32" w:rsidRDefault="00A43E04">
            <w:pPr>
              <w:pStyle w:val="P68B1DB1-paragraph25"/>
              <w:spacing w:before="0" w:beforeAutospacing="0" w:after="0" w:afterAutospacing="0" w:line="276" w:lineRule="auto"/>
              <w:textAlignment w:val="baseline"/>
              <w:rPr>
                <w:noProof/>
              </w:rPr>
            </w:pPr>
            <w:r>
              <w:rPr>
                <w:noProof/>
              </w:rPr>
              <w:t>b) zaveza, da bo podnebni prispevek naložbe v skladu z metodologijo iz Priloge VI k Uredbi (EU) 2021/241 predstavljal vsaj 32 % skupnih stroškov naložbe, ki jo podpira mehanizem za okrevanje in odpornost.</w:t>
            </w:r>
          </w:p>
          <w:p w14:paraId="0527F35B" w14:textId="77777777" w:rsidR="00154E32" w:rsidRDefault="00A43E04">
            <w:pPr>
              <w:pStyle w:val="P68B1DB1-Normal11"/>
              <w:spacing w:line="276" w:lineRule="auto"/>
              <w:rPr>
                <w:noProof/>
              </w:rPr>
            </w:pPr>
            <w:r>
              <w:rPr>
                <w:noProof/>
              </w:rPr>
              <w:t>C) zaveza, da digitalni prispevek naložbe v skladu z metodologijo iz Priloge VII k Uredbi (EU) 2021/241 predstavlja vsaj 27 % skupnih stroškov naložbe, ki jo podpira mehanizem za okrevanje in odpornost.</w:t>
            </w:r>
          </w:p>
          <w:p w14:paraId="4DCE2024" w14:textId="284899A3" w:rsidR="00154E32" w:rsidRDefault="00A43E04">
            <w:pPr>
              <w:pStyle w:val="P68B1DB1-Normal11"/>
              <w:spacing w:line="276" w:lineRule="auto"/>
              <w:rPr>
                <w:noProof/>
              </w:rPr>
            </w:pPr>
            <w:r>
              <w:rPr>
                <w:noProof/>
              </w:rPr>
              <w:t>d) zaveza za poročanje o izvajanju ukrepa na polovici trajanja sheme in konca sheme.</w:t>
            </w:r>
          </w:p>
        </w:tc>
      </w:tr>
      <w:tr w:rsidR="00154E32" w14:paraId="3A178DBF" w14:textId="77777777">
        <w:trPr>
          <w:trHeight w:val="309"/>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87C0610" w14:textId="77777777" w:rsidR="00154E32" w:rsidRDefault="00A43E04">
            <w:pPr>
              <w:pStyle w:val="P68B1DB1-Normal11"/>
              <w:spacing w:line="276" w:lineRule="auto"/>
              <w:jc w:val="center"/>
              <w:rPr>
                <w:noProof/>
              </w:rPr>
            </w:pPr>
            <w:r>
              <w:rPr>
                <w:noProof/>
              </w:rPr>
              <w:t>M2C1–4</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90171D9" w14:textId="77777777" w:rsidR="00154E32" w:rsidRDefault="00A43E04">
            <w:pPr>
              <w:pStyle w:val="P68B1DB1-Normal11"/>
              <w:spacing w:line="276" w:lineRule="auto"/>
              <w:jc w:val="center"/>
              <w:rPr>
                <w:noProof/>
              </w:rPr>
            </w:pPr>
            <w:r>
              <w:rPr>
                <w:noProof/>
              </w:rPr>
              <w:t>Naložba 2.2: Kmetijsko-sonalni park</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7796A19" w14:textId="77777777" w:rsidR="00154E32" w:rsidRDefault="00A43E04">
            <w:pPr>
              <w:pStyle w:val="P68B1DB1-Normal11"/>
              <w:spacing w:line="276" w:lineRule="auto"/>
              <w:jc w:val="center"/>
              <w:rPr>
                <w:noProof/>
              </w:rPr>
            </w:pPr>
            <w:r>
              <w:rPr>
                <w:noProof/>
              </w:rPr>
              <w:t>Tarča</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77E819DE" w14:textId="77777777" w:rsidR="00154E32" w:rsidRDefault="00A43E04">
            <w:pPr>
              <w:pStyle w:val="P68B1DB1-Normal11"/>
              <w:spacing w:line="276" w:lineRule="auto"/>
              <w:jc w:val="center"/>
              <w:rPr>
                <w:noProof/>
              </w:rPr>
            </w:pPr>
            <w:r>
              <w:rPr>
                <w:noProof/>
              </w:rPr>
              <w:t>Dodelitev sredstev upravičencem kot % skupnih finančnih sredstev, dodeljenih za naložbo</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1E356338" w14:textId="77777777" w:rsidR="00154E32" w:rsidRDefault="00A43E04">
            <w:pPr>
              <w:pStyle w:val="P68B1DB1-Normal11"/>
              <w:spacing w:line="276" w:lineRule="auto"/>
              <w:jc w:val="center"/>
              <w:rPr>
                <w:noProof/>
              </w:rPr>
            </w:pPr>
            <w:r>
              <w:rPr>
                <w:noProof/>
              </w:rPr>
              <w:t>JIH NI</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012C21B5" w14:textId="77777777" w:rsidR="00154E32" w:rsidRDefault="00A43E04">
            <w:pPr>
              <w:pStyle w:val="P68B1DB1-Normal11"/>
              <w:spacing w:line="276" w:lineRule="auto"/>
              <w:jc w:val="center"/>
              <w:rPr>
                <w:noProof/>
              </w:rPr>
            </w:pPr>
            <w:r>
              <w:rPr>
                <w:noProof/>
              </w:rPr>
              <w:t>Delež</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1515BF60" w14:textId="77777777" w:rsidR="00154E32" w:rsidRDefault="00A43E04">
            <w:pPr>
              <w:pStyle w:val="P68B1DB1-Normal11"/>
              <w:spacing w:line="276" w:lineRule="auto"/>
              <w:jc w:val="center"/>
              <w:rPr>
                <w:noProof/>
              </w:rPr>
            </w:pPr>
            <w:r>
              <w:rPr>
                <w:noProof/>
              </w:rPr>
              <w:t>0</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7E5B7634" w14:textId="77777777" w:rsidR="00154E32" w:rsidRDefault="00A43E04">
            <w:pPr>
              <w:pStyle w:val="P68B1DB1-Normal11"/>
              <w:spacing w:line="276" w:lineRule="auto"/>
              <w:jc w:val="center"/>
              <w:rPr>
                <w:noProof/>
              </w:rPr>
            </w:pPr>
            <w:r>
              <w:rPr>
                <w:noProof/>
              </w:rPr>
              <w:t>30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15D2944E" w14:textId="77777777" w:rsidR="00154E32" w:rsidRDefault="00A43E04">
            <w:pPr>
              <w:pStyle w:val="P68B1DB1-Normal11"/>
              <w:spacing w:line="276" w:lineRule="auto"/>
              <w:jc w:val="center"/>
              <w:rPr>
                <w:noProof/>
              </w:rPr>
            </w:pPr>
            <w:r>
              <w:rPr>
                <w:noProof/>
              </w:rPr>
              <w:t>Q4</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4A902351" w14:textId="77777777" w:rsidR="00154E32" w:rsidRDefault="00A43E04">
            <w:pPr>
              <w:pStyle w:val="P68B1DB1-Normal11"/>
              <w:spacing w:line="276" w:lineRule="auto"/>
              <w:jc w:val="center"/>
              <w:rPr>
                <w:noProof/>
              </w:rPr>
            </w:pPr>
            <w:r>
              <w:rPr>
                <w:noProof/>
              </w:rPr>
              <w:t>2022</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16A7AFFF" w14:textId="77777777" w:rsidR="00154E32" w:rsidRDefault="00A43E04">
            <w:pPr>
              <w:pStyle w:val="P68B1DB1-Normal11"/>
              <w:spacing w:line="276" w:lineRule="auto"/>
              <w:rPr>
                <w:noProof/>
              </w:rPr>
            </w:pPr>
            <w:r>
              <w:rPr>
                <w:noProof/>
              </w:rPr>
              <w:t>Opredelitev upravičenih projektov, katerih skupna vrednost znaša vsaj 30 % skupnih finančnih sredstev, dodeljenih naložbi. Naložba se izvede z dvema različnima postopkoma, ki že obstajata in se refinancira. Ti postopki določajo izplačilo posojil podjetjem, ki izpolnjujejo zahteve in predložijo vlogo.</w:t>
            </w:r>
          </w:p>
        </w:tc>
      </w:tr>
      <w:tr w:rsidR="00154E32" w14:paraId="422D9EF8" w14:textId="77777777">
        <w:trPr>
          <w:trHeight w:val="309"/>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4A5B67F" w14:textId="77777777" w:rsidR="00154E32" w:rsidRDefault="00A43E04">
            <w:pPr>
              <w:pStyle w:val="P68B1DB1-Normal11"/>
              <w:spacing w:line="276" w:lineRule="auto"/>
              <w:jc w:val="center"/>
              <w:rPr>
                <w:noProof/>
              </w:rPr>
            </w:pPr>
            <w:r>
              <w:rPr>
                <w:noProof/>
              </w:rPr>
              <w:t>M2C1–5</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457055F" w14:textId="77777777" w:rsidR="00154E32" w:rsidRDefault="00A43E04">
            <w:pPr>
              <w:pStyle w:val="P68B1DB1-Normal11"/>
              <w:spacing w:line="276" w:lineRule="auto"/>
              <w:jc w:val="center"/>
              <w:rPr>
                <w:noProof/>
              </w:rPr>
            </w:pPr>
            <w:r>
              <w:rPr>
                <w:noProof/>
              </w:rPr>
              <w:t>Naložba 2.2: Kmetijsko-sonalni park</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975E22F" w14:textId="77777777" w:rsidR="00154E32" w:rsidRDefault="00A43E04">
            <w:pPr>
              <w:pStyle w:val="P68B1DB1-Normal11"/>
              <w:spacing w:line="276" w:lineRule="auto"/>
              <w:jc w:val="center"/>
              <w:rPr>
                <w:noProof/>
              </w:rPr>
            </w:pPr>
            <w:r>
              <w:rPr>
                <w:noProof/>
              </w:rPr>
              <w:t>Tarča</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2A72E24B" w14:textId="77777777" w:rsidR="00154E32" w:rsidRDefault="00A43E04">
            <w:pPr>
              <w:pStyle w:val="P68B1DB1-Normal11"/>
              <w:spacing w:line="276" w:lineRule="auto"/>
              <w:jc w:val="center"/>
              <w:rPr>
                <w:noProof/>
              </w:rPr>
            </w:pPr>
            <w:r>
              <w:rPr>
                <w:noProof/>
              </w:rPr>
              <w:t>Dodelitev sredstev upravičencem kot % skupnih finančnih sredstev, dodeljenih za naložbo</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14601A16" w14:textId="77777777" w:rsidR="00154E32" w:rsidRDefault="00A43E04">
            <w:pPr>
              <w:pStyle w:val="P68B1DB1-Normal11"/>
              <w:spacing w:line="276" w:lineRule="auto"/>
              <w:jc w:val="center"/>
              <w:rPr>
                <w:noProof/>
              </w:rPr>
            </w:pPr>
            <w:r>
              <w:rPr>
                <w:noProof/>
              </w:rPr>
              <w:t>JIH NI</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45D5725E" w14:textId="77777777" w:rsidR="00154E32" w:rsidRDefault="00A43E04">
            <w:pPr>
              <w:pStyle w:val="P68B1DB1-Normal11"/>
              <w:spacing w:line="276" w:lineRule="auto"/>
              <w:jc w:val="center"/>
              <w:rPr>
                <w:noProof/>
              </w:rPr>
            </w:pPr>
            <w:r>
              <w:rPr>
                <w:noProof/>
              </w:rPr>
              <w:t>Delež</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289158B7" w14:textId="6159A9EE" w:rsidR="00154E32" w:rsidRDefault="00A43E04">
            <w:pPr>
              <w:pStyle w:val="P68B1DB1-Normal11"/>
              <w:spacing w:line="276" w:lineRule="auto"/>
              <w:jc w:val="center"/>
              <w:rPr>
                <w:noProof/>
              </w:rPr>
            </w:pPr>
            <w:r>
              <w:rPr>
                <w:noProof/>
              </w:rPr>
              <w:t>19</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6B0532C7" w14:textId="16823094" w:rsidR="00154E32" w:rsidRDefault="00A43E04">
            <w:pPr>
              <w:pStyle w:val="P68B1DB1-Normal11"/>
              <w:spacing w:line="276" w:lineRule="auto"/>
              <w:jc w:val="center"/>
              <w:rPr>
                <w:noProof/>
              </w:rPr>
            </w:pPr>
            <w:r>
              <w:rPr>
                <w:noProof/>
              </w:rPr>
              <w:t>32</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4179F561" w14:textId="77777777" w:rsidR="00154E32" w:rsidRDefault="00A43E04">
            <w:pPr>
              <w:pStyle w:val="P68B1DB1-Normal11"/>
              <w:spacing w:line="276" w:lineRule="auto"/>
              <w:jc w:val="center"/>
              <w:rPr>
                <w:noProof/>
              </w:rPr>
            </w:pPr>
            <w:r>
              <w:rPr>
                <w:noProof/>
              </w:rPr>
              <w:t>Q4</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7EC75217" w14:textId="77777777" w:rsidR="00154E32" w:rsidRDefault="00A43E04">
            <w:pPr>
              <w:pStyle w:val="P68B1DB1-Normal11"/>
              <w:spacing w:line="276" w:lineRule="auto"/>
              <w:jc w:val="center"/>
              <w:rPr>
                <w:noProof/>
              </w:rPr>
            </w:pPr>
            <w:r>
              <w:rPr>
                <w:noProof/>
              </w:rPr>
              <w:t>2023</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3FA543FA" w14:textId="5CEBF0B5" w:rsidR="00154E32" w:rsidRDefault="00A43E04">
            <w:pPr>
              <w:pStyle w:val="P68B1DB1-Normal11"/>
              <w:spacing w:line="276" w:lineRule="auto"/>
              <w:rPr>
                <w:noProof/>
              </w:rPr>
            </w:pPr>
            <w:r>
              <w:rPr>
                <w:noProof/>
              </w:rPr>
              <w:t>Opredelijo se upravičeni projekti, katerih skupna vrednost znaša vsaj 32 % skupnih finančnih sredstev, dodeljenih naložbi. Postopek dodeljevanja določa izplačilo nepovratnih sredstev ali drugih spodbud podjetjem, ki izpolnjujejo zahteve in predložijo vlogo.</w:t>
            </w:r>
          </w:p>
        </w:tc>
      </w:tr>
      <w:tr w:rsidR="00154E32" w14:paraId="2CC7532A" w14:textId="77777777">
        <w:trPr>
          <w:trHeight w:val="309"/>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385F11" w14:textId="77777777" w:rsidR="00154E32" w:rsidRDefault="00A43E04">
            <w:pPr>
              <w:pStyle w:val="P68B1DB1-Normal11"/>
              <w:spacing w:line="276" w:lineRule="auto"/>
              <w:jc w:val="center"/>
              <w:rPr>
                <w:noProof/>
              </w:rPr>
            </w:pPr>
            <w:r>
              <w:rPr>
                <w:noProof/>
              </w:rPr>
              <w:t>M2C1–6</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CA3FA3F" w14:textId="77777777" w:rsidR="00154E32" w:rsidRDefault="00A43E04">
            <w:pPr>
              <w:pStyle w:val="P68B1DB1-Normal11"/>
              <w:spacing w:line="276" w:lineRule="auto"/>
              <w:jc w:val="center"/>
              <w:rPr>
                <w:noProof/>
              </w:rPr>
            </w:pPr>
            <w:r>
              <w:rPr>
                <w:noProof/>
              </w:rPr>
              <w:t>Naložba 2.2: Kmetijsko-sonalni park</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69C43274" w14:textId="77777777" w:rsidR="00154E32" w:rsidRDefault="00A43E04">
            <w:pPr>
              <w:pStyle w:val="P68B1DB1-Normal11"/>
              <w:spacing w:line="276" w:lineRule="auto"/>
              <w:jc w:val="center"/>
              <w:rPr>
                <w:noProof/>
              </w:rPr>
            </w:pPr>
            <w:r>
              <w:rPr>
                <w:noProof/>
              </w:rPr>
              <w:t>Tarča</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26D077D0" w14:textId="77777777" w:rsidR="00154E32" w:rsidRDefault="00A43E04">
            <w:pPr>
              <w:pStyle w:val="P68B1DB1-Normal11"/>
              <w:spacing w:line="276" w:lineRule="auto"/>
              <w:jc w:val="center"/>
              <w:rPr>
                <w:noProof/>
              </w:rPr>
            </w:pPr>
            <w:r>
              <w:rPr>
                <w:noProof/>
              </w:rPr>
              <w:t>Dodelitev sredstev upravičencem kot % skupnih finančnih sredstev, dodeljenih za naložbo</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26914114" w14:textId="77777777" w:rsidR="00154E32" w:rsidRDefault="00A43E04">
            <w:pPr>
              <w:pStyle w:val="P68B1DB1-Normal11"/>
              <w:spacing w:line="276" w:lineRule="auto"/>
              <w:jc w:val="center"/>
              <w:rPr>
                <w:noProof/>
              </w:rPr>
            </w:pPr>
            <w:r>
              <w:rPr>
                <w:noProof/>
              </w:rPr>
              <w:t>JIH NI</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2D7A5FED" w14:textId="77777777" w:rsidR="00154E32" w:rsidRDefault="00A43E04">
            <w:pPr>
              <w:pStyle w:val="P68B1DB1-Normal11"/>
              <w:spacing w:line="276" w:lineRule="auto"/>
              <w:jc w:val="center"/>
              <w:rPr>
                <w:noProof/>
              </w:rPr>
            </w:pPr>
            <w:r>
              <w:rPr>
                <w:noProof/>
              </w:rPr>
              <w:t>Delež</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4ABEE1C3" w14:textId="6582D99C" w:rsidR="00154E32" w:rsidRDefault="00A43E04">
            <w:pPr>
              <w:pStyle w:val="P68B1DB1-Normal11"/>
              <w:spacing w:line="276" w:lineRule="auto"/>
              <w:jc w:val="center"/>
              <w:rPr>
                <w:noProof/>
              </w:rPr>
            </w:pPr>
            <w:r>
              <w:rPr>
                <w:noProof/>
              </w:rPr>
              <w:t>32</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17E7C771" w14:textId="4AB683C3" w:rsidR="00154E32" w:rsidRDefault="00A43E04">
            <w:pPr>
              <w:pStyle w:val="P68B1DB1-Normal11"/>
              <w:spacing w:line="276" w:lineRule="auto"/>
              <w:jc w:val="center"/>
              <w:rPr>
                <w:noProof/>
              </w:rPr>
            </w:pPr>
            <w:r>
              <w:rPr>
                <w:noProof/>
              </w:rPr>
              <w:t>63.5</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1DAE61C" w14:textId="77777777" w:rsidR="00154E32" w:rsidRDefault="00A43E04">
            <w:pPr>
              <w:pStyle w:val="P68B1DB1-Normal11"/>
              <w:spacing w:line="276" w:lineRule="auto"/>
              <w:jc w:val="center"/>
              <w:rPr>
                <w:noProof/>
              </w:rPr>
            </w:pPr>
            <w:r>
              <w:rPr>
                <w:noProof/>
              </w:rPr>
              <w:t>Q2</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35BA9285" w14:textId="77777777" w:rsidR="00154E32" w:rsidRDefault="00A43E04">
            <w:pPr>
              <w:pStyle w:val="P68B1DB1-Normal11"/>
              <w:spacing w:line="276" w:lineRule="auto"/>
              <w:jc w:val="center"/>
              <w:rPr>
                <w:noProof/>
              </w:rPr>
            </w:pPr>
            <w:r>
              <w:rPr>
                <w:noProof/>
              </w:rPr>
              <w:t>2024</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5193C3B2" w14:textId="0FA8BA2A" w:rsidR="00154E32" w:rsidRDefault="00A43E04">
            <w:pPr>
              <w:pStyle w:val="P68B1DB1-Normal11"/>
              <w:spacing w:line="276" w:lineRule="auto"/>
              <w:rPr>
                <w:noProof/>
              </w:rPr>
            </w:pPr>
            <w:r>
              <w:rPr>
                <w:noProof/>
              </w:rPr>
              <w:t>Opredelitev upravičenih projektov, katerih skupna vrednost znaša vsaj 63,5 % skupnih finančnih sredstev, dodeljenih naložbi.  Postopek dodeljevanja omogoča izplačilo nepovratnih sredstev ali drugih spodbud podjetjem, ki izpolnjujejo zahteve in predložijo vlogo.</w:t>
            </w:r>
          </w:p>
        </w:tc>
      </w:tr>
      <w:tr w:rsidR="00154E32" w14:paraId="14A9BE13" w14:textId="77777777">
        <w:trPr>
          <w:trHeight w:val="309"/>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5CE4161" w14:textId="77777777" w:rsidR="00154E32" w:rsidRDefault="00A43E04">
            <w:pPr>
              <w:pStyle w:val="P68B1DB1-Normal11"/>
              <w:spacing w:line="276" w:lineRule="auto"/>
              <w:jc w:val="center"/>
              <w:rPr>
                <w:noProof/>
              </w:rPr>
            </w:pPr>
            <w:r>
              <w:rPr>
                <w:noProof/>
              </w:rPr>
              <w:t>M2C1–6a</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04AF1F40" w14:textId="77777777" w:rsidR="00154E32" w:rsidRDefault="00A43E04">
            <w:pPr>
              <w:pStyle w:val="P68B1DB1-Normal11"/>
              <w:spacing w:line="276" w:lineRule="auto"/>
              <w:jc w:val="center"/>
              <w:rPr>
                <w:noProof/>
              </w:rPr>
            </w:pPr>
            <w:r>
              <w:rPr>
                <w:noProof/>
              </w:rPr>
              <w:t>Naložba 2.2: Kmetijsko-sonalni park</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4D4E9B36" w14:textId="77777777" w:rsidR="00154E32" w:rsidRDefault="00A43E04">
            <w:pPr>
              <w:pStyle w:val="P68B1DB1-Normal11"/>
              <w:spacing w:line="276" w:lineRule="auto"/>
              <w:jc w:val="center"/>
              <w:rPr>
                <w:noProof/>
              </w:rPr>
            </w:pPr>
            <w:r>
              <w:rPr>
                <w:noProof/>
              </w:rPr>
              <w:t>Tarča</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BA552F6" w14:textId="77777777" w:rsidR="00154E32" w:rsidRDefault="00A43E04">
            <w:pPr>
              <w:pStyle w:val="P68B1DB1-Normal11"/>
              <w:spacing w:line="276" w:lineRule="auto"/>
              <w:jc w:val="center"/>
              <w:rPr>
                <w:noProof/>
              </w:rPr>
            </w:pPr>
            <w:r>
              <w:rPr>
                <w:noProof/>
              </w:rPr>
              <w:t>Dodelitev sredstev upravičencem kot % skupnih finančnih sredstev, dodeljenih za naložbo</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706C9A3B" w14:textId="77777777" w:rsidR="00154E32" w:rsidRDefault="00A43E04">
            <w:pPr>
              <w:pStyle w:val="P68B1DB1-Normal11"/>
              <w:spacing w:line="276" w:lineRule="auto"/>
              <w:jc w:val="center"/>
              <w:rPr>
                <w:noProof/>
              </w:rPr>
            </w:pPr>
            <w:r>
              <w:rPr>
                <w:noProof/>
              </w:rPr>
              <w:t>JIH NI</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1165B4BC" w14:textId="77777777" w:rsidR="00154E32" w:rsidRDefault="00A43E04">
            <w:pPr>
              <w:pStyle w:val="P68B1DB1-Normal11"/>
              <w:spacing w:line="276" w:lineRule="auto"/>
              <w:jc w:val="center"/>
              <w:rPr>
                <w:noProof/>
              </w:rPr>
            </w:pPr>
            <w:r>
              <w:rPr>
                <w:noProof/>
              </w:rPr>
              <w:t>Delež</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05D347F9" w14:textId="414E88C1" w:rsidR="00154E32" w:rsidRDefault="00A43E04">
            <w:pPr>
              <w:pStyle w:val="P68B1DB1-Normal11"/>
              <w:spacing w:line="276" w:lineRule="auto"/>
              <w:jc w:val="center"/>
              <w:rPr>
                <w:noProof/>
              </w:rPr>
            </w:pPr>
            <w:r>
              <w:rPr>
                <w:noProof/>
              </w:rPr>
              <w:t>63.5</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157CCD5D" w14:textId="77777777" w:rsidR="00154E32" w:rsidRDefault="00A43E04">
            <w:pPr>
              <w:pStyle w:val="P68B1DB1-Normal11"/>
              <w:spacing w:line="276" w:lineRule="auto"/>
              <w:jc w:val="center"/>
              <w:rPr>
                <w:noProof/>
              </w:rPr>
            </w:pPr>
            <w:r>
              <w:rPr>
                <w:noProof/>
              </w:rPr>
              <w:t>100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6FDF1B36" w14:textId="77777777" w:rsidR="00154E32" w:rsidRDefault="00A43E04">
            <w:pPr>
              <w:pStyle w:val="P68B1DB1-Normal11"/>
              <w:spacing w:line="276" w:lineRule="auto"/>
              <w:jc w:val="center"/>
              <w:rPr>
                <w:noProof/>
              </w:rPr>
            </w:pPr>
            <w:r>
              <w:rPr>
                <w:noProof/>
              </w:rPr>
              <w:t>Q4</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5D23C9D2" w14:textId="77777777" w:rsidR="00154E32" w:rsidRDefault="00A43E04">
            <w:pPr>
              <w:pStyle w:val="P68B1DB1-Normal11"/>
              <w:spacing w:line="276" w:lineRule="auto"/>
              <w:jc w:val="center"/>
              <w:rPr>
                <w:noProof/>
              </w:rPr>
            </w:pPr>
            <w:r>
              <w:rPr>
                <w:noProof/>
              </w:rPr>
              <w:t>2024</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41026A03" w14:textId="1EF27879" w:rsidR="00154E32" w:rsidRDefault="00A43E04">
            <w:pPr>
              <w:pStyle w:val="P68B1DB1-Normal11"/>
              <w:spacing w:line="276" w:lineRule="auto"/>
              <w:rPr>
                <w:noProof/>
              </w:rPr>
            </w:pPr>
            <w:r>
              <w:rPr>
                <w:noProof/>
              </w:rPr>
              <w:t>Opredelitev upravičenih projektov, katerih skupna vrednost znaša vsaj 100 % dodatnih finančnih sredstev, dodeljenih naložbi. Postopek dodeljevanja določa izplačilo nepovratnih sredstev ali drugih spodbud podjetjem, ki izpolnjujejo zahteve in predložijo vlogo.</w:t>
            </w:r>
          </w:p>
        </w:tc>
      </w:tr>
      <w:tr w:rsidR="00154E32" w14:paraId="0512D932" w14:textId="77777777">
        <w:trPr>
          <w:trHeight w:val="309"/>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ED8F3B" w14:textId="77777777" w:rsidR="00154E32" w:rsidRDefault="00A43E04">
            <w:pPr>
              <w:pStyle w:val="P68B1DB1-Normal11"/>
              <w:spacing w:line="276" w:lineRule="auto"/>
              <w:jc w:val="center"/>
              <w:rPr>
                <w:noProof/>
              </w:rPr>
            </w:pPr>
            <w:r>
              <w:rPr>
                <w:noProof/>
              </w:rPr>
              <w:t>M2C1–7</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0A9CAA58" w14:textId="77777777" w:rsidR="00154E32" w:rsidRDefault="00A43E04">
            <w:pPr>
              <w:pStyle w:val="P68B1DB1-Normal11"/>
              <w:spacing w:line="276" w:lineRule="auto"/>
              <w:jc w:val="center"/>
              <w:rPr>
                <w:noProof/>
              </w:rPr>
            </w:pPr>
            <w:r>
              <w:rPr>
                <w:noProof/>
              </w:rPr>
              <w:t>Naložba 2.3: Inovacije in mehanizacija v kmetijskem in živilskem sektorju</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73FB8A1" w14:textId="77777777" w:rsidR="00154E32" w:rsidRDefault="00A43E04">
            <w:pPr>
              <w:pStyle w:val="P68B1DB1-Normal11"/>
              <w:spacing w:line="276" w:lineRule="auto"/>
              <w:jc w:val="center"/>
              <w:rPr>
                <w:noProof/>
              </w:rPr>
            </w:pPr>
            <w:r>
              <w:rPr>
                <w:noProof/>
              </w:rPr>
              <w:t>Tarča</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229AB6FB" w14:textId="77777777" w:rsidR="00154E32" w:rsidRDefault="00A43E04">
            <w:pPr>
              <w:pStyle w:val="P68B1DB1-Normal11"/>
              <w:spacing w:line="276" w:lineRule="auto"/>
              <w:jc w:val="center"/>
              <w:rPr>
                <w:noProof/>
              </w:rPr>
            </w:pPr>
            <w:r>
              <w:rPr>
                <w:noProof/>
              </w:rPr>
              <w:t>Objava končnih razvrstitev z navedbo končnih prejemnikov.</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246A8165" w14:textId="77777777" w:rsidR="00154E32" w:rsidRDefault="00A43E04">
            <w:pPr>
              <w:pStyle w:val="P68B1DB1-Normal11"/>
              <w:spacing w:line="276" w:lineRule="auto"/>
              <w:jc w:val="center"/>
              <w:rPr>
                <w:noProof/>
              </w:rPr>
            </w:pPr>
            <w:r>
              <w:rPr>
                <w:noProof/>
              </w:rPr>
              <w:t>JIH NI</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24F2BABD" w14:textId="77777777" w:rsidR="00154E32" w:rsidRDefault="00A43E04">
            <w:pPr>
              <w:pStyle w:val="P68B1DB1-Normal11"/>
              <w:spacing w:line="276" w:lineRule="auto"/>
              <w:jc w:val="center"/>
              <w:rPr>
                <w:noProof/>
              </w:rPr>
            </w:pPr>
            <w:r>
              <w:rPr>
                <w:noProof/>
              </w:rPr>
              <w:t>Število</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0EF29D3C" w14:textId="77777777" w:rsidR="00154E32" w:rsidRDefault="00A43E04">
            <w:pPr>
              <w:pStyle w:val="P68B1DB1-Normal11"/>
              <w:spacing w:line="276" w:lineRule="auto"/>
              <w:jc w:val="center"/>
              <w:rPr>
                <w:noProof/>
              </w:rPr>
            </w:pPr>
            <w:r>
              <w:rPr>
                <w:noProof/>
              </w:rPr>
              <w:t>0</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0C86BF99" w14:textId="339BB331" w:rsidR="00154E32" w:rsidRDefault="00A43E04">
            <w:pPr>
              <w:pStyle w:val="P68B1DB1-Normal11"/>
              <w:spacing w:line="276" w:lineRule="auto"/>
              <w:jc w:val="center"/>
              <w:rPr>
                <w:noProof/>
              </w:rPr>
            </w:pPr>
            <w:r>
              <w:rPr>
                <w:noProof/>
              </w:rPr>
              <w:t>10 000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2870F7EC" w14:textId="77777777" w:rsidR="00154E32" w:rsidRDefault="00A43E04">
            <w:pPr>
              <w:pStyle w:val="P68B1DB1-Normal11"/>
              <w:spacing w:line="276" w:lineRule="auto"/>
              <w:jc w:val="center"/>
              <w:rPr>
                <w:noProof/>
              </w:rPr>
            </w:pPr>
            <w:r>
              <w:rPr>
                <w:noProof/>
              </w:rPr>
              <w:t>Q4</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10E3DA13" w14:textId="77777777" w:rsidR="00154E32" w:rsidRDefault="00A43E04">
            <w:pPr>
              <w:pStyle w:val="P68B1DB1-Normal11"/>
              <w:spacing w:line="276" w:lineRule="auto"/>
              <w:jc w:val="center"/>
              <w:rPr>
                <w:noProof/>
              </w:rPr>
            </w:pPr>
            <w:r>
              <w:rPr>
                <w:noProof/>
              </w:rPr>
              <w:t>2024</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1031CD5E" w14:textId="63903E7E" w:rsidR="00154E32" w:rsidRDefault="00A43E04">
            <w:pPr>
              <w:pStyle w:val="P68B1DB1-Normal12"/>
              <w:spacing w:line="276" w:lineRule="auto"/>
              <w:rPr>
                <w:rFonts w:ascii="Arial Narrow" w:hAnsi="Arial Narrow"/>
                <w:noProof/>
              </w:rPr>
            </w:pPr>
            <w:r>
              <w:rPr>
                <w:rFonts w:ascii="Arial Narrow" w:hAnsi="Arial Narrow"/>
                <w:noProof/>
              </w:rPr>
              <w:t>Opredelitev vsaj 10000</w:t>
            </w:r>
            <w:r>
              <w:rPr>
                <w:noProof/>
              </w:rPr>
              <w:t xml:space="preserve"> </w:t>
            </w:r>
            <w:r>
              <w:rPr>
                <w:rFonts w:ascii="Arial Narrow" w:hAnsi="Arial Narrow"/>
                <w:noProof/>
              </w:rPr>
              <w:t>končnih prejemnikov naložb v inovacije v krožnem gospodarstvu in biogospodarstvu.</w:t>
            </w:r>
          </w:p>
          <w:p w14:paraId="61A0470B" w14:textId="77777777" w:rsidR="00154E32" w:rsidRDefault="00A43E04">
            <w:pPr>
              <w:pStyle w:val="P68B1DB1-Normal11"/>
              <w:spacing w:line="276" w:lineRule="auto"/>
              <w:rPr>
                <w:noProof/>
              </w:rPr>
            </w:pPr>
            <w:r>
              <w:rPr>
                <w:noProof/>
              </w:rPr>
              <w:t>Naložbe upoštevajo vsaj eno od naslednjega:</w:t>
            </w:r>
          </w:p>
          <w:p w14:paraId="5CD25E2A" w14:textId="77777777" w:rsidR="00154E32" w:rsidRDefault="00A43E04">
            <w:pPr>
              <w:pStyle w:val="P68B1DB1-Normal11"/>
              <w:spacing w:line="276" w:lineRule="auto"/>
              <w:rPr>
                <w:noProof/>
              </w:rPr>
            </w:pPr>
            <w:r>
              <w:rPr>
                <w:noProof/>
              </w:rPr>
              <w:t>— Nadomestitev več</w:t>
            </w:r>
          </w:p>
          <w:p w14:paraId="0D73640D" w14:textId="77777777" w:rsidR="00154E32" w:rsidRDefault="00A43E04">
            <w:pPr>
              <w:pStyle w:val="P68B1DB1-Normal11"/>
              <w:spacing w:line="276" w:lineRule="auto"/>
              <w:rPr>
                <w:noProof/>
              </w:rPr>
            </w:pPr>
            <w:r>
              <w:rPr>
                <w:noProof/>
              </w:rPr>
              <w:t>terenska vozila, ki onesnažujejo okolje</w:t>
            </w:r>
          </w:p>
          <w:p w14:paraId="1ED204B1" w14:textId="77777777" w:rsidR="00154E32" w:rsidRDefault="00A43E04">
            <w:pPr>
              <w:pStyle w:val="P68B1DB1-Normal11"/>
              <w:spacing w:line="276" w:lineRule="auto"/>
              <w:rPr>
                <w:noProof/>
              </w:rPr>
            </w:pPr>
            <w:r>
              <w:rPr>
                <w:noProof/>
              </w:rPr>
              <w:t>Uvedba preciznega kmetovanja in kmetijskih strojev 4.0</w:t>
            </w:r>
          </w:p>
          <w:p w14:paraId="7A0AB617" w14:textId="77777777" w:rsidR="00154E32" w:rsidRDefault="00A43E04">
            <w:pPr>
              <w:pStyle w:val="P68B1DB1-Normal11"/>
              <w:spacing w:line="276" w:lineRule="auto"/>
              <w:rPr>
                <w:noProof/>
              </w:rPr>
            </w:pPr>
            <w:r>
              <w:rPr>
                <w:noProof/>
              </w:rPr>
              <w:t>Zamenjava bolj zastarelih obratov za oljčne oljarne</w:t>
            </w:r>
          </w:p>
          <w:p w14:paraId="07F88E9D" w14:textId="77777777" w:rsidR="00154E32" w:rsidRDefault="00A43E04">
            <w:pPr>
              <w:pStyle w:val="P68B1DB1-Normal11"/>
              <w:spacing w:line="276" w:lineRule="auto"/>
              <w:rPr>
                <w:noProof/>
              </w:rPr>
            </w:pPr>
            <w:r>
              <w:rPr>
                <w:noProof/>
              </w:rPr>
              <w:t>Da se zagotovi skladnost z izjavo št.</w:t>
            </w:r>
          </w:p>
          <w:p w14:paraId="0D44BEDE" w14:textId="175A16E0" w:rsidR="00154E32" w:rsidRDefault="00A43E04">
            <w:pPr>
              <w:pStyle w:val="P68B1DB1-Normal11"/>
              <w:spacing w:line="276" w:lineRule="auto"/>
              <w:rPr>
                <w:noProof/>
              </w:rPr>
            </w:pPr>
            <w:r>
              <w:rPr>
                <w:noProof/>
              </w:rPr>
              <w:t>Terenska vozila morajo biti brezemisijska ali utečena izključno na biometan, ki izpolnjuje merila iz Direktive 2018/2001 (direktiva o spodbujanju uporabe energije iz obnovljivih virov).</w:t>
            </w:r>
          </w:p>
          <w:p w14:paraId="215B0B04" w14:textId="77777777" w:rsidR="00154E32" w:rsidRDefault="00A43E04">
            <w:pPr>
              <w:pStyle w:val="P68B1DB1-Normal11"/>
              <w:spacing w:line="276" w:lineRule="auto"/>
              <w:rPr>
                <w:noProof/>
              </w:rPr>
            </w:pPr>
            <w:r>
              <w:rPr>
                <w:noProof/>
              </w:rPr>
              <w:t>Proizvajalci biogoriv in biometana ter biogoriv morajo predložiti certifikate (dokazilo o trajnostnosti), ki jih izdajo neodvisni ocenjevalci, kot je določeno v Direktivi 2018/2001.</w:t>
            </w:r>
          </w:p>
          <w:p w14:paraId="3CC24D0E" w14:textId="77777777" w:rsidR="00154E32" w:rsidRDefault="00A43E04">
            <w:pPr>
              <w:pStyle w:val="P68B1DB1-Normal11"/>
              <w:spacing w:line="276" w:lineRule="auto"/>
              <w:rPr>
                <w:noProof/>
              </w:rPr>
            </w:pPr>
            <w:r>
              <w:rPr>
                <w:noProof/>
              </w:rPr>
              <w:t>Upravljavec kupi potrdilo o izvoru, ki je sorazmerno s pričakovano porabo goriva.</w:t>
            </w:r>
          </w:p>
        </w:tc>
      </w:tr>
      <w:tr w:rsidR="00154E32" w14:paraId="6455DBC7" w14:textId="77777777">
        <w:trPr>
          <w:trHeight w:val="309"/>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F23151A" w14:textId="77777777" w:rsidR="00154E32" w:rsidRDefault="00A43E04">
            <w:pPr>
              <w:pStyle w:val="P68B1DB1-Normal11"/>
              <w:spacing w:line="276" w:lineRule="auto"/>
              <w:jc w:val="center"/>
              <w:rPr>
                <w:noProof/>
              </w:rPr>
            </w:pPr>
            <w:r>
              <w:rPr>
                <w:noProof/>
              </w:rPr>
              <w:t>M2C1–8</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3FED5A4A" w14:textId="77777777" w:rsidR="00154E32" w:rsidRDefault="00A43E04">
            <w:pPr>
              <w:pStyle w:val="P68B1DB1-Normal11"/>
              <w:spacing w:line="276" w:lineRule="auto"/>
              <w:jc w:val="center"/>
              <w:rPr>
                <w:noProof/>
              </w:rPr>
            </w:pPr>
            <w:r>
              <w:rPr>
                <w:noProof/>
              </w:rPr>
              <w:t>Naložba 2.3: Inovacije in mehanizacija v kmetijskem in živilskem sektorju</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0FADAC8A" w14:textId="77777777" w:rsidR="00154E32" w:rsidRDefault="00A43E04">
            <w:pPr>
              <w:pStyle w:val="P68B1DB1-Normal11"/>
              <w:spacing w:line="276" w:lineRule="auto"/>
              <w:jc w:val="center"/>
              <w:rPr>
                <w:noProof/>
              </w:rPr>
            </w:pPr>
            <w:r>
              <w:rPr>
                <w:noProof/>
              </w:rPr>
              <w:t>Tarča</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4C0F3F1" w14:textId="77777777" w:rsidR="00154E32" w:rsidRDefault="00A43E04">
            <w:pPr>
              <w:pStyle w:val="P68B1DB1-Normal11"/>
              <w:spacing w:line="276" w:lineRule="auto"/>
              <w:jc w:val="center"/>
              <w:rPr>
                <w:noProof/>
              </w:rPr>
            </w:pPr>
            <w:r>
              <w:rPr>
                <w:noProof/>
              </w:rPr>
              <w:t>Podpora naložbam v inovacije v krožnem gospodarstvu in biogospodarstvu</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495B14CE" w14:textId="77777777" w:rsidR="00154E32" w:rsidRDefault="00A43E04">
            <w:pPr>
              <w:pStyle w:val="P68B1DB1-Normal11"/>
              <w:spacing w:line="276" w:lineRule="auto"/>
              <w:jc w:val="center"/>
              <w:rPr>
                <w:noProof/>
              </w:rPr>
            </w:pPr>
            <w:r>
              <w:rPr>
                <w:noProof/>
              </w:rPr>
              <w:t>JIH NI</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4639FBC7" w14:textId="77777777" w:rsidR="00154E32" w:rsidRDefault="00A43E04">
            <w:pPr>
              <w:pStyle w:val="P68B1DB1-Normal11"/>
              <w:spacing w:line="276" w:lineRule="auto"/>
              <w:jc w:val="center"/>
              <w:rPr>
                <w:noProof/>
              </w:rPr>
            </w:pPr>
            <w:r>
              <w:rPr>
                <w:noProof/>
              </w:rPr>
              <w:t>Število</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397CCC12" w14:textId="71D50F0A" w:rsidR="00154E32" w:rsidRDefault="00A43E04">
            <w:pPr>
              <w:pStyle w:val="P68B1DB1-Normal11"/>
              <w:spacing w:line="276" w:lineRule="auto"/>
              <w:jc w:val="center"/>
              <w:rPr>
                <w:noProof/>
              </w:rPr>
            </w:pPr>
            <w:r>
              <w:rPr>
                <w:noProof/>
              </w:rPr>
              <w:t>10 000</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03ADB306" w14:textId="6FE6B8AE" w:rsidR="00154E32" w:rsidRDefault="00A43E04">
            <w:pPr>
              <w:pStyle w:val="P68B1DB1-Normal11"/>
              <w:spacing w:line="276" w:lineRule="auto"/>
              <w:jc w:val="center"/>
              <w:rPr>
                <w:noProof/>
              </w:rPr>
            </w:pPr>
            <w:r>
              <w:rPr>
                <w:noProof/>
              </w:rPr>
              <w:t>15 000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9B9908C" w14:textId="77777777" w:rsidR="00154E32" w:rsidRDefault="00A43E04">
            <w:pPr>
              <w:pStyle w:val="P68B1DB1-Normal11"/>
              <w:spacing w:line="276" w:lineRule="auto"/>
              <w:jc w:val="center"/>
              <w:rPr>
                <w:noProof/>
              </w:rPr>
            </w:pPr>
            <w:r>
              <w:rPr>
                <w:noProof/>
              </w:rPr>
              <w:t>Q2</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1EEB1A83" w14:textId="77777777" w:rsidR="00154E32" w:rsidRDefault="00A43E04">
            <w:pPr>
              <w:pStyle w:val="P68B1DB1-Normal11"/>
              <w:spacing w:line="276" w:lineRule="auto"/>
              <w:jc w:val="center"/>
              <w:rPr>
                <w:noProof/>
              </w:rPr>
            </w:pPr>
            <w:r>
              <w:rPr>
                <w:noProof/>
              </w:rPr>
              <w:t>2026</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3C64CA4A" w14:textId="3F66EFF2" w:rsidR="00154E32" w:rsidRDefault="00A43E04">
            <w:pPr>
              <w:pStyle w:val="P68B1DB1-Normal11"/>
              <w:spacing w:line="276" w:lineRule="auto"/>
              <w:rPr>
                <w:noProof/>
              </w:rPr>
            </w:pPr>
            <w:r>
              <w:rPr>
                <w:noProof/>
              </w:rPr>
              <w:t>Po zaključku projektov je vsaj 15000 končnih prejemnikov prejelo podporo za plačane naložbe v inovacije v krožnem gospodarstvu in biogospodarstvu.</w:t>
            </w:r>
          </w:p>
          <w:p w14:paraId="01B1434A" w14:textId="77777777" w:rsidR="00154E32" w:rsidRDefault="00A43E04">
            <w:pPr>
              <w:pStyle w:val="P68B1DB1-Normal11"/>
              <w:spacing w:line="276" w:lineRule="auto"/>
              <w:rPr>
                <w:noProof/>
              </w:rPr>
            </w:pPr>
            <w:r>
              <w:rPr>
                <w:noProof/>
              </w:rPr>
              <w:t>Podprte naložbe so:</w:t>
            </w:r>
          </w:p>
          <w:p w14:paraId="086F2F86" w14:textId="1ACB59D8" w:rsidR="00154E32" w:rsidRDefault="00A43E04">
            <w:pPr>
              <w:pStyle w:val="P68B1DB1-Normal10"/>
              <w:spacing w:line="276" w:lineRule="auto"/>
              <w:rPr>
                <w:noProof/>
                <w:color w:val="006100"/>
                <w:sz w:val="20"/>
              </w:rPr>
            </w:pPr>
            <w:r>
              <w:rPr>
                <w:noProof/>
                <w:color w:val="006100"/>
                <w:sz w:val="20"/>
              </w:rPr>
              <w:t>Zamenjava</w:t>
            </w:r>
            <w:r>
              <w:rPr>
                <w:noProof/>
              </w:rPr>
              <w:t xml:space="preserve"> </w:t>
            </w:r>
            <w:r>
              <w:rPr>
                <w:noProof/>
                <w:color w:val="006100"/>
                <w:sz w:val="20"/>
              </w:rPr>
              <w:t>terenskih vozil, ki bolj onesnažujejo okolje</w:t>
            </w:r>
          </w:p>
          <w:p w14:paraId="2C7EDFA8" w14:textId="3F1A8511" w:rsidR="00154E32" w:rsidRDefault="00A43E04">
            <w:pPr>
              <w:pStyle w:val="P68B1DB1-Normal10"/>
              <w:spacing w:line="276" w:lineRule="auto"/>
              <w:rPr>
                <w:noProof/>
                <w:color w:val="006100"/>
                <w:sz w:val="20"/>
              </w:rPr>
            </w:pPr>
            <w:r>
              <w:rPr>
                <w:noProof/>
                <w:color w:val="006100"/>
                <w:sz w:val="20"/>
              </w:rPr>
              <w:t>Uvedba</w:t>
            </w:r>
            <w:r>
              <w:rPr>
                <w:noProof/>
              </w:rPr>
              <w:t xml:space="preserve"> </w:t>
            </w:r>
            <w:r>
              <w:rPr>
                <w:noProof/>
                <w:color w:val="006100"/>
                <w:sz w:val="20"/>
              </w:rPr>
              <w:t>preciznega kmetovanja</w:t>
            </w:r>
          </w:p>
          <w:p w14:paraId="1A56EE71" w14:textId="11B63E2F" w:rsidR="00154E32" w:rsidRDefault="00A43E04">
            <w:pPr>
              <w:pStyle w:val="P68B1DB1-Normal10"/>
              <w:spacing w:line="276" w:lineRule="auto"/>
              <w:rPr>
                <w:noProof/>
                <w:color w:val="006100"/>
                <w:sz w:val="20"/>
              </w:rPr>
            </w:pPr>
            <w:r>
              <w:rPr>
                <w:noProof/>
                <w:color w:val="006100"/>
                <w:sz w:val="20"/>
              </w:rPr>
              <w:t>Zamenjava</w:t>
            </w:r>
            <w:r>
              <w:rPr>
                <w:noProof/>
              </w:rPr>
              <w:t xml:space="preserve"> </w:t>
            </w:r>
            <w:r>
              <w:rPr>
                <w:noProof/>
                <w:color w:val="006100"/>
                <w:sz w:val="20"/>
              </w:rPr>
              <w:t>bolj zastarelih obratov za oljčne oljarne</w:t>
            </w:r>
          </w:p>
          <w:p w14:paraId="1406150C" w14:textId="77777777" w:rsidR="00154E32" w:rsidRDefault="00154E32">
            <w:pPr>
              <w:spacing w:line="276" w:lineRule="auto"/>
              <w:rPr>
                <w:rFonts w:ascii="Arial Narrow" w:hAnsi="Arial Narrow"/>
                <w:noProof/>
                <w:color w:val="006100"/>
                <w:sz w:val="20"/>
              </w:rPr>
            </w:pPr>
          </w:p>
          <w:p w14:paraId="48621ABA" w14:textId="77777777" w:rsidR="00154E32" w:rsidRDefault="00A43E04">
            <w:pPr>
              <w:pStyle w:val="P68B1DB1-Normal11"/>
              <w:spacing w:line="276" w:lineRule="auto"/>
              <w:rPr>
                <w:noProof/>
              </w:rPr>
            </w:pPr>
            <w:r>
              <w:rPr>
                <w:noProof/>
              </w:rPr>
              <w:t>Za skladnost z načelom, da se ne uporablja bistveno, morajo biti terenska vozila brezemisijska ali utečena izključno na biometan, ki izpolnjuje merila iz Direktive 2018/2001 (direktiva o spodbujanju uporabe energije iz obnovljivih virov).</w:t>
            </w:r>
          </w:p>
          <w:p w14:paraId="3556F731" w14:textId="4173B7D0" w:rsidR="00154E32" w:rsidRDefault="00A43E04">
            <w:pPr>
              <w:pStyle w:val="P68B1DB1-Normal11"/>
              <w:spacing w:line="276" w:lineRule="auto"/>
              <w:rPr>
                <w:noProof/>
              </w:rPr>
            </w:pPr>
            <w:r>
              <w:rPr>
                <w:noProof/>
              </w:rPr>
              <w:t>Proizvajalci biogoriv in biometana ter biogoriv morajo predložiti certifikate (dokazilo o trajnostnosti), ki jih izdajo neodvisni ocenjevalci, kot je določeno v Direktivi 2018/2001. Upravljavec kupi potrdilo o izvoru, ki je sorazmerno s pričakovano porabo goriva.</w:t>
            </w:r>
          </w:p>
        </w:tc>
      </w:tr>
      <w:tr w:rsidR="00154E32" w14:paraId="5B929061" w14:textId="77777777">
        <w:trPr>
          <w:trHeight w:val="309"/>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DD5E59" w14:textId="77777777" w:rsidR="00154E32" w:rsidRDefault="00A43E04">
            <w:pPr>
              <w:pStyle w:val="P68B1DB1-Normal11"/>
              <w:spacing w:line="276" w:lineRule="auto"/>
              <w:jc w:val="center"/>
              <w:rPr>
                <w:noProof/>
              </w:rPr>
            </w:pPr>
            <w:r>
              <w:rPr>
                <w:noProof/>
              </w:rPr>
              <w:t>M2C1–9</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3795C3D" w14:textId="77777777" w:rsidR="00154E32" w:rsidRDefault="00A43E04">
            <w:pPr>
              <w:pStyle w:val="P68B1DB1-Normal11"/>
              <w:spacing w:line="276" w:lineRule="auto"/>
              <w:jc w:val="center"/>
              <w:rPr>
                <w:noProof/>
              </w:rPr>
            </w:pPr>
            <w:r>
              <w:rPr>
                <w:noProof/>
              </w:rPr>
              <w:t>Naložba 2.2: Kmetijsko-sonalni park</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41D47D2E" w14:textId="77777777" w:rsidR="00154E32" w:rsidRDefault="00A43E04">
            <w:pPr>
              <w:pStyle w:val="P68B1DB1-Normal11"/>
              <w:spacing w:line="276" w:lineRule="auto"/>
              <w:jc w:val="center"/>
              <w:rPr>
                <w:noProof/>
              </w:rPr>
            </w:pPr>
            <w:r>
              <w:rPr>
                <w:noProof/>
              </w:rPr>
              <w:t>Tarča</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0FD33291" w14:textId="77777777" w:rsidR="00154E32" w:rsidRDefault="00A43E04">
            <w:pPr>
              <w:pStyle w:val="P68B1DB1-Normal11"/>
              <w:spacing w:line="276" w:lineRule="auto"/>
              <w:jc w:val="center"/>
              <w:rPr>
                <w:noProof/>
              </w:rPr>
            </w:pPr>
            <w:r>
              <w:rPr>
                <w:noProof/>
              </w:rPr>
              <w:t>Agrovoltaična proizvodnja električne energije</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3447AAE2" w14:textId="77777777" w:rsidR="00154E32" w:rsidRDefault="00A43E04">
            <w:pPr>
              <w:pStyle w:val="P68B1DB1-Normal11"/>
              <w:spacing w:line="276" w:lineRule="auto"/>
              <w:jc w:val="center"/>
              <w:rPr>
                <w:noProof/>
              </w:rPr>
            </w:pPr>
            <w:r>
              <w:rPr>
                <w:noProof/>
              </w:rPr>
              <w:t>JIH NI</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3C738182" w14:textId="77777777" w:rsidR="00154E32" w:rsidRDefault="00A43E04">
            <w:pPr>
              <w:pStyle w:val="P68B1DB1-Normal11"/>
              <w:spacing w:line="276" w:lineRule="auto"/>
              <w:jc w:val="center"/>
              <w:rPr>
                <w:noProof/>
              </w:rPr>
            </w:pPr>
            <w:r>
              <w:rPr>
                <w:noProof/>
              </w:rPr>
              <w:t>kW</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363C3729" w14:textId="77777777" w:rsidR="00154E32" w:rsidRDefault="00A43E04">
            <w:pPr>
              <w:pStyle w:val="P68B1DB1-Normal11"/>
              <w:spacing w:line="276" w:lineRule="auto"/>
              <w:jc w:val="center"/>
              <w:rPr>
                <w:noProof/>
              </w:rPr>
            </w:pPr>
            <w:r>
              <w:rPr>
                <w:noProof/>
              </w:rPr>
              <w:t>0</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3F1CFF0E" w14:textId="43F64FD0" w:rsidR="00154E32" w:rsidRDefault="00A43E04">
            <w:pPr>
              <w:pStyle w:val="P68B1DB1-Normal11"/>
              <w:spacing w:line="276" w:lineRule="auto"/>
              <w:jc w:val="center"/>
              <w:rPr>
                <w:noProof/>
              </w:rPr>
            </w:pPr>
            <w:r>
              <w:rPr>
                <w:noProof/>
              </w:rPr>
              <w:t>1 383 000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567189C9" w14:textId="77777777" w:rsidR="00154E32" w:rsidRDefault="00A43E04">
            <w:pPr>
              <w:pStyle w:val="P68B1DB1-Normal11"/>
              <w:spacing w:line="276" w:lineRule="auto"/>
              <w:jc w:val="center"/>
              <w:rPr>
                <w:noProof/>
              </w:rPr>
            </w:pPr>
            <w:r>
              <w:rPr>
                <w:noProof/>
              </w:rPr>
              <w:t>Q2</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5CBFCBB8" w14:textId="77777777" w:rsidR="00154E32" w:rsidRDefault="00A43E04">
            <w:pPr>
              <w:pStyle w:val="P68B1DB1-Normal11"/>
              <w:spacing w:line="276" w:lineRule="auto"/>
              <w:jc w:val="center"/>
              <w:rPr>
                <w:noProof/>
              </w:rPr>
            </w:pPr>
            <w:r>
              <w:rPr>
                <w:noProof/>
              </w:rPr>
              <w:t>2026</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44F73AAB" w14:textId="489AB71C" w:rsidR="00154E32" w:rsidRDefault="00A43E04">
            <w:pPr>
              <w:pStyle w:val="P68B1DB1-Normal12"/>
              <w:spacing w:line="276" w:lineRule="auto"/>
              <w:rPr>
                <w:rFonts w:ascii="Arial Narrow" w:hAnsi="Arial Narrow"/>
                <w:noProof/>
              </w:rPr>
            </w:pPr>
            <w:r>
              <w:rPr>
                <w:rFonts w:ascii="Arial Narrow" w:hAnsi="Arial Narrow"/>
                <w:noProof/>
              </w:rPr>
              <w:t>Nameščena zmogljivost za proizvodnjo sončne energije vsaj 1383000 kW</w:t>
            </w:r>
          </w:p>
        </w:tc>
      </w:tr>
      <w:tr w:rsidR="00154E32" w14:paraId="7A9F6518" w14:textId="77777777">
        <w:trPr>
          <w:trHeight w:val="309"/>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B9C669" w14:textId="77777777" w:rsidR="00154E32" w:rsidRDefault="00A43E04">
            <w:pPr>
              <w:pStyle w:val="P68B1DB1-Normal11"/>
              <w:spacing w:line="276" w:lineRule="auto"/>
              <w:jc w:val="center"/>
              <w:rPr>
                <w:noProof/>
              </w:rPr>
            </w:pPr>
            <w:r>
              <w:rPr>
                <w:noProof/>
              </w:rPr>
              <w:t>M2C1–10</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1FD7693" w14:textId="77777777" w:rsidR="00154E32" w:rsidRDefault="00A43E04">
            <w:pPr>
              <w:pStyle w:val="P68B1DB1-Normal11"/>
              <w:spacing w:line="276" w:lineRule="auto"/>
              <w:jc w:val="center"/>
              <w:rPr>
                <w:noProof/>
              </w:rPr>
            </w:pPr>
            <w:r>
              <w:rPr>
                <w:noProof/>
              </w:rPr>
              <w:t>Naložba 2.1: Logistični načrt za agroživilski, ribiški in akvakulturni sektor, gozdarstvo, cvetličarstvo in odraščanje rastlin</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43BAA35E" w14:textId="77777777" w:rsidR="00154E32" w:rsidRDefault="00A43E04">
            <w:pPr>
              <w:pStyle w:val="P68B1DB1-Normal11"/>
              <w:spacing w:line="276" w:lineRule="auto"/>
              <w:jc w:val="center"/>
              <w:rPr>
                <w:noProof/>
              </w:rPr>
            </w:pPr>
            <w:r>
              <w:rPr>
                <w:noProof/>
              </w:rPr>
              <w:t>Tarča</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6A1A2F4D" w14:textId="77777777" w:rsidR="00154E32" w:rsidRDefault="00A43E04">
            <w:pPr>
              <w:pStyle w:val="P68B1DB1-Normal11"/>
              <w:spacing w:line="276" w:lineRule="auto"/>
              <w:jc w:val="center"/>
              <w:rPr>
                <w:noProof/>
              </w:rPr>
            </w:pPr>
            <w:r>
              <w:rPr>
                <w:noProof/>
              </w:rPr>
              <w:t>Ukrepi za izboljšanje logistike v agroživilskem, ribiškem in akvakulturnem sektorju, gozdarskem in cvetličarskem sektorju ter sektorju odraščanja rastlin</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09959B3B" w14:textId="77777777" w:rsidR="00154E32" w:rsidRDefault="00A43E04">
            <w:pPr>
              <w:pStyle w:val="P68B1DB1-Normal11"/>
              <w:spacing w:line="276" w:lineRule="auto"/>
              <w:jc w:val="center"/>
              <w:rPr>
                <w:noProof/>
              </w:rPr>
            </w:pPr>
            <w:r>
              <w:rPr>
                <w:noProof/>
              </w:rPr>
              <w:t>JIH NI</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4B70DC62" w14:textId="77777777" w:rsidR="00154E32" w:rsidRDefault="00A43E04">
            <w:pPr>
              <w:pStyle w:val="P68B1DB1-Normal11"/>
              <w:spacing w:line="276" w:lineRule="auto"/>
              <w:jc w:val="center"/>
              <w:rPr>
                <w:noProof/>
              </w:rPr>
            </w:pPr>
            <w:r>
              <w:rPr>
                <w:noProof/>
              </w:rPr>
              <w:t>Število</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43C36D0C" w14:textId="77777777" w:rsidR="00154E32" w:rsidRDefault="00A43E04">
            <w:pPr>
              <w:pStyle w:val="P68B1DB1-Normal11"/>
              <w:spacing w:line="276" w:lineRule="auto"/>
              <w:jc w:val="center"/>
              <w:rPr>
                <w:noProof/>
              </w:rPr>
            </w:pPr>
            <w:r>
              <w:rPr>
                <w:noProof/>
              </w:rPr>
              <w:t>0</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3B3B5035" w14:textId="77777777" w:rsidR="00154E32" w:rsidRDefault="00A43E04">
            <w:pPr>
              <w:pStyle w:val="P68B1DB1-Normal11"/>
              <w:spacing w:line="276" w:lineRule="auto"/>
              <w:jc w:val="center"/>
              <w:rPr>
                <w:noProof/>
              </w:rPr>
            </w:pPr>
            <w:r>
              <w:rPr>
                <w:noProof/>
              </w:rPr>
              <w:t>48</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6D80DBD7" w14:textId="77777777" w:rsidR="00154E32" w:rsidRDefault="00A43E04">
            <w:pPr>
              <w:pStyle w:val="P68B1DB1-Normal11"/>
              <w:spacing w:line="276" w:lineRule="auto"/>
              <w:jc w:val="center"/>
              <w:rPr>
                <w:noProof/>
              </w:rPr>
            </w:pPr>
            <w:r>
              <w:rPr>
                <w:noProof/>
              </w:rPr>
              <w:t>Q2</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037EB81A" w14:textId="77777777" w:rsidR="00154E32" w:rsidRDefault="00A43E04">
            <w:pPr>
              <w:pStyle w:val="P68B1DB1-Normal11"/>
              <w:spacing w:line="276" w:lineRule="auto"/>
              <w:jc w:val="center"/>
              <w:rPr>
                <w:noProof/>
              </w:rPr>
            </w:pPr>
            <w:r>
              <w:rPr>
                <w:noProof/>
              </w:rPr>
              <w:t>2026</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2F696DA0" w14:textId="77777777" w:rsidR="00154E32" w:rsidRDefault="00A43E04">
            <w:pPr>
              <w:pStyle w:val="P68B1DB1-Normal11"/>
              <w:spacing w:line="276" w:lineRule="auto"/>
              <w:rPr>
                <w:noProof/>
              </w:rPr>
            </w:pPr>
            <w:r>
              <w:rPr>
                <w:noProof/>
              </w:rPr>
              <w:t>Vsaj 48 ukrepov za izboljšanje logistike v agroživilskem, ribiškem in akvakulturnem sektorju, gozdarskem in cvetličarskem sektorju ter sektorju odraščanja rastlin.</w:t>
            </w:r>
          </w:p>
        </w:tc>
      </w:tr>
      <w:tr w:rsidR="00154E32" w14:paraId="0FDFBF26" w14:textId="77777777">
        <w:trPr>
          <w:trHeight w:val="309"/>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F63EFB" w14:textId="77777777" w:rsidR="00154E32" w:rsidRDefault="00A43E04">
            <w:pPr>
              <w:pStyle w:val="P68B1DB1-Normal11"/>
              <w:spacing w:line="276" w:lineRule="auto"/>
              <w:jc w:val="center"/>
              <w:rPr>
                <w:noProof/>
              </w:rPr>
            </w:pPr>
            <w:r>
              <w:rPr>
                <w:noProof/>
              </w:rPr>
              <w:t>M2C1–11</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34DB075D" w14:textId="77777777" w:rsidR="00154E32" w:rsidRDefault="00A43E04">
            <w:pPr>
              <w:pStyle w:val="P68B1DB1-Normal11"/>
              <w:spacing w:line="276" w:lineRule="auto"/>
              <w:jc w:val="center"/>
              <w:rPr>
                <w:noProof/>
              </w:rPr>
            </w:pPr>
            <w:r>
              <w:rPr>
                <w:noProof/>
              </w:rPr>
              <w:t>Naložba 3.3: Kultura in ozaveščenost o okoljskih temah in izzivih</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1B64F01" w14:textId="77777777" w:rsidR="00154E32" w:rsidRDefault="00A43E04">
            <w:pPr>
              <w:pStyle w:val="P68B1DB1-Normal11"/>
              <w:spacing w:line="276" w:lineRule="auto"/>
              <w:jc w:val="center"/>
              <w:rPr>
                <w:noProof/>
              </w:rPr>
            </w:pPr>
            <w:r>
              <w:rPr>
                <w:noProof/>
              </w:rPr>
              <w:t>Mejnik</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A01B97F" w14:textId="77777777" w:rsidR="00154E32" w:rsidRDefault="00A43E04">
            <w:pPr>
              <w:pStyle w:val="P68B1DB1-Normal11"/>
              <w:spacing w:line="276" w:lineRule="auto"/>
              <w:jc w:val="center"/>
              <w:rPr>
                <w:noProof/>
              </w:rPr>
            </w:pPr>
            <w:r>
              <w:rPr>
                <w:noProof/>
              </w:rPr>
              <w:t>Vzpostavitev spletne platforme in pogodb z avtorji</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0F3618B4" w14:textId="77777777" w:rsidR="00154E32" w:rsidRDefault="00A43E04">
            <w:pPr>
              <w:pStyle w:val="P68B1DB1-Normal11"/>
              <w:spacing w:line="276" w:lineRule="auto"/>
              <w:jc w:val="center"/>
              <w:rPr>
                <w:noProof/>
              </w:rPr>
            </w:pPr>
            <w:r>
              <w:rPr>
                <w:noProof/>
              </w:rPr>
              <w:t>Obvestilo o podpisu pogodbe s proizvajalci vsebin</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295E6385" w14:textId="77777777" w:rsidR="00154E32" w:rsidRDefault="00A43E04">
            <w:pPr>
              <w:pStyle w:val="P68B1DB1-Normal11"/>
              <w:spacing w:line="276" w:lineRule="auto"/>
              <w:jc w:val="center"/>
              <w:rPr>
                <w:noProof/>
              </w:rPr>
            </w:pPr>
            <w:r>
              <w:rPr>
                <w:noProof/>
              </w:rPr>
              <w:t>JIH NI</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251CACA6" w14:textId="77777777" w:rsidR="00154E32" w:rsidRDefault="00A43E04">
            <w:pPr>
              <w:pStyle w:val="P68B1DB1-Normal11"/>
              <w:spacing w:line="276" w:lineRule="auto"/>
              <w:jc w:val="center"/>
              <w:rPr>
                <w:noProof/>
              </w:rPr>
            </w:pPr>
            <w:r>
              <w:rPr>
                <w:noProof/>
              </w:rPr>
              <w:t>JIH NI</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58183325" w14:textId="77777777" w:rsidR="00154E32" w:rsidRDefault="00A43E04">
            <w:pPr>
              <w:pStyle w:val="P68B1DB1-Normal11"/>
              <w:spacing w:line="276" w:lineRule="auto"/>
              <w:jc w:val="center"/>
              <w:rPr>
                <w:noProof/>
              </w:rPr>
            </w:pPr>
            <w:r>
              <w:rPr>
                <w:noProof/>
              </w:rPr>
              <w:t>JIH NI</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336F004A" w14:textId="77777777" w:rsidR="00154E32" w:rsidRDefault="00A43E04">
            <w:pPr>
              <w:pStyle w:val="P68B1DB1-Normal11"/>
              <w:spacing w:line="276" w:lineRule="auto"/>
              <w:jc w:val="center"/>
              <w:rPr>
                <w:noProof/>
              </w:rPr>
            </w:pPr>
            <w:r>
              <w:rPr>
                <w:noProof/>
              </w:rPr>
              <w:t>Q2</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446AD54C" w14:textId="77777777" w:rsidR="00154E32" w:rsidRDefault="00A43E04">
            <w:pPr>
              <w:pStyle w:val="P68B1DB1-Normal11"/>
              <w:spacing w:line="276" w:lineRule="auto"/>
              <w:jc w:val="center"/>
              <w:rPr>
                <w:noProof/>
              </w:rPr>
            </w:pPr>
            <w:r>
              <w:rPr>
                <w:noProof/>
              </w:rPr>
              <w:t>2022</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5185AA36" w14:textId="6B8B25F8" w:rsidR="00154E32" w:rsidRDefault="00A43E04">
            <w:pPr>
              <w:pStyle w:val="P68B1DB1-Normal11"/>
              <w:spacing w:line="276" w:lineRule="auto"/>
              <w:rPr>
                <w:noProof/>
              </w:rPr>
            </w:pPr>
            <w:r>
              <w:rPr>
                <w:noProof/>
              </w:rPr>
              <w:t>Javna vzpostavitev spletne platforme in podpis končnih sporazumov s „proizvajalci vsebin“. Projekti so namenjeni razvoju vsaj 180 poddaj, videoposnetkov in video vsebin za posamezne šole, ki so bili pripravljeni in na voljo na spletni platformi o okoljskem prehodu.</w:t>
            </w:r>
          </w:p>
        </w:tc>
      </w:tr>
      <w:tr w:rsidR="00154E32" w14:paraId="0D8E409E" w14:textId="77777777">
        <w:trPr>
          <w:trHeight w:val="309"/>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B4CD01" w14:textId="77777777" w:rsidR="00154E32" w:rsidRDefault="00A43E04">
            <w:pPr>
              <w:pStyle w:val="P68B1DB1-Normal11"/>
              <w:spacing w:line="276" w:lineRule="auto"/>
              <w:jc w:val="center"/>
              <w:rPr>
                <w:noProof/>
              </w:rPr>
            </w:pPr>
            <w:r>
              <w:rPr>
                <w:noProof/>
              </w:rPr>
              <w:t>M2C1–12</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54295BAE" w14:textId="77777777" w:rsidR="00154E32" w:rsidRDefault="00A43E04">
            <w:pPr>
              <w:pStyle w:val="P68B1DB1-Normal11"/>
              <w:spacing w:line="276" w:lineRule="auto"/>
              <w:jc w:val="center"/>
              <w:rPr>
                <w:noProof/>
              </w:rPr>
            </w:pPr>
            <w:r>
              <w:rPr>
                <w:noProof/>
              </w:rPr>
              <w:t>Naložba 3.3: Kultura in ozaveščenost o okoljskih temah in izzivih</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1AF0484" w14:textId="77777777" w:rsidR="00154E32" w:rsidRDefault="00A43E04">
            <w:pPr>
              <w:pStyle w:val="P68B1DB1-Normal11"/>
              <w:spacing w:line="276" w:lineRule="auto"/>
              <w:jc w:val="center"/>
              <w:rPr>
                <w:noProof/>
              </w:rPr>
            </w:pPr>
            <w:r>
              <w:rPr>
                <w:noProof/>
              </w:rPr>
              <w:t>Tarča</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424D21C8" w14:textId="77777777" w:rsidR="00154E32" w:rsidRDefault="00A43E04">
            <w:pPr>
              <w:pStyle w:val="P68B1DB1-Normal11"/>
              <w:spacing w:line="276" w:lineRule="auto"/>
              <w:jc w:val="center"/>
              <w:rPr>
                <w:noProof/>
              </w:rPr>
            </w:pPr>
            <w:r>
              <w:rPr>
                <w:noProof/>
              </w:rPr>
              <w:t>Avdiovizualno gradivo o okoljskem prehodu</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2415C9BA" w14:textId="77777777" w:rsidR="00154E32" w:rsidRDefault="00A43E04">
            <w:pPr>
              <w:pStyle w:val="P68B1DB1-Normal11"/>
              <w:spacing w:line="276" w:lineRule="auto"/>
              <w:jc w:val="center"/>
              <w:rPr>
                <w:noProof/>
              </w:rPr>
            </w:pPr>
            <w:r>
              <w:rPr>
                <w:noProof/>
              </w:rPr>
              <w:t>JIH NI</w:t>
            </w:r>
          </w:p>
        </w:tc>
        <w:tc>
          <w:tcPr>
            <w:tcW w:w="1180" w:type="dxa"/>
            <w:tcBorders>
              <w:top w:val="single" w:sz="4" w:space="0" w:color="auto"/>
              <w:left w:val="nil"/>
              <w:bottom w:val="single" w:sz="4" w:space="0" w:color="auto"/>
              <w:right w:val="single" w:sz="4" w:space="0" w:color="auto"/>
            </w:tcBorders>
            <w:shd w:val="clear" w:color="auto" w:fill="C6EFCE"/>
            <w:noWrap/>
            <w:vAlign w:val="center"/>
          </w:tcPr>
          <w:p w14:paraId="72E8B6C4" w14:textId="77777777" w:rsidR="00154E32" w:rsidRDefault="00A43E04">
            <w:pPr>
              <w:pStyle w:val="P68B1DB1-Normal11"/>
              <w:spacing w:line="276" w:lineRule="auto"/>
              <w:jc w:val="center"/>
              <w:rPr>
                <w:noProof/>
              </w:rPr>
            </w:pPr>
            <w:r>
              <w:rPr>
                <w:noProof/>
              </w:rPr>
              <w:t>Število</w:t>
            </w:r>
          </w:p>
        </w:tc>
        <w:tc>
          <w:tcPr>
            <w:tcW w:w="1159" w:type="dxa"/>
            <w:tcBorders>
              <w:top w:val="single" w:sz="4" w:space="0" w:color="auto"/>
              <w:left w:val="nil"/>
              <w:bottom w:val="single" w:sz="4" w:space="0" w:color="auto"/>
              <w:right w:val="single" w:sz="4" w:space="0" w:color="auto"/>
            </w:tcBorders>
            <w:shd w:val="clear" w:color="auto" w:fill="C6EFCE"/>
            <w:noWrap/>
            <w:vAlign w:val="center"/>
          </w:tcPr>
          <w:p w14:paraId="64B86101" w14:textId="77777777" w:rsidR="00154E32" w:rsidRDefault="00A43E04">
            <w:pPr>
              <w:pStyle w:val="P68B1DB1-Normal11"/>
              <w:spacing w:line="276" w:lineRule="auto"/>
              <w:jc w:val="center"/>
              <w:rPr>
                <w:noProof/>
              </w:rPr>
            </w:pPr>
            <w:r>
              <w:rPr>
                <w:noProof/>
              </w:rPr>
              <w:t>0</w:t>
            </w:r>
          </w:p>
        </w:tc>
        <w:tc>
          <w:tcPr>
            <w:tcW w:w="1347" w:type="dxa"/>
            <w:tcBorders>
              <w:top w:val="single" w:sz="4" w:space="0" w:color="auto"/>
              <w:left w:val="nil"/>
              <w:bottom w:val="single" w:sz="4" w:space="0" w:color="auto"/>
              <w:right w:val="single" w:sz="4" w:space="0" w:color="auto"/>
            </w:tcBorders>
            <w:shd w:val="clear" w:color="auto" w:fill="C6EFCE"/>
            <w:noWrap/>
            <w:vAlign w:val="center"/>
          </w:tcPr>
          <w:p w14:paraId="106E6179" w14:textId="77777777" w:rsidR="00154E32" w:rsidRDefault="00A43E04">
            <w:pPr>
              <w:pStyle w:val="P68B1DB1-Normal11"/>
              <w:spacing w:line="276" w:lineRule="auto"/>
              <w:jc w:val="center"/>
              <w:rPr>
                <w:noProof/>
              </w:rPr>
            </w:pPr>
            <w:r>
              <w:rPr>
                <w:noProof/>
              </w:rPr>
              <w:t>180</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759E06F7" w14:textId="77777777" w:rsidR="00154E32" w:rsidRDefault="00A43E04">
            <w:pPr>
              <w:pStyle w:val="P68B1DB1-Normal11"/>
              <w:spacing w:line="276" w:lineRule="auto"/>
              <w:jc w:val="center"/>
              <w:rPr>
                <w:noProof/>
              </w:rPr>
            </w:pPr>
            <w:r>
              <w:rPr>
                <w:noProof/>
              </w:rPr>
              <w:t>Q2</w:t>
            </w:r>
          </w:p>
        </w:tc>
        <w:tc>
          <w:tcPr>
            <w:tcW w:w="680" w:type="dxa"/>
            <w:tcBorders>
              <w:top w:val="single" w:sz="4" w:space="0" w:color="auto"/>
              <w:left w:val="nil"/>
              <w:bottom w:val="single" w:sz="4" w:space="0" w:color="auto"/>
              <w:right w:val="single" w:sz="4" w:space="0" w:color="auto"/>
            </w:tcBorders>
            <w:shd w:val="clear" w:color="auto" w:fill="C6EFCE"/>
            <w:noWrap/>
            <w:vAlign w:val="center"/>
          </w:tcPr>
          <w:p w14:paraId="4A7E31C8" w14:textId="77777777" w:rsidR="00154E32" w:rsidRDefault="00A43E04">
            <w:pPr>
              <w:pStyle w:val="P68B1DB1-Normal11"/>
              <w:spacing w:line="276" w:lineRule="auto"/>
              <w:jc w:val="center"/>
              <w:rPr>
                <w:noProof/>
              </w:rPr>
            </w:pPr>
            <w:r>
              <w:rPr>
                <w:noProof/>
              </w:rPr>
              <w:t>2026</w:t>
            </w:r>
          </w:p>
        </w:tc>
        <w:tc>
          <w:tcPr>
            <w:tcW w:w="2443" w:type="dxa"/>
            <w:tcBorders>
              <w:top w:val="single" w:sz="4" w:space="0" w:color="auto"/>
              <w:left w:val="nil"/>
              <w:bottom w:val="single" w:sz="4" w:space="0" w:color="auto"/>
              <w:right w:val="single" w:sz="4" w:space="0" w:color="auto"/>
            </w:tcBorders>
            <w:shd w:val="clear" w:color="auto" w:fill="C6EFCE"/>
            <w:noWrap/>
            <w:vAlign w:val="center"/>
          </w:tcPr>
          <w:p w14:paraId="6648AFD4" w14:textId="77777777" w:rsidR="00154E32" w:rsidRDefault="00A43E04">
            <w:pPr>
              <w:pStyle w:val="P68B1DB1-Normal11"/>
              <w:spacing w:line="276" w:lineRule="auto"/>
              <w:rPr>
                <w:noProof/>
              </w:rPr>
            </w:pPr>
            <w:r>
              <w:rPr>
                <w:noProof/>
              </w:rPr>
              <w:t>Vsaj 180 poddaj, videoposnetkov in video vsebin v zvezi s posebnimi šolami, ki so bili pripravljeni in v živo ustvarjeni na spletni platformi</w:t>
            </w:r>
          </w:p>
        </w:tc>
      </w:tr>
    </w:tbl>
    <w:p w14:paraId="2551B6C1" w14:textId="77777777" w:rsidR="00154E32" w:rsidRDefault="00A43E04">
      <w:pPr>
        <w:spacing w:before="120" w:after="120"/>
        <w:ind w:left="709"/>
        <w:jc w:val="both"/>
        <w:rPr>
          <w:noProof/>
        </w:rPr>
      </w:pPr>
      <w:r>
        <w:rPr>
          <w:noProof/>
        </w:rPr>
        <w:br/>
      </w:r>
    </w:p>
    <w:p w14:paraId="4ADCDD49" w14:textId="77777777" w:rsidR="00154E32" w:rsidRDefault="00154E32">
      <w:pPr>
        <w:spacing w:before="120" w:after="120"/>
        <w:ind w:left="709"/>
        <w:jc w:val="both"/>
        <w:rPr>
          <w:noProof/>
        </w:rPr>
        <w:sectPr w:rsidR="00154E32" w:rsidSect="001354D1">
          <w:headerReference w:type="even" r:id="rId98"/>
          <w:headerReference w:type="default" r:id="rId99"/>
          <w:footerReference w:type="even" r:id="rId100"/>
          <w:footerReference w:type="default" r:id="rId101"/>
          <w:headerReference w:type="first" r:id="rId102"/>
          <w:footerReference w:type="first" r:id="rId103"/>
          <w:pgSz w:w="16838" w:h="11907" w:orient="landscape"/>
          <w:pgMar w:top="1134" w:right="1134" w:bottom="1134" w:left="1134" w:header="567" w:footer="567" w:gutter="0"/>
          <w:cols w:space="720"/>
          <w:docGrid w:linePitch="360"/>
        </w:sectPr>
      </w:pPr>
    </w:p>
    <w:p w14:paraId="162204D3" w14:textId="77777777" w:rsidR="00154E32" w:rsidRDefault="00A43E04">
      <w:pPr>
        <w:pStyle w:val="Heading3"/>
        <w:numPr>
          <w:ilvl w:val="0"/>
          <w:numId w:val="0"/>
        </w:numPr>
        <w:ind w:left="850" w:hanging="850"/>
        <w:rPr>
          <w:b/>
          <w:i w:val="0"/>
          <w:noProof/>
          <w:color w:val="4F81BD" w:themeColor="accent1"/>
          <w:u w:val="single"/>
        </w:rPr>
      </w:pPr>
      <w:r>
        <w:rPr>
          <w:b/>
          <w:i w:val="0"/>
          <w:noProof/>
          <w:u w:val="single"/>
        </w:rPr>
        <w:t xml:space="preserve">D.3. </w:t>
      </w:r>
      <w:r>
        <w:rPr>
          <w:noProof/>
        </w:rPr>
        <w:tab/>
      </w:r>
      <w:r>
        <w:rPr>
          <w:b/>
          <w:i w:val="0"/>
          <w:noProof/>
          <w:u w:val="single"/>
        </w:rPr>
        <w:t xml:space="preserve">Opis reform in naložb za posojilo </w:t>
      </w:r>
    </w:p>
    <w:p w14:paraId="321FDB2F" w14:textId="77777777" w:rsidR="00154E32" w:rsidRDefault="00A43E04">
      <w:pPr>
        <w:pStyle w:val="P68B1DB1-Normal2"/>
        <w:spacing w:before="120" w:after="120"/>
        <w:jc w:val="both"/>
        <w:rPr>
          <w:noProof/>
        </w:rPr>
      </w:pPr>
      <w:r>
        <w:rPr>
          <w:noProof/>
        </w:rPr>
        <w:t>Reforma 1.2 – Nacionalni program za ravnanje z odpadki</w:t>
      </w:r>
    </w:p>
    <w:p w14:paraId="0B286D53" w14:textId="77777777" w:rsidR="00154E32" w:rsidRDefault="00A43E04">
      <w:pPr>
        <w:spacing w:before="120" w:after="120"/>
        <w:jc w:val="both"/>
        <w:rPr>
          <w:noProof/>
        </w:rPr>
      </w:pPr>
      <w:r>
        <w:rPr>
          <w:noProof/>
        </w:rPr>
        <w:t xml:space="preserve">Ta reforma vključuje sprejetje obsežnega nacionalnega programa za ravnanje z odpadki, katerega cilj so najvišje ravni priprave za ponovno uporabo, recikliranje in predelavo odpadkov, prilagoditev omrežja obratov, potrebnih za integrirano ravnanje z odpadki, zmanjšanje končnega odstranjevanja kot končne in preostale možnosti, vzpostavitev sistemov spremljanja, preprečevanje začetka novih postopkov za ugotavljanje kršitev proti Italiji, boj proti nizkemu zbiranju odpadkov, odvračanje od odlaganja odpadkov na odlagališčih in zagotavljanje dopolnjevanja z regionalnimi programi ravnanja z odpadki, omogočanje doseganja ciljev evropske in nacionalne zakonodaje o odpadkih ter boj proti nezakonitemu odlaganju odpadkov in sežiganju na prostem. </w:t>
      </w:r>
    </w:p>
    <w:p w14:paraId="28F6B510" w14:textId="77777777" w:rsidR="00154E32" w:rsidRDefault="00A43E04">
      <w:pPr>
        <w:pStyle w:val="P68B1DB1-Normal2"/>
        <w:spacing w:before="120" w:after="120"/>
        <w:jc w:val="both"/>
        <w:rPr>
          <w:noProof/>
        </w:rPr>
      </w:pPr>
      <w:r>
        <w:rPr>
          <w:noProof/>
        </w:rPr>
        <w:t>Naložba 1.1 – Izvajanje novih obratov za ravnanje z odpadki in posodobitev obstoječih obratov</w:t>
      </w:r>
    </w:p>
    <w:p w14:paraId="1B8CEB39" w14:textId="3E7A710E" w:rsidR="00154E32" w:rsidRDefault="00A43E04">
      <w:pPr>
        <w:spacing w:before="120" w:after="120"/>
        <w:jc w:val="both"/>
        <w:rPr>
          <w:noProof/>
        </w:rPr>
      </w:pPr>
      <w:r>
        <w:rPr>
          <w:noProof/>
        </w:rPr>
        <w:t>Ta naložba zajema izboljšanje in mehanizacijo ločene mreže občin za zbiranje odpadkov, gradnjo novih obratov za obdelavo/recikliranje organskih odpadkov, embalaže iz več materialov, steklene in papirne embalaže ter inovativnih obratov za obdelavo/recikliranje, ki obravnavajo osebno odstranjevanje adsorbentov, blato odpadnih voda, usnjene odpadke in tekstilne odpadke.</w:t>
      </w:r>
    </w:p>
    <w:p w14:paraId="0828BD55" w14:textId="77777777" w:rsidR="00154E32" w:rsidRDefault="00A43E04">
      <w:pPr>
        <w:pStyle w:val="P68B1DB1-Normal2"/>
        <w:spacing w:before="120" w:after="120"/>
        <w:jc w:val="both"/>
        <w:rPr>
          <w:noProof/>
        </w:rPr>
      </w:pPr>
      <w:r>
        <w:rPr>
          <w:noProof/>
        </w:rPr>
        <w:t>Naložba 1.2 – Krožno gospodarstvo: vodilni projekti</w:t>
      </w:r>
    </w:p>
    <w:p w14:paraId="1DF40E45" w14:textId="77777777" w:rsidR="00154E32" w:rsidRDefault="00A43E04">
      <w:pPr>
        <w:spacing w:before="120" w:after="120"/>
        <w:jc w:val="both"/>
        <w:rPr>
          <w:noProof/>
        </w:rPr>
      </w:pPr>
      <w:r>
        <w:rPr>
          <w:noProof/>
        </w:rPr>
        <w:t>Ta naložba zajema podporo izboljšanju omrežja za ločeno zbiranje, tudi z digitalizacijo procesov in/ali logistike, ter obratov za obdelavo/recikliranje za naslednje sektorje:</w:t>
      </w:r>
    </w:p>
    <w:p w14:paraId="36D41CDF" w14:textId="77777777" w:rsidR="00154E32" w:rsidRDefault="00A43E04">
      <w:pPr>
        <w:numPr>
          <w:ilvl w:val="0"/>
          <w:numId w:val="62"/>
        </w:numPr>
        <w:spacing w:before="120" w:after="120" w:line="259" w:lineRule="auto"/>
        <w:ind w:left="360"/>
        <w:contextualSpacing/>
        <w:jc w:val="both"/>
        <w:rPr>
          <w:noProof/>
        </w:rPr>
      </w:pPr>
      <w:r>
        <w:rPr>
          <w:noProof/>
        </w:rPr>
        <w:t>Odpadna električna in elektronska oprema (OEEO), vključno z lopaticami vetrnih turbin in fotonapetostnimi paneli;</w:t>
      </w:r>
    </w:p>
    <w:p w14:paraId="02646C82" w14:textId="77777777" w:rsidR="00154E32" w:rsidRDefault="00A43E04">
      <w:pPr>
        <w:numPr>
          <w:ilvl w:val="0"/>
          <w:numId w:val="62"/>
        </w:numPr>
        <w:spacing w:before="120" w:after="120" w:line="259" w:lineRule="auto"/>
        <w:ind w:left="360"/>
        <w:contextualSpacing/>
        <w:jc w:val="both"/>
        <w:rPr>
          <w:noProof/>
        </w:rPr>
      </w:pPr>
      <w:r>
        <w:rPr>
          <w:noProof/>
        </w:rPr>
        <w:t>Industrija papirja/papirnih kartonov;</w:t>
      </w:r>
    </w:p>
    <w:p w14:paraId="61A3745E" w14:textId="77777777" w:rsidR="00154E32" w:rsidRDefault="00A43E04">
      <w:pPr>
        <w:numPr>
          <w:ilvl w:val="0"/>
          <w:numId w:val="62"/>
        </w:numPr>
        <w:spacing w:before="120" w:after="120" w:line="259" w:lineRule="auto"/>
        <w:ind w:left="360"/>
        <w:contextualSpacing/>
        <w:jc w:val="both"/>
        <w:rPr>
          <w:noProof/>
        </w:rPr>
      </w:pPr>
      <w:r>
        <w:rPr>
          <w:noProof/>
        </w:rPr>
        <w:t>Recikliranje plastičnih odpadkov (mehansko, kemično recikliranje, „plastična vozlišča“), vključno z morskimi plastičnimi odpadki (MPL). Na tem področju je treba spodbujati projekte industrijske simbioze v obliki „krožnih okrožij“, da se zagotovi popolna ponovna uporaba stranskih proizvodov recikliranja plastike in proizvede blago z visoko dodano vrednostjo;</w:t>
      </w:r>
    </w:p>
    <w:p w14:paraId="56B41C61" w14:textId="77777777" w:rsidR="00154E32" w:rsidRDefault="00A43E04">
      <w:pPr>
        <w:numPr>
          <w:ilvl w:val="0"/>
          <w:numId w:val="62"/>
        </w:numPr>
        <w:spacing w:before="120" w:after="120" w:line="259" w:lineRule="auto"/>
        <w:ind w:left="360"/>
        <w:contextualSpacing/>
        <w:jc w:val="both"/>
        <w:rPr>
          <w:noProof/>
        </w:rPr>
      </w:pPr>
      <w:r>
        <w:rPr>
          <w:noProof/>
        </w:rPr>
        <w:t>Tekstilna (v nadaljnjem besedilu: tekstilna vozlišča).</w:t>
      </w:r>
    </w:p>
    <w:p w14:paraId="56B1AB19" w14:textId="77777777" w:rsidR="00154E32" w:rsidRDefault="00A43E04">
      <w:pPr>
        <w:spacing w:before="120" w:after="120"/>
        <w:jc w:val="both"/>
        <w:rPr>
          <w:noProof/>
        </w:rPr>
      </w:pPr>
      <w:r>
        <w:rPr>
          <w:noProof/>
        </w:rPr>
        <w:t xml:space="preserve">Poleg tega se razvije globalni sistem za spremljanje nezakonitega dampinga z uporabo satelitov, brezpilotnih zrakoplovov in tehnologij umetne inteligence (za nadaljnji opis celotnega posredovanja glej naložbo </w:t>
      </w:r>
      <w:r>
        <w:rPr>
          <w:i/>
          <w:noProof/>
        </w:rPr>
        <w:t>1.1 – Izvajanje naprednega in integriranega sistema spremljanja in napovedovanja</w:t>
      </w:r>
      <w:r>
        <w:rPr>
          <w:noProof/>
        </w:rPr>
        <w:t xml:space="preserve"> v komponenti 4 misije 2). Globalni sistem spremljanja skupaj s predlaganimi ukrepi za sledljivost odpadkov podpira lokalne nadzorne organe in organe reda pri preprečevanju, nadzoru in boju proti nezakonitemu odmetavanju in dejavnostim organiziranega kriminala pri ravnanju z odpadki.</w:t>
      </w:r>
    </w:p>
    <w:p w14:paraId="78FDD391" w14:textId="77777777" w:rsidR="00154E32" w:rsidRDefault="00A43E04">
      <w:pPr>
        <w:pStyle w:val="P68B1DB1-Normal2"/>
        <w:spacing w:before="120" w:after="120"/>
        <w:ind w:firstLine="567"/>
        <w:jc w:val="both"/>
        <w:rPr>
          <w:noProof/>
        </w:rPr>
      </w:pPr>
      <w:r>
        <w:rPr>
          <w:noProof/>
        </w:rPr>
        <w:t>Naložba 3.1 – Zeleni otoki</w:t>
      </w:r>
    </w:p>
    <w:p w14:paraId="3CAA5AAF" w14:textId="3B1F26DF" w:rsidR="00154E32" w:rsidRDefault="00A43E04">
      <w:pPr>
        <w:spacing w:before="120" w:after="120"/>
        <w:jc w:val="both"/>
        <w:rPr>
          <w:noProof/>
          <w:color w:val="006100"/>
        </w:rPr>
      </w:pPr>
      <w:r>
        <w:rPr>
          <w:noProof/>
        </w:rPr>
        <w:t>Ta naložba zajema financiranje in izvajanje projektov na področju energije (kot so obnovljivi viri energije, omrežja in energijska učinkovitost), vode (kot je razsoljevanje), prometa (kot so kolesarske poti, brezemisijski avtobusi in čolni) in odpadkov (kot je ločevanje odpadkov) na 19 nepovezanih majhnih otokih. Biometan izpolnjuje merila iz Direktive 2018/2001 (direktiva o spodbujanju uporabe energije iz obnovljivih virov). Proizvajalci biogoriv in biometana ter biogoriv morajo predložiti certifikate (dokazilo o trajnostnosti), ki jih izdajo neodvisni ocenjevalci, kot je določeno v Direktivi 2018/2001. Upravljavec kupi potrdilo o izvoru, ki je sorazmerno s pričakovano porabo goriva.   Da se zagotovi skladnost ukrepa s tehničnimi smernicami za uporabo načela, da se ne škoduje bistveno (2021/C58/01), merila za upravičenost iz projektne naloge za prihodnje razpise za projekte ne vključujejo naslednjega seznama dejavnosti: (I) dejavnosti, povezane s fosilnimi gorivi, vključno z nadaljnjo uporabo</w:t>
      </w:r>
      <w:r>
        <w:rPr>
          <w:rStyle w:val="FootnoteReference"/>
          <w:noProof/>
        </w:rPr>
        <w:footnoteReference w:id="35"/>
      </w:r>
      <w:r>
        <w:rPr>
          <w:noProof/>
        </w:rPr>
        <w:t>; (II) dejavnosti v okviru sistema EU za trgovanje z emisijami (ETS), s katerimi se dosegajo predvidene emisije toplogrednih plinov, ki niso nižje od ustreznih referenčnih vrednosti</w:t>
      </w:r>
      <w:r>
        <w:rPr>
          <w:rStyle w:val="FootnoteReference"/>
          <w:noProof/>
        </w:rPr>
        <w:footnoteReference w:id="36"/>
      </w:r>
      <w:r>
        <w:rPr>
          <w:noProof/>
        </w:rPr>
        <w:t>; (III) dejavnosti, povezane z odlagališči odpadkov, sežigalnicami</w:t>
      </w:r>
      <w:r>
        <w:rPr>
          <w:rStyle w:val="FootnoteReference"/>
          <w:noProof/>
        </w:rPr>
        <w:footnoteReference w:id="37"/>
      </w:r>
      <w:r>
        <w:rPr>
          <w:noProof/>
        </w:rPr>
        <w:t xml:space="preserve"> in napravami za mehansko-biološko obdelavo</w:t>
      </w:r>
      <w:r>
        <w:rPr>
          <w:rStyle w:val="FootnoteReference"/>
          <w:noProof/>
        </w:rPr>
        <w:footnoteReference w:id="38"/>
      </w:r>
      <w:r>
        <w:rPr>
          <w:noProof/>
        </w:rPr>
        <w:t>; ter (iv) dejavnosti, pri katerih lahko dolgotrajno odstranjevanje odpadkov dolgoročno škoduje okolju. Poleg tega se zahteva, da se izberejo samo dejavnosti, ki so skladne z ustrezno okoljsko zakonodajo EU in nacionalno okoljsko zakonodajo.</w:t>
      </w:r>
    </w:p>
    <w:p w14:paraId="6E65D2E6" w14:textId="77777777" w:rsidR="00154E32" w:rsidRDefault="00A43E04">
      <w:pPr>
        <w:pStyle w:val="P68B1DB1-Normal2"/>
        <w:spacing w:before="120" w:after="120"/>
        <w:jc w:val="both"/>
        <w:rPr>
          <w:noProof/>
        </w:rPr>
      </w:pPr>
      <w:r>
        <w:rPr>
          <w:noProof/>
        </w:rPr>
        <w:t>Naložba 3.2 – Zelene skupnosti</w:t>
      </w:r>
    </w:p>
    <w:p w14:paraId="5358ADE6" w14:textId="77777777" w:rsidR="00154E32" w:rsidRDefault="00A43E04">
      <w:pPr>
        <w:spacing w:before="120" w:after="120"/>
        <w:jc w:val="both"/>
        <w:rPr>
          <w:noProof/>
        </w:rPr>
      </w:pPr>
      <w:r>
        <w:rPr>
          <w:noProof/>
        </w:rPr>
        <w:t>Ta naložba zajema podporo podeželskim in gorskim območjem, ki nameravajo uravnoteženo izkoriščati svoje glavne vire (t. i. „zelene skupnosti“) z naložbami, zlasti na naslednjih področjih:</w:t>
      </w:r>
    </w:p>
    <w:p w14:paraId="0C144393" w14:textId="77777777" w:rsidR="00154E32" w:rsidRDefault="00A43E04">
      <w:pPr>
        <w:numPr>
          <w:ilvl w:val="0"/>
          <w:numId w:val="64"/>
        </w:numPr>
        <w:spacing w:before="120" w:after="120" w:line="259" w:lineRule="auto"/>
        <w:ind w:left="360"/>
        <w:contextualSpacing/>
        <w:jc w:val="both"/>
        <w:rPr>
          <w:noProof/>
        </w:rPr>
      </w:pPr>
      <w:r>
        <w:rPr>
          <w:noProof/>
        </w:rPr>
        <w:t>integrirano in certificirano upravljanje kmetijsko-gozdarske dediščine („tudi z izmenjavo dobropisov, ki izhajajo iz zajemanja ogljikovega dioksida, upravljanja biotske raznovrstnosti in certificiranja dobavne verige lesa“);</w:t>
      </w:r>
    </w:p>
    <w:p w14:paraId="00710AEA" w14:textId="77777777" w:rsidR="00154E32" w:rsidRDefault="00A43E04">
      <w:pPr>
        <w:numPr>
          <w:ilvl w:val="0"/>
          <w:numId w:val="64"/>
        </w:numPr>
        <w:spacing w:before="120" w:after="120" w:line="259" w:lineRule="auto"/>
        <w:ind w:left="360"/>
        <w:contextualSpacing/>
        <w:jc w:val="both"/>
        <w:rPr>
          <w:noProof/>
        </w:rPr>
      </w:pPr>
      <w:r>
        <w:rPr>
          <w:noProof/>
        </w:rPr>
        <w:t>integrirano in potrjeno upravljanje vodnih virov;</w:t>
      </w:r>
    </w:p>
    <w:p w14:paraId="0BBC6271" w14:textId="77777777" w:rsidR="00154E32" w:rsidRDefault="00A43E04">
      <w:pPr>
        <w:numPr>
          <w:ilvl w:val="0"/>
          <w:numId w:val="64"/>
        </w:numPr>
        <w:spacing w:before="120" w:after="120" w:line="259" w:lineRule="auto"/>
        <w:ind w:left="360"/>
        <w:contextualSpacing/>
        <w:jc w:val="both"/>
        <w:rPr>
          <w:noProof/>
        </w:rPr>
      </w:pPr>
      <w:r>
        <w:rPr>
          <w:noProof/>
        </w:rPr>
        <w:t>proizvodnjo energije iz lokalnih obnovljivih virov, kot so mikro hidroelektrarne, biomasa, bioplin, vetrna energija, soproizvodnja in biometan;</w:t>
      </w:r>
    </w:p>
    <w:p w14:paraId="55193BB4" w14:textId="77777777" w:rsidR="00154E32" w:rsidRDefault="00A43E04">
      <w:pPr>
        <w:numPr>
          <w:ilvl w:val="0"/>
          <w:numId w:val="64"/>
        </w:numPr>
        <w:spacing w:before="120" w:after="120" w:line="259" w:lineRule="auto"/>
        <w:ind w:left="360"/>
        <w:contextualSpacing/>
        <w:jc w:val="both"/>
        <w:rPr>
          <w:noProof/>
        </w:rPr>
      </w:pPr>
      <w:r>
        <w:rPr>
          <w:noProof/>
        </w:rPr>
        <w:t>razvoj trajnostnega turizma („zmožnost krepitve lokalnih proizvodov“);</w:t>
      </w:r>
    </w:p>
    <w:p w14:paraId="441445A4" w14:textId="77777777" w:rsidR="00154E32" w:rsidRDefault="00A43E04">
      <w:pPr>
        <w:numPr>
          <w:ilvl w:val="0"/>
          <w:numId w:val="64"/>
        </w:numPr>
        <w:spacing w:before="120" w:after="120" w:line="259" w:lineRule="auto"/>
        <w:ind w:left="360"/>
        <w:contextualSpacing/>
        <w:jc w:val="both"/>
        <w:rPr>
          <w:noProof/>
        </w:rPr>
      </w:pPr>
      <w:r>
        <w:rPr>
          <w:noProof/>
        </w:rPr>
        <w:t>gradnjo in trajnostno upravljanje stavbnega fonda in infrastrukture sodobne gore;</w:t>
      </w:r>
    </w:p>
    <w:p w14:paraId="58C06D42" w14:textId="77777777" w:rsidR="00154E32" w:rsidRDefault="00A43E04">
      <w:pPr>
        <w:numPr>
          <w:ilvl w:val="0"/>
          <w:numId w:val="64"/>
        </w:numPr>
        <w:spacing w:before="120" w:after="120" w:line="259" w:lineRule="auto"/>
        <w:ind w:left="360"/>
        <w:contextualSpacing/>
        <w:jc w:val="both"/>
        <w:rPr>
          <w:noProof/>
        </w:rPr>
      </w:pPr>
      <w:r>
        <w:rPr>
          <w:noProof/>
        </w:rPr>
        <w:t>energetska učinkovitost in inteligentno povezovanje obratov in omrežij;</w:t>
      </w:r>
    </w:p>
    <w:p w14:paraId="692C5E28" w14:textId="77777777" w:rsidR="00154E32" w:rsidRDefault="00A43E04">
      <w:pPr>
        <w:numPr>
          <w:ilvl w:val="0"/>
          <w:numId w:val="64"/>
        </w:numPr>
        <w:spacing w:before="120" w:after="120" w:line="259" w:lineRule="auto"/>
        <w:ind w:left="360"/>
        <w:contextualSpacing/>
        <w:jc w:val="both"/>
        <w:rPr>
          <w:noProof/>
        </w:rPr>
      </w:pPr>
      <w:r>
        <w:rPr>
          <w:noProof/>
        </w:rPr>
        <w:t>trajnostni razvoj proizvodnih dejavnosti (proizvodnja odpadkov brez odpadkov);</w:t>
      </w:r>
    </w:p>
    <w:p w14:paraId="662514EC" w14:textId="77777777" w:rsidR="00154E32" w:rsidRDefault="00A43E04">
      <w:pPr>
        <w:numPr>
          <w:ilvl w:val="0"/>
          <w:numId w:val="64"/>
        </w:numPr>
        <w:spacing w:before="120" w:after="120" w:line="259" w:lineRule="auto"/>
        <w:ind w:left="360"/>
        <w:contextualSpacing/>
        <w:jc w:val="both"/>
        <w:rPr>
          <w:noProof/>
        </w:rPr>
      </w:pPr>
      <w:r>
        <w:rPr>
          <w:noProof/>
        </w:rPr>
        <w:t>povezovanje storitev na področju mobilnosti;</w:t>
      </w:r>
    </w:p>
    <w:p w14:paraId="37A08D42" w14:textId="77777777" w:rsidR="00154E32" w:rsidRDefault="00A43E04">
      <w:pPr>
        <w:numPr>
          <w:ilvl w:val="0"/>
          <w:numId w:val="64"/>
        </w:numPr>
        <w:spacing w:before="120" w:after="120" w:line="259" w:lineRule="auto"/>
        <w:ind w:left="360"/>
        <w:contextualSpacing/>
        <w:jc w:val="both"/>
        <w:rPr>
          <w:noProof/>
        </w:rPr>
      </w:pPr>
      <w:r>
        <w:rPr>
          <w:noProof/>
        </w:rPr>
        <w:t>razvoj trajnostnega modela kmetij („ki je tudi energetsko neodvisen s proizvodnjo in uporabo energije iz obnovljivih virov v elektroenergetskem, toplotnem in prometnem sektorju“).</w:t>
      </w:r>
    </w:p>
    <w:p w14:paraId="2557E98E" w14:textId="1FB63CEE" w:rsidR="00154E32" w:rsidRDefault="00A43E04">
      <w:pPr>
        <w:pStyle w:val="ListParagraph"/>
        <w:numPr>
          <w:ilvl w:val="0"/>
          <w:numId w:val="64"/>
        </w:numPr>
        <w:spacing w:line="259" w:lineRule="auto"/>
        <w:ind w:left="360"/>
        <w:rPr>
          <w:rFonts w:asciiTheme="minorHAnsi" w:eastAsiaTheme="minorEastAsia" w:hAnsiTheme="minorHAnsi" w:cstheme="minorBidi"/>
          <w:noProof/>
          <w:color w:val="006100"/>
        </w:rPr>
      </w:pPr>
      <w:r>
        <w:rPr>
          <w:noProof/>
        </w:rPr>
        <w:t>Da se zagotovi skladnost ukrepa s tehničnimi smernicami za uporabo načela, da se ne škoduje bistveno (2021/C58/01), merila za upravičenost iz projektne naloge za prihodnje razpise za projekte ne vključujejo naslednjega seznama dejavnosti: (I) dejavnosti, povezane s fosilnimi gorivi, vključno z nadaljnjo uporabo</w:t>
      </w:r>
      <w:r>
        <w:rPr>
          <w:rStyle w:val="FootnoteReference"/>
          <w:noProof/>
        </w:rPr>
        <w:footnoteReference w:id="39"/>
      </w:r>
      <w:r>
        <w:rPr>
          <w:noProof/>
        </w:rPr>
        <w:t>; (II) dejavnosti v okviru sistema EU za trgovanje z emisijami (ETS), s katerimi se dosegajo predvidene emisije toplogrednih plinov, ki niso nižje od ustreznih referenčnih vrednosti</w:t>
      </w:r>
      <w:r>
        <w:rPr>
          <w:rStyle w:val="FootnoteReference"/>
          <w:noProof/>
        </w:rPr>
        <w:footnoteReference w:id="40"/>
      </w:r>
      <w:r>
        <w:rPr>
          <w:noProof/>
        </w:rPr>
        <w:t>; (III) dejavnosti, povezane z odlagališči odpadkov, sežigalnicami</w:t>
      </w:r>
      <w:r>
        <w:rPr>
          <w:rStyle w:val="FootnoteReference"/>
          <w:noProof/>
        </w:rPr>
        <w:footnoteReference w:id="41"/>
      </w:r>
      <w:r>
        <w:rPr>
          <w:noProof/>
        </w:rPr>
        <w:t xml:space="preserve"> in napravami za mehansko-biološko obdelavo</w:t>
      </w:r>
      <w:r>
        <w:rPr>
          <w:rStyle w:val="FootnoteReference"/>
          <w:noProof/>
        </w:rPr>
        <w:footnoteReference w:id="42"/>
      </w:r>
      <w:r>
        <w:rPr>
          <w:noProof/>
        </w:rPr>
        <w:t>; ter (iv) dejavnosti, pri katerih lahko dolgotrajno odstranjevanje odpadkov dolgoročno škoduje okolju. Poleg tega se zahteva, da se izberejo samo dejavnosti, ki so skladne z ustrezno okoljsko zakonodajo EU in nacionalno okoljsko zakonodajo.</w:t>
      </w:r>
    </w:p>
    <w:p w14:paraId="38A7B87D" w14:textId="77777777" w:rsidR="00154E32" w:rsidRDefault="00A43E04">
      <w:pPr>
        <w:pStyle w:val="P68B1DB1-Normal2"/>
        <w:spacing w:before="120" w:after="120"/>
        <w:jc w:val="both"/>
        <w:rPr>
          <w:noProof/>
        </w:rPr>
      </w:pPr>
      <w:r>
        <w:rPr>
          <w:noProof/>
        </w:rPr>
        <w:t>Naložba 3.4 – Fondo Rotativo Contratti di Filiera (FCF) za podporo pogodb o dobavnih verigah za agroživilski, ribiški in akvakulturni sektor, gozdarstvo, cvetličarstvo in odraščanje rastlin</w:t>
      </w:r>
    </w:p>
    <w:p w14:paraId="155D6D54" w14:textId="0A55B96B" w:rsidR="00154E32" w:rsidRDefault="00A43E04">
      <w:pPr>
        <w:spacing w:after="120"/>
        <w:jc w:val="both"/>
        <w:rPr>
          <w:noProof/>
        </w:rPr>
      </w:pPr>
      <w:r>
        <w:rPr>
          <w:noProof/>
        </w:rPr>
        <w:t xml:space="preserve">Ta ukrep zajema javne naložbe v sklad, tj. Fondo Rotativo Contratti di Filiera (FCF), da bi spodbudili zasebne naložbe in izboljšali dostop do financiranja v italijanskem agroživilskem, ribiškem in akvakulturnem sektorju, gozdarstvu, cvetličarstvu in odraščanju rastlin. Instrument deluje z zagotavljanjem nepovratnih sredstev in subvencioniranih posojil neposredno prek ISMEA (Istituto di Servizi per il Mercato Agricolo Alimentare). Znesek instrumenta znaša 2 milijardi EUR, vključno s pristojbinami, ki se plačajo ISMEA. </w:t>
      </w:r>
    </w:p>
    <w:p w14:paraId="3C37E1CB" w14:textId="2DE16382" w:rsidR="00154E32" w:rsidRDefault="00A43E04">
      <w:pPr>
        <w:spacing w:after="120"/>
        <w:jc w:val="both"/>
        <w:rPr>
          <w:noProof/>
        </w:rPr>
      </w:pPr>
      <w:r>
        <w:rPr>
          <w:noProof/>
        </w:rPr>
        <w:t>Instrument upravlja ISMEA kot izvajalski partner. Sklad vključuje naslednje vrste produktov:</w:t>
      </w:r>
    </w:p>
    <w:p w14:paraId="176B1E33" w14:textId="186CCCC3" w:rsidR="00154E32" w:rsidRDefault="00A43E04">
      <w:pPr>
        <w:pStyle w:val="ListParagraph"/>
        <w:numPr>
          <w:ilvl w:val="0"/>
          <w:numId w:val="104"/>
        </w:numPr>
        <w:spacing w:before="0"/>
        <w:contextualSpacing w:val="0"/>
        <w:rPr>
          <w:noProof/>
        </w:rPr>
      </w:pPr>
      <w:r>
        <w:rPr>
          <w:noProof/>
        </w:rPr>
        <w:t>Podpora podjetjem, skupinam podjetij ali združenjem kmetijskih proizvajalcev ter organizacijam za raziskave in širjenje znanja v agroživilskem, ribiškem in akvakulturnem sektorju, gozdarskem, cvetličarskem sektorju in sektorju odraščanja rastlin z izboljšanjem proizvodnih procesov z vključitvijo kombinacije dejavnosti med:</w:t>
      </w:r>
    </w:p>
    <w:p w14:paraId="3AA98B61" w14:textId="56CED051" w:rsidR="00154E32" w:rsidRDefault="00A43E04">
      <w:pPr>
        <w:pStyle w:val="ListParagraph"/>
        <w:numPr>
          <w:ilvl w:val="1"/>
          <w:numId w:val="104"/>
        </w:numPr>
        <w:spacing w:before="0"/>
        <w:contextualSpacing w:val="0"/>
        <w:rPr>
          <w:noProof/>
        </w:rPr>
      </w:pPr>
      <w:r>
        <w:rPr>
          <w:noProof/>
        </w:rPr>
        <w:t>Izboljšanje okoljske trajnosti proizvodnih procesov z naložbami v opredmetena in neopredmetena sredstva za znatno povečanje učinkovitosti porabe energije, vode in virov v ciljnih proizvodnih procesih;</w:t>
      </w:r>
    </w:p>
    <w:p w14:paraId="1BEC3F9A" w14:textId="3044803B" w:rsidR="00154E32" w:rsidRDefault="00A43E04">
      <w:pPr>
        <w:pStyle w:val="ListParagraph"/>
        <w:numPr>
          <w:ilvl w:val="1"/>
          <w:numId w:val="104"/>
        </w:numPr>
        <w:spacing w:before="0"/>
        <w:contextualSpacing w:val="0"/>
        <w:rPr>
          <w:noProof/>
        </w:rPr>
      </w:pPr>
      <w:r>
        <w:rPr>
          <w:noProof/>
        </w:rPr>
        <w:t xml:space="preserve">Naložbe v znanje, usposabljanje, raziskave in inovacije, prenos tehnologije in razvojne projekte, ki lahko podpirajo tudi reorganizacijo odnosov med različnimi akterji v dobavni verigi, da se okrepi trajnost proizvodnih procesov; </w:t>
      </w:r>
    </w:p>
    <w:p w14:paraId="60F395CF" w14:textId="77777777" w:rsidR="00154E32" w:rsidRDefault="00A43E04">
      <w:pPr>
        <w:pStyle w:val="ListParagraph"/>
        <w:numPr>
          <w:ilvl w:val="1"/>
          <w:numId w:val="104"/>
        </w:numPr>
        <w:spacing w:before="0"/>
        <w:contextualSpacing w:val="0"/>
        <w:rPr>
          <w:noProof/>
        </w:rPr>
      </w:pPr>
      <w:r>
        <w:rPr>
          <w:noProof/>
        </w:rPr>
        <w:t>Naložbe v digitalizacijo podjetij, vključno z e-trgovanjem in nastajajočimi tehnologijami;</w:t>
      </w:r>
    </w:p>
    <w:p w14:paraId="46DDFE04" w14:textId="673F151B" w:rsidR="00154E32" w:rsidRDefault="00A43E04">
      <w:pPr>
        <w:pStyle w:val="ListParagraph"/>
        <w:numPr>
          <w:ilvl w:val="1"/>
          <w:numId w:val="104"/>
        </w:numPr>
        <w:spacing w:before="0"/>
        <w:contextualSpacing w:val="0"/>
        <w:rPr>
          <w:noProof/>
        </w:rPr>
      </w:pPr>
      <w:r>
        <w:rPr>
          <w:noProof/>
        </w:rPr>
        <w:t>Namestitev fotovoltaičnih in sončnih panelov</w:t>
      </w:r>
    </w:p>
    <w:p w14:paraId="112CEB86" w14:textId="7A19AA03" w:rsidR="00154E32" w:rsidRDefault="00A43E04">
      <w:pPr>
        <w:spacing w:before="120" w:after="120"/>
        <w:jc w:val="both"/>
        <w:rPr>
          <w:noProof/>
        </w:rPr>
      </w:pPr>
      <w:r>
        <w:rPr>
          <w:noProof/>
        </w:rPr>
        <w:t xml:space="preserve">Cilj ukrepa je zmanjšati emisije toplogrednih plinov, živilske odpadke ter uporabo pesticidov in antimikrobikov, izboljšati energijsko učinkovitost ter povečati proizvodnjo in uporabo energije iz obnovljivih virov.  </w:t>
      </w:r>
    </w:p>
    <w:p w14:paraId="51F59298" w14:textId="3A4D9039" w:rsidR="00154E32" w:rsidRDefault="00A43E04">
      <w:pPr>
        <w:spacing w:after="120"/>
        <w:jc w:val="both"/>
        <w:rPr>
          <w:noProof/>
        </w:rPr>
      </w:pPr>
      <w:r>
        <w:rPr>
          <w:noProof/>
        </w:rPr>
        <w:t>Za izvedbo naložbe v instrument ministrstvo in ISMEA podpišeta izvedbeni sporazum, ki vsebuje naslednjo vsebino:</w:t>
      </w:r>
    </w:p>
    <w:p w14:paraId="5505B4F3" w14:textId="38FADE8D" w:rsidR="00154E32" w:rsidRDefault="00A43E04">
      <w:pPr>
        <w:pStyle w:val="ListParagraph"/>
        <w:numPr>
          <w:ilvl w:val="0"/>
          <w:numId w:val="103"/>
        </w:numPr>
        <w:spacing w:before="0"/>
        <w:contextualSpacing w:val="0"/>
        <w:rPr>
          <w:noProof/>
        </w:rPr>
      </w:pPr>
      <w:r>
        <w:rPr>
          <w:noProof/>
        </w:rPr>
        <w:t>Opis postopka odločanja instrumenta: Končno odločitev o naložbi sklada sprejme odbor za naložbe ali drug ustrezen enakovreden upravljavski organ in jo z večino glasov potrdijo člani, ki so neodvisni od vlade.</w:t>
      </w:r>
    </w:p>
    <w:p w14:paraId="56FBB60D" w14:textId="77777777" w:rsidR="00154E32" w:rsidRDefault="00A43E04">
      <w:pPr>
        <w:pStyle w:val="ListParagraph"/>
        <w:numPr>
          <w:ilvl w:val="0"/>
          <w:numId w:val="103"/>
        </w:numPr>
        <w:spacing w:before="0"/>
        <w:contextualSpacing w:val="0"/>
        <w:rPr>
          <w:noProof/>
        </w:rPr>
      </w:pPr>
      <w:r>
        <w:rPr>
          <w:noProof/>
        </w:rPr>
        <w:t>Ključne zahteve povezane naložbene politike, ki vključujejo:</w:t>
      </w:r>
    </w:p>
    <w:p w14:paraId="11840085" w14:textId="77777777" w:rsidR="00154E32" w:rsidRDefault="00A43E04">
      <w:pPr>
        <w:pStyle w:val="ListParagraph"/>
        <w:numPr>
          <w:ilvl w:val="1"/>
          <w:numId w:val="103"/>
        </w:numPr>
        <w:spacing w:before="0"/>
        <w:contextualSpacing w:val="0"/>
        <w:rPr>
          <w:noProof/>
        </w:rPr>
      </w:pPr>
      <w:r>
        <w:rPr>
          <w:noProof/>
        </w:rPr>
        <w:t>Opis finančnih produktov in upravičenih končnih upravičencev.</w:t>
      </w:r>
    </w:p>
    <w:p w14:paraId="1014A218" w14:textId="77777777" w:rsidR="00154E32" w:rsidRDefault="00A43E04">
      <w:pPr>
        <w:pStyle w:val="ListParagraph"/>
        <w:numPr>
          <w:ilvl w:val="1"/>
          <w:numId w:val="103"/>
        </w:numPr>
        <w:spacing w:before="0"/>
        <w:contextualSpacing w:val="0"/>
        <w:rPr>
          <w:noProof/>
        </w:rPr>
      </w:pPr>
      <w:r>
        <w:rPr>
          <w:noProof/>
        </w:rPr>
        <w:t>Zahteva, da so vse podprte naložbe ekonomsko upravičene.</w:t>
      </w:r>
    </w:p>
    <w:p w14:paraId="029B39E8" w14:textId="147D4605" w:rsidR="00154E32" w:rsidRDefault="00A43E04">
      <w:pPr>
        <w:pStyle w:val="ListParagraph"/>
        <w:numPr>
          <w:ilvl w:val="1"/>
          <w:numId w:val="103"/>
        </w:numPr>
        <w:spacing w:before="0"/>
        <w:contextualSpacing w:val="0"/>
        <w:rPr>
          <w:noProof/>
        </w:rPr>
      </w:pPr>
      <w:r>
        <w:rPr>
          <w:noProof/>
        </w:rPr>
        <w:t>Zahtevo po skladnosti z načelom, da se ne škoduje bistveno, kot je določeno v tehničnih smernicah za načelo, da se ne škoduje bistveno (2021/C58/01). Naložbena politika zlasti izključuje naslednji seznam dejavnosti in sredstev iz upravičenosti: (I) dejavnosti in sredstva, povezana s fosilnimi gorivi, vključno z nadaljnjo uporabo,</w:t>
      </w:r>
      <w:r>
        <w:rPr>
          <w:rStyle w:val="FootnoteReference"/>
          <w:noProof/>
        </w:rPr>
        <w:footnoteReference w:id="43"/>
      </w:r>
      <w:r>
        <w:rPr>
          <w:noProof/>
        </w:rPr>
        <w:t>(ii) dejavnosti in sredstva v okviru sistema EU za trgovanje z emisijami (ETS), s katerimi se dosegajo predvidene emisije toplogrednih plinov, ki niso nižje od ustreznih referenčnih vrednosti,</w:t>
      </w:r>
      <w:r>
        <w:rPr>
          <w:rStyle w:val="FootnoteReference"/>
          <w:noProof/>
        </w:rPr>
        <w:footnoteReference w:id="44"/>
      </w:r>
      <w:r>
        <w:rPr>
          <w:noProof/>
        </w:rPr>
        <w:t>(iii) dejavnosti in sredstva, povezana z odlagališči odpadkov, sežigalnicami</w:t>
      </w:r>
      <w:r>
        <w:rPr>
          <w:rStyle w:val="FootnoteReference"/>
          <w:noProof/>
        </w:rPr>
        <w:footnoteReference w:id="45"/>
      </w:r>
      <w:r>
        <w:rPr>
          <w:noProof/>
        </w:rPr>
        <w:t xml:space="preserve"> in napravami za mehansko-biološko obdelavo</w:t>
      </w:r>
      <w:r>
        <w:rPr>
          <w:rStyle w:val="FootnoteReference"/>
          <w:noProof/>
        </w:rPr>
        <w:footnoteReference w:id="46"/>
      </w:r>
      <w:r>
        <w:rPr>
          <w:noProof/>
        </w:rPr>
        <w:t xml:space="preserve">. </w:t>
      </w:r>
    </w:p>
    <w:p w14:paraId="18091BD3" w14:textId="77777777" w:rsidR="00154E32" w:rsidRDefault="00A43E04">
      <w:pPr>
        <w:pStyle w:val="ListParagraph"/>
        <w:numPr>
          <w:ilvl w:val="1"/>
          <w:numId w:val="103"/>
        </w:numPr>
        <w:spacing w:before="0"/>
        <w:contextualSpacing w:val="0"/>
        <w:rPr>
          <w:noProof/>
        </w:rPr>
      </w:pPr>
      <w:r>
        <w:rPr>
          <w:noProof/>
        </w:rPr>
        <w:t>Zahtevo, da končni upravičenci Sklada ne prejmejo podpore iz drugih instrumentov Unije za kritje istih stroškov.</w:t>
      </w:r>
    </w:p>
    <w:p w14:paraId="307D3D61" w14:textId="1E4100D3" w:rsidR="00154E32" w:rsidRDefault="00A43E04">
      <w:pPr>
        <w:pStyle w:val="ListParagraph"/>
        <w:numPr>
          <w:ilvl w:val="0"/>
          <w:numId w:val="103"/>
        </w:numPr>
        <w:spacing w:before="0"/>
        <w:contextualSpacing w:val="0"/>
        <w:rPr>
          <w:noProof/>
        </w:rPr>
      </w:pPr>
      <w:r>
        <w:rPr>
          <w:noProof/>
        </w:rPr>
        <w:t>Znesek, zajet v izvedbenem sporazumu, strukturo pristojbin za izvajalskega partnerja in zahtevo po ponovnem vlaganju vrnjenih sredstev v skladu z naložbeno politiko Sklada za spodbujanje naložb.</w:t>
      </w:r>
    </w:p>
    <w:p w14:paraId="4FA886E8" w14:textId="77777777" w:rsidR="00154E32" w:rsidRDefault="00A43E04">
      <w:pPr>
        <w:pStyle w:val="ListParagraph"/>
        <w:numPr>
          <w:ilvl w:val="0"/>
          <w:numId w:val="103"/>
        </w:numPr>
        <w:spacing w:before="0"/>
        <w:contextualSpacing w:val="0"/>
        <w:rPr>
          <w:noProof/>
        </w:rPr>
      </w:pPr>
      <w:r>
        <w:rPr>
          <w:noProof/>
        </w:rPr>
        <w:t>Zahteve glede spremljanja, revizije in nadzora, vključno z:</w:t>
      </w:r>
    </w:p>
    <w:p w14:paraId="0F4C55DD" w14:textId="77777777" w:rsidR="00154E32" w:rsidRDefault="00A43E04">
      <w:pPr>
        <w:pStyle w:val="ListParagraph"/>
        <w:numPr>
          <w:ilvl w:val="1"/>
          <w:numId w:val="103"/>
        </w:numPr>
        <w:spacing w:before="0"/>
        <w:contextualSpacing w:val="0"/>
        <w:rPr>
          <w:noProof/>
        </w:rPr>
      </w:pPr>
      <w:r>
        <w:rPr>
          <w:noProof/>
        </w:rPr>
        <w:t>Opis sistema spremljanja izvajalskega partnerja za poročanje o mobiliziranih naložbah.</w:t>
      </w:r>
    </w:p>
    <w:p w14:paraId="7E86C21E" w14:textId="03E644F4" w:rsidR="00154E32" w:rsidRDefault="00A43E04">
      <w:pPr>
        <w:pStyle w:val="ListParagraph"/>
        <w:numPr>
          <w:ilvl w:val="1"/>
          <w:numId w:val="103"/>
        </w:numPr>
        <w:spacing w:before="0"/>
        <w:contextualSpacing w:val="0"/>
        <w:rPr>
          <w:noProof/>
        </w:rPr>
      </w:pPr>
      <w:r>
        <w:rPr>
          <w:noProof/>
        </w:rPr>
        <w:t xml:space="preserve">Opis postopkov izvajalskega partnerja, ki zagotavljajo preprečevanje, odkrivanje in odpravljanje goljufij, korupcije in nasprotij interesov. </w:t>
      </w:r>
    </w:p>
    <w:p w14:paraId="12D1FA01" w14:textId="77777777" w:rsidR="00154E32" w:rsidRDefault="00A43E04">
      <w:pPr>
        <w:pStyle w:val="ListParagraph"/>
        <w:numPr>
          <w:ilvl w:val="1"/>
          <w:numId w:val="103"/>
        </w:numPr>
        <w:spacing w:before="0"/>
        <w:contextualSpacing w:val="0"/>
        <w:rPr>
          <w:noProof/>
        </w:rPr>
      </w:pPr>
      <w:r>
        <w:rPr>
          <w:noProof/>
        </w:rPr>
        <w:t>Obveznost preverjanja upravičenosti vsake operacije v skladu z zahtevami iz izvedbenega sporazuma, preden se zaveže k financiranju operacije.</w:t>
      </w:r>
    </w:p>
    <w:p w14:paraId="1C70AAA5" w14:textId="7CBB8E1E" w:rsidR="00154E32" w:rsidRDefault="00A43E04">
      <w:pPr>
        <w:pStyle w:val="ListParagraph"/>
        <w:numPr>
          <w:ilvl w:val="1"/>
          <w:numId w:val="103"/>
        </w:numPr>
        <w:spacing w:before="0"/>
        <w:contextualSpacing w:val="0"/>
        <w:rPr>
          <w:noProof/>
        </w:rPr>
      </w:pPr>
      <w:r>
        <w:rPr>
          <w:noProof/>
        </w:rPr>
        <w:t xml:space="preserve">Obveznost izvajanja naknadnih revizij na podlagi tveganja v skladu z revizijskim načrtom ISMEA. S temi revizijami se preveri i) učinkovitost kontrolnih sistemov, vključno z odkrivanjem goljufij, korupcije in navzkrižja interesov; II) skladnost z načelom, da se ne škoduje bistveno, pravili o državni pomoči, podnebnimi zahtevami in zahtevami glede digitalnega označevanja v skladu s Prilogo VI k uredbi o mehanizmu za okrevanje in odpornost ter Prilogo VII k uredbi o mehanizmu za okrevanje in odpornost; in iii) da se upošteva zahteva, da končni upravičenci Sklada niso prejeli podpore iz drugih instrumentov Unije za kritje istih stroškov. Z revizijami se preveri tudi zakonitost transakcij in spoštovanje pogojev iz veljavnega sporazuma o izvajanju in sporazumov o financiranju. </w:t>
      </w:r>
    </w:p>
    <w:p w14:paraId="266D99D6" w14:textId="4AD440F2" w:rsidR="00154E32" w:rsidRDefault="00A43E04">
      <w:pPr>
        <w:pStyle w:val="ListParagraph"/>
        <w:numPr>
          <w:ilvl w:val="0"/>
          <w:numId w:val="103"/>
        </w:numPr>
        <w:spacing w:before="0"/>
        <w:contextualSpacing w:val="0"/>
        <w:rPr>
          <w:noProof/>
        </w:rPr>
      </w:pPr>
      <w:r>
        <w:rPr>
          <w:noProof/>
        </w:rPr>
        <w:t>Zahteve za podnebne naložbe, ki jih izvaja izvajalski partner: vsaj 924</w:t>
      </w:r>
      <w:r>
        <w:rPr>
          <w:noProof/>
          <w:color w:val="006100"/>
          <w:sz w:val="20"/>
        </w:rPr>
        <w:t xml:space="preserve"> </w:t>
      </w:r>
      <w:r>
        <w:rPr>
          <w:noProof/>
        </w:rPr>
        <w:t>000 000,00 EUR naložb</w:t>
      </w:r>
      <w:r>
        <w:rPr>
          <w:noProof/>
          <w:color w:val="006100"/>
          <w:sz w:val="20"/>
        </w:rPr>
        <w:t xml:space="preserve"> </w:t>
      </w:r>
      <w:r>
        <w:rPr>
          <w:noProof/>
        </w:rPr>
        <w:t>v mehanizem za okrevanje in odpornost v sklad prispeva k ciljem na področju podnebnih sprememb v skladu s Prilogo VI k uredbi o mehanizmu za okrevanje in odpornost.</w:t>
      </w:r>
      <w:r>
        <w:rPr>
          <w:rStyle w:val="FootnoteReference"/>
          <w:noProof/>
        </w:rPr>
        <w:footnoteReference w:id="47"/>
      </w:r>
    </w:p>
    <w:p w14:paraId="628AF46B" w14:textId="5EA986BD" w:rsidR="00154E32" w:rsidRDefault="00A43E04">
      <w:pPr>
        <w:spacing w:after="120"/>
        <w:jc w:val="both"/>
        <w:rPr>
          <w:rFonts w:eastAsiaTheme="minorEastAsia"/>
          <w:noProof/>
        </w:rPr>
      </w:pPr>
      <w:r>
        <w:rPr>
          <w:noProof/>
        </w:rPr>
        <w:t xml:space="preserve">Izvajanje ukrepa se zaključi s prenosom skupnega zneska sredstev na ISMEA za Sklad do 31. avgusta 2026. </w:t>
      </w:r>
    </w:p>
    <w:p w14:paraId="07CF8DD5" w14:textId="77777777" w:rsidR="00154E32" w:rsidRDefault="00A43E04">
      <w:pPr>
        <w:pStyle w:val="Heading3"/>
        <w:numPr>
          <w:ilvl w:val="0"/>
          <w:numId w:val="0"/>
        </w:numPr>
        <w:ind w:left="850" w:hanging="850"/>
        <w:rPr>
          <w:b/>
          <w:i w:val="0"/>
          <w:noProof/>
          <w:u w:val="single"/>
        </w:rPr>
      </w:pPr>
      <w:r>
        <w:rPr>
          <w:b/>
          <w:i w:val="0"/>
          <w:noProof/>
          <w:u w:val="single"/>
        </w:rPr>
        <w:t xml:space="preserve">D.4. </w:t>
      </w:r>
      <w:r>
        <w:rPr>
          <w:noProof/>
        </w:rPr>
        <w:tab/>
      </w:r>
      <w:r>
        <w:rPr>
          <w:b/>
          <w:i w:val="0"/>
          <w:noProof/>
          <w:u w:val="single"/>
        </w:rPr>
        <w:t xml:space="preserve">Mejniki, cilji, kazalniki in časovni razpored za spremljanje in izvajanje posojila </w:t>
      </w:r>
    </w:p>
    <w:p w14:paraId="4080D981" w14:textId="77777777" w:rsidR="00154E32" w:rsidRDefault="00154E32">
      <w:pPr>
        <w:spacing w:before="120" w:after="120"/>
        <w:ind w:left="709"/>
        <w:contextualSpacing/>
        <w:jc w:val="both"/>
        <w:rPr>
          <w:noProof/>
        </w:rPr>
      </w:pPr>
    </w:p>
    <w:p w14:paraId="2A24FB63" w14:textId="77777777" w:rsidR="00154E32" w:rsidRDefault="00154E32">
      <w:pPr>
        <w:spacing w:before="120" w:after="120"/>
        <w:ind w:left="709"/>
        <w:contextualSpacing/>
        <w:jc w:val="both"/>
        <w:rPr>
          <w:noProof/>
        </w:rPr>
        <w:sectPr w:rsidR="00154E32" w:rsidSect="001354D1">
          <w:headerReference w:type="even" r:id="rId104"/>
          <w:headerReference w:type="default" r:id="rId105"/>
          <w:footerReference w:type="even" r:id="rId106"/>
          <w:footerReference w:type="default" r:id="rId107"/>
          <w:headerReference w:type="first" r:id="rId108"/>
          <w:footerReference w:type="first" r:id="rId109"/>
          <w:pgSz w:w="11907" w:h="16839"/>
          <w:pgMar w:top="1134" w:right="1134" w:bottom="1134" w:left="1134" w:header="567" w:footer="567" w:gutter="0"/>
          <w:cols w:space="720"/>
          <w:docGrid w:linePitch="360"/>
        </w:sectPr>
      </w:pPr>
    </w:p>
    <w:tbl>
      <w:tblPr>
        <w:tblW w:w="15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0"/>
        <w:gridCol w:w="1598"/>
        <w:gridCol w:w="1185"/>
        <w:gridCol w:w="1732"/>
        <w:gridCol w:w="1603"/>
        <w:gridCol w:w="1275"/>
        <w:gridCol w:w="993"/>
        <w:gridCol w:w="1162"/>
        <w:gridCol w:w="963"/>
        <w:gridCol w:w="710"/>
        <w:gridCol w:w="3174"/>
      </w:tblGrid>
      <w:tr w:rsidR="00154E32" w14:paraId="33D25ACC" w14:textId="77777777">
        <w:trPr>
          <w:trHeight w:val="939"/>
          <w:tblHeader/>
          <w:jc w:val="center"/>
        </w:trPr>
        <w:tc>
          <w:tcPr>
            <w:tcW w:w="1220" w:type="dxa"/>
            <w:vMerge w:val="restart"/>
            <w:shd w:val="clear" w:color="auto" w:fill="BDD7EE"/>
            <w:vAlign w:val="center"/>
            <w:hideMark/>
          </w:tcPr>
          <w:p w14:paraId="67CCD06A" w14:textId="086A065C" w:rsidR="00154E32" w:rsidRDefault="00A43E04">
            <w:pPr>
              <w:pStyle w:val="P68B1DB1-Normal9"/>
              <w:jc w:val="center"/>
              <w:rPr>
                <w:noProof/>
              </w:rPr>
            </w:pPr>
            <w:r>
              <w:rPr>
                <w:noProof/>
              </w:rPr>
              <w:t>Zaporedna številka</w:t>
            </w:r>
          </w:p>
        </w:tc>
        <w:tc>
          <w:tcPr>
            <w:tcW w:w="1598" w:type="dxa"/>
            <w:vMerge w:val="restart"/>
            <w:shd w:val="clear" w:color="auto" w:fill="BDD7EE"/>
            <w:vAlign w:val="center"/>
            <w:hideMark/>
          </w:tcPr>
          <w:p w14:paraId="37646F57" w14:textId="77777777" w:rsidR="00154E32" w:rsidRDefault="00A43E04">
            <w:pPr>
              <w:pStyle w:val="P68B1DB1-Normal9"/>
              <w:jc w:val="center"/>
              <w:rPr>
                <w:noProof/>
              </w:rPr>
            </w:pPr>
            <w:r>
              <w:rPr>
                <w:noProof/>
              </w:rPr>
              <w:t>Povezani ukrep (reforma ali naložba)</w:t>
            </w:r>
          </w:p>
        </w:tc>
        <w:tc>
          <w:tcPr>
            <w:tcW w:w="1185" w:type="dxa"/>
            <w:vMerge w:val="restart"/>
            <w:shd w:val="clear" w:color="auto" w:fill="BDD7EE"/>
            <w:vAlign w:val="center"/>
            <w:hideMark/>
          </w:tcPr>
          <w:p w14:paraId="2310279C" w14:textId="77777777" w:rsidR="00154E32" w:rsidRDefault="00A43E04">
            <w:pPr>
              <w:pStyle w:val="P68B1DB1-Normal9"/>
              <w:jc w:val="center"/>
              <w:rPr>
                <w:noProof/>
              </w:rPr>
            </w:pPr>
            <w:r>
              <w:rPr>
                <w:noProof/>
              </w:rPr>
              <w:t>Mejnik/cilj</w:t>
            </w:r>
          </w:p>
        </w:tc>
        <w:tc>
          <w:tcPr>
            <w:tcW w:w="1732" w:type="dxa"/>
            <w:vMerge w:val="restart"/>
            <w:shd w:val="clear" w:color="auto" w:fill="BDD7EE"/>
            <w:vAlign w:val="center"/>
            <w:hideMark/>
          </w:tcPr>
          <w:p w14:paraId="3DCC5EB1" w14:textId="77777777" w:rsidR="00154E32" w:rsidRDefault="00A43E04">
            <w:pPr>
              <w:pStyle w:val="P68B1DB1-Normal9"/>
              <w:jc w:val="center"/>
              <w:rPr>
                <w:noProof/>
              </w:rPr>
            </w:pPr>
            <w:r>
              <w:rPr>
                <w:noProof/>
              </w:rPr>
              <w:t>Ime</w:t>
            </w:r>
          </w:p>
        </w:tc>
        <w:tc>
          <w:tcPr>
            <w:tcW w:w="1603" w:type="dxa"/>
            <w:vMerge w:val="restart"/>
            <w:shd w:val="clear" w:color="auto" w:fill="BDD7EE"/>
            <w:vAlign w:val="center"/>
            <w:hideMark/>
          </w:tcPr>
          <w:p w14:paraId="64599007" w14:textId="77777777" w:rsidR="00154E32" w:rsidRDefault="00A43E04">
            <w:pPr>
              <w:pStyle w:val="P68B1DB1-Normal10"/>
              <w:jc w:val="center"/>
              <w:rPr>
                <w:b/>
                <w:noProof/>
                <w:sz w:val="20"/>
              </w:rPr>
            </w:pPr>
            <w:r>
              <w:rPr>
                <w:b/>
                <w:noProof/>
                <w:sz w:val="20"/>
              </w:rPr>
              <w:t>Kakovostni kazalniki</w:t>
            </w:r>
            <w:r>
              <w:rPr>
                <w:noProof/>
              </w:rPr>
              <w:t xml:space="preserve"> </w:t>
            </w:r>
            <w:r>
              <w:rPr>
                <w:noProof/>
              </w:rPr>
              <w:br/>
            </w:r>
            <w:r>
              <w:rPr>
                <w:b/>
                <w:noProof/>
                <w:sz w:val="20"/>
              </w:rPr>
              <w:t>(za mejnike)</w:t>
            </w:r>
          </w:p>
        </w:tc>
        <w:tc>
          <w:tcPr>
            <w:tcW w:w="3430" w:type="dxa"/>
            <w:gridSpan w:val="3"/>
            <w:shd w:val="clear" w:color="auto" w:fill="BDD7EE"/>
            <w:vAlign w:val="center"/>
            <w:hideMark/>
          </w:tcPr>
          <w:p w14:paraId="5AF753AD" w14:textId="77777777" w:rsidR="00154E32" w:rsidRDefault="00A43E04">
            <w:pPr>
              <w:pStyle w:val="P68B1DB1-Normal10"/>
              <w:jc w:val="center"/>
              <w:rPr>
                <w:b/>
                <w:noProof/>
                <w:sz w:val="20"/>
              </w:rPr>
            </w:pPr>
            <w:r>
              <w:rPr>
                <w:b/>
                <w:noProof/>
                <w:sz w:val="20"/>
              </w:rPr>
              <w:t>Kvantitativni kazalniki</w:t>
            </w:r>
            <w:r>
              <w:rPr>
                <w:noProof/>
              </w:rPr>
              <w:t xml:space="preserve"> </w:t>
            </w:r>
            <w:r>
              <w:rPr>
                <w:noProof/>
              </w:rPr>
              <w:br/>
            </w:r>
            <w:r>
              <w:rPr>
                <w:b/>
                <w:noProof/>
                <w:sz w:val="20"/>
              </w:rPr>
              <w:t>(za ciljne vrednosti)</w:t>
            </w:r>
          </w:p>
        </w:tc>
        <w:tc>
          <w:tcPr>
            <w:tcW w:w="1673" w:type="dxa"/>
            <w:gridSpan w:val="2"/>
            <w:shd w:val="clear" w:color="auto" w:fill="BDD7EE"/>
            <w:vAlign w:val="center"/>
            <w:hideMark/>
          </w:tcPr>
          <w:p w14:paraId="5D520CB5" w14:textId="77777777" w:rsidR="00154E32" w:rsidRDefault="00A43E04">
            <w:pPr>
              <w:pStyle w:val="P68B1DB1-Normal9"/>
              <w:jc w:val="center"/>
              <w:rPr>
                <w:noProof/>
              </w:rPr>
            </w:pPr>
            <w:r>
              <w:rPr>
                <w:noProof/>
              </w:rPr>
              <w:t>Okvirni časovni razpored za dokončanje</w:t>
            </w:r>
          </w:p>
        </w:tc>
        <w:tc>
          <w:tcPr>
            <w:tcW w:w="3174" w:type="dxa"/>
            <w:vMerge w:val="restart"/>
            <w:shd w:val="clear" w:color="auto" w:fill="BDD7EE"/>
            <w:vAlign w:val="center"/>
            <w:hideMark/>
          </w:tcPr>
          <w:p w14:paraId="2FBE5512" w14:textId="77777777" w:rsidR="00154E32" w:rsidRDefault="00A43E04">
            <w:pPr>
              <w:pStyle w:val="P68B1DB1-Normal9"/>
              <w:jc w:val="center"/>
              <w:rPr>
                <w:noProof/>
              </w:rPr>
            </w:pPr>
            <w:r>
              <w:rPr>
                <w:noProof/>
              </w:rPr>
              <w:t>Opis vsakega mejnika in cilja</w:t>
            </w:r>
          </w:p>
        </w:tc>
      </w:tr>
      <w:tr w:rsidR="00154E32" w14:paraId="01AC8147" w14:textId="77777777">
        <w:trPr>
          <w:trHeight w:val="739"/>
          <w:tblHeader/>
          <w:jc w:val="center"/>
        </w:trPr>
        <w:tc>
          <w:tcPr>
            <w:tcW w:w="1220" w:type="dxa"/>
            <w:vMerge/>
            <w:vAlign w:val="center"/>
            <w:hideMark/>
          </w:tcPr>
          <w:p w14:paraId="27F213FC" w14:textId="77777777" w:rsidR="00154E32" w:rsidRDefault="00154E32">
            <w:pPr>
              <w:jc w:val="center"/>
              <w:rPr>
                <w:rFonts w:ascii="Arial Narrow" w:hAnsi="Arial Narrow"/>
                <w:b/>
                <w:noProof/>
                <w:sz w:val="20"/>
              </w:rPr>
            </w:pPr>
          </w:p>
        </w:tc>
        <w:tc>
          <w:tcPr>
            <w:tcW w:w="1598" w:type="dxa"/>
            <w:vMerge/>
            <w:vAlign w:val="center"/>
            <w:hideMark/>
          </w:tcPr>
          <w:p w14:paraId="0CF57627" w14:textId="77777777" w:rsidR="00154E32" w:rsidRDefault="00154E32">
            <w:pPr>
              <w:jc w:val="center"/>
              <w:rPr>
                <w:rFonts w:ascii="Arial Narrow" w:hAnsi="Arial Narrow"/>
                <w:b/>
                <w:noProof/>
                <w:sz w:val="20"/>
              </w:rPr>
            </w:pPr>
          </w:p>
        </w:tc>
        <w:tc>
          <w:tcPr>
            <w:tcW w:w="1185" w:type="dxa"/>
            <w:vMerge/>
            <w:vAlign w:val="center"/>
            <w:hideMark/>
          </w:tcPr>
          <w:p w14:paraId="3FC27435" w14:textId="77777777" w:rsidR="00154E32" w:rsidRDefault="00154E32">
            <w:pPr>
              <w:jc w:val="center"/>
              <w:rPr>
                <w:rFonts w:ascii="Arial Narrow" w:hAnsi="Arial Narrow"/>
                <w:b/>
                <w:noProof/>
                <w:sz w:val="20"/>
              </w:rPr>
            </w:pPr>
          </w:p>
        </w:tc>
        <w:tc>
          <w:tcPr>
            <w:tcW w:w="1732" w:type="dxa"/>
            <w:vMerge/>
            <w:vAlign w:val="center"/>
            <w:hideMark/>
          </w:tcPr>
          <w:p w14:paraId="21F0FE61" w14:textId="77777777" w:rsidR="00154E32" w:rsidRDefault="00154E32">
            <w:pPr>
              <w:jc w:val="center"/>
              <w:rPr>
                <w:rFonts w:ascii="Arial Narrow" w:hAnsi="Arial Narrow"/>
                <w:b/>
                <w:noProof/>
                <w:sz w:val="20"/>
              </w:rPr>
            </w:pPr>
          </w:p>
        </w:tc>
        <w:tc>
          <w:tcPr>
            <w:tcW w:w="1603" w:type="dxa"/>
            <w:vMerge/>
            <w:vAlign w:val="center"/>
            <w:hideMark/>
          </w:tcPr>
          <w:p w14:paraId="355BA302" w14:textId="77777777" w:rsidR="00154E32" w:rsidRDefault="00154E32">
            <w:pPr>
              <w:jc w:val="center"/>
              <w:rPr>
                <w:rFonts w:ascii="Arial Narrow" w:hAnsi="Arial Narrow"/>
                <w:b/>
                <w:noProof/>
                <w:sz w:val="20"/>
              </w:rPr>
            </w:pPr>
          </w:p>
        </w:tc>
        <w:tc>
          <w:tcPr>
            <w:tcW w:w="1275" w:type="dxa"/>
            <w:shd w:val="clear" w:color="auto" w:fill="BDD7EE"/>
            <w:vAlign w:val="center"/>
            <w:hideMark/>
          </w:tcPr>
          <w:p w14:paraId="1789606A" w14:textId="77777777" w:rsidR="00154E32" w:rsidRDefault="00A43E04">
            <w:pPr>
              <w:pStyle w:val="P68B1DB1-Normal9"/>
              <w:jc w:val="center"/>
              <w:rPr>
                <w:noProof/>
              </w:rPr>
            </w:pPr>
            <w:r>
              <w:rPr>
                <w:noProof/>
              </w:rPr>
              <w:t>Merska enota</w:t>
            </w:r>
          </w:p>
        </w:tc>
        <w:tc>
          <w:tcPr>
            <w:tcW w:w="993" w:type="dxa"/>
            <w:shd w:val="clear" w:color="auto" w:fill="BDD7EE"/>
            <w:vAlign w:val="center"/>
            <w:hideMark/>
          </w:tcPr>
          <w:p w14:paraId="0C449070" w14:textId="77777777" w:rsidR="00154E32" w:rsidRDefault="00A43E04">
            <w:pPr>
              <w:pStyle w:val="P68B1DB1-Normal9"/>
              <w:jc w:val="center"/>
              <w:rPr>
                <w:noProof/>
              </w:rPr>
            </w:pPr>
            <w:r>
              <w:rPr>
                <w:noProof/>
              </w:rPr>
              <w:t>Izhodišče</w:t>
            </w:r>
          </w:p>
        </w:tc>
        <w:tc>
          <w:tcPr>
            <w:tcW w:w="1162" w:type="dxa"/>
            <w:shd w:val="clear" w:color="auto" w:fill="BDD7EE"/>
            <w:vAlign w:val="center"/>
            <w:hideMark/>
          </w:tcPr>
          <w:p w14:paraId="3D65C891" w14:textId="77777777" w:rsidR="00154E32" w:rsidRDefault="00A43E04">
            <w:pPr>
              <w:pStyle w:val="P68B1DB1-Normal9"/>
              <w:jc w:val="center"/>
              <w:rPr>
                <w:noProof/>
              </w:rPr>
            </w:pPr>
            <w:r>
              <w:rPr>
                <w:noProof/>
              </w:rPr>
              <w:t>Cilj</w:t>
            </w:r>
          </w:p>
        </w:tc>
        <w:tc>
          <w:tcPr>
            <w:tcW w:w="963" w:type="dxa"/>
            <w:shd w:val="clear" w:color="auto" w:fill="BDD7EE"/>
            <w:vAlign w:val="center"/>
            <w:hideMark/>
          </w:tcPr>
          <w:p w14:paraId="04CC3F24" w14:textId="77777777" w:rsidR="00154E32" w:rsidRDefault="00A43E04">
            <w:pPr>
              <w:pStyle w:val="P68B1DB1-Normal9"/>
              <w:jc w:val="center"/>
              <w:rPr>
                <w:noProof/>
              </w:rPr>
            </w:pPr>
            <w:r>
              <w:rPr>
                <w:noProof/>
              </w:rPr>
              <w:t>Četrtletje</w:t>
            </w:r>
          </w:p>
        </w:tc>
        <w:tc>
          <w:tcPr>
            <w:tcW w:w="710" w:type="dxa"/>
            <w:shd w:val="clear" w:color="auto" w:fill="BDD7EE"/>
            <w:vAlign w:val="center"/>
            <w:hideMark/>
          </w:tcPr>
          <w:p w14:paraId="2A9F011A" w14:textId="77777777" w:rsidR="00154E32" w:rsidRDefault="00A43E04">
            <w:pPr>
              <w:pStyle w:val="P68B1DB1-Normal9"/>
              <w:jc w:val="center"/>
              <w:rPr>
                <w:noProof/>
              </w:rPr>
            </w:pPr>
            <w:r>
              <w:rPr>
                <w:noProof/>
              </w:rPr>
              <w:t>Leto</w:t>
            </w:r>
          </w:p>
        </w:tc>
        <w:tc>
          <w:tcPr>
            <w:tcW w:w="3174" w:type="dxa"/>
            <w:vMerge/>
            <w:vAlign w:val="center"/>
            <w:hideMark/>
          </w:tcPr>
          <w:p w14:paraId="30F9FEB0" w14:textId="77777777" w:rsidR="00154E32" w:rsidRDefault="00154E32">
            <w:pPr>
              <w:rPr>
                <w:rFonts w:ascii="Arial Narrow" w:hAnsi="Arial Narrow"/>
                <w:b/>
                <w:noProof/>
                <w:sz w:val="20"/>
              </w:rPr>
            </w:pPr>
          </w:p>
        </w:tc>
      </w:tr>
      <w:tr w:rsidR="00154E32" w14:paraId="109DC8C8" w14:textId="77777777">
        <w:trPr>
          <w:trHeight w:val="313"/>
          <w:jc w:val="center"/>
        </w:trPr>
        <w:tc>
          <w:tcPr>
            <w:tcW w:w="1220" w:type="dxa"/>
            <w:shd w:val="clear" w:color="auto" w:fill="C6EFCE"/>
            <w:noWrap/>
            <w:vAlign w:val="center"/>
          </w:tcPr>
          <w:p w14:paraId="51E84461" w14:textId="77777777" w:rsidR="00154E32" w:rsidRDefault="00A43E04">
            <w:pPr>
              <w:pStyle w:val="P68B1DB1-Normal11"/>
              <w:spacing w:line="276" w:lineRule="auto"/>
              <w:jc w:val="center"/>
              <w:rPr>
                <w:noProof/>
              </w:rPr>
            </w:pPr>
            <w:r>
              <w:rPr>
                <w:noProof/>
              </w:rPr>
              <w:t>M2C1–13</w:t>
            </w:r>
          </w:p>
        </w:tc>
        <w:tc>
          <w:tcPr>
            <w:tcW w:w="1598" w:type="dxa"/>
            <w:shd w:val="clear" w:color="auto" w:fill="C6EFCE"/>
            <w:noWrap/>
            <w:vAlign w:val="center"/>
          </w:tcPr>
          <w:p w14:paraId="569410EF" w14:textId="77777777" w:rsidR="00154E32" w:rsidRDefault="00A43E04">
            <w:pPr>
              <w:pStyle w:val="P68B1DB1-Normal11"/>
              <w:spacing w:line="276" w:lineRule="auto"/>
              <w:jc w:val="center"/>
              <w:rPr>
                <w:noProof/>
              </w:rPr>
            </w:pPr>
            <w:r>
              <w:rPr>
                <w:noProof/>
              </w:rPr>
              <w:t>Reforma 1.2 – Nacionalni program za ravnanje z odpadki</w:t>
            </w:r>
          </w:p>
        </w:tc>
        <w:tc>
          <w:tcPr>
            <w:tcW w:w="1185" w:type="dxa"/>
            <w:shd w:val="clear" w:color="auto" w:fill="C6EFCE"/>
            <w:noWrap/>
            <w:vAlign w:val="center"/>
          </w:tcPr>
          <w:p w14:paraId="095A8D8D" w14:textId="77777777" w:rsidR="00154E32" w:rsidRDefault="00A43E04">
            <w:pPr>
              <w:pStyle w:val="P68B1DB1-Normal11"/>
              <w:spacing w:line="276" w:lineRule="auto"/>
              <w:jc w:val="center"/>
              <w:rPr>
                <w:noProof/>
              </w:rPr>
            </w:pPr>
            <w:r>
              <w:rPr>
                <w:noProof/>
              </w:rPr>
              <w:t>Mejnik</w:t>
            </w:r>
          </w:p>
        </w:tc>
        <w:tc>
          <w:tcPr>
            <w:tcW w:w="1732" w:type="dxa"/>
            <w:shd w:val="clear" w:color="auto" w:fill="C6EFCE"/>
            <w:noWrap/>
            <w:vAlign w:val="center"/>
          </w:tcPr>
          <w:p w14:paraId="71F4FCD6" w14:textId="77777777" w:rsidR="00154E32" w:rsidRDefault="00A43E04">
            <w:pPr>
              <w:pStyle w:val="P68B1DB1-Normal11"/>
              <w:spacing w:line="276" w:lineRule="auto"/>
              <w:jc w:val="center"/>
              <w:rPr>
                <w:noProof/>
              </w:rPr>
            </w:pPr>
            <w:r>
              <w:rPr>
                <w:noProof/>
              </w:rPr>
              <w:t>Začetek veljavnosti ministrske uredbe za nacionalni program ravnanja z odpadki</w:t>
            </w:r>
          </w:p>
        </w:tc>
        <w:tc>
          <w:tcPr>
            <w:tcW w:w="1603" w:type="dxa"/>
            <w:shd w:val="clear" w:color="auto" w:fill="C6EFCE"/>
            <w:noWrap/>
            <w:vAlign w:val="center"/>
          </w:tcPr>
          <w:p w14:paraId="5E949ACC" w14:textId="77777777" w:rsidR="00154E32" w:rsidRDefault="00A43E04">
            <w:pPr>
              <w:pStyle w:val="P68B1DB1-Normal11"/>
              <w:spacing w:line="276" w:lineRule="auto"/>
              <w:jc w:val="center"/>
              <w:rPr>
                <w:noProof/>
              </w:rPr>
            </w:pPr>
            <w:r>
              <w:rPr>
                <w:noProof/>
              </w:rPr>
              <w:t>Določba zakona o začetku veljavnosti</w:t>
            </w:r>
          </w:p>
        </w:tc>
        <w:tc>
          <w:tcPr>
            <w:tcW w:w="1275" w:type="dxa"/>
            <w:shd w:val="clear" w:color="auto" w:fill="C6EFCE"/>
            <w:noWrap/>
            <w:vAlign w:val="center"/>
          </w:tcPr>
          <w:p w14:paraId="06036419"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4B23BA58" w14:textId="77777777" w:rsidR="00154E32" w:rsidRDefault="00A43E04">
            <w:pPr>
              <w:pStyle w:val="P68B1DB1-Normal11"/>
              <w:spacing w:line="276" w:lineRule="auto"/>
              <w:jc w:val="center"/>
              <w:rPr>
                <w:noProof/>
              </w:rPr>
            </w:pPr>
            <w:r>
              <w:rPr>
                <w:noProof/>
              </w:rPr>
              <w:t>JIH NI</w:t>
            </w:r>
          </w:p>
        </w:tc>
        <w:tc>
          <w:tcPr>
            <w:tcW w:w="1162" w:type="dxa"/>
            <w:shd w:val="clear" w:color="auto" w:fill="C6EFCE"/>
            <w:noWrap/>
            <w:vAlign w:val="center"/>
          </w:tcPr>
          <w:p w14:paraId="34B0A2B4" w14:textId="77777777" w:rsidR="00154E32" w:rsidRDefault="00A43E04">
            <w:pPr>
              <w:pStyle w:val="P68B1DB1-Normal11"/>
              <w:spacing w:line="276" w:lineRule="auto"/>
              <w:jc w:val="center"/>
              <w:rPr>
                <w:noProof/>
              </w:rPr>
            </w:pPr>
            <w:r>
              <w:rPr>
                <w:noProof/>
              </w:rPr>
              <w:t>JIH NI</w:t>
            </w:r>
          </w:p>
        </w:tc>
        <w:tc>
          <w:tcPr>
            <w:tcW w:w="963" w:type="dxa"/>
            <w:shd w:val="clear" w:color="auto" w:fill="C6EFCE"/>
            <w:noWrap/>
            <w:vAlign w:val="center"/>
          </w:tcPr>
          <w:p w14:paraId="775E99F8" w14:textId="77777777" w:rsidR="00154E32" w:rsidRDefault="00A43E04">
            <w:pPr>
              <w:pStyle w:val="P68B1DB1-Normal11"/>
              <w:spacing w:line="276" w:lineRule="auto"/>
              <w:jc w:val="center"/>
              <w:rPr>
                <w:noProof/>
              </w:rPr>
            </w:pPr>
            <w:r>
              <w:rPr>
                <w:noProof/>
              </w:rPr>
              <w:t>Q2</w:t>
            </w:r>
          </w:p>
        </w:tc>
        <w:tc>
          <w:tcPr>
            <w:tcW w:w="710" w:type="dxa"/>
            <w:shd w:val="clear" w:color="auto" w:fill="C6EFCE"/>
            <w:noWrap/>
            <w:vAlign w:val="center"/>
          </w:tcPr>
          <w:p w14:paraId="0345C359" w14:textId="77777777" w:rsidR="00154E32" w:rsidRDefault="00A43E04">
            <w:pPr>
              <w:pStyle w:val="P68B1DB1-Normal11"/>
              <w:spacing w:line="276" w:lineRule="auto"/>
              <w:rPr>
                <w:noProof/>
              </w:rPr>
            </w:pPr>
            <w:r>
              <w:rPr>
                <w:noProof/>
              </w:rPr>
              <w:t>2022</w:t>
            </w:r>
          </w:p>
        </w:tc>
        <w:tc>
          <w:tcPr>
            <w:tcW w:w="3174" w:type="dxa"/>
            <w:shd w:val="clear" w:color="auto" w:fill="C6EFCE"/>
            <w:noWrap/>
            <w:vAlign w:val="center"/>
          </w:tcPr>
          <w:p w14:paraId="2663D160" w14:textId="77777777" w:rsidR="00154E32" w:rsidRDefault="00A43E04">
            <w:pPr>
              <w:pStyle w:val="P68B1DB1-Normal11"/>
              <w:spacing w:before="120" w:after="120" w:line="276" w:lineRule="auto"/>
              <w:rPr>
                <w:noProof/>
              </w:rPr>
            </w:pPr>
            <w:r>
              <w:rPr>
                <w:noProof/>
              </w:rPr>
              <w:t>Ministrska uredba za nacionalni program ravnanja z odpadki vsebuje vsaj naslednje cilje:</w:t>
            </w:r>
          </w:p>
          <w:p w14:paraId="5E641183" w14:textId="77777777" w:rsidR="00154E32" w:rsidRDefault="00A43E04">
            <w:pPr>
              <w:pStyle w:val="P68B1DB1-Normal11"/>
              <w:spacing w:line="276" w:lineRule="auto"/>
              <w:rPr>
                <w:noProof/>
              </w:rPr>
            </w:pPr>
            <w:r>
              <w:rPr>
                <w:noProof/>
              </w:rPr>
              <w:t>doseči najvišje ravni priprave za ponovno uporabo, recikliranja in predelave odpadkov, pri čemer je treba doseči vsaj cilje iz člena 181 zakonske uredbe 152/06 in upoštevati sheme razširjene odgovornosti proizvajalca;</w:t>
            </w:r>
          </w:p>
          <w:p w14:paraId="4000C3EE" w14:textId="77777777" w:rsidR="00154E32" w:rsidRDefault="00A43E04">
            <w:pPr>
              <w:pStyle w:val="P68B1DB1-Normal11"/>
              <w:numPr>
                <w:ilvl w:val="0"/>
                <w:numId w:val="59"/>
              </w:numPr>
              <w:spacing w:before="120" w:line="276" w:lineRule="auto"/>
              <w:ind w:left="244" w:hanging="357"/>
              <w:contextualSpacing/>
              <w:rPr>
                <w:noProof/>
              </w:rPr>
            </w:pPr>
            <w:r>
              <w:rPr>
                <w:noProof/>
              </w:rPr>
              <w:t>v skladu z načelom bližine in ob upoštevanju ciljev preprečevanja, opredeljenih v členu 180 zakonske uredbe 152/06, prilagoditi omrežje obratov, potrebnih za celostno ravnanje z odpadki, z namenom razvoja krožnega gospodarstva zagotoviti potrebne zmogljivosti za doseganje ciljev iz točke (a) in posledično čim bolj zmanjšati končno odlaganje kot končno in preostalo možnost;</w:t>
            </w:r>
          </w:p>
          <w:p w14:paraId="7869462B" w14:textId="77777777" w:rsidR="00154E32" w:rsidRDefault="00A43E04">
            <w:pPr>
              <w:pStyle w:val="P68B1DB1-Normal11"/>
              <w:numPr>
                <w:ilvl w:val="0"/>
                <w:numId w:val="59"/>
              </w:numPr>
              <w:spacing w:before="120" w:line="276" w:lineRule="auto"/>
              <w:ind w:left="244" w:hanging="357"/>
              <w:contextualSpacing/>
              <w:rPr>
                <w:noProof/>
              </w:rPr>
            </w:pPr>
            <w:r>
              <w:rPr>
                <w:noProof/>
              </w:rPr>
              <w:t>vzpostaviti ustrezno spremljanje izvajanja programa, da se omogoči stalno preverjanje skladnosti s cilji programa in morebitne potrebe po sprejetju korektivnih orodij za doseganje načrtovanih ukrepov;</w:t>
            </w:r>
          </w:p>
          <w:p w14:paraId="79B5CF1C" w14:textId="77777777" w:rsidR="00154E32" w:rsidRDefault="00A43E04">
            <w:pPr>
              <w:pStyle w:val="P68B1DB1-Normal11"/>
              <w:numPr>
                <w:ilvl w:val="0"/>
                <w:numId w:val="59"/>
              </w:numPr>
              <w:spacing w:before="120" w:line="276" w:lineRule="auto"/>
              <w:ind w:left="244" w:hanging="357"/>
              <w:contextualSpacing/>
              <w:rPr>
                <w:noProof/>
              </w:rPr>
            </w:pPr>
            <w:r>
              <w:rPr>
                <w:noProof/>
              </w:rPr>
              <w:t>preprečiti začetek novih postopkov za ugotavljanje kršitev proti Republiki Italiji zaradi neizvajanja evropskih predpisov o načrtovanju cikla odpadkov;</w:t>
            </w:r>
          </w:p>
          <w:p w14:paraId="4ED7702A" w14:textId="77777777" w:rsidR="00154E32" w:rsidRDefault="00A43E04">
            <w:pPr>
              <w:pStyle w:val="P68B1DB1-Normal11"/>
              <w:numPr>
                <w:ilvl w:val="0"/>
                <w:numId w:val="59"/>
              </w:numPr>
              <w:spacing w:before="120" w:line="276" w:lineRule="auto"/>
              <w:ind w:left="244" w:hanging="357"/>
              <w:contextualSpacing/>
              <w:rPr>
                <w:noProof/>
              </w:rPr>
            </w:pPr>
            <w:r>
              <w:rPr>
                <w:noProof/>
              </w:rPr>
              <w:t>odpravljanje nizkega zbiranja odpadkov in odvračanje od odlaganja odpadkov na odlagališčih (glej tudi nacionalno strategijo za krožno gospodarstvo);</w:t>
            </w:r>
          </w:p>
          <w:p w14:paraId="39F6D300" w14:textId="77777777" w:rsidR="00154E32" w:rsidRDefault="00A43E04">
            <w:pPr>
              <w:pStyle w:val="P68B1DB1-Normal11"/>
              <w:numPr>
                <w:ilvl w:val="0"/>
                <w:numId w:val="59"/>
              </w:numPr>
              <w:spacing w:before="120" w:line="276" w:lineRule="auto"/>
              <w:ind w:left="244" w:hanging="357"/>
              <w:contextualSpacing/>
              <w:rPr>
                <w:noProof/>
              </w:rPr>
            </w:pPr>
            <w:r>
              <w:rPr>
                <w:noProof/>
              </w:rPr>
              <w:t>regionalni obrat za ravnanje z odpadki dopolnjuje nacionalni program ravnanja z odpadki;</w:t>
            </w:r>
          </w:p>
          <w:p w14:paraId="4D097560" w14:textId="77777777" w:rsidR="00154E32" w:rsidRDefault="00A43E04">
            <w:pPr>
              <w:pStyle w:val="P68B1DB1-Normal11"/>
              <w:numPr>
                <w:ilvl w:val="0"/>
                <w:numId w:val="59"/>
              </w:numPr>
              <w:spacing w:before="120" w:line="276" w:lineRule="auto"/>
              <w:ind w:left="244" w:hanging="357"/>
              <w:contextualSpacing/>
              <w:rPr>
                <w:noProof/>
              </w:rPr>
            </w:pPr>
            <w:r>
              <w:rPr>
                <w:noProof/>
              </w:rPr>
              <w:t>premostiti vrzeli v ravnanju z odpadki in regionalne razlike v zvezi z zmogljivostjo obratov in standardi kakovosti, ki obstajajo med različnimi regijami in območji na nacionalnem ozemlju, da bi ponovno vzpostavili zamude;</w:t>
            </w:r>
          </w:p>
          <w:p w14:paraId="7EE8BD90" w14:textId="77777777" w:rsidR="00154E32" w:rsidRDefault="00A43E04">
            <w:pPr>
              <w:pStyle w:val="P68B1DB1-Normal11"/>
              <w:spacing w:before="120" w:after="120" w:line="276" w:lineRule="auto"/>
              <w:rPr>
                <w:noProof/>
              </w:rPr>
            </w:pPr>
            <w:r>
              <w:rPr>
                <w:noProof/>
              </w:rPr>
              <w:t>h) doseganje sedanjih in novih ciljev, določenih v evropski in nacionalni zakonodaji;</w:t>
            </w:r>
          </w:p>
          <w:p w14:paraId="41BD2769" w14:textId="77777777" w:rsidR="00154E32" w:rsidRDefault="00A43E04">
            <w:pPr>
              <w:pStyle w:val="P68B1DB1-Normal11"/>
              <w:spacing w:before="120" w:after="120" w:line="276" w:lineRule="auto"/>
              <w:rPr>
                <w:noProof/>
              </w:rPr>
            </w:pPr>
            <w:r>
              <w:rPr>
                <w:noProof/>
              </w:rPr>
              <w:t>I)za boj proti nezakonitemu odmetavanju odpadkov in sežiganju na prostem (npr. na območju Terra dei Fuochi) z ukrepi, vključno z uvedbo novega sistema sledljivosti odpadkov, podprtim globalnim sistemom spremljanja za soočanje z nezakonitim odlaganjem odpadkov, se razvije z uporabo satelitov, brezpilotnih zrakoplovov in tehnologij umetne inteligence.</w:t>
            </w:r>
          </w:p>
        </w:tc>
      </w:tr>
      <w:tr w:rsidR="00154E32" w14:paraId="790A85C5" w14:textId="77777777">
        <w:trPr>
          <w:trHeight w:val="313"/>
          <w:jc w:val="center"/>
        </w:trPr>
        <w:tc>
          <w:tcPr>
            <w:tcW w:w="1220" w:type="dxa"/>
            <w:shd w:val="clear" w:color="auto" w:fill="C6EFCE"/>
            <w:noWrap/>
            <w:vAlign w:val="center"/>
          </w:tcPr>
          <w:p w14:paraId="102C47C6" w14:textId="77777777" w:rsidR="00154E32" w:rsidRDefault="00A43E04">
            <w:pPr>
              <w:pStyle w:val="P68B1DB1-Normal11"/>
              <w:spacing w:line="276" w:lineRule="auto"/>
              <w:jc w:val="center"/>
              <w:rPr>
                <w:noProof/>
              </w:rPr>
            </w:pPr>
            <w:r>
              <w:rPr>
                <w:noProof/>
              </w:rPr>
              <w:t>M2C1–14</w:t>
            </w:r>
          </w:p>
        </w:tc>
        <w:tc>
          <w:tcPr>
            <w:tcW w:w="1598" w:type="dxa"/>
            <w:shd w:val="clear" w:color="auto" w:fill="C6EFCE"/>
            <w:noWrap/>
            <w:vAlign w:val="center"/>
          </w:tcPr>
          <w:p w14:paraId="0DCA235E" w14:textId="77777777" w:rsidR="00154E32" w:rsidRDefault="00A43E04">
            <w:pPr>
              <w:pStyle w:val="P68B1DB1-Normal11"/>
              <w:spacing w:line="276" w:lineRule="auto"/>
              <w:jc w:val="center"/>
              <w:rPr>
                <w:noProof/>
              </w:rPr>
            </w:pPr>
            <w:r>
              <w:rPr>
                <w:noProof/>
              </w:rPr>
              <w:t>Naložba 1.1 – Izvajanje novih obratov za ravnanje z odpadki in posodobitev obstoječih obratov;</w:t>
            </w:r>
          </w:p>
          <w:p w14:paraId="1EBB759D" w14:textId="77777777" w:rsidR="00154E32" w:rsidRDefault="00A43E04">
            <w:pPr>
              <w:pStyle w:val="P68B1DB1-Normal11"/>
              <w:spacing w:line="276" w:lineRule="auto"/>
              <w:jc w:val="center"/>
              <w:rPr>
                <w:noProof/>
              </w:rPr>
            </w:pPr>
            <w:r>
              <w:rPr>
                <w:noProof/>
              </w:rPr>
              <w:t>Naložba 1.2 – „vodilni“ projekti krožnega gospodarstva</w:t>
            </w:r>
          </w:p>
        </w:tc>
        <w:tc>
          <w:tcPr>
            <w:tcW w:w="1185" w:type="dxa"/>
            <w:shd w:val="clear" w:color="auto" w:fill="C6EFCE"/>
            <w:noWrap/>
            <w:vAlign w:val="center"/>
          </w:tcPr>
          <w:p w14:paraId="189BBECF" w14:textId="77777777" w:rsidR="00154E32" w:rsidRDefault="00A43E04">
            <w:pPr>
              <w:pStyle w:val="P68B1DB1-Normal11"/>
              <w:spacing w:line="276" w:lineRule="auto"/>
              <w:jc w:val="center"/>
              <w:rPr>
                <w:noProof/>
              </w:rPr>
            </w:pPr>
            <w:r>
              <w:rPr>
                <w:noProof/>
              </w:rPr>
              <w:t>Mejnik</w:t>
            </w:r>
          </w:p>
        </w:tc>
        <w:tc>
          <w:tcPr>
            <w:tcW w:w="1732" w:type="dxa"/>
            <w:shd w:val="clear" w:color="auto" w:fill="C6EFCE"/>
            <w:noWrap/>
            <w:vAlign w:val="center"/>
          </w:tcPr>
          <w:p w14:paraId="29F3DC93" w14:textId="77777777" w:rsidR="00154E32" w:rsidRDefault="00A43E04">
            <w:pPr>
              <w:pStyle w:val="P68B1DB1-Normal11"/>
              <w:spacing w:line="276" w:lineRule="auto"/>
              <w:jc w:val="center"/>
              <w:rPr>
                <w:noProof/>
              </w:rPr>
            </w:pPr>
            <w:r>
              <w:rPr>
                <w:noProof/>
              </w:rPr>
              <w:t>Začetek veljavnosti ministrske uredbe.</w:t>
            </w:r>
          </w:p>
        </w:tc>
        <w:tc>
          <w:tcPr>
            <w:tcW w:w="1603" w:type="dxa"/>
            <w:shd w:val="clear" w:color="auto" w:fill="C6EFCE"/>
            <w:noWrap/>
            <w:vAlign w:val="center"/>
          </w:tcPr>
          <w:p w14:paraId="0B61B0EC" w14:textId="77777777" w:rsidR="00154E32" w:rsidRDefault="00A43E04">
            <w:pPr>
              <w:pStyle w:val="P68B1DB1-Normal11"/>
              <w:spacing w:line="276" w:lineRule="auto"/>
              <w:jc w:val="center"/>
              <w:rPr>
                <w:noProof/>
              </w:rPr>
            </w:pPr>
            <w:r>
              <w:rPr>
                <w:noProof/>
              </w:rPr>
              <w:t>Sprejetje ministrske uredbe za odobritev meril za izbor projektov, ki so jih predlagale občine.</w:t>
            </w:r>
          </w:p>
        </w:tc>
        <w:tc>
          <w:tcPr>
            <w:tcW w:w="1275" w:type="dxa"/>
            <w:shd w:val="clear" w:color="auto" w:fill="C6EFCE"/>
            <w:noWrap/>
            <w:vAlign w:val="center"/>
          </w:tcPr>
          <w:p w14:paraId="3DCD0615" w14:textId="77777777" w:rsidR="00154E32" w:rsidRDefault="00A43E04">
            <w:pPr>
              <w:pStyle w:val="P68B1DB1-Normal11"/>
              <w:spacing w:line="276" w:lineRule="auto"/>
              <w:jc w:val="center"/>
              <w:rPr>
                <w:noProof/>
              </w:rPr>
            </w:pPr>
            <w:r>
              <w:rPr>
                <w:noProof/>
              </w:rPr>
              <w:t>Objava v Gazzetta Ufficiale</w:t>
            </w:r>
          </w:p>
        </w:tc>
        <w:tc>
          <w:tcPr>
            <w:tcW w:w="993" w:type="dxa"/>
            <w:shd w:val="clear" w:color="auto" w:fill="C6EFCE"/>
            <w:noWrap/>
            <w:vAlign w:val="center"/>
          </w:tcPr>
          <w:p w14:paraId="7D6F1DE1" w14:textId="77777777" w:rsidR="00154E32" w:rsidRDefault="00A43E04">
            <w:pPr>
              <w:pStyle w:val="P68B1DB1-Normal11"/>
              <w:spacing w:line="276" w:lineRule="auto"/>
              <w:jc w:val="center"/>
              <w:rPr>
                <w:noProof/>
              </w:rPr>
            </w:pPr>
            <w:r>
              <w:rPr>
                <w:noProof/>
              </w:rPr>
              <w:t>JIH NI</w:t>
            </w:r>
          </w:p>
        </w:tc>
        <w:tc>
          <w:tcPr>
            <w:tcW w:w="1162" w:type="dxa"/>
            <w:shd w:val="clear" w:color="auto" w:fill="C6EFCE"/>
            <w:noWrap/>
            <w:vAlign w:val="center"/>
          </w:tcPr>
          <w:p w14:paraId="2ADA412B" w14:textId="77777777" w:rsidR="00154E32" w:rsidRDefault="00A43E04">
            <w:pPr>
              <w:pStyle w:val="P68B1DB1-Normal11"/>
              <w:spacing w:line="276" w:lineRule="auto"/>
              <w:jc w:val="center"/>
              <w:rPr>
                <w:noProof/>
              </w:rPr>
            </w:pPr>
            <w:r>
              <w:rPr>
                <w:noProof/>
              </w:rPr>
              <w:t>JIH NI</w:t>
            </w:r>
          </w:p>
        </w:tc>
        <w:tc>
          <w:tcPr>
            <w:tcW w:w="963" w:type="dxa"/>
            <w:shd w:val="clear" w:color="auto" w:fill="C6EFCE"/>
            <w:noWrap/>
            <w:vAlign w:val="center"/>
          </w:tcPr>
          <w:p w14:paraId="1202CEFD" w14:textId="77777777" w:rsidR="00154E32" w:rsidRDefault="00A43E04">
            <w:pPr>
              <w:pStyle w:val="P68B1DB1-Normal11"/>
              <w:spacing w:line="276" w:lineRule="auto"/>
              <w:jc w:val="center"/>
              <w:rPr>
                <w:noProof/>
              </w:rPr>
            </w:pPr>
            <w:r>
              <w:rPr>
                <w:noProof/>
              </w:rPr>
              <w:t>Q3</w:t>
            </w:r>
          </w:p>
        </w:tc>
        <w:tc>
          <w:tcPr>
            <w:tcW w:w="710" w:type="dxa"/>
            <w:shd w:val="clear" w:color="auto" w:fill="C6EFCE"/>
            <w:noWrap/>
            <w:vAlign w:val="center"/>
          </w:tcPr>
          <w:p w14:paraId="10CB7483" w14:textId="77777777" w:rsidR="00154E32" w:rsidRDefault="00A43E04">
            <w:pPr>
              <w:pStyle w:val="P68B1DB1-Normal11"/>
              <w:spacing w:line="276" w:lineRule="auto"/>
              <w:rPr>
                <w:noProof/>
              </w:rPr>
            </w:pPr>
            <w:r>
              <w:rPr>
                <w:noProof/>
              </w:rPr>
              <w:t>2021</w:t>
            </w:r>
          </w:p>
        </w:tc>
        <w:tc>
          <w:tcPr>
            <w:tcW w:w="3174" w:type="dxa"/>
            <w:shd w:val="clear" w:color="auto" w:fill="C6EFCE"/>
            <w:noWrap/>
            <w:vAlign w:val="center"/>
          </w:tcPr>
          <w:p w14:paraId="68418CB2" w14:textId="77777777" w:rsidR="00154E32" w:rsidRDefault="00A43E04">
            <w:pPr>
              <w:pStyle w:val="P68B1DB1-Normal11"/>
              <w:spacing w:before="60" w:after="120" w:line="276" w:lineRule="auto"/>
              <w:rPr>
                <w:noProof/>
              </w:rPr>
            </w:pPr>
            <w:r>
              <w:rPr>
                <w:noProof/>
              </w:rPr>
              <w:t>Veljati začne ministrska uredba o odobritvi meril za izbiro projektov, ki jih predlagajo občine.</w:t>
            </w:r>
          </w:p>
          <w:p w14:paraId="35BF70F7" w14:textId="77777777" w:rsidR="00154E32" w:rsidRDefault="00A43E04">
            <w:pPr>
              <w:pStyle w:val="P68B1DB1-Normal11"/>
              <w:spacing w:before="60" w:after="120" w:line="276" w:lineRule="auto"/>
              <w:rPr>
                <w:noProof/>
              </w:rPr>
            </w:pPr>
            <w:r>
              <w:rPr>
                <w:noProof/>
              </w:rPr>
              <w:t>Ministrska uredba določa, da se projekti izberejo med naslednjimi merili:</w:t>
            </w:r>
          </w:p>
          <w:p w14:paraId="0C5D8794" w14:textId="77777777" w:rsidR="00154E32" w:rsidRDefault="00A43E04">
            <w:pPr>
              <w:pStyle w:val="P68B1DB1-Normal11"/>
              <w:numPr>
                <w:ilvl w:val="0"/>
                <w:numId w:val="58"/>
              </w:numPr>
              <w:spacing w:before="60" w:line="276" w:lineRule="auto"/>
              <w:ind w:left="244" w:hanging="357"/>
              <w:contextualSpacing/>
              <w:rPr>
                <w:noProof/>
              </w:rPr>
            </w:pPr>
            <w:r>
              <w:rPr>
                <w:noProof/>
              </w:rPr>
              <w:t>Skladnost z zakonodajo EU in nacionalno zakonodajo ter evropskim akcijskim načrtom za krožno gospodarstvo,</w:t>
            </w:r>
          </w:p>
          <w:p w14:paraId="7B26F60E" w14:textId="77777777" w:rsidR="00154E32" w:rsidRDefault="00A43E04">
            <w:pPr>
              <w:pStyle w:val="P68B1DB1-Normal11"/>
              <w:numPr>
                <w:ilvl w:val="0"/>
                <w:numId w:val="58"/>
              </w:numPr>
              <w:spacing w:before="60" w:line="276" w:lineRule="auto"/>
              <w:ind w:left="244" w:hanging="357"/>
              <w:contextualSpacing/>
              <w:rPr>
                <w:noProof/>
              </w:rPr>
            </w:pPr>
            <w:r>
              <w:rPr>
                <w:noProof/>
              </w:rPr>
              <w:t>Pričakovano izboljšanje ciljev recikliranja</w:t>
            </w:r>
          </w:p>
          <w:p w14:paraId="20BA6741" w14:textId="77777777" w:rsidR="00154E32" w:rsidRDefault="00A43E04">
            <w:pPr>
              <w:pStyle w:val="P68B1DB1-Normal11"/>
              <w:numPr>
                <w:ilvl w:val="0"/>
                <w:numId w:val="58"/>
              </w:numPr>
              <w:spacing w:before="60" w:line="276" w:lineRule="auto"/>
              <w:ind w:left="244" w:hanging="357"/>
              <w:contextualSpacing/>
              <w:rPr>
                <w:noProof/>
              </w:rPr>
            </w:pPr>
            <w:r>
              <w:rPr>
                <w:noProof/>
              </w:rPr>
              <w:t>Skladnost z regionalnimi in nacionalnimi instrumenti načrtovanja,</w:t>
            </w:r>
          </w:p>
          <w:p w14:paraId="2A17FF4F" w14:textId="77777777" w:rsidR="00154E32" w:rsidRDefault="00A43E04">
            <w:pPr>
              <w:pStyle w:val="P68B1DB1-Normal11"/>
              <w:numPr>
                <w:ilvl w:val="0"/>
                <w:numId w:val="58"/>
              </w:numPr>
              <w:spacing w:before="60" w:line="276" w:lineRule="auto"/>
              <w:ind w:left="244" w:hanging="357"/>
              <w:contextualSpacing/>
              <w:rPr>
                <w:noProof/>
              </w:rPr>
            </w:pPr>
            <w:r>
              <w:rPr>
                <w:noProof/>
              </w:rPr>
              <w:t>Prispevek k reševanju kršitev EU, sinergije z drugim sektorskim načrtovanjem (npr. PNIEC) in/ali drugimi sestavnimi deli načrta, inovativne tehnologije, ki temeljijo na izkušnjah celotnega obsega,</w:t>
            </w:r>
          </w:p>
          <w:p w14:paraId="75AA333E" w14:textId="77777777" w:rsidR="00154E32" w:rsidRDefault="00A43E04">
            <w:pPr>
              <w:pStyle w:val="P68B1DB1-Normal11"/>
              <w:numPr>
                <w:ilvl w:val="0"/>
                <w:numId w:val="58"/>
              </w:numPr>
              <w:spacing w:before="60" w:line="276" w:lineRule="auto"/>
              <w:ind w:left="244" w:hanging="357"/>
              <w:contextualSpacing/>
              <w:rPr>
                <w:noProof/>
              </w:rPr>
            </w:pPr>
            <w:r>
              <w:rPr>
                <w:noProof/>
              </w:rPr>
              <w:t>Tehnična kakovost predloga.</w:t>
            </w:r>
          </w:p>
          <w:p w14:paraId="1D7CBE8C" w14:textId="77777777" w:rsidR="00154E32" w:rsidRDefault="00A43E04">
            <w:pPr>
              <w:pStyle w:val="P68B1DB1-Normal11"/>
              <w:numPr>
                <w:ilvl w:val="0"/>
                <w:numId w:val="58"/>
              </w:numPr>
              <w:spacing w:before="60" w:line="276" w:lineRule="auto"/>
              <w:ind w:left="244" w:hanging="357"/>
              <w:contextualSpacing/>
              <w:rPr>
                <w:noProof/>
              </w:rPr>
            </w:pPr>
            <w:r>
              <w:rPr>
                <w:noProof/>
              </w:rPr>
              <w:t>Skladnost in dopolnjevanje s programi kohezijske politike in podobnimi projekti, ki se financirajo iz drugih instrumentov EU in nacionalnih instrumentov</w:t>
            </w:r>
          </w:p>
          <w:p w14:paraId="55A6BF6C" w14:textId="77777777" w:rsidR="00154E32" w:rsidRDefault="00A43E04">
            <w:pPr>
              <w:pStyle w:val="P68B1DB1-Normal11"/>
              <w:spacing w:before="120" w:after="120" w:line="276" w:lineRule="auto"/>
              <w:rPr>
                <w:noProof/>
              </w:rPr>
            </w:pPr>
            <w:r>
              <w:rPr>
                <w:noProof/>
              </w:rPr>
              <w:t>Posegi ne vključujejo naložb v odlagališča, odlagališča, obrate za mehansko biološko obdelavo/mehansko obdelavo ali sežigalnice v skladu z načelom, da se ne škoduje bistveno.</w:t>
            </w:r>
          </w:p>
        </w:tc>
      </w:tr>
      <w:tr w:rsidR="00154E32" w14:paraId="144C7BAD" w14:textId="77777777">
        <w:trPr>
          <w:trHeight w:val="313"/>
          <w:jc w:val="center"/>
        </w:trPr>
        <w:tc>
          <w:tcPr>
            <w:tcW w:w="1220" w:type="dxa"/>
            <w:shd w:val="clear" w:color="auto" w:fill="C6EFCE"/>
            <w:noWrap/>
            <w:vAlign w:val="center"/>
          </w:tcPr>
          <w:p w14:paraId="23BADA38" w14:textId="77777777" w:rsidR="00154E32" w:rsidRDefault="00A43E04">
            <w:pPr>
              <w:pStyle w:val="P68B1DB1-Normal11"/>
              <w:spacing w:line="276" w:lineRule="auto"/>
              <w:jc w:val="center"/>
              <w:rPr>
                <w:noProof/>
              </w:rPr>
            </w:pPr>
            <w:r>
              <w:rPr>
                <w:noProof/>
              </w:rPr>
              <w:t>M2C1–15</w:t>
            </w:r>
          </w:p>
        </w:tc>
        <w:tc>
          <w:tcPr>
            <w:tcW w:w="1598" w:type="dxa"/>
            <w:shd w:val="clear" w:color="auto" w:fill="C6EFCE"/>
            <w:noWrap/>
            <w:vAlign w:val="center"/>
          </w:tcPr>
          <w:p w14:paraId="52524F5D" w14:textId="77777777" w:rsidR="00154E32" w:rsidRDefault="00A43E04">
            <w:pPr>
              <w:pStyle w:val="P68B1DB1-Normal11"/>
              <w:spacing w:line="276" w:lineRule="auto"/>
              <w:jc w:val="center"/>
              <w:rPr>
                <w:noProof/>
              </w:rPr>
            </w:pPr>
            <w:r>
              <w:rPr>
                <w:noProof/>
              </w:rPr>
              <w:t>Reforma 1.2</w:t>
            </w:r>
          </w:p>
          <w:p w14:paraId="3ABB8564" w14:textId="77777777" w:rsidR="00154E32" w:rsidRDefault="00A43E04">
            <w:pPr>
              <w:pStyle w:val="P68B1DB1-Normal11"/>
              <w:spacing w:line="276" w:lineRule="auto"/>
              <w:jc w:val="center"/>
              <w:rPr>
                <w:noProof/>
              </w:rPr>
            </w:pPr>
            <w:r>
              <w:rPr>
                <w:noProof/>
              </w:rPr>
              <w:t>Nacionalni program za ravnanje z odpadki;</w:t>
            </w:r>
          </w:p>
          <w:p w14:paraId="46F928AA" w14:textId="77777777" w:rsidR="00154E32" w:rsidRDefault="00A43E04">
            <w:pPr>
              <w:pStyle w:val="P68B1DB1-Normal11"/>
              <w:spacing w:line="276" w:lineRule="auto"/>
              <w:jc w:val="center"/>
              <w:rPr>
                <w:noProof/>
              </w:rPr>
            </w:pPr>
            <w:r>
              <w:rPr>
                <w:noProof/>
              </w:rPr>
              <w:t xml:space="preserve"> </w:t>
            </w:r>
          </w:p>
          <w:p w14:paraId="5F99EBB4" w14:textId="77777777" w:rsidR="00154E32" w:rsidRDefault="00A43E04">
            <w:pPr>
              <w:pStyle w:val="P68B1DB1-Normal11"/>
              <w:spacing w:line="276" w:lineRule="auto"/>
              <w:jc w:val="center"/>
              <w:rPr>
                <w:noProof/>
              </w:rPr>
            </w:pPr>
            <w:r>
              <w:rPr>
                <w:noProof/>
              </w:rPr>
              <w:t>Naložba 1.1 – Izvajanje novih obratov za ravnanje z odpadki in posodobitev obstoječih obratov</w:t>
            </w:r>
          </w:p>
        </w:tc>
        <w:tc>
          <w:tcPr>
            <w:tcW w:w="1185" w:type="dxa"/>
            <w:shd w:val="clear" w:color="auto" w:fill="C6EFCE"/>
            <w:noWrap/>
            <w:vAlign w:val="center"/>
          </w:tcPr>
          <w:p w14:paraId="2EF45273" w14:textId="77777777" w:rsidR="00154E32" w:rsidRDefault="00A43E04">
            <w:pPr>
              <w:pStyle w:val="P68B1DB1-Normal11"/>
              <w:spacing w:line="276" w:lineRule="auto"/>
              <w:jc w:val="center"/>
              <w:rPr>
                <w:noProof/>
              </w:rPr>
            </w:pPr>
            <w:r>
              <w:rPr>
                <w:noProof/>
              </w:rPr>
              <w:t>Tarča</w:t>
            </w:r>
          </w:p>
        </w:tc>
        <w:tc>
          <w:tcPr>
            <w:tcW w:w="1732" w:type="dxa"/>
            <w:shd w:val="clear" w:color="auto" w:fill="C6EFCE"/>
            <w:noWrap/>
            <w:vAlign w:val="center"/>
          </w:tcPr>
          <w:p w14:paraId="57F0692F" w14:textId="2087930D" w:rsidR="00154E32" w:rsidRDefault="00A43E04">
            <w:pPr>
              <w:pStyle w:val="P68B1DB1-Normal11"/>
              <w:spacing w:line="276" w:lineRule="auto"/>
              <w:jc w:val="center"/>
              <w:rPr>
                <w:noProof/>
              </w:rPr>
            </w:pPr>
            <w:r>
              <w:rPr>
                <w:noProof/>
              </w:rPr>
              <w:t xml:space="preserve">Zmanjšanje nezakonitih odlagališč (T1) </w:t>
            </w:r>
          </w:p>
        </w:tc>
        <w:tc>
          <w:tcPr>
            <w:tcW w:w="1603" w:type="dxa"/>
            <w:shd w:val="clear" w:color="auto" w:fill="C6EFCE"/>
            <w:noWrap/>
            <w:vAlign w:val="center"/>
          </w:tcPr>
          <w:p w14:paraId="3D000604" w14:textId="77777777" w:rsidR="00154E32" w:rsidRDefault="00A43E04">
            <w:pPr>
              <w:pStyle w:val="P68B1DB1-Normal11"/>
              <w:spacing w:line="276" w:lineRule="auto"/>
              <w:jc w:val="center"/>
              <w:rPr>
                <w:noProof/>
              </w:rPr>
            </w:pPr>
            <w:r>
              <w:rPr>
                <w:noProof/>
              </w:rPr>
              <w:t>JIH NI</w:t>
            </w:r>
          </w:p>
        </w:tc>
        <w:tc>
          <w:tcPr>
            <w:tcW w:w="1275" w:type="dxa"/>
            <w:shd w:val="clear" w:color="auto" w:fill="C6EFCE"/>
            <w:noWrap/>
            <w:vAlign w:val="center"/>
          </w:tcPr>
          <w:p w14:paraId="44F3AE68" w14:textId="77777777" w:rsidR="00154E32" w:rsidRDefault="00A43E04">
            <w:pPr>
              <w:pStyle w:val="P68B1DB1-Normal11"/>
              <w:spacing w:line="276" w:lineRule="auto"/>
              <w:jc w:val="center"/>
              <w:rPr>
                <w:noProof/>
              </w:rPr>
            </w:pPr>
            <w:r>
              <w:rPr>
                <w:noProof/>
              </w:rPr>
              <w:t>Število nezakonitih odlagališč</w:t>
            </w:r>
          </w:p>
        </w:tc>
        <w:tc>
          <w:tcPr>
            <w:tcW w:w="993" w:type="dxa"/>
            <w:shd w:val="clear" w:color="auto" w:fill="C6EFCE"/>
            <w:noWrap/>
            <w:vAlign w:val="center"/>
          </w:tcPr>
          <w:p w14:paraId="53769549" w14:textId="77777777" w:rsidR="00154E32" w:rsidRDefault="00A43E04">
            <w:pPr>
              <w:pStyle w:val="P68B1DB1-Normal11"/>
              <w:spacing w:line="276" w:lineRule="auto"/>
              <w:jc w:val="center"/>
              <w:rPr>
                <w:noProof/>
              </w:rPr>
            </w:pPr>
            <w:r>
              <w:rPr>
                <w:noProof/>
              </w:rPr>
              <w:t>33</w:t>
            </w:r>
          </w:p>
        </w:tc>
        <w:tc>
          <w:tcPr>
            <w:tcW w:w="1162" w:type="dxa"/>
            <w:shd w:val="clear" w:color="auto" w:fill="C6EFCE"/>
            <w:noWrap/>
            <w:vAlign w:val="center"/>
          </w:tcPr>
          <w:p w14:paraId="0749F2A1" w14:textId="77777777" w:rsidR="00154E32" w:rsidRDefault="00A43E04">
            <w:pPr>
              <w:pStyle w:val="P68B1DB1-Normal11"/>
              <w:spacing w:line="276" w:lineRule="auto"/>
              <w:jc w:val="center"/>
              <w:rPr>
                <w:noProof/>
              </w:rPr>
            </w:pPr>
            <w:r>
              <w:rPr>
                <w:noProof/>
              </w:rPr>
              <w:t>11</w:t>
            </w:r>
          </w:p>
        </w:tc>
        <w:tc>
          <w:tcPr>
            <w:tcW w:w="963" w:type="dxa"/>
            <w:shd w:val="clear" w:color="auto" w:fill="C6EFCE"/>
            <w:noWrap/>
            <w:vAlign w:val="center"/>
          </w:tcPr>
          <w:p w14:paraId="3AEDCD8D" w14:textId="77777777" w:rsidR="00154E32" w:rsidRDefault="00A43E04">
            <w:pPr>
              <w:pStyle w:val="P68B1DB1-Normal11"/>
              <w:spacing w:line="276" w:lineRule="auto"/>
              <w:jc w:val="center"/>
              <w:rPr>
                <w:noProof/>
              </w:rPr>
            </w:pPr>
            <w:r>
              <w:rPr>
                <w:noProof/>
              </w:rPr>
              <w:t>Q2</w:t>
            </w:r>
          </w:p>
        </w:tc>
        <w:tc>
          <w:tcPr>
            <w:tcW w:w="710" w:type="dxa"/>
            <w:shd w:val="clear" w:color="auto" w:fill="C6EFCE"/>
            <w:noWrap/>
            <w:vAlign w:val="center"/>
          </w:tcPr>
          <w:p w14:paraId="4FF36380" w14:textId="5E2FDEB9" w:rsidR="00154E32" w:rsidRDefault="00A43E04">
            <w:pPr>
              <w:pStyle w:val="P68B1DB1-Normal11"/>
              <w:spacing w:line="276" w:lineRule="auto"/>
              <w:rPr>
                <w:noProof/>
              </w:rPr>
            </w:pPr>
            <w:r>
              <w:rPr>
                <w:noProof/>
              </w:rPr>
              <w:t>2024</w:t>
            </w:r>
          </w:p>
        </w:tc>
        <w:tc>
          <w:tcPr>
            <w:tcW w:w="3174" w:type="dxa"/>
            <w:shd w:val="clear" w:color="auto" w:fill="C6EFCE"/>
            <w:noWrap/>
            <w:vAlign w:val="center"/>
          </w:tcPr>
          <w:p w14:paraId="473D1811" w14:textId="77777777" w:rsidR="00154E32" w:rsidRDefault="00A43E04">
            <w:pPr>
              <w:pStyle w:val="P68B1DB1-Normal11"/>
              <w:spacing w:before="60" w:after="120"/>
              <w:jc w:val="both"/>
              <w:rPr>
                <w:noProof/>
              </w:rPr>
            </w:pPr>
            <w:r>
              <w:rPr>
                <w:noProof/>
              </w:rPr>
              <w:t>Predlagani ukrepi podpirajo izgradnjo novih obratov za obdelavo in recikliranje ter tehnično izboljšanje obstoječega. Poleg tega so ukrepi namenjeni izvajanju in digitalizaciji mreže za ločeno zbiranje, da bi podprli in vključili državljane v sprejemanje dobrih praks na področju ravnanja z odpadki.</w:t>
            </w:r>
          </w:p>
          <w:p w14:paraId="0DD1139A" w14:textId="1E4743ED" w:rsidR="00154E32" w:rsidRDefault="00A43E04">
            <w:pPr>
              <w:pStyle w:val="P68B1DB1-Normal11"/>
              <w:spacing w:after="120"/>
              <w:jc w:val="both"/>
              <w:rPr>
                <w:noProof/>
              </w:rPr>
            </w:pPr>
            <w:r>
              <w:rPr>
                <w:noProof/>
              </w:rPr>
              <w:t>S predlaganim posredovanjem se zmanjša število nezakonitih odlagališč, vključenih v postopek za ugotavljanje kršitev NIF 2003/2077, s 33 na 11 (tj. za vsaj 66 %).</w:t>
            </w:r>
          </w:p>
          <w:p w14:paraId="28E9C31A" w14:textId="77777777" w:rsidR="00154E32" w:rsidRDefault="00A43E04">
            <w:pPr>
              <w:pStyle w:val="P68B1DB1-Normal11"/>
              <w:spacing w:after="120"/>
              <w:jc w:val="both"/>
              <w:rPr>
                <w:noProof/>
              </w:rPr>
            </w:pPr>
            <w:r>
              <w:rPr>
                <w:noProof/>
              </w:rPr>
              <w:t>Do 31. decembra 2023 se vsaj 27 (od 33) zahtevkov za preklic pošlje Evropski komisiji. Zahteva za izključitev vključuje popolno analizo kontaminacije (tla in voda), jasno razlago sanacije onesnaženja in jamstva, da je tveganje za kontaminacijo izključeno.</w:t>
            </w:r>
          </w:p>
          <w:p w14:paraId="1D92657F" w14:textId="1089FCF7" w:rsidR="00154E32" w:rsidRDefault="00A43E04">
            <w:pPr>
              <w:pStyle w:val="P68B1DB1-Normal11"/>
              <w:spacing w:after="120"/>
              <w:jc w:val="both"/>
              <w:rPr>
                <w:noProof/>
              </w:rPr>
            </w:pPr>
            <w:r>
              <w:rPr>
                <w:noProof/>
              </w:rPr>
              <w:t>Do 30. junija 2024 se Evropski komisiji pošlje vsaj 29 (od 33) zahtevkov za preklic. Zahteva za izključitev vključuje popolno analizo kontaminacije (tla in voda), jasno razlago sanacije onesnaženja in jamstva, da je tveganje za kontaminacijo izključeno.</w:t>
            </w:r>
          </w:p>
        </w:tc>
      </w:tr>
      <w:tr w:rsidR="00154E32" w14:paraId="6FCC5EAD" w14:textId="77777777">
        <w:trPr>
          <w:trHeight w:val="313"/>
          <w:jc w:val="center"/>
        </w:trPr>
        <w:tc>
          <w:tcPr>
            <w:tcW w:w="1220" w:type="dxa"/>
            <w:shd w:val="clear" w:color="auto" w:fill="C6EFCE"/>
            <w:noWrap/>
            <w:vAlign w:val="center"/>
          </w:tcPr>
          <w:p w14:paraId="55315AB6" w14:textId="77777777" w:rsidR="00154E32" w:rsidRDefault="00A43E04">
            <w:pPr>
              <w:pStyle w:val="P68B1DB1-Normal11"/>
              <w:spacing w:line="276" w:lineRule="auto"/>
              <w:jc w:val="center"/>
              <w:rPr>
                <w:noProof/>
              </w:rPr>
            </w:pPr>
            <w:r>
              <w:rPr>
                <w:noProof/>
              </w:rPr>
              <w:t>M2C1–15a</w:t>
            </w:r>
          </w:p>
        </w:tc>
        <w:tc>
          <w:tcPr>
            <w:tcW w:w="1598" w:type="dxa"/>
            <w:shd w:val="clear" w:color="auto" w:fill="C6EFCE"/>
            <w:noWrap/>
            <w:vAlign w:val="center"/>
          </w:tcPr>
          <w:p w14:paraId="6171E12A" w14:textId="77777777" w:rsidR="00154E32" w:rsidRDefault="00A43E04">
            <w:pPr>
              <w:pStyle w:val="P68B1DB1-Normal11"/>
              <w:spacing w:line="276" w:lineRule="auto"/>
              <w:jc w:val="center"/>
              <w:rPr>
                <w:noProof/>
              </w:rPr>
            </w:pPr>
            <w:r>
              <w:rPr>
                <w:noProof/>
              </w:rPr>
              <w:t>Reforma 1.2</w:t>
            </w:r>
          </w:p>
          <w:p w14:paraId="68D7FB6C" w14:textId="77777777" w:rsidR="00154E32" w:rsidRDefault="00A43E04">
            <w:pPr>
              <w:pStyle w:val="P68B1DB1-Normal11"/>
              <w:spacing w:line="276" w:lineRule="auto"/>
              <w:jc w:val="center"/>
              <w:rPr>
                <w:noProof/>
              </w:rPr>
            </w:pPr>
            <w:r>
              <w:rPr>
                <w:noProof/>
              </w:rPr>
              <w:t>Nacionalni program za ravnanje z odpadki:</w:t>
            </w:r>
          </w:p>
          <w:p w14:paraId="40D53F0B" w14:textId="77777777" w:rsidR="00154E32" w:rsidRDefault="00154E32">
            <w:pPr>
              <w:spacing w:line="276" w:lineRule="auto"/>
              <w:jc w:val="center"/>
              <w:rPr>
                <w:rFonts w:ascii="Arial Narrow" w:hAnsi="Arial Narrow"/>
                <w:noProof/>
                <w:color w:val="006100"/>
                <w:sz w:val="20"/>
              </w:rPr>
            </w:pPr>
          </w:p>
          <w:p w14:paraId="4FE0568C" w14:textId="77777777" w:rsidR="00154E32" w:rsidRDefault="00A43E04">
            <w:pPr>
              <w:pStyle w:val="P68B1DB1-Normal11"/>
              <w:spacing w:line="276" w:lineRule="auto"/>
              <w:jc w:val="center"/>
              <w:rPr>
                <w:noProof/>
              </w:rPr>
            </w:pPr>
            <w:r>
              <w:rPr>
                <w:noProof/>
              </w:rPr>
              <w:t>Naložba 1.1 – Izvajanje novih obratov za ravnanje z odpadki in posodobitev obstoječih obratov</w:t>
            </w:r>
          </w:p>
        </w:tc>
        <w:tc>
          <w:tcPr>
            <w:tcW w:w="1185" w:type="dxa"/>
            <w:shd w:val="clear" w:color="auto" w:fill="C6EFCE"/>
            <w:noWrap/>
            <w:vAlign w:val="center"/>
          </w:tcPr>
          <w:p w14:paraId="6C65129F" w14:textId="77777777" w:rsidR="00154E32" w:rsidRDefault="00A43E04">
            <w:pPr>
              <w:pStyle w:val="P68B1DB1-Normal11"/>
              <w:spacing w:line="276" w:lineRule="auto"/>
              <w:jc w:val="center"/>
              <w:rPr>
                <w:noProof/>
              </w:rPr>
            </w:pPr>
            <w:r>
              <w:rPr>
                <w:noProof/>
              </w:rPr>
              <w:t>Tarča</w:t>
            </w:r>
          </w:p>
        </w:tc>
        <w:tc>
          <w:tcPr>
            <w:tcW w:w="1732" w:type="dxa"/>
            <w:shd w:val="clear" w:color="auto" w:fill="C6EFCE"/>
            <w:noWrap/>
            <w:vAlign w:val="center"/>
          </w:tcPr>
          <w:p w14:paraId="7C884ED3" w14:textId="77777777" w:rsidR="00154E32" w:rsidRDefault="00A43E04">
            <w:pPr>
              <w:pStyle w:val="P68B1DB1-Normal11"/>
              <w:spacing w:line="276" w:lineRule="auto"/>
              <w:jc w:val="center"/>
              <w:rPr>
                <w:noProof/>
              </w:rPr>
            </w:pPr>
            <w:r>
              <w:rPr>
                <w:noProof/>
              </w:rPr>
              <w:t>Zmanjšanje nezakonitih odlagališč (T2)</w:t>
            </w:r>
          </w:p>
        </w:tc>
        <w:tc>
          <w:tcPr>
            <w:tcW w:w="1603" w:type="dxa"/>
            <w:shd w:val="clear" w:color="auto" w:fill="C6EFCE"/>
            <w:noWrap/>
            <w:vAlign w:val="center"/>
          </w:tcPr>
          <w:p w14:paraId="1444F89B" w14:textId="77777777" w:rsidR="00154E32" w:rsidRDefault="00A43E04">
            <w:pPr>
              <w:pStyle w:val="P68B1DB1-Normal11"/>
              <w:spacing w:line="276" w:lineRule="auto"/>
              <w:jc w:val="center"/>
              <w:rPr>
                <w:noProof/>
              </w:rPr>
            </w:pPr>
            <w:r>
              <w:rPr>
                <w:noProof/>
              </w:rPr>
              <w:t>JIH NI</w:t>
            </w:r>
          </w:p>
        </w:tc>
        <w:tc>
          <w:tcPr>
            <w:tcW w:w="1275" w:type="dxa"/>
            <w:shd w:val="clear" w:color="auto" w:fill="C6EFCE"/>
            <w:noWrap/>
            <w:vAlign w:val="center"/>
          </w:tcPr>
          <w:p w14:paraId="350200D7" w14:textId="77777777" w:rsidR="00154E32" w:rsidRDefault="00A43E04">
            <w:pPr>
              <w:pStyle w:val="P68B1DB1-Normal11"/>
              <w:spacing w:line="276" w:lineRule="auto"/>
              <w:jc w:val="center"/>
              <w:rPr>
                <w:noProof/>
              </w:rPr>
            </w:pPr>
            <w:r>
              <w:rPr>
                <w:noProof/>
              </w:rPr>
              <w:t>Število nezakonitih odlagališč</w:t>
            </w:r>
          </w:p>
        </w:tc>
        <w:tc>
          <w:tcPr>
            <w:tcW w:w="993" w:type="dxa"/>
            <w:shd w:val="clear" w:color="auto" w:fill="C6EFCE"/>
            <w:noWrap/>
            <w:vAlign w:val="center"/>
          </w:tcPr>
          <w:p w14:paraId="28E70A3B" w14:textId="77777777" w:rsidR="00154E32" w:rsidRDefault="00A43E04">
            <w:pPr>
              <w:pStyle w:val="P68B1DB1-Normal11"/>
              <w:spacing w:line="276" w:lineRule="auto"/>
              <w:jc w:val="center"/>
              <w:rPr>
                <w:noProof/>
              </w:rPr>
            </w:pPr>
            <w:r>
              <w:rPr>
                <w:noProof/>
              </w:rPr>
              <w:t>34</w:t>
            </w:r>
          </w:p>
        </w:tc>
        <w:tc>
          <w:tcPr>
            <w:tcW w:w="1162" w:type="dxa"/>
            <w:shd w:val="clear" w:color="auto" w:fill="C6EFCE"/>
            <w:noWrap/>
            <w:vAlign w:val="center"/>
          </w:tcPr>
          <w:p w14:paraId="42802FE8" w14:textId="77777777" w:rsidR="00154E32" w:rsidRDefault="00A43E04">
            <w:pPr>
              <w:pStyle w:val="P68B1DB1-Normal11"/>
              <w:spacing w:line="276" w:lineRule="auto"/>
              <w:jc w:val="center"/>
              <w:rPr>
                <w:noProof/>
              </w:rPr>
            </w:pPr>
            <w:r>
              <w:rPr>
                <w:noProof/>
              </w:rPr>
              <w:t>14</w:t>
            </w:r>
          </w:p>
        </w:tc>
        <w:tc>
          <w:tcPr>
            <w:tcW w:w="963" w:type="dxa"/>
            <w:shd w:val="clear" w:color="auto" w:fill="C6EFCE"/>
            <w:noWrap/>
            <w:vAlign w:val="center"/>
          </w:tcPr>
          <w:p w14:paraId="4ABAB325" w14:textId="77777777" w:rsidR="00154E32" w:rsidRDefault="00A43E04">
            <w:pPr>
              <w:pStyle w:val="P68B1DB1-Normal11"/>
              <w:spacing w:line="276" w:lineRule="auto"/>
              <w:jc w:val="center"/>
              <w:rPr>
                <w:noProof/>
              </w:rPr>
            </w:pPr>
            <w:r>
              <w:rPr>
                <w:noProof/>
              </w:rPr>
              <w:t>Q4</w:t>
            </w:r>
          </w:p>
        </w:tc>
        <w:tc>
          <w:tcPr>
            <w:tcW w:w="710" w:type="dxa"/>
            <w:shd w:val="clear" w:color="auto" w:fill="C6EFCE"/>
            <w:noWrap/>
            <w:vAlign w:val="center"/>
          </w:tcPr>
          <w:p w14:paraId="77776070" w14:textId="77777777" w:rsidR="00154E32" w:rsidRDefault="00A43E04">
            <w:pPr>
              <w:pStyle w:val="P68B1DB1-Normal11"/>
              <w:spacing w:line="276" w:lineRule="auto"/>
              <w:rPr>
                <w:noProof/>
              </w:rPr>
            </w:pPr>
            <w:r>
              <w:rPr>
                <w:noProof/>
              </w:rPr>
              <w:t>2023</w:t>
            </w:r>
          </w:p>
        </w:tc>
        <w:tc>
          <w:tcPr>
            <w:tcW w:w="3174" w:type="dxa"/>
            <w:shd w:val="clear" w:color="auto" w:fill="C6EFCE"/>
            <w:noWrap/>
            <w:vAlign w:val="center"/>
          </w:tcPr>
          <w:p w14:paraId="39BBAC43" w14:textId="77777777" w:rsidR="00154E32" w:rsidRDefault="00A43E04">
            <w:pPr>
              <w:pStyle w:val="P68B1DB1-Normal11"/>
              <w:rPr>
                <w:noProof/>
              </w:rPr>
            </w:pPr>
            <w:r>
              <w:rPr>
                <w:noProof/>
              </w:rPr>
              <w:t>Predlagani ukrepi podpirajo izgradnjo novih obratov za obdelavo in recikliranje ter tehnično izboljšanje obstoječega. Poleg tega so ukrepi namenjeni izvajanju in digitalizaciji mreže za ločeno zbiranje, da bi podprli in vključili državljane v sprejemanje dobrih praks na področju ravnanja z odpadki. S predlaganim posredovanjem se zmanjša število nezakonitih odlagališč, vključenih v postopek za ugotavljanje kršitev 2011/2215, s 34 na 14 (tj. za vsaj 60 %).</w:t>
            </w:r>
          </w:p>
        </w:tc>
      </w:tr>
      <w:tr w:rsidR="00154E32" w14:paraId="66558607" w14:textId="77777777">
        <w:trPr>
          <w:trHeight w:val="313"/>
          <w:jc w:val="center"/>
        </w:trPr>
        <w:tc>
          <w:tcPr>
            <w:tcW w:w="1220" w:type="dxa"/>
            <w:shd w:val="clear" w:color="auto" w:fill="C6EFCE"/>
            <w:noWrap/>
            <w:vAlign w:val="center"/>
          </w:tcPr>
          <w:p w14:paraId="0E5918F9" w14:textId="77777777" w:rsidR="00154E32" w:rsidRDefault="00A43E04">
            <w:pPr>
              <w:pStyle w:val="P68B1DB1-Normal11"/>
              <w:spacing w:line="276" w:lineRule="auto"/>
              <w:jc w:val="center"/>
              <w:rPr>
                <w:noProof/>
              </w:rPr>
            </w:pPr>
            <w:r>
              <w:rPr>
                <w:noProof/>
              </w:rPr>
              <w:t>M2C1–15b</w:t>
            </w:r>
          </w:p>
        </w:tc>
        <w:tc>
          <w:tcPr>
            <w:tcW w:w="1598" w:type="dxa"/>
            <w:shd w:val="clear" w:color="auto" w:fill="C6EFCE"/>
            <w:noWrap/>
            <w:vAlign w:val="center"/>
          </w:tcPr>
          <w:p w14:paraId="0B1FC155" w14:textId="77777777" w:rsidR="00154E32" w:rsidRDefault="00A43E04">
            <w:pPr>
              <w:pStyle w:val="P68B1DB1-Normal11"/>
              <w:spacing w:line="276" w:lineRule="auto"/>
              <w:jc w:val="center"/>
              <w:rPr>
                <w:noProof/>
              </w:rPr>
            </w:pPr>
            <w:r>
              <w:rPr>
                <w:noProof/>
              </w:rPr>
              <w:t>Reforma 1.2</w:t>
            </w:r>
          </w:p>
          <w:p w14:paraId="5C48882F" w14:textId="77777777" w:rsidR="00154E32" w:rsidRDefault="00A43E04">
            <w:pPr>
              <w:pStyle w:val="P68B1DB1-Normal11"/>
              <w:spacing w:line="276" w:lineRule="auto"/>
              <w:jc w:val="center"/>
              <w:rPr>
                <w:noProof/>
              </w:rPr>
            </w:pPr>
            <w:r>
              <w:rPr>
                <w:noProof/>
              </w:rPr>
              <w:t>Nacionalni program za ravnanje z odpadki:</w:t>
            </w:r>
          </w:p>
          <w:p w14:paraId="659D56A7" w14:textId="77777777" w:rsidR="00154E32" w:rsidRDefault="00154E32">
            <w:pPr>
              <w:spacing w:line="276" w:lineRule="auto"/>
              <w:jc w:val="center"/>
              <w:rPr>
                <w:rFonts w:ascii="Arial Narrow" w:hAnsi="Arial Narrow"/>
                <w:noProof/>
                <w:color w:val="006100"/>
                <w:sz w:val="20"/>
              </w:rPr>
            </w:pPr>
          </w:p>
          <w:p w14:paraId="60122DDE" w14:textId="77777777" w:rsidR="00154E32" w:rsidRDefault="00A43E04">
            <w:pPr>
              <w:pStyle w:val="P68B1DB1-Normal11"/>
              <w:spacing w:line="276" w:lineRule="auto"/>
              <w:jc w:val="center"/>
              <w:rPr>
                <w:noProof/>
              </w:rPr>
            </w:pPr>
            <w:r>
              <w:rPr>
                <w:noProof/>
              </w:rPr>
              <w:t>Naložba 1.1 – Izvajanje novih obratov za ravnanje z odpadki in posodobitev obstoječih obratov</w:t>
            </w:r>
          </w:p>
        </w:tc>
        <w:tc>
          <w:tcPr>
            <w:tcW w:w="1185" w:type="dxa"/>
            <w:shd w:val="clear" w:color="auto" w:fill="C6EFCE"/>
            <w:noWrap/>
            <w:vAlign w:val="center"/>
          </w:tcPr>
          <w:p w14:paraId="34767863" w14:textId="77777777" w:rsidR="00154E32" w:rsidRDefault="00A43E04">
            <w:pPr>
              <w:pStyle w:val="P68B1DB1-Normal11"/>
              <w:spacing w:line="276" w:lineRule="auto"/>
              <w:jc w:val="center"/>
              <w:rPr>
                <w:noProof/>
              </w:rPr>
            </w:pPr>
            <w:r>
              <w:rPr>
                <w:noProof/>
              </w:rPr>
              <w:t>Tarča</w:t>
            </w:r>
          </w:p>
        </w:tc>
        <w:tc>
          <w:tcPr>
            <w:tcW w:w="1732" w:type="dxa"/>
            <w:shd w:val="clear" w:color="auto" w:fill="C6EFCE"/>
            <w:noWrap/>
            <w:vAlign w:val="center"/>
          </w:tcPr>
          <w:p w14:paraId="3FF54688" w14:textId="77777777" w:rsidR="00154E32" w:rsidRDefault="00A43E04">
            <w:pPr>
              <w:pStyle w:val="P68B1DB1-Normal11"/>
              <w:spacing w:line="276" w:lineRule="auto"/>
              <w:jc w:val="center"/>
              <w:rPr>
                <w:noProof/>
              </w:rPr>
            </w:pPr>
            <w:r>
              <w:rPr>
                <w:noProof/>
              </w:rPr>
              <w:t>Regionalne razlike pri ločenem zbiranju</w:t>
            </w:r>
          </w:p>
        </w:tc>
        <w:tc>
          <w:tcPr>
            <w:tcW w:w="1603" w:type="dxa"/>
            <w:shd w:val="clear" w:color="auto" w:fill="C6EFCE"/>
            <w:noWrap/>
            <w:vAlign w:val="center"/>
          </w:tcPr>
          <w:p w14:paraId="3F9F9DB5" w14:textId="77777777" w:rsidR="00154E32" w:rsidRDefault="00A43E04">
            <w:pPr>
              <w:pStyle w:val="P68B1DB1-Normal11"/>
              <w:spacing w:line="276" w:lineRule="auto"/>
              <w:jc w:val="center"/>
              <w:rPr>
                <w:noProof/>
              </w:rPr>
            </w:pPr>
            <w:r>
              <w:rPr>
                <w:noProof/>
              </w:rPr>
              <w:t>JIH NI</w:t>
            </w:r>
          </w:p>
        </w:tc>
        <w:tc>
          <w:tcPr>
            <w:tcW w:w="1275" w:type="dxa"/>
            <w:shd w:val="clear" w:color="auto" w:fill="C6EFCE"/>
            <w:noWrap/>
            <w:vAlign w:val="center"/>
          </w:tcPr>
          <w:p w14:paraId="6971FB79" w14:textId="77777777" w:rsidR="00154E32" w:rsidRDefault="00A43E04">
            <w:pPr>
              <w:pStyle w:val="P68B1DB1-Normal11"/>
              <w:spacing w:line="276" w:lineRule="auto"/>
              <w:jc w:val="center"/>
              <w:rPr>
                <w:noProof/>
              </w:rPr>
            </w:pPr>
            <w:r>
              <w:rPr>
                <w:noProof/>
              </w:rPr>
              <w:t>Odstotne točke</w:t>
            </w:r>
          </w:p>
        </w:tc>
        <w:tc>
          <w:tcPr>
            <w:tcW w:w="993" w:type="dxa"/>
            <w:shd w:val="clear" w:color="auto" w:fill="C6EFCE"/>
            <w:noWrap/>
            <w:vAlign w:val="center"/>
          </w:tcPr>
          <w:p w14:paraId="54C93F2D" w14:textId="77777777" w:rsidR="00154E32" w:rsidRDefault="00A43E04">
            <w:pPr>
              <w:pStyle w:val="P68B1DB1-Normal11"/>
              <w:spacing w:line="276" w:lineRule="auto"/>
              <w:jc w:val="center"/>
              <w:rPr>
                <w:noProof/>
              </w:rPr>
            </w:pPr>
            <w:r>
              <w:rPr>
                <w:noProof/>
              </w:rPr>
              <w:t>22.8</w:t>
            </w:r>
          </w:p>
        </w:tc>
        <w:tc>
          <w:tcPr>
            <w:tcW w:w="1162" w:type="dxa"/>
            <w:shd w:val="clear" w:color="auto" w:fill="C6EFCE"/>
            <w:noWrap/>
            <w:vAlign w:val="center"/>
          </w:tcPr>
          <w:p w14:paraId="4789829B" w14:textId="77777777" w:rsidR="00154E32" w:rsidRDefault="00A43E04">
            <w:pPr>
              <w:pStyle w:val="P68B1DB1-Normal11"/>
              <w:spacing w:line="276" w:lineRule="auto"/>
              <w:jc w:val="center"/>
              <w:rPr>
                <w:noProof/>
              </w:rPr>
            </w:pPr>
            <w:r>
              <w:rPr>
                <w:noProof/>
              </w:rPr>
              <w:t>20</w:t>
            </w:r>
          </w:p>
        </w:tc>
        <w:tc>
          <w:tcPr>
            <w:tcW w:w="963" w:type="dxa"/>
            <w:shd w:val="clear" w:color="auto" w:fill="C6EFCE"/>
            <w:noWrap/>
            <w:vAlign w:val="center"/>
          </w:tcPr>
          <w:p w14:paraId="0164454F" w14:textId="77777777" w:rsidR="00154E32" w:rsidRDefault="00A43E04">
            <w:pPr>
              <w:pStyle w:val="P68B1DB1-Normal11"/>
              <w:spacing w:line="276" w:lineRule="auto"/>
              <w:jc w:val="center"/>
              <w:rPr>
                <w:noProof/>
              </w:rPr>
            </w:pPr>
            <w:r>
              <w:rPr>
                <w:noProof/>
              </w:rPr>
              <w:t>Q4</w:t>
            </w:r>
          </w:p>
        </w:tc>
        <w:tc>
          <w:tcPr>
            <w:tcW w:w="710" w:type="dxa"/>
            <w:shd w:val="clear" w:color="auto" w:fill="C6EFCE"/>
            <w:noWrap/>
            <w:vAlign w:val="center"/>
          </w:tcPr>
          <w:p w14:paraId="7EC3A8BC" w14:textId="77777777" w:rsidR="00154E32" w:rsidRDefault="00A43E04">
            <w:pPr>
              <w:pStyle w:val="P68B1DB1-Normal11"/>
              <w:spacing w:line="276" w:lineRule="auto"/>
              <w:rPr>
                <w:noProof/>
              </w:rPr>
            </w:pPr>
            <w:r>
              <w:rPr>
                <w:noProof/>
              </w:rPr>
              <w:t>2023</w:t>
            </w:r>
          </w:p>
        </w:tc>
        <w:tc>
          <w:tcPr>
            <w:tcW w:w="3174" w:type="dxa"/>
            <w:shd w:val="clear" w:color="auto" w:fill="C6EFCE"/>
            <w:noWrap/>
            <w:vAlign w:val="center"/>
          </w:tcPr>
          <w:p w14:paraId="332D279D" w14:textId="77777777" w:rsidR="00154E32" w:rsidRDefault="00A43E04">
            <w:pPr>
              <w:pStyle w:val="P68B1DB1-Normal11"/>
              <w:spacing w:line="276" w:lineRule="auto"/>
              <w:rPr>
                <w:noProof/>
              </w:rPr>
            </w:pPr>
            <w:r>
              <w:rPr>
                <w:noProof/>
              </w:rPr>
              <w:t>Predlagani ukrepi podpirajo izgradnjo novih obratov za obdelavo in recikliranje ter tehnično izboljšanje obstoječega. Poleg tega so ukrepi namenjeni izvajanju in digitalizaciji mreže za ločeno zbiranje, da bi podprli in vključili državljane v sprejemanje dobrih praks na področju ravnanja z odpadki. Razlika med nacionalnim povprečjem in regijo z najslabšo uspešnostjo pri stopnjah ločenega zbiranja se zmanjša na 20 odstotnih točk.</w:t>
            </w:r>
          </w:p>
        </w:tc>
      </w:tr>
      <w:tr w:rsidR="00154E32" w14:paraId="659A7C70" w14:textId="77777777">
        <w:trPr>
          <w:trHeight w:val="313"/>
          <w:jc w:val="center"/>
        </w:trPr>
        <w:tc>
          <w:tcPr>
            <w:tcW w:w="1220" w:type="dxa"/>
            <w:shd w:val="clear" w:color="auto" w:fill="C6EFCE"/>
            <w:noWrap/>
            <w:vAlign w:val="center"/>
          </w:tcPr>
          <w:p w14:paraId="7A03AC22" w14:textId="77777777" w:rsidR="00154E32" w:rsidRDefault="00A43E04">
            <w:pPr>
              <w:pStyle w:val="P68B1DB1-Normal11"/>
              <w:spacing w:line="276" w:lineRule="auto"/>
              <w:jc w:val="center"/>
              <w:rPr>
                <w:noProof/>
              </w:rPr>
            </w:pPr>
            <w:r>
              <w:rPr>
                <w:noProof/>
              </w:rPr>
              <w:t>M2C1–15 m</w:t>
            </w:r>
          </w:p>
        </w:tc>
        <w:tc>
          <w:tcPr>
            <w:tcW w:w="1598" w:type="dxa"/>
            <w:shd w:val="clear" w:color="auto" w:fill="C6EFCE"/>
            <w:noWrap/>
            <w:vAlign w:val="center"/>
          </w:tcPr>
          <w:p w14:paraId="79EF7C46" w14:textId="77777777" w:rsidR="00154E32" w:rsidRDefault="00A43E04">
            <w:pPr>
              <w:pStyle w:val="P68B1DB1-Normal11"/>
              <w:spacing w:line="276" w:lineRule="auto"/>
              <w:jc w:val="center"/>
              <w:rPr>
                <w:noProof/>
              </w:rPr>
            </w:pPr>
            <w:r>
              <w:rPr>
                <w:noProof/>
              </w:rPr>
              <w:t>Naložba 1.1 – Izvajanje novih obratov za ravnanje z odpadki in posodobitev obstoječih obratov</w:t>
            </w:r>
          </w:p>
        </w:tc>
        <w:tc>
          <w:tcPr>
            <w:tcW w:w="1185" w:type="dxa"/>
            <w:shd w:val="clear" w:color="auto" w:fill="C6EFCE"/>
            <w:noWrap/>
            <w:vAlign w:val="center"/>
          </w:tcPr>
          <w:p w14:paraId="737F873B" w14:textId="77777777" w:rsidR="00154E32" w:rsidRDefault="00A43E04">
            <w:pPr>
              <w:pStyle w:val="P68B1DB1-Normal11"/>
              <w:spacing w:line="276" w:lineRule="auto"/>
              <w:jc w:val="center"/>
              <w:rPr>
                <w:noProof/>
              </w:rPr>
            </w:pPr>
            <w:r>
              <w:rPr>
                <w:noProof/>
              </w:rPr>
              <w:t>Mejnik</w:t>
            </w:r>
          </w:p>
        </w:tc>
        <w:tc>
          <w:tcPr>
            <w:tcW w:w="1732" w:type="dxa"/>
            <w:shd w:val="clear" w:color="auto" w:fill="C6EFCE"/>
            <w:noWrap/>
            <w:vAlign w:val="center"/>
          </w:tcPr>
          <w:p w14:paraId="7E73E1BC" w14:textId="77777777" w:rsidR="00154E32" w:rsidRDefault="00A43E04">
            <w:pPr>
              <w:pStyle w:val="P68B1DB1-Normal11"/>
              <w:spacing w:line="276" w:lineRule="auto"/>
              <w:jc w:val="center"/>
              <w:rPr>
                <w:noProof/>
              </w:rPr>
            </w:pPr>
            <w:r>
              <w:rPr>
                <w:noProof/>
              </w:rPr>
              <w:t>Začetek veljavnosti obveznosti ločenega zbiranja bioloških odpadkov</w:t>
            </w:r>
          </w:p>
        </w:tc>
        <w:tc>
          <w:tcPr>
            <w:tcW w:w="1603" w:type="dxa"/>
            <w:shd w:val="clear" w:color="auto" w:fill="C6EFCE"/>
            <w:noWrap/>
            <w:vAlign w:val="center"/>
          </w:tcPr>
          <w:p w14:paraId="3EA7DA84" w14:textId="77777777" w:rsidR="00154E32" w:rsidRDefault="00A43E04">
            <w:pPr>
              <w:pStyle w:val="P68B1DB1-Normal11"/>
              <w:spacing w:line="276" w:lineRule="auto"/>
              <w:jc w:val="center"/>
              <w:rPr>
                <w:noProof/>
              </w:rPr>
            </w:pPr>
            <w:r>
              <w:rPr>
                <w:noProof/>
              </w:rPr>
              <w:t>Določba zakona o začetku veljavnosti</w:t>
            </w:r>
          </w:p>
        </w:tc>
        <w:tc>
          <w:tcPr>
            <w:tcW w:w="1275" w:type="dxa"/>
            <w:shd w:val="clear" w:color="auto" w:fill="C6EFCE"/>
            <w:noWrap/>
            <w:vAlign w:val="center"/>
          </w:tcPr>
          <w:p w14:paraId="4876BF1D"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0E8E881D" w14:textId="77777777" w:rsidR="00154E32" w:rsidRDefault="00A43E04">
            <w:pPr>
              <w:pStyle w:val="P68B1DB1-Normal11"/>
              <w:spacing w:line="276" w:lineRule="auto"/>
              <w:jc w:val="center"/>
              <w:rPr>
                <w:noProof/>
              </w:rPr>
            </w:pPr>
            <w:r>
              <w:rPr>
                <w:noProof/>
              </w:rPr>
              <w:t>JIH NI</w:t>
            </w:r>
          </w:p>
        </w:tc>
        <w:tc>
          <w:tcPr>
            <w:tcW w:w="1162" w:type="dxa"/>
            <w:shd w:val="clear" w:color="auto" w:fill="C6EFCE"/>
            <w:noWrap/>
            <w:vAlign w:val="center"/>
          </w:tcPr>
          <w:p w14:paraId="0D088C71" w14:textId="77777777" w:rsidR="00154E32" w:rsidRDefault="00A43E04">
            <w:pPr>
              <w:pStyle w:val="P68B1DB1-Normal11"/>
              <w:spacing w:line="276" w:lineRule="auto"/>
              <w:jc w:val="center"/>
              <w:rPr>
                <w:noProof/>
              </w:rPr>
            </w:pPr>
            <w:r>
              <w:rPr>
                <w:noProof/>
              </w:rPr>
              <w:t>JIH NI</w:t>
            </w:r>
          </w:p>
        </w:tc>
        <w:tc>
          <w:tcPr>
            <w:tcW w:w="963" w:type="dxa"/>
            <w:shd w:val="clear" w:color="auto" w:fill="C6EFCE"/>
            <w:noWrap/>
            <w:vAlign w:val="center"/>
          </w:tcPr>
          <w:p w14:paraId="1C007E9B" w14:textId="77777777" w:rsidR="00154E32" w:rsidRDefault="00A43E04">
            <w:pPr>
              <w:pStyle w:val="P68B1DB1-Normal11"/>
              <w:spacing w:line="276" w:lineRule="auto"/>
              <w:jc w:val="center"/>
              <w:rPr>
                <w:noProof/>
              </w:rPr>
            </w:pPr>
            <w:r>
              <w:rPr>
                <w:noProof/>
              </w:rPr>
              <w:t>Q4</w:t>
            </w:r>
          </w:p>
        </w:tc>
        <w:tc>
          <w:tcPr>
            <w:tcW w:w="710" w:type="dxa"/>
            <w:shd w:val="clear" w:color="auto" w:fill="C6EFCE"/>
            <w:noWrap/>
            <w:vAlign w:val="center"/>
          </w:tcPr>
          <w:p w14:paraId="5A05B296" w14:textId="77777777" w:rsidR="00154E32" w:rsidRDefault="00A43E04">
            <w:pPr>
              <w:pStyle w:val="P68B1DB1-Normal11"/>
              <w:spacing w:line="276" w:lineRule="auto"/>
              <w:rPr>
                <w:noProof/>
              </w:rPr>
            </w:pPr>
            <w:r>
              <w:rPr>
                <w:noProof/>
              </w:rPr>
              <w:t>2023</w:t>
            </w:r>
          </w:p>
        </w:tc>
        <w:tc>
          <w:tcPr>
            <w:tcW w:w="3174" w:type="dxa"/>
            <w:shd w:val="clear" w:color="auto" w:fill="C6EFCE"/>
            <w:noWrap/>
            <w:vAlign w:val="center"/>
          </w:tcPr>
          <w:p w14:paraId="27A0F9C3" w14:textId="77777777" w:rsidR="00154E32" w:rsidRDefault="00A43E04">
            <w:pPr>
              <w:pStyle w:val="P68B1DB1-Normal11"/>
              <w:spacing w:line="276" w:lineRule="auto"/>
              <w:rPr>
                <w:noProof/>
              </w:rPr>
            </w:pPr>
            <w:r>
              <w:rPr>
                <w:noProof/>
              </w:rPr>
              <w:t>Obveznost ločenega zbiranja bioloških odpadkov začne veljati 31. decembra 2023 v skladu z akcijskim načrtom EU za krožno gospodarstvo.</w:t>
            </w:r>
          </w:p>
        </w:tc>
      </w:tr>
      <w:tr w:rsidR="00154E32" w14:paraId="19B9145B" w14:textId="77777777">
        <w:trPr>
          <w:trHeight w:val="313"/>
          <w:jc w:val="center"/>
        </w:trPr>
        <w:tc>
          <w:tcPr>
            <w:tcW w:w="1220" w:type="dxa"/>
            <w:shd w:val="clear" w:color="auto" w:fill="C6EFCE"/>
            <w:noWrap/>
            <w:vAlign w:val="center"/>
          </w:tcPr>
          <w:p w14:paraId="72A4C347" w14:textId="77777777" w:rsidR="00154E32" w:rsidRDefault="00A43E04">
            <w:pPr>
              <w:pStyle w:val="P68B1DB1-Normal11"/>
              <w:spacing w:line="276" w:lineRule="auto"/>
              <w:jc w:val="center"/>
              <w:rPr>
                <w:noProof/>
              </w:rPr>
            </w:pPr>
            <w:r>
              <w:rPr>
                <w:noProof/>
              </w:rPr>
              <w:t>M2C1–16</w:t>
            </w:r>
          </w:p>
        </w:tc>
        <w:tc>
          <w:tcPr>
            <w:tcW w:w="1598" w:type="dxa"/>
            <w:shd w:val="clear" w:color="auto" w:fill="C6EFCE"/>
            <w:noWrap/>
            <w:vAlign w:val="center"/>
          </w:tcPr>
          <w:p w14:paraId="19E4D3A9" w14:textId="77777777" w:rsidR="00154E32" w:rsidRDefault="00A43E04">
            <w:pPr>
              <w:pStyle w:val="P68B1DB1-Normal11"/>
              <w:spacing w:line="276" w:lineRule="auto"/>
              <w:jc w:val="center"/>
              <w:rPr>
                <w:noProof/>
              </w:rPr>
            </w:pPr>
            <w:r>
              <w:rPr>
                <w:noProof/>
              </w:rPr>
              <w:t>Naložba 1.1 – Izvajanje novih obratov za ravnanje z odpadki in posodobitev obstoječih obratov</w:t>
            </w:r>
          </w:p>
        </w:tc>
        <w:tc>
          <w:tcPr>
            <w:tcW w:w="1185" w:type="dxa"/>
            <w:shd w:val="clear" w:color="auto" w:fill="C6EFCE"/>
            <w:noWrap/>
            <w:vAlign w:val="center"/>
          </w:tcPr>
          <w:p w14:paraId="7A98C445" w14:textId="77777777" w:rsidR="00154E32" w:rsidRDefault="00A43E04">
            <w:pPr>
              <w:pStyle w:val="P68B1DB1-Normal11"/>
              <w:spacing w:line="276" w:lineRule="auto"/>
              <w:jc w:val="center"/>
              <w:rPr>
                <w:noProof/>
              </w:rPr>
            </w:pPr>
            <w:r>
              <w:rPr>
                <w:noProof/>
              </w:rPr>
              <w:t>Tarča</w:t>
            </w:r>
          </w:p>
        </w:tc>
        <w:tc>
          <w:tcPr>
            <w:tcW w:w="1732" w:type="dxa"/>
            <w:shd w:val="clear" w:color="auto" w:fill="C6EFCE"/>
            <w:noWrap/>
            <w:vAlign w:val="center"/>
          </w:tcPr>
          <w:p w14:paraId="30B16159" w14:textId="77777777" w:rsidR="00154E32" w:rsidRDefault="00A43E04">
            <w:pPr>
              <w:pStyle w:val="P68B1DB1-Normal11"/>
              <w:spacing w:line="276" w:lineRule="auto"/>
              <w:jc w:val="center"/>
              <w:rPr>
                <w:noProof/>
              </w:rPr>
            </w:pPr>
            <w:r>
              <w:rPr>
                <w:noProof/>
              </w:rPr>
              <w:t>Neregularna odlagališča</w:t>
            </w:r>
          </w:p>
        </w:tc>
        <w:tc>
          <w:tcPr>
            <w:tcW w:w="1603" w:type="dxa"/>
            <w:shd w:val="clear" w:color="auto" w:fill="C6EFCE"/>
            <w:noWrap/>
            <w:vAlign w:val="center"/>
          </w:tcPr>
          <w:p w14:paraId="1FF06575" w14:textId="77777777" w:rsidR="00154E32" w:rsidRDefault="00A43E04">
            <w:pPr>
              <w:pStyle w:val="P68B1DB1-Normal11"/>
              <w:spacing w:line="276" w:lineRule="auto"/>
              <w:jc w:val="center"/>
              <w:rPr>
                <w:noProof/>
              </w:rPr>
            </w:pPr>
            <w:r>
              <w:rPr>
                <w:noProof/>
              </w:rPr>
              <w:t>JIH NI</w:t>
            </w:r>
          </w:p>
        </w:tc>
        <w:tc>
          <w:tcPr>
            <w:tcW w:w="1275" w:type="dxa"/>
            <w:shd w:val="clear" w:color="auto" w:fill="C6EFCE"/>
            <w:noWrap/>
            <w:vAlign w:val="center"/>
          </w:tcPr>
          <w:p w14:paraId="6470EFFA" w14:textId="77777777" w:rsidR="00154E32" w:rsidRDefault="00A43E04">
            <w:pPr>
              <w:pStyle w:val="P68B1DB1-Normal11"/>
              <w:spacing w:line="276" w:lineRule="auto"/>
              <w:jc w:val="center"/>
              <w:rPr>
                <w:noProof/>
              </w:rPr>
            </w:pPr>
            <w:r>
              <w:rPr>
                <w:noProof/>
              </w:rPr>
              <w:t>Število nezakonitih odlagališč</w:t>
            </w:r>
          </w:p>
        </w:tc>
        <w:tc>
          <w:tcPr>
            <w:tcW w:w="993" w:type="dxa"/>
            <w:shd w:val="clear" w:color="auto" w:fill="C6EFCE"/>
            <w:noWrap/>
            <w:vAlign w:val="center"/>
          </w:tcPr>
          <w:p w14:paraId="5BB325AE" w14:textId="77777777" w:rsidR="00154E32" w:rsidRDefault="00A43E04">
            <w:pPr>
              <w:pStyle w:val="P68B1DB1-Normal11"/>
              <w:spacing w:line="276" w:lineRule="auto"/>
              <w:jc w:val="center"/>
              <w:rPr>
                <w:noProof/>
              </w:rPr>
            </w:pPr>
            <w:r>
              <w:rPr>
                <w:noProof/>
              </w:rPr>
              <w:t>11</w:t>
            </w:r>
          </w:p>
        </w:tc>
        <w:tc>
          <w:tcPr>
            <w:tcW w:w="1162" w:type="dxa"/>
            <w:shd w:val="clear" w:color="auto" w:fill="C6EFCE"/>
            <w:noWrap/>
            <w:vAlign w:val="center"/>
          </w:tcPr>
          <w:p w14:paraId="02B97894" w14:textId="77777777" w:rsidR="00154E32" w:rsidRDefault="00A43E04">
            <w:pPr>
              <w:pStyle w:val="P68B1DB1-Normal11"/>
              <w:spacing w:line="276" w:lineRule="auto"/>
              <w:jc w:val="center"/>
              <w:rPr>
                <w:noProof/>
              </w:rPr>
            </w:pPr>
            <w:r>
              <w:rPr>
                <w:noProof/>
              </w:rPr>
              <w:t>0</w:t>
            </w:r>
          </w:p>
        </w:tc>
        <w:tc>
          <w:tcPr>
            <w:tcW w:w="963" w:type="dxa"/>
            <w:shd w:val="clear" w:color="auto" w:fill="C6EFCE"/>
            <w:noWrap/>
            <w:vAlign w:val="center"/>
          </w:tcPr>
          <w:p w14:paraId="20537C9E" w14:textId="77777777" w:rsidR="00154E32" w:rsidRDefault="00A43E04">
            <w:pPr>
              <w:pStyle w:val="P68B1DB1-Normal11"/>
              <w:spacing w:line="276" w:lineRule="auto"/>
              <w:jc w:val="center"/>
              <w:rPr>
                <w:noProof/>
              </w:rPr>
            </w:pPr>
            <w:r>
              <w:rPr>
                <w:noProof/>
              </w:rPr>
              <w:t>Q2</w:t>
            </w:r>
          </w:p>
        </w:tc>
        <w:tc>
          <w:tcPr>
            <w:tcW w:w="710" w:type="dxa"/>
            <w:shd w:val="clear" w:color="auto" w:fill="C6EFCE"/>
            <w:noWrap/>
            <w:vAlign w:val="center"/>
          </w:tcPr>
          <w:p w14:paraId="3DE06B61" w14:textId="77777777" w:rsidR="00154E32" w:rsidRDefault="00A43E04">
            <w:pPr>
              <w:pStyle w:val="P68B1DB1-Normal11"/>
              <w:spacing w:line="276" w:lineRule="auto"/>
              <w:rPr>
                <w:noProof/>
              </w:rPr>
            </w:pPr>
            <w:r>
              <w:rPr>
                <w:noProof/>
              </w:rPr>
              <w:t>2026</w:t>
            </w:r>
          </w:p>
        </w:tc>
        <w:tc>
          <w:tcPr>
            <w:tcW w:w="3174" w:type="dxa"/>
            <w:shd w:val="clear" w:color="auto" w:fill="C6EFCE"/>
            <w:noWrap/>
            <w:vAlign w:val="center"/>
          </w:tcPr>
          <w:p w14:paraId="1C7D9B3C" w14:textId="1EC418F0" w:rsidR="00154E32" w:rsidRDefault="00A43E04">
            <w:pPr>
              <w:pStyle w:val="P68B1DB1-Normal11"/>
              <w:spacing w:line="276" w:lineRule="auto"/>
              <w:rPr>
                <w:noProof/>
              </w:rPr>
            </w:pPr>
            <w:r>
              <w:rPr>
                <w:noProof/>
              </w:rPr>
              <w:t>Predlagani ukrepi podpirajo izgradnjo novih obratov za obdelavo in recikliranje ter tehnično izboljšanje obstoječega. Poleg tega so ukrepi namenjeni izvajanju in digitalizaciji mreže za ločeno zbiranje, da bi podprli in vključili državljane v sprejemanje dobrih praks na področju ravnanja z odpadki. S predlagano intervencijo se zmanjša število nezakonitih odlagališč, vključenih v postopek za ugotavljanje kršitev 2003/2077, z 11 na 0 (tj. vsaj 100 %).</w:t>
            </w:r>
          </w:p>
        </w:tc>
      </w:tr>
      <w:tr w:rsidR="00154E32" w14:paraId="3D9C9CE5" w14:textId="77777777">
        <w:trPr>
          <w:trHeight w:val="313"/>
          <w:jc w:val="center"/>
        </w:trPr>
        <w:tc>
          <w:tcPr>
            <w:tcW w:w="1220" w:type="dxa"/>
            <w:shd w:val="clear" w:color="auto" w:fill="C6EFCE"/>
            <w:noWrap/>
            <w:vAlign w:val="center"/>
          </w:tcPr>
          <w:p w14:paraId="6C4EAC71" w14:textId="77777777" w:rsidR="00154E32" w:rsidRDefault="00A43E04">
            <w:pPr>
              <w:pStyle w:val="P68B1DB1-Normal11"/>
              <w:spacing w:line="276" w:lineRule="auto"/>
              <w:jc w:val="center"/>
              <w:rPr>
                <w:noProof/>
              </w:rPr>
            </w:pPr>
            <w:r>
              <w:rPr>
                <w:noProof/>
              </w:rPr>
              <w:t>M2C1–16a</w:t>
            </w:r>
          </w:p>
        </w:tc>
        <w:tc>
          <w:tcPr>
            <w:tcW w:w="1598" w:type="dxa"/>
            <w:shd w:val="clear" w:color="auto" w:fill="C6EFCE"/>
            <w:noWrap/>
            <w:vAlign w:val="center"/>
          </w:tcPr>
          <w:p w14:paraId="213A4C89" w14:textId="77777777" w:rsidR="00154E32" w:rsidRDefault="00154E32">
            <w:pPr>
              <w:spacing w:line="276" w:lineRule="auto"/>
              <w:jc w:val="center"/>
              <w:rPr>
                <w:rFonts w:ascii="Arial Narrow" w:hAnsi="Arial Narrow"/>
                <w:noProof/>
                <w:color w:val="006100"/>
                <w:sz w:val="20"/>
              </w:rPr>
            </w:pPr>
          </w:p>
          <w:p w14:paraId="5496E362" w14:textId="77777777" w:rsidR="00154E32" w:rsidRDefault="00A43E04">
            <w:pPr>
              <w:pStyle w:val="P68B1DB1-Normal11"/>
              <w:spacing w:line="276" w:lineRule="auto"/>
              <w:jc w:val="center"/>
              <w:rPr>
                <w:noProof/>
              </w:rPr>
            </w:pPr>
            <w:r>
              <w:rPr>
                <w:noProof/>
              </w:rPr>
              <w:t>Naložba 1.1 – Izvajanje novih obratov za ravnanje z odpadki in posodobitev obstoječih obratov</w:t>
            </w:r>
          </w:p>
        </w:tc>
        <w:tc>
          <w:tcPr>
            <w:tcW w:w="1185" w:type="dxa"/>
            <w:shd w:val="clear" w:color="auto" w:fill="C6EFCE"/>
            <w:noWrap/>
            <w:vAlign w:val="center"/>
          </w:tcPr>
          <w:p w14:paraId="3B9E089C" w14:textId="77777777" w:rsidR="00154E32" w:rsidRDefault="00A43E04">
            <w:pPr>
              <w:pStyle w:val="P68B1DB1-Normal11"/>
              <w:spacing w:line="276" w:lineRule="auto"/>
              <w:jc w:val="center"/>
              <w:rPr>
                <w:noProof/>
              </w:rPr>
            </w:pPr>
            <w:r>
              <w:rPr>
                <w:noProof/>
              </w:rPr>
              <w:t>Tarča</w:t>
            </w:r>
          </w:p>
        </w:tc>
        <w:tc>
          <w:tcPr>
            <w:tcW w:w="1732" w:type="dxa"/>
            <w:shd w:val="clear" w:color="auto" w:fill="C6EFCE"/>
            <w:noWrap/>
            <w:vAlign w:val="center"/>
          </w:tcPr>
          <w:p w14:paraId="38BD12A0" w14:textId="77777777" w:rsidR="00154E32" w:rsidRDefault="00A43E04">
            <w:pPr>
              <w:pStyle w:val="P68B1DB1-Normal11"/>
              <w:spacing w:line="276" w:lineRule="auto"/>
              <w:jc w:val="center"/>
              <w:rPr>
                <w:noProof/>
              </w:rPr>
            </w:pPr>
            <w:r>
              <w:rPr>
                <w:noProof/>
              </w:rPr>
              <w:t>Neregularna odlagališča</w:t>
            </w:r>
          </w:p>
        </w:tc>
        <w:tc>
          <w:tcPr>
            <w:tcW w:w="1603" w:type="dxa"/>
            <w:shd w:val="clear" w:color="auto" w:fill="C6EFCE"/>
            <w:noWrap/>
            <w:vAlign w:val="center"/>
          </w:tcPr>
          <w:p w14:paraId="488068AE" w14:textId="77777777" w:rsidR="00154E32" w:rsidRDefault="00A43E04">
            <w:pPr>
              <w:pStyle w:val="P68B1DB1-Normal11"/>
              <w:spacing w:line="276" w:lineRule="auto"/>
              <w:jc w:val="center"/>
              <w:rPr>
                <w:noProof/>
              </w:rPr>
            </w:pPr>
            <w:r>
              <w:rPr>
                <w:noProof/>
              </w:rPr>
              <w:t>JIH NI</w:t>
            </w:r>
          </w:p>
        </w:tc>
        <w:tc>
          <w:tcPr>
            <w:tcW w:w="1275" w:type="dxa"/>
            <w:shd w:val="clear" w:color="auto" w:fill="C6EFCE"/>
            <w:noWrap/>
            <w:vAlign w:val="center"/>
          </w:tcPr>
          <w:p w14:paraId="013CABEA" w14:textId="77777777" w:rsidR="00154E32" w:rsidRDefault="00A43E04">
            <w:pPr>
              <w:pStyle w:val="P68B1DB1-Normal11"/>
              <w:spacing w:line="276" w:lineRule="auto"/>
              <w:jc w:val="center"/>
              <w:rPr>
                <w:noProof/>
              </w:rPr>
            </w:pPr>
            <w:r>
              <w:rPr>
                <w:noProof/>
              </w:rPr>
              <w:t>Število nezakonitih odlagališč</w:t>
            </w:r>
          </w:p>
        </w:tc>
        <w:tc>
          <w:tcPr>
            <w:tcW w:w="993" w:type="dxa"/>
            <w:shd w:val="clear" w:color="auto" w:fill="C6EFCE"/>
            <w:noWrap/>
            <w:vAlign w:val="center"/>
          </w:tcPr>
          <w:p w14:paraId="0F9BD52D" w14:textId="77777777" w:rsidR="00154E32" w:rsidRDefault="00A43E04">
            <w:pPr>
              <w:pStyle w:val="P68B1DB1-Normal11"/>
              <w:spacing w:line="276" w:lineRule="auto"/>
              <w:jc w:val="center"/>
              <w:rPr>
                <w:noProof/>
              </w:rPr>
            </w:pPr>
            <w:r>
              <w:rPr>
                <w:noProof/>
              </w:rPr>
              <w:t>14</w:t>
            </w:r>
          </w:p>
        </w:tc>
        <w:tc>
          <w:tcPr>
            <w:tcW w:w="1162" w:type="dxa"/>
            <w:shd w:val="clear" w:color="auto" w:fill="C6EFCE"/>
            <w:noWrap/>
            <w:vAlign w:val="center"/>
          </w:tcPr>
          <w:p w14:paraId="684DD66B" w14:textId="77777777" w:rsidR="00154E32" w:rsidRDefault="00A43E04">
            <w:pPr>
              <w:pStyle w:val="P68B1DB1-Normal11"/>
              <w:spacing w:line="276" w:lineRule="auto"/>
              <w:jc w:val="center"/>
              <w:rPr>
                <w:noProof/>
              </w:rPr>
            </w:pPr>
            <w:r>
              <w:rPr>
                <w:noProof/>
              </w:rPr>
              <w:t>9</w:t>
            </w:r>
          </w:p>
        </w:tc>
        <w:tc>
          <w:tcPr>
            <w:tcW w:w="963" w:type="dxa"/>
            <w:shd w:val="clear" w:color="auto" w:fill="C6EFCE"/>
            <w:noWrap/>
            <w:vAlign w:val="center"/>
          </w:tcPr>
          <w:p w14:paraId="0D27BF9F" w14:textId="77777777" w:rsidR="00154E32" w:rsidRDefault="00A43E04">
            <w:pPr>
              <w:pStyle w:val="P68B1DB1-Normal11"/>
              <w:spacing w:line="276" w:lineRule="auto"/>
              <w:jc w:val="center"/>
              <w:rPr>
                <w:noProof/>
              </w:rPr>
            </w:pPr>
            <w:r>
              <w:rPr>
                <w:noProof/>
              </w:rPr>
              <w:t>Q4</w:t>
            </w:r>
          </w:p>
        </w:tc>
        <w:tc>
          <w:tcPr>
            <w:tcW w:w="710" w:type="dxa"/>
            <w:shd w:val="clear" w:color="auto" w:fill="C6EFCE"/>
            <w:noWrap/>
            <w:vAlign w:val="center"/>
          </w:tcPr>
          <w:p w14:paraId="48EEF268" w14:textId="77777777" w:rsidR="00154E32" w:rsidRDefault="00A43E04">
            <w:pPr>
              <w:pStyle w:val="P68B1DB1-Normal11"/>
              <w:spacing w:line="276" w:lineRule="auto"/>
              <w:rPr>
                <w:noProof/>
              </w:rPr>
            </w:pPr>
            <w:r>
              <w:rPr>
                <w:noProof/>
              </w:rPr>
              <w:t>2024</w:t>
            </w:r>
          </w:p>
        </w:tc>
        <w:tc>
          <w:tcPr>
            <w:tcW w:w="3174" w:type="dxa"/>
            <w:shd w:val="clear" w:color="auto" w:fill="C6EFCE"/>
            <w:noWrap/>
            <w:vAlign w:val="center"/>
          </w:tcPr>
          <w:p w14:paraId="64D795D9" w14:textId="63FD75FE" w:rsidR="00154E32" w:rsidRDefault="00A43E04">
            <w:pPr>
              <w:pStyle w:val="P68B1DB1-Normal11"/>
              <w:spacing w:line="276" w:lineRule="auto"/>
              <w:rPr>
                <w:noProof/>
              </w:rPr>
            </w:pPr>
            <w:r>
              <w:rPr>
                <w:noProof/>
              </w:rPr>
              <w:t>Predlagani ukrepi podpirajo izgradnjo novih obratov za obdelavo in recikliranje ter tehnično izboljšanje obstoječega. Poleg tega so ukrepi namenjeni izvajanju in digitalizaciji mreže za ločeno zbiranje, da bi podprli in vključili državljane v sprejemanje dobrih praks na področju ravnanja z odpadki. S predlaganim posredovanjem se zmanjša število nezakonitih odlagališč, vključenih v postopek za ugotavljanje kršitev 2011/2215, s 14 na 9 (tj. vsaj 75 %).</w:t>
            </w:r>
          </w:p>
        </w:tc>
      </w:tr>
      <w:tr w:rsidR="00154E32" w14:paraId="3441287E" w14:textId="77777777">
        <w:trPr>
          <w:trHeight w:val="313"/>
          <w:jc w:val="center"/>
        </w:trPr>
        <w:tc>
          <w:tcPr>
            <w:tcW w:w="1220" w:type="dxa"/>
            <w:shd w:val="clear" w:color="auto" w:fill="C6EFCE"/>
            <w:noWrap/>
            <w:vAlign w:val="center"/>
          </w:tcPr>
          <w:p w14:paraId="3C3BC8B8" w14:textId="77777777" w:rsidR="00154E32" w:rsidRDefault="00A43E04">
            <w:pPr>
              <w:pStyle w:val="P68B1DB1-Normal11"/>
              <w:spacing w:line="276" w:lineRule="auto"/>
              <w:jc w:val="center"/>
              <w:rPr>
                <w:noProof/>
              </w:rPr>
            </w:pPr>
            <w:r>
              <w:rPr>
                <w:noProof/>
              </w:rPr>
              <w:t>M2C1–16b</w:t>
            </w:r>
          </w:p>
        </w:tc>
        <w:tc>
          <w:tcPr>
            <w:tcW w:w="1598" w:type="dxa"/>
            <w:shd w:val="clear" w:color="auto" w:fill="C6EFCE"/>
            <w:noWrap/>
            <w:vAlign w:val="center"/>
          </w:tcPr>
          <w:p w14:paraId="5C901847" w14:textId="77777777" w:rsidR="00154E32" w:rsidRDefault="00A43E04">
            <w:pPr>
              <w:pStyle w:val="P68B1DB1-Normal11"/>
              <w:spacing w:line="276" w:lineRule="auto"/>
              <w:jc w:val="center"/>
              <w:rPr>
                <w:noProof/>
              </w:rPr>
            </w:pPr>
            <w:r>
              <w:rPr>
                <w:noProof/>
              </w:rPr>
              <w:t>Reforma 1.2</w:t>
            </w:r>
          </w:p>
          <w:p w14:paraId="1F00490A" w14:textId="77777777" w:rsidR="00154E32" w:rsidRDefault="00A43E04">
            <w:pPr>
              <w:pStyle w:val="P68B1DB1-Normal11"/>
              <w:spacing w:line="276" w:lineRule="auto"/>
              <w:jc w:val="center"/>
              <w:rPr>
                <w:noProof/>
              </w:rPr>
            </w:pPr>
            <w:r>
              <w:rPr>
                <w:noProof/>
              </w:rPr>
              <w:t>Nacionalni program za ravnanje z odpadki</w:t>
            </w:r>
          </w:p>
          <w:p w14:paraId="68FED807" w14:textId="77777777" w:rsidR="00154E32" w:rsidRDefault="00154E32">
            <w:pPr>
              <w:spacing w:line="276" w:lineRule="auto"/>
              <w:jc w:val="center"/>
              <w:rPr>
                <w:rFonts w:ascii="Arial Narrow" w:hAnsi="Arial Narrow"/>
                <w:noProof/>
                <w:color w:val="006100"/>
                <w:sz w:val="20"/>
              </w:rPr>
            </w:pPr>
          </w:p>
          <w:p w14:paraId="13B264C1" w14:textId="77777777" w:rsidR="00154E32" w:rsidRDefault="00A43E04">
            <w:pPr>
              <w:pStyle w:val="P68B1DB1-Normal11"/>
              <w:spacing w:line="276" w:lineRule="auto"/>
              <w:jc w:val="center"/>
              <w:rPr>
                <w:noProof/>
              </w:rPr>
            </w:pPr>
            <w:r>
              <w:rPr>
                <w:noProof/>
              </w:rPr>
              <w:t>Naložba 1.1 – Izvajanje novih obratov za ravnanje z odpadki in posodobitev obstoječih obratov</w:t>
            </w:r>
          </w:p>
        </w:tc>
        <w:tc>
          <w:tcPr>
            <w:tcW w:w="1185" w:type="dxa"/>
            <w:shd w:val="clear" w:color="auto" w:fill="C6EFCE"/>
            <w:noWrap/>
            <w:vAlign w:val="center"/>
          </w:tcPr>
          <w:p w14:paraId="3DCFFC48" w14:textId="77777777" w:rsidR="00154E32" w:rsidRDefault="00A43E04">
            <w:pPr>
              <w:pStyle w:val="P68B1DB1-Normal11"/>
              <w:spacing w:line="276" w:lineRule="auto"/>
              <w:jc w:val="center"/>
              <w:rPr>
                <w:noProof/>
              </w:rPr>
            </w:pPr>
            <w:r>
              <w:rPr>
                <w:noProof/>
              </w:rPr>
              <w:t>Tarča</w:t>
            </w:r>
          </w:p>
        </w:tc>
        <w:tc>
          <w:tcPr>
            <w:tcW w:w="1732" w:type="dxa"/>
            <w:shd w:val="clear" w:color="auto" w:fill="C6EFCE"/>
            <w:noWrap/>
            <w:vAlign w:val="center"/>
          </w:tcPr>
          <w:p w14:paraId="6F0E2A86" w14:textId="77777777" w:rsidR="00154E32" w:rsidRDefault="00A43E04">
            <w:pPr>
              <w:pStyle w:val="P68B1DB1-Normal11"/>
              <w:spacing w:line="276" w:lineRule="auto"/>
              <w:jc w:val="center"/>
              <w:rPr>
                <w:noProof/>
              </w:rPr>
            </w:pPr>
            <w:r>
              <w:rPr>
                <w:noProof/>
              </w:rPr>
              <w:t>Regionalne razlike v stopnjah ločenega zbiranja</w:t>
            </w:r>
          </w:p>
        </w:tc>
        <w:tc>
          <w:tcPr>
            <w:tcW w:w="1603" w:type="dxa"/>
            <w:shd w:val="clear" w:color="auto" w:fill="C6EFCE"/>
            <w:noWrap/>
            <w:vAlign w:val="center"/>
          </w:tcPr>
          <w:p w14:paraId="0D8244C1" w14:textId="77777777" w:rsidR="00154E32" w:rsidRDefault="00A43E04">
            <w:pPr>
              <w:pStyle w:val="P68B1DB1-Normal11"/>
              <w:spacing w:line="276" w:lineRule="auto"/>
              <w:jc w:val="center"/>
              <w:rPr>
                <w:noProof/>
              </w:rPr>
            </w:pPr>
            <w:r>
              <w:rPr>
                <w:noProof/>
              </w:rPr>
              <w:t>JIH NI</w:t>
            </w:r>
          </w:p>
        </w:tc>
        <w:tc>
          <w:tcPr>
            <w:tcW w:w="1275" w:type="dxa"/>
            <w:shd w:val="clear" w:color="auto" w:fill="C6EFCE"/>
            <w:noWrap/>
            <w:vAlign w:val="center"/>
          </w:tcPr>
          <w:p w14:paraId="59944D25" w14:textId="77777777" w:rsidR="00154E32" w:rsidRDefault="00A43E04">
            <w:pPr>
              <w:pStyle w:val="P68B1DB1-Normal11"/>
              <w:spacing w:line="276" w:lineRule="auto"/>
              <w:jc w:val="center"/>
              <w:rPr>
                <w:noProof/>
              </w:rPr>
            </w:pPr>
            <w:r>
              <w:rPr>
                <w:noProof/>
              </w:rPr>
              <w:t>Odstotne točke</w:t>
            </w:r>
          </w:p>
        </w:tc>
        <w:tc>
          <w:tcPr>
            <w:tcW w:w="993" w:type="dxa"/>
            <w:shd w:val="clear" w:color="auto" w:fill="C6EFCE"/>
            <w:noWrap/>
            <w:vAlign w:val="center"/>
          </w:tcPr>
          <w:p w14:paraId="296064A7" w14:textId="77777777" w:rsidR="00154E32" w:rsidRDefault="00A43E04">
            <w:pPr>
              <w:pStyle w:val="P68B1DB1-Normal11"/>
              <w:spacing w:line="276" w:lineRule="auto"/>
              <w:jc w:val="center"/>
              <w:rPr>
                <w:noProof/>
              </w:rPr>
            </w:pPr>
            <w:r>
              <w:rPr>
                <w:noProof/>
              </w:rPr>
              <w:t>27,6</w:t>
            </w:r>
          </w:p>
        </w:tc>
        <w:tc>
          <w:tcPr>
            <w:tcW w:w="1162" w:type="dxa"/>
            <w:shd w:val="clear" w:color="auto" w:fill="C6EFCE"/>
            <w:noWrap/>
            <w:vAlign w:val="center"/>
          </w:tcPr>
          <w:p w14:paraId="720216D5" w14:textId="77777777" w:rsidR="00154E32" w:rsidRDefault="00A43E04">
            <w:pPr>
              <w:pStyle w:val="P68B1DB1-Normal11"/>
              <w:spacing w:line="276" w:lineRule="auto"/>
              <w:jc w:val="center"/>
              <w:rPr>
                <w:noProof/>
              </w:rPr>
            </w:pPr>
            <w:r>
              <w:rPr>
                <w:noProof/>
              </w:rPr>
              <w:t>20</w:t>
            </w:r>
          </w:p>
        </w:tc>
        <w:tc>
          <w:tcPr>
            <w:tcW w:w="963" w:type="dxa"/>
            <w:shd w:val="clear" w:color="auto" w:fill="C6EFCE"/>
            <w:noWrap/>
            <w:vAlign w:val="center"/>
          </w:tcPr>
          <w:p w14:paraId="5532E41C" w14:textId="77777777" w:rsidR="00154E32" w:rsidRDefault="00A43E04">
            <w:pPr>
              <w:pStyle w:val="P68B1DB1-Normal11"/>
              <w:spacing w:line="276" w:lineRule="auto"/>
              <w:jc w:val="center"/>
              <w:rPr>
                <w:noProof/>
              </w:rPr>
            </w:pPr>
            <w:r>
              <w:rPr>
                <w:noProof/>
              </w:rPr>
              <w:t>Q4</w:t>
            </w:r>
          </w:p>
        </w:tc>
        <w:tc>
          <w:tcPr>
            <w:tcW w:w="710" w:type="dxa"/>
            <w:shd w:val="clear" w:color="auto" w:fill="C6EFCE"/>
            <w:noWrap/>
            <w:vAlign w:val="center"/>
          </w:tcPr>
          <w:p w14:paraId="1C65F465" w14:textId="77777777" w:rsidR="00154E32" w:rsidRDefault="00A43E04">
            <w:pPr>
              <w:pStyle w:val="P68B1DB1-Normal11"/>
              <w:spacing w:line="276" w:lineRule="auto"/>
              <w:rPr>
                <w:noProof/>
              </w:rPr>
            </w:pPr>
            <w:r>
              <w:rPr>
                <w:noProof/>
              </w:rPr>
              <w:t>2024</w:t>
            </w:r>
          </w:p>
        </w:tc>
        <w:tc>
          <w:tcPr>
            <w:tcW w:w="3174" w:type="dxa"/>
            <w:shd w:val="clear" w:color="auto" w:fill="C6EFCE"/>
            <w:noWrap/>
            <w:vAlign w:val="center"/>
          </w:tcPr>
          <w:p w14:paraId="0E5D8197" w14:textId="77777777" w:rsidR="00154E32" w:rsidRDefault="00A43E04">
            <w:pPr>
              <w:pStyle w:val="P68B1DB1-Normal11"/>
              <w:spacing w:before="60" w:after="120" w:line="276" w:lineRule="auto"/>
              <w:rPr>
                <w:noProof/>
              </w:rPr>
            </w:pPr>
            <w:r>
              <w:rPr>
                <w:noProof/>
              </w:rPr>
              <w:t>Predlagani ukrepi podpirajo izgradnjo novih obratov za obdelavo in recikliranje ter tehnično izboljšanje obstoječega. Poleg tega so ukrepi namenjeni izvajanju in digitalizaciji mreže za ločeno zbiranje, da bi podprli in vključili državljane v sprejemanje dobrih praks na področju ravnanja z odpadki. S predlagano intervencijo se za 20 odstotnih točk zmanjšajo razlike med povprečnimi tremi najbolj uspešnimi regijami in tremi najmanj uspešnimi regijami v stopnjah ločenega zbiranja.</w:t>
            </w:r>
          </w:p>
        </w:tc>
      </w:tr>
      <w:tr w:rsidR="00154E32" w14:paraId="4C7F7771" w14:textId="77777777">
        <w:trPr>
          <w:trHeight w:val="313"/>
          <w:jc w:val="center"/>
        </w:trPr>
        <w:tc>
          <w:tcPr>
            <w:tcW w:w="1220" w:type="dxa"/>
            <w:shd w:val="clear" w:color="auto" w:fill="C6EFCE"/>
            <w:noWrap/>
            <w:vAlign w:val="center"/>
          </w:tcPr>
          <w:p w14:paraId="42BB2AD0" w14:textId="77777777" w:rsidR="00154E32" w:rsidRDefault="00A43E04">
            <w:pPr>
              <w:pStyle w:val="P68B1DB1-Normal11"/>
              <w:spacing w:line="276" w:lineRule="auto"/>
              <w:jc w:val="center"/>
              <w:rPr>
                <w:noProof/>
              </w:rPr>
            </w:pPr>
            <w:r>
              <w:rPr>
                <w:noProof/>
              </w:rPr>
              <w:t>M2C1–17</w:t>
            </w:r>
          </w:p>
        </w:tc>
        <w:tc>
          <w:tcPr>
            <w:tcW w:w="1598" w:type="dxa"/>
            <w:shd w:val="clear" w:color="auto" w:fill="C6EFCE"/>
            <w:noWrap/>
            <w:vAlign w:val="center"/>
          </w:tcPr>
          <w:p w14:paraId="69DFA255" w14:textId="77777777" w:rsidR="00154E32" w:rsidRDefault="00A43E04">
            <w:pPr>
              <w:pStyle w:val="P68B1DB1-Normal11"/>
              <w:spacing w:line="276" w:lineRule="auto"/>
              <w:jc w:val="center"/>
              <w:rPr>
                <w:noProof/>
              </w:rPr>
            </w:pPr>
            <w:r>
              <w:rPr>
                <w:noProof/>
              </w:rPr>
              <w:t>Naložba 1.2 – „vodilni“ projekti krožnega gospodarstva</w:t>
            </w:r>
          </w:p>
        </w:tc>
        <w:tc>
          <w:tcPr>
            <w:tcW w:w="1185" w:type="dxa"/>
            <w:shd w:val="clear" w:color="auto" w:fill="C6EFCE"/>
            <w:noWrap/>
            <w:vAlign w:val="center"/>
          </w:tcPr>
          <w:p w14:paraId="4363828D" w14:textId="77777777" w:rsidR="00154E32" w:rsidRDefault="00A43E04">
            <w:pPr>
              <w:pStyle w:val="P68B1DB1-Normal11"/>
              <w:spacing w:line="276" w:lineRule="auto"/>
              <w:jc w:val="center"/>
              <w:rPr>
                <w:noProof/>
              </w:rPr>
            </w:pPr>
            <w:r>
              <w:rPr>
                <w:noProof/>
              </w:rPr>
              <w:t>Tarča</w:t>
            </w:r>
          </w:p>
        </w:tc>
        <w:tc>
          <w:tcPr>
            <w:tcW w:w="1732" w:type="dxa"/>
            <w:shd w:val="clear" w:color="auto" w:fill="C6EFCE"/>
            <w:noWrap/>
            <w:vAlign w:val="center"/>
          </w:tcPr>
          <w:p w14:paraId="6FC8BF73" w14:textId="7069B427" w:rsidR="00154E32" w:rsidRDefault="00A43E04">
            <w:pPr>
              <w:pStyle w:val="P68B1DB1-Normal11"/>
              <w:spacing w:line="276" w:lineRule="auto"/>
              <w:jc w:val="center"/>
              <w:rPr>
                <w:noProof/>
              </w:rPr>
            </w:pPr>
            <w:r>
              <w:rPr>
                <w:noProof/>
              </w:rPr>
              <w:t>Stopnje recikliranja komunalnih odpadkov v akcijskem načrtu za krožno gospodarstvo</w:t>
            </w:r>
          </w:p>
        </w:tc>
        <w:tc>
          <w:tcPr>
            <w:tcW w:w="1603" w:type="dxa"/>
            <w:shd w:val="clear" w:color="auto" w:fill="C6EFCE"/>
            <w:noWrap/>
            <w:vAlign w:val="center"/>
          </w:tcPr>
          <w:p w14:paraId="036596BE" w14:textId="77777777" w:rsidR="00154E32" w:rsidRDefault="00A43E04">
            <w:pPr>
              <w:pStyle w:val="P68B1DB1-Normal11"/>
              <w:spacing w:line="276" w:lineRule="auto"/>
              <w:jc w:val="center"/>
              <w:rPr>
                <w:noProof/>
              </w:rPr>
            </w:pPr>
            <w:r>
              <w:rPr>
                <w:noProof/>
              </w:rPr>
              <w:t>JIH NI</w:t>
            </w:r>
          </w:p>
        </w:tc>
        <w:tc>
          <w:tcPr>
            <w:tcW w:w="1275" w:type="dxa"/>
            <w:shd w:val="clear" w:color="auto" w:fill="C6EFCE"/>
            <w:noWrap/>
            <w:vAlign w:val="center"/>
          </w:tcPr>
          <w:p w14:paraId="6B54A327" w14:textId="77777777" w:rsidR="00154E32" w:rsidRDefault="00A43E04">
            <w:pPr>
              <w:pStyle w:val="P68B1DB1-Normal11"/>
              <w:spacing w:line="276" w:lineRule="auto"/>
              <w:jc w:val="center"/>
              <w:rPr>
                <w:noProof/>
              </w:rPr>
            </w:pPr>
            <w:r>
              <w:rPr>
                <w:noProof/>
              </w:rPr>
              <w:t>Stopnja recikliranja</w:t>
            </w:r>
          </w:p>
        </w:tc>
        <w:tc>
          <w:tcPr>
            <w:tcW w:w="993" w:type="dxa"/>
            <w:shd w:val="clear" w:color="auto" w:fill="C6EFCE"/>
            <w:noWrap/>
            <w:vAlign w:val="center"/>
          </w:tcPr>
          <w:p w14:paraId="29040ED9" w14:textId="5A89CC1E" w:rsidR="00154E32" w:rsidRDefault="00A43E04">
            <w:pPr>
              <w:pStyle w:val="P68B1DB1-Normal11"/>
              <w:spacing w:line="276" w:lineRule="auto"/>
              <w:jc w:val="center"/>
              <w:rPr>
                <w:noProof/>
              </w:rPr>
            </w:pPr>
            <w:r>
              <w:rPr>
                <w:noProof/>
              </w:rPr>
              <w:t>JIH NI</w:t>
            </w:r>
          </w:p>
        </w:tc>
        <w:tc>
          <w:tcPr>
            <w:tcW w:w="1162" w:type="dxa"/>
            <w:shd w:val="clear" w:color="auto" w:fill="C6EFCE"/>
            <w:noWrap/>
            <w:vAlign w:val="center"/>
          </w:tcPr>
          <w:p w14:paraId="1BBA6217" w14:textId="77777777" w:rsidR="00154E32" w:rsidRDefault="00A43E04">
            <w:pPr>
              <w:pStyle w:val="P68B1DB1-Normal11"/>
              <w:spacing w:line="276" w:lineRule="auto"/>
              <w:jc w:val="center"/>
              <w:rPr>
                <w:noProof/>
              </w:rPr>
            </w:pPr>
            <w:r>
              <w:rPr>
                <w:noProof/>
              </w:rPr>
              <w:t>55</w:t>
            </w:r>
          </w:p>
        </w:tc>
        <w:tc>
          <w:tcPr>
            <w:tcW w:w="963" w:type="dxa"/>
            <w:shd w:val="clear" w:color="auto" w:fill="C6EFCE"/>
            <w:noWrap/>
            <w:vAlign w:val="center"/>
          </w:tcPr>
          <w:p w14:paraId="5851DC3A" w14:textId="77777777" w:rsidR="00154E32" w:rsidRDefault="00A43E04">
            <w:pPr>
              <w:pStyle w:val="P68B1DB1-Normal11"/>
              <w:spacing w:line="276" w:lineRule="auto"/>
              <w:jc w:val="center"/>
              <w:rPr>
                <w:noProof/>
              </w:rPr>
            </w:pPr>
            <w:r>
              <w:rPr>
                <w:noProof/>
              </w:rPr>
              <w:t>Q4</w:t>
            </w:r>
          </w:p>
        </w:tc>
        <w:tc>
          <w:tcPr>
            <w:tcW w:w="710" w:type="dxa"/>
            <w:shd w:val="clear" w:color="auto" w:fill="C6EFCE"/>
            <w:noWrap/>
            <w:vAlign w:val="center"/>
          </w:tcPr>
          <w:p w14:paraId="577A8F09" w14:textId="77777777" w:rsidR="00154E32" w:rsidRDefault="00A43E04">
            <w:pPr>
              <w:pStyle w:val="P68B1DB1-Normal11"/>
              <w:spacing w:line="276" w:lineRule="auto"/>
              <w:rPr>
                <w:noProof/>
              </w:rPr>
            </w:pPr>
            <w:r>
              <w:rPr>
                <w:noProof/>
              </w:rPr>
              <w:t>2025</w:t>
            </w:r>
          </w:p>
        </w:tc>
        <w:tc>
          <w:tcPr>
            <w:tcW w:w="3174" w:type="dxa"/>
            <w:shd w:val="clear" w:color="auto" w:fill="C6EFCE"/>
            <w:noWrap/>
            <w:vAlign w:val="center"/>
          </w:tcPr>
          <w:p w14:paraId="682E1F9B" w14:textId="45FD352D" w:rsidR="00154E32" w:rsidRDefault="00A43E04">
            <w:pPr>
              <w:pStyle w:val="P68B1DB1-Normal11"/>
              <w:spacing w:before="60" w:after="120" w:line="276" w:lineRule="auto"/>
              <w:rPr>
                <w:noProof/>
              </w:rPr>
            </w:pPr>
            <w:r>
              <w:rPr>
                <w:noProof/>
              </w:rPr>
              <w:t>Stopnja recikliranja komunalnih odpadkov doseže vsaj 55 % (kot je opredeljeno v členu 11(2)(C) Direktive 2008/98/ES o odpadkih, kakor je bila spremenjena z Direktivo 2018/851).</w:t>
            </w:r>
          </w:p>
        </w:tc>
      </w:tr>
      <w:tr w:rsidR="00154E32" w14:paraId="5EA343E1" w14:textId="77777777">
        <w:trPr>
          <w:trHeight w:val="313"/>
          <w:jc w:val="center"/>
        </w:trPr>
        <w:tc>
          <w:tcPr>
            <w:tcW w:w="1220" w:type="dxa"/>
            <w:shd w:val="clear" w:color="auto" w:fill="C6EFCE"/>
            <w:noWrap/>
            <w:vAlign w:val="center"/>
          </w:tcPr>
          <w:p w14:paraId="511606BD" w14:textId="77777777" w:rsidR="00154E32" w:rsidRDefault="00A43E04">
            <w:pPr>
              <w:pStyle w:val="P68B1DB1-Normal11"/>
              <w:spacing w:line="276" w:lineRule="auto"/>
              <w:jc w:val="center"/>
              <w:rPr>
                <w:noProof/>
              </w:rPr>
            </w:pPr>
            <w:r>
              <w:rPr>
                <w:noProof/>
              </w:rPr>
              <w:t>M2C1–17a</w:t>
            </w:r>
          </w:p>
        </w:tc>
        <w:tc>
          <w:tcPr>
            <w:tcW w:w="1598" w:type="dxa"/>
            <w:shd w:val="clear" w:color="auto" w:fill="C6EFCE"/>
            <w:noWrap/>
            <w:vAlign w:val="center"/>
          </w:tcPr>
          <w:p w14:paraId="550D4E96" w14:textId="77777777" w:rsidR="00154E32" w:rsidRDefault="00A43E04">
            <w:pPr>
              <w:pStyle w:val="P68B1DB1-Normal11"/>
              <w:spacing w:line="276" w:lineRule="auto"/>
              <w:jc w:val="center"/>
              <w:rPr>
                <w:noProof/>
              </w:rPr>
            </w:pPr>
            <w:r>
              <w:rPr>
                <w:noProof/>
              </w:rPr>
              <w:t>Naložba 1.2 – „vodilni“ projekti krožnega gospodarstva</w:t>
            </w:r>
          </w:p>
        </w:tc>
        <w:tc>
          <w:tcPr>
            <w:tcW w:w="1185" w:type="dxa"/>
            <w:shd w:val="clear" w:color="auto" w:fill="C6EFCE"/>
            <w:noWrap/>
            <w:vAlign w:val="center"/>
          </w:tcPr>
          <w:p w14:paraId="7A8CA6BB" w14:textId="77777777" w:rsidR="00154E32" w:rsidRDefault="00A43E04">
            <w:pPr>
              <w:pStyle w:val="P68B1DB1-Normal11"/>
              <w:spacing w:line="276" w:lineRule="auto"/>
              <w:jc w:val="center"/>
              <w:rPr>
                <w:noProof/>
              </w:rPr>
            </w:pPr>
            <w:r>
              <w:rPr>
                <w:noProof/>
              </w:rPr>
              <w:t>Tarča</w:t>
            </w:r>
          </w:p>
        </w:tc>
        <w:tc>
          <w:tcPr>
            <w:tcW w:w="1732" w:type="dxa"/>
            <w:shd w:val="clear" w:color="auto" w:fill="C6EFCE"/>
            <w:noWrap/>
            <w:vAlign w:val="center"/>
          </w:tcPr>
          <w:p w14:paraId="00E556C3" w14:textId="77777777" w:rsidR="00154E32" w:rsidRDefault="00A43E04">
            <w:pPr>
              <w:pStyle w:val="P68B1DB1-Normal11"/>
              <w:spacing w:line="276" w:lineRule="auto"/>
              <w:jc w:val="center"/>
              <w:rPr>
                <w:noProof/>
              </w:rPr>
            </w:pPr>
            <w:r>
              <w:rPr>
                <w:noProof/>
              </w:rPr>
              <w:t>Stopnje recikliranja odpadne embalaže v akcijskem načrtu za krožno gospodarstvo</w:t>
            </w:r>
          </w:p>
        </w:tc>
        <w:tc>
          <w:tcPr>
            <w:tcW w:w="1603" w:type="dxa"/>
            <w:shd w:val="clear" w:color="auto" w:fill="C6EFCE"/>
            <w:noWrap/>
            <w:vAlign w:val="center"/>
          </w:tcPr>
          <w:p w14:paraId="793E3002" w14:textId="77777777" w:rsidR="00154E32" w:rsidRDefault="00A43E04">
            <w:pPr>
              <w:pStyle w:val="P68B1DB1-Normal11"/>
              <w:spacing w:line="276" w:lineRule="auto"/>
              <w:jc w:val="center"/>
              <w:rPr>
                <w:noProof/>
              </w:rPr>
            </w:pPr>
            <w:r>
              <w:rPr>
                <w:noProof/>
              </w:rPr>
              <w:t>JIH NI</w:t>
            </w:r>
          </w:p>
        </w:tc>
        <w:tc>
          <w:tcPr>
            <w:tcW w:w="1275" w:type="dxa"/>
            <w:shd w:val="clear" w:color="auto" w:fill="C6EFCE"/>
            <w:noWrap/>
            <w:vAlign w:val="center"/>
          </w:tcPr>
          <w:p w14:paraId="61C4AD45" w14:textId="77777777" w:rsidR="00154E32" w:rsidRDefault="00A43E04">
            <w:pPr>
              <w:pStyle w:val="P68B1DB1-Normal11"/>
              <w:spacing w:line="276" w:lineRule="auto"/>
              <w:jc w:val="center"/>
              <w:rPr>
                <w:noProof/>
              </w:rPr>
            </w:pPr>
            <w:r>
              <w:rPr>
                <w:noProof/>
              </w:rPr>
              <w:t>Stopnja recikliranja</w:t>
            </w:r>
          </w:p>
        </w:tc>
        <w:tc>
          <w:tcPr>
            <w:tcW w:w="993" w:type="dxa"/>
            <w:shd w:val="clear" w:color="auto" w:fill="C6EFCE"/>
            <w:noWrap/>
            <w:vAlign w:val="center"/>
          </w:tcPr>
          <w:p w14:paraId="51380EB3" w14:textId="77777777" w:rsidR="00154E32" w:rsidRDefault="00A43E04">
            <w:pPr>
              <w:pStyle w:val="P68B1DB1-Normal11"/>
              <w:spacing w:line="276" w:lineRule="auto"/>
              <w:jc w:val="center"/>
              <w:rPr>
                <w:noProof/>
              </w:rPr>
            </w:pPr>
            <w:r>
              <w:rPr>
                <w:noProof/>
              </w:rPr>
              <w:t>JIH NI</w:t>
            </w:r>
          </w:p>
        </w:tc>
        <w:tc>
          <w:tcPr>
            <w:tcW w:w="1162" w:type="dxa"/>
            <w:shd w:val="clear" w:color="auto" w:fill="C6EFCE"/>
            <w:noWrap/>
            <w:vAlign w:val="center"/>
          </w:tcPr>
          <w:p w14:paraId="6E98D2AC" w14:textId="77777777" w:rsidR="00154E32" w:rsidRDefault="00A43E04">
            <w:pPr>
              <w:pStyle w:val="P68B1DB1-Normal11"/>
              <w:spacing w:line="276" w:lineRule="auto"/>
              <w:jc w:val="center"/>
              <w:rPr>
                <w:noProof/>
              </w:rPr>
            </w:pPr>
            <w:r>
              <w:rPr>
                <w:noProof/>
              </w:rPr>
              <w:t>65</w:t>
            </w:r>
          </w:p>
        </w:tc>
        <w:tc>
          <w:tcPr>
            <w:tcW w:w="963" w:type="dxa"/>
            <w:shd w:val="clear" w:color="auto" w:fill="C6EFCE"/>
            <w:noWrap/>
            <w:vAlign w:val="center"/>
          </w:tcPr>
          <w:p w14:paraId="77D71508" w14:textId="77777777" w:rsidR="00154E32" w:rsidRDefault="00A43E04">
            <w:pPr>
              <w:pStyle w:val="P68B1DB1-Normal11"/>
              <w:spacing w:line="276" w:lineRule="auto"/>
              <w:jc w:val="center"/>
              <w:rPr>
                <w:noProof/>
              </w:rPr>
            </w:pPr>
            <w:r>
              <w:rPr>
                <w:noProof/>
              </w:rPr>
              <w:t>Q4</w:t>
            </w:r>
          </w:p>
        </w:tc>
        <w:tc>
          <w:tcPr>
            <w:tcW w:w="710" w:type="dxa"/>
            <w:shd w:val="clear" w:color="auto" w:fill="C6EFCE"/>
            <w:noWrap/>
            <w:vAlign w:val="center"/>
          </w:tcPr>
          <w:p w14:paraId="114EBA30" w14:textId="77777777" w:rsidR="00154E32" w:rsidRDefault="00A43E04">
            <w:pPr>
              <w:pStyle w:val="P68B1DB1-Normal11"/>
              <w:spacing w:line="276" w:lineRule="auto"/>
              <w:rPr>
                <w:noProof/>
              </w:rPr>
            </w:pPr>
            <w:r>
              <w:rPr>
                <w:noProof/>
              </w:rPr>
              <w:t>2025</w:t>
            </w:r>
          </w:p>
        </w:tc>
        <w:tc>
          <w:tcPr>
            <w:tcW w:w="3174" w:type="dxa"/>
            <w:shd w:val="clear" w:color="auto" w:fill="C6EFCE"/>
            <w:noWrap/>
            <w:vAlign w:val="center"/>
          </w:tcPr>
          <w:p w14:paraId="610D848F" w14:textId="7BF838C3" w:rsidR="00154E32" w:rsidRDefault="00A43E04">
            <w:pPr>
              <w:pStyle w:val="P68B1DB1-Normal11"/>
              <w:spacing w:before="60" w:after="120" w:line="276" w:lineRule="auto"/>
              <w:rPr>
                <w:noProof/>
              </w:rPr>
            </w:pPr>
            <w:r>
              <w:rPr>
                <w:noProof/>
              </w:rPr>
              <w:t>Stopnja recikliranja odpadne embalaže po teži znaša najmanj 65 % (kot je opredeljeno v členu 6(1)(g) I-VI Direktive 94/62/ES o odpadni embalaži (kakor je bila spremenjena z Direktivo 2018/852)).</w:t>
            </w:r>
          </w:p>
        </w:tc>
      </w:tr>
      <w:tr w:rsidR="00154E32" w14:paraId="3D71AD6B" w14:textId="77777777">
        <w:trPr>
          <w:trHeight w:val="313"/>
          <w:jc w:val="center"/>
        </w:trPr>
        <w:tc>
          <w:tcPr>
            <w:tcW w:w="1220" w:type="dxa"/>
            <w:shd w:val="clear" w:color="auto" w:fill="C6EFCE"/>
            <w:noWrap/>
            <w:vAlign w:val="center"/>
          </w:tcPr>
          <w:p w14:paraId="386FF817" w14:textId="77777777" w:rsidR="00154E32" w:rsidRDefault="00A43E04">
            <w:pPr>
              <w:pStyle w:val="P68B1DB1-Normal11"/>
              <w:spacing w:line="276" w:lineRule="auto"/>
              <w:jc w:val="center"/>
              <w:rPr>
                <w:noProof/>
              </w:rPr>
            </w:pPr>
            <w:r>
              <w:rPr>
                <w:noProof/>
              </w:rPr>
              <w:t>M2C1–17b</w:t>
            </w:r>
          </w:p>
        </w:tc>
        <w:tc>
          <w:tcPr>
            <w:tcW w:w="1598" w:type="dxa"/>
            <w:shd w:val="clear" w:color="auto" w:fill="C6EFCE"/>
            <w:noWrap/>
            <w:vAlign w:val="center"/>
          </w:tcPr>
          <w:p w14:paraId="3A8D4CAB" w14:textId="77777777" w:rsidR="00154E32" w:rsidRDefault="00A43E04">
            <w:pPr>
              <w:pStyle w:val="P68B1DB1-Normal11"/>
              <w:spacing w:line="276" w:lineRule="auto"/>
              <w:jc w:val="center"/>
              <w:rPr>
                <w:noProof/>
              </w:rPr>
            </w:pPr>
            <w:r>
              <w:rPr>
                <w:noProof/>
              </w:rPr>
              <w:t>Naložba 1.2 – „vodilni“ projekti krožnega gospodarstva</w:t>
            </w:r>
          </w:p>
        </w:tc>
        <w:tc>
          <w:tcPr>
            <w:tcW w:w="1185" w:type="dxa"/>
            <w:shd w:val="clear" w:color="auto" w:fill="C6EFCE"/>
            <w:noWrap/>
            <w:vAlign w:val="center"/>
          </w:tcPr>
          <w:p w14:paraId="59C30C71" w14:textId="77777777" w:rsidR="00154E32" w:rsidRDefault="00A43E04">
            <w:pPr>
              <w:pStyle w:val="P68B1DB1-Normal11"/>
              <w:spacing w:line="276" w:lineRule="auto"/>
              <w:jc w:val="center"/>
              <w:rPr>
                <w:noProof/>
              </w:rPr>
            </w:pPr>
            <w:r>
              <w:rPr>
                <w:noProof/>
              </w:rPr>
              <w:t>Tarča</w:t>
            </w:r>
          </w:p>
        </w:tc>
        <w:tc>
          <w:tcPr>
            <w:tcW w:w="1732" w:type="dxa"/>
            <w:shd w:val="clear" w:color="auto" w:fill="C6EFCE"/>
            <w:noWrap/>
            <w:vAlign w:val="center"/>
          </w:tcPr>
          <w:p w14:paraId="2AC14077" w14:textId="77777777" w:rsidR="00154E32" w:rsidRDefault="00A43E04">
            <w:pPr>
              <w:pStyle w:val="P68B1DB1-Normal11"/>
              <w:spacing w:line="276" w:lineRule="auto"/>
              <w:jc w:val="center"/>
              <w:rPr>
                <w:noProof/>
              </w:rPr>
            </w:pPr>
            <w:r>
              <w:rPr>
                <w:noProof/>
              </w:rPr>
              <w:t>Stopnje recikliranja lesene embalaže v akcijskem načrtu za krožno gospodarstvo</w:t>
            </w:r>
          </w:p>
        </w:tc>
        <w:tc>
          <w:tcPr>
            <w:tcW w:w="1603" w:type="dxa"/>
            <w:shd w:val="clear" w:color="auto" w:fill="C6EFCE"/>
            <w:noWrap/>
            <w:vAlign w:val="center"/>
          </w:tcPr>
          <w:p w14:paraId="52D2E0E8" w14:textId="77777777" w:rsidR="00154E32" w:rsidRDefault="00A43E04">
            <w:pPr>
              <w:pStyle w:val="P68B1DB1-Normal11"/>
              <w:spacing w:line="276" w:lineRule="auto"/>
              <w:jc w:val="center"/>
              <w:rPr>
                <w:noProof/>
              </w:rPr>
            </w:pPr>
            <w:r>
              <w:rPr>
                <w:noProof/>
              </w:rPr>
              <w:t>JIH NI</w:t>
            </w:r>
          </w:p>
        </w:tc>
        <w:tc>
          <w:tcPr>
            <w:tcW w:w="1275" w:type="dxa"/>
            <w:shd w:val="clear" w:color="auto" w:fill="C6EFCE"/>
            <w:noWrap/>
            <w:vAlign w:val="center"/>
          </w:tcPr>
          <w:p w14:paraId="7F0B0FA6" w14:textId="77777777" w:rsidR="00154E32" w:rsidRDefault="00A43E04">
            <w:pPr>
              <w:pStyle w:val="P68B1DB1-Normal11"/>
              <w:spacing w:line="276" w:lineRule="auto"/>
              <w:jc w:val="center"/>
              <w:rPr>
                <w:noProof/>
              </w:rPr>
            </w:pPr>
            <w:r>
              <w:rPr>
                <w:noProof/>
              </w:rPr>
              <w:t>Stopnja recikliranja</w:t>
            </w:r>
          </w:p>
        </w:tc>
        <w:tc>
          <w:tcPr>
            <w:tcW w:w="993" w:type="dxa"/>
            <w:shd w:val="clear" w:color="auto" w:fill="C6EFCE"/>
            <w:noWrap/>
            <w:vAlign w:val="center"/>
          </w:tcPr>
          <w:p w14:paraId="66645EAB" w14:textId="77777777" w:rsidR="00154E32" w:rsidRDefault="00A43E04">
            <w:pPr>
              <w:pStyle w:val="P68B1DB1-Normal11"/>
              <w:spacing w:line="276" w:lineRule="auto"/>
              <w:jc w:val="center"/>
              <w:rPr>
                <w:noProof/>
              </w:rPr>
            </w:pPr>
            <w:r>
              <w:rPr>
                <w:noProof/>
              </w:rPr>
              <w:t>JIH NI</w:t>
            </w:r>
          </w:p>
        </w:tc>
        <w:tc>
          <w:tcPr>
            <w:tcW w:w="1162" w:type="dxa"/>
            <w:shd w:val="clear" w:color="auto" w:fill="C6EFCE"/>
            <w:noWrap/>
            <w:vAlign w:val="center"/>
          </w:tcPr>
          <w:p w14:paraId="3390C0A1" w14:textId="77777777" w:rsidR="00154E32" w:rsidRDefault="00A43E04">
            <w:pPr>
              <w:pStyle w:val="P68B1DB1-Normal11"/>
              <w:spacing w:line="276" w:lineRule="auto"/>
              <w:jc w:val="center"/>
              <w:rPr>
                <w:noProof/>
              </w:rPr>
            </w:pPr>
            <w:r>
              <w:rPr>
                <w:noProof/>
              </w:rPr>
              <w:t>25</w:t>
            </w:r>
          </w:p>
        </w:tc>
        <w:tc>
          <w:tcPr>
            <w:tcW w:w="963" w:type="dxa"/>
            <w:shd w:val="clear" w:color="auto" w:fill="C6EFCE"/>
            <w:noWrap/>
            <w:vAlign w:val="center"/>
          </w:tcPr>
          <w:p w14:paraId="533AB9A7" w14:textId="77777777" w:rsidR="00154E32" w:rsidRDefault="00A43E04">
            <w:pPr>
              <w:pStyle w:val="P68B1DB1-Normal11"/>
              <w:spacing w:line="276" w:lineRule="auto"/>
              <w:jc w:val="center"/>
              <w:rPr>
                <w:noProof/>
              </w:rPr>
            </w:pPr>
            <w:r>
              <w:rPr>
                <w:noProof/>
              </w:rPr>
              <w:t>Q4</w:t>
            </w:r>
          </w:p>
        </w:tc>
        <w:tc>
          <w:tcPr>
            <w:tcW w:w="710" w:type="dxa"/>
            <w:shd w:val="clear" w:color="auto" w:fill="C6EFCE"/>
            <w:noWrap/>
            <w:vAlign w:val="center"/>
          </w:tcPr>
          <w:p w14:paraId="0EF11B5B" w14:textId="77777777" w:rsidR="00154E32" w:rsidRDefault="00A43E04">
            <w:pPr>
              <w:pStyle w:val="P68B1DB1-Normal11"/>
              <w:spacing w:line="276" w:lineRule="auto"/>
              <w:rPr>
                <w:noProof/>
              </w:rPr>
            </w:pPr>
            <w:r>
              <w:rPr>
                <w:noProof/>
              </w:rPr>
              <w:t>2025</w:t>
            </w:r>
          </w:p>
        </w:tc>
        <w:tc>
          <w:tcPr>
            <w:tcW w:w="3174" w:type="dxa"/>
            <w:shd w:val="clear" w:color="auto" w:fill="C6EFCE"/>
            <w:noWrap/>
            <w:vAlign w:val="center"/>
          </w:tcPr>
          <w:p w14:paraId="52B323CF" w14:textId="77777777" w:rsidR="00154E32" w:rsidRDefault="00A43E04">
            <w:pPr>
              <w:pStyle w:val="P68B1DB1-Normal11"/>
              <w:spacing w:before="60" w:after="120" w:line="276" w:lineRule="auto"/>
              <w:rPr>
                <w:noProof/>
              </w:rPr>
            </w:pPr>
            <w:r>
              <w:rPr>
                <w:noProof/>
              </w:rPr>
              <w:t>Stopnja recikliranja lesene embalaže po teži znaša najmanj 25 % (kot je opredeljeno v členu 6(1)(g) I-VI Direktive 94/62/ES o odpadni embalaži (kot je bila spremenjena z Direktivo 2018/852))25 %.</w:t>
            </w:r>
          </w:p>
        </w:tc>
      </w:tr>
      <w:tr w:rsidR="00154E32" w14:paraId="5DF7B1F4" w14:textId="77777777">
        <w:trPr>
          <w:trHeight w:val="313"/>
          <w:jc w:val="center"/>
        </w:trPr>
        <w:tc>
          <w:tcPr>
            <w:tcW w:w="1220" w:type="dxa"/>
            <w:shd w:val="clear" w:color="auto" w:fill="C6EFCE"/>
            <w:noWrap/>
            <w:vAlign w:val="center"/>
          </w:tcPr>
          <w:p w14:paraId="4D16A6F4" w14:textId="77777777" w:rsidR="00154E32" w:rsidRDefault="00A43E04">
            <w:pPr>
              <w:pStyle w:val="P68B1DB1-Normal11"/>
              <w:spacing w:line="276" w:lineRule="auto"/>
              <w:jc w:val="center"/>
              <w:rPr>
                <w:noProof/>
              </w:rPr>
            </w:pPr>
            <w:r>
              <w:rPr>
                <w:noProof/>
              </w:rPr>
              <w:t>M2C1–17c</w:t>
            </w:r>
          </w:p>
        </w:tc>
        <w:tc>
          <w:tcPr>
            <w:tcW w:w="1598" w:type="dxa"/>
            <w:shd w:val="clear" w:color="auto" w:fill="C6EFCE"/>
            <w:noWrap/>
            <w:vAlign w:val="center"/>
          </w:tcPr>
          <w:p w14:paraId="790FCA9C" w14:textId="77777777" w:rsidR="00154E32" w:rsidRDefault="00A43E04">
            <w:pPr>
              <w:pStyle w:val="P68B1DB1-Normal11"/>
              <w:spacing w:line="276" w:lineRule="auto"/>
              <w:jc w:val="center"/>
              <w:rPr>
                <w:noProof/>
              </w:rPr>
            </w:pPr>
            <w:r>
              <w:rPr>
                <w:noProof/>
              </w:rPr>
              <w:t>Naložba 1.2 – „vodilni“ projekti krožnega gospodarstva</w:t>
            </w:r>
          </w:p>
        </w:tc>
        <w:tc>
          <w:tcPr>
            <w:tcW w:w="1185" w:type="dxa"/>
            <w:shd w:val="clear" w:color="auto" w:fill="C6EFCE"/>
            <w:noWrap/>
            <w:vAlign w:val="center"/>
          </w:tcPr>
          <w:p w14:paraId="6DDCB90E" w14:textId="77777777" w:rsidR="00154E32" w:rsidRDefault="00A43E04">
            <w:pPr>
              <w:pStyle w:val="P68B1DB1-Normal11"/>
              <w:spacing w:line="276" w:lineRule="auto"/>
              <w:jc w:val="center"/>
              <w:rPr>
                <w:noProof/>
              </w:rPr>
            </w:pPr>
            <w:r>
              <w:rPr>
                <w:noProof/>
              </w:rPr>
              <w:t>Tarča</w:t>
            </w:r>
          </w:p>
        </w:tc>
        <w:tc>
          <w:tcPr>
            <w:tcW w:w="1732" w:type="dxa"/>
            <w:shd w:val="clear" w:color="auto" w:fill="C6EFCE"/>
            <w:noWrap/>
            <w:vAlign w:val="center"/>
          </w:tcPr>
          <w:p w14:paraId="47B44DFD" w14:textId="77777777" w:rsidR="00154E32" w:rsidRDefault="00A43E04">
            <w:pPr>
              <w:pStyle w:val="P68B1DB1-Normal11"/>
              <w:spacing w:line="276" w:lineRule="auto"/>
              <w:jc w:val="center"/>
              <w:rPr>
                <w:noProof/>
              </w:rPr>
            </w:pPr>
            <w:r>
              <w:rPr>
                <w:noProof/>
              </w:rPr>
              <w:t>Stopnje recikliranja embalaže železnih kovin v akcijskem načrtu za krožno gospodarstvo</w:t>
            </w:r>
          </w:p>
        </w:tc>
        <w:tc>
          <w:tcPr>
            <w:tcW w:w="1603" w:type="dxa"/>
            <w:shd w:val="clear" w:color="auto" w:fill="C6EFCE"/>
            <w:noWrap/>
            <w:vAlign w:val="center"/>
          </w:tcPr>
          <w:p w14:paraId="6B20BF25" w14:textId="77777777" w:rsidR="00154E32" w:rsidRDefault="00A43E04">
            <w:pPr>
              <w:pStyle w:val="P68B1DB1-Normal11"/>
              <w:spacing w:line="276" w:lineRule="auto"/>
              <w:jc w:val="center"/>
              <w:rPr>
                <w:noProof/>
              </w:rPr>
            </w:pPr>
            <w:r>
              <w:rPr>
                <w:noProof/>
              </w:rPr>
              <w:t>JIH NI</w:t>
            </w:r>
          </w:p>
        </w:tc>
        <w:tc>
          <w:tcPr>
            <w:tcW w:w="1275" w:type="dxa"/>
            <w:shd w:val="clear" w:color="auto" w:fill="C6EFCE"/>
            <w:noWrap/>
            <w:vAlign w:val="center"/>
          </w:tcPr>
          <w:p w14:paraId="6251DF48" w14:textId="77777777" w:rsidR="00154E32" w:rsidRDefault="00A43E04">
            <w:pPr>
              <w:pStyle w:val="P68B1DB1-Normal11"/>
              <w:spacing w:line="276" w:lineRule="auto"/>
              <w:jc w:val="center"/>
              <w:rPr>
                <w:noProof/>
              </w:rPr>
            </w:pPr>
            <w:r>
              <w:rPr>
                <w:noProof/>
              </w:rPr>
              <w:t>Stopnja recikliranja</w:t>
            </w:r>
          </w:p>
        </w:tc>
        <w:tc>
          <w:tcPr>
            <w:tcW w:w="993" w:type="dxa"/>
            <w:shd w:val="clear" w:color="auto" w:fill="C6EFCE"/>
            <w:noWrap/>
            <w:vAlign w:val="center"/>
          </w:tcPr>
          <w:p w14:paraId="79EFBC46" w14:textId="77777777" w:rsidR="00154E32" w:rsidRDefault="00A43E04">
            <w:pPr>
              <w:pStyle w:val="P68B1DB1-Normal11"/>
              <w:spacing w:line="276" w:lineRule="auto"/>
              <w:jc w:val="center"/>
              <w:rPr>
                <w:noProof/>
              </w:rPr>
            </w:pPr>
            <w:r>
              <w:rPr>
                <w:noProof/>
              </w:rPr>
              <w:t>JIH NI</w:t>
            </w:r>
          </w:p>
        </w:tc>
        <w:tc>
          <w:tcPr>
            <w:tcW w:w="1162" w:type="dxa"/>
            <w:shd w:val="clear" w:color="auto" w:fill="C6EFCE"/>
            <w:noWrap/>
            <w:vAlign w:val="center"/>
          </w:tcPr>
          <w:p w14:paraId="7D16B194" w14:textId="77777777" w:rsidR="00154E32" w:rsidRDefault="00A43E04">
            <w:pPr>
              <w:pStyle w:val="P68B1DB1-Normal11"/>
              <w:spacing w:line="276" w:lineRule="auto"/>
              <w:jc w:val="center"/>
              <w:rPr>
                <w:noProof/>
              </w:rPr>
            </w:pPr>
            <w:r>
              <w:rPr>
                <w:noProof/>
              </w:rPr>
              <w:t>70</w:t>
            </w:r>
          </w:p>
        </w:tc>
        <w:tc>
          <w:tcPr>
            <w:tcW w:w="963" w:type="dxa"/>
            <w:shd w:val="clear" w:color="auto" w:fill="C6EFCE"/>
            <w:noWrap/>
            <w:vAlign w:val="center"/>
          </w:tcPr>
          <w:p w14:paraId="6AA7672F" w14:textId="77777777" w:rsidR="00154E32" w:rsidRDefault="00A43E04">
            <w:pPr>
              <w:pStyle w:val="P68B1DB1-Normal11"/>
              <w:spacing w:line="276" w:lineRule="auto"/>
              <w:jc w:val="center"/>
              <w:rPr>
                <w:noProof/>
              </w:rPr>
            </w:pPr>
            <w:r>
              <w:rPr>
                <w:noProof/>
              </w:rPr>
              <w:t>Q4</w:t>
            </w:r>
          </w:p>
        </w:tc>
        <w:tc>
          <w:tcPr>
            <w:tcW w:w="710" w:type="dxa"/>
            <w:shd w:val="clear" w:color="auto" w:fill="C6EFCE"/>
            <w:noWrap/>
            <w:vAlign w:val="center"/>
          </w:tcPr>
          <w:p w14:paraId="332E6FFC" w14:textId="77777777" w:rsidR="00154E32" w:rsidRDefault="00A43E04">
            <w:pPr>
              <w:pStyle w:val="P68B1DB1-Normal11"/>
              <w:spacing w:line="276" w:lineRule="auto"/>
              <w:rPr>
                <w:noProof/>
              </w:rPr>
            </w:pPr>
            <w:r>
              <w:rPr>
                <w:noProof/>
              </w:rPr>
              <w:t>2025</w:t>
            </w:r>
          </w:p>
        </w:tc>
        <w:tc>
          <w:tcPr>
            <w:tcW w:w="3174" w:type="dxa"/>
            <w:shd w:val="clear" w:color="auto" w:fill="C6EFCE"/>
            <w:noWrap/>
            <w:vAlign w:val="center"/>
          </w:tcPr>
          <w:p w14:paraId="458016CE" w14:textId="57851994" w:rsidR="00154E32" w:rsidRDefault="00A43E04">
            <w:pPr>
              <w:pStyle w:val="P68B1DB1-Normal11"/>
              <w:spacing w:before="60" w:after="120" w:line="276" w:lineRule="auto"/>
              <w:rPr>
                <w:noProof/>
              </w:rPr>
            </w:pPr>
            <w:r>
              <w:rPr>
                <w:noProof/>
              </w:rPr>
              <w:t>Stopnja recikliranja embalaže železnih kovin glede na maso znaša najmanj 70 % (kot je opredeljeno v členu 6(1)(g) I-VI Direktive 94/62/ES o odpadni embalaži (kakor je bila spremenjena z Direktivo 2018/852)).</w:t>
            </w:r>
          </w:p>
        </w:tc>
      </w:tr>
      <w:tr w:rsidR="00154E32" w14:paraId="6B57FDF1" w14:textId="77777777">
        <w:trPr>
          <w:trHeight w:val="313"/>
          <w:jc w:val="center"/>
        </w:trPr>
        <w:tc>
          <w:tcPr>
            <w:tcW w:w="1220" w:type="dxa"/>
            <w:shd w:val="clear" w:color="auto" w:fill="C6EFCE"/>
            <w:noWrap/>
            <w:vAlign w:val="center"/>
          </w:tcPr>
          <w:p w14:paraId="0272C4AC" w14:textId="77777777" w:rsidR="00154E32" w:rsidRDefault="00A43E04">
            <w:pPr>
              <w:pStyle w:val="P68B1DB1-Normal11"/>
              <w:spacing w:line="276" w:lineRule="auto"/>
              <w:jc w:val="center"/>
              <w:rPr>
                <w:noProof/>
              </w:rPr>
            </w:pPr>
            <w:r>
              <w:rPr>
                <w:noProof/>
              </w:rPr>
              <w:t>M2C1–17 kvinti</w:t>
            </w:r>
          </w:p>
        </w:tc>
        <w:tc>
          <w:tcPr>
            <w:tcW w:w="1598" w:type="dxa"/>
            <w:shd w:val="clear" w:color="auto" w:fill="C6EFCE"/>
            <w:noWrap/>
            <w:vAlign w:val="center"/>
          </w:tcPr>
          <w:p w14:paraId="07EFA499" w14:textId="77777777" w:rsidR="00154E32" w:rsidRDefault="00A43E04">
            <w:pPr>
              <w:pStyle w:val="P68B1DB1-Normal11"/>
              <w:spacing w:line="276" w:lineRule="auto"/>
              <w:jc w:val="center"/>
              <w:rPr>
                <w:noProof/>
              </w:rPr>
            </w:pPr>
            <w:r>
              <w:rPr>
                <w:noProof/>
              </w:rPr>
              <w:t>Naložba 1.2 – „vodilni“ projekti krožnega gospodarstva</w:t>
            </w:r>
          </w:p>
        </w:tc>
        <w:tc>
          <w:tcPr>
            <w:tcW w:w="1185" w:type="dxa"/>
            <w:shd w:val="clear" w:color="auto" w:fill="C6EFCE"/>
            <w:noWrap/>
            <w:vAlign w:val="center"/>
          </w:tcPr>
          <w:p w14:paraId="0F8A3836" w14:textId="77777777" w:rsidR="00154E32" w:rsidRDefault="00A43E04">
            <w:pPr>
              <w:pStyle w:val="P68B1DB1-Normal11"/>
              <w:spacing w:line="276" w:lineRule="auto"/>
              <w:jc w:val="center"/>
              <w:rPr>
                <w:noProof/>
              </w:rPr>
            </w:pPr>
            <w:r>
              <w:rPr>
                <w:noProof/>
              </w:rPr>
              <w:t>Tarča</w:t>
            </w:r>
          </w:p>
        </w:tc>
        <w:tc>
          <w:tcPr>
            <w:tcW w:w="1732" w:type="dxa"/>
            <w:shd w:val="clear" w:color="auto" w:fill="C6EFCE"/>
            <w:noWrap/>
            <w:vAlign w:val="center"/>
          </w:tcPr>
          <w:p w14:paraId="449B23AF" w14:textId="77777777" w:rsidR="00154E32" w:rsidRDefault="00A43E04">
            <w:pPr>
              <w:pStyle w:val="P68B1DB1-Normal11"/>
              <w:spacing w:line="276" w:lineRule="auto"/>
              <w:jc w:val="center"/>
              <w:rPr>
                <w:noProof/>
              </w:rPr>
            </w:pPr>
            <w:r>
              <w:rPr>
                <w:noProof/>
              </w:rPr>
              <w:t>Stopnje recikliranja embalaže aluminija v akcijskem načrtu za krožno gospodarstvo</w:t>
            </w:r>
          </w:p>
        </w:tc>
        <w:tc>
          <w:tcPr>
            <w:tcW w:w="1603" w:type="dxa"/>
            <w:shd w:val="clear" w:color="auto" w:fill="C6EFCE"/>
            <w:noWrap/>
            <w:vAlign w:val="center"/>
          </w:tcPr>
          <w:p w14:paraId="0EB4C463" w14:textId="77777777" w:rsidR="00154E32" w:rsidRDefault="00A43E04">
            <w:pPr>
              <w:pStyle w:val="P68B1DB1-Normal11"/>
              <w:spacing w:line="276" w:lineRule="auto"/>
              <w:jc w:val="center"/>
              <w:rPr>
                <w:noProof/>
              </w:rPr>
            </w:pPr>
            <w:r>
              <w:rPr>
                <w:noProof/>
              </w:rPr>
              <w:t>JIH NI</w:t>
            </w:r>
          </w:p>
        </w:tc>
        <w:tc>
          <w:tcPr>
            <w:tcW w:w="1275" w:type="dxa"/>
            <w:shd w:val="clear" w:color="auto" w:fill="C6EFCE"/>
            <w:noWrap/>
            <w:vAlign w:val="center"/>
          </w:tcPr>
          <w:p w14:paraId="47DEB0A1" w14:textId="77777777" w:rsidR="00154E32" w:rsidRDefault="00A43E04">
            <w:pPr>
              <w:pStyle w:val="P68B1DB1-Normal11"/>
              <w:spacing w:line="276" w:lineRule="auto"/>
              <w:jc w:val="center"/>
              <w:rPr>
                <w:noProof/>
              </w:rPr>
            </w:pPr>
            <w:r>
              <w:rPr>
                <w:noProof/>
              </w:rPr>
              <w:t>Stopnja recikliranja</w:t>
            </w:r>
          </w:p>
        </w:tc>
        <w:tc>
          <w:tcPr>
            <w:tcW w:w="993" w:type="dxa"/>
            <w:shd w:val="clear" w:color="auto" w:fill="C6EFCE"/>
            <w:noWrap/>
            <w:vAlign w:val="center"/>
          </w:tcPr>
          <w:p w14:paraId="452ADFD6" w14:textId="77777777" w:rsidR="00154E32" w:rsidRDefault="00A43E04">
            <w:pPr>
              <w:pStyle w:val="P68B1DB1-Normal11"/>
              <w:spacing w:line="276" w:lineRule="auto"/>
              <w:jc w:val="center"/>
              <w:rPr>
                <w:noProof/>
              </w:rPr>
            </w:pPr>
            <w:r>
              <w:rPr>
                <w:noProof/>
              </w:rPr>
              <w:t>JIH NI</w:t>
            </w:r>
          </w:p>
        </w:tc>
        <w:tc>
          <w:tcPr>
            <w:tcW w:w="1162" w:type="dxa"/>
            <w:shd w:val="clear" w:color="auto" w:fill="C6EFCE"/>
            <w:noWrap/>
            <w:vAlign w:val="center"/>
          </w:tcPr>
          <w:p w14:paraId="18D9FC4C" w14:textId="77777777" w:rsidR="00154E32" w:rsidRDefault="00A43E04">
            <w:pPr>
              <w:pStyle w:val="P68B1DB1-Normal11"/>
              <w:spacing w:line="276" w:lineRule="auto"/>
              <w:jc w:val="center"/>
              <w:rPr>
                <w:noProof/>
              </w:rPr>
            </w:pPr>
            <w:r>
              <w:rPr>
                <w:noProof/>
              </w:rPr>
              <w:t>50</w:t>
            </w:r>
          </w:p>
        </w:tc>
        <w:tc>
          <w:tcPr>
            <w:tcW w:w="963" w:type="dxa"/>
            <w:shd w:val="clear" w:color="auto" w:fill="C6EFCE"/>
            <w:noWrap/>
            <w:vAlign w:val="center"/>
          </w:tcPr>
          <w:p w14:paraId="7DB0A421" w14:textId="77777777" w:rsidR="00154E32" w:rsidRDefault="00A43E04">
            <w:pPr>
              <w:pStyle w:val="P68B1DB1-Normal11"/>
              <w:spacing w:line="276" w:lineRule="auto"/>
              <w:jc w:val="center"/>
              <w:rPr>
                <w:noProof/>
              </w:rPr>
            </w:pPr>
            <w:r>
              <w:rPr>
                <w:noProof/>
              </w:rPr>
              <w:t>Q4</w:t>
            </w:r>
          </w:p>
        </w:tc>
        <w:tc>
          <w:tcPr>
            <w:tcW w:w="710" w:type="dxa"/>
            <w:shd w:val="clear" w:color="auto" w:fill="C6EFCE"/>
            <w:noWrap/>
            <w:vAlign w:val="center"/>
          </w:tcPr>
          <w:p w14:paraId="7C9592DA" w14:textId="77777777" w:rsidR="00154E32" w:rsidRDefault="00A43E04">
            <w:pPr>
              <w:pStyle w:val="P68B1DB1-Normal11"/>
              <w:spacing w:line="276" w:lineRule="auto"/>
              <w:rPr>
                <w:noProof/>
              </w:rPr>
            </w:pPr>
            <w:r>
              <w:rPr>
                <w:noProof/>
              </w:rPr>
              <w:t>2025</w:t>
            </w:r>
          </w:p>
        </w:tc>
        <w:tc>
          <w:tcPr>
            <w:tcW w:w="3174" w:type="dxa"/>
            <w:shd w:val="clear" w:color="auto" w:fill="C6EFCE"/>
            <w:noWrap/>
            <w:vAlign w:val="center"/>
          </w:tcPr>
          <w:p w14:paraId="112FA19F" w14:textId="1A31861D" w:rsidR="00154E32" w:rsidRDefault="00A43E04">
            <w:pPr>
              <w:pStyle w:val="P68B1DB1-Normal11"/>
              <w:spacing w:before="60" w:after="120" w:line="276" w:lineRule="auto"/>
              <w:rPr>
                <w:noProof/>
              </w:rPr>
            </w:pPr>
            <w:r>
              <w:rPr>
                <w:noProof/>
              </w:rPr>
              <w:t>Stopnja recikliranja aluminijaste embalaže po teži znaša najmanj 50 % (kot je opredeljeno v členu 6(1)(g) I-VI Direktive 94/62/ES o odpadni embalaži (kot je bila spremenjena z Direktivo 2018/852)).</w:t>
            </w:r>
          </w:p>
        </w:tc>
      </w:tr>
      <w:tr w:rsidR="00154E32" w14:paraId="4378EB55" w14:textId="77777777">
        <w:trPr>
          <w:trHeight w:val="313"/>
          <w:jc w:val="center"/>
        </w:trPr>
        <w:tc>
          <w:tcPr>
            <w:tcW w:w="1220" w:type="dxa"/>
            <w:shd w:val="clear" w:color="auto" w:fill="C6EFCE"/>
            <w:noWrap/>
            <w:vAlign w:val="center"/>
          </w:tcPr>
          <w:p w14:paraId="29B5F4B2" w14:textId="77777777" w:rsidR="00154E32" w:rsidRDefault="00A43E04">
            <w:pPr>
              <w:pStyle w:val="P68B1DB1-Normal11"/>
              <w:spacing w:line="276" w:lineRule="auto"/>
              <w:jc w:val="center"/>
              <w:rPr>
                <w:noProof/>
              </w:rPr>
            </w:pPr>
            <w:r>
              <w:rPr>
                <w:noProof/>
              </w:rPr>
              <w:t>M2C1–17-spolnija</w:t>
            </w:r>
          </w:p>
        </w:tc>
        <w:tc>
          <w:tcPr>
            <w:tcW w:w="1598" w:type="dxa"/>
            <w:shd w:val="clear" w:color="auto" w:fill="C6EFCE"/>
            <w:noWrap/>
            <w:vAlign w:val="center"/>
          </w:tcPr>
          <w:p w14:paraId="44792B1A" w14:textId="77777777" w:rsidR="00154E32" w:rsidRDefault="00A43E04">
            <w:pPr>
              <w:pStyle w:val="P68B1DB1-Normal11"/>
              <w:spacing w:line="276" w:lineRule="auto"/>
              <w:jc w:val="center"/>
              <w:rPr>
                <w:noProof/>
              </w:rPr>
            </w:pPr>
            <w:r>
              <w:rPr>
                <w:noProof/>
              </w:rPr>
              <w:t>Naložba 1.2 – „vodilni“ projekti krožnega gospodarstva</w:t>
            </w:r>
          </w:p>
        </w:tc>
        <w:tc>
          <w:tcPr>
            <w:tcW w:w="1185" w:type="dxa"/>
            <w:shd w:val="clear" w:color="auto" w:fill="C6EFCE"/>
            <w:noWrap/>
            <w:vAlign w:val="center"/>
          </w:tcPr>
          <w:p w14:paraId="7777677F" w14:textId="77777777" w:rsidR="00154E32" w:rsidRDefault="00A43E04">
            <w:pPr>
              <w:pStyle w:val="P68B1DB1-Normal11"/>
              <w:spacing w:line="276" w:lineRule="auto"/>
              <w:jc w:val="center"/>
              <w:rPr>
                <w:noProof/>
              </w:rPr>
            </w:pPr>
            <w:r>
              <w:rPr>
                <w:noProof/>
              </w:rPr>
              <w:t>Tarča</w:t>
            </w:r>
          </w:p>
        </w:tc>
        <w:tc>
          <w:tcPr>
            <w:tcW w:w="1732" w:type="dxa"/>
            <w:shd w:val="clear" w:color="auto" w:fill="C6EFCE"/>
            <w:noWrap/>
            <w:vAlign w:val="center"/>
          </w:tcPr>
          <w:p w14:paraId="3ACA7849" w14:textId="77777777" w:rsidR="00154E32" w:rsidRDefault="00A43E04">
            <w:pPr>
              <w:pStyle w:val="P68B1DB1-Normal11"/>
              <w:spacing w:line="276" w:lineRule="auto"/>
              <w:jc w:val="center"/>
              <w:rPr>
                <w:noProof/>
              </w:rPr>
            </w:pPr>
            <w:r>
              <w:rPr>
                <w:noProof/>
              </w:rPr>
              <w:t>Stopnje recikliranja steklene embalaže v akcijskem načrtu za krožno gospodarstvo</w:t>
            </w:r>
          </w:p>
        </w:tc>
        <w:tc>
          <w:tcPr>
            <w:tcW w:w="1603" w:type="dxa"/>
            <w:shd w:val="clear" w:color="auto" w:fill="C6EFCE"/>
            <w:noWrap/>
            <w:vAlign w:val="center"/>
          </w:tcPr>
          <w:p w14:paraId="047559D2" w14:textId="77777777" w:rsidR="00154E32" w:rsidRDefault="00A43E04">
            <w:pPr>
              <w:pStyle w:val="P68B1DB1-Normal11"/>
              <w:spacing w:line="276" w:lineRule="auto"/>
              <w:jc w:val="center"/>
              <w:rPr>
                <w:noProof/>
              </w:rPr>
            </w:pPr>
            <w:r>
              <w:rPr>
                <w:noProof/>
              </w:rPr>
              <w:t>JIH NI</w:t>
            </w:r>
          </w:p>
        </w:tc>
        <w:tc>
          <w:tcPr>
            <w:tcW w:w="1275" w:type="dxa"/>
            <w:shd w:val="clear" w:color="auto" w:fill="C6EFCE"/>
            <w:noWrap/>
            <w:vAlign w:val="center"/>
          </w:tcPr>
          <w:p w14:paraId="250383D7" w14:textId="77777777" w:rsidR="00154E32" w:rsidRDefault="00A43E04">
            <w:pPr>
              <w:pStyle w:val="P68B1DB1-Normal11"/>
              <w:spacing w:line="276" w:lineRule="auto"/>
              <w:jc w:val="center"/>
              <w:rPr>
                <w:noProof/>
              </w:rPr>
            </w:pPr>
            <w:r>
              <w:rPr>
                <w:noProof/>
              </w:rPr>
              <w:t>Stopnja recikliranja</w:t>
            </w:r>
          </w:p>
        </w:tc>
        <w:tc>
          <w:tcPr>
            <w:tcW w:w="993" w:type="dxa"/>
            <w:shd w:val="clear" w:color="auto" w:fill="C6EFCE"/>
            <w:noWrap/>
            <w:vAlign w:val="center"/>
          </w:tcPr>
          <w:p w14:paraId="12E58B93" w14:textId="77777777" w:rsidR="00154E32" w:rsidRDefault="00A43E04">
            <w:pPr>
              <w:pStyle w:val="P68B1DB1-Normal11"/>
              <w:spacing w:line="276" w:lineRule="auto"/>
              <w:jc w:val="center"/>
              <w:rPr>
                <w:noProof/>
              </w:rPr>
            </w:pPr>
            <w:r>
              <w:rPr>
                <w:noProof/>
              </w:rPr>
              <w:t>JIH NI</w:t>
            </w:r>
          </w:p>
        </w:tc>
        <w:tc>
          <w:tcPr>
            <w:tcW w:w="1162" w:type="dxa"/>
            <w:shd w:val="clear" w:color="auto" w:fill="C6EFCE"/>
            <w:noWrap/>
            <w:vAlign w:val="center"/>
          </w:tcPr>
          <w:p w14:paraId="0B285049" w14:textId="77777777" w:rsidR="00154E32" w:rsidRDefault="00A43E04">
            <w:pPr>
              <w:pStyle w:val="P68B1DB1-Normal11"/>
              <w:spacing w:line="276" w:lineRule="auto"/>
              <w:jc w:val="center"/>
              <w:rPr>
                <w:noProof/>
              </w:rPr>
            </w:pPr>
            <w:r>
              <w:rPr>
                <w:noProof/>
              </w:rPr>
              <w:t>70</w:t>
            </w:r>
          </w:p>
        </w:tc>
        <w:tc>
          <w:tcPr>
            <w:tcW w:w="963" w:type="dxa"/>
            <w:shd w:val="clear" w:color="auto" w:fill="C6EFCE"/>
            <w:noWrap/>
            <w:vAlign w:val="center"/>
          </w:tcPr>
          <w:p w14:paraId="249CB7BE" w14:textId="77777777" w:rsidR="00154E32" w:rsidRDefault="00A43E04">
            <w:pPr>
              <w:pStyle w:val="P68B1DB1-Normal11"/>
              <w:spacing w:line="276" w:lineRule="auto"/>
              <w:jc w:val="center"/>
              <w:rPr>
                <w:noProof/>
              </w:rPr>
            </w:pPr>
            <w:r>
              <w:rPr>
                <w:noProof/>
              </w:rPr>
              <w:t>Q4</w:t>
            </w:r>
          </w:p>
        </w:tc>
        <w:tc>
          <w:tcPr>
            <w:tcW w:w="710" w:type="dxa"/>
            <w:shd w:val="clear" w:color="auto" w:fill="C6EFCE"/>
            <w:noWrap/>
            <w:vAlign w:val="center"/>
          </w:tcPr>
          <w:p w14:paraId="2B41C8D8" w14:textId="77777777" w:rsidR="00154E32" w:rsidRDefault="00A43E04">
            <w:pPr>
              <w:pStyle w:val="P68B1DB1-Normal11"/>
              <w:spacing w:line="276" w:lineRule="auto"/>
              <w:rPr>
                <w:noProof/>
              </w:rPr>
            </w:pPr>
            <w:r>
              <w:rPr>
                <w:noProof/>
              </w:rPr>
              <w:t>2025</w:t>
            </w:r>
          </w:p>
        </w:tc>
        <w:tc>
          <w:tcPr>
            <w:tcW w:w="3174" w:type="dxa"/>
            <w:shd w:val="clear" w:color="auto" w:fill="C6EFCE"/>
            <w:noWrap/>
            <w:vAlign w:val="center"/>
          </w:tcPr>
          <w:p w14:paraId="6DF0A1B7" w14:textId="096C09E7" w:rsidR="00154E32" w:rsidRDefault="00A43E04">
            <w:pPr>
              <w:pStyle w:val="P68B1DB1-Normal11"/>
              <w:spacing w:before="60" w:after="120" w:line="276" w:lineRule="auto"/>
              <w:rPr>
                <w:noProof/>
              </w:rPr>
            </w:pPr>
            <w:r>
              <w:rPr>
                <w:noProof/>
              </w:rPr>
              <w:t>Stopnja recikliranja steklene embalaže glede na maso znaša najmanj 70 % (kot je opredeljeno v členu 6(1)(g) I-VI Direktive 94/62/ES o odpadni embalaži (kakor je bila spremenjena z Direktivo 2018/852)).</w:t>
            </w:r>
          </w:p>
        </w:tc>
      </w:tr>
      <w:tr w:rsidR="00154E32" w14:paraId="755BAE73" w14:textId="77777777">
        <w:trPr>
          <w:trHeight w:val="313"/>
          <w:jc w:val="center"/>
        </w:trPr>
        <w:tc>
          <w:tcPr>
            <w:tcW w:w="1220" w:type="dxa"/>
            <w:shd w:val="clear" w:color="auto" w:fill="C6EFCE"/>
            <w:noWrap/>
            <w:vAlign w:val="center"/>
          </w:tcPr>
          <w:p w14:paraId="10E8ED7B" w14:textId="77777777" w:rsidR="00154E32" w:rsidRDefault="00A43E04">
            <w:pPr>
              <w:pStyle w:val="P68B1DB1-Normal11"/>
              <w:spacing w:line="276" w:lineRule="auto"/>
              <w:jc w:val="center"/>
              <w:rPr>
                <w:noProof/>
              </w:rPr>
            </w:pPr>
            <w:r>
              <w:rPr>
                <w:noProof/>
              </w:rPr>
              <w:t>M2C1–17 septov</w:t>
            </w:r>
          </w:p>
        </w:tc>
        <w:tc>
          <w:tcPr>
            <w:tcW w:w="1598" w:type="dxa"/>
            <w:shd w:val="clear" w:color="auto" w:fill="C6EFCE"/>
            <w:noWrap/>
            <w:vAlign w:val="center"/>
          </w:tcPr>
          <w:p w14:paraId="52EB33BE" w14:textId="77777777" w:rsidR="00154E32" w:rsidRDefault="00A43E04">
            <w:pPr>
              <w:pStyle w:val="P68B1DB1-Normal11"/>
              <w:spacing w:line="276" w:lineRule="auto"/>
              <w:jc w:val="center"/>
              <w:rPr>
                <w:noProof/>
              </w:rPr>
            </w:pPr>
            <w:r>
              <w:rPr>
                <w:noProof/>
              </w:rPr>
              <w:t>Naložba 1.2 – „vodilni“ projekti krožnega gospodarstva</w:t>
            </w:r>
          </w:p>
        </w:tc>
        <w:tc>
          <w:tcPr>
            <w:tcW w:w="1185" w:type="dxa"/>
            <w:shd w:val="clear" w:color="auto" w:fill="C6EFCE"/>
            <w:noWrap/>
            <w:vAlign w:val="center"/>
          </w:tcPr>
          <w:p w14:paraId="242CD25F" w14:textId="77777777" w:rsidR="00154E32" w:rsidRDefault="00A43E04">
            <w:pPr>
              <w:pStyle w:val="P68B1DB1-Normal11"/>
              <w:spacing w:line="276" w:lineRule="auto"/>
              <w:jc w:val="center"/>
              <w:rPr>
                <w:noProof/>
              </w:rPr>
            </w:pPr>
            <w:r>
              <w:rPr>
                <w:noProof/>
              </w:rPr>
              <w:t>Tarča</w:t>
            </w:r>
          </w:p>
        </w:tc>
        <w:tc>
          <w:tcPr>
            <w:tcW w:w="1732" w:type="dxa"/>
            <w:shd w:val="clear" w:color="auto" w:fill="C6EFCE"/>
            <w:noWrap/>
            <w:vAlign w:val="center"/>
          </w:tcPr>
          <w:p w14:paraId="668F51E3" w14:textId="77777777" w:rsidR="00154E32" w:rsidRDefault="00A43E04">
            <w:pPr>
              <w:pStyle w:val="P68B1DB1-Normal11"/>
              <w:spacing w:line="276" w:lineRule="auto"/>
              <w:jc w:val="center"/>
              <w:rPr>
                <w:noProof/>
              </w:rPr>
            </w:pPr>
            <w:r>
              <w:rPr>
                <w:noProof/>
              </w:rPr>
              <w:t>Stopnje recikliranja papirja in kartona v akcijskem načrtu za krožno gospodarstvo</w:t>
            </w:r>
          </w:p>
        </w:tc>
        <w:tc>
          <w:tcPr>
            <w:tcW w:w="1603" w:type="dxa"/>
            <w:shd w:val="clear" w:color="auto" w:fill="C6EFCE"/>
            <w:noWrap/>
            <w:vAlign w:val="center"/>
          </w:tcPr>
          <w:p w14:paraId="23456754" w14:textId="77777777" w:rsidR="00154E32" w:rsidRDefault="00A43E04">
            <w:pPr>
              <w:pStyle w:val="P68B1DB1-Normal11"/>
              <w:spacing w:line="276" w:lineRule="auto"/>
              <w:jc w:val="center"/>
              <w:rPr>
                <w:noProof/>
              </w:rPr>
            </w:pPr>
            <w:r>
              <w:rPr>
                <w:noProof/>
              </w:rPr>
              <w:t>JIH NI</w:t>
            </w:r>
          </w:p>
        </w:tc>
        <w:tc>
          <w:tcPr>
            <w:tcW w:w="1275" w:type="dxa"/>
            <w:shd w:val="clear" w:color="auto" w:fill="C6EFCE"/>
            <w:noWrap/>
            <w:vAlign w:val="center"/>
          </w:tcPr>
          <w:p w14:paraId="3899D0A4" w14:textId="77777777" w:rsidR="00154E32" w:rsidRDefault="00A43E04">
            <w:pPr>
              <w:pStyle w:val="P68B1DB1-Normal11"/>
              <w:spacing w:line="276" w:lineRule="auto"/>
              <w:jc w:val="center"/>
              <w:rPr>
                <w:noProof/>
              </w:rPr>
            </w:pPr>
            <w:r>
              <w:rPr>
                <w:noProof/>
              </w:rPr>
              <w:t>Stopnja recikliranja</w:t>
            </w:r>
          </w:p>
        </w:tc>
        <w:tc>
          <w:tcPr>
            <w:tcW w:w="993" w:type="dxa"/>
            <w:shd w:val="clear" w:color="auto" w:fill="C6EFCE"/>
            <w:noWrap/>
            <w:vAlign w:val="center"/>
          </w:tcPr>
          <w:p w14:paraId="7FE5F638" w14:textId="77777777" w:rsidR="00154E32" w:rsidRDefault="00A43E04">
            <w:pPr>
              <w:pStyle w:val="P68B1DB1-Normal11"/>
              <w:spacing w:line="276" w:lineRule="auto"/>
              <w:jc w:val="center"/>
              <w:rPr>
                <w:noProof/>
              </w:rPr>
            </w:pPr>
            <w:r>
              <w:rPr>
                <w:noProof/>
              </w:rPr>
              <w:t>JIH NI</w:t>
            </w:r>
          </w:p>
        </w:tc>
        <w:tc>
          <w:tcPr>
            <w:tcW w:w="1162" w:type="dxa"/>
            <w:shd w:val="clear" w:color="auto" w:fill="C6EFCE"/>
            <w:noWrap/>
            <w:vAlign w:val="center"/>
          </w:tcPr>
          <w:p w14:paraId="3423CFF6" w14:textId="77777777" w:rsidR="00154E32" w:rsidRDefault="00A43E04">
            <w:pPr>
              <w:pStyle w:val="P68B1DB1-Normal11"/>
              <w:spacing w:line="276" w:lineRule="auto"/>
              <w:jc w:val="center"/>
              <w:rPr>
                <w:noProof/>
              </w:rPr>
            </w:pPr>
            <w:r>
              <w:rPr>
                <w:noProof/>
              </w:rPr>
              <w:t>75</w:t>
            </w:r>
          </w:p>
        </w:tc>
        <w:tc>
          <w:tcPr>
            <w:tcW w:w="963" w:type="dxa"/>
            <w:shd w:val="clear" w:color="auto" w:fill="C6EFCE"/>
            <w:noWrap/>
            <w:vAlign w:val="center"/>
          </w:tcPr>
          <w:p w14:paraId="5CEDCF88" w14:textId="77777777" w:rsidR="00154E32" w:rsidRDefault="00A43E04">
            <w:pPr>
              <w:pStyle w:val="P68B1DB1-Normal11"/>
              <w:spacing w:line="276" w:lineRule="auto"/>
              <w:jc w:val="center"/>
              <w:rPr>
                <w:noProof/>
              </w:rPr>
            </w:pPr>
            <w:r>
              <w:rPr>
                <w:noProof/>
              </w:rPr>
              <w:t>Q4</w:t>
            </w:r>
          </w:p>
        </w:tc>
        <w:tc>
          <w:tcPr>
            <w:tcW w:w="710" w:type="dxa"/>
            <w:shd w:val="clear" w:color="auto" w:fill="C6EFCE"/>
            <w:noWrap/>
            <w:vAlign w:val="center"/>
          </w:tcPr>
          <w:p w14:paraId="2A3F72F8" w14:textId="77777777" w:rsidR="00154E32" w:rsidRDefault="00A43E04">
            <w:pPr>
              <w:pStyle w:val="P68B1DB1-Normal11"/>
              <w:spacing w:line="276" w:lineRule="auto"/>
              <w:rPr>
                <w:noProof/>
              </w:rPr>
            </w:pPr>
            <w:r>
              <w:rPr>
                <w:noProof/>
              </w:rPr>
              <w:t>2025</w:t>
            </w:r>
          </w:p>
        </w:tc>
        <w:tc>
          <w:tcPr>
            <w:tcW w:w="3174" w:type="dxa"/>
            <w:shd w:val="clear" w:color="auto" w:fill="C6EFCE"/>
            <w:noWrap/>
            <w:vAlign w:val="center"/>
          </w:tcPr>
          <w:p w14:paraId="5F2A5069" w14:textId="28332F1D" w:rsidR="00154E32" w:rsidRDefault="00A43E04">
            <w:pPr>
              <w:pStyle w:val="P68B1DB1-Normal11"/>
              <w:spacing w:before="60" w:after="120" w:line="276" w:lineRule="auto"/>
              <w:rPr>
                <w:noProof/>
              </w:rPr>
            </w:pPr>
            <w:r>
              <w:rPr>
                <w:noProof/>
              </w:rPr>
              <w:t>Stopnja recikliranja papirja in kartona glede na maso znaša najmanj 75 % (kot je opredeljeno v členu 6(1)(g) I-VI Direktive 94/62/ES o odpadni embalaži (kakor je bila spremenjena z Direktivo 2018/852)).</w:t>
            </w:r>
          </w:p>
        </w:tc>
      </w:tr>
      <w:tr w:rsidR="00154E32" w14:paraId="27D3F78C" w14:textId="77777777">
        <w:trPr>
          <w:trHeight w:val="313"/>
          <w:jc w:val="center"/>
        </w:trPr>
        <w:tc>
          <w:tcPr>
            <w:tcW w:w="1220" w:type="dxa"/>
            <w:shd w:val="clear" w:color="auto" w:fill="C6EFCE"/>
            <w:noWrap/>
            <w:vAlign w:val="center"/>
          </w:tcPr>
          <w:p w14:paraId="5940579B" w14:textId="77777777" w:rsidR="00154E32" w:rsidRDefault="00A43E04">
            <w:pPr>
              <w:pStyle w:val="P68B1DB1-Normal11"/>
              <w:spacing w:line="276" w:lineRule="auto"/>
              <w:jc w:val="center"/>
              <w:rPr>
                <w:noProof/>
              </w:rPr>
            </w:pPr>
            <w:r>
              <w:rPr>
                <w:noProof/>
              </w:rPr>
              <w:t>M2C1–17 oktov</w:t>
            </w:r>
          </w:p>
        </w:tc>
        <w:tc>
          <w:tcPr>
            <w:tcW w:w="1598" w:type="dxa"/>
            <w:shd w:val="clear" w:color="auto" w:fill="C6EFCE"/>
            <w:noWrap/>
            <w:vAlign w:val="center"/>
          </w:tcPr>
          <w:p w14:paraId="146DA975" w14:textId="77777777" w:rsidR="00154E32" w:rsidRDefault="00A43E04">
            <w:pPr>
              <w:pStyle w:val="P68B1DB1-Normal11"/>
              <w:spacing w:line="276" w:lineRule="auto"/>
              <w:jc w:val="center"/>
              <w:rPr>
                <w:noProof/>
              </w:rPr>
            </w:pPr>
            <w:r>
              <w:rPr>
                <w:noProof/>
              </w:rPr>
              <w:t>Naložba 1.2 – „vodilni“ projekti krožnega gospodarstva</w:t>
            </w:r>
          </w:p>
        </w:tc>
        <w:tc>
          <w:tcPr>
            <w:tcW w:w="1185" w:type="dxa"/>
            <w:shd w:val="clear" w:color="auto" w:fill="C6EFCE"/>
            <w:noWrap/>
            <w:vAlign w:val="center"/>
          </w:tcPr>
          <w:p w14:paraId="4E0AA04E" w14:textId="77777777" w:rsidR="00154E32" w:rsidRDefault="00A43E04">
            <w:pPr>
              <w:pStyle w:val="P68B1DB1-Normal11"/>
              <w:spacing w:line="276" w:lineRule="auto"/>
              <w:jc w:val="center"/>
              <w:rPr>
                <w:noProof/>
              </w:rPr>
            </w:pPr>
            <w:r>
              <w:rPr>
                <w:noProof/>
              </w:rPr>
              <w:t>Tarča</w:t>
            </w:r>
          </w:p>
        </w:tc>
        <w:tc>
          <w:tcPr>
            <w:tcW w:w="1732" w:type="dxa"/>
            <w:shd w:val="clear" w:color="auto" w:fill="C6EFCE"/>
            <w:noWrap/>
            <w:vAlign w:val="center"/>
          </w:tcPr>
          <w:p w14:paraId="08B4B006" w14:textId="77777777" w:rsidR="00154E32" w:rsidRDefault="00A43E04">
            <w:pPr>
              <w:pStyle w:val="P68B1DB1-Normal11"/>
              <w:spacing w:line="276" w:lineRule="auto"/>
              <w:jc w:val="center"/>
              <w:rPr>
                <w:noProof/>
              </w:rPr>
            </w:pPr>
            <w:r>
              <w:rPr>
                <w:noProof/>
              </w:rPr>
              <w:t>Stopnje recikliranja plastične embalaže v akcijskem načrtu za krožno gospodarstvo</w:t>
            </w:r>
          </w:p>
        </w:tc>
        <w:tc>
          <w:tcPr>
            <w:tcW w:w="1603" w:type="dxa"/>
            <w:shd w:val="clear" w:color="auto" w:fill="C6EFCE"/>
            <w:noWrap/>
            <w:vAlign w:val="center"/>
          </w:tcPr>
          <w:p w14:paraId="16D187EF" w14:textId="77777777" w:rsidR="00154E32" w:rsidRDefault="00A43E04">
            <w:pPr>
              <w:pStyle w:val="P68B1DB1-Normal11"/>
              <w:spacing w:line="276" w:lineRule="auto"/>
              <w:jc w:val="center"/>
              <w:rPr>
                <w:noProof/>
              </w:rPr>
            </w:pPr>
            <w:r>
              <w:rPr>
                <w:noProof/>
              </w:rPr>
              <w:t>JIH NI</w:t>
            </w:r>
          </w:p>
        </w:tc>
        <w:tc>
          <w:tcPr>
            <w:tcW w:w="1275" w:type="dxa"/>
            <w:shd w:val="clear" w:color="auto" w:fill="C6EFCE"/>
            <w:noWrap/>
            <w:vAlign w:val="center"/>
          </w:tcPr>
          <w:p w14:paraId="7F58A6AD" w14:textId="77777777" w:rsidR="00154E32" w:rsidRDefault="00A43E04">
            <w:pPr>
              <w:pStyle w:val="P68B1DB1-Normal11"/>
              <w:spacing w:line="276" w:lineRule="auto"/>
              <w:jc w:val="center"/>
              <w:rPr>
                <w:noProof/>
              </w:rPr>
            </w:pPr>
            <w:r>
              <w:rPr>
                <w:noProof/>
              </w:rPr>
              <w:t>Stopnja recikliranja</w:t>
            </w:r>
          </w:p>
        </w:tc>
        <w:tc>
          <w:tcPr>
            <w:tcW w:w="993" w:type="dxa"/>
            <w:shd w:val="clear" w:color="auto" w:fill="C6EFCE"/>
            <w:noWrap/>
            <w:vAlign w:val="center"/>
          </w:tcPr>
          <w:p w14:paraId="06FF264C" w14:textId="77777777" w:rsidR="00154E32" w:rsidRDefault="00A43E04">
            <w:pPr>
              <w:pStyle w:val="P68B1DB1-Normal11"/>
              <w:spacing w:line="276" w:lineRule="auto"/>
              <w:jc w:val="center"/>
              <w:rPr>
                <w:noProof/>
              </w:rPr>
            </w:pPr>
            <w:r>
              <w:rPr>
                <w:noProof/>
              </w:rPr>
              <w:t>JIH NI</w:t>
            </w:r>
          </w:p>
        </w:tc>
        <w:tc>
          <w:tcPr>
            <w:tcW w:w="1162" w:type="dxa"/>
            <w:shd w:val="clear" w:color="auto" w:fill="C6EFCE"/>
            <w:noWrap/>
            <w:vAlign w:val="center"/>
          </w:tcPr>
          <w:p w14:paraId="056CF75F" w14:textId="77777777" w:rsidR="00154E32" w:rsidRDefault="00A43E04">
            <w:pPr>
              <w:pStyle w:val="P68B1DB1-Normal11"/>
              <w:spacing w:line="276" w:lineRule="auto"/>
              <w:jc w:val="center"/>
              <w:rPr>
                <w:noProof/>
              </w:rPr>
            </w:pPr>
            <w:r>
              <w:rPr>
                <w:noProof/>
              </w:rPr>
              <w:t>50</w:t>
            </w:r>
          </w:p>
        </w:tc>
        <w:tc>
          <w:tcPr>
            <w:tcW w:w="963" w:type="dxa"/>
            <w:shd w:val="clear" w:color="auto" w:fill="C6EFCE"/>
            <w:noWrap/>
            <w:vAlign w:val="center"/>
          </w:tcPr>
          <w:p w14:paraId="405AAF1C" w14:textId="77777777" w:rsidR="00154E32" w:rsidRDefault="00A43E04">
            <w:pPr>
              <w:pStyle w:val="P68B1DB1-Normal11"/>
              <w:spacing w:line="276" w:lineRule="auto"/>
              <w:jc w:val="center"/>
              <w:rPr>
                <w:noProof/>
              </w:rPr>
            </w:pPr>
            <w:r>
              <w:rPr>
                <w:noProof/>
              </w:rPr>
              <w:t>Q4</w:t>
            </w:r>
          </w:p>
        </w:tc>
        <w:tc>
          <w:tcPr>
            <w:tcW w:w="710" w:type="dxa"/>
            <w:shd w:val="clear" w:color="auto" w:fill="C6EFCE"/>
            <w:noWrap/>
            <w:vAlign w:val="center"/>
          </w:tcPr>
          <w:p w14:paraId="71FC9677" w14:textId="77777777" w:rsidR="00154E32" w:rsidRDefault="00A43E04">
            <w:pPr>
              <w:pStyle w:val="P68B1DB1-Normal11"/>
              <w:spacing w:line="276" w:lineRule="auto"/>
              <w:rPr>
                <w:noProof/>
              </w:rPr>
            </w:pPr>
            <w:r>
              <w:rPr>
                <w:noProof/>
              </w:rPr>
              <w:t>2025</w:t>
            </w:r>
          </w:p>
        </w:tc>
        <w:tc>
          <w:tcPr>
            <w:tcW w:w="3174" w:type="dxa"/>
            <w:shd w:val="clear" w:color="auto" w:fill="C6EFCE"/>
            <w:noWrap/>
            <w:vAlign w:val="center"/>
          </w:tcPr>
          <w:p w14:paraId="6D7475B1" w14:textId="50A0D262" w:rsidR="00154E32" w:rsidRDefault="00A43E04">
            <w:pPr>
              <w:pStyle w:val="P68B1DB1-Normal11"/>
              <w:spacing w:before="60" w:after="120" w:line="276" w:lineRule="auto"/>
              <w:rPr>
                <w:noProof/>
              </w:rPr>
            </w:pPr>
            <w:r>
              <w:rPr>
                <w:noProof/>
              </w:rPr>
              <w:t>Stopnja recikliranja plastične embalaže glede na maso znaša najmanj 50 % (kot je opredeljeno v členu 6(1)(g) I-VI Direktive 94/62/ES o odpadni embalaži (kot je bila spremenjena z Direktivo 2018/852)).</w:t>
            </w:r>
          </w:p>
        </w:tc>
      </w:tr>
      <w:tr w:rsidR="00154E32" w14:paraId="00752DFA" w14:textId="77777777">
        <w:trPr>
          <w:trHeight w:val="313"/>
          <w:jc w:val="center"/>
        </w:trPr>
        <w:tc>
          <w:tcPr>
            <w:tcW w:w="1220" w:type="dxa"/>
            <w:shd w:val="clear" w:color="auto" w:fill="C6EFCE"/>
            <w:noWrap/>
            <w:vAlign w:val="center"/>
          </w:tcPr>
          <w:p w14:paraId="09CC842A" w14:textId="77777777" w:rsidR="00154E32" w:rsidRDefault="00A43E04">
            <w:pPr>
              <w:pStyle w:val="P68B1DB1-Normal11"/>
              <w:spacing w:line="276" w:lineRule="auto"/>
              <w:jc w:val="center"/>
              <w:rPr>
                <w:noProof/>
              </w:rPr>
            </w:pPr>
            <w:r>
              <w:rPr>
                <w:noProof/>
              </w:rPr>
              <w:t>Kategorije M2C1–17</w:t>
            </w:r>
          </w:p>
        </w:tc>
        <w:tc>
          <w:tcPr>
            <w:tcW w:w="1598" w:type="dxa"/>
            <w:shd w:val="clear" w:color="auto" w:fill="C6EFCE"/>
            <w:noWrap/>
            <w:vAlign w:val="center"/>
          </w:tcPr>
          <w:p w14:paraId="05F6EB9F" w14:textId="77777777" w:rsidR="00154E32" w:rsidRDefault="00A43E04">
            <w:pPr>
              <w:pStyle w:val="P68B1DB1-Normal11"/>
              <w:spacing w:line="276" w:lineRule="auto"/>
              <w:jc w:val="center"/>
              <w:rPr>
                <w:noProof/>
              </w:rPr>
            </w:pPr>
            <w:r>
              <w:rPr>
                <w:noProof/>
              </w:rPr>
              <w:t>Reforma 1.1</w:t>
            </w:r>
          </w:p>
          <w:p w14:paraId="6CB9D441" w14:textId="77777777" w:rsidR="00154E32" w:rsidRDefault="00A43E04">
            <w:pPr>
              <w:pStyle w:val="P68B1DB1-Normal11"/>
              <w:spacing w:line="276" w:lineRule="auto"/>
              <w:jc w:val="center"/>
              <w:rPr>
                <w:noProof/>
              </w:rPr>
            </w:pPr>
            <w:r>
              <w:rPr>
                <w:noProof/>
              </w:rPr>
              <w:t>Nacionalni program za krožno gospodarstvo;</w:t>
            </w:r>
          </w:p>
          <w:p w14:paraId="3010A2DF" w14:textId="77777777" w:rsidR="00154E32" w:rsidRDefault="00A43E04">
            <w:pPr>
              <w:pStyle w:val="P68B1DB1-Normal11"/>
              <w:spacing w:line="276" w:lineRule="auto"/>
              <w:jc w:val="center"/>
              <w:rPr>
                <w:noProof/>
              </w:rPr>
            </w:pPr>
            <w:r>
              <w:rPr>
                <w:noProof/>
              </w:rPr>
              <w:t>Naložba 1.2 – „vodilni“ projekti krožnega gospodarstva</w:t>
            </w:r>
          </w:p>
        </w:tc>
        <w:tc>
          <w:tcPr>
            <w:tcW w:w="1185" w:type="dxa"/>
            <w:shd w:val="clear" w:color="auto" w:fill="C6EFCE"/>
            <w:noWrap/>
            <w:vAlign w:val="center"/>
          </w:tcPr>
          <w:p w14:paraId="0945162A" w14:textId="77777777" w:rsidR="00154E32" w:rsidRDefault="00A43E04">
            <w:pPr>
              <w:pStyle w:val="P68B1DB1-Normal11"/>
              <w:spacing w:line="276" w:lineRule="auto"/>
              <w:jc w:val="center"/>
              <w:rPr>
                <w:noProof/>
              </w:rPr>
            </w:pPr>
            <w:r>
              <w:rPr>
                <w:noProof/>
              </w:rPr>
              <w:t>Mejnik</w:t>
            </w:r>
          </w:p>
        </w:tc>
        <w:tc>
          <w:tcPr>
            <w:tcW w:w="1732" w:type="dxa"/>
            <w:shd w:val="clear" w:color="auto" w:fill="C6EFCE"/>
            <w:noWrap/>
            <w:vAlign w:val="center"/>
          </w:tcPr>
          <w:p w14:paraId="3A6FF1DF" w14:textId="77777777" w:rsidR="00154E32" w:rsidRDefault="00A43E04">
            <w:pPr>
              <w:pStyle w:val="P68B1DB1-Normal11"/>
              <w:spacing w:line="276" w:lineRule="auto"/>
              <w:jc w:val="center"/>
              <w:rPr>
                <w:noProof/>
              </w:rPr>
            </w:pPr>
            <w:r>
              <w:rPr>
                <w:noProof/>
              </w:rPr>
              <w:t>Začetek veljavnosti ločenega zbiranja nevarnih frakcij odpadkov, ki jih proizvedejo gospodinjstva in tekstil</w:t>
            </w:r>
          </w:p>
        </w:tc>
        <w:tc>
          <w:tcPr>
            <w:tcW w:w="1603" w:type="dxa"/>
            <w:shd w:val="clear" w:color="auto" w:fill="C6EFCE"/>
            <w:noWrap/>
            <w:vAlign w:val="center"/>
          </w:tcPr>
          <w:p w14:paraId="739EBCB8" w14:textId="77777777" w:rsidR="00154E32" w:rsidRDefault="00A43E04">
            <w:pPr>
              <w:pStyle w:val="P68B1DB1-Normal11"/>
              <w:spacing w:line="276" w:lineRule="auto"/>
              <w:jc w:val="center"/>
              <w:rPr>
                <w:noProof/>
              </w:rPr>
            </w:pPr>
            <w:r>
              <w:rPr>
                <w:noProof/>
              </w:rPr>
              <w:t>Določba zakona o začetku veljavnosti</w:t>
            </w:r>
          </w:p>
        </w:tc>
        <w:tc>
          <w:tcPr>
            <w:tcW w:w="1275" w:type="dxa"/>
            <w:shd w:val="clear" w:color="auto" w:fill="C6EFCE"/>
            <w:noWrap/>
            <w:vAlign w:val="center"/>
          </w:tcPr>
          <w:p w14:paraId="2BBACE57"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388A9DDF" w14:textId="77777777" w:rsidR="00154E32" w:rsidRDefault="00A43E04">
            <w:pPr>
              <w:pStyle w:val="P68B1DB1-Normal11"/>
              <w:spacing w:line="276" w:lineRule="auto"/>
              <w:jc w:val="center"/>
              <w:rPr>
                <w:noProof/>
              </w:rPr>
            </w:pPr>
            <w:r>
              <w:rPr>
                <w:noProof/>
              </w:rPr>
              <w:t>JIH NI</w:t>
            </w:r>
          </w:p>
        </w:tc>
        <w:tc>
          <w:tcPr>
            <w:tcW w:w="1162" w:type="dxa"/>
            <w:shd w:val="clear" w:color="auto" w:fill="C6EFCE"/>
            <w:noWrap/>
            <w:vAlign w:val="center"/>
          </w:tcPr>
          <w:p w14:paraId="38D74BAE" w14:textId="77777777" w:rsidR="00154E32" w:rsidRDefault="00A43E04">
            <w:pPr>
              <w:pStyle w:val="P68B1DB1-Normal11"/>
              <w:spacing w:line="276" w:lineRule="auto"/>
              <w:jc w:val="center"/>
              <w:rPr>
                <w:noProof/>
              </w:rPr>
            </w:pPr>
            <w:r>
              <w:rPr>
                <w:noProof/>
              </w:rPr>
              <w:t>JIH NI</w:t>
            </w:r>
          </w:p>
        </w:tc>
        <w:tc>
          <w:tcPr>
            <w:tcW w:w="963" w:type="dxa"/>
            <w:shd w:val="clear" w:color="auto" w:fill="C6EFCE"/>
            <w:noWrap/>
            <w:vAlign w:val="center"/>
          </w:tcPr>
          <w:p w14:paraId="367F199E" w14:textId="77777777" w:rsidR="00154E32" w:rsidRDefault="00A43E04">
            <w:pPr>
              <w:pStyle w:val="P68B1DB1-Normal11"/>
              <w:spacing w:line="276" w:lineRule="auto"/>
              <w:jc w:val="center"/>
              <w:rPr>
                <w:noProof/>
              </w:rPr>
            </w:pPr>
            <w:r>
              <w:rPr>
                <w:noProof/>
              </w:rPr>
              <w:t>Q4</w:t>
            </w:r>
          </w:p>
        </w:tc>
        <w:tc>
          <w:tcPr>
            <w:tcW w:w="710" w:type="dxa"/>
            <w:shd w:val="clear" w:color="auto" w:fill="C6EFCE"/>
            <w:noWrap/>
            <w:vAlign w:val="center"/>
          </w:tcPr>
          <w:p w14:paraId="4506A035" w14:textId="77777777" w:rsidR="00154E32" w:rsidRDefault="00A43E04">
            <w:pPr>
              <w:pStyle w:val="P68B1DB1-Normal11"/>
              <w:spacing w:line="276" w:lineRule="auto"/>
              <w:rPr>
                <w:noProof/>
              </w:rPr>
            </w:pPr>
            <w:r>
              <w:rPr>
                <w:noProof/>
              </w:rPr>
              <w:t>2025</w:t>
            </w:r>
          </w:p>
        </w:tc>
        <w:tc>
          <w:tcPr>
            <w:tcW w:w="3174" w:type="dxa"/>
            <w:shd w:val="clear" w:color="auto" w:fill="C6EFCE"/>
            <w:noWrap/>
            <w:vAlign w:val="center"/>
          </w:tcPr>
          <w:p w14:paraId="2A3CFAFB" w14:textId="77777777" w:rsidR="00154E32" w:rsidRDefault="00A43E04">
            <w:pPr>
              <w:pStyle w:val="P68B1DB1-Normal11"/>
              <w:spacing w:before="60" w:after="120" w:line="276" w:lineRule="auto"/>
              <w:rPr>
                <w:noProof/>
              </w:rPr>
            </w:pPr>
            <w:r>
              <w:rPr>
                <w:noProof/>
              </w:rPr>
              <w:t>Začetek veljavnosti ločenega zbiranja nevarnih frakcij odpadkov, ki jih proizvedejo gospodinjstva in tekstil, v skladu z akcijskim načrtom za krožno gospodarstvo.</w:t>
            </w:r>
          </w:p>
        </w:tc>
      </w:tr>
      <w:tr w:rsidR="00154E32" w14:paraId="5BBC14CE" w14:textId="77777777">
        <w:trPr>
          <w:trHeight w:val="313"/>
          <w:jc w:val="center"/>
        </w:trPr>
        <w:tc>
          <w:tcPr>
            <w:tcW w:w="1220" w:type="dxa"/>
            <w:shd w:val="clear" w:color="auto" w:fill="C6EFCE"/>
            <w:noWrap/>
            <w:vAlign w:val="center"/>
          </w:tcPr>
          <w:p w14:paraId="2A718B8A" w14:textId="77777777" w:rsidR="00154E32" w:rsidRDefault="00A43E04">
            <w:pPr>
              <w:pStyle w:val="P68B1DB1-Normal11"/>
              <w:spacing w:line="276" w:lineRule="auto"/>
              <w:jc w:val="center"/>
              <w:rPr>
                <w:noProof/>
              </w:rPr>
            </w:pPr>
            <w:r>
              <w:rPr>
                <w:noProof/>
              </w:rPr>
              <w:t>M2C1–18</w:t>
            </w:r>
          </w:p>
        </w:tc>
        <w:tc>
          <w:tcPr>
            <w:tcW w:w="1598" w:type="dxa"/>
            <w:shd w:val="clear" w:color="auto" w:fill="C6EFCE"/>
            <w:noWrap/>
            <w:vAlign w:val="center"/>
          </w:tcPr>
          <w:p w14:paraId="6102FE0E" w14:textId="77777777" w:rsidR="00154E32" w:rsidRDefault="00A43E04">
            <w:pPr>
              <w:pStyle w:val="P68B1DB1-Normal11"/>
              <w:spacing w:line="276" w:lineRule="auto"/>
              <w:jc w:val="center"/>
              <w:rPr>
                <w:noProof/>
              </w:rPr>
            </w:pPr>
            <w:r>
              <w:rPr>
                <w:noProof/>
              </w:rPr>
              <w:t>Naložba 3.1: Zeleni otoki</w:t>
            </w:r>
          </w:p>
        </w:tc>
        <w:tc>
          <w:tcPr>
            <w:tcW w:w="1185" w:type="dxa"/>
            <w:shd w:val="clear" w:color="auto" w:fill="C6EFCE"/>
            <w:noWrap/>
            <w:vAlign w:val="center"/>
          </w:tcPr>
          <w:p w14:paraId="4AD94B05" w14:textId="77777777" w:rsidR="00154E32" w:rsidRDefault="00A43E04">
            <w:pPr>
              <w:pStyle w:val="P68B1DB1-Normal11"/>
              <w:spacing w:line="276" w:lineRule="auto"/>
              <w:jc w:val="center"/>
              <w:rPr>
                <w:noProof/>
              </w:rPr>
            </w:pPr>
            <w:r>
              <w:rPr>
                <w:noProof/>
              </w:rPr>
              <w:t>Mejnik</w:t>
            </w:r>
          </w:p>
        </w:tc>
        <w:tc>
          <w:tcPr>
            <w:tcW w:w="1732" w:type="dxa"/>
            <w:shd w:val="clear" w:color="auto" w:fill="C6EFCE"/>
            <w:noWrap/>
            <w:vAlign w:val="center"/>
          </w:tcPr>
          <w:p w14:paraId="0D1FDE94" w14:textId="77777777" w:rsidR="00154E32" w:rsidRDefault="00A43E04">
            <w:pPr>
              <w:pStyle w:val="P68B1DB1-Normal11"/>
              <w:spacing w:line="276" w:lineRule="auto"/>
              <w:jc w:val="center"/>
              <w:rPr>
                <w:noProof/>
              </w:rPr>
            </w:pPr>
            <w:r>
              <w:rPr>
                <w:noProof/>
              </w:rPr>
              <w:t>Začetek veljavnosti uredbe o direktorju</w:t>
            </w:r>
          </w:p>
        </w:tc>
        <w:tc>
          <w:tcPr>
            <w:tcW w:w="1603" w:type="dxa"/>
            <w:shd w:val="clear" w:color="auto" w:fill="C6EFCE"/>
            <w:noWrap/>
            <w:vAlign w:val="center"/>
          </w:tcPr>
          <w:p w14:paraId="1AAA8C7D" w14:textId="77777777" w:rsidR="00154E32" w:rsidRDefault="00A43E04">
            <w:pPr>
              <w:pStyle w:val="P68B1DB1-Normal11"/>
              <w:spacing w:line="276" w:lineRule="auto"/>
              <w:jc w:val="center"/>
              <w:rPr>
                <w:noProof/>
              </w:rPr>
            </w:pPr>
            <w:r>
              <w:rPr>
                <w:noProof/>
              </w:rPr>
              <w:t>Določba uredbe o začetku veljavnosti zakona</w:t>
            </w:r>
          </w:p>
        </w:tc>
        <w:tc>
          <w:tcPr>
            <w:tcW w:w="1275" w:type="dxa"/>
            <w:shd w:val="clear" w:color="auto" w:fill="C6EFCE"/>
            <w:noWrap/>
            <w:vAlign w:val="center"/>
          </w:tcPr>
          <w:p w14:paraId="1BDC5E25"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701476E6" w14:textId="77777777" w:rsidR="00154E32" w:rsidRDefault="00A43E04">
            <w:pPr>
              <w:pStyle w:val="P68B1DB1-Normal11"/>
              <w:spacing w:line="276" w:lineRule="auto"/>
              <w:jc w:val="center"/>
              <w:rPr>
                <w:noProof/>
              </w:rPr>
            </w:pPr>
            <w:r>
              <w:rPr>
                <w:noProof/>
              </w:rPr>
              <w:t>JIH NI</w:t>
            </w:r>
          </w:p>
        </w:tc>
        <w:tc>
          <w:tcPr>
            <w:tcW w:w="1162" w:type="dxa"/>
            <w:shd w:val="clear" w:color="auto" w:fill="C6EFCE"/>
            <w:noWrap/>
            <w:vAlign w:val="center"/>
          </w:tcPr>
          <w:p w14:paraId="5C223E01" w14:textId="77777777" w:rsidR="00154E32" w:rsidRDefault="00A43E04">
            <w:pPr>
              <w:pStyle w:val="P68B1DB1-Normal11"/>
              <w:spacing w:line="276" w:lineRule="auto"/>
              <w:jc w:val="center"/>
              <w:rPr>
                <w:noProof/>
              </w:rPr>
            </w:pPr>
            <w:r>
              <w:rPr>
                <w:noProof/>
              </w:rPr>
              <w:t>JIH NI</w:t>
            </w:r>
          </w:p>
        </w:tc>
        <w:tc>
          <w:tcPr>
            <w:tcW w:w="963" w:type="dxa"/>
            <w:shd w:val="clear" w:color="auto" w:fill="C6EFCE"/>
            <w:noWrap/>
            <w:vAlign w:val="center"/>
          </w:tcPr>
          <w:p w14:paraId="28B18E4C" w14:textId="77777777" w:rsidR="00154E32" w:rsidRDefault="00A43E04">
            <w:pPr>
              <w:pStyle w:val="P68B1DB1-Normal11"/>
              <w:spacing w:line="276" w:lineRule="auto"/>
              <w:jc w:val="center"/>
              <w:rPr>
                <w:noProof/>
              </w:rPr>
            </w:pPr>
            <w:r>
              <w:rPr>
                <w:noProof/>
              </w:rPr>
              <w:t>Q3</w:t>
            </w:r>
          </w:p>
        </w:tc>
        <w:tc>
          <w:tcPr>
            <w:tcW w:w="710" w:type="dxa"/>
            <w:shd w:val="clear" w:color="auto" w:fill="C6EFCE"/>
            <w:noWrap/>
            <w:vAlign w:val="center"/>
          </w:tcPr>
          <w:p w14:paraId="3EACBC98" w14:textId="77777777" w:rsidR="00154E32" w:rsidRDefault="00A43E04">
            <w:pPr>
              <w:pStyle w:val="P68B1DB1-Normal11"/>
              <w:spacing w:line="276" w:lineRule="auto"/>
              <w:rPr>
                <w:noProof/>
              </w:rPr>
            </w:pPr>
            <w:r>
              <w:rPr>
                <w:noProof/>
              </w:rPr>
              <w:t>2022</w:t>
            </w:r>
          </w:p>
        </w:tc>
        <w:tc>
          <w:tcPr>
            <w:tcW w:w="3174" w:type="dxa"/>
            <w:shd w:val="clear" w:color="auto" w:fill="C6EFCE"/>
            <w:noWrap/>
            <w:vAlign w:val="center"/>
          </w:tcPr>
          <w:p w14:paraId="438B5084" w14:textId="0ED741F9" w:rsidR="00154E32" w:rsidRDefault="00A43E04">
            <w:pPr>
              <w:pStyle w:val="P68B1DB1-Normal11"/>
              <w:spacing w:before="120" w:after="120" w:line="276" w:lineRule="auto"/>
              <w:rPr>
                <w:noProof/>
              </w:rPr>
            </w:pPr>
            <w:r>
              <w:rPr>
                <w:noProof/>
              </w:rPr>
              <w:t>Z odlokom direktorja se odobri razvrstitev projektov v zvezi z rezultati javnega razpisa. Izbirni postopek vključuje naslednje:</w:t>
            </w:r>
          </w:p>
          <w:p w14:paraId="529CA700" w14:textId="0DA48411" w:rsidR="00154E32" w:rsidRDefault="00A43E04">
            <w:pPr>
              <w:pStyle w:val="P68B1DB1-Normal11"/>
              <w:spacing w:before="120" w:after="120" w:line="276" w:lineRule="auto"/>
              <w:rPr>
                <w:noProof/>
              </w:rPr>
            </w:pPr>
            <w:r>
              <w:rPr>
                <w:noProof/>
              </w:rPr>
              <w:t>merila za upravičenost, ki zagotavljajo, da so izbrani projekti skladni s tehničnimi smernicami, da se ne škoduje bistveno (2021/C58/01), z uporabo seznama za izključitev in zahtevo po skladnosti z ustrezno okoljsko zakonodajo EU in nacionalno okoljsko zakonodajo.</w:t>
            </w:r>
          </w:p>
          <w:p w14:paraId="77F87401" w14:textId="340651FE" w:rsidR="00154E32" w:rsidRDefault="00A43E04">
            <w:pPr>
              <w:pStyle w:val="P68B1DB1-Normal11"/>
              <w:spacing w:line="276" w:lineRule="auto"/>
              <w:rPr>
                <w:noProof/>
              </w:rPr>
            </w:pPr>
            <w:r>
              <w:rPr>
                <w:noProof/>
              </w:rPr>
              <w:t>b) zaveza, da bo podnebni prispevek naložbe v skladu z metodologijo iz Priloge VI k Uredbi (EU) 2021/241 predstavljal vsaj 37 % skupnih stroškov naložbe, ki jo podpira mehanizem za okrevanje in odpornost.</w:t>
            </w:r>
          </w:p>
          <w:p w14:paraId="11872F5F" w14:textId="77777777" w:rsidR="00154E32" w:rsidRDefault="00A43E04">
            <w:pPr>
              <w:pStyle w:val="P68B1DB1-Normal11"/>
              <w:spacing w:before="120" w:after="120" w:line="276" w:lineRule="auto"/>
              <w:rPr>
                <w:noProof/>
              </w:rPr>
            </w:pPr>
            <w:r>
              <w:rPr>
                <w:noProof/>
              </w:rPr>
              <w:t>C) zaveza za poročanje o izvajanju ukrepa na polovici trajanja sheme in konca sheme.</w:t>
            </w:r>
          </w:p>
          <w:p w14:paraId="0A30FD4C" w14:textId="77777777" w:rsidR="00154E32" w:rsidRDefault="00A43E04">
            <w:pPr>
              <w:pStyle w:val="P68B1DB1-Normal11"/>
              <w:spacing w:before="120" w:after="120" w:line="276" w:lineRule="auto"/>
              <w:rPr>
                <w:noProof/>
              </w:rPr>
            </w:pPr>
            <w:r>
              <w:rPr>
                <w:noProof/>
              </w:rPr>
              <w:t>Možna področja ukrepanja so:</w:t>
            </w:r>
          </w:p>
          <w:p w14:paraId="1471FF6A" w14:textId="77777777" w:rsidR="00154E32" w:rsidRDefault="00A43E04">
            <w:pPr>
              <w:pStyle w:val="P68B1DB1-Normal11"/>
              <w:numPr>
                <w:ilvl w:val="0"/>
                <w:numId w:val="60"/>
              </w:numPr>
              <w:spacing w:before="120" w:line="276" w:lineRule="auto"/>
              <w:ind w:left="341"/>
              <w:contextualSpacing/>
              <w:rPr>
                <w:noProof/>
              </w:rPr>
            </w:pPr>
            <w:r>
              <w:rPr>
                <w:noProof/>
              </w:rPr>
              <w:t>integrirano in certificirano upravljanje kmetijsko-gozdarske dediščine („tudi z izmenjavo dobropisov, ki izhajajo iz zajemanja ogljikovega dioksida, upravljanja biotske raznovrstnosti in certificiranja dobavne verige lesa“);</w:t>
            </w:r>
          </w:p>
          <w:p w14:paraId="74603ED3" w14:textId="77777777" w:rsidR="00154E32" w:rsidRDefault="00A43E04">
            <w:pPr>
              <w:pStyle w:val="P68B1DB1-Normal11"/>
              <w:numPr>
                <w:ilvl w:val="0"/>
                <w:numId w:val="60"/>
              </w:numPr>
              <w:spacing w:before="120" w:line="276" w:lineRule="auto"/>
              <w:ind w:left="341"/>
              <w:contextualSpacing/>
              <w:rPr>
                <w:noProof/>
              </w:rPr>
            </w:pPr>
            <w:r>
              <w:rPr>
                <w:noProof/>
              </w:rPr>
              <w:t>integrirano in potrjeno upravljanje vodnih virov;</w:t>
            </w:r>
          </w:p>
          <w:p w14:paraId="2B572322" w14:textId="77777777" w:rsidR="00154E32" w:rsidRDefault="00A43E04">
            <w:pPr>
              <w:pStyle w:val="P68B1DB1-Normal11"/>
              <w:numPr>
                <w:ilvl w:val="0"/>
                <w:numId w:val="60"/>
              </w:numPr>
              <w:spacing w:before="120" w:line="276" w:lineRule="auto"/>
              <w:ind w:left="341"/>
              <w:contextualSpacing/>
              <w:rPr>
                <w:noProof/>
              </w:rPr>
            </w:pPr>
            <w:r>
              <w:rPr>
                <w:noProof/>
              </w:rPr>
              <w:t>proizvodnjo energije iz lokalnih obnovljivih virov, kot so mikro hidroelektrarne, biomasa, bioplin, vetrna energija, soproizvodnja in biometan;</w:t>
            </w:r>
          </w:p>
          <w:p w14:paraId="48EB9A34" w14:textId="77777777" w:rsidR="00154E32" w:rsidRDefault="00A43E04">
            <w:pPr>
              <w:pStyle w:val="P68B1DB1-Normal11"/>
              <w:numPr>
                <w:ilvl w:val="0"/>
                <w:numId w:val="60"/>
              </w:numPr>
              <w:spacing w:before="120" w:line="276" w:lineRule="auto"/>
              <w:ind w:left="341"/>
              <w:contextualSpacing/>
              <w:rPr>
                <w:noProof/>
              </w:rPr>
            </w:pPr>
            <w:r>
              <w:rPr>
                <w:noProof/>
              </w:rPr>
              <w:t>razvoj trajnostnega turizma („zmožnost krepitve lokalnih proizvodov“);</w:t>
            </w:r>
          </w:p>
          <w:p w14:paraId="1187A857" w14:textId="77777777" w:rsidR="00154E32" w:rsidRDefault="00A43E04">
            <w:pPr>
              <w:pStyle w:val="P68B1DB1-Normal11"/>
              <w:numPr>
                <w:ilvl w:val="0"/>
                <w:numId w:val="60"/>
              </w:numPr>
              <w:spacing w:before="120" w:line="276" w:lineRule="auto"/>
              <w:ind w:left="341"/>
              <w:contextualSpacing/>
              <w:rPr>
                <w:noProof/>
              </w:rPr>
            </w:pPr>
            <w:r>
              <w:rPr>
                <w:noProof/>
              </w:rPr>
              <w:t>gradnjo in trajnostno upravljanje stavbnega fonda in infrastrukture sodobne gore;</w:t>
            </w:r>
          </w:p>
          <w:p w14:paraId="1C51D737" w14:textId="77777777" w:rsidR="00154E32" w:rsidRDefault="00A43E04">
            <w:pPr>
              <w:pStyle w:val="P68B1DB1-Normal11"/>
              <w:numPr>
                <w:ilvl w:val="0"/>
                <w:numId w:val="60"/>
              </w:numPr>
              <w:spacing w:before="120" w:line="276" w:lineRule="auto"/>
              <w:ind w:left="341"/>
              <w:contextualSpacing/>
              <w:rPr>
                <w:noProof/>
              </w:rPr>
            </w:pPr>
            <w:r>
              <w:rPr>
                <w:noProof/>
              </w:rPr>
              <w:t>energetska učinkovitost in inteligentno povezovanje obratov in omrežij;</w:t>
            </w:r>
          </w:p>
          <w:p w14:paraId="0ABA2902" w14:textId="77777777" w:rsidR="00154E32" w:rsidRDefault="00A43E04">
            <w:pPr>
              <w:pStyle w:val="P68B1DB1-Normal11"/>
              <w:numPr>
                <w:ilvl w:val="0"/>
                <w:numId w:val="60"/>
              </w:numPr>
              <w:spacing w:before="120" w:line="276" w:lineRule="auto"/>
              <w:ind w:left="341"/>
              <w:contextualSpacing/>
              <w:rPr>
                <w:noProof/>
              </w:rPr>
            </w:pPr>
            <w:r>
              <w:rPr>
                <w:noProof/>
              </w:rPr>
              <w:t>trajnostni razvoj proizvodnih dejavnosti (proizvodnja odpadkov brez odpadkov);</w:t>
            </w:r>
          </w:p>
          <w:p w14:paraId="22C3E4E8" w14:textId="77777777" w:rsidR="00154E32" w:rsidRDefault="00A43E04">
            <w:pPr>
              <w:pStyle w:val="P68B1DB1-Normal11"/>
              <w:numPr>
                <w:ilvl w:val="0"/>
                <w:numId w:val="60"/>
              </w:numPr>
              <w:spacing w:before="120" w:line="276" w:lineRule="auto"/>
              <w:ind w:left="341"/>
              <w:contextualSpacing/>
              <w:rPr>
                <w:noProof/>
              </w:rPr>
            </w:pPr>
            <w:r>
              <w:rPr>
                <w:noProof/>
              </w:rPr>
              <w:t>povezovanje storitev na področju mobilnosti;</w:t>
            </w:r>
          </w:p>
          <w:p w14:paraId="50314E14" w14:textId="77777777" w:rsidR="00154E32" w:rsidRDefault="00A43E04">
            <w:pPr>
              <w:pStyle w:val="P68B1DB1-Normal11"/>
              <w:numPr>
                <w:ilvl w:val="0"/>
                <w:numId w:val="60"/>
              </w:numPr>
              <w:spacing w:before="120" w:line="276" w:lineRule="auto"/>
              <w:ind w:left="341"/>
              <w:contextualSpacing/>
              <w:rPr>
                <w:noProof/>
              </w:rPr>
            </w:pPr>
            <w:r>
              <w:rPr>
                <w:noProof/>
              </w:rPr>
              <w:t>razvoj trajnostnega modela kmetije („ki je tudi energetsko neodvisen s proizvodnjo in uporabo energije iz obnovljivih virov v elektroenergetskem, toplotnem in prometnem sektorju“).</w:t>
            </w:r>
          </w:p>
          <w:p w14:paraId="0E8D3F25" w14:textId="77777777" w:rsidR="00154E32" w:rsidRDefault="00A43E04">
            <w:pPr>
              <w:pStyle w:val="P68B1DB1-Normal11"/>
              <w:spacing w:before="120" w:after="120" w:line="276" w:lineRule="auto"/>
              <w:rPr>
                <w:noProof/>
              </w:rPr>
            </w:pPr>
            <w:r>
              <w:rPr>
                <w:noProof/>
              </w:rPr>
              <w:t>Biometan izpolnjuje trajnostna merila in merila za prihranek emisij toplogrednih plinov iz členov 29–31 ter pravila o biogorivih iz živil in krme iz člena 26 Direktive (EU) 2018/2001 o energiji iz obnovljivih virov ter z njimi povezanih izvedbenih in delegiranih aktov, da se omogoči, da je ukrep skladen z načelom, da se ne šteje za bistveno, in ustreznimi zahtevami iz opombe 8 Priloge VI k Uredbi (EU) 2021/241.</w:t>
            </w:r>
          </w:p>
        </w:tc>
      </w:tr>
      <w:tr w:rsidR="00154E32" w14:paraId="789B513A" w14:textId="77777777">
        <w:trPr>
          <w:trHeight w:val="313"/>
          <w:jc w:val="center"/>
        </w:trPr>
        <w:tc>
          <w:tcPr>
            <w:tcW w:w="1220" w:type="dxa"/>
            <w:shd w:val="clear" w:color="auto" w:fill="C6EFCE"/>
            <w:noWrap/>
            <w:vAlign w:val="center"/>
          </w:tcPr>
          <w:p w14:paraId="5976FCAC" w14:textId="77777777" w:rsidR="00154E32" w:rsidRDefault="00A43E04">
            <w:pPr>
              <w:pStyle w:val="P68B1DB1-Normal11"/>
              <w:spacing w:line="276" w:lineRule="auto"/>
              <w:jc w:val="center"/>
              <w:rPr>
                <w:noProof/>
              </w:rPr>
            </w:pPr>
            <w:r>
              <w:rPr>
                <w:noProof/>
              </w:rPr>
              <w:t>M2C1–19</w:t>
            </w:r>
          </w:p>
        </w:tc>
        <w:tc>
          <w:tcPr>
            <w:tcW w:w="1598" w:type="dxa"/>
            <w:shd w:val="clear" w:color="auto" w:fill="C6EFCE"/>
            <w:noWrap/>
            <w:vAlign w:val="center"/>
          </w:tcPr>
          <w:p w14:paraId="44C84A85" w14:textId="77777777" w:rsidR="00154E32" w:rsidRDefault="00A43E04">
            <w:pPr>
              <w:pStyle w:val="P68B1DB1-Normal11"/>
              <w:spacing w:line="276" w:lineRule="auto"/>
              <w:jc w:val="center"/>
              <w:rPr>
                <w:noProof/>
              </w:rPr>
            </w:pPr>
            <w:r>
              <w:rPr>
                <w:noProof/>
              </w:rPr>
              <w:t>Naložba 3.1: Zeleni otoki</w:t>
            </w:r>
          </w:p>
        </w:tc>
        <w:tc>
          <w:tcPr>
            <w:tcW w:w="1185" w:type="dxa"/>
            <w:shd w:val="clear" w:color="auto" w:fill="C6EFCE"/>
            <w:noWrap/>
            <w:vAlign w:val="center"/>
          </w:tcPr>
          <w:p w14:paraId="52DFA9B4" w14:textId="77777777" w:rsidR="00154E32" w:rsidRDefault="00A43E04">
            <w:pPr>
              <w:pStyle w:val="P68B1DB1-Normal11"/>
              <w:spacing w:line="276" w:lineRule="auto"/>
              <w:jc w:val="center"/>
              <w:rPr>
                <w:noProof/>
              </w:rPr>
            </w:pPr>
            <w:r>
              <w:rPr>
                <w:noProof/>
              </w:rPr>
              <w:t>Tarča</w:t>
            </w:r>
          </w:p>
        </w:tc>
        <w:tc>
          <w:tcPr>
            <w:tcW w:w="1732" w:type="dxa"/>
            <w:shd w:val="clear" w:color="auto" w:fill="C6EFCE"/>
            <w:noWrap/>
            <w:vAlign w:val="center"/>
          </w:tcPr>
          <w:p w14:paraId="697E52FA" w14:textId="77777777" w:rsidR="00154E32" w:rsidRDefault="00A43E04">
            <w:pPr>
              <w:pStyle w:val="P68B1DB1-Normal11"/>
              <w:spacing w:line="276" w:lineRule="auto"/>
              <w:jc w:val="center"/>
              <w:rPr>
                <w:noProof/>
              </w:rPr>
            </w:pPr>
            <w:r>
              <w:rPr>
                <w:noProof/>
              </w:rPr>
              <w:t>Izvajanje integriranih projektov na majhnih otokih</w:t>
            </w:r>
          </w:p>
        </w:tc>
        <w:tc>
          <w:tcPr>
            <w:tcW w:w="1603" w:type="dxa"/>
            <w:shd w:val="clear" w:color="auto" w:fill="C6EFCE"/>
            <w:noWrap/>
            <w:vAlign w:val="center"/>
          </w:tcPr>
          <w:p w14:paraId="2E4232F0" w14:textId="77777777" w:rsidR="00154E32" w:rsidRDefault="00A43E04">
            <w:pPr>
              <w:pStyle w:val="P68B1DB1-Normal11"/>
              <w:spacing w:line="276" w:lineRule="auto"/>
              <w:jc w:val="center"/>
              <w:rPr>
                <w:noProof/>
              </w:rPr>
            </w:pPr>
            <w:r>
              <w:rPr>
                <w:noProof/>
              </w:rPr>
              <w:t>JIH NI</w:t>
            </w:r>
          </w:p>
        </w:tc>
        <w:tc>
          <w:tcPr>
            <w:tcW w:w="1275" w:type="dxa"/>
            <w:shd w:val="clear" w:color="auto" w:fill="C6EFCE"/>
            <w:noWrap/>
            <w:vAlign w:val="center"/>
          </w:tcPr>
          <w:p w14:paraId="3CA8ED2A" w14:textId="77777777" w:rsidR="00154E32" w:rsidRDefault="00A43E04">
            <w:pPr>
              <w:pStyle w:val="P68B1DB1-Normal11"/>
              <w:spacing w:line="276" w:lineRule="auto"/>
              <w:jc w:val="center"/>
              <w:rPr>
                <w:noProof/>
              </w:rPr>
            </w:pPr>
            <w:r>
              <w:rPr>
                <w:noProof/>
              </w:rPr>
              <w:t>Število majhnih otokov</w:t>
            </w:r>
          </w:p>
        </w:tc>
        <w:tc>
          <w:tcPr>
            <w:tcW w:w="993" w:type="dxa"/>
            <w:shd w:val="clear" w:color="auto" w:fill="C6EFCE"/>
            <w:noWrap/>
            <w:vAlign w:val="center"/>
          </w:tcPr>
          <w:p w14:paraId="379F4524" w14:textId="77777777" w:rsidR="00154E32" w:rsidRDefault="00A43E04">
            <w:pPr>
              <w:pStyle w:val="P68B1DB1-Normal11"/>
              <w:spacing w:line="276" w:lineRule="auto"/>
              <w:jc w:val="center"/>
              <w:rPr>
                <w:noProof/>
              </w:rPr>
            </w:pPr>
            <w:r>
              <w:rPr>
                <w:noProof/>
              </w:rPr>
              <w:t>0</w:t>
            </w:r>
          </w:p>
        </w:tc>
        <w:tc>
          <w:tcPr>
            <w:tcW w:w="1162" w:type="dxa"/>
            <w:shd w:val="clear" w:color="auto" w:fill="C6EFCE"/>
            <w:noWrap/>
            <w:vAlign w:val="center"/>
          </w:tcPr>
          <w:p w14:paraId="742C4A98" w14:textId="77777777" w:rsidR="00154E32" w:rsidRDefault="00A43E04">
            <w:pPr>
              <w:pStyle w:val="P68B1DB1-Normal11"/>
              <w:spacing w:line="276" w:lineRule="auto"/>
              <w:jc w:val="center"/>
              <w:rPr>
                <w:noProof/>
              </w:rPr>
            </w:pPr>
            <w:r>
              <w:rPr>
                <w:noProof/>
              </w:rPr>
              <w:t>19</w:t>
            </w:r>
          </w:p>
        </w:tc>
        <w:tc>
          <w:tcPr>
            <w:tcW w:w="963" w:type="dxa"/>
            <w:shd w:val="clear" w:color="auto" w:fill="C6EFCE"/>
            <w:noWrap/>
            <w:vAlign w:val="center"/>
          </w:tcPr>
          <w:p w14:paraId="6236A539" w14:textId="77777777" w:rsidR="00154E32" w:rsidRDefault="00A43E04">
            <w:pPr>
              <w:pStyle w:val="P68B1DB1-Normal11"/>
              <w:spacing w:line="276" w:lineRule="auto"/>
              <w:jc w:val="center"/>
              <w:rPr>
                <w:noProof/>
              </w:rPr>
            </w:pPr>
            <w:r>
              <w:rPr>
                <w:noProof/>
              </w:rPr>
              <w:t>Q2</w:t>
            </w:r>
          </w:p>
        </w:tc>
        <w:tc>
          <w:tcPr>
            <w:tcW w:w="710" w:type="dxa"/>
            <w:shd w:val="clear" w:color="auto" w:fill="C6EFCE"/>
            <w:noWrap/>
            <w:vAlign w:val="center"/>
          </w:tcPr>
          <w:p w14:paraId="656D6D39" w14:textId="77777777" w:rsidR="00154E32" w:rsidRDefault="00A43E04">
            <w:pPr>
              <w:pStyle w:val="P68B1DB1-Normal11"/>
              <w:spacing w:line="276" w:lineRule="auto"/>
              <w:rPr>
                <w:noProof/>
              </w:rPr>
            </w:pPr>
            <w:r>
              <w:rPr>
                <w:noProof/>
              </w:rPr>
              <w:t>2026</w:t>
            </w:r>
          </w:p>
        </w:tc>
        <w:tc>
          <w:tcPr>
            <w:tcW w:w="3174" w:type="dxa"/>
            <w:shd w:val="clear" w:color="auto" w:fill="C6EFCE"/>
            <w:noWrap/>
            <w:vAlign w:val="center"/>
          </w:tcPr>
          <w:p w14:paraId="320404AA" w14:textId="77777777" w:rsidR="00154E32" w:rsidRDefault="00A43E04">
            <w:pPr>
              <w:pStyle w:val="P68B1DB1-Normal11"/>
              <w:spacing w:before="120" w:after="120" w:line="276" w:lineRule="auto"/>
              <w:rPr>
                <w:noProof/>
              </w:rPr>
            </w:pPr>
            <w:r>
              <w:rPr>
                <w:noProof/>
              </w:rPr>
              <w:t>Vsaj 19 majhnih otokov, ki izvajajo zaključene integrirane projekte, ki vključujejo vsaj tri različne vrste intervencij.</w:t>
            </w:r>
          </w:p>
          <w:p w14:paraId="5F33C93E" w14:textId="77777777" w:rsidR="00154E32" w:rsidRDefault="00A43E04">
            <w:pPr>
              <w:pStyle w:val="P68B1DB1-Normal11"/>
              <w:spacing w:before="120" w:after="120" w:line="276" w:lineRule="auto"/>
              <w:rPr>
                <w:noProof/>
              </w:rPr>
            </w:pPr>
            <w:r>
              <w:rPr>
                <w:noProof/>
              </w:rPr>
              <w:t>Na splošno podnebni prispevek naložbe v skladu z metodologijo iz Priloge VI k Uredbi (EU) 2021/241 predstavlja vsaj 37 % skupnih stroškov naložbe, ki jo podpira mehanizem za okrevanje in odpornost.</w:t>
            </w:r>
          </w:p>
          <w:p w14:paraId="60BC4768" w14:textId="77777777" w:rsidR="00154E32" w:rsidRDefault="00A43E04">
            <w:pPr>
              <w:pStyle w:val="P68B1DB1-Normal11"/>
              <w:spacing w:before="120" w:after="120" w:line="276" w:lineRule="auto"/>
              <w:rPr>
                <w:noProof/>
              </w:rPr>
            </w:pPr>
            <w:r>
              <w:rPr>
                <w:noProof/>
              </w:rPr>
              <w:t>Upravičene intervencije do financiranja so:</w:t>
            </w:r>
          </w:p>
          <w:p w14:paraId="320C5299" w14:textId="77777777" w:rsidR="00154E32" w:rsidRDefault="00A43E04">
            <w:pPr>
              <w:pStyle w:val="P68B1DB1-Normal11"/>
              <w:numPr>
                <w:ilvl w:val="0"/>
                <w:numId w:val="61"/>
              </w:numPr>
              <w:spacing w:before="120" w:line="276" w:lineRule="auto"/>
              <w:ind w:left="29" w:hanging="142"/>
              <w:contextualSpacing/>
              <w:rPr>
                <w:noProof/>
              </w:rPr>
            </w:pPr>
            <w:r>
              <w:rPr>
                <w:noProof/>
              </w:rPr>
              <w:t>posegi na področju energijske učinkovitosti;</w:t>
            </w:r>
          </w:p>
          <w:p w14:paraId="1DC98E0D" w14:textId="77777777" w:rsidR="00154E32" w:rsidRDefault="00A43E04">
            <w:pPr>
              <w:pStyle w:val="P68B1DB1-Normal11"/>
              <w:numPr>
                <w:ilvl w:val="0"/>
                <w:numId w:val="61"/>
              </w:numPr>
              <w:spacing w:before="120" w:line="276" w:lineRule="auto"/>
              <w:ind w:left="29" w:hanging="142"/>
              <w:contextualSpacing/>
              <w:rPr>
                <w:noProof/>
              </w:rPr>
            </w:pPr>
            <w:r>
              <w:rPr>
                <w:noProof/>
              </w:rPr>
              <w:t>razvoj in/ali posodobitev storitev in infrastrukture za skupinsko mobilnost; avtobusi in čolni na električni pogon; zatočišča za storitve javnega prevoza; souporaba avtomobilov, souporaba koles, souporaba skuterjev;</w:t>
            </w:r>
          </w:p>
          <w:p w14:paraId="585B53BA" w14:textId="77777777" w:rsidR="00154E32" w:rsidRDefault="00A43E04">
            <w:pPr>
              <w:pStyle w:val="P68B1DB1-Normal11"/>
              <w:numPr>
                <w:ilvl w:val="0"/>
                <w:numId w:val="61"/>
              </w:numPr>
              <w:spacing w:before="120" w:line="276" w:lineRule="auto"/>
              <w:ind w:left="29" w:hanging="142"/>
              <w:contextualSpacing/>
              <w:rPr>
                <w:noProof/>
              </w:rPr>
            </w:pPr>
            <w:r>
              <w:rPr>
                <w:noProof/>
              </w:rPr>
              <w:t>gradnja in/ali prilagoditev kolesarskih poti, gradnja zaščitnih območij;</w:t>
            </w:r>
          </w:p>
          <w:p w14:paraId="42A7D997" w14:textId="77777777" w:rsidR="00154E32" w:rsidRDefault="00A43E04">
            <w:pPr>
              <w:pStyle w:val="P68B1DB1-Normal11"/>
              <w:numPr>
                <w:ilvl w:val="0"/>
                <w:numId w:val="61"/>
              </w:numPr>
              <w:spacing w:before="120" w:line="276" w:lineRule="auto"/>
              <w:ind w:left="29" w:hanging="142"/>
              <w:contextualSpacing/>
              <w:rPr>
                <w:noProof/>
              </w:rPr>
            </w:pPr>
            <w:r>
              <w:rPr>
                <w:noProof/>
              </w:rPr>
              <w:t>učinkovito ločeno zbiranje z okrepitvijo sistemov zbiranja;</w:t>
            </w:r>
          </w:p>
          <w:p w14:paraId="3C535996" w14:textId="77777777" w:rsidR="00154E32" w:rsidRDefault="00A43E04">
            <w:pPr>
              <w:pStyle w:val="P68B1DB1-Normal11"/>
              <w:numPr>
                <w:ilvl w:val="0"/>
                <w:numId w:val="61"/>
              </w:numPr>
              <w:spacing w:before="120" w:line="276" w:lineRule="auto"/>
              <w:ind w:left="29" w:hanging="142"/>
              <w:contextualSpacing/>
              <w:rPr>
                <w:noProof/>
              </w:rPr>
            </w:pPr>
            <w:r>
              <w:rPr>
                <w:noProof/>
              </w:rPr>
              <w:t>gradnja/posodobitev ekoloških otokov s pripadajočim centrom za ponovno uporabo;</w:t>
            </w:r>
          </w:p>
          <w:p w14:paraId="64A0A043" w14:textId="77777777" w:rsidR="00154E32" w:rsidRDefault="00A43E04">
            <w:pPr>
              <w:pStyle w:val="P68B1DB1-Normal11"/>
              <w:numPr>
                <w:ilvl w:val="0"/>
                <w:numId w:val="61"/>
              </w:numPr>
              <w:spacing w:before="120" w:line="276" w:lineRule="auto"/>
              <w:ind w:left="29" w:hanging="142"/>
              <w:contextualSpacing/>
              <w:rPr>
                <w:noProof/>
              </w:rPr>
            </w:pPr>
            <w:r>
              <w:rPr>
                <w:noProof/>
              </w:rPr>
              <w:t>sistemi za razsoljevanje;</w:t>
            </w:r>
          </w:p>
          <w:p w14:paraId="01312334" w14:textId="77777777" w:rsidR="00154E32" w:rsidRDefault="00A43E04">
            <w:pPr>
              <w:pStyle w:val="P68B1DB1-Normal11"/>
              <w:numPr>
                <w:ilvl w:val="0"/>
                <w:numId w:val="61"/>
              </w:numPr>
              <w:spacing w:before="120" w:line="276" w:lineRule="auto"/>
              <w:ind w:left="29" w:hanging="142"/>
              <w:contextualSpacing/>
              <w:rPr>
                <w:noProof/>
              </w:rPr>
            </w:pPr>
            <w:r>
              <w:rPr>
                <w:noProof/>
              </w:rPr>
              <w:t>obrati za proizvodnjo električne energije iz obnovljivih virov, vključno s fotovoltaično energijo, energijo iz vetrnih elektrarn na morju in energijo iz morskih virov, kot je energija valovanja ali plimovanja;</w:t>
            </w:r>
          </w:p>
          <w:p w14:paraId="552034D7" w14:textId="77777777" w:rsidR="00154E32" w:rsidRDefault="00A43E04">
            <w:pPr>
              <w:pStyle w:val="P68B1DB1-Normal11"/>
              <w:numPr>
                <w:ilvl w:val="0"/>
                <w:numId w:val="61"/>
              </w:numPr>
              <w:spacing w:before="120" w:line="276" w:lineRule="auto"/>
              <w:ind w:left="29" w:hanging="142"/>
              <w:contextualSpacing/>
              <w:rPr>
                <w:noProof/>
              </w:rPr>
            </w:pPr>
            <w:r>
              <w:rPr>
                <w:noProof/>
              </w:rPr>
              <w:t>ukrepe za energetsko učinkovitost, namenjene zmanjšanju povpraševanja po električni energiji;</w:t>
            </w:r>
          </w:p>
          <w:p w14:paraId="4F9809BA" w14:textId="77777777" w:rsidR="00154E32" w:rsidRDefault="00A43E04">
            <w:pPr>
              <w:pStyle w:val="P68B1DB1-Normal11"/>
              <w:numPr>
                <w:ilvl w:val="0"/>
                <w:numId w:val="61"/>
              </w:numPr>
              <w:spacing w:before="120" w:line="276" w:lineRule="auto"/>
              <w:ind w:left="29" w:hanging="142"/>
              <w:contextualSpacing/>
              <w:rPr>
                <w:noProof/>
              </w:rPr>
            </w:pPr>
            <w:r>
              <w:rPr>
                <w:noProof/>
              </w:rPr>
              <w:t>posegi v elektroenergetsko omrežje in z njim povezano infrastrukturo: naprave za shranjevanje, povezovanje elektroenergetskega sistema z vodnim sistemom na otoku, pametna omrežja, inovativni sistemi za upravljanje in spremljanje energije.</w:t>
            </w:r>
          </w:p>
          <w:p w14:paraId="16B9FFE9" w14:textId="77777777" w:rsidR="00154E32" w:rsidRDefault="00154E32">
            <w:pPr>
              <w:spacing w:line="276" w:lineRule="auto"/>
              <w:rPr>
                <w:rFonts w:ascii="Arial Narrow" w:hAnsi="Arial Narrow"/>
                <w:noProof/>
                <w:color w:val="006100"/>
                <w:sz w:val="20"/>
              </w:rPr>
            </w:pPr>
          </w:p>
        </w:tc>
      </w:tr>
      <w:tr w:rsidR="00154E32" w14:paraId="2772E720" w14:textId="77777777">
        <w:trPr>
          <w:trHeight w:val="313"/>
          <w:jc w:val="center"/>
        </w:trPr>
        <w:tc>
          <w:tcPr>
            <w:tcW w:w="1220" w:type="dxa"/>
            <w:shd w:val="clear" w:color="auto" w:fill="C6EFCE"/>
            <w:noWrap/>
            <w:vAlign w:val="center"/>
          </w:tcPr>
          <w:p w14:paraId="79881820" w14:textId="77777777" w:rsidR="00154E32" w:rsidRDefault="00A43E04">
            <w:pPr>
              <w:pStyle w:val="P68B1DB1-Normal11"/>
              <w:spacing w:line="276" w:lineRule="auto"/>
              <w:jc w:val="center"/>
              <w:rPr>
                <w:noProof/>
              </w:rPr>
            </w:pPr>
            <w:r>
              <w:rPr>
                <w:noProof/>
              </w:rPr>
              <w:t>M2C1–20</w:t>
            </w:r>
          </w:p>
        </w:tc>
        <w:tc>
          <w:tcPr>
            <w:tcW w:w="1598" w:type="dxa"/>
            <w:shd w:val="clear" w:color="auto" w:fill="C6EFCE"/>
            <w:noWrap/>
            <w:vAlign w:val="center"/>
          </w:tcPr>
          <w:p w14:paraId="75127FC7" w14:textId="77777777" w:rsidR="00154E32" w:rsidRDefault="00A43E04">
            <w:pPr>
              <w:pStyle w:val="P68B1DB1-Normal11"/>
              <w:spacing w:line="276" w:lineRule="auto"/>
              <w:jc w:val="center"/>
              <w:rPr>
                <w:noProof/>
              </w:rPr>
            </w:pPr>
            <w:r>
              <w:rPr>
                <w:noProof/>
              </w:rPr>
              <w:t>Naložba 3.2: Zelene skupnosti</w:t>
            </w:r>
          </w:p>
        </w:tc>
        <w:tc>
          <w:tcPr>
            <w:tcW w:w="1185" w:type="dxa"/>
            <w:shd w:val="clear" w:color="auto" w:fill="C6EFCE"/>
            <w:noWrap/>
            <w:vAlign w:val="center"/>
          </w:tcPr>
          <w:p w14:paraId="61BCF4BF" w14:textId="77777777" w:rsidR="00154E32" w:rsidRDefault="00A43E04">
            <w:pPr>
              <w:pStyle w:val="P68B1DB1-Normal11"/>
              <w:spacing w:line="276" w:lineRule="auto"/>
              <w:jc w:val="center"/>
              <w:rPr>
                <w:noProof/>
              </w:rPr>
            </w:pPr>
            <w:r>
              <w:rPr>
                <w:noProof/>
              </w:rPr>
              <w:t>Mejnik</w:t>
            </w:r>
          </w:p>
        </w:tc>
        <w:tc>
          <w:tcPr>
            <w:tcW w:w="1732" w:type="dxa"/>
            <w:shd w:val="clear" w:color="auto" w:fill="C6EFCE"/>
            <w:noWrap/>
            <w:vAlign w:val="center"/>
          </w:tcPr>
          <w:p w14:paraId="29061C2E" w14:textId="77777777" w:rsidR="00154E32" w:rsidRDefault="00A43E04">
            <w:pPr>
              <w:pStyle w:val="P68B1DB1-Normal11"/>
              <w:spacing w:line="276" w:lineRule="auto"/>
              <w:jc w:val="center"/>
              <w:rPr>
                <w:noProof/>
              </w:rPr>
            </w:pPr>
            <w:r>
              <w:rPr>
                <w:noProof/>
              </w:rPr>
              <w:t>Oddaja (vseh) javnih naročil za izbor zelenih skupnosti</w:t>
            </w:r>
          </w:p>
        </w:tc>
        <w:tc>
          <w:tcPr>
            <w:tcW w:w="1603" w:type="dxa"/>
            <w:shd w:val="clear" w:color="auto" w:fill="C6EFCE"/>
            <w:noWrap/>
            <w:vAlign w:val="center"/>
          </w:tcPr>
          <w:p w14:paraId="6A73CD8D" w14:textId="77777777" w:rsidR="00154E32" w:rsidRDefault="00A43E04">
            <w:pPr>
              <w:pStyle w:val="P68B1DB1-Normal11"/>
              <w:spacing w:line="276" w:lineRule="auto"/>
              <w:jc w:val="center"/>
              <w:rPr>
                <w:noProof/>
              </w:rPr>
            </w:pPr>
            <w:r>
              <w:rPr>
                <w:noProof/>
              </w:rPr>
              <w:t>Obvestilo o oddaji (vseh) javnih naročil za izbor zelenih skupnosti</w:t>
            </w:r>
          </w:p>
        </w:tc>
        <w:tc>
          <w:tcPr>
            <w:tcW w:w="1275" w:type="dxa"/>
            <w:shd w:val="clear" w:color="auto" w:fill="C6EFCE"/>
            <w:noWrap/>
            <w:vAlign w:val="center"/>
          </w:tcPr>
          <w:p w14:paraId="77A186F1"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0AC2BAE6" w14:textId="77777777" w:rsidR="00154E32" w:rsidRDefault="00A43E04">
            <w:pPr>
              <w:pStyle w:val="P68B1DB1-Normal11"/>
              <w:spacing w:line="276" w:lineRule="auto"/>
              <w:jc w:val="center"/>
              <w:rPr>
                <w:noProof/>
              </w:rPr>
            </w:pPr>
            <w:r>
              <w:rPr>
                <w:noProof/>
              </w:rPr>
              <w:t>JIH NI</w:t>
            </w:r>
          </w:p>
        </w:tc>
        <w:tc>
          <w:tcPr>
            <w:tcW w:w="1162" w:type="dxa"/>
            <w:shd w:val="clear" w:color="auto" w:fill="C6EFCE"/>
            <w:noWrap/>
            <w:vAlign w:val="center"/>
          </w:tcPr>
          <w:p w14:paraId="6B88BA08" w14:textId="77777777" w:rsidR="00154E32" w:rsidRDefault="00A43E04">
            <w:pPr>
              <w:pStyle w:val="P68B1DB1-Normal11"/>
              <w:spacing w:line="276" w:lineRule="auto"/>
              <w:jc w:val="center"/>
              <w:rPr>
                <w:noProof/>
              </w:rPr>
            </w:pPr>
            <w:r>
              <w:rPr>
                <w:noProof/>
              </w:rPr>
              <w:t>JIH NI</w:t>
            </w:r>
          </w:p>
        </w:tc>
        <w:tc>
          <w:tcPr>
            <w:tcW w:w="963" w:type="dxa"/>
            <w:shd w:val="clear" w:color="auto" w:fill="C6EFCE"/>
            <w:noWrap/>
            <w:vAlign w:val="center"/>
          </w:tcPr>
          <w:p w14:paraId="7755B2C0" w14:textId="77777777" w:rsidR="00154E32" w:rsidRDefault="00A43E04">
            <w:pPr>
              <w:pStyle w:val="P68B1DB1-Normal11"/>
              <w:spacing w:line="276" w:lineRule="auto"/>
              <w:jc w:val="center"/>
              <w:rPr>
                <w:noProof/>
              </w:rPr>
            </w:pPr>
            <w:r>
              <w:rPr>
                <w:noProof/>
              </w:rPr>
              <w:t>Q3</w:t>
            </w:r>
          </w:p>
        </w:tc>
        <w:tc>
          <w:tcPr>
            <w:tcW w:w="710" w:type="dxa"/>
            <w:shd w:val="clear" w:color="auto" w:fill="C6EFCE"/>
            <w:noWrap/>
            <w:vAlign w:val="center"/>
          </w:tcPr>
          <w:p w14:paraId="2DB754AE" w14:textId="77777777" w:rsidR="00154E32" w:rsidRDefault="00A43E04">
            <w:pPr>
              <w:pStyle w:val="P68B1DB1-Normal11"/>
              <w:spacing w:line="276" w:lineRule="auto"/>
              <w:rPr>
                <w:noProof/>
              </w:rPr>
            </w:pPr>
            <w:r>
              <w:rPr>
                <w:noProof/>
              </w:rPr>
              <w:t>2022</w:t>
            </w:r>
          </w:p>
        </w:tc>
        <w:tc>
          <w:tcPr>
            <w:tcW w:w="3174" w:type="dxa"/>
            <w:shd w:val="clear" w:color="auto" w:fill="C6EFCE"/>
            <w:noWrap/>
            <w:vAlign w:val="center"/>
          </w:tcPr>
          <w:p w14:paraId="6D386476" w14:textId="77777777" w:rsidR="00154E32" w:rsidRDefault="00A43E04">
            <w:pPr>
              <w:pStyle w:val="P68B1DB1-Normal11"/>
              <w:spacing w:line="276" w:lineRule="auto"/>
              <w:rPr>
                <w:noProof/>
              </w:rPr>
            </w:pPr>
            <w:r>
              <w:rPr>
                <w:noProof/>
              </w:rPr>
              <w:t>Uradno obvestilo o postopku dodelitve nepovratnih sredstev, ki bi moralo vključevati merila za upravičenost, ki zagotavljajo, da so izbrani projekti skladni s tehničnimi smernicami, da se ne škoduje bistveno (2021/C58/01), z uporabo seznama za izključitev in zahtevo po skladnosti z ustrezno okoljsko zakonodajo EU in nacionalno okoljsko zakonodajo.</w:t>
            </w:r>
          </w:p>
        </w:tc>
      </w:tr>
      <w:tr w:rsidR="00154E32" w14:paraId="30806A68" w14:textId="77777777">
        <w:trPr>
          <w:trHeight w:val="313"/>
          <w:jc w:val="center"/>
        </w:trPr>
        <w:tc>
          <w:tcPr>
            <w:tcW w:w="1220" w:type="dxa"/>
            <w:shd w:val="clear" w:color="auto" w:fill="C6EFCE"/>
            <w:noWrap/>
            <w:vAlign w:val="center"/>
          </w:tcPr>
          <w:p w14:paraId="7E196B99" w14:textId="77777777" w:rsidR="00154E32" w:rsidRDefault="00A43E04">
            <w:pPr>
              <w:pStyle w:val="P68B1DB1-Normal11"/>
              <w:spacing w:line="276" w:lineRule="auto"/>
              <w:jc w:val="center"/>
              <w:rPr>
                <w:noProof/>
              </w:rPr>
            </w:pPr>
            <w:r>
              <w:rPr>
                <w:noProof/>
              </w:rPr>
              <w:t>M2C1–21</w:t>
            </w:r>
          </w:p>
        </w:tc>
        <w:tc>
          <w:tcPr>
            <w:tcW w:w="1598" w:type="dxa"/>
            <w:shd w:val="clear" w:color="auto" w:fill="C6EFCE"/>
            <w:noWrap/>
            <w:vAlign w:val="center"/>
          </w:tcPr>
          <w:p w14:paraId="3041B688" w14:textId="77777777" w:rsidR="00154E32" w:rsidRDefault="00A43E04">
            <w:pPr>
              <w:pStyle w:val="P68B1DB1-Normal11"/>
              <w:spacing w:line="276" w:lineRule="auto"/>
              <w:jc w:val="center"/>
              <w:rPr>
                <w:noProof/>
              </w:rPr>
            </w:pPr>
            <w:r>
              <w:rPr>
                <w:noProof/>
              </w:rPr>
              <w:t>Naložba 3.2: Zelene skupnosti</w:t>
            </w:r>
          </w:p>
        </w:tc>
        <w:tc>
          <w:tcPr>
            <w:tcW w:w="1185" w:type="dxa"/>
            <w:shd w:val="clear" w:color="auto" w:fill="C6EFCE"/>
            <w:noWrap/>
            <w:vAlign w:val="center"/>
          </w:tcPr>
          <w:p w14:paraId="64045340" w14:textId="77777777" w:rsidR="00154E32" w:rsidRDefault="00A43E04">
            <w:pPr>
              <w:pStyle w:val="P68B1DB1-Normal11"/>
              <w:spacing w:line="276" w:lineRule="auto"/>
              <w:jc w:val="center"/>
              <w:rPr>
                <w:noProof/>
              </w:rPr>
            </w:pPr>
            <w:r>
              <w:rPr>
                <w:noProof/>
              </w:rPr>
              <w:t>Tarča</w:t>
            </w:r>
          </w:p>
        </w:tc>
        <w:tc>
          <w:tcPr>
            <w:tcW w:w="1732" w:type="dxa"/>
            <w:shd w:val="clear" w:color="auto" w:fill="C6EFCE"/>
            <w:noWrap/>
            <w:vAlign w:val="center"/>
          </w:tcPr>
          <w:p w14:paraId="14FAA1E8" w14:textId="77777777" w:rsidR="00154E32" w:rsidRDefault="00A43E04">
            <w:pPr>
              <w:pStyle w:val="P68B1DB1-Normal11"/>
              <w:spacing w:line="276" w:lineRule="auto"/>
              <w:jc w:val="center"/>
              <w:rPr>
                <w:noProof/>
              </w:rPr>
            </w:pPr>
            <w:r>
              <w:rPr>
                <w:noProof/>
              </w:rPr>
              <w:t>Izvajanje intervencij, predstavljenih v načrtih zelenih skupnosti</w:t>
            </w:r>
          </w:p>
        </w:tc>
        <w:tc>
          <w:tcPr>
            <w:tcW w:w="1603" w:type="dxa"/>
            <w:shd w:val="clear" w:color="auto" w:fill="C6EFCE"/>
            <w:noWrap/>
            <w:vAlign w:val="center"/>
          </w:tcPr>
          <w:p w14:paraId="6E220B15" w14:textId="77777777" w:rsidR="00154E32" w:rsidRDefault="00A43E04">
            <w:pPr>
              <w:pStyle w:val="P68B1DB1-Normal11"/>
              <w:spacing w:line="276" w:lineRule="auto"/>
              <w:jc w:val="center"/>
              <w:rPr>
                <w:noProof/>
              </w:rPr>
            </w:pPr>
            <w:r>
              <w:rPr>
                <w:noProof/>
              </w:rPr>
              <w:t>JIH NI</w:t>
            </w:r>
          </w:p>
        </w:tc>
        <w:tc>
          <w:tcPr>
            <w:tcW w:w="1275" w:type="dxa"/>
            <w:shd w:val="clear" w:color="auto" w:fill="C6EFCE"/>
            <w:noWrap/>
            <w:vAlign w:val="center"/>
          </w:tcPr>
          <w:p w14:paraId="2B10219C" w14:textId="77777777" w:rsidR="00154E32" w:rsidRDefault="00A43E04">
            <w:pPr>
              <w:pStyle w:val="P68B1DB1-Normal11"/>
              <w:spacing w:line="276" w:lineRule="auto"/>
              <w:jc w:val="center"/>
              <w:rPr>
                <w:noProof/>
              </w:rPr>
            </w:pPr>
            <w:r>
              <w:rPr>
                <w:noProof/>
              </w:rPr>
              <w:t>Odstotek intervencij, ki so jih predstavile zelene skupnosti</w:t>
            </w:r>
          </w:p>
        </w:tc>
        <w:tc>
          <w:tcPr>
            <w:tcW w:w="993" w:type="dxa"/>
            <w:shd w:val="clear" w:color="auto" w:fill="C6EFCE"/>
            <w:noWrap/>
            <w:vAlign w:val="center"/>
          </w:tcPr>
          <w:p w14:paraId="24E6369D" w14:textId="77777777" w:rsidR="00154E32" w:rsidRDefault="00A43E04">
            <w:pPr>
              <w:pStyle w:val="P68B1DB1-Normal11"/>
              <w:spacing w:line="276" w:lineRule="auto"/>
              <w:jc w:val="center"/>
              <w:rPr>
                <w:noProof/>
              </w:rPr>
            </w:pPr>
            <w:r>
              <w:rPr>
                <w:noProof/>
              </w:rPr>
              <w:t>0</w:t>
            </w:r>
          </w:p>
        </w:tc>
        <w:tc>
          <w:tcPr>
            <w:tcW w:w="1162" w:type="dxa"/>
            <w:shd w:val="clear" w:color="auto" w:fill="C6EFCE"/>
            <w:noWrap/>
            <w:vAlign w:val="center"/>
          </w:tcPr>
          <w:p w14:paraId="2EC9EFD1" w14:textId="77777777" w:rsidR="00154E32" w:rsidRDefault="00A43E04">
            <w:pPr>
              <w:pStyle w:val="P68B1DB1-Normal11"/>
              <w:spacing w:line="276" w:lineRule="auto"/>
              <w:jc w:val="center"/>
              <w:rPr>
                <w:noProof/>
              </w:rPr>
            </w:pPr>
            <w:r>
              <w:rPr>
                <w:noProof/>
              </w:rPr>
              <w:t>90</w:t>
            </w:r>
          </w:p>
        </w:tc>
        <w:tc>
          <w:tcPr>
            <w:tcW w:w="963" w:type="dxa"/>
            <w:shd w:val="clear" w:color="auto" w:fill="C6EFCE"/>
            <w:noWrap/>
            <w:vAlign w:val="center"/>
          </w:tcPr>
          <w:p w14:paraId="1401E30B" w14:textId="77777777" w:rsidR="00154E32" w:rsidRDefault="00A43E04">
            <w:pPr>
              <w:pStyle w:val="P68B1DB1-Normal11"/>
              <w:spacing w:line="276" w:lineRule="auto"/>
              <w:jc w:val="center"/>
              <w:rPr>
                <w:noProof/>
              </w:rPr>
            </w:pPr>
            <w:r>
              <w:rPr>
                <w:noProof/>
              </w:rPr>
              <w:t>Q2</w:t>
            </w:r>
          </w:p>
        </w:tc>
        <w:tc>
          <w:tcPr>
            <w:tcW w:w="710" w:type="dxa"/>
            <w:shd w:val="clear" w:color="auto" w:fill="C6EFCE"/>
            <w:noWrap/>
            <w:vAlign w:val="center"/>
          </w:tcPr>
          <w:p w14:paraId="276FE6BA" w14:textId="77777777" w:rsidR="00154E32" w:rsidRDefault="00A43E04">
            <w:pPr>
              <w:pStyle w:val="P68B1DB1-Normal11"/>
              <w:spacing w:line="276" w:lineRule="auto"/>
              <w:rPr>
                <w:noProof/>
              </w:rPr>
            </w:pPr>
            <w:r>
              <w:rPr>
                <w:noProof/>
              </w:rPr>
              <w:t>2026</w:t>
            </w:r>
          </w:p>
        </w:tc>
        <w:tc>
          <w:tcPr>
            <w:tcW w:w="3174" w:type="dxa"/>
            <w:shd w:val="clear" w:color="auto" w:fill="C6EFCE"/>
            <w:noWrap/>
            <w:vAlign w:val="center"/>
          </w:tcPr>
          <w:p w14:paraId="0AF33D39" w14:textId="77777777" w:rsidR="00154E32" w:rsidRDefault="00A43E04">
            <w:pPr>
              <w:pStyle w:val="P68B1DB1-Normal11"/>
              <w:spacing w:line="276" w:lineRule="auto"/>
              <w:rPr>
                <w:noProof/>
              </w:rPr>
            </w:pPr>
            <w:r>
              <w:rPr>
                <w:noProof/>
              </w:rPr>
              <w:t>Dokončanje izvajanja vsaj 90 % ukrepov, predvidenih v načrtih, ki so jih predložile zelene skupnosti (kot je opredeljeno v členu 72 Zakona 221/2015)</w:t>
            </w:r>
          </w:p>
        </w:tc>
      </w:tr>
      <w:tr w:rsidR="00154E32" w14:paraId="1F195820" w14:textId="77777777">
        <w:trPr>
          <w:trHeight w:val="313"/>
          <w:jc w:val="center"/>
        </w:trPr>
        <w:tc>
          <w:tcPr>
            <w:tcW w:w="1220" w:type="dxa"/>
            <w:shd w:val="clear" w:color="auto" w:fill="C6EFCE"/>
            <w:noWrap/>
            <w:vAlign w:val="center"/>
          </w:tcPr>
          <w:p w14:paraId="497EE22F" w14:textId="77777777" w:rsidR="00154E32" w:rsidRDefault="00A43E04">
            <w:pPr>
              <w:pStyle w:val="P68B1DB1-Normal11"/>
              <w:spacing w:line="276" w:lineRule="auto"/>
              <w:jc w:val="center"/>
              <w:rPr>
                <w:noProof/>
              </w:rPr>
            </w:pPr>
            <w:r>
              <w:rPr>
                <w:noProof/>
              </w:rPr>
              <w:t>M2C1–22</w:t>
            </w:r>
          </w:p>
        </w:tc>
        <w:tc>
          <w:tcPr>
            <w:tcW w:w="1598" w:type="dxa"/>
            <w:shd w:val="clear" w:color="auto" w:fill="C6EFCE"/>
            <w:noWrap/>
            <w:vAlign w:val="center"/>
          </w:tcPr>
          <w:p w14:paraId="23B80D14" w14:textId="77777777" w:rsidR="00154E32" w:rsidRDefault="00A43E04">
            <w:pPr>
              <w:pStyle w:val="P68B1DB1-Normal11"/>
              <w:spacing w:line="276" w:lineRule="auto"/>
              <w:jc w:val="center"/>
              <w:rPr>
                <w:noProof/>
              </w:rPr>
            </w:pPr>
            <w:r>
              <w:rPr>
                <w:noProof/>
              </w:rPr>
              <w:t>Naložba 3.4: Fondo Contratti di Filiera (FCF) za podporo pogodb o dobavnih verigah za agroživilski, ribiški in akvakulturni sektor, gozdarstvo, cvetličarstvo in odraščanje rastlin</w:t>
            </w:r>
          </w:p>
        </w:tc>
        <w:tc>
          <w:tcPr>
            <w:tcW w:w="1185" w:type="dxa"/>
            <w:shd w:val="clear" w:color="auto" w:fill="C6EFCE"/>
            <w:noWrap/>
            <w:vAlign w:val="center"/>
          </w:tcPr>
          <w:p w14:paraId="66DA703C" w14:textId="028A8054" w:rsidR="00154E32" w:rsidRDefault="00A43E04">
            <w:pPr>
              <w:pStyle w:val="P68B1DB1-Normal11"/>
              <w:spacing w:line="276" w:lineRule="auto"/>
              <w:jc w:val="center"/>
              <w:rPr>
                <w:noProof/>
                <w:color w:val="000000" w:themeColor="text1"/>
              </w:rPr>
            </w:pPr>
            <w:r>
              <w:rPr>
                <w:noProof/>
              </w:rPr>
              <w:t>Mejnik</w:t>
            </w:r>
          </w:p>
        </w:tc>
        <w:tc>
          <w:tcPr>
            <w:tcW w:w="1732" w:type="dxa"/>
            <w:shd w:val="clear" w:color="auto" w:fill="C6EFCE"/>
            <w:noWrap/>
            <w:vAlign w:val="center"/>
          </w:tcPr>
          <w:p w14:paraId="6510A1EF" w14:textId="77777777" w:rsidR="00154E32" w:rsidRDefault="00A43E04">
            <w:pPr>
              <w:pStyle w:val="P68B1DB1-Normal11"/>
              <w:spacing w:line="276" w:lineRule="auto"/>
              <w:jc w:val="center"/>
              <w:rPr>
                <w:noProof/>
                <w:color w:val="000000" w:themeColor="text1"/>
              </w:rPr>
            </w:pPr>
            <w:r>
              <w:rPr>
                <w:noProof/>
              </w:rPr>
              <w:t>Izvedbeni sporazum</w:t>
            </w:r>
          </w:p>
        </w:tc>
        <w:tc>
          <w:tcPr>
            <w:tcW w:w="1603" w:type="dxa"/>
            <w:shd w:val="clear" w:color="auto" w:fill="C6EFCE"/>
            <w:noWrap/>
            <w:vAlign w:val="center"/>
          </w:tcPr>
          <w:p w14:paraId="4A213C7E" w14:textId="77777777" w:rsidR="00154E32" w:rsidRDefault="00A43E04">
            <w:pPr>
              <w:pStyle w:val="P68B1DB1-Normal11"/>
              <w:spacing w:line="276" w:lineRule="auto"/>
              <w:jc w:val="center"/>
              <w:rPr>
                <w:noProof/>
                <w:color w:val="000000" w:themeColor="text1"/>
              </w:rPr>
            </w:pPr>
            <w:r>
              <w:rPr>
                <w:noProof/>
              </w:rPr>
              <w:t>Začetek veljavnosti izvedbenega sporazuma</w:t>
            </w:r>
          </w:p>
        </w:tc>
        <w:tc>
          <w:tcPr>
            <w:tcW w:w="1275" w:type="dxa"/>
            <w:shd w:val="clear" w:color="auto" w:fill="C6EFCE"/>
            <w:noWrap/>
            <w:vAlign w:val="center"/>
          </w:tcPr>
          <w:p w14:paraId="781A9279" w14:textId="77777777" w:rsidR="00154E32" w:rsidRDefault="00A43E04">
            <w:pPr>
              <w:pStyle w:val="P68B1DB1-Normal11"/>
              <w:spacing w:line="276" w:lineRule="auto"/>
              <w:jc w:val="center"/>
              <w:rPr>
                <w:noProof/>
              </w:rPr>
            </w:pPr>
            <w:r>
              <w:rPr>
                <w:noProof/>
              </w:rPr>
              <w:t xml:space="preserve"> </w:t>
            </w:r>
          </w:p>
        </w:tc>
        <w:tc>
          <w:tcPr>
            <w:tcW w:w="993" w:type="dxa"/>
            <w:shd w:val="clear" w:color="auto" w:fill="C6EFCE"/>
            <w:noWrap/>
            <w:vAlign w:val="center"/>
          </w:tcPr>
          <w:p w14:paraId="2E7230F5" w14:textId="77777777" w:rsidR="00154E32" w:rsidRDefault="00A43E04">
            <w:pPr>
              <w:pStyle w:val="P68B1DB1-Normal11"/>
              <w:spacing w:line="276" w:lineRule="auto"/>
              <w:jc w:val="center"/>
              <w:rPr>
                <w:noProof/>
                <w:color w:val="000000" w:themeColor="text1"/>
              </w:rPr>
            </w:pPr>
            <w:r>
              <w:rPr>
                <w:noProof/>
              </w:rPr>
              <w:t xml:space="preserve"> </w:t>
            </w:r>
          </w:p>
        </w:tc>
        <w:tc>
          <w:tcPr>
            <w:tcW w:w="1162" w:type="dxa"/>
            <w:shd w:val="clear" w:color="auto" w:fill="C6EFCE"/>
            <w:noWrap/>
            <w:vAlign w:val="center"/>
          </w:tcPr>
          <w:p w14:paraId="6DCCEA5D" w14:textId="77777777" w:rsidR="00154E32" w:rsidRDefault="00A43E04">
            <w:pPr>
              <w:pStyle w:val="P68B1DB1-Normal11"/>
              <w:spacing w:line="276" w:lineRule="auto"/>
              <w:jc w:val="center"/>
              <w:rPr>
                <w:noProof/>
                <w:color w:val="000000" w:themeColor="text1"/>
              </w:rPr>
            </w:pPr>
            <w:r>
              <w:rPr>
                <w:noProof/>
              </w:rPr>
              <w:t xml:space="preserve"> </w:t>
            </w:r>
          </w:p>
        </w:tc>
        <w:tc>
          <w:tcPr>
            <w:tcW w:w="963" w:type="dxa"/>
            <w:shd w:val="clear" w:color="auto" w:fill="C6EFCE"/>
            <w:noWrap/>
            <w:vAlign w:val="center"/>
          </w:tcPr>
          <w:p w14:paraId="6947D6F0" w14:textId="77777777" w:rsidR="00154E32" w:rsidRDefault="00A43E04">
            <w:pPr>
              <w:pStyle w:val="P68B1DB1-Normal11"/>
              <w:spacing w:line="276" w:lineRule="auto"/>
              <w:jc w:val="center"/>
              <w:rPr>
                <w:noProof/>
                <w:color w:val="000000" w:themeColor="text1"/>
              </w:rPr>
            </w:pPr>
            <w:r>
              <w:rPr>
                <w:noProof/>
              </w:rPr>
              <w:t>Q2</w:t>
            </w:r>
          </w:p>
        </w:tc>
        <w:tc>
          <w:tcPr>
            <w:tcW w:w="710" w:type="dxa"/>
            <w:shd w:val="clear" w:color="auto" w:fill="C6EFCE"/>
            <w:noWrap/>
            <w:vAlign w:val="center"/>
          </w:tcPr>
          <w:p w14:paraId="040D976C" w14:textId="77777777" w:rsidR="00154E32" w:rsidRDefault="00A43E04">
            <w:pPr>
              <w:pStyle w:val="P68B1DB1-Normal11"/>
              <w:spacing w:line="276" w:lineRule="auto"/>
              <w:rPr>
                <w:noProof/>
                <w:color w:val="000000" w:themeColor="text1"/>
              </w:rPr>
            </w:pPr>
            <w:r>
              <w:rPr>
                <w:noProof/>
              </w:rPr>
              <w:t>2024</w:t>
            </w:r>
          </w:p>
        </w:tc>
        <w:tc>
          <w:tcPr>
            <w:tcW w:w="3174" w:type="dxa"/>
            <w:shd w:val="clear" w:color="auto" w:fill="C6EFCE"/>
            <w:noWrap/>
            <w:vAlign w:val="center"/>
          </w:tcPr>
          <w:p w14:paraId="1876C2BC" w14:textId="77777777" w:rsidR="00154E32" w:rsidRDefault="00A43E04">
            <w:pPr>
              <w:pStyle w:val="P68B1DB1-Normal11"/>
              <w:spacing w:line="276" w:lineRule="auto"/>
              <w:rPr>
                <w:noProof/>
                <w:color w:val="000000" w:themeColor="text1"/>
              </w:rPr>
            </w:pPr>
            <w:r>
              <w:rPr>
                <w:noProof/>
              </w:rPr>
              <w:t>Začetek veljavnosti izvedbenega sporazuma.</w:t>
            </w:r>
          </w:p>
        </w:tc>
      </w:tr>
      <w:tr w:rsidR="00154E32" w14:paraId="37FA3D9A" w14:textId="77777777">
        <w:trPr>
          <w:trHeight w:val="313"/>
          <w:jc w:val="center"/>
        </w:trPr>
        <w:tc>
          <w:tcPr>
            <w:tcW w:w="1220" w:type="dxa"/>
            <w:shd w:val="clear" w:color="auto" w:fill="C6EFCE"/>
            <w:noWrap/>
            <w:vAlign w:val="center"/>
          </w:tcPr>
          <w:p w14:paraId="2A569573" w14:textId="77777777" w:rsidR="00154E32" w:rsidRDefault="00A43E04">
            <w:pPr>
              <w:pStyle w:val="P68B1DB1-Normal11"/>
              <w:spacing w:line="276" w:lineRule="auto"/>
              <w:jc w:val="center"/>
              <w:rPr>
                <w:noProof/>
              </w:rPr>
            </w:pPr>
            <w:r>
              <w:rPr>
                <w:noProof/>
              </w:rPr>
              <w:t>M2C1–23</w:t>
            </w:r>
          </w:p>
        </w:tc>
        <w:tc>
          <w:tcPr>
            <w:tcW w:w="1598" w:type="dxa"/>
            <w:shd w:val="clear" w:color="auto" w:fill="C6EFCE"/>
            <w:noWrap/>
            <w:vAlign w:val="center"/>
          </w:tcPr>
          <w:p w14:paraId="56B01DBD" w14:textId="77777777" w:rsidR="00154E32" w:rsidRDefault="00A43E04">
            <w:pPr>
              <w:pStyle w:val="P68B1DB1-Normal11"/>
              <w:spacing w:line="276" w:lineRule="auto"/>
              <w:jc w:val="center"/>
              <w:rPr>
                <w:noProof/>
              </w:rPr>
            </w:pPr>
            <w:r>
              <w:rPr>
                <w:noProof/>
              </w:rPr>
              <w:t>Naložba 3.4: Fondo Contratti di Filiera (FCF) za podporo pogodb o dobavnih verigah za agroživilski, ribiški in akvakulturni sektor, gozdarstvo, cvetličarstvo in odraščanje rastlin</w:t>
            </w:r>
          </w:p>
        </w:tc>
        <w:tc>
          <w:tcPr>
            <w:tcW w:w="1185" w:type="dxa"/>
            <w:shd w:val="clear" w:color="auto" w:fill="C6EFCE"/>
            <w:noWrap/>
            <w:vAlign w:val="center"/>
          </w:tcPr>
          <w:p w14:paraId="3D71C802" w14:textId="099F9D65" w:rsidR="00154E32" w:rsidRDefault="00A43E04">
            <w:pPr>
              <w:pStyle w:val="P68B1DB1-Normal11"/>
              <w:spacing w:line="276" w:lineRule="auto"/>
              <w:jc w:val="center"/>
              <w:rPr>
                <w:noProof/>
              </w:rPr>
            </w:pPr>
            <w:r>
              <w:rPr>
                <w:noProof/>
              </w:rPr>
              <w:t>Tarča</w:t>
            </w:r>
          </w:p>
        </w:tc>
        <w:tc>
          <w:tcPr>
            <w:tcW w:w="1732" w:type="dxa"/>
            <w:shd w:val="clear" w:color="auto" w:fill="C6EFCE"/>
            <w:noWrap/>
            <w:vAlign w:val="center"/>
          </w:tcPr>
          <w:p w14:paraId="5112C13A" w14:textId="77777777" w:rsidR="00154E32" w:rsidRDefault="00A43E04">
            <w:pPr>
              <w:pStyle w:val="P68B1DB1-Normal11"/>
              <w:spacing w:line="276" w:lineRule="auto"/>
              <w:jc w:val="center"/>
              <w:rPr>
                <w:noProof/>
              </w:rPr>
            </w:pPr>
            <w:r>
              <w:rPr>
                <w:noProof/>
              </w:rPr>
              <w:t>Pravni sporazumi, podpisani s končnimi upravičenci</w:t>
            </w:r>
          </w:p>
        </w:tc>
        <w:tc>
          <w:tcPr>
            <w:tcW w:w="1603" w:type="dxa"/>
            <w:shd w:val="clear" w:color="auto" w:fill="C6EFCE"/>
            <w:noWrap/>
            <w:vAlign w:val="center"/>
          </w:tcPr>
          <w:p w14:paraId="578BB95E" w14:textId="77777777" w:rsidR="00154E32" w:rsidRDefault="00A43E04">
            <w:pPr>
              <w:pStyle w:val="P68B1DB1-Normal11"/>
              <w:spacing w:line="276" w:lineRule="auto"/>
              <w:jc w:val="center"/>
              <w:rPr>
                <w:noProof/>
              </w:rPr>
            </w:pPr>
            <w:r>
              <w:rPr>
                <w:noProof/>
              </w:rPr>
              <w:t xml:space="preserve">Začetek veljavnosti pravnih sporazumov o financiranju </w:t>
            </w:r>
          </w:p>
        </w:tc>
        <w:tc>
          <w:tcPr>
            <w:tcW w:w="1275" w:type="dxa"/>
            <w:shd w:val="clear" w:color="auto" w:fill="C6EFCE"/>
            <w:noWrap/>
            <w:vAlign w:val="center"/>
          </w:tcPr>
          <w:p w14:paraId="2653292F" w14:textId="77777777" w:rsidR="00154E32" w:rsidRDefault="00A43E04">
            <w:pPr>
              <w:pStyle w:val="P68B1DB1-Normal11"/>
              <w:spacing w:line="276" w:lineRule="auto"/>
              <w:jc w:val="center"/>
              <w:rPr>
                <w:noProof/>
              </w:rPr>
            </w:pPr>
            <w:r>
              <w:rPr>
                <w:noProof/>
              </w:rPr>
              <w:t xml:space="preserve"> </w:t>
            </w:r>
          </w:p>
        </w:tc>
        <w:tc>
          <w:tcPr>
            <w:tcW w:w="993" w:type="dxa"/>
            <w:shd w:val="clear" w:color="auto" w:fill="C6EFCE"/>
            <w:noWrap/>
            <w:vAlign w:val="center"/>
          </w:tcPr>
          <w:p w14:paraId="5F5FC857" w14:textId="77777777" w:rsidR="00154E32" w:rsidRDefault="00A43E04">
            <w:pPr>
              <w:pStyle w:val="P68B1DB1-Normal11"/>
              <w:spacing w:line="276" w:lineRule="auto"/>
              <w:jc w:val="center"/>
              <w:rPr>
                <w:noProof/>
              </w:rPr>
            </w:pPr>
            <w:r>
              <w:rPr>
                <w:noProof/>
              </w:rPr>
              <w:t>0</w:t>
            </w:r>
          </w:p>
        </w:tc>
        <w:tc>
          <w:tcPr>
            <w:tcW w:w="1162" w:type="dxa"/>
            <w:shd w:val="clear" w:color="auto" w:fill="C6EFCE"/>
            <w:noWrap/>
            <w:vAlign w:val="center"/>
          </w:tcPr>
          <w:p w14:paraId="78958A64" w14:textId="77777777" w:rsidR="00154E32" w:rsidRDefault="00A43E04">
            <w:pPr>
              <w:pStyle w:val="P68B1DB1-Normal11"/>
              <w:spacing w:line="276" w:lineRule="auto"/>
              <w:jc w:val="center"/>
              <w:rPr>
                <w:noProof/>
              </w:rPr>
            </w:pPr>
            <w:r>
              <w:rPr>
                <w:noProof/>
              </w:rPr>
              <w:t>50 %</w:t>
            </w:r>
          </w:p>
        </w:tc>
        <w:tc>
          <w:tcPr>
            <w:tcW w:w="963" w:type="dxa"/>
            <w:shd w:val="clear" w:color="auto" w:fill="C6EFCE"/>
            <w:noWrap/>
            <w:vAlign w:val="center"/>
          </w:tcPr>
          <w:p w14:paraId="1BEB27E6" w14:textId="77777777" w:rsidR="00154E32" w:rsidRDefault="00A43E04">
            <w:pPr>
              <w:pStyle w:val="P68B1DB1-Normal11"/>
              <w:spacing w:line="276" w:lineRule="auto"/>
              <w:jc w:val="center"/>
              <w:rPr>
                <w:noProof/>
              </w:rPr>
            </w:pPr>
            <w:r>
              <w:rPr>
                <w:noProof/>
              </w:rPr>
              <w:t>Q2</w:t>
            </w:r>
          </w:p>
        </w:tc>
        <w:tc>
          <w:tcPr>
            <w:tcW w:w="710" w:type="dxa"/>
            <w:shd w:val="clear" w:color="auto" w:fill="C6EFCE"/>
            <w:noWrap/>
            <w:vAlign w:val="center"/>
          </w:tcPr>
          <w:p w14:paraId="276668EA" w14:textId="77777777" w:rsidR="00154E32" w:rsidRDefault="00A43E04">
            <w:pPr>
              <w:pStyle w:val="P68B1DB1-Normal11"/>
              <w:spacing w:line="276" w:lineRule="auto"/>
              <w:rPr>
                <w:noProof/>
              </w:rPr>
            </w:pPr>
            <w:r>
              <w:rPr>
                <w:noProof/>
              </w:rPr>
              <w:t>2025</w:t>
            </w:r>
          </w:p>
        </w:tc>
        <w:tc>
          <w:tcPr>
            <w:tcW w:w="3174" w:type="dxa"/>
            <w:shd w:val="clear" w:color="auto" w:fill="C6EFCE"/>
            <w:noWrap/>
            <w:vAlign w:val="center"/>
          </w:tcPr>
          <w:p w14:paraId="1ED3A1FE" w14:textId="322D45F1" w:rsidR="00154E32" w:rsidRDefault="00A43E04">
            <w:pPr>
              <w:pStyle w:val="P68B1DB1-Normal11"/>
              <w:spacing w:line="276" w:lineRule="auto"/>
              <w:rPr>
                <w:noProof/>
              </w:rPr>
            </w:pPr>
            <w:r>
              <w:rPr>
                <w:noProof/>
              </w:rPr>
              <w:t>Mehanizem s končnimi upravičenci sklene pravne sporazume o financiranju za znesek, potreben za uporabo vsaj 50 % naložb mehanizma za okrevanje in odpornost v sklad (ob upoštevanju provizij za upravljanje). ISMEA pripravi poročilo, v katerem podrobno navede delež tega financiranja, ki prispeva k podnebnim ciljem, pri čemer uporabi metodologijo iz Priloge VI.</w:t>
            </w:r>
          </w:p>
        </w:tc>
      </w:tr>
      <w:tr w:rsidR="00154E32" w14:paraId="5B867713" w14:textId="77777777">
        <w:trPr>
          <w:trHeight w:val="313"/>
          <w:jc w:val="center"/>
        </w:trPr>
        <w:tc>
          <w:tcPr>
            <w:tcW w:w="1220" w:type="dxa"/>
            <w:shd w:val="clear" w:color="auto" w:fill="C6EFCE"/>
            <w:noWrap/>
            <w:vAlign w:val="center"/>
          </w:tcPr>
          <w:p w14:paraId="161A1CDB" w14:textId="77777777" w:rsidR="00154E32" w:rsidRDefault="00A43E04">
            <w:pPr>
              <w:pStyle w:val="P68B1DB1-Normal11"/>
              <w:spacing w:line="276" w:lineRule="auto"/>
              <w:jc w:val="center"/>
              <w:rPr>
                <w:noProof/>
              </w:rPr>
            </w:pPr>
            <w:r>
              <w:rPr>
                <w:noProof/>
              </w:rPr>
              <w:t>M2C1–24</w:t>
            </w:r>
          </w:p>
        </w:tc>
        <w:tc>
          <w:tcPr>
            <w:tcW w:w="1598" w:type="dxa"/>
            <w:shd w:val="clear" w:color="auto" w:fill="C6EFCE"/>
            <w:noWrap/>
            <w:vAlign w:val="center"/>
          </w:tcPr>
          <w:p w14:paraId="02D1C438" w14:textId="77777777" w:rsidR="00154E32" w:rsidRDefault="00A43E04">
            <w:pPr>
              <w:pStyle w:val="P68B1DB1-Normal11"/>
              <w:spacing w:line="276" w:lineRule="auto"/>
              <w:jc w:val="center"/>
              <w:rPr>
                <w:noProof/>
              </w:rPr>
            </w:pPr>
            <w:r>
              <w:rPr>
                <w:noProof/>
              </w:rPr>
              <w:t>Naložba 3.4: Fondo Contratti di Filiera (FCF) za podporo pogodb o dobavnih verigah za agroživilski, ribiški in akvakulturni sektor, gozdarstvo, cvetličarstvo in odraščanje rastlin</w:t>
            </w:r>
          </w:p>
        </w:tc>
        <w:tc>
          <w:tcPr>
            <w:tcW w:w="1185" w:type="dxa"/>
            <w:shd w:val="clear" w:color="auto" w:fill="C6EFCE"/>
            <w:noWrap/>
            <w:vAlign w:val="center"/>
          </w:tcPr>
          <w:p w14:paraId="446156D6" w14:textId="2158EA78" w:rsidR="00154E32" w:rsidRDefault="00A43E04">
            <w:pPr>
              <w:pStyle w:val="P68B1DB1-Normal11"/>
              <w:spacing w:line="276" w:lineRule="auto"/>
              <w:jc w:val="center"/>
              <w:rPr>
                <w:noProof/>
              </w:rPr>
            </w:pPr>
            <w:r>
              <w:rPr>
                <w:noProof/>
              </w:rPr>
              <w:t>Tarča</w:t>
            </w:r>
          </w:p>
        </w:tc>
        <w:tc>
          <w:tcPr>
            <w:tcW w:w="1732" w:type="dxa"/>
            <w:shd w:val="clear" w:color="auto" w:fill="C6EFCE"/>
            <w:noWrap/>
            <w:vAlign w:val="center"/>
          </w:tcPr>
          <w:p w14:paraId="654D15F3" w14:textId="77777777" w:rsidR="00154E32" w:rsidRDefault="00A43E04">
            <w:pPr>
              <w:pStyle w:val="P68B1DB1-Normal11"/>
              <w:spacing w:line="276" w:lineRule="auto"/>
              <w:jc w:val="center"/>
              <w:rPr>
                <w:noProof/>
              </w:rPr>
            </w:pPr>
            <w:r>
              <w:rPr>
                <w:noProof/>
              </w:rPr>
              <w:t>Pravni sporazumi, podpisani s končnimi upravičenci</w:t>
            </w:r>
          </w:p>
        </w:tc>
        <w:tc>
          <w:tcPr>
            <w:tcW w:w="1603" w:type="dxa"/>
            <w:shd w:val="clear" w:color="auto" w:fill="C6EFCE"/>
            <w:noWrap/>
            <w:vAlign w:val="center"/>
          </w:tcPr>
          <w:p w14:paraId="595003B0" w14:textId="77777777" w:rsidR="00154E32" w:rsidRDefault="00A43E04">
            <w:pPr>
              <w:pStyle w:val="P68B1DB1-Normal11"/>
              <w:spacing w:line="276" w:lineRule="auto"/>
              <w:jc w:val="center"/>
              <w:rPr>
                <w:noProof/>
              </w:rPr>
            </w:pPr>
            <w:r>
              <w:rPr>
                <w:noProof/>
              </w:rPr>
              <w:t xml:space="preserve">Začetek veljavnosti pravnih sporazumov o financiranju </w:t>
            </w:r>
          </w:p>
        </w:tc>
        <w:tc>
          <w:tcPr>
            <w:tcW w:w="1275" w:type="dxa"/>
            <w:shd w:val="clear" w:color="auto" w:fill="C6EFCE"/>
            <w:noWrap/>
            <w:vAlign w:val="center"/>
          </w:tcPr>
          <w:p w14:paraId="6DAA4CCE" w14:textId="77777777" w:rsidR="00154E32" w:rsidRDefault="00A43E04">
            <w:pPr>
              <w:pStyle w:val="P68B1DB1-Normal11"/>
              <w:spacing w:line="276" w:lineRule="auto"/>
              <w:jc w:val="center"/>
              <w:rPr>
                <w:noProof/>
              </w:rPr>
            </w:pPr>
            <w:r>
              <w:rPr>
                <w:noProof/>
              </w:rPr>
              <w:t xml:space="preserve"> </w:t>
            </w:r>
          </w:p>
        </w:tc>
        <w:tc>
          <w:tcPr>
            <w:tcW w:w="993" w:type="dxa"/>
            <w:shd w:val="clear" w:color="auto" w:fill="C6EFCE"/>
            <w:noWrap/>
            <w:vAlign w:val="center"/>
          </w:tcPr>
          <w:p w14:paraId="39515AD2" w14:textId="77777777" w:rsidR="00154E32" w:rsidRDefault="00A43E04">
            <w:pPr>
              <w:pStyle w:val="P68B1DB1-Normal11"/>
              <w:spacing w:line="276" w:lineRule="auto"/>
              <w:jc w:val="center"/>
              <w:rPr>
                <w:noProof/>
              </w:rPr>
            </w:pPr>
            <w:r>
              <w:rPr>
                <w:noProof/>
              </w:rPr>
              <w:t>50 %</w:t>
            </w:r>
          </w:p>
        </w:tc>
        <w:tc>
          <w:tcPr>
            <w:tcW w:w="1162" w:type="dxa"/>
            <w:shd w:val="clear" w:color="auto" w:fill="C6EFCE"/>
            <w:noWrap/>
            <w:vAlign w:val="center"/>
          </w:tcPr>
          <w:p w14:paraId="0115F7FE" w14:textId="77777777" w:rsidR="00154E32" w:rsidRDefault="00A43E04">
            <w:pPr>
              <w:pStyle w:val="P68B1DB1-Normal11"/>
              <w:spacing w:line="276" w:lineRule="auto"/>
              <w:jc w:val="center"/>
              <w:rPr>
                <w:noProof/>
              </w:rPr>
            </w:pPr>
            <w:r>
              <w:rPr>
                <w:noProof/>
              </w:rPr>
              <w:t>100 %</w:t>
            </w:r>
          </w:p>
        </w:tc>
        <w:tc>
          <w:tcPr>
            <w:tcW w:w="963" w:type="dxa"/>
            <w:shd w:val="clear" w:color="auto" w:fill="C6EFCE"/>
            <w:noWrap/>
            <w:vAlign w:val="center"/>
          </w:tcPr>
          <w:p w14:paraId="42D78C9C" w14:textId="77777777" w:rsidR="00154E32" w:rsidRDefault="00A43E04">
            <w:pPr>
              <w:pStyle w:val="P68B1DB1-Normal11"/>
              <w:spacing w:line="276" w:lineRule="auto"/>
              <w:jc w:val="center"/>
              <w:rPr>
                <w:noProof/>
              </w:rPr>
            </w:pPr>
            <w:r>
              <w:rPr>
                <w:noProof/>
              </w:rPr>
              <w:t>Q2</w:t>
            </w:r>
          </w:p>
        </w:tc>
        <w:tc>
          <w:tcPr>
            <w:tcW w:w="710" w:type="dxa"/>
            <w:shd w:val="clear" w:color="auto" w:fill="C6EFCE"/>
            <w:noWrap/>
            <w:vAlign w:val="center"/>
          </w:tcPr>
          <w:p w14:paraId="623A257F" w14:textId="77777777" w:rsidR="00154E32" w:rsidRDefault="00A43E04">
            <w:pPr>
              <w:pStyle w:val="P68B1DB1-Normal11"/>
              <w:spacing w:line="276" w:lineRule="auto"/>
              <w:rPr>
                <w:noProof/>
              </w:rPr>
            </w:pPr>
            <w:r>
              <w:rPr>
                <w:noProof/>
              </w:rPr>
              <w:t>2026</w:t>
            </w:r>
          </w:p>
        </w:tc>
        <w:tc>
          <w:tcPr>
            <w:tcW w:w="3174" w:type="dxa"/>
            <w:shd w:val="clear" w:color="auto" w:fill="C6EFCE"/>
            <w:noWrap/>
            <w:vAlign w:val="center"/>
          </w:tcPr>
          <w:p w14:paraId="6BBD62DC" w14:textId="1D0241B8" w:rsidR="00154E32" w:rsidRDefault="00A43E04">
            <w:pPr>
              <w:pStyle w:val="P68B1DB1-Normal11"/>
              <w:spacing w:line="276" w:lineRule="auto"/>
              <w:rPr>
                <w:noProof/>
              </w:rPr>
            </w:pPr>
            <w:r>
              <w:rPr>
                <w:noProof/>
              </w:rPr>
              <w:t>Mehanizem s končnimi upravičenci sklene pravne sporazume o financiranju za znesek, potreben za uporabo 100 % naložbe mehanizma za okrevanje in odpornost v sklad (ob upoštevanju provizij za upravljanje).</w:t>
            </w:r>
          </w:p>
        </w:tc>
      </w:tr>
      <w:tr w:rsidR="00154E32" w14:paraId="7BA0BD7F" w14:textId="77777777">
        <w:trPr>
          <w:trHeight w:val="313"/>
          <w:jc w:val="center"/>
        </w:trPr>
        <w:tc>
          <w:tcPr>
            <w:tcW w:w="1220" w:type="dxa"/>
            <w:shd w:val="clear" w:color="auto" w:fill="C6EFCE"/>
            <w:noWrap/>
            <w:vAlign w:val="center"/>
          </w:tcPr>
          <w:p w14:paraId="5092F622" w14:textId="77777777" w:rsidR="00154E32" w:rsidRDefault="00A43E04">
            <w:pPr>
              <w:pStyle w:val="P68B1DB1-Normal11"/>
              <w:spacing w:line="276" w:lineRule="auto"/>
              <w:jc w:val="center"/>
              <w:rPr>
                <w:noProof/>
              </w:rPr>
            </w:pPr>
            <w:r>
              <w:rPr>
                <w:noProof/>
              </w:rPr>
              <w:t>M2C1–25</w:t>
            </w:r>
          </w:p>
        </w:tc>
        <w:tc>
          <w:tcPr>
            <w:tcW w:w="1598" w:type="dxa"/>
            <w:shd w:val="clear" w:color="auto" w:fill="C6EFCE"/>
            <w:noWrap/>
            <w:vAlign w:val="center"/>
          </w:tcPr>
          <w:p w14:paraId="30F95536" w14:textId="77777777" w:rsidR="00154E32" w:rsidRDefault="00A43E04">
            <w:pPr>
              <w:pStyle w:val="P68B1DB1-Normal11"/>
              <w:spacing w:line="276" w:lineRule="auto"/>
              <w:jc w:val="center"/>
              <w:rPr>
                <w:noProof/>
              </w:rPr>
            </w:pPr>
            <w:r>
              <w:rPr>
                <w:noProof/>
              </w:rPr>
              <w:t>Naložba 3.4: Fondo Contratti di Filiera (FCF) za podporo pogodb o dobavnih verigah za agroživilski, ribiški in akvakulturni sektor, gozdarstvo, cvetličarstvo in odraščanje rastlin</w:t>
            </w:r>
          </w:p>
        </w:tc>
        <w:tc>
          <w:tcPr>
            <w:tcW w:w="1185" w:type="dxa"/>
            <w:shd w:val="clear" w:color="auto" w:fill="C6EFCE"/>
            <w:noWrap/>
            <w:vAlign w:val="center"/>
          </w:tcPr>
          <w:p w14:paraId="6846D0CE" w14:textId="53F4AA05" w:rsidR="00154E32" w:rsidRDefault="00A43E04">
            <w:pPr>
              <w:pStyle w:val="P68B1DB1-Normal11"/>
              <w:spacing w:line="276" w:lineRule="auto"/>
              <w:jc w:val="center"/>
              <w:rPr>
                <w:noProof/>
              </w:rPr>
            </w:pPr>
            <w:r>
              <w:rPr>
                <w:noProof/>
              </w:rPr>
              <w:t>Mejnik</w:t>
            </w:r>
          </w:p>
        </w:tc>
        <w:tc>
          <w:tcPr>
            <w:tcW w:w="1732" w:type="dxa"/>
            <w:shd w:val="clear" w:color="auto" w:fill="C6EFCE"/>
            <w:noWrap/>
            <w:vAlign w:val="center"/>
          </w:tcPr>
          <w:p w14:paraId="7FC56704" w14:textId="77777777" w:rsidR="00154E32" w:rsidRDefault="00A43E04">
            <w:pPr>
              <w:pStyle w:val="P68B1DB1-Normal11"/>
              <w:spacing w:line="276" w:lineRule="auto"/>
              <w:jc w:val="center"/>
              <w:rPr>
                <w:noProof/>
              </w:rPr>
            </w:pPr>
            <w:r>
              <w:rPr>
                <w:noProof/>
              </w:rPr>
              <w:t>Ministrstvo je prerazporedilo skupni znesek sredstev</w:t>
            </w:r>
          </w:p>
        </w:tc>
        <w:tc>
          <w:tcPr>
            <w:tcW w:w="1603" w:type="dxa"/>
            <w:shd w:val="clear" w:color="auto" w:fill="C6EFCE"/>
            <w:noWrap/>
            <w:vAlign w:val="center"/>
          </w:tcPr>
          <w:p w14:paraId="530E1224" w14:textId="77777777" w:rsidR="00154E32" w:rsidRDefault="00A43E04">
            <w:pPr>
              <w:pStyle w:val="P68B1DB1-Normal11"/>
              <w:spacing w:line="276" w:lineRule="auto"/>
              <w:jc w:val="center"/>
              <w:rPr>
                <w:noProof/>
              </w:rPr>
            </w:pPr>
            <w:r>
              <w:rPr>
                <w:noProof/>
              </w:rPr>
              <w:t>Potrdilo o prenosu</w:t>
            </w:r>
          </w:p>
        </w:tc>
        <w:tc>
          <w:tcPr>
            <w:tcW w:w="1275" w:type="dxa"/>
            <w:shd w:val="clear" w:color="auto" w:fill="C6EFCE"/>
            <w:noWrap/>
            <w:vAlign w:val="center"/>
          </w:tcPr>
          <w:p w14:paraId="5DDADB7F" w14:textId="77777777" w:rsidR="00154E32" w:rsidRDefault="00A43E04">
            <w:pPr>
              <w:pStyle w:val="P68B1DB1-Normal11"/>
              <w:spacing w:line="276" w:lineRule="auto"/>
              <w:jc w:val="center"/>
              <w:rPr>
                <w:noProof/>
              </w:rPr>
            </w:pPr>
            <w:r>
              <w:rPr>
                <w:noProof/>
              </w:rPr>
              <w:t xml:space="preserve"> </w:t>
            </w:r>
          </w:p>
        </w:tc>
        <w:tc>
          <w:tcPr>
            <w:tcW w:w="993" w:type="dxa"/>
            <w:shd w:val="clear" w:color="auto" w:fill="C6EFCE"/>
            <w:noWrap/>
            <w:vAlign w:val="center"/>
          </w:tcPr>
          <w:p w14:paraId="302390F9" w14:textId="77777777" w:rsidR="00154E32" w:rsidRDefault="00A43E04">
            <w:pPr>
              <w:pStyle w:val="P68B1DB1-Normal11"/>
              <w:spacing w:line="276" w:lineRule="auto"/>
              <w:jc w:val="center"/>
              <w:rPr>
                <w:noProof/>
              </w:rPr>
            </w:pPr>
            <w:r>
              <w:rPr>
                <w:noProof/>
              </w:rPr>
              <w:t xml:space="preserve"> </w:t>
            </w:r>
          </w:p>
        </w:tc>
        <w:tc>
          <w:tcPr>
            <w:tcW w:w="1162" w:type="dxa"/>
            <w:shd w:val="clear" w:color="auto" w:fill="C6EFCE"/>
            <w:noWrap/>
            <w:vAlign w:val="center"/>
          </w:tcPr>
          <w:p w14:paraId="5F7D6145" w14:textId="77777777" w:rsidR="00154E32" w:rsidRDefault="00A43E04">
            <w:pPr>
              <w:pStyle w:val="P68B1DB1-Normal11"/>
              <w:spacing w:line="276" w:lineRule="auto"/>
              <w:jc w:val="center"/>
              <w:rPr>
                <w:noProof/>
              </w:rPr>
            </w:pPr>
            <w:r>
              <w:rPr>
                <w:noProof/>
              </w:rPr>
              <w:t xml:space="preserve"> </w:t>
            </w:r>
          </w:p>
        </w:tc>
        <w:tc>
          <w:tcPr>
            <w:tcW w:w="963" w:type="dxa"/>
            <w:shd w:val="clear" w:color="auto" w:fill="C6EFCE"/>
            <w:noWrap/>
            <w:vAlign w:val="center"/>
          </w:tcPr>
          <w:p w14:paraId="68097279" w14:textId="77777777" w:rsidR="00154E32" w:rsidRDefault="00A43E04">
            <w:pPr>
              <w:pStyle w:val="P68B1DB1-Normal11"/>
              <w:spacing w:line="276" w:lineRule="auto"/>
              <w:jc w:val="center"/>
              <w:rPr>
                <w:noProof/>
              </w:rPr>
            </w:pPr>
            <w:r>
              <w:rPr>
                <w:noProof/>
              </w:rPr>
              <w:t>Q4</w:t>
            </w:r>
          </w:p>
        </w:tc>
        <w:tc>
          <w:tcPr>
            <w:tcW w:w="710" w:type="dxa"/>
            <w:shd w:val="clear" w:color="auto" w:fill="C6EFCE"/>
            <w:noWrap/>
            <w:vAlign w:val="center"/>
          </w:tcPr>
          <w:p w14:paraId="4D798710" w14:textId="77777777" w:rsidR="00154E32" w:rsidRDefault="00A43E04">
            <w:pPr>
              <w:pStyle w:val="P68B1DB1-Normal11"/>
              <w:spacing w:line="276" w:lineRule="auto"/>
              <w:rPr>
                <w:noProof/>
              </w:rPr>
            </w:pPr>
            <w:r>
              <w:rPr>
                <w:noProof/>
              </w:rPr>
              <w:t>2024</w:t>
            </w:r>
          </w:p>
        </w:tc>
        <w:tc>
          <w:tcPr>
            <w:tcW w:w="3174" w:type="dxa"/>
            <w:shd w:val="clear" w:color="auto" w:fill="C6EFCE"/>
            <w:noWrap/>
            <w:vAlign w:val="center"/>
          </w:tcPr>
          <w:p w14:paraId="4A3F5B5C" w14:textId="74905199" w:rsidR="00154E32" w:rsidRDefault="00A43E04">
            <w:pPr>
              <w:pStyle w:val="P68B1DB1-Normal12"/>
              <w:spacing w:line="276" w:lineRule="auto"/>
              <w:rPr>
                <w:rFonts w:ascii="Arial Narrow" w:hAnsi="Arial Narrow"/>
                <w:noProof/>
              </w:rPr>
            </w:pPr>
            <w:r>
              <w:rPr>
                <w:rFonts w:ascii="Arial Narrow" w:hAnsi="Arial Narrow"/>
                <w:noProof/>
              </w:rPr>
              <w:t>Italija prenese 1</w:t>
            </w:r>
            <w:r>
              <w:rPr>
                <w:noProof/>
              </w:rPr>
              <w:t xml:space="preserve"> </w:t>
            </w:r>
            <w:r>
              <w:rPr>
                <w:rFonts w:ascii="Arial Narrow" w:hAnsi="Arial Narrow"/>
                <w:noProof/>
              </w:rPr>
              <w:t>960</w:t>
            </w:r>
            <w:r>
              <w:rPr>
                <w:noProof/>
              </w:rPr>
              <w:t xml:space="preserve"> </w:t>
            </w:r>
            <w:r>
              <w:rPr>
                <w:rFonts w:ascii="Arial Narrow" w:hAnsi="Arial Narrow"/>
                <w:noProof/>
              </w:rPr>
              <w:t>000 000.00</w:t>
            </w:r>
            <w:r>
              <w:rPr>
                <w:noProof/>
              </w:rPr>
              <w:t xml:space="preserve"> </w:t>
            </w:r>
            <w:r>
              <w:rPr>
                <w:rFonts w:ascii="Arial Narrow" w:hAnsi="Arial Narrow"/>
                <w:noProof/>
              </w:rPr>
              <w:t xml:space="preserve">EUR na ISMEA za instrument. </w:t>
            </w:r>
          </w:p>
        </w:tc>
      </w:tr>
    </w:tbl>
    <w:p w14:paraId="4B850D53" w14:textId="77777777" w:rsidR="00154E32" w:rsidRDefault="00154E32">
      <w:pPr>
        <w:tabs>
          <w:tab w:val="left" w:pos="4252"/>
        </w:tabs>
        <w:rPr>
          <w:i/>
          <w:noProof/>
        </w:rPr>
      </w:pPr>
    </w:p>
    <w:p w14:paraId="4A5CFDE5" w14:textId="77777777" w:rsidR="00154E32" w:rsidRDefault="00154E32">
      <w:pPr>
        <w:tabs>
          <w:tab w:val="left" w:pos="4252"/>
        </w:tabs>
        <w:rPr>
          <w:i/>
          <w:noProof/>
        </w:rPr>
      </w:pPr>
    </w:p>
    <w:p w14:paraId="6C8524BD" w14:textId="77777777" w:rsidR="00154E32" w:rsidRDefault="00154E32">
      <w:pPr>
        <w:tabs>
          <w:tab w:val="left" w:pos="4252"/>
        </w:tabs>
        <w:rPr>
          <w:i/>
          <w:noProof/>
        </w:rPr>
        <w:sectPr w:rsidR="00154E32" w:rsidSect="001354D1">
          <w:headerReference w:type="even" r:id="rId110"/>
          <w:headerReference w:type="default" r:id="rId111"/>
          <w:footerReference w:type="even" r:id="rId112"/>
          <w:footerReference w:type="default" r:id="rId113"/>
          <w:headerReference w:type="first" r:id="rId114"/>
          <w:footerReference w:type="first" r:id="rId115"/>
          <w:pgSz w:w="16839" w:h="11907" w:orient="landscape"/>
          <w:pgMar w:top="1134" w:right="1134" w:bottom="1134" w:left="1134" w:header="567" w:footer="567" w:gutter="0"/>
          <w:cols w:space="720"/>
          <w:docGrid w:linePitch="360"/>
        </w:sectPr>
      </w:pPr>
    </w:p>
    <w:p w14:paraId="6E52E8D0" w14:textId="6F24A70E" w:rsidR="00154E32" w:rsidRDefault="00A43E04">
      <w:pPr>
        <w:pStyle w:val="Heading2"/>
        <w:numPr>
          <w:ilvl w:val="1"/>
          <w:numId w:val="0"/>
        </w:numPr>
        <w:ind w:left="850" w:hanging="850"/>
        <w:rPr>
          <w:noProof/>
        </w:rPr>
      </w:pPr>
      <w:r>
        <w:rPr>
          <w:noProof/>
        </w:rPr>
        <w:t>E. 2. KOMPONENTA 2 MISIJE: Energetski prehod in trajnostna mobilnost</w:t>
      </w:r>
    </w:p>
    <w:p w14:paraId="7DBA7064" w14:textId="05C86449" w:rsidR="00154E32" w:rsidRDefault="00A43E04">
      <w:pPr>
        <w:spacing w:before="120" w:after="120"/>
        <w:jc w:val="both"/>
        <w:rPr>
          <w:noProof/>
        </w:rPr>
      </w:pPr>
      <w:r>
        <w:rPr>
          <w:noProof/>
        </w:rPr>
        <w:t xml:space="preserve">Ta komponenta italijanskega načrta za okrevanje in odpornost zajema naložbe in reforme v energetskem prehodu. Vključuje reforme za lažje izdajanje dovoljenj za projekte obnovljivih virov energije. Sestavni del vsebuje naložbe v dobavno verigo obnovljivih virov energije, vodikovo energijo, obrate za biometan in pametna omrežja. Te reforme in naložbe dopolnjujejo reforme za povečanje konkurence na trgu električne energije v reformni komponenti „poslovnega okolja“. </w:t>
      </w:r>
    </w:p>
    <w:p w14:paraId="74769DD7" w14:textId="77777777" w:rsidR="00154E32" w:rsidRDefault="00A43E04">
      <w:pPr>
        <w:spacing w:before="120" w:after="120"/>
        <w:jc w:val="both"/>
        <w:rPr>
          <w:noProof/>
        </w:rPr>
      </w:pPr>
      <w:r>
        <w:rPr>
          <w:noProof/>
        </w:rPr>
        <w:t xml:space="preserve">Ta komponenta zajema tudi naložbe in reforme na področju trajnostne mobilnosti. Vključuje reforme za lažje izdajanje dovoljenj za projekte trajnostne mobilnosti. Komponenta vsebuje naložbe za izgradnjo kolesarskih poti in infrastrukture za hitri tranzit podzemne železnice, tramvaja/avtobusa ter nabavo brezemisijskih avtobusov, tirnih vozil, gasilskih in letaliških vozil. Te reforme in naložbe dopolnjujejo reforme za odpravo reguliranih cen za električno polnjenje in povečanje konkurence na področju koncesij za polnilne postaje, regionalnih železnic in lokalnega javnega prevoza v sklopu reforme poslovnega okolja. </w:t>
      </w:r>
    </w:p>
    <w:p w14:paraId="05924881" w14:textId="2416E309" w:rsidR="00154E32" w:rsidRDefault="00A43E04">
      <w:pPr>
        <w:spacing w:before="120" w:after="120"/>
        <w:jc w:val="both"/>
        <w:rPr>
          <w:noProof/>
        </w:rPr>
      </w:pPr>
      <w:r>
        <w:rPr>
          <w:noProof/>
        </w:rPr>
        <w:t>Naložbe in reforme v okviru te komponente prispevajo k obravnavanju priporočil za posamezne države, naslovljenih na Italijo v letih 2020 in 2019, v zvezi s potrebo po „usmerjenju naložb v zeleni in digitalni prehod, zlasti na [...] čisto in učinkovito proizvodnjo in uporabo energije [...] trajnostnega javnega prevoza“ (priporočilo št. 3 iz leta 2020) ter „usmerjeno ekonomsko politiko, povezano z naložbami, na [...] in kakovost infrastrukture, pri čemer se upoštevajo tudi regionalne razlike“ (priporočilo za državo št. 3 iz leta 2019).</w:t>
      </w:r>
    </w:p>
    <w:p w14:paraId="57F43908" w14:textId="77777777" w:rsidR="00154E32" w:rsidRDefault="00A43E04">
      <w:pPr>
        <w:spacing w:before="120" w:after="120" w:line="257" w:lineRule="auto"/>
        <w:jc w:val="both"/>
        <w:rPr>
          <w:rFonts w:eastAsiaTheme="minorHAnsi"/>
          <w:noProof/>
        </w:rPr>
      </w:pPr>
      <w:r>
        <w:rPr>
          <w:noProof/>
        </w:rPr>
        <w:t>Komponenta podpira smernice, izdane Italiji o izvajanju njenega nacionalnega energetskega in podnebnega načrta (SWD(2020) 911 final), v katerih je bila Italija pozvana, naj spodbuja, prenovi in obnovi obstoječe obrate za proizvodnjo energije iz obnovljivih virov, zlasti obstoječe vetrne elektrarne, ter razišče inovativno energijo na morju v Sredozemlju.</w:t>
      </w:r>
    </w:p>
    <w:p w14:paraId="4F3CBC46" w14:textId="77777777" w:rsidR="00154E32" w:rsidRDefault="00A43E04">
      <w:pPr>
        <w:spacing w:before="120" w:after="120"/>
        <w:jc w:val="both"/>
        <w:rPr>
          <w:noProof/>
        </w:rPr>
      </w:pPr>
      <w:r>
        <w:rPr>
          <w:noProof/>
        </w:rPr>
        <w:t xml:space="preserve">Glede na opis ukrepov in blažilne ukrepe, določene v načrtu za okrevanje in odpornost v skladu s tehničnimi smernicami za uporabo načela, da se ne škoduje bistveno (2021/C58/01), noben ukrep v tej komponenti naj ne bi bistveno škodoval okoljskim ciljem v smislu člena 17 Uredbe (EU) 2020/852.  </w:t>
      </w:r>
    </w:p>
    <w:p w14:paraId="680FB77F" w14:textId="77777777" w:rsidR="00154E32" w:rsidRDefault="00A43E04">
      <w:pPr>
        <w:pStyle w:val="Heading3"/>
        <w:numPr>
          <w:ilvl w:val="0"/>
          <w:numId w:val="0"/>
        </w:numPr>
        <w:ind w:left="850" w:hanging="850"/>
        <w:rPr>
          <w:b/>
          <w:i w:val="0"/>
          <w:noProof/>
          <w:color w:val="4F81BD" w:themeColor="accent1"/>
          <w:u w:val="single"/>
        </w:rPr>
      </w:pPr>
      <w:r>
        <w:rPr>
          <w:b/>
          <w:i w:val="0"/>
          <w:noProof/>
          <w:u w:val="single"/>
        </w:rPr>
        <w:t xml:space="preserve">E.1. </w:t>
      </w:r>
      <w:r>
        <w:rPr>
          <w:noProof/>
        </w:rPr>
        <w:tab/>
      </w:r>
      <w:r>
        <w:rPr>
          <w:b/>
          <w:i w:val="0"/>
          <w:noProof/>
          <w:u w:val="single"/>
        </w:rPr>
        <w:t>Opis reform in naložb za nepovratno finančno podporo</w:t>
      </w:r>
    </w:p>
    <w:p w14:paraId="3DFF7CD2" w14:textId="77777777" w:rsidR="00154E32" w:rsidRDefault="00A43E04">
      <w:pPr>
        <w:pStyle w:val="P68B1DB1-Normal2"/>
        <w:spacing w:before="120" w:after="120"/>
        <w:jc w:val="both"/>
        <w:rPr>
          <w:noProof/>
        </w:rPr>
      </w:pPr>
      <w:r>
        <w:rPr>
          <w:noProof/>
        </w:rPr>
        <w:t>Reforma 1 – Poenostavitev postopkov za izdajo dovoljenj za obrate za proizvodnjo energije iz obnovljivih virov na kopnem in na morju ter nov pravni okvir za ohranitev proizvodnje iz obnovljivih virov ter podaljšanje roka in upravičenosti sedanjih programov podpore</w:t>
      </w:r>
    </w:p>
    <w:p w14:paraId="0D645D88" w14:textId="77777777" w:rsidR="00154E32" w:rsidRDefault="00A43E04">
      <w:pPr>
        <w:spacing w:before="120" w:after="120"/>
        <w:jc w:val="both"/>
        <w:rPr>
          <w:noProof/>
        </w:rPr>
      </w:pPr>
      <w:r>
        <w:rPr>
          <w:noProof/>
        </w:rPr>
        <w:t>To reformo sestavljajo:</w:t>
      </w:r>
    </w:p>
    <w:p w14:paraId="5E64EAB1" w14:textId="77777777" w:rsidR="00154E32" w:rsidRDefault="00A43E04">
      <w:pPr>
        <w:numPr>
          <w:ilvl w:val="0"/>
          <w:numId w:val="66"/>
        </w:numPr>
        <w:spacing w:before="120" w:after="120" w:line="259" w:lineRule="auto"/>
        <w:ind w:left="360"/>
        <w:contextualSpacing/>
        <w:jc w:val="both"/>
        <w:rPr>
          <w:noProof/>
        </w:rPr>
      </w:pPr>
      <w:r>
        <w:rPr>
          <w:noProof/>
        </w:rPr>
        <w:t>Začetek veljavnosti regulativnega okvira za obrate obnovljivih virov energije ter nadomestitev stare zmogljivosti z novo in prenovo obstoječih obratov;</w:t>
      </w:r>
    </w:p>
    <w:p w14:paraId="608C82A8" w14:textId="77777777" w:rsidR="00154E32" w:rsidRDefault="00A43E04">
      <w:pPr>
        <w:numPr>
          <w:ilvl w:val="0"/>
          <w:numId w:val="66"/>
        </w:numPr>
        <w:spacing w:before="120" w:after="120" w:line="259" w:lineRule="auto"/>
        <w:ind w:left="360"/>
        <w:contextualSpacing/>
        <w:jc w:val="both"/>
        <w:rPr>
          <w:noProof/>
        </w:rPr>
      </w:pPr>
      <w:r>
        <w:rPr>
          <w:noProof/>
        </w:rPr>
        <w:t>Začetek veljavnosti regulativnega okvira, ki opredeljuje merila za določitev območij, primernih in neprimernih za postavitev obratov za proizvodnjo energije iz obnovljivih virov s skupno močjo nad 50 GW, v skladu z italijanskim nacionalnim energetsko-podnebnim načrtom in cilji zelenega dogovora; o regulativnem okviru se dogovorijo regije in druge zadevne državne uprave.</w:t>
      </w:r>
    </w:p>
    <w:p w14:paraId="097D58A0" w14:textId="77777777" w:rsidR="00154E32" w:rsidRDefault="00A43E04">
      <w:pPr>
        <w:numPr>
          <w:ilvl w:val="0"/>
          <w:numId w:val="66"/>
        </w:numPr>
        <w:spacing w:before="120" w:after="120" w:line="259" w:lineRule="auto"/>
        <w:ind w:left="360"/>
        <w:contextualSpacing/>
        <w:jc w:val="both"/>
        <w:rPr>
          <w:noProof/>
        </w:rPr>
      </w:pPr>
      <w:r>
        <w:rPr>
          <w:noProof/>
        </w:rPr>
        <w:t>Dokončanje podpornega mehanizma za obnovljive vire energije tudi za dodatne nezrele tehnologije ali tehnologije z visokimi operativnimi stroški in podaljšanje obdobja dražbe za tako imenovani mehanizem OVE1 (tudi zaradi upočasnjevanja, ki ga je povzročilo obdobje izrednih zdravstvenih razmer), ob hkratnem ohranjanju načel konkurenčnega dostopa;</w:t>
      </w:r>
    </w:p>
    <w:p w14:paraId="28BDB3B0" w14:textId="77777777" w:rsidR="00154E32" w:rsidRDefault="00A43E04">
      <w:pPr>
        <w:numPr>
          <w:ilvl w:val="0"/>
          <w:numId w:val="66"/>
        </w:numPr>
        <w:spacing w:before="120" w:after="120" w:line="259" w:lineRule="auto"/>
        <w:ind w:left="360"/>
        <w:contextualSpacing/>
        <w:jc w:val="both"/>
        <w:rPr>
          <w:noProof/>
        </w:rPr>
      </w:pPr>
      <w:r>
        <w:rPr>
          <w:noProof/>
        </w:rPr>
        <w:t>Začetek veljavnosti določb spodbuja naložbe v skladiščne sisteme v uredbi o prenosu Direktive (EU) 2019/944 o skupnih pravilih notranjega trga z električno energijo.</w:t>
      </w:r>
    </w:p>
    <w:p w14:paraId="10A33E4F" w14:textId="77777777" w:rsidR="00154E32" w:rsidRDefault="00A43E04">
      <w:pPr>
        <w:pStyle w:val="P68B1DB1-Normal2"/>
        <w:spacing w:before="120" w:after="120"/>
        <w:jc w:val="both"/>
        <w:rPr>
          <w:noProof/>
        </w:rPr>
      </w:pPr>
      <w:r>
        <w:rPr>
          <w:noProof/>
        </w:rPr>
        <w:t>Reforma 2 – Nova zakonodaja za spodbujanje proizvodnje in porabe obnovljivega plina</w:t>
      </w:r>
    </w:p>
    <w:p w14:paraId="619A083B" w14:textId="77777777" w:rsidR="00154E32" w:rsidRDefault="00A43E04">
      <w:pPr>
        <w:spacing w:before="120" w:after="120"/>
        <w:jc w:val="both"/>
        <w:rPr>
          <w:noProof/>
        </w:rPr>
      </w:pPr>
      <w:r>
        <w:rPr>
          <w:noProof/>
        </w:rPr>
        <w:t>Ta reforma vključuje okrepitev podpore za čisti biometan s sprejetjem zakonodaje za povečanje obsega projektov na področju biometana, upravičenih do podpore, in podaljšanje obdobja za razpoložljivost nepovratnih sredstev. Biometan izpolnjuje merila iz Direktive (EU) 2018/2001 o energiji iz obnovljivih virov (REDII), da se omogoči, da je ukrep skladen z načelom, da se ne škoduje bistveno, in ustreznimi zahtevami iz opombe 8 Priloge VI k Uredbi (EU) 2021/241.</w:t>
      </w:r>
    </w:p>
    <w:p w14:paraId="6D3AADBA" w14:textId="77777777" w:rsidR="00154E32" w:rsidRDefault="00A43E04">
      <w:pPr>
        <w:pStyle w:val="P68B1DB1-Normal2"/>
        <w:spacing w:before="120" w:after="120"/>
        <w:jc w:val="both"/>
        <w:rPr>
          <w:noProof/>
        </w:rPr>
      </w:pPr>
      <w:r>
        <w:rPr>
          <w:noProof/>
        </w:rPr>
        <w:t>Reforma 3 – Upravna poenostavitev in zmanjšanje regulativnih ovir za uvedbo vodika</w:t>
      </w:r>
    </w:p>
    <w:p w14:paraId="7F27A0CB" w14:textId="77777777" w:rsidR="00154E32" w:rsidRDefault="00A43E04">
      <w:pPr>
        <w:spacing w:before="120" w:after="120"/>
        <w:jc w:val="both"/>
        <w:rPr>
          <w:noProof/>
        </w:rPr>
      </w:pPr>
      <w:r>
        <w:rPr>
          <w:noProof/>
        </w:rPr>
        <w:t>Ta reforma vključuje začetek veljavnosti zakonodajnega okvira za spodbujanje vodika kot obnovljivega vira energije. Ta zakonodajni okvir vsebuje:</w:t>
      </w:r>
    </w:p>
    <w:p w14:paraId="2E507F10" w14:textId="77777777" w:rsidR="00154E32" w:rsidRDefault="00A43E04">
      <w:pPr>
        <w:numPr>
          <w:ilvl w:val="0"/>
          <w:numId w:val="66"/>
        </w:numPr>
        <w:spacing w:before="120" w:after="120" w:line="259" w:lineRule="auto"/>
        <w:ind w:left="360"/>
        <w:contextualSpacing/>
        <w:jc w:val="both"/>
        <w:rPr>
          <w:noProof/>
        </w:rPr>
      </w:pPr>
      <w:r>
        <w:rPr>
          <w:noProof/>
        </w:rPr>
        <w:t>Tehnični varnostni predpisi za proizvodnjo, prenos (tehnična in regulativna merila za vnos vodika v omrežje zemeljskega plina), skladiščenje in uporabo vodika;</w:t>
      </w:r>
    </w:p>
    <w:p w14:paraId="61275144" w14:textId="03FDACD9" w:rsidR="00154E32" w:rsidRDefault="00A43E04">
      <w:pPr>
        <w:numPr>
          <w:ilvl w:val="0"/>
          <w:numId w:val="66"/>
        </w:numPr>
        <w:spacing w:before="120" w:after="120" w:line="259" w:lineRule="auto"/>
        <w:ind w:left="360"/>
        <w:contextualSpacing/>
        <w:jc w:val="both"/>
        <w:rPr>
          <w:noProof/>
        </w:rPr>
      </w:pPr>
      <w:r>
        <w:rPr>
          <w:noProof/>
        </w:rPr>
        <w:t xml:space="preserve">Hitri postopek za izdajo dovoljenj s postopkom „vse na enem mestu“ za pridobitev dovoljenja za gradnjo in upravljanje manjšega obrata za proizvodnjo vodika (za obrate z elektrolizatorji z močjo manj kot 1–5 MW; mejna vrednost skladiščenja se določi v zgoraj navedenih tehničnih varnostnih predpisih za vodik).  </w:t>
      </w:r>
    </w:p>
    <w:p w14:paraId="3C659058" w14:textId="77777777" w:rsidR="00154E32" w:rsidRDefault="00A43E04">
      <w:pPr>
        <w:numPr>
          <w:ilvl w:val="0"/>
          <w:numId w:val="66"/>
        </w:numPr>
        <w:spacing w:before="120" w:after="120" w:line="259" w:lineRule="auto"/>
        <w:ind w:left="360"/>
        <w:contextualSpacing/>
        <w:jc w:val="both"/>
        <w:rPr>
          <w:noProof/>
        </w:rPr>
      </w:pPr>
      <w:r>
        <w:rPr>
          <w:noProof/>
        </w:rPr>
        <w:t>Ureditev sodelovanja obratov za proizvodnjo vodika v omrežnih storitvah. Energetski regulator (ARERA) je zadolžen, da po posvetovanju z zainteresiranimi stranmi izda poseben regulativni ukrep.</w:t>
      </w:r>
    </w:p>
    <w:p w14:paraId="1F5F565D" w14:textId="77777777" w:rsidR="00154E32" w:rsidRDefault="00A43E04">
      <w:pPr>
        <w:numPr>
          <w:ilvl w:val="0"/>
          <w:numId w:val="66"/>
        </w:numPr>
        <w:spacing w:before="120" w:after="120" w:line="259" w:lineRule="auto"/>
        <w:ind w:left="360"/>
        <w:contextualSpacing/>
        <w:jc w:val="both"/>
        <w:rPr>
          <w:noProof/>
        </w:rPr>
      </w:pPr>
      <w:r>
        <w:rPr>
          <w:noProof/>
        </w:rPr>
        <w:t>Sistem potrdil o izvoru obnovljivega vodika, da se potrošnikom zagotovijo cenovni signali.</w:t>
      </w:r>
    </w:p>
    <w:p w14:paraId="2780F1D2" w14:textId="10BDFCD5" w:rsidR="00154E32" w:rsidRDefault="00A43E04">
      <w:pPr>
        <w:numPr>
          <w:ilvl w:val="0"/>
          <w:numId w:val="66"/>
        </w:numPr>
        <w:spacing w:before="120" w:after="120" w:line="259" w:lineRule="auto"/>
        <w:ind w:left="360"/>
        <w:contextualSpacing/>
        <w:jc w:val="both"/>
        <w:rPr>
          <w:noProof/>
        </w:rPr>
      </w:pPr>
      <w:r>
        <w:rPr>
          <w:noProof/>
        </w:rPr>
        <w:t xml:space="preserve">Postopki in/ali merila za opredelitev izbranih oskrbovalnih mest vzdolž avtocest za optimizacijo lokacije oskrbovalnih postaj za vzpostavitev koridorjev H2 za tovornjake, začenši s severnoitalijanskimi regijami do Padske doline in logističnih vozlišč ter glavnih avtocest vzdolž polotoka. </w:t>
      </w:r>
    </w:p>
    <w:p w14:paraId="18C9DC6F" w14:textId="77777777" w:rsidR="00154E32" w:rsidRDefault="00A43E04">
      <w:pPr>
        <w:numPr>
          <w:ilvl w:val="0"/>
          <w:numId w:val="66"/>
        </w:numPr>
        <w:spacing w:before="120" w:after="120" w:line="259" w:lineRule="auto"/>
        <w:ind w:left="360"/>
        <w:contextualSpacing/>
        <w:jc w:val="both"/>
        <w:rPr>
          <w:noProof/>
        </w:rPr>
      </w:pPr>
      <w:r>
        <w:rPr>
          <w:noProof/>
        </w:rPr>
        <w:t>Usklajevanje desetletnega razvojnega načrta nacionalnega operaterja prenosnega sistema z načrti drugih evropskih operaterjev prenosnih omrežij, katerega cilj je razvoj skupnih standardov za prenos vodika po obstoječih plinovodih ali namenskih plinovodih.</w:t>
      </w:r>
    </w:p>
    <w:p w14:paraId="131A4B52" w14:textId="77777777" w:rsidR="00154E32" w:rsidRDefault="00A43E04">
      <w:pPr>
        <w:pStyle w:val="P68B1DB1-Normal2"/>
        <w:spacing w:before="120" w:after="120"/>
        <w:jc w:val="both"/>
        <w:rPr>
          <w:noProof/>
        </w:rPr>
      </w:pPr>
      <w:r>
        <w:rPr>
          <w:noProof/>
        </w:rPr>
        <w:t>Reforma 4 – Ukrepi za spodbujanje konkurenčnosti vodika</w:t>
      </w:r>
    </w:p>
    <w:p w14:paraId="72C836B8" w14:textId="77777777" w:rsidR="00154E32" w:rsidRDefault="00A43E04">
      <w:pPr>
        <w:spacing w:before="120" w:after="120"/>
        <w:jc w:val="both"/>
        <w:rPr>
          <w:noProof/>
        </w:rPr>
      </w:pPr>
      <w:r>
        <w:rPr>
          <w:noProof/>
        </w:rPr>
        <w:t>Ta reforma vključuje sprejetje davčnih ukrepov za spodbujanje proizvodnje in/ali uporabe vodika v skladu s pravili EU o obdavčitvi in prenos direktive RED II. Ta ukrep podpira proizvodnjo vodika na podlagi elektrolize z uporabo obnovljivih virov energije, kot so opredeljeni v Direktivi (EU) 2018/2001 (direktiva o obnovljivih virih), ali električne energije iz omrežja.</w:t>
      </w:r>
    </w:p>
    <w:p w14:paraId="05E817F3" w14:textId="77777777" w:rsidR="00154E32" w:rsidRDefault="00A43E04">
      <w:pPr>
        <w:spacing w:after="200" w:line="276" w:lineRule="auto"/>
        <w:rPr>
          <w:b/>
          <w:noProof/>
        </w:rPr>
      </w:pPr>
      <w:r>
        <w:rPr>
          <w:noProof/>
        </w:rPr>
        <w:br w:type="page"/>
      </w:r>
      <w:r>
        <w:rPr>
          <w:b/>
          <w:noProof/>
        </w:rPr>
        <w:t>Reforma 5 – pametnejši postopki za ocenjevanje projektov v sektorju sistemov lokalnega javnega prevoza s fiksnimi napravami in v sektorju hitrega množičnega prometa</w:t>
      </w:r>
    </w:p>
    <w:p w14:paraId="33EB765B" w14:textId="77777777" w:rsidR="00154E32" w:rsidRDefault="00A43E04">
      <w:pPr>
        <w:spacing w:before="120" w:after="120"/>
        <w:jc w:val="both"/>
        <w:rPr>
          <w:noProof/>
        </w:rPr>
      </w:pPr>
      <w:r>
        <w:rPr>
          <w:noProof/>
        </w:rPr>
        <w:t xml:space="preserve">Ta reforma vključuje sprejetje zakonodaje, ki jasno določa odgovornosti pri odobritvi projektov lokalnega javnega prevoza, in poenostavitev plačilnega postopka. </w:t>
      </w:r>
    </w:p>
    <w:p w14:paraId="559BB5DD" w14:textId="77777777" w:rsidR="00154E32" w:rsidRDefault="00A43E04">
      <w:pPr>
        <w:pStyle w:val="P68B1DB1-Normal2"/>
        <w:spacing w:before="120" w:after="120"/>
        <w:jc w:val="both"/>
        <w:rPr>
          <w:noProof/>
        </w:rPr>
      </w:pPr>
      <w:r>
        <w:rPr>
          <w:noProof/>
        </w:rPr>
        <w:t>Naložba 4.1 – Naložbe v mehko mobilnost (nacionalni načrt kolesarske poti)</w:t>
      </w:r>
    </w:p>
    <w:p w14:paraId="519CBDFE" w14:textId="05EE7EEF" w:rsidR="00154E32" w:rsidRDefault="00A43E04">
      <w:pPr>
        <w:spacing w:before="120" w:after="120"/>
        <w:jc w:val="both"/>
        <w:rPr>
          <w:noProof/>
        </w:rPr>
      </w:pPr>
      <w:r>
        <w:rPr>
          <w:noProof/>
        </w:rPr>
        <w:t>Ta naložba zajema gradnjo vsaj 565 km kolesarskih stez na metropolitanskih območjih in najmanj 746 km turističnih kolesarskih poti. Metropolitanske kolesarske poti se razvijejo na vsaj 40 metropolitanskih območjih ali mestih, ki gostijo univerze</w:t>
      </w:r>
      <w:r>
        <w:rPr>
          <w:rStyle w:val="FootnoteReference"/>
          <w:noProof/>
        </w:rPr>
        <w:footnoteReference w:id="48"/>
      </w:r>
      <w:r>
        <w:rPr>
          <w:noProof/>
        </w:rPr>
        <w:t>. Kolesarske steze olajšujejo prevoz na delo v prvem in zadnjem delu poti – povezujejo lokacije na metropolitanskih območjih z bližnjimi železniškimi vlaki ali vozlišči podzemne železnice ali univerze z bližnjimi železnicami ali vozlišči podzemne železnice. Upravičene turistične kolesarske poti so opredeljene v zakonu št. 208 z dne 28. decembra 2015.</w:t>
      </w:r>
    </w:p>
    <w:p w14:paraId="2DCEDA99" w14:textId="77777777" w:rsidR="00154E32" w:rsidRDefault="00A43E04">
      <w:pPr>
        <w:pStyle w:val="P68B1DB1-Normal2"/>
        <w:spacing w:before="120" w:after="120"/>
        <w:jc w:val="both"/>
        <w:rPr>
          <w:noProof/>
        </w:rPr>
      </w:pPr>
      <w:r>
        <w:rPr>
          <w:noProof/>
        </w:rPr>
        <w:t>Naložba 4.3 – Vgradnja infrastrukture za polnjenje</w:t>
      </w:r>
    </w:p>
    <w:p w14:paraId="73A4FDFD" w14:textId="77777777" w:rsidR="00154E32" w:rsidRDefault="00A43E04">
      <w:pPr>
        <w:spacing w:before="120" w:after="120"/>
        <w:jc w:val="both"/>
        <w:rPr>
          <w:noProof/>
        </w:rPr>
      </w:pPr>
      <w:r>
        <w:rPr>
          <w:noProof/>
        </w:rPr>
        <w:t>Ta naložba zajema podporo razvoju:</w:t>
      </w:r>
    </w:p>
    <w:p w14:paraId="1BB0CE05" w14:textId="4D6E5829" w:rsidR="00154E32" w:rsidRDefault="00A43E04">
      <w:pPr>
        <w:numPr>
          <w:ilvl w:val="0"/>
          <w:numId w:val="69"/>
        </w:numPr>
        <w:spacing w:before="120" w:after="120" w:line="259" w:lineRule="auto"/>
        <w:ind w:left="360"/>
        <w:contextualSpacing/>
        <w:jc w:val="both"/>
        <w:rPr>
          <w:noProof/>
        </w:rPr>
      </w:pPr>
      <w:r>
        <w:rPr>
          <w:noProof/>
        </w:rPr>
        <w:t>7500 javnih polnilnih infrastrukturnih postaj na prostem;</w:t>
      </w:r>
    </w:p>
    <w:p w14:paraId="68DC5A13" w14:textId="2F72240B" w:rsidR="00154E32" w:rsidRDefault="00A43E04">
      <w:pPr>
        <w:numPr>
          <w:ilvl w:val="0"/>
          <w:numId w:val="69"/>
        </w:numPr>
        <w:spacing w:before="120" w:after="120" w:line="259" w:lineRule="auto"/>
        <w:ind w:left="360"/>
        <w:contextualSpacing/>
        <w:jc w:val="both"/>
        <w:rPr>
          <w:noProof/>
        </w:rPr>
      </w:pPr>
      <w:r>
        <w:rPr>
          <w:noProof/>
        </w:rPr>
        <w:t>13755</w:t>
      </w:r>
      <w:r>
        <w:rPr>
          <w:noProof/>
          <w:color w:val="006100"/>
          <w:sz w:val="20"/>
        </w:rPr>
        <w:t xml:space="preserve"> </w:t>
      </w:r>
      <w:r>
        <w:rPr>
          <w:noProof/>
        </w:rPr>
        <w:t>javnih hitrih polnilnih infrastrukturnih mest v mestnih središčih;</w:t>
      </w:r>
    </w:p>
    <w:p w14:paraId="687876F2" w14:textId="77777777" w:rsidR="00154E32" w:rsidRDefault="00A43E04">
      <w:pPr>
        <w:numPr>
          <w:ilvl w:val="0"/>
          <w:numId w:val="69"/>
        </w:numPr>
        <w:spacing w:before="120" w:after="120" w:line="259" w:lineRule="auto"/>
        <w:ind w:left="360"/>
        <w:contextualSpacing/>
        <w:jc w:val="both"/>
        <w:rPr>
          <w:noProof/>
        </w:rPr>
      </w:pPr>
      <w:r>
        <w:rPr>
          <w:noProof/>
        </w:rPr>
        <w:t>100 eksperimentalnih polnilnih postaj, povezanih s skladiščenjem.</w:t>
      </w:r>
    </w:p>
    <w:p w14:paraId="70781F44" w14:textId="77777777" w:rsidR="00154E32" w:rsidRDefault="00A43E04">
      <w:pPr>
        <w:spacing w:before="120" w:after="120"/>
        <w:jc w:val="both"/>
        <w:rPr>
          <w:noProof/>
        </w:rPr>
      </w:pPr>
      <w:r>
        <w:rPr>
          <w:noProof/>
        </w:rPr>
        <w:t>Te naložbe dopolnjujejo reforme cen električnega polnjenja in koncesij, navedenih v komponenti reforme poslovnega okolja.</w:t>
      </w:r>
    </w:p>
    <w:p w14:paraId="7B5A3BD6" w14:textId="09ABCBD3" w:rsidR="00154E32" w:rsidRDefault="00154E32">
      <w:pPr>
        <w:rPr>
          <w:noProof/>
        </w:rPr>
      </w:pPr>
    </w:p>
    <w:p w14:paraId="4FB68A76" w14:textId="77777777" w:rsidR="00154E32" w:rsidRDefault="00A43E04">
      <w:pPr>
        <w:pStyle w:val="Heading3"/>
        <w:numPr>
          <w:ilvl w:val="0"/>
          <w:numId w:val="0"/>
        </w:numPr>
        <w:ind w:left="850" w:hanging="850"/>
        <w:rPr>
          <w:b/>
          <w:i w:val="0"/>
          <w:noProof/>
          <w:u w:val="single"/>
        </w:rPr>
      </w:pPr>
      <w:r>
        <w:rPr>
          <w:b/>
          <w:i w:val="0"/>
          <w:noProof/>
          <w:u w:val="single"/>
        </w:rPr>
        <w:t xml:space="preserve">E.2. </w:t>
      </w:r>
      <w:r>
        <w:rPr>
          <w:noProof/>
        </w:rPr>
        <w:tab/>
      </w:r>
      <w:r>
        <w:rPr>
          <w:b/>
          <w:i w:val="0"/>
          <w:noProof/>
          <w:u w:val="single"/>
        </w:rPr>
        <w:t>Mejniki, cilji, kazalniki in časovni razpored za spremljanje in izvajanje nepovratne finančne podpore Naslednje;</w:t>
      </w:r>
    </w:p>
    <w:p w14:paraId="28EAA550" w14:textId="77777777" w:rsidR="00154E32" w:rsidRDefault="00154E32">
      <w:pPr>
        <w:spacing w:before="120" w:after="120"/>
        <w:ind w:left="709"/>
        <w:jc w:val="both"/>
        <w:rPr>
          <w:noProof/>
        </w:rPr>
        <w:sectPr w:rsidR="00154E32">
          <w:headerReference w:type="even" r:id="rId116"/>
          <w:headerReference w:type="default" r:id="rId117"/>
          <w:footerReference w:type="even" r:id="rId118"/>
          <w:footerReference w:type="default" r:id="rId119"/>
          <w:headerReference w:type="first" r:id="rId120"/>
          <w:footerReference w:type="first" r:id="rId121"/>
          <w:pgSz w:w="11907" w:h="16839"/>
          <w:pgMar w:top="1440" w:right="1440" w:bottom="1440" w:left="1440" w:header="567" w:footer="567" w:gutter="0"/>
          <w:cols w:space="720"/>
          <w:docGrid w:linePitch="360"/>
        </w:sectPr>
      </w:pPr>
    </w:p>
    <w:tbl>
      <w:tblPr>
        <w:tblW w:w="15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1716"/>
        <w:gridCol w:w="1131"/>
        <w:gridCol w:w="1418"/>
        <w:gridCol w:w="1277"/>
        <w:gridCol w:w="1415"/>
        <w:gridCol w:w="709"/>
        <w:gridCol w:w="1418"/>
        <w:gridCol w:w="993"/>
        <w:gridCol w:w="709"/>
        <w:gridCol w:w="3854"/>
      </w:tblGrid>
      <w:tr w:rsidR="00154E32" w14:paraId="130BB1AE" w14:textId="77777777">
        <w:trPr>
          <w:trHeight w:val="309"/>
          <w:tblHeader/>
          <w:jc w:val="center"/>
        </w:trPr>
        <w:tc>
          <w:tcPr>
            <w:tcW w:w="975" w:type="dxa"/>
            <w:vMerge w:val="restart"/>
            <w:shd w:val="clear" w:color="auto" w:fill="C6D9F1" w:themeFill="text2" w:themeFillTint="33"/>
            <w:noWrap/>
            <w:vAlign w:val="center"/>
          </w:tcPr>
          <w:p w14:paraId="14E9BC0D" w14:textId="06CD487D" w:rsidR="00154E32" w:rsidRDefault="00A43E04">
            <w:pPr>
              <w:pStyle w:val="P68B1DB1-Normal9"/>
              <w:spacing w:line="276" w:lineRule="auto"/>
              <w:jc w:val="center"/>
              <w:rPr>
                <w:noProof/>
                <w:color w:val="006100"/>
              </w:rPr>
            </w:pPr>
            <w:r>
              <w:rPr>
                <w:noProof/>
              </w:rPr>
              <w:t>Zaporedna številka</w:t>
            </w:r>
          </w:p>
        </w:tc>
        <w:tc>
          <w:tcPr>
            <w:tcW w:w="1716" w:type="dxa"/>
            <w:vMerge w:val="restart"/>
            <w:shd w:val="clear" w:color="auto" w:fill="C6D9F1" w:themeFill="text2" w:themeFillTint="33"/>
            <w:noWrap/>
            <w:vAlign w:val="center"/>
          </w:tcPr>
          <w:p w14:paraId="65E008C0" w14:textId="5B95454C" w:rsidR="00154E32" w:rsidRDefault="00A43E04">
            <w:pPr>
              <w:pStyle w:val="P68B1DB1-Normal9"/>
              <w:spacing w:line="276" w:lineRule="auto"/>
              <w:jc w:val="center"/>
              <w:rPr>
                <w:noProof/>
                <w:color w:val="006100"/>
              </w:rPr>
            </w:pPr>
            <w:r>
              <w:rPr>
                <w:noProof/>
              </w:rPr>
              <w:t>Povezani ukrep (reforma ali naložba)</w:t>
            </w:r>
          </w:p>
        </w:tc>
        <w:tc>
          <w:tcPr>
            <w:tcW w:w="1131" w:type="dxa"/>
            <w:vMerge w:val="restart"/>
            <w:shd w:val="clear" w:color="auto" w:fill="C6D9F1" w:themeFill="text2" w:themeFillTint="33"/>
            <w:noWrap/>
            <w:vAlign w:val="center"/>
          </w:tcPr>
          <w:p w14:paraId="5EBC9945" w14:textId="089054F9" w:rsidR="00154E32" w:rsidRDefault="00A43E04">
            <w:pPr>
              <w:pStyle w:val="P68B1DB1-Normal9"/>
              <w:spacing w:line="276" w:lineRule="auto"/>
              <w:jc w:val="center"/>
              <w:rPr>
                <w:noProof/>
                <w:color w:val="006100"/>
              </w:rPr>
            </w:pPr>
            <w:r>
              <w:rPr>
                <w:noProof/>
              </w:rPr>
              <w:t>Mejnik/cilj</w:t>
            </w:r>
          </w:p>
        </w:tc>
        <w:tc>
          <w:tcPr>
            <w:tcW w:w="1418" w:type="dxa"/>
            <w:vMerge w:val="restart"/>
            <w:shd w:val="clear" w:color="auto" w:fill="C6D9F1" w:themeFill="text2" w:themeFillTint="33"/>
            <w:noWrap/>
            <w:vAlign w:val="center"/>
          </w:tcPr>
          <w:p w14:paraId="0450DF03" w14:textId="24187833" w:rsidR="00154E32" w:rsidRDefault="00A43E04">
            <w:pPr>
              <w:pStyle w:val="P68B1DB1-Normal9"/>
              <w:spacing w:line="276" w:lineRule="auto"/>
              <w:jc w:val="center"/>
              <w:rPr>
                <w:noProof/>
                <w:color w:val="006100"/>
              </w:rPr>
            </w:pPr>
            <w:r>
              <w:rPr>
                <w:noProof/>
              </w:rPr>
              <w:t>Ime</w:t>
            </w:r>
          </w:p>
        </w:tc>
        <w:tc>
          <w:tcPr>
            <w:tcW w:w="1277" w:type="dxa"/>
            <w:vMerge w:val="restart"/>
            <w:shd w:val="clear" w:color="auto" w:fill="C6D9F1" w:themeFill="text2" w:themeFillTint="33"/>
            <w:noWrap/>
            <w:vAlign w:val="center"/>
          </w:tcPr>
          <w:p w14:paraId="2D881BA1" w14:textId="67BD3E2B" w:rsidR="00154E32" w:rsidRDefault="00A43E04">
            <w:pPr>
              <w:pStyle w:val="P68B1DB1-Normal10"/>
              <w:spacing w:line="276" w:lineRule="auto"/>
              <w:jc w:val="center"/>
              <w:rPr>
                <w:noProof/>
                <w:color w:val="006100"/>
                <w:sz w:val="20"/>
              </w:rPr>
            </w:pPr>
            <w:r>
              <w:rPr>
                <w:b/>
                <w:noProof/>
                <w:sz w:val="20"/>
              </w:rPr>
              <w:t>Kakovostni kazalniki</w:t>
            </w:r>
            <w:r>
              <w:rPr>
                <w:noProof/>
              </w:rPr>
              <w:t xml:space="preserve"> </w:t>
            </w:r>
            <w:r>
              <w:rPr>
                <w:noProof/>
              </w:rPr>
              <w:br/>
            </w:r>
            <w:r>
              <w:rPr>
                <w:b/>
                <w:noProof/>
                <w:sz w:val="20"/>
              </w:rPr>
              <w:t>(za mejnike)</w:t>
            </w:r>
          </w:p>
        </w:tc>
        <w:tc>
          <w:tcPr>
            <w:tcW w:w="3542" w:type="dxa"/>
            <w:gridSpan w:val="3"/>
            <w:shd w:val="clear" w:color="auto" w:fill="C6D9F1" w:themeFill="text2" w:themeFillTint="33"/>
            <w:noWrap/>
            <w:vAlign w:val="center"/>
          </w:tcPr>
          <w:p w14:paraId="43600DB8" w14:textId="1BE2C025" w:rsidR="00154E32" w:rsidRDefault="00A43E04">
            <w:pPr>
              <w:pStyle w:val="P68B1DB1-Normal10"/>
              <w:spacing w:line="276" w:lineRule="auto"/>
              <w:jc w:val="center"/>
              <w:rPr>
                <w:noProof/>
                <w:color w:val="006100"/>
                <w:sz w:val="20"/>
              </w:rPr>
            </w:pPr>
            <w:r>
              <w:rPr>
                <w:b/>
                <w:noProof/>
                <w:sz w:val="20"/>
              </w:rPr>
              <w:t>Kvantitativni kazalniki</w:t>
            </w:r>
            <w:r>
              <w:rPr>
                <w:noProof/>
              </w:rPr>
              <w:t xml:space="preserve"> </w:t>
            </w:r>
            <w:r>
              <w:rPr>
                <w:noProof/>
              </w:rPr>
              <w:br/>
            </w:r>
            <w:r>
              <w:rPr>
                <w:b/>
                <w:noProof/>
                <w:sz w:val="20"/>
              </w:rPr>
              <w:t>(za ciljne vrednosti)</w:t>
            </w:r>
          </w:p>
        </w:tc>
        <w:tc>
          <w:tcPr>
            <w:tcW w:w="1702" w:type="dxa"/>
            <w:gridSpan w:val="2"/>
            <w:shd w:val="clear" w:color="auto" w:fill="C6D9F1" w:themeFill="text2" w:themeFillTint="33"/>
            <w:noWrap/>
            <w:vAlign w:val="center"/>
          </w:tcPr>
          <w:p w14:paraId="7A324FA4" w14:textId="66F70BD2" w:rsidR="00154E32" w:rsidRDefault="00A43E04">
            <w:pPr>
              <w:pStyle w:val="P68B1DB1-Normal9"/>
              <w:spacing w:line="276" w:lineRule="auto"/>
              <w:jc w:val="center"/>
              <w:rPr>
                <w:noProof/>
                <w:color w:val="006100"/>
              </w:rPr>
            </w:pPr>
            <w:r>
              <w:rPr>
                <w:noProof/>
              </w:rPr>
              <w:t>Okvirni časovni razpored za dokončanje</w:t>
            </w:r>
          </w:p>
        </w:tc>
        <w:tc>
          <w:tcPr>
            <w:tcW w:w="3854" w:type="dxa"/>
            <w:vMerge w:val="restart"/>
            <w:shd w:val="clear" w:color="auto" w:fill="C6D9F1" w:themeFill="text2" w:themeFillTint="33"/>
            <w:noWrap/>
            <w:vAlign w:val="center"/>
          </w:tcPr>
          <w:p w14:paraId="77264AAC" w14:textId="790DE21C" w:rsidR="00154E32" w:rsidRDefault="00A43E04">
            <w:pPr>
              <w:pStyle w:val="P68B1DB1-Normal9"/>
              <w:spacing w:after="120"/>
              <w:rPr>
                <w:noProof/>
                <w:color w:val="006100"/>
              </w:rPr>
            </w:pPr>
            <w:r>
              <w:rPr>
                <w:noProof/>
              </w:rPr>
              <w:t>Opis vsakega mejnika in cilja</w:t>
            </w:r>
          </w:p>
        </w:tc>
      </w:tr>
      <w:tr w:rsidR="00154E32" w14:paraId="7AE028E8" w14:textId="77777777">
        <w:trPr>
          <w:trHeight w:val="309"/>
          <w:tblHeader/>
          <w:jc w:val="center"/>
        </w:trPr>
        <w:tc>
          <w:tcPr>
            <w:tcW w:w="975" w:type="dxa"/>
            <w:vMerge/>
            <w:noWrap/>
            <w:vAlign w:val="center"/>
          </w:tcPr>
          <w:p w14:paraId="3F322593" w14:textId="77777777" w:rsidR="00154E32" w:rsidRDefault="00154E32">
            <w:pPr>
              <w:spacing w:line="276" w:lineRule="auto"/>
              <w:jc w:val="center"/>
              <w:rPr>
                <w:rFonts w:ascii="Arial Narrow" w:hAnsi="Arial Narrow"/>
                <w:noProof/>
                <w:color w:val="006100"/>
                <w:sz w:val="20"/>
              </w:rPr>
            </w:pPr>
          </w:p>
        </w:tc>
        <w:tc>
          <w:tcPr>
            <w:tcW w:w="1716" w:type="dxa"/>
            <w:vMerge/>
            <w:noWrap/>
            <w:vAlign w:val="center"/>
          </w:tcPr>
          <w:p w14:paraId="01D83CE4" w14:textId="77777777" w:rsidR="00154E32" w:rsidRDefault="00154E32">
            <w:pPr>
              <w:spacing w:line="276" w:lineRule="auto"/>
              <w:jc w:val="center"/>
              <w:rPr>
                <w:rFonts w:ascii="Arial Narrow" w:hAnsi="Arial Narrow"/>
                <w:noProof/>
                <w:color w:val="006100"/>
                <w:sz w:val="20"/>
              </w:rPr>
            </w:pPr>
          </w:p>
        </w:tc>
        <w:tc>
          <w:tcPr>
            <w:tcW w:w="1131" w:type="dxa"/>
            <w:vMerge/>
            <w:noWrap/>
            <w:vAlign w:val="center"/>
          </w:tcPr>
          <w:p w14:paraId="5FA4AB0D" w14:textId="77777777" w:rsidR="00154E32" w:rsidRDefault="00154E32">
            <w:pPr>
              <w:spacing w:line="276" w:lineRule="auto"/>
              <w:jc w:val="center"/>
              <w:rPr>
                <w:rFonts w:ascii="Arial Narrow" w:hAnsi="Arial Narrow"/>
                <w:noProof/>
                <w:color w:val="006100"/>
                <w:sz w:val="20"/>
              </w:rPr>
            </w:pPr>
          </w:p>
        </w:tc>
        <w:tc>
          <w:tcPr>
            <w:tcW w:w="1418" w:type="dxa"/>
            <w:vMerge/>
            <w:noWrap/>
            <w:vAlign w:val="center"/>
          </w:tcPr>
          <w:p w14:paraId="4B4302B7" w14:textId="77777777" w:rsidR="00154E32" w:rsidRDefault="00154E32">
            <w:pPr>
              <w:spacing w:line="276" w:lineRule="auto"/>
              <w:jc w:val="center"/>
              <w:rPr>
                <w:rFonts w:ascii="Arial Narrow" w:hAnsi="Arial Narrow"/>
                <w:noProof/>
                <w:color w:val="006100"/>
                <w:sz w:val="20"/>
              </w:rPr>
            </w:pPr>
          </w:p>
        </w:tc>
        <w:tc>
          <w:tcPr>
            <w:tcW w:w="1277" w:type="dxa"/>
            <w:vMerge/>
            <w:noWrap/>
            <w:vAlign w:val="center"/>
          </w:tcPr>
          <w:p w14:paraId="64CC1406" w14:textId="77777777" w:rsidR="00154E32" w:rsidRDefault="00154E32">
            <w:pPr>
              <w:spacing w:line="276" w:lineRule="auto"/>
              <w:jc w:val="center"/>
              <w:rPr>
                <w:rFonts w:ascii="Arial Narrow" w:hAnsi="Arial Narrow"/>
                <w:noProof/>
                <w:color w:val="006100"/>
                <w:sz w:val="20"/>
              </w:rPr>
            </w:pPr>
          </w:p>
        </w:tc>
        <w:tc>
          <w:tcPr>
            <w:tcW w:w="1415" w:type="dxa"/>
            <w:shd w:val="clear" w:color="auto" w:fill="C6D9F1" w:themeFill="text2" w:themeFillTint="33"/>
            <w:noWrap/>
            <w:vAlign w:val="center"/>
          </w:tcPr>
          <w:p w14:paraId="04291974" w14:textId="3E99CDA9" w:rsidR="00154E32" w:rsidRDefault="00A43E04">
            <w:pPr>
              <w:pStyle w:val="P68B1DB1-Normal9"/>
              <w:spacing w:line="276" w:lineRule="auto"/>
              <w:jc w:val="center"/>
              <w:rPr>
                <w:noProof/>
                <w:color w:val="006100"/>
              </w:rPr>
            </w:pPr>
            <w:r>
              <w:rPr>
                <w:noProof/>
              </w:rPr>
              <w:t>Merska enota</w:t>
            </w:r>
          </w:p>
        </w:tc>
        <w:tc>
          <w:tcPr>
            <w:tcW w:w="709" w:type="dxa"/>
            <w:shd w:val="clear" w:color="auto" w:fill="C6D9F1" w:themeFill="text2" w:themeFillTint="33"/>
            <w:noWrap/>
            <w:vAlign w:val="center"/>
          </w:tcPr>
          <w:p w14:paraId="37C22080" w14:textId="4FF67D39" w:rsidR="00154E32" w:rsidRDefault="00A43E04">
            <w:pPr>
              <w:pStyle w:val="P68B1DB1-Normal9"/>
              <w:spacing w:line="276" w:lineRule="auto"/>
              <w:jc w:val="center"/>
              <w:rPr>
                <w:noProof/>
                <w:color w:val="006100"/>
              </w:rPr>
            </w:pPr>
            <w:r>
              <w:rPr>
                <w:noProof/>
              </w:rPr>
              <w:t>Osnovna črta</w:t>
            </w:r>
          </w:p>
        </w:tc>
        <w:tc>
          <w:tcPr>
            <w:tcW w:w="1418" w:type="dxa"/>
            <w:shd w:val="clear" w:color="auto" w:fill="C6D9F1" w:themeFill="text2" w:themeFillTint="33"/>
            <w:noWrap/>
            <w:vAlign w:val="center"/>
          </w:tcPr>
          <w:p w14:paraId="2D65B288" w14:textId="45C63F9C" w:rsidR="00154E32" w:rsidRDefault="00A43E04">
            <w:pPr>
              <w:pStyle w:val="P68B1DB1-Normal9"/>
              <w:spacing w:line="276" w:lineRule="auto"/>
              <w:jc w:val="center"/>
              <w:rPr>
                <w:noProof/>
                <w:color w:val="006100"/>
              </w:rPr>
            </w:pPr>
            <w:r>
              <w:rPr>
                <w:noProof/>
              </w:rPr>
              <w:t>Cilj</w:t>
            </w:r>
          </w:p>
        </w:tc>
        <w:tc>
          <w:tcPr>
            <w:tcW w:w="993" w:type="dxa"/>
            <w:shd w:val="clear" w:color="auto" w:fill="C6D9F1" w:themeFill="text2" w:themeFillTint="33"/>
            <w:noWrap/>
            <w:vAlign w:val="center"/>
          </w:tcPr>
          <w:p w14:paraId="317ED1B1" w14:textId="42976C0A" w:rsidR="00154E32" w:rsidRDefault="00A43E04">
            <w:pPr>
              <w:pStyle w:val="P68B1DB1-Normal9"/>
              <w:spacing w:line="276" w:lineRule="auto"/>
              <w:jc w:val="center"/>
              <w:rPr>
                <w:noProof/>
                <w:color w:val="006100"/>
              </w:rPr>
            </w:pPr>
            <w:r>
              <w:rPr>
                <w:noProof/>
              </w:rPr>
              <w:t>Četrtletje</w:t>
            </w:r>
          </w:p>
        </w:tc>
        <w:tc>
          <w:tcPr>
            <w:tcW w:w="709" w:type="dxa"/>
            <w:shd w:val="clear" w:color="auto" w:fill="C6D9F1" w:themeFill="text2" w:themeFillTint="33"/>
            <w:noWrap/>
            <w:vAlign w:val="center"/>
          </w:tcPr>
          <w:p w14:paraId="693F354F" w14:textId="46188C2E" w:rsidR="00154E32" w:rsidRDefault="00A43E04">
            <w:pPr>
              <w:pStyle w:val="P68B1DB1-Normal9"/>
              <w:spacing w:line="276" w:lineRule="auto"/>
              <w:jc w:val="center"/>
              <w:rPr>
                <w:noProof/>
                <w:color w:val="006100"/>
              </w:rPr>
            </w:pPr>
            <w:r>
              <w:rPr>
                <w:noProof/>
              </w:rPr>
              <w:t>Leto</w:t>
            </w:r>
          </w:p>
        </w:tc>
        <w:tc>
          <w:tcPr>
            <w:tcW w:w="3854" w:type="dxa"/>
            <w:vMerge/>
            <w:noWrap/>
            <w:vAlign w:val="center"/>
          </w:tcPr>
          <w:p w14:paraId="38ED18E0" w14:textId="77777777" w:rsidR="00154E32" w:rsidRDefault="00154E32">
            <w:pPr>
              <w:spacing w:after="120"/>
              <w:rPr>
                <w:rFonts w:ascii="Arial Narrow" w:hAnsi="Arial Narrow"/>
                <w:noProof/>
                <w:color w:val="006100"/>
                <w:sz w:val="20"/>
              </w:rPr>
            </w:pPr>
          </w:p>
        </w:tc>
      </w:tr>
      <w:tr w:rsidR="00154E32" w14:paraId="115C53BA" w14:textId="77777777">
        <w:trPr>
          <w:trHeight w:val="309"/>
          <w:jc w:val="center"/>
        </w:trPr>
        <w:tc>
          <w:tcPr>
            <w:tcW w:w="975" w:type="dxa"/>
            <w:shd w:val="clear" w:color="auto" w:fill="C6EFCE"/>
            <w:noWrap/>
            <w:vAlign w:val="center"/>
          </w:tcPr>
          <w:p w14:paraId="7745102E" w14:textId="77777777" w:rsidR="00154E32" w:rsidRDefault="00A43E04">
            <w:pPr>
              <w:pStyle w:val="P68B1DB1-Normal11"/>
              <w:spacing w:line="276" w:lineRule="auto"/>
              <w:jc w:val="center"/>
              <w:rPr>
                <w:noProof/>
              </w:rPr>
            </w:pPr>
            <w:r>
              <w:rPr>
                <w:noProof/>
              </w:rPr>
              <w:t>M2C2–6</w:t>
            </w:r>
          </w:p>
        </w:tc>
        <w:tc>
          <w:tcPr>
            <w:tcW w:w="1716" w:type="dxa"/>
            <w:shd w:val="clear" w:color="auto" w:fill="C6EFCE"/>
            <w:noWrap/>
            <w:vAlign w:val="center"/>
          </w:tcPr>
          <w:p w14:paraId="2F8AB896" w14:textId="77777777" w:rsidR="00154E32" w:rsidRDefault="00A43E04">
            <w:pPr>
              <w:pStyle w:val="P68B1DB1-Normal11"/>
              <w:spacing w:line="276" w:lineRule="auto"/>
              <w:jc w:val="center"/>
              <w:rPr>
                <w:noProof/>
              </w:rPr>
            </w:pPr>
            <w:r>
              <w:rPr>
                <w:noProof/>
              </w:rPr>
              <w:t>Reforma 1 Poenostavitev postopkov za izdajo dovoljenj za obrate za proizvodnjo energije iz obnovljivih virov na kopnem in na morju ter nov pravni okvir za ohranitev proizvodnje iz obnovljivih virov ter podaljšanje roka in upravičenosti sedanjih programov podpore</w:t>
            </w:r>
          </w:p>
        </w:tc>
        <w:tc>
          <w:tcPr>
            <w:tcW w:w="1131" w:type="dxa"/>
            <w:shd w:val="clear" w:color="auto" w:fill="C6EFCE"/>
            <w:noWrap/>
            <w:vAlign w:val="center"/>
          </w:tcPr>
          <w:p w14:paraId="77D82057" w14:textId="77777777" w:rsidR="00154E32" w:rsidRDefault="00A43E04">
            <w:pPr>
              <w:pStyle w:val="P68B1DB1-Normal11"/>
              <w:spacing w:line="276" w:lineRule="auto"/>
              <w:jc w:val="center"/>
              <w:rPr>
                <w:noProof/>
              </w:rPr>
            </w:pPr>
            <w:r>
              <w:rPr>
                <w:noProof/>
              </w:rPr>
              <w:t>Mejnik</w:t>
            </w:r>
          </w:p>
        </w:tc>
        <w:tc>
          <w:tcPr>
            <w:tcW w:w="1418" w:type="dxa"/>
            <w:shd w:val="clear" w:color="auto" w:fill="C6EFCE"/>
            <w:noWrap/>
            <w:vAlign w:val="center"/>
          </w:tcPr>
          <w:p w14:paraId="395D9F3E" w14:textId="77777777" w:rsidR="00154E32" w:rsidRDefault="00A43E04">
            <w:pPr>
              <w:pStyle w:val="P68B1DB1-Normal11"/>
              <w:spacing w:line="276" w:lineRule="auto"/>
              <w:jc w:val="center"/>
              <w:rPr>
                <w:noProof/>
              </w:rPr>
            </w:pPr>
            <w:r>
              <w:rPr>
                <w:noProof/>
              </w:rPr>
              <w:t>Začetek veljavnosti pravnega okvira za poenostavitev postopkov za izdajo dovoljenj za gradnjo objektov za energijo iz obnovljivih virov na kopnem in na morju</w:t>
            </w:r>
          </w:p>
        </w:tc>
        <w:tc>
          <w:tcPr>
            <w:tcW w:w="1277" w:type="dxa"/>
            <w:shd w:val="clear" w:color="auto" w:fill="C6EFCE"/>
            <w:noWrap/>
            <w:vAlign w:val="center"/>
          </w:tcPr>
          <w:p w14:paraId="57B2EE41" w14:textId="77777777" w:rsidR="00154E32" w:rsidRDefault="00A43E04">
            <w:pPr>
              <w:pStyle w:val="P68B1DB1-Normal11"/>
              <w:spacing w:line="276" w:lineRule="auto"/>
              <w:jc w:val="center"/>
              <w:rPr>
                <w:noProof/>
              </w:rPr>
            </w:pPr>
            <w:r>
              <w:rPr>
                <w:noProof/>
              </w:rPr>
              <w:t>Določba zakona o začetku veljavnosti zakona</w:t>
            </w:r>
          </w:p>
        </w:tc>
        <w:tc>
          <w:tcPr>
            <w:tcW w:w="1415" w:type="dxa"/>
            <w:shd w:val="clear" w:color="auto" w:fill="C6EFCE"/>
            <w:noWrap/>
            <w:vAlign w:val="center"/>
          </w:tcPr>
          <w:p w14:paraId="066B2090" w14:textId="77777777" w:rsidR="00154E32" w:rsidRDefault="00A43E04">
            <w:pPr>
              <w:pStyle w:val="P68B1DB1-Normal11"/>
              <w:spacing w:line="276" w:lineRule="auto"/>
              <w:jc w:val="center"/>
              <w:rPr>
                <w:noProof/>
              </w:rPr>
            </w:pPr>
            <w:r>
              <w:rPr>
                <w:noProof/>
              </w:rPr>
              <w:t>JIH NI</w:t>
            </w:r>
          </w:p>
        </w:tc>
        <w:tc>
          <w:tcPr>
            <w:tcW w:w="709" w:type="dxa"/>
            <w:shd w:val="clear" w:color="auto" w:fill="C6EFCE"/>
            <w:noWrap/>
            <w:vAlign w:val="center"/>
          </w:tcPr>
          <w:p w14:paraId="56CCEBD5" w14:textId="77777777" w:rsidR="00154E32" w:rsidRDefault="00A43E04">
            <w:pPr>
              <w:pStyle w:val="P68B1DB1-Normal11"/>
              <w:spacing w:line="276" w:lineRule="auto"/>
              <w:jc w:val="center"/>
              <w:rPr>
                <w:noProof/>
              </w:rPr>
            </w:pPr>
            <w:r>
              <w:rPr>
                <w:noProof/>
              </w:rPr>
              <w:t>JIH NI</w:t>
            </w:r>
          </w:p>
        </w:tc>
        <w:tc>
          <w:tcPr>
            <w:tcW w:w="1418" w:type="dxa"/>
            <w:shd w:val="clear" w:color="auto" w:fill="C6EFCE"/>
            <w:noWrap/>
            <w:vAlign w:val="center"/>
          </w:tcPr>
          <w:p w14:paraId="0E803B13"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68670292" w14:textId="77777777" w:rsidR="00154E32" w:rsidRDefault="00A43E04">
            <w:pPr>
              <w:pStyle w:val="P68B1DB1-Normal11"/>
              <w:spacing w:line="276" w:lineRule="auto"/>
              <w:jc w:val="center"/>
              <w:rPr>
                <w:noProof/>
              </w:rPr>
            </w:pPr>
            <w:r>
              <w:rPr>
                <w:noProof/>
              </w:rPr>
              <w:t>ČETRTLETJE 1</w:t>
            </w:r>
          </w:p>
        </w:tc>
        <w:tc>
          <w:tcPr>
            <w:tcW w:w="709" w:type="dxa"/>
            <w:shd w:val="clear" w:color="auto" w:fill="C6EFCE"/>
            <w:noWrap/>
            <w:vAlign w:val="center"/>
          </w:tcPr>
          <w:p w14:paraId="52DA7D7E" w14:textId="77777777" w:rsidR="00154E32" w:rsidRDefault="00A43E04">
            <w:pPr>
              <w:pStyle w:val="P68B1DB1-Normal11"/>
              <w:spacing w:line="276" w:lineRule="auto"/>
              <w:jc w:val="center"/>
              <w:rPr>
                <w:noProof/>
              </w:rPr>
            </w:pPr>
            <w:r>
              <w:rPr>
                <w:noProof/>
              </w:rPr>
              <w:t>2024</w:t>
            </w:r>
          </w:p>
        </w:tc>
        <w:tc>
          <w:tcPr>
            <w:tcW w:w="3854" w:type="dxa"/>
            <w:shd w:val="clear" w:color="auto" w:fill="C6EFCE"/>
            <w:noWrap/>
            <w:vAlign w:val="center"/>
          </w:tcPr>
          <w:p w14:paraId="230D3E8A" w14:textId="77777777" w:rsidR="00154E32" w:rsidRDefault="00A43E04">
            <w:pPr>
              <w:pStyle w:val="P68B1DB1-Normal11"/>
              <w:spacing w:after="120"/>
              <w:rPr>
                <w:noProof/>
              </w:rPr>
            </w:pPr>
            <w:r>
              <w:rPr>
                <w:noProof/>
              </w:rPr>
              <w:t>Pravni okvir vključuje naslednje cilje:</w:t>
            </w:r>
          </w:p>
          <w:p w14:paraId="4E24FFF6" w14:textId="77777777" w:rsidR="00154E32" w:rsidRDefault="00A43E04">
            <w:pPr>
              <w:pStyle w:val="P68B1DB1-Normal11"/>
              <w:numPr>
                <w:ilvl w:val="0"/>
                <w:numId w:val="65"/>
              </w:numPr>
              <w:pBdr>
                <w:top w:val="nil"/>
                <w:left w:val="nil"/>
                <w:bottom w:val="nil"/>
                <w:right w:val="nil"/>
                <w:between w:val="nil"/>
              </w:pBdr>
              <w:spacing w:after="120"/>
              <w:rPr>
                <w:noProof/>
              </w:rPr>
            </w:pPr>
            <w:r>
              <w:rPr>
                <w:noProof/>
              </w:rPr>
              <w:t>oblikovanje poenostavljenega in dostopnega regulativnega okvira za obrate za obnovljive vire energije ter nadomestitev stare zmogljivosti z novo in prenovo obstoječih obratov v skladu z določbami uredbe o poenostavitvi;</w:t>
            </w:r>
          </w:p>
          <w:p w14:paraId="7C7C534F" w14:textId="77777777" w:rsidR="00154E32" w:rsidRDefault="00A43E04">
            <w:pPr>
              <w:pStyle w:val="P68B1DB1-Normal11"/>
              <w:numPr>
                <w:ilvl w:val="0"/>
                <w:numId w:val="65"/>
              </w:numPr>
              <w:pBdr>
                <w:top w:val="nil"/>
                <w:left w:val="nil"/>
                <w:bottom w:val="nil"/>
                <w:right w:val="nil"/>
                <w:between w:val="nil"/>
              </w:pBdr>
              <w:spacing w:after="120"/>
              <w:rPr>
                <w:noProof/>
              </w:rPr>
            </w:pPr>
            <w:r>
              <w:rPr>
                <w:noProof/>
              </w:rPr>
              <w:t>uzakonitev discipline, skupne regijam in drugim zadevnim državnim upravam, katere cilj je opredeliti merila za določitev območij, ki so primerna in niso primerna za postavitev obratov za proizvodnjo energije iz obnovljivih virov s skupno močjo, ki je vsaj enaka tisti, ki jo je opredelil PNIEC, za doseganje ciljev razvoja obnovljivih virov;</w:t>
            </w:r>
          </w:p>
          <w:p w14:paraId="489500D3" w14:textId="77777777" w:rsidR="00154E32" w:rsidRDefault="00A43E04">
            <w:pPr>
              <w:pStyle w:val="P68B1DB1-Normal11"/>
              <w:numPr>
                <w:ilvl w:val="0"/>
                <w:numId w:val="65"/>
              </w:numPr>
              <w:pBdr>
                <w:top w:val="nil"/>
                <w:left w:val="nil"/>
                <w:bottom w:val="nil"/>
                <w:right w:val="nil"/>
                <w:between w:val="nil"/>
              </w:pBdr>
              <w:spacing w:after="120"/>
              <w:rPr>
                <w:noProof/>
              </w:rPr>
            </w:pPr>
            <w:r>
              <w:rPr>
                <w:noProof/>
              </w:rPr>
              <w:t>dokončanje podpornega mehanizma za obnovljive vire energije tudi za dodatne tehnologije, ki niso zrele ali imajo visoke operativne stroške, in podaljšanje obdobja dražbe za tako imenovani mehanizem RES1;</w:t>
            </w:r>
          </w:p>
          <w:p w14:paraId="174D73B3" w14:textId="77777777" w:rsidR="00154E32" w:rsidRDefault="00A43E04">
            <w:pPr>
              <w:pStyle w:val="P68B1DB1-Normal11"/>
              <w:numPr>
                <w:ilvl w:val="0"/>
                <w:numId w:val="65"/>
              </w:numPr>
              <w:pBdr>
                <w:top w:val="nil"/>
                <w:left w:val="nil"/>
                <w:bottom w:val="nil"/>
                <w:right w:val="nil"/>
                <w:between w:val="nil"/>
              </w:pBdr>
              <w:spacing w:after="120"/>
              <w:rPr>
                <w:noProof/>
              </w:rPr>
            </w:pPr>
            <w:r>
              <w:rPr>
                <w:noProof/>
              </w:rPr>
              <w:t>reforma za spodbujanje naložb v sisteme skladiščenja, ki se odraža v zakonodajnem odloku o prenosu Direktive (EU) 2019/944 o skupnih pravilih notranjega trga z električno energijo.</w:t>
            </w:r>
          </w:p>
        </w:tc>
      </w:tr>
      <w:tr w:rsidR="00154E32" w14:paraId="1BFB3C14" w14:textId="77777777">
        <w:trPr>
          <w:trHeight w:val="309"/>
          <w:jc w:val="center"/>
        </w:trPr>
        <w:tc>
          <w:tcPr>
            <w:tcW w:w="975" w:type="dxa"/>
            <w:shd w:val="clear" w:color="auto" w:fill="C6EFCE"/>
            <w:noWrap/>
            <w:vAlign w:val="center"/>
          </w:tcPr>
          <w:p w14:paraId="1E04B4CE" w14:textId="77777777" w:rsidR="00154E32" w:rsidRDefault="00A43E04">
            <w:pPr>
              <w:pStyle w:val="P68B1DB1-Normal11"/>
              <w:spacing w:line="276" w:lineRule="auto"/>
              <w:jc w:val="center"/>
              <w:rPr>
                <w:noProof/>
              </w:rPr>
            </w:pPr>
            <w:r>
              <w:rPr>
                <w:noProof/>
              </w:rPr>
              <w:t>M2C2–7</w:t>
            </w:r>
          </w:p>
        </w:tc>
        <w:tc>
          <w:tcPr>
            <w:tcW w:w="1716" w:type="dxa"/>
            <w:shd w:val="clear" w:color="auto" w:fill="C6EFCE"/>
            <w:noWrap/>
            <w:vAlign w:val="center"/>
          </w:tcPr>
          <w:p w14:paraId="3598F916" w14:textId="77777777" w:rsidR="00154E32" w:rsidRDefault="00A43E04">
            <w:pPr>
              <w:pStyle w:val="P68B1DB1-Normal11"/>
              <w:spacing w:line="276" w:lineRule="auto"/>
              <w:jc w:val="center"/>
              <w:rPr>
                <w:noProof/>
              </w:rPr>
            </w:pPr>
            <w:r>
              <w:rPr>
                <w:noProof/>
              </w:rPr>
              <w:t>Reforma 2 Nova zakonodaja za spodbujanje proizvodnje in porabe obnovljivega plina</w:t>
            </w:r>
          </w:p>
        </w:tc>
        <w:tc>
          <w:tcPr>
            <w:tcW w:w="1131" w:type="dxa"/>
            <w:shd w:val="clear" w:color="auto" w:fill="C6EFCE"/>
            <w:noWrap/>
            <w:vAlign w:val="center"/>
          </w:tcPr>
          <w:p w14:paraId="489887F3" w14:textId="77777777" w:rsidR="00154E32" w:rsidRDefault="00A43E04">
            <w:pPr>
              <w:pStyle w:val="P68B1DB1-Normal11"/>
              <w:spacing w:line="276" w:lineRule="auto"/>
              <w:jc w:val="center"/>
              <w:rPr>
                <w:noProof/>
              </w:rPr>
            </w:pPr>
            <w:r>
              <w:rPr>
                <w:noProof/>
              </w:rPr>
              <w:t>Mejnik</w:t>
            </w:r>
          </w:p>
        </w:tc>
        <w:tc>
          <w:tcPr>
            <w:tcW w:w="1418" w:type="dxa"/>
            <w:shd w:val="clear" w:color="auto" w:fill="C6EFCE"/>
            <w:noWrap/>
            <w:vAlign w:val="center"/>
          </w:tcPr>
          <w:p w14:paraId="1EA44FA5" w14:textId="77777777" w:rsidR="00154E32" w:rsidRDefault="00A43E04">
            <w:pPr>
              <w:pStyle w:val="P68B1DB1-Normal11"/>
              <w:spacing w:line="276" w:lineRule="auto"/>
              <w:jc w:val="center"/>
              <w:rPr>
                <w:noProof/>
              </w:rPr>
            </w:pPr>
            <w:r>
              <w:rPr>
                <w:noProof/>
              </w:rPr>
              <w:t>Začetek veljavnosti zakonske uredbe za spodbujanje uporabe obnovljivega plina za uporabo biometana v prometnem, industrijskem in stanovanjskem sektorju ter izvedbene uredbe, ki določa pogoje in merila v zvezi z njegovo uporabo in novim sistemom spodbud.</w:t>
            </w:r>
          </w:p>
        </w:tc>
        <w:tc>
          <w:tcPr>
            <w:tcW w:w="1277" w:type="dxa"/>
            <w:shd w:val="clear" w:color="auto" w:fill="C6EFCE"/>
            <w:noWrap/>
            <w:vAlign w:val="center"/>
          </w:tcPr>
          <w:p w14:paraId="209022AB" w14:textId="77777777" w:rsidR="00154E32" w:rsidRDefault="00A43E04">
            <w:pPr>
              <w:pStyle w:val="P68B1DB1-Normal11"/>
              <w:spacing w:line="276" w:lineRule="auto"/>
              <w:jc w:val="center"/>
              <w:rPr>
                <w:noProof/>
              </w:rPr>
            </w:pPr>
            <w:r>
              <w:rPr>
                <w:noProof/>
              </w:rPr>
              <w:t xml:space="preserve">Določba zakona o začetku veljavnosti zakona </w:t>
            </w:r>
          </w:p>
        </w:tc>
        <w:tc>
          <w:tcPr>
            <w:tcW w:w="1415" w:type="dxa"/>
            <w:shd w:val="clear" w:color="auto" w:fill="C6EFCE"/>
            <w:noWrap/>
            <w:vAlign w:val="center"/>
          </w:tcPr>
          <w:p w14:paraId="548EB6AA" w14:textId="77777777" w:rsidR="00154E32" w:rsidRDefault="00A43E04">
            <w:pPr>
              <w:pStyle w:val="P68B1DB1-Normal11"/>
              <w:spacing w:line="276" w:lineRule="auto"/>
              <w:jc w:val="center"/>
              <w:rPr>
                <w:noProof/>
              </w:rPr>
            </w:pPr>
            <w:r>
              <w:rPr>
                <w:noProof/>
              </w:rPr>
              <w:t xml:space="preserve">JIH NI </w:t>
            </w:r>
          </w:p>
        </w:tc>
        <w:tc>
          <w:tcPr>
            <w:tcW w:w="709" w:type="dxa"/>
            <w:shd w:val="clear" w:color="auto" w:fill="C6EFCE"/>
            <w:noWrap/>
            <w:vAlign w:val="center"/>
          </w:tcPr>
          <w:p w14:paraId="0202689C" w14:textId="77777777" w:rsidR="00154E32" w:rsidRDefault="00A43E04">
            <w:pPr>
              <w:pStyle w:val="P68B1DB1-Normal11"/>
              <w:spacing w:line="276" w:lineRule="auto"/>
              <w:jc w:val="center"/>
              <w:rPr>
                <w:noProof/>
              </w:rPr>
            </w:pPr>
            <w:r>
              <w:rPr>
                <w:noProof/>
              </w:rPr>
              <w:t>JIH NI</w:t>
            </w:r>
          </w:p>
        </w:tc>
        <w:tc>
          <w:tcPr>
            <w:tcW w:w="1418" w:type="dxa"/>
            <w:shd w:val="clear" w:color="auto" w:fill="C6EFCE"/>
            <w:noWrap/>
            <w:vAlign w:val="center"/>
          </w:tcPr>
          <w:p w14:paraId="3173DBC6"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44C31020" w14:textId="77777777" w:rsidR="00154E32" w:rsidRDefault="00A43E04">
            <w:pPr>
              <w:pStyle w:val="P68B1DB1-Normal11"/>
              <w:spacing w:line="276" w:lineRule="auto"/>
              <w:jc w:val="center"/>
              <w:rPr>
                <w:noProof/>
              </w:rPr>
            </w:pPr>
            <w:r>
              <w:rPr>
                <w:noProof/>
              </w:rPr>
              <w:t>Q4</w:t>
            </w:r>
          </w:p>
        </w:tc>
        <w:tc>
          <w:tcPr>
            <w:tcW w:w="709" w:type="dxa"/>
            <w:shd w:val="clear" w:color="auto" w:fill="C6EFCE"/>
            <w:noWrap/>
            <w:vAlign w:val="center"/>
          </w:tcPr>
          <w:p w14:paraId="0A4E7A43" w14:textId="77777777" w:rsidR="00154E32" w:rsidRDefault="00A43E04">
            <w:pPr>
              <w:pStyle w:val="P68B1DB1-Normal11"/>
              <w:spacing w:line="276" w:lineRule="auto"/>
              <w:jc w:val="center"/>
              <w:rPr>
                <w:noProof/>
              </w:rPr>
            </w:pPr>
            <w:r>
              <w:rPr>
                <w:noProof/>
              </w:rPr>
              <w:t>2021</w:t>
            </w:r>
          </w:p>
        </w:tc>
        <w:tc>
          <w:tcPr>
            <w:tcW w:w="3854" w:type="dxa"/>
            <w:shd w:val="clear" w:color="auto" w:fill="C6EFCE"/>
            <w:noWrap/>
            <w:vAlign w:val="center"/>
          </w:tcPr>
          <w:p w14:paraId="7FB51F9F" w14:textId="77777777" w:rsidR="00154E32" w:rsidRDefault="00A43E04">
            <w:pPr>
              <w:pStyle w:val="P68B1DB1-Normal11"/>
              <w:spacing w:after="120"/>
              <w:rPr>
                <w:noProof/>
              </w:rPr>
            </w:pPr>
            <w:r>
              <w:rPr>
                <w:noProof/>
              </w:rPr>
              <w:t>Zakonska uredba vsebuje zlasti:</w:t>
            </w:r>
          </w:p>
          <w:p w14:paraId="628B1B4F" w14:textId="77777777" w:rsidR="00154E32" w:rsidRDefault="00A43E04">
            <w:pPr>
              <w:pStyle w:val="P68B1DB1-Normal11"/>
              <w:spacing w:after="120"/>
              <w:rPr>
                <w:noProof/>
              </w:rPr>
            </w:pPr>
            <w:r>
              <w:rPr>
                <w:noProof/>
              </w:rPr>
              <w:t>1-zakonodajna sprememba za poenostavljen postopek odobritve in sprememba sedanjega mehanizma za nepovratna sredstva, da se (i) razširi obseg upravičenosti in (ii) podaljša obdobje razpoložljivosti nepovratnih sredstev ter (iii) predvidita mehanizem napajanja v tarifnem mehanizmu in potrdilo o izvoru za obnovljivi plin</w:t>
            </w:r>
          </w:p>
          <w:p w14:paraId="0DA38BFB" w14:textId="77777777" w:rsidR="00154E32" w:rsidRDefault="00A43E04">
            <w:pPr>
              <w:pStyle w:val="P68B1DB1-Normal11"/>
              <w:spacing w:after="120"/>
              <w:rPr>
                <w:noProof/>
              </w:rPr>
            </w:pPr>
            <w:r>
              <w:rPr>
                <w:noProof/>
              </w:rPr>
              <w:t xml:space="preserve">2 – Prenos direktive o energiji iz obnovljivih virov z zakonsko uredbo </w:t>
            </w:r>
          </w:p>
          <w:p w14:paraId="563DCD56" w14:textId="77777777" w:rsidR="00154E32" w:rsidRDefault="00A43E04">
            <w:pPr>
              <w:pStyle w:val="P68B1DB1-Normal11"/>
              <w:spacing w:after="120"/>
              <w:rPr>
                <w:noProof/>
              </w:rPr>
            </w:pPr>
            <w:r>
              <w:rPr>
                <w:noProof/>
              </w:rPr>
              <w:t>Splošno usklajevanje bi izvajalo Ministero della Transizione Ecologica (MiTE) ob podpori drugih uprav s svetovalnimi nalogami: Ministrstvo za kmetijstvo (MIPAAF), Ministrstvo za gospodarstvo in finance (MEF) in Gestore Servizi Energetici.</w:t>
            </w:r>
          </w:p>
        </w:tc>
      </w:tr>
      <w:tr w:rsidR="00154E32" w14:paraId="39919253" w14:textId="77777777">
        <w:trPr>
          <w:trHeight w:val="309"/>
          <w:jc w:val="center"/>
        </w:trPr>
        <w:tc>
          <w:tcPr>
            <w:tcW w:w="975" w:type="dxa"/>
            <w:shd w:val="clear" w:color="auto" w:fill="C6EFCE"/>
            <w:noWrap/>
            <w:vAlign w:val="center"/>
          </w:tcPr>
          <w:p w14:paraId="103C8AF5" w14:textId="77777777" w:rsidR="00154E32" w:rsidRDefault="00A43E04">
            <w:pPr>
              <w:pStyle w:val="P68B1DB1-Normal11"/>
              <w:spacing w:line="276" w:lineRule="auto"/>
              <w:jc w:val="center"/>
              <w:rPr>
                <w:noProof/>
              </w:rPr>
            </w:pPr>
            <w:r>
              <w:rPr>
                <w:noProof/>
              </w:rPr>
              <w:t>M2C2–8</w:t>
            </w:r>
          </w:p>
        </w:tc>
        <w:tc>
          <w:tcPr>
            <w:tcW w:w="1716" w:type="dxa"/>
            <w:shd w:val="clear" w:color="auto" w:fill="C6EFCE"/>
            <w:noWrap/>
            <w:vAlign w:val="center"/>
          </w:tcPr>
          <w:p w14:paraId="7DAB9B9D" w14:textId="77777777" w:rsidR="00154E32" w:rsidRDefault="00A43E04">
            <w:pPr>
              <w:pStyle w:val="P68B1DB1-Normal11"/>
              <w:spacing w:line="276" w:lineRule="auto"/>
              <w:jc w:val="center"/>
              <w:rPr>
                <w:noProof/>
              </w:rPr>
            </w:pPr>
            <w:r>
              <w:rPr>
                <w:noProof/>
              </w:rPr>
              <w:t>Naložba 2.1 Krepitev pametnih omrežij</w:t>
            </w:r>
          </w:p>
        </w:tc>
        <w:tc>
          <w:tcPr>
            <w:tcW w:w="1131" w:type="dxa"/>
            <w:shd w:val="clear" w:color="auto" w:fill="C6EFCE"/>
            <w:noWrap/>
            <w:vAlign w:val="center"/>
          </w:tcPr>
          <w:p w14:paraId="3B7DC23B" w14:textId="77777777" w:rsidR="00154E32" w:rsidRDefault="00A43E04">
            <w:pPr>
              <w:pStyle w:val="P68B1DB1-Normal11"/>
              <w:spacing w:line="276" w:lineRule="auto"/>
              <w:jc w:val="center"/>
              <w:rPr>
                <w:noProof/>
              </w:rPr>
            </w:pPr>
            <w:r>
              <w:rPr>
                <w:noProof/>
              </w:rPr>
              <w:t>Mejnik</w:t>
            </w:r>
          </w:p>
        </w:tc>
        <w:tc>
          <w:tcPr>
            <w:tcW w:w="1418" w:type="dxa"/>
            <w:shd w:val="clear" w:color="auto" w:fill="C6EFCE"/>
            <w:noWrap/>
            <w:vAlign w:val="center"/>
          </w:tcPr>
          <w:p w14:paraId="6291365C" w14:textId="77777777" w:rsidR="00154E32" w:rsidRDefault="00A43E04">
            <w:pPr>
              <w:pStyle w:val="P68B1DB1-Normal11"/>
              <w:spacing w:line="276" w:lineRule="auto"/>
              <w:jc w:val="center"/>
              <w:rPr>
                <w:noProof/>
              </w:rPr>
            </w:pPr>
            <w:r>
              <w:rPr>
                <w:noProof/>
              </w:rPr>
              <w:t>Oddaja (vseh) javnih naročil za povečanje zmogljivosti omrežja</w:t>
            </w:r>
          </w:p>
        </w:tc>
        <w:tc>
          <w:tcPr>
            <w:tcW w:w="1277" w:type="dxa"/>
            <w:shd w:val="clear" w:color="auto" w:fill="C6EFCE"/>
            <w:noWrap/>
            <w:vAlign w:val="center"/>
          </w:tcPr>
          <w:p w14:paraId="77DF5AF5" w14:textId="77777777" w:rsidR="00154E32" w:rsidRDefault="00A43E04">
            <w:pPr>
              <w:pStyle w:val="P68B1DB1-Normal11"/>
              <w:spacing w:line="276" w:lineRule="auto"/>
              <w:jc w:val="center"/>
              <w:rPr>
                <w:noProof/>
              </w:rPr>
            </w:pPr>
            <w:r>
              <w:rPr>
                <w:noProof/>
              </w:rPr>
              <w:t>Obvestilo o oddaji (vseh) javnih naročil za</w:t>
            </w:r>
          </w:p>
        </w:tc>
        <w:tc>
          <w:tcPr>
            <w:tcW w:w="1415" w:type="dxa"/>
            <w:shd w:val="clear" w:color="auto" w:fill="C6EFCE"/>
            <w:noWrap/>
            <w:vAlign w:val="center"/>
          </w:tcPr>
          <w:p w14:paraId="4EB16CA7" w14:textId="77777777" w:rsidR="00154E32" w:rsidRDefault="00A43E04">
            <w:pPr>
              <w:pStyle w:val="P68B1DB1-Normal11"/>
              <w:spacing w:line="276" w:lineRule="auto"/>
              <w:jc w:val="center"/>
              <w:rPr>
                <w:noProof/>
              </w:rPr>
            </w:pPr>
            <w:r>
              <w:rPr>
                <w:noProof/>
              </w:rPr>
              <w:t>JIH NI</w:t>
            </w:r>
          </w:p>
        </w:tc>
        <w:tc>
          <w:tcPr>
            <w:tcW w:w="709" w:type="dxa"/>
            <w:shd w:val="clear" w:color="auto" w:fill="C6EFCE"/>
            <w:noWrap/>
            <w:vAlign w:val="center"/>
          </w:tcPr>
          <w:p w14:paraId="07A2220E" w14:textId="77777777" w:rsidR="00154E32" w:rsidRDefault="00A43E04">
            <w:pPr>
              <w:pStyle w:val="P68B1DB1-Normal11"/>
              <w:spacing w:line="276" w:lineRule="auto"/>
              <w:jc w:val="center"/>
              <w:rPr>
                <w:noProof/>
              </w:rPr>
            </w:pPr>
            <w:r>
              <w:rPr>
                <w:noProof/>
              </w:rPr>
              <w:t>JIH NI</w:t>
            </w:r>
          </w:p>
        </w:tc>
        <w:tc>
          <w:tcPr>
            <w:tcW w:w="1418" w:type="dxa"/>
            <w:shd w:val="clear" w:color="auto" w:fill="C6EFCE"/>
            <w:noWrap/>
            <w:vAlign w:val="center"/>
          </w:tcPr>
          <w:p w14:paraId="72012F53"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328184DB" w14:textId="77777777" w:rsidR="00154E32" w:rsidRDefault="00A43E04">
            <w:pPr>
              <w:pStyle w:val="P68B1DB1-Normal11"/>
              <w:spacing w:line="276" w:lineRule="auto"/>
              <w:jc w:val="center"/>
              <w:rPr>
                <w:noProof/>
              </w:rPr>
            </w:pPr>
            <w:r>
              <w:rPr>
                <w:noProof/>
              </w:rPr>
              <w:t>Q4</w:t>
            </w:r>
          </w:p>
        </w:tc>
        <w:tc>
          <w:tcPr>
            <w:tcW w:w="709" w:type="dxa"/>
            <w:shd w:val="clear" w:color="auto" w:fill="C6EFCE"/>
            <w:noWrap/>
            <w:vAlign w:val="center"/>
          </w:tcPr>
          <w:p w14:paraId="2DD28938" w14:textId="77777777" w:rsidR="00154E32" w:rsidRDefault="00A43E04">
            <w:pPr>
              <w:pStyle w:val="P68B1DB1-Normal11"/>
              <w:spacing w:line="276" w:lineRule="auto"/>
              <w:jc w:val="center"/>
              <w:rPr>
                <w:noProof/>
              </w:rPr>
            </w:pPr>
            <w:r>
              <w:rPr>
                <w:noProof/>
              </w:rPr>
              <w:t>2022</w:t>
            </w:r>
          </w:p>
        </w:tc>
        <w:tc>
          <w:tcPr>
            <w:tcW w:w="3854" w:type="dxa"/>
            <w:shd w:val="clear" w:color="auto" w:fill="C6EFCE"/>
            <w:noWrap/>
            <w:vAlign w:val="center"/>
          </w:tcPr>
          <w:p w14:paraId="00E70403" w14:textId="77777777" w:rsidR="00154E32" w:rsidRDefault="00A43E04">
            <w:pPr>
              <w:pStyle w:val="P68B1DB1-Normal11"/>
              <w:spacing w:after="120"/>
              <w:rPr>
                <w:noProof/>
              </w:rPr>
            </w:pPr>
            <w:r>
              <w:rPr>
                <w:noProof/>
              </w:rPr>
              <w:t>Obvestilo o oddaji (vseh) javnih naročil za povečanje zmogljivosti omrežja za distribucijo energije iz obnovljivih virov in za elektrifikacijo porabe energije</w:t>
            </w:r>
          </w:p>
        </w:tc>
      </w:tr>
      <w:tr w:rsidR="00154E32" w14:paraId="1945505C" w14:textId="77777777">
        <w:trPr>
          <w:trHeight w:val="309"/>
          <w:jc w:val="center"/>
        </w:trPr>
        <w:tc>
          <w:tcPr>
            <w:tcW w:w="975" w:type="dxa"/>
            <w:shd w:val="clear" w:color="auto" w:fill="C6EFCE"/>
            <w:noWrap/>
            <w:vAlign w:val="center"/>
          </w:tcPr>
          <w:p w14:paraId="315676E8" w14:textId="77777777" w:rsidR="00154E32" w:rsidRDefault="00A43E04">
            <w:pPr>
              <w:pStyle w:val="P68B1DB1-Normal11"/>
              <w:spacing w:line="276" w:lineRule="auto"/>
              <w:jc w:val="center"/>
              <w:rPr>
                <w:noProof/>
              </w:rPr>
            </w:pPr>
            <w:r>
              <w:rPr>
                <w:noProof/>
              </w:rPr>
              <w:t>M2C2–12</w:t>
            </w:r>
          </w:p>
        </w:tc>
        <w:tc>
          <w:tcPr>
            <w:tcW w:w="1716" w:type="dxa"/>
            <w:shd w:val="clear" w:color="auto" w:fill="C6EFCE"/>
            <w:noWrap/>
            <w:vAlign w:val="center"/>
          </w:tcPr>
          <w:p w14:paraId="5D1C693D" w14:textId="77777777" w:rsidR="00154E32" w:rsidRDefault="00A43E04">
            <w:pPr>
              <w:pStyle w:val="P68B1DB1-Normal11"/>
              <w:spacing w:line="276" w:lineRule="auto"/>
              <w:jc w:val="center"/>
              <w:rPr>
                <w:noProof/>
              </w:rPr>
            </w:pPr>
            <w:r>
              <w:rPr>
                <w:noProof/>
              </w:rPr>
              <w:t>Naložba 2.2 Intervencije za povečanje odpornosti električnega omrežja</w:t>
            </w:r>
          </w:p>
        </w:tc>
        <w:tc>
          <w:tcPr>
            <w:tcW w:w="1131" w:type="dxa"/>
            <w:shd w:val="clear" w:color="auto" w:fill="C6EFCE"/>
            <w:noWrap/>
            <w:vAlign w:val="center"/>
          </w:tcPr>
          <w:p w14:paraId="25FE2387" w14:textId="77777777" w:rsidR="00154E32" w:rsidRDefault="00A43E04">
            <w:pPr>
              <w:pStyle w:val="P68B1DB1-Normal11"/>
              <w:spacing w:line="276" w:lineRule="auto"/>
              <w:jc w:val="center"/>
              <w:rPr>
                <w:noProof/>
              </w:rPr>
            </w:pPr>
            <w:r>
              <w:rPr>
                <w:noProof/>
              </w:rPr>
              <w:t>Mejnik</w:t>
            </w:r>
          </w:p>
        </w:tc>
        <w:tc>
          <w:tcPr>
            <w:tcW w:w="1418" w:type="dxa"/>
            <w:shd w:val="clear" w:color="auto" w:fill="C6EFCE"/>
            <w:noWrap/>
            <w:vAlign w:val="center"/>
          </w:tcPr>
          <w:p w14:paraId="21A5A7C5" w14:textId="77777777" w:rsidR="00154E32" w:rsidRDefault="00A43E04">
            <w:pPr>
              <w:pStyle w:val="P68B1DB1-Normal11"/>
              <w:spacing w:line="276" w:lineRule="auto"/>
              <w:jc w:val="center"/>
              <w:rPr>
                <w:noProof/>
              </w:rPr>
            </w:pPr>
            <w:r>
              <w:rPr>
                <w:noProof/>
              </w:rPr>
              <w:t>Dodelitev projektov za povečanje odpornosti omrežja elektroenergetskega sistema</w:t>
            </w:r>
          </w:p>
        </w:tc>
        <w:tc>
          <w:tcPr>
            <w:tcW w:w="1277" w:type="dxa"/>
            <w:shd w:val="clear" w:color="auto" w:fill="C6EFCE"/>
            <w:noWrap/>
            <w:vAlign w:val="center"/>
          </w:tcPr>
          <w:p w14:paraId="6B21ED1B" w14:textId="77777777" w:rsidR="00154E32" w:rsidRDefault="00A43E04">
            <w:pPr>
              <w:pStyle w:val="P68B1DB1-Normal11"/>
              <w:spacing w:line="276" w:lineRule="auto"/>
              <w:jc w:val="center"/>
              <w:rPr>
                <w:noProof/>
              </w:rPr>
            </w:pPr>
            <w:r>
              <w:rPr>
                <w:noProof/>
              </w:rPr>
              <w:t>Obvestilo o dodelitvi projektov</w:t>
            </w:r>
          </w:p>
        </w:tc>
        <w:tc>
          <w:tcPr>
            <w:tcW w:w="1415" w:type="dxa"/>
            <w:shd w:val="clear" w:color="auto" w:fill="C6EFCE"/>
            <w:noWrap/>
            <w:vAlign w:val="center"/>
          </w:tcPr>
          <w:p w14:paraId="0F921C06" w14:textId="77777777" w:rsidR="00154E32" w:rsidRDefault="00A43E04">
            <w:pPr>
              <w:pStyle w:val="P68B1DB1-Normal11"/>
              <w:spacing w:line="276" w:lineRule="auto"/>
              <w:jc w:val="center"/>
              <w:rPr>
                <w:noProof/>
              </w:rPr>
            </w:pPr>
            <w:r>
              <w:rPr>
                <w:noProof/>
              </w:rPr>
              <w:t>JIH NI</w:t>
            </w:r>
          </w:p>
        </w:tc>
        <w:tc>
          <w:tcPr>
            <w:tcW w:w="709" w:type="dxa"/>
            <w:shd w:val="clear" w:color="auto" w:fill="C6EFCE"/>
            <w:noWrap/>
            <w:vAlign w:val="center"/>
          </w:tcPr>
          <w:p w14:paraId="7349C55A" w14:textId="77777777" w:rsidR="00154E32" w:rsidRDefault="00A43E04">
            <w:pPr>
              <w:pStyle w:val="P68B1DB1-Normal11"/>
              <w:spacing w:line="276" w:lineRule="auto"/>
              <w:jc w:val="center"/>
              <w:rPr>
                <w:noProof/>
              </w:rPr>
            </w:pPr>
            <w:r>
              <w:rPr>
                <w:noProof/>
              </w:rPr>
              <w:t>JIH NI</w:t>
            </w:r>
          </w:p>
        </w:tc>
        <w:tc>
          <w:tcPr>
            <w:tcW w:w="1418" w:type="dxa"/>
            <w:shd w:val="clear" w:color="auto" w:fill="C6EFCE"/>
            <w:noWrap/>
            <w:vAlign w:val="center"/>
          </w:tcPr>
          <w:p w14:paraId="70251038"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58EC1E5E" w14:textId="77777777" w:rsidR="00154E32" w:rsidRDefault="00A43E04">
            <w:pPr>
              <w:pStyle w:val="P68B1DB1-Normal11"/>
              <w:spacing w:line="276" w:lineRule="auto"/>
              <w:jc w:val="center"/>
              <w:rPr>
                <w:noProof/>
              </w:rPr>
            </w:pPr>
            <w:r>
              <w:rPr>
                <w:noProof/>
              </w:rPr>
              <w:t>Q4</w:t>
            </w:r>
          </w:p>
        </w:tc>
        <w:tc>
          <w:tcPr>
            <w:tcW w:w="709" w:type="dxa"/>
            <w:shd w:val="clear" w:color="auto" w:fill="C6EFCE"/>
            <w:noWrap/>
            <w:vAlign w:val="center"/>
          </w:tcPr>
          <w:p w14:paraId="7555D6E2" w14:textId="77777777" w:rsidR="00154E32" w:rsidRDefault="00A43E04">
            <w:pPr>
              <w:pStyle w:val="P68B1DB1-Normal11"/>
              <w:spacing w:line="276" w:lineRule="auto"/>
              <w:jc w:val="center"/>
              <w:rPr>
                <w:noProof/>
              </w:rPr>
            </w:pPr>
            <w:r>
              <w:rPr>
                <w:noProof/>
              </w:rPr>
              <w:t>2022</w:t>
            </w:r>
          </w:p>
        </w:tc>
        <w:tc>
          <w:tcPr>
            <w:tcW w:w="3854" w:type="dxa"/>
            <w:shd w:val="clear" w:color="auto" w:fill="C6EFCE"/>
            <w:noWrap/>
            <w:vAlign w:val="center"/>
          </w:tcPr>
          <w:p w14:paraId="79219B07" w14:textId="6616E607" w:rsidR="00154E32" w:rsidRDefault="00A43E04">
            <w:pPr>
              <w:pStyle w:val="P68B1DB1-Normal12"/>
              <w:spacing w:after="120"/>
              <w:rPr>
                <w:rFonts w:ascii="Arial Narrow" w:hAnsi="Arial Narrow"/>
                <w:noProof/>
              </w:rPr>
            </w:pPr>
            <w:r>
              <w:rPr>
                <w:rFonts w:ascii="Arial Narrow" w:hAnsi="Arial Narrow"/>
                <w:noProof/>
              </w:rPr>
              <w:t>Dodelitev projektov za povečanje odpornosti vsaj 4000</w:t>
            </w:r>
            <w:r>
              <w:rPr>
                <w:noProof/>
              </w:rPr>
              <w:t xml:space="preserve"> </w:t>
            </w:r>
            <w:r>
              <w:rPr>
                <w:rFonts w:ascii="Arial Narrow" w:hAnsi="Arial Narrow"/>
                <w:noProof/>
              </w:rPr>
              <w:t>km v elektroenergetskem omrežju, da se zmanjša pogostost in trajanje zmanjšanja energije zaradi ekstremnih vremenskih razmer.</w:t>
            </w:r>
          </w:p>
        </w:tc>
      </w:tr>
      <w:tr w:rsidR="00154E32" w14:paraId="6F1B06C6" w14:textId="77777777">
        <w:trPr>
          <w:trHeight w:val="309"/>
          <w:jc w:val="center"/>
        </w:trPr>
        <w:tc>
          <w:tcPr>
            <w:tcW w:w="975" w:type="dxa"/>
            <w:shd w:val="clear" w:color="auto" w:fill="C6EFCE"/>
            <w:noWrap/>
            <w:vAlign w:val="center"/>
          </w:tcPr>
          <w:p w14:paraId="4D6E1128" w14:textId="77777777" w:rsidR="00154E32" w:rsidRDefault="00A43E04">
            <w:pPr>
              <w:pStyle w:val="P68B1DB1-Normal11"/>
              <w:spacing w:line="276" w:lineRule="auto"/>
              <w:jc w:val="center"/>
              <w:rPr>
                <w:noProof/>
              </w:rPr>
            </w:pPr>
            <w:r>
              <w:rPr>
                <w:noProof/>
              </w:rPr>
              <w:t>M2C2–14</w:t>
            </w:r>
          </w:p>
        </w:tc>
        <w:tc>
          <w:tcPr>
            <w:tcW w:w="1716" w:type="dxa"/>
            <w:shd w:val="clear" w:color="auto" w:fill="C6EFCE"/>
            <w:noWrap/>
            <w:vAlign w:val="center"/>
          </w:tcPr>
          <w:p w14:paraId="12950B38" w14:textId="77777777" w:rsidR="00154E32" w:rsidRDefault="00A43E04">
            <w:pPr>
              <w:pStyle w:val="P68B1DB1-Normal11"/>
              <w:spacing w:line="276" w:lineRule="auto"/>
              <w:jc w:val="center"/>
              <w:rPr>
                <w:noProof/>
              </w:rPr>
            </w:pPr>
            <w:r>
              <w:rPr>
                <w:noProof/>
              </w:rPr>
              <w:t>Naložba 3.3 Preizkus vodika za cestni promet</w:t>
            </w:r>
          </w:p>
        </w:tc>
        <w:tc>
          <w:tcPr>
            <w:tcW w:w="1131" w:type="dxa"/>
            <w:shd w:val="clear" w:color="auto" w:fill="C6EFCE"/>
            <w:noWrap/>
            <w:vAlign w:val="center"/>
          </w:tcPr>
          <w:p w14:paraId="7ADC1518" w14:textId="77777777" w:rsidR="00154E32" w:rsidRDefault="00A43E04">
            <w:pPr>
              <w:pStyle w:val="P68B1DB1-Normal11"/>
              <w:spacing w:line="276" w:lineRule="auto"/>
              <w:jc w:val="center"/>
              <w:rPr>
                <w:noProof/>
              </w:rPr>
            </w:pPr>
            <w:r>
              <w:rPr>
                <w:noProof/>
              </w:rPr>
              <w:t>Mejnik</w:t>
            </w:r>
          </w:p>
        </w:tc>
        <w:tc>
          <w:tcPr>
            <w:tcW w:w="1418" w:type="dxa"/>
            <w:shd w:val="clear" w:color="auto" w:fill="C6EFCE"/>
            <w:noWrap/>
            <w:vAlign w:val="center"/>
          </w:tcPr>
          <w:p w14:paraId="68222AEF" w14:textId="77777777" w:rsidR="00154E32" w:rsidRDefault="00A43E04">
            <w:pPr>
              <w:pStyle w:val="P68B1DB1-Normal11"/>
              <w:spacing w:line="276" w:lineRule="auto"/>
              <w:jc w:val="center"/>
              <w:rPr>
                <w:noProof/>
              </w:rPr>
            </w:pPr>
            <w:r>
              <w:rPr>
                <w:noProof/>
              </w:rPr>
              <w:t>Oddaja (vseh) javnih naročil za razvoj polnilnih postaj na osnovi vodika</w:t>
            </w:r>
          </w:p>
        </w:tc>
        <w:tc>
          <w:tcPr>
            <w:tcW w:w="1277" w:type="dxa"/>
            <w:shd w:val="clear" w:color="auto" w:fill="C6EFCE"/>
            <w:noWrap/>
            <w:vAlign w:val="center"/>
          </w:tcPr>
          <w:p w14:paraId="01D5FE5A" w14:textId="77777777" w:rsidR="00154E32" w:rsidRDefault="00A43E04">
            <w:pPr>
              <w:pStyle w:val="P68B1DB1-Normal11"/>
              <w:spacing w:line="276" w:lineRule="auto"/>
              <w:jc w:val="center"/>
              <w:rPr>
                <w:noProof/>
              </w:rPr>
            </w:pPr>
            <w:r>
              <w:rPr>
                <w:noProof/>
              </w:rPr>
              <w:t>Obvestilo o oddaji (vseh) javnih naročil za razvoj vsaj 40 polnilnih postaj na osnovi vodika [...]</w:t>
            </w:r>
          </w:p>
        </w:tc>
        <w:tc>
          <w:tcPr>
            <w:tcW w:w="1415" w:type="dxa"/>
            <w:shd w:val="clear" w:color="auto" w:fill="C6EFCE"/>
            <w:noWrap/>
            <w:vAlign w:val="center"/>
          </w:tcPr>
          <w:p w14:paraId="098B68EA" w14:textId="77777777" w:rsidR="00154E32" w:rsidRDefault="00A43E04">
            <w:pPr>
              <w:pStyle w:val="P68B1DB1-Normal11"/>
              <w:spacing w:line="276" w:lineRule="auto"/>
              <w:jc w:val="center"/>
              <w:rPr>
                <w:noProof/>
              </w:rPr>
            </w:pPr>
            <w:r>
              <w:rPr>
                <w:noProof/>
              </w:rPr>
              <w:t>JIH NI</w:t>
            </w:r>
          </w:p>
        </w:tc>
        <w:tc>
          <w:tcPr>
            <w:tcW w:w="709" w:type="dxa"/>
            <w:shd w:val="clear" w:color="auto" w:fill="C6EFCE"/>
            <w:noWrap/>
            <w:vAlign w:val="center"/>
          </w:tcPr>
          <w:p w14:paraId="44447E8D" w14:textId="77777777" w:rsidR="00154E32" w:rsidRDefault="00A43E04">
            <w:pPr>
              <w:pStyle w:val="P68B1DB1-Normal11"/>
              <w:spacing w:line="276" w:lineRule="auto"/>
              <w:jc w:val="center"/>
              <w:rPr>
                <w:noProof/>
              </w:rPr>
            </w:pPr>
            <w:r>
              <w:rPr>
                <w:noProof/>
              </w:rPr>
              <w:t>JIH NI</w:t>
            </w:r>
          </w:p>
        </w:tc>
        <w:tc>
          <w:tcPr>
            <w:tcW w:w="1418" w:type="dxa"/>
            <w:shd w:val="clear" w:color="auto" w:fill="C6EFCE"/>
            <w:noWrap/>
            <w:vAlign w:val="center"/>
          </w:tcPr>
          <w:p w14:paraId="12B7B1C5"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2C2B92DB" w14:textId="77777777" w:rsidR="00154E32" w:rsidRDefault="00A43E04">
            <w:pPr>
              <w:pStyle w:val="P68B1DB1-Normal11"/>
              <w:spacing w:line="276" w:lineRule="auto"/>
              <w:jc w:val="center"/>
              <w:rPr>
                <w:noProof/>
              </w:rPr>
            </w:pPr>
            <w:r>
              <w:rPr>
                <w:noProof/>
              </w:rPr>
              <w:t>ČETRTLETJE 1</w:t>
            </w:r>
          </w:p>
        </w:tc>
        <w:tc>
          <w:tcPr>
            <w:tcW w:w="709" w:type="dxa"/>
            <w:shd w:val="clear" w:color="auto" w:fill="C6EFCE"/>
            <w:noWrap/>
            <w:vAlign w:val="center"/>
          </w:tcPr>
          <w:p w14:paraId="1EADAF8E" w14:textId="77777777" w:rsidR="00154E32" w:rsidRDefault="00A43E04">
            <w:pPr>
              <w:pStyle w:val="P68B1DB1-Normal11"/>
              <w:spacing w:line="276" w:lineRule="auto"/>
              <w:jc w:val="center"/>
              <w:rPr>
                <w:noProof/>
              </w:rPr>
            </w:pPr>
            <w:r>
              <w:rPr>
                <w:noProof/>
              </w:rPr>
              <w:t>2023</w:t>
            </w:r>
          </w:p>
        </w:tc>
        <w:tc>
          <w:tcPr>
            <w:tcW w:w="3854" w:type="dxa"/>
            <w:shd w:val="clear" w:color="auto" w:fill="C6EFCE"/>
            <w:noWrap/>
            <w:vAlign w:val="center"/>
          </w:tcPr>
          <w:p w14:paraId="66CA047C" w14:textId="23214ECE" w:rsidR="00154E32" w:rsidRDefault="00A43E04">
            <w:pPr>
              <w:pStyle w:val="P68B1DB1-Normal11"/>
              <w:spacing w:after="120"/>
              <w:rPr>
                <w:noProof/>
              </w:rPr>
            </w:pPr>
            <w:r>
              <w:rPr>
                <w:noProof/>
              </w:rPr>
              <w:t>Obvestilo o oddaji (vseh) javnih naročil za razvoj vsaj 40 polnilnih postaj na osnovi vodika v skladu z Direktivo 2014/94/EU o infrastrukturi za alternativna goriva.</w:t>
            </w:r>
          </w:p>
        </w:tc>
      </w:tr>
      <w:tr w:rsidR="00154E32" w14:paraId="1EB8DE3E" w14:textId="77777777">
        <w:trPr>
          <w:trHeight w:val="309"/>
          <w:jc w:val="center"/>
        </w:trPr>
        <w:tc>
          <w:tcPr>
            <w:tcW w:w="975" w:type="dxa"/>
            <w:shd w:val="clear" w:color="auto" w:fill="C6EFCE"/>
            <w:noWrap/>
            <w:vAlign w:val="center"/>
          </w:tcPr>
          <w:p w14:paraId="44F58440" w14:textId="77777777" w:rsidR="00154E32" w:rsidRDefault="00A43E04">
            <w:pPr>
              <w:pStyle w:val="P68B1DB1-Normal11"/>
              <w:spacing w:line="276" w:lineRule="auto"/>
              <w:jc w:val="center"/>
              <w:rPr>
                <w:noProof/>
              </w:rPr>
            </w:pPr>
            <w:r>
              <w:rPr>
                <w:noProof/>
              </w:rPr>
              <w:t>M2C2–16</w:t>
            </w:r>
          </w:p>
        </w:tc>
        <w:tc>
          <w:tcPr>
            <w:tcW w:w="1716" w:type="dxa"/>
            <w:shd w:val="clear" w:color="auto" w:fill="C6EFCE"/>
            <w:noWrap/>
            <w:vAlign w:val="center"/>
          </w:tcPr>
          <w:p w14:paraId="19DF74E7" w14:textId="77777777" w:rsidR="00154E32" w:rsidRDefault="00A43E04">
            <w:pPr>
              <w:pStyle w:val="P68B1DB1-Normal11"/>
              <w:spacing w:line="276" w:lineRule="auto"/>
              <w:jc w:val="center"/>
              <w:rPr>
                <w:noProof/>
              </w:rPr>
            </w:pPr>
            <w:r>
              <w:rPr>
                <w:noProof/>
              </w:rPr>
              <w:t>Naložba 3.4 Preizkus vodika za mobilnost v železniškem prometu</w:t>
            </w:r>
          </w:p>
        </w:tc>
        <w:tc>
          <w:tcPr>
            <w:tcW w:w="1131" w:type="dxa"/>
            <w:shd w:val="clear" w:color="auto" w:fill="C6EFCE"/>
            <w:noWrap/>
            <w:vAlign w:val="center"/>
          </w:tcPr>
          <w:p w14:paraId="2C9479BE" w14:textId="77777777" w:rsidR="00154E32" w:rsidRDefault="00A43E04">
            <w:pPr>
              <w:pStyle w:val="P68B1DB1-Normal11"/>
              <w:spacing w:line="276" w:lineRule="auto"/>
              <w:jc w:val="center"/>
              <w:rPr>
                <w:noProof/>
              </w:rPr>
            </w:pPr>
            <w:r>
              <w:rPr>
                <w:noProof/>
              </w:rPr>
              <w:t>Mejnik</w:t>
            </w:r>
          </w:p>
        </w:tc>
        <w:tc>
          <w:tcPr>
            <w:tcW w:w="1418" w:type="dxa"/>
            <w:shd w:val="clear" w:color="auto" w:fill="C6EFCE"/>
            <w:noWrap/>
            <w:vAlign w:val="center"/>
          </w:tcPr>
          <w:p w14:paraId="570F2DDC" w14:textId="77777777" w:rsidR="00154E32" w:rsidRDefault="00A43E04">
            <w:pPr>
              <w:pStyle w:val="P68B1DB1-Normal11"/>
              <w:spacing w:line="276" w:lineRule="auto"/>
              <w:jc w:val="center"/>
              <w:rPr>
                <w:noProof/>
              </w:rPr>
            </w:pPr>
            <w:r>
              <w:rPr>
                <w:noProof/>
              </w:rPr>
              <w:t>Dodelitev sredstev za preskušanje vodika za mobilnost na železnici</w:t>
            </w:r>
          </w:p>
        </w:tc>
        <w:tc>
          <w:tcPr>
            <w:tcW w:w="1277" w:type="dxa"/>
            <w:shd w:val="clear" w:color="auto" w:fill="C6EFCE"/>
            <w:noWrap/>
            <w:vAlign w:val="center"/>
          </w:tcPr>
          <w:p w14:paraId="7C5F47D4" w14:textId="77777777" w:rsidR="00154E32" w:rsidRDefault="00A43E04">
            <w:pPr>
              <w:pStyle w:val="P68B1DB1-Normal11"/>
              <w:spacing w:line="276" w:lineRule="auto"/>
              <w:jc w:val="center"/>
              <w:rPr>
                <w:noProof/>
              </w:rPr>
            </w:pPr>
            <w:r>
              <w:rPr>
                <w:noProof/>
              </w:rPr>
              <w:t>Obvestilo o dodelitvi sredstev</w:t>
            </w:r>
          </w:p>
        </w:tc>
        <w:tc>
          <w:tcPr>
            <w:tcW w:w="1415" w:type="dxa"/>
            <w:shd w:val="clear" w:color="auto" w:fill="C6EFCE"/>
            <w:noWrap/>
            <w:vAlign w:val="center"/>
          </w:tcPr>
          <w:p w14:paraId="6E539A55" w14:textId="77777777" w:rsidR="00154E32" w:rsidRDefault="00A43E04">
            <w:pPr>
              <w:pStyle w:val="P68B1DB1-Normal11"/>
              <w:spacing w:line="276" w:lineRule="auto"/>
              <w:jc w:val="center"/>
              <w:rPr>
                <w:noProof/>
              </w:rPr>
            </w:pPr>
            <w:r>
              <w:rPr>
                <w:noProof/>
              </w:rPr>
              <w:t>JIH NI</w:t>
            </w:r>
          </w:p>
        </w:tc>
        <w:tc>
          <w:tcPr>
            <w:tcW w:w="709" w:type="dxa"/>
            <w:shd w:val="clear" w:color="auto" w:fill="C6EFCE"/>
            <w:noWrap/>
            <w:vAlign w:val="center"/>
          </w:tcPr>
          <w:p w14:paraId="185494B6" w14:textId="77777777" w:rsidR="00154E32" w:rsidRDefault="00A43E04">
            <w:pPr>
              <w:pStyle w:val="P68B1DB1-Normal11"/>
              <w:spacing w:line="276" w:lineRule="auto"/>
              <w:jc w:val="center"/>
              <w:rPr>
                <w:noProof/>
              </w:rPr>
            </w:pPr>
            <w:r>
              <w:rPr>
                <w:noProof/>
              </w:rPr>
              <w:t>JIH NI</w:t>
            </w:r>
          </w:p>
        </w:tc>
        <w:tc>
          <w:tcPr>
            <w:tcW w:w="1418" w:type="dxa"/>
            <w:shd w:val="clear" w:color="auto" w:fill="C6EFCE"/>
            <w:noWrap/>
            <w:vAlign w:val="center"/>
          </w:tcPr>
          <w:p w14:paraId="7FD9B7E5"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5E70CBB8" w14:textId="77777777" w:rsidR="00154E32" w:rsidRDefault="00A43E04">
            <w:pPr>
              <w:pStyle w:val="P68B1DB1-Normal11"/>
              <w:spacing w:line="276" w:lineRule="auto"/>
              <w:jc w:val="center"/>
              <w:rPr>
                <w:noProof/>
              </w:rPr>
            </w:pPr>
            <w:r>
              <w:rPr>
                <w:noProof/>
              </w:rPr>
              <w:t>ČETRTLETJE 1</w:t>
            </w:r>
          </w:p>
        </w:tc>
        <w:tc>
          <w:tcPr>
            <w:tcW w:w="709" w:type="dxa"/>
            <w:shd w:val="clear" w:color="auto" w:fill="C6EFCE"/>
            <w:noWrap/>
            <w:vAlign w:val="center"/>
          </w:tcPr>
          <w:p w14:paraId="284431AE" w14:textId="77777777" w:rsidR="00154E32" w:rsidRDefault="00A43E04">
            <w:pPr>
              <w:pStyle w:val="P68B1DB1-Normal11"/>
              <w:spacing w:line="276" w:lineRule="auto"/>
              <w:jc w:val="center"/>
              <w:rPr>
                <w:noProof/>
              </w:rPr>
            </w:pPr>
            <w:r>
              <w:rPr>
                <w:noProof/>
              </w:rPr>
              <w:t>2023</w:t>
            </w:r>
          </w:p>
        </w:tc>
        <w:tc>
          <w:tcPr>
            <w:tcW w:w="3854" w:type="dxa"/>
            <w:shd w:val="clear" w:color="auto" w:fill="C6EFCE"/>
            <w:noWrap/>
            <w:vAlign w:val="center"/>
          </w:tcPr>
          <w:p w14:paraId="402D2388" w14:textId="2F0F8E1F" w:rsidR="00154E32" w:rsidRDefault="00A43E04">
            <w:pPr>
              <w:pStyle w:val="P68B1DB1-Normal11"/>
              <w:spacing w:after="120"/>
              <w:rPr>
                <w:noProof/>
              </w:rPr>
            </w:pPr>
            <w:r>
              <w:rPr>
                <w:noProof/>
              </w:rPr>
              <w:t>Dodelitev sredstev v skladu s postopki in merili, določenimi za izgradnjo desetih oskrbovalnih postaj za železnico na podlagi vodika na šestih železniških progah.</w:t>
            </w:r>
          </w:p>
        </w:tc>
      </w:tr>
      <w:tr w:rsidR="00154E32" w14:paraId="697301A6" w14:textId="77777777">
        <w:trPr>
          <w:trHeight w:val="309"/>
          <w:jc w:val="center"/>
        </w:trPr>
        <w:tc>
          <w:tcPr>
            <w:tcW w:w="975" w:type="dxa"/>
            <w:shd w:val="clear" w:color="auto" w:fill="C6EFCE"/>
            <w:noWrap/>
            <w:vAlign w:val="center"/>
          </w:tcPr>
          <w:p w14:paraId="3FF9559B" w14:textId="77777777" w:rsidR="00154E32" w:rsidRDefault="00A43E04">
            <w:pPr>
              <w:pStyle w:val="P68B1DB1-Normal11"/>
              <w:spacing w:line="276" w:lineRule="auto"/>
              <w:jc w:val="center"/>
              <w:rPr>
                <w:noProof/>
              </w:rPr>
            </w:pPr>
            <w:r>
              <w:rPr>
                <w:noProof/>
              </w:rPr>
              <w:t>M2C2–18</w:t>
            </w:r>
          </w:p>
        </w:tc>
        <w:tc>
          <w:tcPr>
            <w:tcW w:w="1716" w:type="dxa"/>
            <w:shd w:val="clear" w:color="auto" w:fill="C6EFCE"/>
            <w:noWrap/>
            <w:vAlign w:val="center"/>
          </w:tcPr>
          <w:p w14:paraId="5B55E111" w14:textId="77777777" w:rsidR="00154E32" w:rsidRDefault="00A43E04">
            <w:pPr>
              <w:pStyle w:val="P68B1DB1-Normal11"/>
              <w:spacing w:line="276" w:lineRule="auto"/>
              <w:jc w:val="center"/>
              <w:rPr>
                <w:noProof/>
              </w:rPr>
            </w:pPr>
            <w:r>
              <w:rPr>
                <w:noProof/>
              </w:rPr>
              <w:t>Naložba 3.5 Raziskave in razvoj na področju vodika</w:t>
            </w:r>
          </w:p>
        </w:tc>
        <w:tc>
          <w:tcPr>
            <w:tcW w:w="1131" w:type="dxa"/>
            <w:shd w:val="clear" w:color="auto" w:fill="C6EFCE"/>
            <w:noWrap/>
            <w:vAlign w:val="center"/>
          </w:tcPr>
          <w:p w14:paraId="08A82724" w14:textId="77777777" w:rsidR="00154E32" w:rsidRDefault="00A43E04">
            <w:pPr>
              <w:pStyle w:val="P68B1DB1-Normal11"/>
              <w:spacing w:line="276" w:lineRule="auto"/>
              <w:jc w:val="center"/>
              <w:rPr>
                <w:noProof/>
              </w:rPr>
            </w:pPr>
            <w:r>
              <w:rPr>
                <w:noProof/>
              </w:rPr>
              <w:t>Mejnik</w:t>
            </w:r>
          </w:p>
        </w:tc>
        <w:tc>
          <w:tcPr>
            <w:tcW w:w="1418" w:type="dxa"/>
            <w:shd w:val="clear" w:color="auto" w:fill="C6EFCE"/>
            <w:noWrap/>
            <w:vAlign w:val="center"/>
          </w:tcPr>
          <w:p w14:paraId="35F23B03" w14:textId="77777777" w:rsidR="00154E32" w:rsidRDefault="00A43E04">
            <w:pPr>
              <w:pStyle w:val="P68B1DB1-Normal11"/>
              <w:spacing w:line="276" w:lineRule="auto"/>
              <w:jc w:val="center"/>
              <w:rPr>
                <w:noProof/>
              </w:rPr>
            </w:pPr>
            <w:r>
              <w:rPr>
                <w:noProof/>
              </w:rPr>
              <w:t>Dodelitev vseh javnih naročil za raziskave in razvoj raziskovalnim projektom na področju vodika</w:t>
            </w:r>
          </w:p>
        </w:tc>
        <w:tc>
          <w:tcPr>
            <w:tcW w:w="1277" w:type="dxa"/>
            <w:shd w:val="clear" w:color="auto" w:fill="C6EFCE"/>
            <w:noWrap/>
            <w:vAlign w:val="center"/>
          </w:tcPr>
          <w:p w14:paraId="28CEBF01" w14:textId="77777777" w:rsidR="00154E32" w:rsidRDefault="00A43E04">
            <w:pPr>
              <w:pStyle w:val="P68B1DB1-Normal11"/>
              <w:spacing w:line="276" w:lineRule="auto"/>
              <w:jc w:val="center"/>
              <w:rPr>
                <w:noProof/>
              </w:rPr>
            </w:pPr>
            <w:r>
              <w:rPr>
                <w:noProof/>
              </w:rPr>
              <w:t>Obvestilo o oddaji naročil za raziskave in razvoj na področju vodika</w:t>
            </w:r>
          </w:p>
        </w:tc>
        <w:tc>
          <w:tcPr>
            <w:tcW w:w="1415" w:type="dxa"/>
            <w:shd w:val="clear" w:color="auto" w:fill="C6EFCE"/>
            <w:noWrap/>
            <w:vAlign w:val="center"/>
          </w:tcPr>
          <w:p w14:paraId="1E8245D5" w14:textId="77777777" w:rsidR="00154E32" w:rsidRDefault="00A43E04">
            <w:pPr>
              <w:pStyle w:val="P68B1DB1-Normal11"/>
              <w:spacing w:line="276" w:lineRule="auto"/>
              <w:jc w:val="center"/>
              <w:rPr>
                <w:noProof/>
              </w:rPr>
            </w:pPr>
            <w:r>
              <w:rPr>
                <w:noProof/>
              </w:rPr>
              <w:t>JIH NI</w:t>
            </w:r>
          </w:p>
        </w:tc>
        <w:tc>
          <w:tcPr>
            <w:tcW w:w="709" w:type="dxa"/>
            <w:shd w:val="clear" w:color="auto" w:fill="C6EFCE"/>
            <w:noWrap/>
            <w:vAlign w:val="center"/>
          </w:tcPr>
          <w:p w14:paraId="06BDC643" w14:textId="77777777" w:rsidR="00154E32" w:rsidRDefault="00A43E04">
            <w:pPr>
              <w:pStyle w:val="P68B1DB1-Normal11"/>
              <w:spacing w:line="276" w:lineRule="auto"/>
              <w:jc w:val="center"/>
              <w:rPr>
                <w:noProof/>
              </w:rPr>
            </w:pPr>
            <w:r>
              <w:rPr>
                <w:noProof/>
              </w:rPr>
              <w:t>JIH NI</w:t>
            </w:r>
          </w:p>
        </w:tc>
        <w:tc>
          <w:tcPr>
            <w:tcW w:w="1418" w:type="dxa"/>
            <w:shd w:val="clear" w:color="auto" w:fill="C6EFCE"/>
            <w:noWrap/>
            <w:vAlign w:val="center"/>
          </w:tcPr>
          <w:p w14:paraId="396BAF90"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733AFC21" w14:textId="77777777" w:rsidR="00154E32" w:rsidRDefault="00A43E04">
            <w:pPr>
              <w:pStyle w:val="P68B1DB1-Normal11"/>
              <w:spacing w:line="276" w:lineRule="auto"/>
              <w:jc w:val="center"/>
              <w:rPr>
                <w:noProof/>
              </w:rPr>
            </w:pPr>
            <w:r>
              <w:rPr>
                <w:noProof/>
              </w:rPr>
              <w:t>Q2</w:t>
            </w:r>
          </w:p>
        </w:tc>
        <w:tc>
          <w:tcPr>
            <w:tcW w:w="709" w:type="dxa"/>
            <w:shd w:val="clear" w:color="auto" w:fill="C6EFCE"/>
            <w:noWrap/>
            <w:vAlign w:val="center"/>
          </w:tcPr>
          <w:p w14:paraId="38E76F81" w14:textId="77777777" w:rsidR="00154E32" w:rsidRDefault="00A43E04">
            <w:pPr>
              <w:pStyle w:val="P68B1DB1-Normal11"/>
              <w:spacing w:line="276" w:lineRule="auto"/>
              <w:jc w:val="center"/>
              <w:rPr>
                <w:noProof/>
              </w:rPr>
            </w:pPr>
            <w:r>
              <w:rPr>
                <w:noProof/>
              </w:rPr>
              <w:t>2022</w:t>
            </w:r>
          </w:p>
        </w:tc>
        <w:tc>
          <w:tcPr>
            <w:tcW w:w="3854" w:type="dxa"/>
            <w:shd w:val="clear" w:color="auto" w:fill="C6EFCE"/>
            <w:noWrap/>
            <w:vAlign w:val="center"/>
          </w:tcPr>
          <w:p w14:paraId="21AD88E6" w14:textId="77777777" w:rsidR="00154E32" w:rsidRDefault="00A43E04">
            <w:pPr>
              <w:pStyle w:val="P68B1DB1-Normal11"/>
              <w:spacing w:after="120"/>
              <w:rPr>
                <w:noProof/>
              </w:rPr>
            </w:pPr>
            <w:r>
              <w:rPr>
                <w:noProof/>
              </w:rPr>
              <w:t>Obvestilo o oddaji naročil za raziskave in razvoj, katerih cilj je izboljšati poznavanje izvajanja vodikovega vektorja v fazah proizvodnje, shranjevanja in distribucije.  Pogodbe razvijajo vsaj štiri razsežnosti raziskav:</w:t>
            </w:r>
          </w:p>
          <w:p w14:paraId="19699BA6" w14:textId="77777777" w:rsidR="00154E32" w:rsidRDefault="00A43E04">
            <w:pPr>
              <w:pStyle w:val="P68B1DB1-Normal11"/>
              <w:spacing w:after="120"/>
              <w:rPr>
                <w:noProof/>
              </w:rPr>
            </w:pPr>
            <w:r>
              <w:rPr>
                <w:noProof/>
              </w:rPr>
              <w:t>a) proizvodnja zelenega in čistega vodika</w:t>
            </w:r>
          </w:p>
          <w:p w14:paraId="0384FCB6" w14:textId="77777777" w:rsidR="00154E32" w:rsidRDefault="00A43E04">
            <w:pPr>
              <w:pStyle w:val="P68B1DB1-Normal11"/>
              <w:spacing w:after="120"/>
              <w:rPr>
                <w:noProof/>
              </w:rPr>
            </w:pPr>
            <w:r>
              <w:rPr>
                <w:noProof/>
              </w:rPr>
              <w:t>b) Inovativne tehnologije za shranjevanje, prenos in pretvorbo vodika v derivate in e-goriva</w:t>
            </w:r>
          </w:p>
          <w:p w14:paraId="1FDF7795" w14:textId="77777777" w:rsidR="00154E32" w:rsidRDefault="00A43E04">
            <w:pPr>
              <w:pStyle w:val="P68B1DB1-Normal11"/>
              <w:spacing w:after="120"/>
              <w:rPr>
                <w:noProof/>
              </w:rPr>
            </w:pPr>
            <w:r>
              <w:rPr>
                <w:noProof/>
              </w:rPr>
              <w:t>C) gorivne celice za stacionarno uporabo in uporabo za mobilnost</w:t>
            </w:r>
          </w:p>
          <w:p w14:paraId="5AFB6213" w14:textId="77777777" w:rsidR="00154E32" w:rsidRDefault="00A43E04">
            <w:pPr>
              <w:pStyle w:val="P68B1DB1-Normal11"/>
              <w:spacing w:after="120"/>
              <w:rPr>
                <w:noProof/>
              </w:rPr>
            </w:pPr>
            <w:r>
              <w:rPr>
                <w:noProof/>
              </w:rPr>
              <w:t>d) integrirani pametni sistemi upravljanja za povečanje odpornosti in zanesljivosti inteligentnih infrastruktur, ki temeljijo na vodiku.</w:t>
            </w:r>
          </w:p>
          <w:p w14:paraId="78EE4FA9" w14:textId="77777777" w:rsidR="00154E32" w:rsidRDefault="00A43E04">
            <w:pPr>
              <w:pStyle w:val="P68B1DB1-Normal11"/>
              <w:spacing w:after="120"/>
              <w:rPr>
                <w:noProof/>
              </w:rPr>
            </w:pPr>
            <w:r>
              <w:rPr>
                <w:noProof/>
              </w:rPr>
              <w:t>Ta ukrep podpira proizvodnjo vodika na podlagi elektrolize z uporabo obnovljivih virov energije, kot so opredeljeni v Direktivi (EU) 2018/2001 (direktiva o obnovljivih virih), ali električne energije iz omrežja ali vodikove dejavnosti, ki izpolnjujejo zahtevo glede prihrankov emisij toplogrednih plinov v življenjskem ciklu v višini 73,4 % za vodik [zaradi česar so emisije toplogrednih plinov v življenjskem ciklu nižje od 3 t CO2e/tH2] in 70 % za sintetična goriva na osnovi vodika glede na primerjalno fosilno gorivo 94 g CO2e/MJ po analogiji s pristopom iz člena 25(2) Direktive (EU) 2018/2001 in Priloge V k Direktivi (EU) 2018/2001.</w:t>
            </w:r>
          </w:p>
        </w:tc>
      </w:tr>
      <w:tr w:rsidR="00154E32" w14:paraId="711887B7" w14:textId="77777777">
        <w:trPr>
          <w:trHeight w:val="309"/>
          <w:jc w:val="center"/>
        </w:trPr>
        <w:tc>
          <w:tcPr>
            <w:tcW w:w="975" w:type="dxa"/>
            <w:shd w:val="clear" w:color="auto" w:fill="C6EFCE"/>
            <w:noWrap/>
            <w:vAlign w:val="center"/>
          </w:tcPr>
          <w:p w14:paraId="1039D2DF" w14:textId="77777777" w:rsidR="00154E32" w:rsidRDefault="00A43E04">
            <w:pPr>
              <w:pStyle w:val="P68B1DB1-Normal11"/>
              <w:spacing w:line="276" w:lineRule="auto"/>
              <w:jc w:val="center"/>
              <w:rPr>
                <w:noProof/>
              </w:rPr>
            </w:pPr>
            <w:r>
              <w:rPr>
                <w:noProof/>
              </w:rPr>
              <w:t>M2C2–20</w:t>
            </w:r>
          </w:p>
        </w:tc>
        <w:tc>
          <w:tcPr>
            <w:tcW w:w="1716" w:type="dxa"/>
            <w:shd w:val="clear" w:color="auto" w:fill="C6EFCE"/>
            <w:noWrap/>
            <w:vAlign w:val="center"/>
          </w:tcPr>
          <w:p w14:paraId="155B65CB" w14:textId="77777777" w:rsidR="00154E32" w:rsidRDefault="00A43E04">
            <w:pPr>
              <w:pStyle w:val="P68B1DB1-Normal11"/>
              <w:spacing w:line="276" w:lineRule="auto"/>
              <w:jc w:val="center"/>
              <w:rPr>
                <w:noProof/>
              </w:rPr>
            </w:pPr>
            <w:r>
              <w:rPr>
                <w:noProof/>
              </w:rPr>
              <w:t>Reforma 3 Upravna poenostavitev in zmanjšanje regulativnih ovir za uvedbo vodika</w:t>
            </w:r>
          </w:p>
        </w:tc>
        <w:tc>
          <w:tcPr>
            <w:tcW w:w="1131" w:type="dxa"/>
            <w:shd w:val="clear" w:color="auto" w:fill="C6EFCE"/>
            <w:noWrap/>
            <w:vAlign w:val="center"/>
          </w:tcPr>
          <w:p w14:paraId="6E5CD9BC" w14:textId="77777777" w:rsidR="00154E32" w:rsidRDefault="00A43E04">
            <w:pPr>
              <w:pStyle w:val="P68B1DB1-Normal11"/>
              <w:spacing w:line="276" w:lineRule="auto"/>
              <w:jc w:val="center"/>
              <w:rPr>
                <w:noProof/>
              </w:rPr>
            </w:pPr>
            <w:r>
              <w:rPr>
                <w:noProof/>
              </w:rPr>
              <w:t>Mejnik</w:t>
            </w:r>
          </w:p>
        </w:tc>
        <w:tc>
          <w:tcPr>
            <w:tcW w:w="1418" w:type="dxa"/>
            <w:shd w:val="clear" w:color="auto" w:fill="C6EFCE"/>
            <w:noWrap/>
            <w:vAlign w:val="center"/>
          </w:tcPr>
          <w:p w14:paraId="7B19FBF4" w14:textId="77777777" w:rsidR="00154E32" w:rsidRDefault="00A43E04">
            <w:pPr>
              <w:pStyle w:val="P68B1DB1-Normal11"/>
              <w:spacing w:line="276" w:lineRule="auto"/>
              <w:jc w:val="center"/>
              <w:rPr>
                <w:noProof/>
              </w:rPr>
            </w:pPr>
            <w:r>
              <w:rPr>
                <w:noProof/>
              </w:rPr>
              <w:t>Začetek veljavnosti potrebnih zakonodajnih ukrepov</w:t>
            </w:r>
          </w:p>
        </w:tc>
        <w:tc>
          <w:tcPr>
            <w:tcW w:w="1277" w:type="dxa"/>
            <w:shd w:val="clear" w:color="auto" w:fill="C6EFCE"/>
            <w:noWrap/>
            <w:vAlign w:val="center"/>
          </w:tcPr>
          <w:p w14:paraId="2EE3A6D1" w14:textId="77777777" w:rsidR="00154E32" w:rsidRDefault="00A43E04">
            <w:pPr>
              <w:pStyle w:val="P68B1DB1-Normal11"/>
              <w:spacing w:line="276" w:lineRule="auto"/>
              <w:jc w:val="center"/>
              <w:rPr>
                <w:noProof/>
              </w:rPr>
            </w:pPr>
            <w:r>
              <w:rPr>
                <w:noProof/>
              </w:rPr>
              <w:t>Določba zakona o začetku veljavnosti zakona</w:t>
            </w:r>
          </w:p>
        </w:tc>
        <w:tc>
          <w:tcPr>
            <w:tcW w:w="1415" w:type="dxa"/>
            <w:shd w:val="clear" w:color="auto" w:fill="C6EFCE"/>
            <w:noWrap/>
            <w:vAlign w:val="center"/>
          </w:tcPr>
          <w:p w14:paraId="6E837E68" w14:textId="77777777" w:rsidR="00154E32" w:rsidRDefault="00A43E04">
            <w:pPr>
              <w:pStyle w:val="P68B1DB1-Normal11"/>
              <w:spacing w:line="276" w:lineRule="auto"/>
              <w:jc w:val="center"/>
              <w:rPr>
                <w:noProof/>
              </w:rPr>
            </w:pPr>
            <w:r>
              <w:rPr>
                <w:noProof/>
              </w:rPr>
              <w:t>JIH NI</w:t>
            </w:r>
          </w:p>
        </w:tc>
        <w:tc>
          <w:tcPr>
            <w:tcW w:w="709" w:type="dxa"/>
            <w:shd w:val="clear" w:color="auto" w:fill="C6EFCE"/>
            <w:noWrap/>
            <w:vAlign w:val="center"/>
          </w:tcPr>
          <w:p w14:paraId="45955DDB" w14:textId="77777777" w:rsidR="00154E32" w:rsidRDefault="00A43E04">
            <w:pPr>
              <w:pStyle w:val="P68B1DB1-Normal11"/>
              <w:spacing w:line="276" w:lineRule="auto"/>
              <w:jc w:val="center"/>
              <w:rPr>
                <w:noProof/>
              </w:rPr>
            </w:pPr>
            <w:r>
              <w:rPr>
                <w:noProof/>
              </w:rPr>
              <w:t>JIH NI</w:t>
            </w:r>
          </w:p>
        </w:tc>
        <w:tc>
          <w:tcPr>
            <w:tcW w:w="1418" w:type="dxa"/>
            <w:shd w:val="clear" w:color="auto" w:fill="C6EFCE"/>
            <w:noWrap/>
            <w:vAlign w:val="center"/>
          </w:tcPr>
          <w:p w14:paraId="0E3E80FD"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0EE72901" w14:textId="77777777" w:rsidR="00154E32" w:rsidRDefault="00A43E04">
            <w:pPr>
              <w:pStyle w:val="P68B1DB1-Normal11"/>
              <w:spacing w:line="276" w:lineRule="auto"/>
              <w:jc w:val="center"/>
              <w:rPr>
                <w:noProof/>
              </w:rPr>
            </w:pPr>
            <w:r>
              <w:rPr>
                <w:noProof/>
              </w:rPr>
              <w:t>ČETRTLETJE 1</w:t>
            </w:r>
          </w:p>
        </w:tc>
        <w:tc>
          <w:tcPr>
            <w:tcW w:w="709" w:type="dxa"/>
            <w:shd w:val="clear" w:color="auto" w:fill="C6EFCE"/>
            <w:noWrap/>
            <w:vAlign w:val="center"/>
          </w:tcPr>
          <w:p w14:paraId="551CBC97" w14:textId="77777777" w:rsidR="00154E32" w:rsidRDefault="00A43E04">
            <w:pPr>
              <w:pStyle w:val="P68B1DB1-Normal11"/>
              <w:spacing w:line="276" w:lineRule="auto"/>
              <w:jc w:val="center"/>
              <w:rPr>
                <w:noProof/>
              </w:rPr>
            </w:pPr>
            <w:r>
              <w:rPr>
                <w:noProof/>
              </w:rPr>
              <w:t>2023</w:t>
            </w:r>
          </w:p>
        </w:tc>
        <w:tc>
          <w:tcPr>
            <w:tcW w:w="3854" w:type="dxa"/>
            <w:shd w:val="clear" w:color="auto" w:fill="C6EFCE"/>
            <w:noWrap/>
            <w:vAlign w:val="center"/>
          </w:tcPr>
          <w:p w14:paraId="4A7BD3A8" w14:textId="77777777" w:rsidR="00154E32" w:rsidRDefault="00A43E04">
            <w:pPr>
              <w:pStyle w:val="P68B1DB1-Normal11"/>
              <w:spacing w:after="120"/>
              <w:rPr>
                <w:noProof/>
              </w:rPr>
            </w:pPr>
            <w:r>
              <w:rPr>
                <w:noProof/>
              </w:rPr>
              <w:t>Potrebni zakonodajni ukrepi določajo (i) varnostne določbe v zvezi s proizvodnjo, prenosom in skladiščenjem vodika, (ii) poenostavitev postopkov za izgradnjo majhnih struktur za proizvodnjo zelenega vodika in (iii) ukrepe v zvezi s pogoji za izgradnjo polnilnih postaj na osnovi vodika.</w:t>
            </w:r>
          </w:p>
          <w:p w14:paraId="0B73B5F7" w14:textId="77777777" w:rsidR="00154E32" w:rsidRDefault="00A43E04">
            <w:pPr>
              <w:pStyle w:val="P68B1DB1-Normal11"/>
              <w:spacing w:after="120"/>
              <w:rPr>
                <w:noProof/>
              </w:rPr>
            </w:pPr>
            <w:r>
              <w:rPr>
                <w:noProof/>
              </w:rPr>
              <w:t>Ta ukrep podpira le dejavnosti na področju vodika, ki izpolnjujejo zahtevo glede prihrankov emisij toplogrednih plinov v življenjskem ciklu v višini 73,4 % za vodik [kar pomeni 3 tCO2eq/tH2].</w:t>
            </w:r>
          </w:p>
        </w:tc>
      </w:tr>
      <w:tr w:rsidR="00154E32" w14:paraId="5C93101B" w14:textId="77777777">
        <w:trPr>
          <w:trHeight w:val="309"/>
          <w:jc w:val="center"/>
        </w:trPr>
        <w:tc>
          <w:tcPr>
            <w:tcW w:w="975" w:type="dxa"/>
            <w:shd w:val="clear" w:color="auto" w:fill="C6EFCE"/>
            <w:noWrap/>
            <w:vAlign w:val="center"/>
          </w:tcPr>
          <w:p w14:paraId="551B6028" w14:textId="77777777" w:rsidR="00154E32" w:rsidRDefault="00A43E04">
            <w:pPr>
              <w:pStyle w:val="P68B1DB1-Normal11"/>
              <w:spacing w:line="276" w:lineRule="auto"/>
              <w:jc w:val="center"/>
              <w:rPr>
                <w:noProof/>
              </w:rPr>
            </w:pPr>
            <w:r>
              <w:rPr>
                <w:noProof/>
              </w:rPr>
              <w:t>M2C2–21</w:t>
            </w:r>
          </w:p>
        </w:tc>
        <w:tc>
          <w:tcPr>
            <w:tcW w:w="1716" w:type="dxa"/>
            <w:shd w:val="clear" w:color="auto" w:fill="C6EFCE"/>
            <w:noWrap/>
            <w:vAlign w:val="center"/>
          </w:tcPr>
          <w:p w14:paraId="1644AEEF" w14:textId="77777777" w:rsidR="00154E32" w:rsidRDefault="00A43E04">
            <w:pPr>
              <w:pStyle w:val="P68B1DB1-Normal11"/>
              <w:spacing w:line="276" w:lineRule="auto"/>
              <w:jc w:val="center"/>
              <w:rPr>
                <w:noProof/>
              </w:rPr>
            </w:pPr>
            <w:r>
              <w:rPr>
                <w:noProof/>
              </w:rPr>
              <w:t>Reforma 4 Ukrepi za spodbujanje konkurenčnosti vodika</w:t>
            </w:r>
          </w:p>
        </w:tc>
        <w:tc>
          <w:tcPr>
            <w:tcW w:w="1131" w:type="dxa"/>
            <w:shd w:val="clear" w:color="auto" w:fill="C6EFCE"/>
            <w:noWrap/>
            <w:vAlign w:val="center"/>
          </w:tcPr>
          <w:p w14:paraId="63F7B67A" w14:textId="77777777" w:rsidR="00154E32" w:rsidRDefault="00A43E04">
            <w:pPr>
              <w:pStyle w:val="P68B1DB1-Normal11"/>
              <w:spacing w:line="276" w:lineRule="auto"/>
              <w:jc w:val="center"/>
              <w:rPr>
                <w:noProof/>
              </w:rPr>
            </w:pPr>
            <w:r>
              <w:rPr>
                <w:noProof/>
              </w:rPr>
              <w:t>Mejnik</w:t>
            </w:r>
          </w:p>
        </w:tc>
        <w:tc>
          <w:tcPr>
            <w:tcW w:w="1418" w:type="dxa"/>
            <w:shd w:val="clear" w:color="auto" w:fill="C6EFCE"/>
            <w:noWrap/>
            <w:vAlign w:val="center"/>
          </w:tcPr>
          <w:p w14:paraId="3120543E" w14:textId="77777777" w:rsidR="00154E32" w:rsidRDefault="00A43E04">
            <w:pPr>
              <w:pStyle w:val="P68B1DB1-Normal11"/>
              <w:spacing w:line="276" w:lineRule="auto"/>
              <w:jc w:val="center"/>
              <w:rPr>
                <w:noProof/>
              </w:rPr>
            </w:pPr>
            <w:r>
              <w:rPr>
                <w:noProof/>
              </w:rPr>
              <w:t>Začetek veljavnosti davčnih spodbud</w:t>
            </w:r>
          </w:p>
        </w:tc>
        <w:tc>
          <w:tcPr>
            <w:tcW w:w="1277" w:type="dxa"/>
            <w:shd w:val="clear" w:color="auto" w:fill="C6EFCE"/>
            <w:noWrap/>
            <w:vAlign w:val="center"/>
          </w:tcPr>
          <w:p w14:paraId="404C93E8" w14:textId="77777777" w:rsidR="00154E32" w:rsidRDefault="00A43E04">
            <w:pPr>
              <w:pStyle w:val="P68B1DB1-Normal11"/>
              <w:spacing w:line="276" w:lineRule="auto"/>
              <w:jc w:val="center"/>
              <w:rPr>
                <w:noProof/>
              </w:rPr>
            </w:pPr>
            <w:r>
              <w:rPr>
                <w:noProof/>
              </w:rPr>
              <w:t>Določba zakona o začetku veljavnosti zakona</w:t>
            </w:r>
          </w:p>
        </w:tc>
        <w:tc>
          <w:tcPr>
            <w:tcW w:w="1415" w:type="dxa"/>
            <w:shd w:val="clear" w:color="auto" w:fill="C6EFCE"/>
            <w:noWrap/>
            <w:vAlign w:val="center"/>
          </w:tcPr>
          <w:p w14:paraId="54D30CC3" w14:textId="77777777" w:rsidR="00154E32" w:rsidRDefault="00A43E04">
            <w:pPr>
              <w:pStyle w:val="P68B1DB1-Normal11"/>
              <w:spacing w:line="276" w:lineRule="auto"/>
              <w:jc w:val="center"/>
              <w:rPr>
                <w:noProof/>
              </w:rPr>
            </w:pPr>
            <w:r>
              <w:rPr>
                <w:noProof/>
              </w:rPr>
              <w:t>OPOMBA:</w:t>
            </w:r>
          </w:p>
        </w:tc>
        <w:tc>
          <w:tcPr>
            <w:tcW w:w="709" w:type="dxa"/>
            <w:shd w:val="clear" w:color="auto" w:fill="C6EFCE"/>
            <w:noWrap/>
            <w:vAlign w:val="center"/>
          </w:tcPr>
          <w:p w14:paraId="3F9D7ABE" w14:textId="4B31707E" w:rsidR="00154E32" w:rsidRDefault="00A43E04">
            <w:pPr>
              <w:pStyle w:val="P68B1DB1-Normal11"/>
              <w:spacing w:line="276" w:lineRule="auto"/>
              <w:jc w:val="center"/>
              <w:rPr>
                <w:noProof/>
              </w:rPr>
            </w:pPr>
            <w:r>
              <w:rPr>
                <w:noProof/>
              </w:rPr>
              <w:t>JIH NI</w:t>
            </w:r>
          </w:p>
        </w:tc>
        <w:tc>
          <w:tcPr>
            <w:tcW w:w="1418" w:type="dxa"/>
            <w:shd w:val="clear" w:color="auto" w:fill="C6EFCE"/>
            <w:noWrap/>
            <w:vAlign w:val="center"/>
          </w:tcPr>
          <w:p w14:paraId="177AA610"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574181E3" w14:textId="77777777" w:rsidR="00154E32" w:rsidRDefault="00A43E04">
            <w:pPr>
              <w:pStyle w:val="P68B1DB1-Normal11"/>
              <w:spacing w:line="276" w:lineRule="auto"/>
              <w:jc w:val="center"/>
              <w:rPr>
                <w:noProof/>
              </w:rPr>
            </w:pPr>
            <w:r>
              <w:rPr>
                <w:noProof/>
              </w:rPr>
              <w:t>Q2</w:t>
            </w:r>
          </w:p>
        </w:tc>
        <w:tc>
          <w:tcPr>
            <w:tcW w:w="709" w:type="dxa"/>
            <w:shd w:val="clear" w:color="auto" w:fill="C6EFCE"/>
            <w:noWrap/>
            <w:vAlign w:val="center"/>
          </w:tcPr>
          <w:p w14:paraId="0720C5A6" w14:textId="77777777" w:rsidR="00154E32" w:rsidRDefault="00A43E04">
            <w:pPr>
              <w:pStyle w:val="P68B1DB1-Normal11"/>
              <w:spacing w:line="276" w:lineRule="auto"/>
              <w:jc w:val="center"/>
              <w:rPr>
                <w:noProof/>
              </w:rPr>
            </w:pPr>
            <w:r>
              <w:rPr>
                <w:noProof/>
              </w:rPr>
              <w:t>2022</w:t>
            </w:r>
          </w:p>
        </w:tc>
        <w:tc>
          <w:tcPr>
            <w:tcW w:w="3854" w:type="dxa"/>
            <w:shd w:val="clear" w:color="auto" w:fill="C6EFCE"/>
            <w:noWrap/>
            <w:vAlign w:val="center"/>
          </w:tcPr>
          <w:p w14:paraId="0F4B1F2A" w14:textId="77777777" w:rsidR="00154E32" w:rsidRDefault="00A43E04">
            <w:pPr>
              <w:pStyle w:val="P68B1DB1-Normal11"/>
              <w:spacing w:after="120"/>
              <w:rPr>
                <w:noProof/>
              </w:rPr>
            </w:pPr>
            <w:r>
              <w:rPr>
                <w:noProof/>
              </w:rPr>
              <w:t>Zakon določa davčne spodbude za podporo proizvodnji zelenega vodika in za spodbujanje porabe zelenega vodika v prometnem sektorju.</w:t>
            </w:r>
          </w:p>
          <w:p w14:paraId="4FF74807" w14:textId="77777777" w:rsidR="00154E32" w:rsidRDefault="00A43E04">
            <w:pPr>
              <w:pStyle w:val="P68B1DB1-Normal11"/>
              <w:spacing w:after="120"/>
              <w:rPr>
                <w:noProof/>
              </w:rPr>
            </w:pPr>
            <w:r>
              <w:rPr>
                <w:noProof/>
              </w:rPr>
              <w:t>Ta ukrep podpira le dejavnosti na področju vodika, ki izpolnjujejo zahtevo glede prihrankov emisij toplogrednih plinov v življenjskem ciklu v višini 73,4 % za vodik [kar pomeni 3 tCO2eq/tH2].</w:t>
            </w:r>
          </w:p>
        </w:tc>
      </w:tr>
      <w:tr w:rsidR="00154E32" w14:paraId="79176F09" w14:textId="77777777">
        <w:trPr>
          <w:trHeight w:val="309"/>
          <w:jc w:val="center"/>
        </w:trPr>
        <w:tc>
          <w:tcPr>
            <w:tcW w:w="975" w:type="dxa"/>
            <w:shd w:val="clear" w:color="auto" w:fill="C6EFCE"/>
            <w:noWrap/>
            <w:vAlign w:val="center"/>
          </w:tcPr>
          <w:p w14:paraId="10DDB44D" w14:textId="77777777" w:rsidR="00154E32" w:rsidRDefault="00A43E04">
            <w:pPr>
              <w:pStyle w:val="P68B1DB1-Normal11"/>
              <w:spacing w:line="276" w:lineRule="auto"/>
              <w:jc w:val="center"/>
              <w:rPr>
                <w:noProof/>
              </w:rPr>
            </w:pPr>
            <w:r>
              <w:rPr>
                <w:noProof/>
              </w:rPr>
              <w:t>M2C2–22</w:t>
            </w:r>
          </w:p>
        </w:tc>
        <w:tc>
          <w:tcPr>
            <w:tcW w:w="1716" w:type="dxa"/>
            <w:shd w:val="clear" w:color="auto" w:fill="C6EFCE"/>
            <w:noWrap/>
            <w:vAlign w:val="center"/>
          </w:tcPr>
          <w:p w14:paraId="245AB54E" w14:textId="77777777" w:rsidR="00154E32" w:rsidRDefault="00A43E04">
            <w:pPr>
              <w:pStyle w:val="P68B1DB1-Normal11"/>
              <w:spacing w:line="276" w:lineRule="auto"/>
              <w:jc w:val="center"/>
              <w:rPr>
                <w:noProof/>
              </w:rPr>
            </w:pPr>
            <w:r>
              <w:rPr>
                <w:noProof/>
              </w:rPr>
              <w:t>Naložba 4.1 Naložbe v mehko mobilnost (nacionalni načrt kolesarske poti)</w:t>
            </w:r>
          </w:p>
        </w:tc>
        <w:tc>
          <w:tcPr>
            <w:tcW w:w="1131" w:type="dxa"/>
            <w:shd w:val="clear" w:color="auto" w:fill="C6EFCE"/>
            <w:noWrap/>
            <w:vAlign w:val="center"/>
          </w:tcPr>
          <w:p w14:paraId="46EA482D" w14:textId="77777777" w:rsidR="00154E32" w:rsidRDefault="00A43E04">
            <w:pPr>
              <w:pStyle w:val="P68B1DB1-Normal11"/>
              <w:spacing w:line="276" w:lineRule="auto"/>
              <w:jc w:val="center"/>
              <w:rPr>
                <w:noProof/>
              </w:rPr>
            </w:pPr>
            <w:r>
              <w:rPr>
                <w:noProof/>
              </w:rPr>
              <w:t>Ciljni:</w:t>
            </w:r>
          </w:p>
        </w:tc>
        <w:tc>
          <w:tcPr>
            <w:tcW w:w="1418" w:type="dxa"/>
            <w:shd w:val="clear" w:color="auto" w:fill="C6EFCE"/>
            <w:noWrap/>
            <w:vAlign w:val="center"/>
          </w:tcPr>
          <w:p w14:paraId="24DFD432" w14:textId="77777777" w:rsidR="00154E32" w:rsidRDefault="00A43E04">
            <w:pPr>
              <w:pStyle w:val="P68B1DB1-Normal11"/>
              <w:spacing w:line="276" w:lineRule="auto"/>
              <w:jc w:val="center"/>
              <w:rPr>
                <w:noProof/>
              </w:rPr>
            </w:pPr>
            <w:r>
              <w:rPr>
                <w:noProof/>
              </w:rPr>
              <w:t>Kolesarske steze T1</w:t>
            </w:r>
          </w:p>
        </w:tc>
        <w:tc>
          <w:tcPr>
            <w:tcW w:w="1277" w:type="dxa"/>
            <w:shd w:val="clear" w:color="auto" w:fill="C6EFCE"/>
            <w:noWrap/>
            <w:vAlign w:val="center"/>
          </w:tcPr>
          <w:p w14:paraId="39DC4094" w14:textId="77777777" w:rsidR="00154E32" w:rsidRDefault="00A43E04">
            <w:pPr>
              <w:pStyle w:val="P68B1DB1-Normal11"/>
              <w:spacing w:line="276" w:lineRule="auto"/>
              <w:jc w:val="center"/>
              <w:rPr>
                <w:noProof/>
              </w:rPr>
            </w:pPr>
            <w:r>
              <w:rPr>
                <w:noProof/>
              </w:rPr>
              <w:t>JIH NI</w:t>
            </w:r>
          </w:p>
        </w:tc>
        <w:tc>
          <w:tcPr>
            <w:tcW w:w="1415" w:type="dxa"/>
            <w:shd w:val="clear" w:color="auto" w:fill="C6EFCE"/>
            <w:noWrap/>
            <w:vAlign w:val="center"/>
          </w:tcPr>
          <w:p w14:paraId="51A6535E" w14:textId="77777777" w:rsidR="00154E32" w:rsidRDefault="00A43E04">
            <w:pPr>
              <w:pStyle w:val="P68B1DB1-Normal11"/>
              <w:spacing w:line="276" w:lineRule="auto"/>
              <w:jc w:val="center"/>
              <w:rPr>
                <w:noProof/>
              </w:rPr>
            </w:pPr>
            <w:r>
              <w:rPr>
                <w:noProof/>
              </w:rPr>
              <w:t>Kilometri</w:t>
            </w:r>
          </w:p>
        </w:tc>
        <w:tc>
          <w:tcPr>
            <w:tcW w:w="709" w:type="dxa"/>
            <w:shd w:val="clear" w:color="auto" w:fill="C6EFCE"/>
            <w:noWrap/>
            <w:vAlign w:val="center"/>
          </w:tcPr>
          <w:p w14:paraId="74D922AC" w14:textId="77777777" w:rsidR="00154E32" w:rsidRDefault="00A43E04">
            <w:pPr>
              <w:pStyle w:val="P68B1DB1-Normal11"/>
              <w:spacing w:line="276" w:lineRule="auto"/>
              <w:jc w:val="center"/>
              <w:rPr>
                <w:noProof/>
              </w:rPr>
            </w:pPr>
            <w:r>
              <w:rPr>
                <w:noProof/>
              </w:rPr>
              <w:t>0</w:t>
            </w:r>
          </w:p>
        </w:tc>
        <w:tc>
          <w:tcPr>
            <w:tcW w:w="1418" w:type="dxa"/>
            <w:shd w:val="clear" w:color="auto" w:fill="C6EFCE"/>
            <w:noWrap/>
            <w:vAlign w:val="center"/>
          </w:tcPr>
          <w:p w14:paraId="49142568" w14:textId="77777777" w:rsidR="00154E32" w:rsidRDefault="00A43E04">
            <w:pPr>
              <w:pStyle w:val="P68B1DB1-Normal11"/>
              <w:spacing w:line="276" w:lineRule="auto"/>
              <w:jc w:val="center"/>
              <w:rPr>
                <w:noProof/>
              </w:rPr>
            </w:pPr>
            <w:r>
              <w:rPr>
                <w:noProof/>
              </w:rPr>
              <w:t>200</w:t>
            </w:r>
          </w:p>
        </w:tc>
        <w:tc>
          <w:tcPr>
            <w:tcW w:w="993" w:type="dxa"/>
            <w:shd w:val="clear" w:color="auto" w:fill="C6EFCE"/>
            <w:noWrap/>
            <w:vAlign w:val="center"/>
          </w:tcPr>
          <w:p w14:paraId="24EBE99D" w14:textId="77777777" w:rsidR="00154E32" w:rsidRDefault="00A43E04">
            <w:pPr>
              <w:pStyle w:val="P68B1DB1-Normal11"/>
              <w:spacing w:line="276" w:lineRule="auto"/>
              <w:jc w:val="center"/>
              <w:rPr>
                <w:noProof/>
              </w:rPr>
            </w:pPr>
            <w:r>
              <w:rPr>
                <w:noProof/>
              </w:rPr>
              <w:t>Q4</w:t>
            </w:r>
          </w:p>
        </w:tc>
        <w:tc>
          <w:tcPr>
            <w:tcW w:w="709" w:type="dxa"/>
            <w:shd w:val="clear" w:color="auto" w:fill="C6EFCE"/>
            <w:noWrap/>
            <w:vAlign w:val="center"/>
          </w:tcPr>
          <w:p w14:paraId="096DF5EB" w14:textId="77777777" w:rsidR="00154E32" w:rsidRDefault="00A43E04">
            <w:pPr>
              <w:pStyle w:val="P68B1DB1-Normal11"/>
              <w:spacing w:line="276" w:lineRule="auto"/>
              <w:jc w:val="center"/>
              <w:rPr>
                <w:noProof/>
              </w:rPr>
            </w:pPr>
            <w:r>
              <w:rPr>
                <w:noProof/>
              </w:rPr>
              <w:t>2023</w:t>
            </w:r>
          </w:p>
        </w:tc>
        <w:tc>
          <w:tcPr>
            <w:tcW w:w="3854" w:type="dxa"/>
            <w:shd w:val="clear" w:color="auto" w:fill="C6EFCE"/>
            <w:noWrap/>
            <w:vAlign w:val="center"/>
          </w:tcPr>
          <w:p w14:paraId="5A7FEF98" w14:textId="54D05733" w:rsidR="00154E32" w:rsidRDefault="00A43E04">
            <w:pPr>
              <w:pStyle w:val="P68B1DB1-Normal11"/>
              <w:spacing w:after="120"/>
              <w:rPr>
                <w:noProof/>
              </w:rPr>
            </w:pPr>
            <w:r>
              <w:rPr>
                <w:noProof/>
              </w:rPr>
              <w:t>Dokončanje vsaj 200 km kolesarskih stez na metropolitanskih območjih, kot je opredeljeno v opisu ukrepa.</w:t>
            </w:r>
          </w:p>
        </w:tc>
      </w:tr>
      <w:tr w:rsidR="00154E32" w14:paraId="5B488591" w14:textId="77777777">
        <w:trPr>
          <w:trHeight w:val="309"/>
          <w:jc w:val="center"/>
        </w:trPr>
        <w:tc>
          <w:tcPr>
            <w:tcW w:w="975" w:type="dxa"/>
            <w:shd w:val="clear" w:color="auto" w:fill="C6EFCE"/>
            <w:noWrap/>
            <w:vAlign w:val="center"/>
          </w:tcPr>
          <w:p w14:paraId="130B9DCA" w14:textId="77777777" w:rsidR="00154E32" w:rsidRDefault="00A43E04">
            <w:pPr>
              <w:pStyle w:val="P68B1DB1-Normal11"/>
              <w:spacing w:line="276" w:lineRule="auto"/>
              <w:jc w:val="center"/>
              <w:rPr>
                <w:noProof/>
              </w:rPr>
            </w:pPr>
            <w:r>
              <w:rPr>
                <w:noProof/>
              </w:rPr>
              <w:t>M2C2–23</w:t>
            </w:r>
          </w:p>
        </w:tc>
        <w:tc>
          <w:tcPr>
            <w:tcW w:w="1716" w:type="dxa"/>
            <w:shd w:val="clear" w:color="auto" w:fill="C6EFCE"/>
            <w:noWrap/>
            <w:vAlign w:val="center"/>
          </w:tcPr>
          <w:p w14:paraId="3FB1090D" w14:textId="77777777" w:rsidR="00154E32" w:rsidRDefault="00A43E04">
            <w:pPr>
              <w:pStyle w:val="P68B1DB1-Normal11"/>
              <w:spacing w:line="276" w:lineRule="auto"/>
              <w:jc w:val="center"/>
              <w:rPr>
                <w:noProof/>
              </w:rPr>
            </w:pPr>
            <w:r>
              <w:rPr>
                <w:noProof/>
              </w:rPr>
              <w:t>Naložba 4.1 Naložbe v mehko mobilnost (nacionalni načrt kolesarske poti)</w:t>
            </w:r>
          </w:p>
        </w:tc>
        <w:tc>
          <w:tcPr>
            <w:tcW w:w="1131" w:type="dxa"/>
            <w:shd w:val="clear" w:color="auto" w:fill="C6EFCE"/>
            <w:noWrap/>
            <w:vAlign w:val="center"/>
          </w:tcPr>
          <w:p w14:paraId="05B51A2F" w14:textId="77777777" w:rsidR="00154E32" w:rsidRDefault="00A43E04">
            <w:pPr>
              <w:pStyle w:val="P68B1DB1-Normal11"/>
              <w:spacing w:line="276" w:lineRule="auto"/>
              <w:jc w:val="center"/>
              <w:rPr>
                <w:noProof/>
              </w:rPr>
            </w:pPr>
            <w:r>
              <w:rPr>
                <w:noProof/>
              </w:rPr>
              <w:t>Tarča</w:t>
            </w:r>
          </w:p>
        </w:tc>
        <w:tc>
          <w:tcPr>
            <w:tcW w:w="1418" w:type="dxa"/>
            <w:shd w:val="clear" w:color="auto" w:fill="C6EFCE"/>
            <w:noWrap/>
            <w:vAlign w:val="center"/>
          </w:tcPr>
          <w:p w14:paraId="0FBA241D" w14:textId="77777777" w:rsidR="00154E32" w:rsidRDefault="00A43E04">
            <w:pPr>
              <w:pStyle w:val="P68B1DB1-Normal11"/>
              <w:spacing w:line="276" w:lineRule="auto"/>
              <w:jc w:val="center"/>
              <w:rPr>
                <w:noProof/>
              </w:rPr>
            </w:pPr>
            <w:r>
              <w:rPr>
                <w:noProof/>
              </w:rPr>
              <w:t>Kolesarske steze T2</w:t>
            </w:r>
          </w:p>
        </w:tc>
        <w:tc>
          <w:tcPr>
            <w:tcW w:w="1277" w:type="dxa"/>
            <w:shd w:val="clear" w:color="auto" w:fill="C6EFCE"/>
            <w:noWrap/>
            <w:vAlign w:val="center"/>
          </w:tcPr>
          <w:p w14:paraId="7308385C" w14:textId="77777777" w:rsidR="00154E32" w:rsidRDefault="00A43E04">
            <w:pPr>
              <w:pStyle w:val="P68B1DB1-Normal11"/>
              <w:spacing w:line="276" w:lineRule="auto"/>
              <w:jc w:val="center"/>
              <w:rPr>
                <w:noProof/>
              </w:rPr>
            </w:pPr>
            <w:r>
              <w:rPr>
                <w:noProof/>
              </w:rPr>
              <w:t>JIH NI</w:t>
            </w:r>
          </w:p>
        </w:tc>
        <w:tc>
          <w:tcPr>
            <w:tcW w:w="1415" w:type="dxa"/>
            <w:shd w:val="clear" w:color="auto" w:fill="C6EFCE"/>
            <w:noWrap/>
            <w:vAlign w:val="center"/>
          </w:tcPr>
          <w:p w14:paraId="1D671ABC" w14:textId="77777777" w:rsidR="00154E32" w:rsidRDefault="00A43E04">
            <w:pPr>
              <w:pStyle w:val="P68B1DB1-Normal11"/>
              <w:spacing w:line="276" w:lineRule="auto"/>
              <w:jc w:val="center"/>
              <w:rPr>
                <w:noProof/>
              </w:rPr>
            </w:pPr>
            <w:r>
              <w:rPr>
                <w:noProof/>
              </w:rPr>
              <w:t>Kilometri</w:t>
            </w:r>
          </w:p>
        </w:tc>
        <w:tc>
          <w:tcPr>
            <w:tcW w:w="709" w:type="dxa"/>
            <w:shd w:val="clear" w:color="auto" w:fill="C6EFCE"/>
            <w:noWrap/>
            <w:vAlign w:val="center"/>
          </w:tcPr>
          <w:p w14:paraId="177954C6" w14:textId="77777777" w:rsidR="00154E32" w:rsidRDefault="00A43E04">
            <w:pPr>
              <w:pStyle w:val="P68B1DB1-Normal11"/>
              <w:spacing w:line="276" w:lineRule="auto"/>
              <w:jc w:val="center"/>
              <w:rPr>
                <w:noProof/>
              </w:rPr>
            </w:pPr>
            <w:r>
              <w:rPr>
                <w:noProof/>
              </w:rPr>
              <w:t>200</w:t>
            </w:r>
          </w:p>
        </w:tc>
        <w:tc>
          <w:tcPr>
            <w:tcW w:w="1418" w:type="dxa"/>
            <w:shd w:val="clear" w:color="auto" w:fill="C6EFCE"/>
            <w:noWrap/>
            <w:vAlign w:val="center"/>
          </w:tcPr>
          <w:p w14:paraId="24B5E56E" w14:textId="2CDD59B1" w:rsidR="00154E32" w:rsidRDefault="00A43E04">
            <w:pPr>
              <w:pStyle w:val="P68B1DB1-Normal12"/>
              <w:spacing w:line="276" w:lineRule="auto"/>
              <w:jc w:val="center"/>
              <w:rPr>
                <w:rFonts w:ascii="Arial Narrow" w:hAnsi="Arial Narrow"/>
                <w:noProof/>
              </w:rPr>
            </w:pPr>
            <w:r>
              <w:rPr>
                <w:rFonts w:ascii="Arial Narrow" w:hAnsi="Arial Narrow"/>
                <w:noProof/>
              </w:rPr>
              <w:t>1</w:t>
            </w:r>
            <w:r>
              <w:rPr>
                <w:noProof/>
              </w:rPr>
              <w:t xml:space="preserve"> </w:t>
            </w:r>
            <w:r>
              <w:rPr>
                <w:rFonts w:ascii="Arial Narrow" w:hAnsi="Arial Narrow"/>
                <w:noProof/>
              </w:rPr>
              <w:t>311</w:t>
            </w:r>
          </w:p>
        </w:tc>
        <w:tc>
          <w:tcPr>
            <w:tcW w:w="993" w:type="dxa"/>
            <w:shd w:val="clear" w:color="auto" w:fill="C6EFCE"/>
            <w:noWrap/>
            <w:vAlign w:val="center"/>
          </w:tcPr>
          <w:p w14:paraId="712F7AF5" w14:textId="77777777" w:rsidR="00154E32" w:rsidRDefault="00A43E04">
            <w:pPr>
              <w:pStyle w:val="P68B1DB1-Normal11"/>
              <w:spacing w:line="276" w:lineRule="auto"/>
              <w:jc w:val="center"/>
              <w:rPr>
                <w:noProof/>
              </w:rPr>
            </w:pPr>
            <w:r>
              <w:rPr>
                <w:noProof/>
              </w:rPr>
              <w:t>Q2</w:t>
            </w:r>
          </w:p>
        </w:tc>
        <w:tc>
          <w:tcPr>
            <w:tcW w:w="709" w:type="dxa"/>
            <w:shd w:val="clear" w:color="auto" w:fill="C6EFCE"/>
            <w:noWrap/>
            <w:vAlign w:val="center"/>
          </w:tcPr>
          <w:p w14:paraId="458D0C94" w14:textId="77777777" w:rsidR="00154E32" w:rsidRDefault="00A43E04">
            <w:pPr>
              <w:pStyle w:val="P68B1DB1-Normal11"/>
              <w:spacing w:line="276" w:lineRule="auto"/>
              <w:jc w:val="center"/>
              <w:rPr>
                <w:noProof/>
              </w:rPr>
            </w:pPr>
            <w:r>
              <w:rPr>
                <w:noProof/>
              </w:rPr>
              <w:t>2026</w:t>
            </w:r>
          </w:p>
        </w:tc>
        <w:tc>
          <w:tcPr>
            <w:tcW w:w="3854" w:type="dxa"/>
            <w:shd w:val="clear" w:color="auto" w:fill="C6EFCE"/>
            <w:noWrap/>
            <w:vAlign w:val="center"/>
          </w:tcPr>
          <w:p w14:paraId="4F28621B" w14:textId="5BC22B15" w:rsidR="00154E32" w:rsidRDefault="00A43E04">
            <w:pPr>
              <w:pStyle w:val="P68B1DB1-Normal11"/>
              <w:spacing w:after="120"/>
              <w:rPr>
                <w:noProof/>
              </w:rPr>
            </w:pPr>
            <w:r>
              <w:rPr>
                <w:noProof/>
              </w:rPr>
              <w:t>Dokončanje vsaj 365 km kolesarskih stez na metropolitanskih območjih (kot so opredeljene v opisu ukrepa) in najmanj 746 km turističnih kolesarskih poti, kot so opredeljene v zakonu št. 208 z dne 28. decembra 2015, št. 208.</w:t>
            </w:r>
          </w:p>
        </w:tc>
      </w:tr>
      <w:tr w:rsidR="00154E32" w14:paraId="703463F5" w14:textId="77777777">
        <w:trPr>
          <w:trHeight w:val="309"/>
          <w:jc w:val="center"/>
        </w:trPr>
        <w:tc>
          <w:tcPr>
            <w:tcW w:w="975" w:type="dxa"/>
            <w:shd w:val="clear" w:color="auto" w:fill="C6EFCE"/>
            <w:noWrap/>
            <w:vAlign w:val="center"/>
          </w:tcPr>
          <w:p w14:paraId="0838EAC3" w14:textId="77777777" w:rsidR="00154E32" w:rsidRDefault="00A43E04">
            <w:pPr>
              <w:pStyle w:val="P68B1DB1-Normal11"/>
              <w:spacing w:line="276" w:lineRule="auto"/>
              <w:jc w:val="center"/>
              <w:rPr>
                <w:noProof/>
              </w:rPr>
            </w:pPr>
            <w:r>
              <w:rPr>
                <w:noProof/>
              </w:rPr>
              <w:t>M2C2–24</w:t>
            </w:r>
          </w:p>
        </w:tc>
        <w:tc>
          <w:tcPr>
            <w:tcW w:w="1716" w:type="dxa"/>
            <w:shd w:val="clear" w:color="auto" w:fill="C6EFCE"/>
            <w:noWrap/>
            <w:vAlign w:val="center"/>
          </w:tcPr>
          <w:p w14:paraId="0A930193" w14:textId="77777777" w:rsidR="00154E32" w:rsidRDefault="00A43E04">
            <w:pPr>
              <w:pStyle w:val="P68B1DB1-Normal11"/>
              <w:spacing w:line="276" w:lineRule="auto"/>
              <w:jc w:val="center"/>
              <w:rPr>
                <w:noProof/>
              </w:rPr>
            </w:pPr>
            <w:r>
              <w:rPr>
                <w:noProof/>
              </w:rPr>
              <w:t>Naložba 4.2 Razvoj sistemov hitrega množičnega prevoza (metro, ulična motorna vozila, BRT)</w:t>
            </w:r>
          </w:p>
        </w:tc>
        <w:tc>
          <w:tcPr>
            <w:tcW w:w="1131" w:type="dxa"/>
            <w:shd w:val="clear" w:color="auto" w:fill="C6EFCE"/>
            <w:noWrap/>
            <w:vAlign w:val="center"/>
          </w:tcPr>
          <w:p w14:paraId="44B029DC" w14:textId="77777777" w:rsidR="00154E32" w:rsidRDefault="00A43E04">
            <w:pPr>
              <w:pStyle w:val="P68B1DB1-Normal11"/>
              <w:spacing w:line="276" w:lineRule="auto"/>
              <w:jc w:val="center"/>
              <w:rPr>
                <w:noProof/>
              </w:rPr>
            </w:pPr>
            <w:r>
              <w:rPr>
                <w:noProof/>
              </w:rPr>
              <w:t>Mejnik</w:t>
            </w:r>
          </w:p>
        </w:tc>
        <w:tc>
          <w:tcPr>
            <w:tcW w:w="1418" w:type="dxa"/>
            <w:shd w:val="clear" w:color="auto" w:fill="C6EFCE"/>
            <w:noWrap/>
            <w:vAlign w:val="center"/>
          </w:tcPr>
          <w:p w14:paraId="3542C55F" w14:textId="31053442" w:rsidR="00154E32" w:rsidRDefault="00A43E04">
            <w:pPr>
              <w:pStyle w:val="P68B1DB1-Normal19"/>
              <w:spacing w:line="276" w:lineRule="auto"/>
              <w:jc w:val="center"/>
              <w:rPr>
                <w:noProof/>
                <w:color w:val="006100"/>
              </w:rPr>
            </w:pPr>
            <w:r>
              <w:rPr>
                <w:noProof/>
                <w:color w:val="006100"/>
              </w:rPr>
              <w:t>Oddaja</w:t>
            </w:r>
            <w:r>
              <w:rPr>
                <w:noProof/>
              </w:rPr>
              <w:t xml:space="preserve"> </w:t>
            </w:r>
            <w:r>
              <w:rPr>
                <w:noProof/>
                <w:color w:val="006100"/>
              </w:rPr>
              <w:t>vseh javnih naročil za izgradnjo metropolitanskih območij podzemne železnice, tramvajev, trolejbusov in</w:t>
            </w:r>
            <w:r>
              <w:rPr>
                <w:noProof/>
              </w:rPr>
              <w:t>žičnic</w:t>
            </w:r>
          </w:p>
        </w:tc>
        <w:tc>
          <w:tcPr>
            <w:tcW w:w="1277" w:type="dxa"/>
            <w:shd w:val="clear" w:color="auto" w:fill="C6EFCE"/>
            <w:noWrap/>
            <w:vAlign w:val="center"/>
          </w:tcPr>
          <w:p w14:paraId="5D9AAF4B" w14:textId="77777777" w:rsidR="00154E32" w:rsidRDefault="00A43E04">
            <w:pPr>
              <w:pStyle w:val="P68B1DB1-Normal11"/>
              <w:spacing w:line="276" w:lineRule="auto"/>
              <w:jc w:val="center"/>
              <w:rPr>
                <w:noProof/>
              </w:rPr>
            </w:pPr>
            <w:r>
              <w:rPr>
                <w:noProof/>
              </w:rPr>
              <w:t>Obvestilo o oddaji vseh javnih naročil</w:t>
            </w:r>
          </w:p>
        </w:tc>
        <w:tc>
          <w:tcPr>
            <w:tcW w:w="1415" w:type="dxa"/>
            <w:shd w:val="clear" w:color="auto" w:fill="C6EFCE"/>
            <w:noWrap/>
            <w:vAlign w:val="center"/>
          </w:tcPr>
          <w:p w14:paraId="1243ABA9" w14:textId="77777777" w:rsidR="00154E32" w:rsidRDefault="00A43E04">
            <w:pPr>
              <w:pStyle w:val="P68B1DB1-Normal11"/>
              <w:spacing w:line="276" w:lineRule="auto"/>
              <w:jc w:val="center"/>
              <w:rPr>
                <w:noProof/>
              </w:rPr>
            </w:pPr>
            <w:r>
              <w:rPr>
                <w:noProof/>
              </w:rPr>
              <w:t>JIH NI</w:t>
            </w:r>
          </w:p>
        </w:tc>
        <w:tc>
          <w:tcPr>
            <w:tcW w:w="709" w:type="dxa"/>
            <w:shd w:val="clear" w:color="auto" w:fill="C6EFCE"/>
            <w:noWrap/>
            <w:vAlign w:val="center"/>
          </w:tcPr>
          <w:p w14:paraId="491D3CF3" w14:textId="77777777" w:rsidR="00154E32" w:rsidRDefault="00A43E04">
            <w:pPr>
              <w:pStyle w:val="P68B1DB1-Normal11"/>
              <w:spacing w:line="276" w:lineRule="auto"/>
              <w:jc w:val="center"/>
              <w:rPr>
                <w:noProof/>
              </w:rPr>
            </w:pPr>
            <w:r>
              <w:rPr>
                <w:noProof/>
              </w:rPr>
              <w:t>JIH NI</w:t>
            </w:r>
          </w:p>
        </w:tc>
        <w:tc>
          <w:tcPr>
            <w:tcW w:w="1418" w:type="dxa"/>
            <w:shd w:val="clear" w:color="auto" w:fill="C6EFCE"/>
            <w:noWrap/>
            <w:vAlign w:val="center"/>
          </w:tcPr>
          <w:p w14:paraId="01B805DB"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0BC5524B" w14:textId="77777777" w:rsidR="00154E32" w:rsidRDefault="00A43E04">
            <w:pPr>
              <w:pStyle w:val="P68B1DB1-Normal11"/>
              <w:spacing w:line="276" w:lineRule="auto"/>
              <w:jc w:val="center"/>
              <w:rPr>
                <w:noProof/>
              </w:rPr>
            </w:pPr>
            <w:r>
              <w:rPr>
                <w:noProof/>
              </w:rPr>
              <w:t>Q4</w:t>
            </w:r>
          </w:p>
        </w:tc>
        <w:tc>
          <w:tcPr>
            <w:tcW w:w="709" w:type="dxa"/>
            <w:shd w:val="clear" w:color="auto" w:fill="C6EFCE"/>
            <w:noWrap/>
            <w:vAlign w:val="center"/>
          </w:tcPr>
          <w:p w14:paraId="2BF2AF69" w14:textId="77777777" w:rsidR="00154E32" w:rsidRDefault="00A43E04">
            <w:pPr>
              <w:pStyle w:val="P68B1DB1-Normal11"/>
              <w:spacing w:line="276" w:lineRule="auto"/>
              <w:jc w:val="center"/>
              <w:rPr>
                <w:noProof/>
              </w:rPr>
            </w:pPr>
            <w:r>
              <w:rPr>
                <w:noProof/>
              </w:rPr>
              <w:t>2023</w:t>
            </w:r>
          </w:p>
        </w:tc>
        <w:tc>
          <w:tcPr>
            <w:tcW w:w="3854" w:type="dxa"/>
            <w:shd w:val="clear" w:color="auto" w:fill="C6EFCE"/>
            <w:noWrap/>
            <w:vAlign w:val="center"/>
          </w:tcPr>
          <w:p w14:paraId="18402767" w14:textId="77777777" w:rsidR="00154E32" w:rsidRDefault="00A43E04">
            <w:pPr>
              <w:pStyle w:val="P68B1DB1-Normal11"/>
              <w:spacing w:after="120"/>
              <w:rPr>
                <w:noProof/>
              </w:rPr>
            </w:pPr>
            <w:r>
              <w:rPr>
                <w:noProof/>
              </w:rPr>
              <w:t>Obvestilo o oddaji vseh javnih naročil za izgradnjo infrastrukturnih projektov, kot so opredeljeni v opisu ukrepa.</w:t>
            </w:r>
          </w:p>
        </w:tc>
      </w:tr>
      <w:tr w:rsidR="00154E32" w14:paraId="7DB92FD0" w14:textId="77777777">
        <w:trPr>
          <w:trHeight w:val="309"/>
          <w:jc w:val="center"/>
        </w:trPr>
        <w:tc>
          <w:tcPr>
            <w:tcW w:w="975" w:type="dxa"/>
            <w:shd w:val="clear" w:color="auto" w:fill="C6EFCE"/>
            <w:noWrap/>
            <w:vAlign w:val="center"/>
          </w:tcPr>
          <w:p w14:paraId="6F81F9A4" w14:textId="77777777" w:rsidR="00154E32" w:rsidRDefault="00A43E04">
            <w:pPr>
              <w:pStyle w:val="P68B1DB1-Normal11"/>
              <w:spacing w:line="276" w:lineRule="auto"/>
              <w:jc w:val="center"/>
              <w:rPr>
                <w:noProof/>
              </w:rPr>
            </w:pPr>
            <w:r>
              <w:rPr>
                <w:noProof/>
              </w:rPr>
              <w:t>M2C2–27</w:t>
            </w:r>
          </w:p>
        </w:tc>
        <w:tc>
          <w:tcPr>
            <w:tcW w:w="1716" w:type="dxa"/>
            <w:shd w:val="clear" w:color="auto" w:fill="C6EFCE"/>
            <w:noWrap/>
            <w:vAlign w:val="center"/>
          </w:tcPr>
          <w:p w14:paraId="6852EA35" w14:textId="77777777" w:rsidR="00154E32" w:rsidRDefault="00A43E04">
            <w:pPr>
              <w:pStyle w:val="P68B1DB1-Normal11"/>
              <w:spacing w:line="276" w:lineRule="auto"/>
              <w:jc w:val="center"/>
              <w:rPr>
                <w:noProof/>
              </w:rPr>
            </w:pPr>
            <w:r>
              <w:rPr>
                <w:noProof/>
              </w:rPr>
              <w:t>Naložba 4.3 Vgradnja infrastrukture za polnjenje</w:t>
            </w:r>
          </w:p>
        </w:tc>
        <w:tc>
          <w:tcPr>
            <w:tcW w:w="1131" w:type="dxa"/>
            <w:shd w:val="clear" w:color="auto" w:fill="C6EFCE"/>
            <w:noWrap/>
            <w:vAlign w:val="center"/>
          </w:tcPr>
          <w:p w14:paraId="4FEFE72B" w14:textId="77777777" w:rsidR="00154E32" w:rsidRDefault="00A43E04">
            <w:pPr>
              <w:pStyle w:val="P68B1DB1-Normal11"/>
              <w:spacing w:line="276" w:lineRule="auto"/>
              <w:jc w:val="center"/>
              <w:rPr>
                <w:noProof/>
              </w:rPr>
            </w:pPr>
            <w:r>
              <w:rPr>
                <w:noProof/>
              </w:rPr>
              <w:t>Mejnik</w:t>
            </w:r>
          </w:p>
        </w:tc>
        <w:tc>
          <w:tcPr>
            <w:tcW w:w="1418" w:type="dxa"/>
            <w:shd w:val="clear" w:color="auto" w:fill="C6EFCE"/>
            <w:noWrap/>
            <w:vAlign w:val="center"/>
          </w:tcPr>
          <w:p w14:paraId="41843663" w14:textId="77777777" w:rsidR="00154E32" w:rsidRDefault="00A43E04">
            <w:pPr>
              <w:pStyle w:val="P68B1DB1-Normal11"/>
              <w:spacing w:line="276" w:lineRule="auto"/>
              <w:jc w:val="center"/>
              <w:rPr>
                <w:noProof/>
              </w:rPr>
            </w:pPr>
            <w:r>
              <w:rPr>
                <w:noProof/>
              </w:rPr>
              <w:t>Oddaja vseh javnih naročil za namestitev infrastrukture za polnjenje M1</w:t>
            </w:r>
          </w:p>
        </w:tc>
        <w:tc>
          <w:tcPr>
            <w:tcW w:w="1277" w:type="dxa"/>
            <w:shd w:val="clear" w:color="auto" w:fill="C6EFCE"/>
            <w:noWrap/>
            <w:vAlign w:val="center"/>
          </w:tcPr>
          <w:p w14:paraId="08273EAC" w14:textId="77777777" w:rsidR="00154E32" w:rsidRDefault="00A43E04">
            <w:pPr>
              <w:pStyle w:val="P68B1DB1-Normal11"/>
              <w:spacing w:line="276" w:lineRule="auto"/>
              <w:jc w:val="center"/>
              <w:rPr>
                <w:noProof/>
              </w:rPr>
            </w:pPr>
            <w:r>
              <w:rPr>
                <w:noProof/>
              </w:rPr>
              <w:t>Obvestilo o oddaji vseh javnih naročil za namestitev polnilne infrastrukture</w:t>
            </w:r>
          </w:p>
        </w:tc>
        <w:tc>
          <w:tcPr>
            <w:tcW w:w="1415" w:type="dxa"/>
            <w:shd w:val="clear" w:color="auto" w:fill="C6EFCE"/>
            <w:noWrap/>
            <w:vAlign w:val="center"/>
          </w:tcPr>
          <w:p w14:paraId="649C03A1" w14:textId="77777777" w:rsidR="00154E32" w:rsidRDefault="00A43E04">
            <w:pPr>
              <w:pStyle w:val="P68B1DB1-Normal11"/>
              <w:spacing w:line="276" w:lineRule="auto"/>
              <w:jc w:val="center"/>
              <w:rPr>
                <w:noProof/>
              </w:rPr>
            </w:pPr>
            <w:r>
              <w:rPr>
                <w:noProof/>
              </w:rPr>
              <w:t>JIH NI</w:t>
            </w:r>
          </w:p>
        </w:tc>
        <w:tc>
          <w:tcPr>
            <w:tcW w:w="709" w:type="dxa"/>
            <w:shd w:val="clear" w:color="auto" w:fill="C6EFCE"/>
            <w:noWrap/>
            <w:vAlign w:val="center"/>
          </w:tcPr>
          <w:p w14:paraId="50442BB4" w14:textId="77777777" w:rsidR="00154E32" w:rsidRDefault="00A43E04">
            <w:pPr>
              <w:pStyle w:val="P68B1DB1-Normal11"/>
              <w:spacing w:line="276" w:lineRule="auto"/>
              <w:jc w:val="center"/>
              <w:rPr>
                <w:noProof/>
              </w:rPr>
            </w:pPr>
            <w:r>
              <w:rPr>
                <w:noProof/>
              </w:rPr>
              <w:t>JIH NI</w:t>
            </w:r>
          </w:p>
        </w:tc>
        <w:tc>
          <w:tcPr>
            <w:tcW w:w="1418" w:type="dxa"/>
            <w:shd w:val="clear" w:color="auto" w:fill="C6EFCE"/>
            <w:noWrap/>
            <w:vAlign w:val="center"/>
          </w:tcPr>
          <w:p w14:paraId="624D67AA"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4E8EC557" w14:textId="77777777" w:rsidR="00154E32" w:rsidRDefault="00A43E04">
            <w:pPr>
              <w:pStyle w:val="P68B1DB1-Normal11"/>
              <w:spacing w:line="276" w:lineRule="auto"/>
              <w:jc w:val="center"/>
              <w:rPr>
                <w:noProof/>
              </w:rPr>
            </w:pPr>
            <w:r>
              <w:rPr>
                <w:noProof/>
              </w:rPr>
              <w:t>Q2</w:t>
            </w:r>
          </w:p>
        </w:tc>
        <w:tc>
          <w:tcPr>
            <w:tcW w:w="709" w:type="dxa"/>
            <w:shd w:val="clear" w:color="auto" w:fill="C6EFCE"/>
            <w:noWrap/>
            <w:vAlign w:val="center"/>
          </w:tcPr>
          <w:p w14:paraId="5635799D" w14:textId="77777777" w:rsidR="00154E32" w:rsidRDefault="00A43E04">
            <w:pPr>
              <w:pStyle w:val="P68B1DB1-Normal11"/>
              <w:spacing w:line="276" w:lineRule="auto"/>
              <w:jc w:val="center"/>
              <w:rPr>
                <w:noProof/>
              </w:rPr>
            </w:pPr>
            <w:r>
              <w:rPr>
                <w:noProof/>
              </w:rPr>
              <w:t>2023</w:t>
            </w:r>
          </w:p>
        </w:tc>
        <w:tc>
          <w:tcPr>
            <w:tcW w:w="3854" w:type="dxa"/>
            <w:shd w:val="clear" w:color="auto" w:fill="C6EFCE"/>
            <w:noWrap/>
            <w:vAlign w:val="center"/>
          </w:tcPr>
          <w:p w14:paraId="5C876229" w14:textId="42E26E56" w:rsidR="00154E32" w:rsidRDefault="00A43E04">
            <w:pPr>
              <w:pStyle w:val="P68B1DB1-Normal12"/>
              <w:spacing w:after="120"/>
              <w:rPr>
                <w:rFonts w:ascii="Arial Narrow" w:hAnsi="Arial Narrow"/>
                <w:noProof/>
              </w:rPr>
            </w:pPr>
            <w:r>
              <w:rPr>
                <w:rFonts w:ascii="Arial Narrow" w:hAnsi="Arial Narrow"/>
                <w:noProof/>
              </w:rPr>
              <w:t>Obvestilo o oddaji vseh javnih naročil za izgradnjo vsaj 4700</w:t>
            </w:r>
            <w:r>
              <w:rPr>
                <w:noProof/>
              </w:rPr>
              <w:t xml:space="preserve"> </w:t>
            </w:r>
            <w:r>
              <w:rPr>
                <w:rFonts w:ascii="Arial Narrow" w:hAnsi="Arial Narrow"/>
                <w:noProof/>
              </w:rPr>
              <w:t>polnilnih postaj na mestnih območjih (v vseh občinah).</w:t>
            </w:r>
          </w:p>
          <w:p w14:paraId="50CDAED6" w14:textId="77777777" w:rsidR="00154E32" w:rsidRDefault="00A43E04">
            <w:pPr>
              <w:pStyle w:val="P68B1DB1-Normal11"/>
              <w:spacing w:after="120"/>
              <w:rPr>
                <w:noProof/>
              </w:rPr>
            </w:pPr>
            <w:r>
              <w:rPr>
                <w:noProof/>
              </w:rPr>
              <w:t>Projekt lahko vključuje tudi pilotne polnilne postaje za shranjevanje energije.</w:t>
            </w:r>
          </w:p>
        </w:tc>
      </w:tr>
      <w:tr w:rsidR="00154E32" w14:paraId="6D209B5B" w14:textId="77777777">
        <w:trPr>
          <w:trHeight w:val="309"/>
          <w:jc w:val="center"/>
        </w:trPr>
        <w:tc>
          <w:tcPr>
            <w:tcW w:w="975" w:type="dxa"/>
            <w:shd w:val="clear" w:color="auto" w:fill="C6EFCE"/>
            <w:noWrap/>
            <w:vAlign w:val="center"/>
          </w:tcPr>
          <w:p w14:paraId="446C4A3B" w14:textId="77777777" w:rsidR="00154E32" w:rsidRDefault="00A43E04">
            <w:pPr>
              <w:pStyle w:val="P68B1DB1-Normal11"/>
              <w:spacing w:line="276" w:lineRule="auto"/>
              <w:jc w:val="center"/>
              <w:rPr>
                <w:noProof/>
              </w:rPr>
            </w:pPr>
            <w:r>
              <w:rPr>
                <w:noProof/>
              </w:rPr>
              <w:t>M2C2–28</w:t>
            </w:r>
          </w:p>
        </w:tc>
        <w:tc>
          <w:tcPr>
            <w:tcW w:w="1716" w:type="dxa"/>
            <w:shd w:val="clear" w:color="auto" w:fill="C6EFCE"/>
            <w:noWrap/>
            <w:vAlign w:val="center"/>
          </w:tcPr>
          <w:p w14:paraId="09688317" w14:textId="77777777" w:rsidR="00154E32" w:rsidRDefault="00A43E04">
            <w:pPr>
              <w:pStyle w:val="P68B1DB1-Normal11"/>
              <w:spacing w:line="276" w:lineRule="auto"/>
              <w:jc w:val="center"/>
              <w:rPr>
                <w:noProof/>
              </w:rPr>
            </w:pPr>
            <w:r>
              <w:rPr>
                <w:noProof/>
              </w:rPr>
              <w:t>Naložba 4.3 Vgradnja infrastrukture za polnjenje</w:t>
            </w:r>
          </w:p>
        </w:tc>
        <w:tc>
          <w:tcPr>
            <w:tcW w:w="1131" w:type="dxa"/>
            <w:shd w:val="clear" w:color="auto" w:fill="C6EFCE"/>
            <w:noWrap/>
            <w:vAlign w:val="center"/>
          </w:tcPr>
          <w:p w14:paraId="0979D20A" w14:textId="77777777" w:rsidR="00154E32" w:rsidRDefault="00A43E04">
            <w:pPr>
              <w:pStyle w:val="P68B1DB1-Normal11"/>
              <w:spacing w:line="276" w:lineRule="auto"/>
              <w:jc w:val="center"/>
              <w:rPr>
                <w:noProof/>
              </w:rPr>
            </w:pPr>
            <w:r>
              <w:rPr>
                <w:noProof/>
              </w:rPr>
              <w:t>Mejnik</w:t>
            </w:r>
          </w:p>
        </w:tc>
        <w:tc>
          <w:tcPr>
            <w:tcW w:w="1418" w:type="dxa"/>
            <w:shd w:val="clear" w:color="auto" w:fill="C6EFCE"/>
            <w:noWrap/>
            <w:vAlign w:val="center"/>
          </w:tcPr>
          <w:p w14:paraId="217B8474" w14:textId="77777777" w:rsidR="00154E32" w:rsidRDefault="00A43E04">
            <w:pPr>
              <w:pStyle w:val="P68B1DB1-Normal11"/>
              <w:spacing w:line="276" w:lineRule="auto"/>
              <w:jc w:val="center"/>
              <w:rPr>
                <w:noProof/>
              </w:rPr>
            </w:pPr>
            <w:r>
              <w:rPr>
                <w:noProof/>
              </w:rPr>
              <w:t>Oddaja vseh javnih naročil za namestitev infrastrukture za polnjenje M2</w:t>
            </w:r>
          </w:p>
        </w:tc>
        <w:tc>
          <w:tcPr>
            <w:tcW w:w="1277" w:type="dxa"/>
            <w:shd w:val="clear" w:color="auto" w:fill="C6EFCE"/>
            <w:noWrap/>
            <w:vAlign w:val="center"/>
          </w:tcPr>
          <w:p w14:paraId="1A95202C" w14:textId="77777777" w:rsidR="00154E32" w:rsidRDefault="00A43E04">
            <w:pPr>
              <w:pStyle w:val="P68B1DB1-Normal11"/>
              <w:spacing w:line="276" w:lineRule="auto"/>
              <w:jc w:val="center"/>
              <w:rPr>
                <w:noProof/>
              </w:rPr>
            </w:pPr>
            <w:r>
              <w:rPr>
                <w:noProof/>
              </w:rPr>
              <w:t>Obvestilo o oddaji vseh javnih naročil za namestitev polnilne infrastrukture</w:t>
            </w:r>
          </w:p>
        </w:tc>
        <w:tc>
          <w:tcPr>
            <w:tcW w:w="1415" w:type="dxa"/>
            <w:shd w:val="clear" w:color="auto" w:fill="C6EFCE"/>
            <w:noWrap/>
            <w:vAlign w:val="center"/>
          </w:tcPr>
          <w:p w14:paraId="65FFFD24" w14:textId="77777777" w:rsidR="00154E32" w:rsidRDefault="00A43E04">
            <w:pPr>
              <w:pStyle w:val="P68B1DB1-Normal11"/>
              <w:spacing w:line="276" w:lineRule="auto"/>
              <w:jc w:val="center"/>
              <w:rPr>
                <w:noProof/>
              </w:rPr>
            </w:pPr>
            <w:r>
              <w:rPr>
                <w:noProof/>
              </w:rPr>
              <w:t>JIH NI</w:t>
            </w:r>
          </w:p>
        </w:tc>
        <w:tc>
          <w:tcPr>
            <w:tcW w:w="709" w:type="dxa"/>
            <w:shd w:val="clear" w:color="auto" w:fill="C6EFCE"/>
            <w:noWrap/>
            <w:vAlign w:val="center"/>
          </w:tcPr>
          <w:p w14:paraId="289F4105" w14:textId="77777777" w:rsidR="00154E32" w:rsidRDefault="00A43E04">
            <w:pPr>
              <w:pStyle w:val="P68B1DB1-Normal11"/>
              <w:spacing w:line="276" w:lineRule="auto"/>
              <w:jc w:val="center"/>
              <w:rPr>
                <w:noProof/>
              </w:rPr>
            </w:pPr>
            <w:r>
              <w:rPr>
                <w:noProof/>
              </w:rPr>
              <w:t>JIH NI</w:t>
            </w:r>
          </w:p>
        </w:tc>
        <w:tc>
          <w:tcPr>
            <w:tcW w:w="1418" w:type="dxa"/>
            <w:shd w:val="clear" w:color="auto" w:fill="C6EFCE"/>
            <w:noWrap/>
            <w:vAlign w:val="center"/>
          </w:tcPr>
          <w:p w14:paraId="008E28B9"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68BCF4C1" w14:textId="77777777" w:rsidR="00154E32" w:rsidRDefault="00A43E04">
            <w:pPr>
              <w:pStyle w:val="P68B1DB1-Normal11"/>
              <w:spacing w:line="276" w:lineRule="auto"/>
              <w:jc w:val="center"/>
              <w:rPr>
                <w:noProof/>
              </w:rPr>
            </w:pPr>
            <w:r>
              <w:rPr>
                <w:noProof/>
              </w:rPr>
              <w:t>Q4</w:t>
            </w:r>
          </w:p>
        </w:tc>
        <w:tc>
          <w:tcPr>
            <w:tcW w:w="709" w:type="dxa"/>
            <w:shd w:val="clear" w:color="auto" w:fill="C6EFCE"/>
            <w:noWrap/>
            <w:vAlign w:val="center"/>
          </w:tcPr>
          <w:p w14:paraId="34068F1E" w14:textId="77777777" w:rsidR="00154E32" w:rsidRDefault="00A43E04">
            <w:pPr>
              <w:pStyle w:val="P68B1DB1-Normal11"/>
              <w:spacing w:line="276" w:lineRule="auto"/>
              <w:jc w:val="center"/>
              <w:rPr>
                <w:noProof/>
              </w:rPr>
            </w:pPr>
            <w:r>
              <w:rPr>
                <w:noProof/>
              </w:rPr>
              <w:t>2024</w:t>
            </w:r>
          </w:p>
        </w:tc>
        <w:tc>
          <w:tcPr>
            <w:tcW w:w="3854" w:type="dxa"/>
            <w:shd w:val="clear" w:color="auto" w:fill="C6EFCE"/>
            <w:noWrap/>
            <w:vAlign w:val="center"/>
          </w:tcPr>
          <w:p w14:paraId="7AAD52A1" w14:textId="58427F7C" w:rsidR="00154E32" w:rsidRDefault="00A43E04">
            <w:pPr>
              <w:pStyle w:val="P68B1DB1-Normal12"/>
              <w:spacing w:after="120"/>
              <w:rPr>
                <w:rFonts w:ascii="Arial Narrow" w:hAnsi="Arial Narrow"/>
                <w:noProof/>
              </w:rPr>
            </w:pPr>
            <w:r>
              <w:rPr>
                <w:rFonts w:ascii="Arial Narrow" w:hAnsi="Arial Narrow"/>
                <w:noProof/>
              </w:rPr>
              <w:t>Oddaja naročil za izgradnjo 7500</w:t>
            </w:r>
            <w:r>
              <w:rPr>
                <w:noProof/>
              </w:rPr>
              <w:t xml:space="preserve"> </w:t>
            </w:r>
            <w:r>
              <w:rPr>
                <w:rFonts w:ascii="Arial Narrow" w:hAnsi="Arial Narrow"/>
                <w:noProof/>
              </w:rPr>
              <w:t>javnih polnilnih infrastrukturnih mest na prostem in vsaj 9055 na</w:t>
            </w:r>
            <w:r>
              <w:rPr>
                <w:noProof/>
              </w:rPr>
              <w:t xml:space="preserve"> </w:t>
            </w:r>
            <w:r>
              <w:rPr>
                <w:rFonts w:ascii="Arial Narrow" w:hAnsi="Arial Narrow"/>
                <w:noProof/>
              </w:rPr>
              <w:t>mestnih območjih (vse občine).</w:t>
            </w:r>
          </w:p>
          <w:p w14:paraId="6647D76F" w14:textId="77777777" w:rsidR="00154E32" w:rsidRDefault="00A43E04">
            <w:pPr>
              <w:pStyle w:val="P68B1DB1-Normal11"/>
              <w:spacing w:after="120"/>
              <w:rPr>
                <w:noProof/>
              </w:rPr>
            </w:pPr>
            <w:r>
              <w:rPr>
                <w:noProof/>
              </w:rPr>
              <w:t>Projekt lahko vključuje tudi pilotne polnilne postaje za shranjevanje energije.</w:t>
            </w:r>
          </w:p>
        </w:tc>
      </w:tr>
      <w:tr w:rsidR="00154E32" w14:paraId="048B4642" w14:textId="77777777">
        <w:trPr>
          <w:trHeight w:val="309"/>
          <w:jc w:val="center"/>
        </w:trPr>
        <w:tc>
          <w:tcPr>
            <w:tcW w:w="975" w:type="dxa"/>
            <w:shd w:val="clear" w:color="auto" w:fill="C6EFCE"/>
            <w:noWrap/>
            <w:vAlign w:val="center"/>
          </w:tcPr>
          <w:p w14:paraId="16F4F0B1" w14:textId="77777777" w:rsidR="00154E32" w:rsidRDefault="00A43E04">
            <w:pPr>
              <w:pStyle w:val="P68B1DB1-Normal11"/>
              <w:spacing w:line="276" w:lineRule="auto"/>
              <w:jc w:val="center"/>
              <w:rPr>
                <w:noProof/>
              </w:rPr>
            </w:pPr>
            <w:r>
              <w:rPr>
                <w:noProof/>
              </w:rPr>
              <w:t>M2C2–29</w:t>
            </w:r>
          </w:p>
        </w:tc>
        <w:tc>
          <w:tcPr>
            <w:tcW w:w="1716" w:type="dxa"/>
            <w:shd w:val="clear" w:color="auto" w:fill="C6EFCE"/>
            <w:noWrap/>
            <w:vAlign w:val="center"/>
          </w:tcPr>
          <w:p w14:paraId="4DC268E0" w14:textId="77777777" w:rsidR="00154E32" w:rsidRDefault="00A43E04">
            <w:pPr>
              <w:pStyle w:val="P68B1DB1-Normal11"/>
              <w:spacing w:line="276" w:lineRule="auto"/>
              <w:jc w:val="center"/>
              <w:rPr>
                <w:noProof/>
              </w:rPr>
            </w:pPr>
            <w:r>
              <w:rPr>
                <w:noProof/>
              </w:rPr>
              <w:t>Naložba 4.3 Vgradnja infrastrukture za polnjenje</w:t>
            </w:r>
          </w:p>
        </w:tc>
        <w:tc>
          <w:tcPr>
            <w:tcW w:w="1131" w:type="dxa"/>
            <w:shd w:val="clear" w:color="auto" w:fill="C6EFCE"/>
            <w:noWrap/>
            <w:vAlign w:val="center"/>
          </w:tcPr>
          <w:p w14:paraId="363E4A85" w14:textId="77777777" w:rsidR="00154E32" w:rsidRDefault="00A43E04">
            <w:pPr>
              <w:pStyle w:val="P68B1DB1-Normal11"/>
              <w:spacing w:line="276" w:lineRule="auto"/>
              <w:jc w:val="center"/>
              <w:rPr>
                <w:noProof/>
              </w:rPr>
            </w:pPr>
            <w:r>
              <w:rPr>
                <w:noProof/>
              </w:rPr>
              <w:t>Tarča</w:t>
            </w:r>
          </w:p>
        </w:tc>
        <w:tc>
          <w:tcPr>
            <w:tcW w:w="1418" w:type="dxa"/>
            <w:shd w:val="clear" w:color="auto" w:fill="C6EFCE"/>
            <w:noWrap/>
            <w:vAlign w:val="center"/>
          </w:tcPr>
          <w:p w14:paraId="0EBD8E6F" w14:textId="77777777" w:rsidR="00154E32" w:rsidRDefault="00A43E04">
            <w:pPr>
              <w:pStyle w:val="P68B1DB1-Normal11"/>
              <w:spacing w:line="276" w:lineRule="auto"/>
              <w:jc w:val="center"/>
              <w:rPr>
                <w:noProof/>
              </w:rPr>
            </w:pPr>
            <w:r>
              <w:rPr>
                <w:noProof/>
              </w:rPr>
              <w:t>Število postaj za hitro polnjenje vzdolž prostih poti</w:t>
            </w:r>
          </w:p>
        </w:tc>
        <w:tc>
          <w:tcPr>
            <w:tcW w:w="1277" w:type="dxa"/>
            <w:shd w:val="clear" w:color="auto" w:fill="C6EFCE"/>
            <w:noWrap/>
            <w:vAlign w:val="center"/>
          </w:tcPr>
          <w:p w14:paraId="190E020E" w14:textId="77777777" w:rsidR="00154E32" w:rsidRDefault="00A43E04">
            <w:pPr>
              <w:pStyle w:val="P68B1DB1-Normal11"/>
              <w:spacing w:line="276" w:lineRule="auto"/>
              <w:jc w:val="center"/>
              <w:rPr>
                <w:noProof/>
              </w:rPr>
            </w:pPr>
            <w:r>
              <w:rPr>
                <w:noProof/>
              </w:rPr>
              <w:t>JIH NI</w:t>
            </w:r>
          </w:p>
        </w:tc>
        <w:tc>
          <w:tcPr>
            <w:tcW w:w="1415" w:type="dxa"/>
            <w:shd w:val="clear" w:color="auto" w:fill="C6EFCE"/>
            <w:noWrap/>
            <w:vAlign w:val="center"/>
          </w:tcPr>
          <w:p w14:paraId="4971A2BC" w14:textId="77777777" w:rsidR="00154E32" w:rsidRDefault="00A43E04">
            <w:pPr>
              <w:pStyle w:val="P68B1DB1-Normal11"/>
              <w:spacing w:line="276" w:lineRule="auto"/>
              <w:jc w:val="center"/>
              <w:rPr>
                <w:noProof/>
              </w:rPr>
            </w:pPr>
            <w:r>
              <w:rPr>
                <w:noProof/>
              </w:rPr>
              <w:t>Število</w:t>
            </w:r>
          </w:p>
        </w:tc>
        <w:tc>
          <w:tcPr>
            <w:tcW w:w="709" w:type="dxa"/>
            <w:shd w:val="clear" w:color="auto" w:fill="C6EFCE"/>
            <w:noWrap/>
            <w:vAlign w:val="center"/>
          </w:tcPr>
          <w:p w14:paraId="277CE35C" w14:textId="77777777" w:rsidR="00154E32" w:rsidRDefault="00A43E04">
            <w:pPr>
              <w:pStyle w:val="P68B1DB1-Normal11"/>
              <w:spacing w:line="276" w:lineRule="auto"/>
              <w:jc w:val="center"/>
              <w:rPr>
                <w:noProof/>
              </w:rPr>
            </w:pPr>
            <w:r>
              <w:rPr>
                <w:noProof/>
              </w:rPr>
              <w:t>0</w:t>
            </w:r>
          </w:p>
        </w:tc>
        <w:tc>
          <w:tcPr>
            <w:tcW w:w="1418" w:type="dxa"/>
            <w:shd w:val="clear" w:color="auto" w:fill="C6EFCE"/>
            <w:noWrap/>
            <w:vAlign w:val="center"/>
          </w:tcPr>
          <w:p w14:paraId="7D2B0AD2" w14:textId="201A5DB8" w:rsidR="00154E32" w:rsidRDefault="00A43E04">
            <w:pPr>
              <w:pStyle w:val="P68B1DB1-Normal11"/>
              <w:spacing w:line="276" w:lineRule="auto"/>
              <w:jc w:val="center"/>
              <w:rPr>
                <w:noProof/>
              </w:rPr>
            </w:pPr>
            <w:r>
              <w:rPr>
                <w:noProof/>
              </w:rPr>
              <w:t>2 500</w:t>
            </w:r>
          </w:p>
        </w:tc>
        <w:tc>
          <w:tcPr>
            <w:tcW w:w="993" w:type="dxa"/>
            <w:shd w:val="clear" w:color="auto" w:fill="C6EFCE"/>
            <w:noWrap/>
            <w:vAlign w:val="center"/>
          </w:tcPr>
          <w:p w14:paraId="774B28A6" w14:textId="77777777" w:rsidR="00154E32" w:rsidRDefault="00A43E04">
            <w:pPr>
              <w:pStyle w:val="P68B1DB1-Normal11"/>
              <w:spacing w:line="276" w:lineRule="auto"/>
              <w:jc w:val="center"/>
              <w:rPr>
                <w:noProof/>
              </w:rPr>
            </w:pPr>
            <w:r>
              <w:rPr>
                <w:noProof/>
              </w:rPr>
              <w:t>Q4</w:t>
            </w:r>
          </w:p>
        </w:tc>
        <w:tc>
          <w:tcPr>
            <w:tcW w:w="709" w:type="dxa"/>
            <w:shd w:val="clear" w:color="auto" w:fill="C6EFCE"/>
            <w:noWrap/>
            <w:vAlign w:val="center"/>
          </w:tcPr>
          <w:p w14:paraId="19636D01" w14:textId="77777777" w:rsidR="00154E32" w:rsidRDefault="00A43E04">
            <w:pPr>
              <w:pStyle w:val="P68B1DB1-Normal11"/>
              <w:spacing w:line="276" w:lineRule="auto"/>
              <w:jc w:val="center"/>
              <w:rPr>
                <w:noProof/>
              </w:rPr>
            </w:pPr>
            <w:r>
              <w:rPr>
                <w:noProof/>
              </w:rPr>
              <w:t>2025</w:t>
            </w:r>
          </w:p>
        </w:tc>
        <w:tc>
          <w:tcPr>
            <w:tcW w:w="3854" w:type="dxa"/>
            <w:shd w:val="clear" w:color="auto" w:fill="C6EFCE"/>
            <w:noWrap/>
            <w:vAlign w:val="center"/>
          </w:tcPr>
          <w:p w14:paraId="16598D37" w14:textId="45C3D92E" w:rsidR="00154E32" w:rsidRDefault="00A43E04">
            <w:pPr>
              <w:pStyle w:val="P68B1DB1-Normal12"/>
              <w:spacing w:after="120"/>
              <w:rPr>
                <w:rFonts w:ascii="Arial Narrow" w:hAnsi="Arial Narrow"/>
                <w:noProof/>
              </w:rPr>
            </w:pPr>
            <w:r>
              <w:rPr>
                <w:rFonts w:ascii="Arial Narrow" w:hAnsi="Arial Narrow"/>
                <w:noProof/>
              </w:rPr>
              <w:t>Začetek obratovanja vsaj 2500</w:t>
            </w:r>
            <w:r>
              <w:rPr>
                <w:noProof/>
              </w:rPr>
              <w:t xml:space="preserve"> </w:t>
            </w:r>
            <w:r>
              <w:rPr>
                <w:rFonts w:ascii="Arial Narrow" w:hAnsi="Arial Narrow"/>
                <w:noProof/>
              </w:rPr>
              <w:t>javnih infrastrukturnih mest za hitro polnjenje električnih vozil na prostih poteh z močjo najmanj 175 kW.</w:t>
            </w:r>
          </w:p>
        </w:tc>
      </w:tr>
      <w:tr w:rsidR="00154E32" w14:paraId="417A1A15" w14:textId="77777777">
        <w:trPr>
          <w:trHeight w:val="309"/>
          <w:jc w:val="center"/>
        </w:trPr>
        <w:tc>
          <w:tcPr>
            <w:tcW w:w="975" w:type="dxa"/>
            <w:shd w:val="clear" w:color="auto" w:fill="C6EFCE"/>
            <w:noWrap/>
            <w:vAlign w:val="center"/>
          </w:tcPr>
          <w:p w14:paraId="6E130C32" w14:textId="77777777" w:rsidR="00154E32" w:rsidRDefault="00A43E04">
            <w:pPr>
              <w:pStyle w:val="P68B1DB1-Normal11"/>
              <w:spacing w:line="276" w:lineRule="auto"/>
              <w:jc w:val="center"/>
              <w:rPr>
                <w:noProof/>
              </w:rPr>
            </w:pPr>
            <w:r>
              <w:rPr>
                <w:noProof/>
              </w:rPr>
              <w:t>M2C2–29a</w:t>
            </w:r>
          </w:p>
        </w:tc>
        <w:tc>
          <w:tcPr>
            <w:tcW w:w="1716" w:type="dxa"/>
            <w:shd w:val="clear" w:color="auto" w:fill="C6EFCE"/>
            <w:noWrap/>
            <w:vAlign w:val="center"/>
          </w:tcPr>
          <w:p w14:paraId="6BC7B92C" w14:textId="77777777" w:rsidR="00154E32" w:rsidRDefault="00A43E04">
            <w:pPr>
              <w:pStyle w:val="P68B1DB1-Normal11"/>
              <w:spacing w:line="276" w:lineRule="auto"/>
              <w:jc w:val="center"/>
              <w:rPr>
                <w:noProof/>
              </w:rPr>
            </w:pPr>
            <w:r>
              <w:rPr>
                <w:noProof/>
              </w:rPr>
              <w:t>Naložba 4.3 Vgradnja infrastrukture za polnjenje</w:t>
            </w:r>
          </w:p>
        </w:tc>
        <w:tc>
          <w:tcPr>
            <w:tcW w:w="1131" w:type="dxa"/>
            <w:shd w:val="clear" w:color="auto" w:fill="C6EFCE"/>
            <w:noWrap/>
            <w:vAlign w:val="center"/>
          </w:tcPr>
          <w:p w14:paraId="6817B31C" w14:textId="77777777" w:rsidR="00154E32" w:rsidRDefault="00A43E04">
            <w:pPr>
              <w:pStyle w:val="P68B1DB1-Normal11"/>
              <w:spacing w:line="276" w:lineRule="auto"/>
              <w:jc w:val="center"/>
              <w:rPr>
                <w:noProof/>
              </w:rPr>
            </w:pPr>
            <w:r>
              <w:rPr>
                <w:noProof/>
              </w:rPr>
              <w:t>Tarča</w:t>
            </w:r>
          </w:p>
        </w:tc>
        <w:tc>
          <w:tcPr>
            <w:tcW w:w="1418" w:type="dxa"/>
            <w:shd w:val="clear" w:color="auto" w:fill="C6EFCE"/>
            <w:noWrap/>
            <w:vAlign w:val="center"/>
          </w:tcPr>
          <w:p w14:paraId="703F2930" w14:textId="77777777" w:rsidR="00154E32" w:rsidRDefault="00A43E04">
            <w:pPr>
              <w:pStyle w:val="P68B1DB1-Normal11"/>
              <w:spacing w:line="276" w:lineRule="auto"/>
              <w:jc w:val="center"/>
              <w:rPr>
                <w:noProof/>
              </w:rPr>
            </w:pPr>
            <w:r>
              <w:rPr>
                <w:noProof/>
              </w:rPr>
              <w:t>Število hitrih polnilnih postaj na mestnih območjih</w:t>
            </w:r>
          </w:p>
        </w:tc>
        <w:tc>
          <w:tcPr>
            <w:tcW w:w="1277" w:type="dxa"/>
            <w:shd w:val="clear" w:color="auto" w:fill="C6EFCE"/>
            <w:noWrap/>
            <w:vAlign w:val="center"/>
          </w:tcPr>
          <w:p w14:paraId="421C057B" w14:textId="77777777" w:rsidR="00154E32" w:rsidRDefault="00A43E04">
            <w:pPr>
              <w:pStyle w:val="P68B1DB1-Normal11"/>
              <w:spacing w:line="276" w:lineRule="auto"/>
              <w:jc w:val="center"/>
              <w:rPr>
                <w:noProof/>
              </w:rPr>
            </w:pPr>
            <w:r>
              <w:rPr>
                <w:noProof/>
              </w:rPr>
              <w:t>JIH NI</w:t>
            </w:r>
          </w:p>
        </w:tc>
        <w:tc>
          <w:tcPr>
            <w:tcW w:w="1415" w:type="dxa"/>
            <w:shd w:val="clear" w:color="auto" w:fill="C6EFCE"/>
            <w:noWrap/>
            <w:vAlign w:val="center"/>
          </w:tcPr>
          <w:p w14:paraId="480B2104" w14:textId="77777777" w:rsidR="00154E32" w:rsidRDefault="00A43E04">
            <w:pPr>
              <w:pStyle w:val="P68B1DB1-Normal11"/>
              <w:spacing w:line="276" w:lineRule="auto"/>
              <w:jc w:val="center"/>
              <w:rPr>
                <w:noProof/>
              </w:rPr>
            </w:pPr>
            <w:r>
              <w:rPr>
                <w:noProof/>
              </w:rPr>
              <w:t>Število</w:t>
            </w:r>
          </w:p>
        </w:tc>
        <w:tc>
          <w:tcPr>
            <w:tcW w:w="709" w:type="dxa"/>
            <w:shd w:val="clear" w:color="auto" w:fill="C6EFCE"/>
            <w:noWrap/>
            <w:vAlign w:val="center"/>
          </w:tcPr>
          <w:p w14:paraId="6DFE6E6B" w14:textId="77777777" w:rsidR="00154E32" w:rsidRDefault="00A43E04">
            <w:pPr>
              <w:pStyle w:val="P68B1DB1-Normal11"/>
              <w:spacing w:line="276" w:lineRule="auto"/>
              <w:jc w:val="center"/>
              <w:rPr>
                <w:noProof/>
              </w:rPr>
            </w:pPr>
            <w:r>
              <w:rPr>
                <w:noProof/>
              </w:rPr>
              <w:t>0</w:t>
            </w:r>
          </w:p>
        </w:tc>
        <w:tc>
          <w:tcPr>
            <w:tcW w:w="1418" w:type="dxa"/>
            <w:shd w:val="clear" w:color="auto" w:fill="C6EFCE"/>
            <w:noWrap/>
            <w:vAlign w:val="center"/>
          </w:tcPr>
          <w:p w14:paraId="54DEE226" w14:textId="4D345AB5" w:rsidR="00154E32" w:rsidRDefault="00A43E04">
            <w:pPr>
              <w:pStyle w:val="P68B1DB1-Normal11"/>
              <w:spacing w:line="276" w:lineRule="auto"/>
              <w:jc w:val="center"/>
              <w:rPr>
                <w:noProof/>
              </w:rPr>
            </w:pPr>
            <w:r>
              <w:rPr>
                <w:noProof/>
              </w:rPr>
              <w:t>4 700</w:t>
            </w:r>
          </w:p>
        </w:tc>
        <w:tc>
          <w:tcPr>
            <w:tcW w:w="993" w:type="dxa"/>
            <w:shd w:val="clear" w:color="auto" w:fill="C6EFCE"/>
            <w:noWrap/>
            <w:vAlign w:val="center"/>
          </w:tcPr>
          <w:p w14:paraId="0596BF93" w14:textId="77777777" w:rsidR="00154E32" w:rsidRDefault="00A43E04">
            <w:pPr>
              <w:pStyle w:val="P68B1DB1-Normal11"/>
              <w:spacing w:line="276" w:lineRule="auto"/>
              <w:jc w:val="center"/>
              <w:rPr>
                <w:noProof/>
              </w:rPr>
            </w:pPr>
            <w:r>
              <w:rPr>
                <w:noProof/>
              </w:rPr>
              <w:t>Q4</w:t>
            </w:r>
          </w:p>
        </w:tc>
        <w:tc>
          <w:tcPr>
            <w:tcW w:w="709" w:type="dxa"/>
            <w:shd w:val="clear" w:color="auto" w:fill="C6EFCE"/>
            <w:noWrap/>
            <w:vAlign w:val="center"/>
          </w:tcPr>
          <w:p w14:paraId="03400FDF" w14:textId="77777777" w:rsidR="00154E32" w:rsidRDefault="00A43E04">
            <w:pPr>
              <w:pStyle w:val="P68B1DB1-Normal11"/>
              <w:spacing w:line="276" w:lineRule="auto"/>
              <w:jc w:val="center"/>
              <w:rPr>
                <w:noProof/>
              </w:rPr>
            </w:pPr>
            <w:r>
              <w:rPr>
                <w:noProof/>
              </w:rPr>
              <w:t>2025</w:t>
            </w:r>
          </w:p>
        </w:tc>
        <w:tc>
          <w:tcPr>
            <w:tcW w:w="3854" w:type="dxa"/>
            <w:shd w:val="clear" w:color="auto" w:fill="C6EFCE"/>
            <w:noWrap/>
            <w:vAlign w:val="center"/>
          </w:tcPr>
          <w:p w14:paraId="4BAD8A98" w14:textId="22DB8CA6" w:rsidR="00154E32" w:rsidRDefault="00A43E04">
            <w:pPr>
              <w:pStyle w:val="P68B1DB1-Normal12"/>
              <w:spacing w:after="120"/>
              <w:rPr>
                <w:rFonts w:ascii="Arial Narrow" w:hAnsi="Arial Narrow"/>
                <w:noProof/>
              </w:rPr>
            </w:pPr>
            <w:r>
              <w:rPr>
                <w:rFonts w:ascii="Arial Narrow" w:hAnsi="Arial Narrow"/>
                <w:noProof/>
              </w:rPr>
              <w:t>Začetek obratovanja vsaj 4700</w:t>
            </w:r>
            <w:r>
              <w:rPr>
                <w:noProof/>
              </w:rPr>
              <w:t xml:space="preserve"> </w:t>
            </w:r>
            <w:r>
              <w:rPr>
                <w:rFonts w:ascii="Arial Narrow" w:hAnsi="Arial Narrow"/>
                <w:noProof/>
              </w:rPr>
              <w:t>javnih infrastrukturnih mest za hitro polnjenje električnih vozil z močjo najmanj 90 kW na mestnih območjih (vse občine).</w:t>
            </w:r>
          </w:p>
          <w:p w14:paraId="5BAAC5FB" w14:textId="77777777" w:rsidR="00154E32" w:rsidRDefault="00A43E04">
            <w:pPr>
              <w:pStyle w:val="P68B1DB1-Normal11"/>
              <w:spacing w:after="120"/>
              <w:rPr>
                <w:noProof/>
              </w:rPr>
            </w:pPr>
            <w:r>
              <w:rPr>
                <w:noProof/>
              </w:rPr>
              <w:t>Projekt lahko vključuje tudi pilotne polnilne postaje za shranjevanje energije.</w:t>
            </w:r>
          </w:p>
        </w:tc>
      </w:tr>
      <w:tr w:rsidR="00154E32" w14:paraId="3683DFC7" w14:textId="77777777">
        <w:trPr>
          <w:trHeight w:val="309"/>
          <w:jc w:val="center"/>
        </w:trPr>
        <w:tc>
          <w:tcPr>
            <w:tcW w:w="975" w:type="dxa"/>
            <w:shd w:val="clear" w:color="auto" w:fill="C6EFCE"/>
            <w:noWrap/>
            <w:vAlign w:val="center"/>
          </w:tcPr>
          <w:p w14:paraId="044760B0" w14:textId="77777777" w:rsidR="00154E32" w:rsidRDefault="00A43E04">
            <w:pPr>
              <w:pStyle w:val="P68B1DB1-Normal11"/>
              <w:spacing w:line="276" w:lineRule="auto"/>
              <w:jc w:val="center"/>
              <w:rPr>
                <w:noProof/>
              </w:rPr>
            </w:pPr>
            <w:r>
              <w:rPr>
                <w:noProof/>
              </w:rPr>
              <w:t>M2C2–30</w:t>
            </w:r>
          </w:p>
        </w:tc>
        <w:tc>
          <w:tcPr>
            <w:tcW w:w="1716" w:type="dxa"/>
            <w:shd w:val="clear" w:color="auto" w:fill="C6EFCE"/>
            <w:noWrap/>
            <w:vAlign w:val="center"/>
          </w:tcPr>
          <w:p w14:paraId="4154F73C" w14:textId="77777777" w:rsidR="00154E32" w:rsidRDefault="00A43E04">
            <w:pPr>
              <w:pStyle w:val="P68B1DB1-Normal11"/>
              <w:spacing w:line="276" w:lineRule="auto"/>
              <w:jc w:val="center"/>
              <w:rPr>
                <w:noProof/>
              </w:rPr>
            </w:pPr>
            <w:r>
              <w:rPr>
                <w:noProof/>
              </w:rPr>
              <w:t>Naložba 4.3: Namestitev polnilne infrastrukture</w:t>
            </w:r>
          </w:p>
        </w:tc>
        <w:tc>
          <w:tcPr>
            <w:tcW w:w="1131" w:type="dxa"/>
            <w:shd w:val="clear" w:color="auto" w:fill="C6EFCE"/>
            <w:noWrap/>
            <w:vAlign w:val="center"/>
          </w:tcPr>
          <w:p w14:paraId="739D9495" w14:textId="77777777" w:rsidR="00154E32" w:rsidRDefault="00A43E04">
            <w:pPr>
              <w:pStyle w:val="P68B1DB1-Normal11"/>
              <w:spacing w:line="276" w:lineRule="auto"/>
              <w:jc w:val="center"/>
              <w:rPr>
                <w:noProof/>
              </w:rPr>
            </w:pPr>
            <w:r>
              <w:rPr>
                <w:noProof/>
              </w:rPr>
              <w:t>Tarča</w:t>
            </w:r>
          </w:p>
        </w:tc>
        <w:tc>
          <w:tcPr>
            <w:tcW w:w="1418" w:type="dxa"/>
            <w:shd w:val="clear" w:color="auto" w:fill="C6EFCE"/>
            <w:noWrap/>
            <w:vAlign w:val="center"/>
          </w:tcPr>
          <w:p w14:paraId="7F5A0585" w14:textId="77777777" w:rsidR="00154E32" w:rsidRDefault="00A43E04">
            <w:pPr>
              <w:pStyle w:val="P68B1DB1-Normal11"/>
              <w:spacing w:line="276" w:lineRule="auto"/>
              <w:jc w:val="center"/>
              <w:rPr>
                <w:noProof/>
              </w:rPr>
            </w:pPr>
            <w:r>
              <w:rPr>
                <w:noProof/>
              </w:rPr>
              <w:t>Število postaj za hitro polnjenje vzdolž prostih poti</w:t>
            </w:r>
          </w:p>
        </w:tc>
        <w:tc>
          <w:tcPr>
            <w:tcW w:w="1277" w:type="dxa"/>
            <w:shd w:val="clear" w:color="auto" w:fill="C6EFCE"/>
            <w:noWrap/>
            <w:vAlign w:val="center"/>
          </w:tcPr>
          <w:p w14:paraId="3B92C703" w14:textId="77777777" w:rsidR="00154E32" w:rsidRDefault="00154E32">
            <w:pPr>
              <w:spacing w:line="276" w:lineRule="auto"/>
              <w:jc w:val="center"/>
              <w:rPr>
                <w:rFonts w:ascii="Arial Narrow" w:hAnsi="Arial Narrow"/>
                <w:noProof/>
                <w:color w:val="006100"/>
                <w:sz w:val="20"/>
              </w:rPr>
            </w:pPr>
          </w:p>
        </w:tc>
        <w:tc>
          <w:tcPr>
            <w:tcW w:w="1415" w:type="dxa"/>
            <w:shd w:val="clear" w:color="auto" w:fill="C6EFCE"/>
            <w:noWrap/>
            <w:vAlign w:val="center"/>
          </w:tcPr>
          <w:p w14:paraId="08E99622" w14:textId="77777777" w:rsidR="00154E32" w:rsidRDefault="00A43E04">
            <w:pPr>
              <w:pStyle w:val="P68B1DB1-Normal11"/>
              <w:spacing w:line="276" w:lineRule="auto"/>
              <w:jc w:val="center"/>
              <w:rPr>
                <w:noProof/>
              </w:rPr>
            </w:pPr>
            <w:r>
              <w:rPr>
                <w:noProof/>
              </w:rPr>
              <w:t>Število</w:t>
            </w:r>
          </w:p>
        </w:tc>
        <w:tc>
          <w:tcPr>
            <w:tcW w:w="709" w:type="dxa"/>
            <w:shd w:val="clear" w:color="auto" w:fill="C6EFCE"/>
            <w:noWrap/>
            <w:vAlign w:val="center"/>
          </w:tcPr>
          <w:p w14:paraId="04315A3E" w14:textId="77777777" w:rsidR="00154E32" w:rsidRDefault="00A43E04">
            <w:pPr>
              <w:pStyle w:val="P68B1DB1-Normal11"/>
              <w:spacing w:line="276" w:lineRule="auto"/>
              <w:jc w:val="center"/>
              <w:rPr>
                <w:noProof/>
              </w:rPr>
            </w:pPr>
            <w:r>
              <w:rPr>
                <w:noProof/>
              </w:rPr>
              <w:t>2 500</w:t>
            </w:r>
          </w:p>
        </w:tc>
        <w:tc>
          <w:tcPr>
            <w:tcW w:w="1418" w:type="dxa"/>
            <w:shd w:val="clear" w:color="auto" w:fill="C6EFCE"/>
            <w:noWrap/>
            <w:vAlign w:val="center"/>
          </w:tcPr>
          <w:p w14:paraId="745F9F5D" w14:textId="552E153B" w:rsidR="00154E32" w:rsidRDefault="00A43E04">
            <w:pPr>
              <w:pStyle w:val="P68B1DB1-Normal11"/>
              <w:spacing w:line="276" w:lineRule="auto"/>
              <w:jc w:val="center"/>
              <w:rPr>
                <w:noProof/>
              </w:rPr>
            </w:pPr>
            <w:r>
              <w:rPr>
                <w:noProof/>
              </w:rPr>
              <w:t>7 500</w:t>
            </w:r>
          </w:p>
        </w:tc>
        <w:tc>
          <w:tcPr>
            <w:tcW w:w="993" w:type="dxa"/>
            <w:shd w:val="clear" w:color="auto" w:fill="C6EFCE"/>
            <w:noWrap/>
            <w:vAlign w:val="center"/>
          </w:tcPr>
          <w:p w14:paraId="13719E63" w14:textId="77777777" w:rsidR="00154E32" w:rsidRDefault="00A43E04">
            <w:pPr>
              <w:pStyle w:val="P68B1DB1-Normal11"/>
              <w:spacing w:line="276" w:lineRule="auto"/>
              <w:jc w:val="center"/>
              <w:rPr>
                <w:noProof/>
              </w:rPr>
            </w:pPr>
            <w:r>
              <w:rPr>
                <w:noProof/>
              </w:rPr>
              <w:t>Q4</w:t>
            </w:r>
          </w:p>
        </w:tc>
        <w:tc>
          <w:tcPr>
            <w:tcW w:w="709" w:type="dxa"/>
            <w:shd w:val="clear" w:color="auto" w:fill="C6EFCE"/>
            <w:noWrap/>
            <w:vAlign w:val="center"/>
          </w:tcPr>
          <w:p w14:paraId="08D5E926" w14:textId="77777777" w:rsidR="00154E32" w:rsidRDefault="00A43E04">
            <w:pPr>
              <w:pStyle w:val="P68B1DB1-Normal11"/>
              <w:spacing w:line="276" w:lineRule="auto"/>
              <w:jc w:val="center"/>
              <w:rPr>
                <w:noProof/>
              </w:rPr>
            </w:pPr>
            <w:r>
              <w:rPr>
                <w:noProof/>
              </w:rPr>
              <w:t>2025</w:t>
            </w:r>
          </w:p>
        </w:tc>
        <w:tc>
          <w:tcPr>
            <w:tcW w:w="3854" w:type="dxa"/>
            <w:shd w:val="clear" w:color="auto" w:fill="C6EFCE"/>
            <w:noWrap/>
            <w:vAlign w:val="center"/>
          </w:tcPr>
          <w:p w14:paraId="115E1E97" w14:textId="779ED7F3" w:rsidR="00154E32" w:rsidRDefault="00A43E04">
            <w:pPr>
              <w:pStyle w:val="P68B1DB1-Normal12"/>
              <w:spacing w:after="120"/>
              <w:rPr>
                <w:rFonts w:ascii="Arial Narrow" w:hAnsi="Arial Narrow"/>
                <w:noProof/>
              </w:rPr>
            </w:pPr>
            <w:r>
              <w:rPr>
                <w:rFonts w:ascii="Arial Narrow" w:hAnsi="Arial Narrow"/>
                <w:noProof/>
              </w:rPr>
              <w:t>Začetek obratovanja vsaj 7500</w:t>
            </w:r>
            <w:r>
              <w:rPr>
                <w:noProof/>
              </w:rPr>
              <w:t xml:space="preserve"> </w:t>
            </w:r>
            <w:r>
              <w:rPr>
                <w:rFonts w:ascii="Arial Narrow" w:hAnsi="Arial Narrow"/>
                <w:noProof/>
              </w:rPr>
              <w:t>javnih infrastrukturnih mest za hitro polnjenje električnih vozil na prostih poteh z močjo najmanj 175 kW.</w:t>
            </w:r>
          </w:p>
          <w:p w14:paraId="62C83AC7" w14:textId="77777777" w:rsidR="00154E32" w:rsidRDefault="00A43E04">
            <w:pPr>
              <w:pStyle w:val="P68B1DB1-Normal11"/>
              <w:spacing w:after="120"/>
              <w:rPr>
                <w:noProof/>
              </w:rPr>
            </w:pPr>
            <w:r>
              <w:rPr>
                <w:noProof/>
              </w:rPr>
              <w:t>Projekt lahko vključuje tudi pilotne polnilne postaje za shranjevanje energije.</w:t>
            </w:r>
          </w:p>
        </w:tc>
      </w:tr>
      <w:tr w:rsidR="00154E32" w14:paraId="0EB5CCED" w14:textId="77777777">
        <w:trPr>
          <w:trHeight w:val="309"/>
          <w:jc w:val="center"/>
        </w:trPr>
        <w:tc>
          <w:tcPr>
            <w:tcW w:w="975" w:type="dxa"/>
            <w:shd w:val="clear" w:color="auto" w:fill="C6EFCE"/>
            <w:noWrap/>
            <w:vAlign w:val="center"/>
          </w:tcPr>
          <w:p w14:paraId="7C2C95F4" w14:textId="77777777" w:rsidR="00154E32" w:rsidRDefault="00A43E04">
            <w:pPr>
              <w:pStyle w:val="P68B1DB1-Normal11"/>
              <w:spacing w:line="276" w:lineRule="auto"/>
              <w:jc w:val="center"/>
              <w:rPr>
                <w:noProof/>
              </w:rPr>
            </w:pPr>
            <w:r>
              <w:rPr>
                <w:noProof/>
              </w:rPr>
              <w:t>M2C2–30a</w:t>
            </w:r>
          </w:p>
        </w:tc>
        <w:tc>
          <w:tcPr>
            <w:tcW w:w="1716" w:type="dxa"/>
            <w:shd w:val="clear" w:color="auto" w:fill="C6EFCE"/>
            <w:noWrap/>
            <w:vAlign w:val="center"/>
          </w:tcPr>
          <w:p w14:paraId="5581A87A" w14:textId="77777777" w:rsidR="00154E32" w:rsidRDefault="00A43E04">
            <w:pPr>
              <w:pStyle w:val="P68B1DB1-Normal11"/>
              <w:spacing w:line="276" w:lineRule="auto"/>
              <w:jc w:val="center"/>
              <w:rPr>
                <w:noProof/>
              </w:rPr>
            </w:pPr>
            <w:r>
              <w:rPr>
                <w:noProof/>
              </w:rPr>
              <w:t>Naložba 4.3: Namestitev polnilne infrastrukture</w:t>
            </w:r>
          </w:p>
        </w:tc>
        <w:tc>
          <w:tcPr>
            <w:tcW w:w="1131" w:type="dxa"/>
            <w:shd w:val="clear" w:color="auto" w:fill="C6EFCE"/>
            <w:noWrap/>
            <w:vAlign w:val="center"/>
          </w:tcPr>
          <w:p w14:paraId="6A292D74" w14:textId="77777777" w:rsidR="00154E32" w:rsidRDefault="00A43E04">
            <w:pPr>
              <w:pStyle w:val="P68B1DB1-Normal11"/>
              <w:spacing w:line="276" w:lineRule="auto"/>
              <w:jc w:val="center"/>
              <w:rPr>
                <w:noProof/>
              </w:rPr>
            </w:pPr>
            <w:r>
              <w:rPr>
                <w:noProof/>
              </w:rPr>
              <w:t>Tarča</w:t>
            </w:r>
          </w:p>
        </w:tc>
        <w:tc>
          <w:tcPr>
            <w:tcW w:w="1418" w:type="dxa"/>
            <w:shd w:val="clear" w:color="auto" w:fill="C6EFCE"/>
            <w:noWrap/>
            <w:vAlign w:val="center"/>
          </w:tcPr>
          <w:p w14:paraId="48C1B2E0" w14:textId="77777777" w:rsidR="00154E32" w:rsidRDefault="00A43E04">
            <w:pPr>
              <w:pStyle w:val="P68B1DB1-Normal11"/>
              <w:spacing w:line="276" w:lineRule="auto"/>
              <w:jc w:val="center"/>
              <w:rPr>
                <w:noProof/>
              </w:rPr>
            </w:pPr>
            <w:r>
              <w:rPr>
                <w:noProof/>
              </w:rPr>
              <w:t>Število hitrih polnilnih postaj na mestnih območjih</w:t>
            </w:r>
          </w:p>
        </w:tc>
        <w:tc>
          <w:tcPr>
            <w:tcW w:w="1277" w:type="dxa"/>
            <w:shd w:val="clear" w:color="auto" w:fill="C6EFCE"/>
            <w:noWrap/>
            <w:vAlign w:val="center"/>
          </w:tcPr>
          <w:p w14:paraId="49F81F41" w14:textId="77777777" w:rsidR="00154E32" w:rsidRDefault="00154E32">
            <w:pPr>
              <w:spacing w:line="276" w:lineRule="auto"/>
              <w:jc w:val="center"/>
              <w:rPr>
                <w:rFonts w:ascii="Arial Narrow" w:hAnsi="Arial Narrow"/>
                <w:noProof/>
                <w:color w:val="006100"/>
                <w:sz w:val="20"/>
              </w:rPr>
            </w:pPr>
          </w:p>
        </w:tc>
        <w:tc>
          <w:tcPr>
            <w:tcW w:w="1415" w:type="dxa"/>
            <w:shd w:val="clear" w:color="auto" w:fill="C6EFCE"/>
            <w:noWrap/>
            <w:vAlign w:val="center"/>
          </w:tcPr>
          <w:p w14:paraId="4ED3DF52" w14:textId="77777777" w:rsidR="00154E32" w:rsidRDefault="00A43E04">
            <w:pPr>
              <w:pStyle w:val="P68B1DB1-Normal11"/>
              <w:spacing w:line="276" w:lineRule="auto"/>
              <w:jc w:val="center"/>
              <w:rPr>
                <w:noProof/>
              </w:rPr>
            </w:pPr>
            <w:r>
              <w:rPr>
                <w:noProof/>
              </w:rPr>
              <w:t>Število</w:t>
            </w:r>
          </w:p>
        </w:tc>
        <w:tc>
          <w:tcPr>
            <w:tcW w:w="709" w:type="dxa"/>
            <w:shd w:val="clear" w:color="auto" w:fill="C6EFCE"/>
            <w:noWrap/>
            <w:vAlign w:val="center"/>
          </w:tcPr>
          <w:p w14:paraId="312B3D68" w14:textId="40DD1C0E" w:rsidR="00154E32" w:rsidRDefault="00A43E04">
            <w:pPr>
              <w:pStyle w:val="P68B1DB1-Normal11"/>
              <w:spacing w:line="276" w:lineRule="auto"/>
              <w:jc w:val="center"/>
              <w:rPr>
                <w:noProof/>
              </w:rPr>
            </w:pPr>
            <w:r>
              <w:rPr>
                <w:noProof/>
              </w:rPr>
              <w:t>4 700</w:t>
            </w:r>
          </w:p>
        </w:tc>
        <w:tc>
          <w:tcPr>
            <w:tcW w:w="1418" w:type="dxa"/>
            <w:shd w:val="clear" w:color="auto" w:fill="C6EFCE"/>
            <w:noWrap/>
            <w:vAlign w:val="center"/>
          </w:tcPr>
          <w:p w14:paraId="62DF98D8" w14:textId="3D190BA7" w:rsidR="00154E32" w:rsidRDefault="00A43E04">
            <w:pPr>
              <w:pStyle w:val="P68B1DB1-Normal11"/>
              <w:spacing w:line="276" w:lineRule="auto"/>
              <w:jc w:val="center"/>
              <w:rPr>
                <w:noProof/>
              </w:rPr>
            </w:pPr>
            <w:r>
              <w:rPr>
                <w:noProof/>
              </w:rPr>
              <w:t>13 755</w:t>
            </w:r>
          </w:p>
        </w:tc>
        <w:tc>
          <w:tcPr>
            <w:tcW w:w="993" w:type="dxa"/>
            <w:shd w:val="clear" w:color="auto" w:fill="C6EFCE"/>
            <w:noWrap/>
            <w:vAlign w:val="center"/>
          </w:tcPr>
          <w:p w14:paraId="36F77D0C" w14:textId="77777777" w:rsidR="00154E32" w:rsidRDefault="00A43E04">
            <w:pPr>
              <w:pStyle w:val="P68B1DB1-Normal11"/>
              <w:spacing w:line="276" w:lineRule="auto"/>
              <w:jc w:val="center"/>
              <w:rPr>
                <w:noProof/>
              </w:rPr>
            </w:pPr>
            <w:r>
              <w:rPr>
                <w:noProof/>
              </w:rPr>
              <w:t>Q4</w:t>
            </w:r>
          </w:p>
        </w:tc>
        <w:tc>
          <w:tcPr>
            <w:tcW w:w="709" w:type="dxa"/>
            <w:shd w:val="clear" w:color="auto" w:fill="C6EFCE"/>
            <w:noWrap/>
            <w:vAlign w:val="center"/>
          </w:tcPr>
          <w:p w14:paraId="4F850263" w14:textId="77777777" w:rsidR="00154E32" w:rsidRDefault="00A43E04">
            <w:pPr>
              <w:pStyle w:val="P68B1DB1-Normal11"/>
              <w:spacing w:line="276" w:lineRule="auto"/>
              <w:jc w:val="center"/>
              <w:rPr>
                <w:noProof/>
              </w:rPr>
            </w:pPr>
            <w:r>
              <w:rPr>
                <w:noProof/>
              </w:rPr>
              <w:t>2025</w:t>
            </w:r>
          </w:p>
        </w:tc>
        <w:tc>
          <w:tcPr>
            <w:tcW w:w="3854" w:type="dxa"/>
            <w:shd w:val="clear" w:color="auto" w:fill="C6EFCE"/>
            <w:noWrap/>
            <w:vAlign w:val="center"/>
          </w:tcPr>
          <w:p w14:paraId="3CB95F50" w14:textId="6AED3541" w:rsidR="00154E32" w:rsidRDefault="00A43E04">
            <w:pPr>
              <w:pStyle w:val="P68B1DB1-Normal26"/>
              <w:spacing w:after="120"/>
              <w:rPr>
                <w:rFonts w:ascii="Arial Narrow" w:hAnsi="Arial Narrow"/>
                <w:noProof/>
                <w:color w:val="006100"/>
              </w:rPr>
            </w:pPr>
            <w:r>
              <w:rPr>
                <w:rFonts w:ascii="Arial Narrow" w:hAnsi="Arial Narrow"/>
                <w:noProof/>
                <w:color w:val="006100"/>
              </w:rPr>
              <w:t>Začetek obratovanja vsaj 13755</w:t>
            </w:r>
            <w:r>
              <w:rPr>
                <w:rFonts w:ascii="Arial Narrow" w:hAnsi="Arial Narrow"/>
                <w:noProof/>
              </w:rPr>
              <w:t xml:space="preserve"> </w:t>
            </w:r>
            <w:r>
              <w:rPr>
                <w:rFonts w:ascii="Arial Narrow" w:hAnsi="Arial Narrow"/>
                <w:noProof/>
                <w:color w:val="006100"/>
              </w:rPr>
              <w:t>javnih infrastrukturnih mest za hitro</w:t>
            </w:r>
            <w:r>
              <w:rPr>
                <w:rFonts w:ascii="Arial Narrow" w:hAnsi="Arial Narrow"/>
                <w:noProof/>
              </w:rPr>
              <w:t xml:space="preserve"> polnjenje električnih vozil na mestnih območjih z močjo najmanj 90 kW.</w:t>
            </w:r>
          </w:p>
          <w:p w14:paraId="2E8A679D" w14:textId="2920EA5D" w:rsidR="00154E32" w:rsidRDefault="00A43E04">
            <w:pPr>
              <w:pStyle w:val="P68B1DB1-Normal11"/>
              <w:spacing w:after="120"/>
              <w:rPr>
                <w:noProof/>
              </w:rPr>
            </w:pPr>
            <w:r>
              <w:rPr>
                <w:noProof/>
              </w:rPr>
              <w:t>Projekt lahko vključuje tudi pilotne polnilne postaje za shranjevanje energije.</w:t>
            </w:r>
          </w:p>
        </w:tc>
      </w:tr>
      <w:tr w:rsidR="00154E32" w14:paraId="4E68330F" w14:textId="77777777">
        <w:trPr>
          <w:trHeight w:val="309"/>
          <w:jc w:val="center"/>
        </w:trPr>
        <w:tc>
          <w:tcPr>
            <w:tcW w:w="975" w:type="dxa"/>
            <w:shd w:val="clear" w:color="auto" w:fill="C6EFCE"/>
            <w:noWrap/>
            <w:vAlign w:val="center"/>
          </w:tcPr>
          <w:p w14:paraId="6F83603C" w14:textId="77777777" w:rsidR="00154E32" w:rsidRDefault="00A43E04">
            <w:pPr>
              <w:pStyle w:val="P68B1DB1-Normal11"/>
              <w:spacing w:line="276" w:lineRule="auto"/>
              <w:jc w:val="center"/>
              <w:rPr>
                <w:noProof/>
              </w:rPr>
            </w:pPr>
            <w:r>
              <w:rPr>
                <w:noProof/>
              </w:rPr>
              <w:t>M2C2–30b</w:t>
            </w:r>
          </w:p>
        </w:tc>
        <w:tc>
          <w:tcPr>
            <w:tcW w:w="1716" w:type="dxa"/>
            <w:shd w:val="clear" w:color="auto" w:fill="C6EFCE"/>
            <w:noWrap/>
            <w:vAlign w:val="center"/>
          </w:tcPr>
          <w:p w14:paraId="1E0FCA38" w14:textId="77777777" w:rsidR="00154E32" w:rsidRDefault="00A43E04">
            <w:pPr>
              <w:pStyle w:val="P68B1DB1-Normal11"/>
              <w:spacing w:line="276" w:lineRule="auto"/>
              <w:jc w:val="center"/>
              <w:rPr>
                <w:noProof/>
              </w:rPr>
            </w:pPr>
            <w:r>
              <w:rPr>
                <w:noProof/>
              </w:rPr>
              <w:t>Naložba 4.3: Namestitev polnilne infrastrukture</w:t>
            </w:r>
          </w:p>
        </w:tc>
        <w:tc>
          <w:tcPr>
            <w:tcW w:w="1131" w:type="dxa"/>
            <w:shd w:val="clear" w:color="auto" w:fill="C6EFCE"/>
            <w:noWrap/>
            <w:vAlign w:val="center"/>
          </w:tcPr>
          <w:p w14:paraId="5ECD99E3" w14:textId="77777777" w:rsidR="00154E32" w:rsidRDefault="00A43E04">
            <w:pPr>
              <w:pStyle w:val="P68B1DB1-Normal11"/>
              <w:spacing w:line="276" w:lineRule="auto"/>
              <w:jc w:val="center"/>
              <w:rPr>
                <w:noProof/>
              </w:rPr>
            </w:pPr>
            <w:r>
              <w:rPr>
                <w:noProof/>
              </w:rPr>
              <w:t>Tarča</w:t>
            </w:r>
          </w:p>
        </w:tc>
        <w:tc>
          <w:tcPr>
            <w:tcW w:w="1418" w:type="dxa"/>
            <w:shd w:val="clear" w:color="auto" w:fill="C6EFCE"/>
            <w:noWrap/>
            <w:vAlign w:val="center"/>
          </w:tcPr>
          <w:p w14:paraId="1095879D" w14:textId="77777777" w:rsidR="00154E32" w:rsidRDefault="00A43E04">
            <w:pPr>
              <w:pStyle w:val="P68B1DB1-Normal11"/>
              <w:spacing w:line="276" w:lineRule="auto"/>
              <w:jc w:val="center"/>
              <w:rPr>
                <w:noProof/>
              </w:rPr>
            </w:pPr>
            <w:r>
              <w:rPr>
                <w:noProof/>
              </w:rPr>
              <w:t>Število postaj za hitro polnjenje</w:t>
            </w:r>
          </w:p>
        </w:tc>
        <w:tc>
          <w:tcPr>
            <w:tcW w:w="1277" w:type="dxa"/>
            <w:shd w:val="clear" w:color="auto" w:fill="C6EFCE"/>
            <w:noWrap/>
            <w:vAlign w:val="center"/>
          </w:tcPr>
          <w:p w14:paraId="538045F6" w14:textId="77777777" w:rsidR="00154E32" w:rsidRDefault="00154E32">
            <w:pPr>
              <w:spacing w:line="276" w:lineRule="auto"/>
              <w:jc w:val="center"/>
              <w:rPr>
                <w:rFonts w:ascii="Arial Narrow" w:hAnsi="Arial Narrow"/>
                <w:noProof/>
                <w:color w:val="006100"/>
                <w:sz w:val="20"/>
              </w:rPr>
            </w:pPr>
          </w:p>
        </w:tc>
        <w:tc>
          <w:tcPr>
            <w:tcW w:w="1415" w:type="dxa"/>
            <w:shd w:val="clear" w:color="auto" w:fill="C6EFCE"/>
            <w:noWrap/>
            <w:vAlign w:val="center"/>
          </w:tcPr>
          <w:p w14:paraId="7B08C37C" w14:textId="77777777" w:rsidR="00154E32" w:rsidRDefault="00A43E04">
            <w:pPr>
              <w:pStyle w:val="P68B1DB1-Normal11"/>
              <w:spacing w:line="276" w:lineRule="auto"/>
              <w:jc w:val="center"/>
              <w:rPr>
                <w:noProof/>
              </w:rPr>
            </w:pPr>
            <w:r>
              <w:rPr>
                <w:noProof/>
              </w:rPr>
              <w:t>Število</w:t>
            </w:r>
          </w:p>
        </w:tc>
        <w:tc>
          <w:tcPr>
            <w:tcW w:w="709" w:type="dxa"/>
            <w:shd w:val="clear" w:color="auto" w:fill="C6EFCE"/>
            <w:noWrap/>
            <w:vAlign w:val="center"/>
          </w:tcPr>
          <w:p w14:paraId="1A405313" w14:textId="77777777" w:rsidR="00154E32" w:rsidRDefault="00A43E04">
            <w:pPr>
              <w:pStyle w:val="P68B1DB1-Normal11"/>
              <w:spacing w:line="276" w:lineRule="auto"/>
              <w:jc w:val="center"/>
              <w:rPr>
                <w:noProof/>
              </w:rPr>
            </w:pPr>
            <w:r>
              <w:rPr>
                <w:noProof/>
              </w:rPr>
              <w:t>0</w:t>
            </w:r>
          </w:p>
        </w:tc>
        <w:tc>
          <w:tcPr>
            <w:tcW w:w="1418" w:type="dxa"/>
            <w:shd w:val="clear" w:color="auto" w:fill="C6EFCE"/>
            <w:noWrap/>
            <w:vAlign w:val="center"/>
          </w:tcPr>
          <w:p w14:paraId="30BFD074" w14:textId="77777777" w:rsidR="00154E32" w:rsidRDefault="00A43E04">
            <w:pPr>
              <w:pStyle w:val="P68B1DB1-Normal11"/>
              <w:spacing w:line="276" w:lineRule="auto"/>
              <w:jc w:val="center"/>
              <w:rPr>
                <w:noProof/>
              </w:rPr>
            </w:pPr>
            <w:r>
              <w:rPr>
                <w:noProof/>
              </w:rPr>
              <w:t>100</w:t>
            </w:r>
          </w:p>
        </w:tc>
        <w:tc>
          <w:tcPr>
            <w:tcW w:w="993" w:type="dxa"/>
            <w:shd w:val="clear" w:color="auto" w:fill="C6EFCE"/>
            <w:noWrap/>
            <w:vAlign w:val="center"/>
          </w:tcPr>
          <w:p w14:paraId="49ACAFBB" w14:textId="77777777" w:rsidR="00154E32" w:rsidRDefault="00A43E04">
            <w:pPr>
              <w:pStyle w:val="P68B1DB1-Normal11"/>
              <w:spacing w:line="276" w:lineRule="auto"/>
              <w:jc w:val="center"/>
              <w:rPr>
                <w:noProof/>
              </w:rPr>
            </w:pPr>
            <w:r>
              <w:rPr>
                <w:noProof/>
              </w:rPr>
              <w:t>Q4</w:t>
            </w:r>
          </w:p>
        </w:tc>
        <w:tc>
          <w:tcPr>
            <w:tcW w:w="709" w:type="dxa"/>
            <w:shd w:val="clear" w:color="auto" w:fill="C6EFCE"/>
            <w:noWrap/>
            <w:vAlign w:val="center"/>
          </w:tcPr>
          <w:p w14:paraId="00DE7E9E" w14:textId="77777777" w:rsidR="00154E32" w:rsidRDefault="00A43E04">
            <w:pPr>
              <w:pStyle w:val="P68B1DB1-Normal11"/>
              <w:spacing w:line="276" w:lineRule="auto"/>
              <w:jc w:val="center"/>
              <w:rPr>
                <w:noProof/>
              </w:rPr>
            </w:pPr>
            <w:r>
              <w:rPr>
                <w:noProof/>
              </w:rPr>
              <w:t>2025</w:t>
            </w:r>
          </w:p>
        </w:tc>
        <w:tc>
          <w:tcPr>
            <w:tcW w:w="3854" w:type="dxa"/>
            <w:shd w:val="clear" w:color="auto" w:fill="C6EFCE"/>
            <w:noWrap/>
            <w:vAlign w:val="center"/>
          </w:tcPr>
          <w:p w14:paraId="72AC132A" w14:textId="77777777" w:rsidR="00154E32" w:rsidRDefault="00A43E04">
            <w:pPr>
              <w:pStyle w:val="P68B1DB1-Normal11"/>
              <w:spacing w:after="120"/>
              <w:rPr>
                <w:noProof/>
              </w:rPr>
            </w:pPr>
            <w:r>
              <w:rPr>
                <w:noProof/>
              </w:rPr>
              <w:t>Začetek obratovanja vsaj 100 poskusnih polnilnih postaj, priključenih na skladišča</w:t>
            </w:r>
          </w:p>
        </w:tc>
      </w:tr>
      <w:tr w:rsidR="00154E32" w14:paraId="5EC00068" w14:textId="77777777">
        <w:trPr>
          <w:trHeight w:val="309"/>
          <w:jc w:val="center"/>
        </w:trPr>
        <w:tc>
          <w:tcPr>
            <w:tcW w:w="975" w:type="dxa"/>
            <w:shd w:val="clear" w:color="auto" w:fill="C6EFCE"/>
            <w:noWrap/>
            <w:vAlign w:val="center"/>
          </w:tcPr>
          <w:p w14:paraId="1A7B98CC" w14:textId="77777777" w:rsidR="00154E32" w:rsidRDefault="00A43E04">
            <w:pPr>
              <w:pStyle w:val="P68B1DB1-Normal11"/>
              <w:spacing w:line="276" w:lineRule="auto"/>
              <w:jc w:val="center"/>
              <w:rPr>
                <w:noProof/>
              </w:rPr>
            </w:pPr>
            <w:r>
              <w:rPr>
                <w:noProof/>
              </w:rPr>
              <w:t>M2C2–33</w:t>
            </w:r>
          </w:p>
        </w:tc>
        <w:tc>
          <w:tcPr>
            <w:tcW w:w="1716" w:type="dxa"/>
            <w:shd w:val="clear" w:color="auto" w:fill="C6EFCE"/>
            <w:noWrap/>
            <w:vAlign w:val="center"/>
          </w:tcPr>
          <w:p w14:paraId="12A18DB3" w14:textId="77777777" w:rsidR="00154E32" w:rsidRDefault="00A43E04">
            <w:pPr>
              <w:pStyle w:val="P68B1DB1-Normal19"/>
              <w:spacing w:line="276" w:lineRule="auto"/>
              <w:jc w:val="center"/>
              <w:rPr>
                <w:noProof/>
                <w:color w:val="006100"/>
              </w:rPr>
            </w:pPr>
            <w:r>
              <w:rPr>
                <w:noProof/>
                <w:color w:val="006100"/>
              </w:rPr>
              <w:t>Naložba 4.4.2: Krepitev regionalnega javnega železniškega voznega parka z brezemisijskimi vlaki in univerzalnimi storitvami</w:t>
            </w:r>
          </w:p>
        </w:tc>
        <w:tc>
          <w:tcPr>
            <w:tcW w:w="1131" w:type="dxa"/>
            <w:shd w:val="clear" w:color="auto" w:fill="C6EFCE"/>
            <w:noWrap/>
            <w:vAlign w:val="center"/>
          </w:tcPr>
          <w:p w14:paraId="5AC5C4DC" w14:textId="77777777" w:rsidR="00154E32" w:rsidRDefault="00A43E04">
            <w:pPr>
              <w:pStyle w:val="P68B1DB1-Normal11"/>
              <w:spacing w:line="276" w:lineRule="auto"/>
              <w:jc w:val="center"/>
              <w:rPr>
                <w:noProof/>
              </w:rPr>
            </w:pPr>
            <w:r>
              <w:rPr>
                <w:noProof/>
              </w:rPr>
              <w:t>Mejnik</w:t>
            </w:r>
          </w:p>
        </w:tc>
        <w:tc>
          <w:tcPr>
            <w:tcW w:w="1418" w:type="dxa"/>
            <w:shd w:val="clear" w:color="auto" w:fill="C6EFCE"/>
            <w:noWrap/>
            <w:vAlign w:val="center"/>
          </w:tcPr>
          <w:p w14:paraId="701E1049" w14:textId="77777777" w:rsidR="00154E32" w:rsidRDefault="00A43E04">
            <w:pPr>
              <w:pStyle w:val="P68B1DB1-Normal11"/>
              <w:spacing w:line="276" w:lineRule="auto"/>
              <w:jc w:val="center"/>
              <w:rPr>
                <w:noProof/>
              </w:rPr>
            </w:pPr>
            <w:r>
              <w:rPr>
                <w:noProof/>
              </w:rPr>
              <w:t>Oddaja vseh javnih naročil za krepitev regionalnega javnega železniškega voznega parka z brezemisijskimi vlaki in univerzalnimi storitvami</w:t>
            </w:r>
          </w:p>
        </w:tc>
        <w:tc>
          <w:tcPr>
            <w:tcW w:w="1277" w:type="dxa"/>
            <w:shd w:val="clear" w:color="auto" w:fill="C6EFCE"/>
            <w:noWrap/>
            <w:vAlign w:val="center"/>
          </w:tcPr>
          <w:p w14:paraId="4C63B94E" w14:textId="77777777" w:rsidR="00154E32" w:rsidRDefault="00A43E04">
            <w:pPr>
              <w:pStyle w:val="P68B1DB1-Normal11"/>
              <w:spacing w:line="276" w:lineRule="auto"/>
              <w:jc w:val="center"/>
              <w:rPr>
                <w:noProof/>
              </w:rPr>
            </w:pPr>
            <w:r>
              <w:rPr>
                <w:noProof/>
              </w:rPr>
              <w:t>Obvestilo o oddaji vseh pogodb za železniški vozni park regionalnega javnega prevoza z brezemisijskimi vlaki in univerzalno storitvijo</w:t>
            </w:r>
          </w:p>
        </w:tc>
        <w:tc>
          <w:tcPr>
            <w:tcW w:w="1415" w:type="dxa"/>
            <w:shd w:val="clear" w:color="auto" w:fill="C6EFCE"/>
            <w:noWrap/>
            <w:vAlign w:val="center"/>
          </w:tcPr>
          <w:p w14:paraId="28C8B7AF" w14:textId="77777777" w:rsidR="00154E32" w:rsidRDefault="00A43E04">
            <w:pPr>
              <w:pStyle w:val="P68B1DB1-Normal11"/>
              <w:spacing w:line="276" w:lineRule="auto"/>
              <w:jc w:val="center"/>
              <w:rPr>
                <w:noProof/>
              </w:rPr>
            </w:pPr>
            <w:r>
              <w:rPr>
                <w:noProof/>
              </w:rPr>
              <w:t>JIH NI</w:t>
            </w:r>
          </w:p>
        </w:tc>
        <w:tc>
          <w:tcPr>
            <w:tcW w:w="709" w:type="dxa"/>
            <w:shd w:val="clear" w:color="auto" w:fill="C6EFCE"/>
            <w:noWrap/>
            <w:vAlign w:val="center"/>
          </w:tcPr>
          <w:p w14:paraId="373B7FF4" w14:textId="77777777" w:rsidR="00154E32" w:rsidRDefault="00A43E04">
            <w:pPr>
              <w:pStyle w:val="P68B1DB1-Normal11"/>
              <w:spacing w:line="276" w:lineRule="auto"/>
              <w:jc w:val="center"/>
              <w:rPr>
                <w:noProof/>
              </w:rPr>
            </w:pPr>
            <w:r>
              <w:rPr>
                <w:noProof/>
              </w:rPr>
              <w:t>JIH NI</w:t>
            </w:r>
          </w:p>
        </w:tc>
        <w:tc>
          <w:tcPr>
            <w:tcW w:w="1418" w:type="dxa"/>
            <w:shd w:val="clear" w:color="auto" w:fill="C6EFCE"/>
            <w:noWrap/>
            <w:vAlign w:val="center"/>
          </w:tcPr>
          <w:p w14:paraId="00A88325"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5BBBCB33" w14:textId="77777777" w:rsidR="00154E32" w:rsidRDefault="00A43E04">
            <w:pPr>
              <w:pStyle w:val="P68B1DB1-Normal11"/>
              <w:spacing w:line="276" w:lineRule="auto"/>
              <w:jc w:val="center"/>
              <w:rPr>
                <w:noProof/>
              </w:rPr>
            </w:pPr>
            <w:r>
              <w:rPr>
                <w:noProof/>
              </w:rPr>
              <w:t>Q2</w:t>
            </w:r>
          </w:p>
        </w:tc>
        <w:tc>
          <w:tcPr>
            <w:tcW w:w="709" w:type="dxa"/>
            <w:shd w:val="clear" w:color="auto" w:fill="C6EFCE"/>
            <w:noWrap/>
            <w:vAlign w:val="center"/>
          </w:tcPr>
          <w:p w14:paraId="4E6F5C8A" w14:textId="77777777" w:rsidR="00154E32" w:rsidRDefault="00A43E04">
            <w:pPr>
              <w:pStyle w:val="P68B1DB1-Normal11"/>
              <w:spacing w:line="276" w:lineRule="auto"/>
              <w:jc w:val="center"/>
              <w:rPr>
                <w:noProof/>
              </w:rPr>
            </w:pPr>
            <w:r>
              <w:rPr>
                <w:noProof/>
              </w:rPr>
              <w:t>2023</w:t>
            </w:r>
          </w:p>
        </w:tc>
        <w:tc>
          <w:tcPr>
            <w:tcW w:w="3854" w:type="dxa"/>
            <w:shd w:val="clear" w:color="auto" w:fill="C6EFCE"/>
            <w:noWrap/>
            <w:vAlign w:val="center"/>
          </w:tcPr>
          <w:p w14:paraId="213DE67D" w14:textId="77777777" w:rsidR="00154E32" w:rsidRDefault="00A43E04">
            <w:pPr>
              <w:spacing w:after="120"/>
              <w:rPr>
                <w:rFonts w:ascii="Arial Narrow" w:hAnsi="Arial Narrow"/>
                <w:noProof/>
                <w:color w:val="006100"/>
                <w:sz w:val="20"/>
              </w:rPr>
            </w:pPr>
            <w:r>
              <w:rPr>
                <w:rFonts w:ascii="Arial Narrow" w:hAnsi="Arial Narrow"/>
                <w:noProof/>
                <w:color w:val="006100"/>
                <w:sz w:val="20"/>
              </w:rPr>
              <w:t>Obvestilo o oddaji vseh javnih naročil za nakup brezemisijskih vlakov</w:t>
            </w:r>
            <w:r>
              <w:rPr>
                <w:rStyle w:val="FootnoteReference"/>
                <w:rFonts w:ascii="Arial Narrow" w:hAnsi="Arial Narrow"/>
                <w:noProof/>
                <w:color w:val="006100"/>
                <w:sz w:val="20"/>
              </w:rPr>
              <w:footnoteReference w:id="49"/>
            </w:r>
            <w:r>
              <w:rPr>
                <w:rFonts w:ascii="Arial Narrow" w:hAnsi="Arial Narrow"/>
                <w:noProof/>
              </w:rPr>
              <w:t>.</w:t>
            </w:r>
          </w:p>
        </w:tc>
      </w:tr>
      <w:tr w:rsidR="00154E32" w14:paraId="4562EC98" w14:textId="77777777">
        <w:trPr>
          <w:trHeight w:val="309"/>
          <w:jc w:val="center"/>
        </w:trPr>
        <w:tc>
          <w:tcPr>
            <w:tcW w:w="975" w:type="dxa"/>
            <w:shd w:val="clear" w:color="auto" w:fill="C6EFCE"/>
            <w:noWrap/>
            <w:vAlign w:val="center"/>
          </w:tcPr>
          <w:p w14:paraId="243E9F51" w14:textId="77777777" w:rsidR="00154E32" w:rsidRDefault="00A43E04">
            <w:pPr>
              <w:pStyle w:val="P68B1DB1-Normal11"/>
              <w:spacing w:line="276" w:lineRule="auto"/>
              <w:jc w:val="center"/>
              <w:rPr>
                <w:noProof/>
              </w:rPr>
            </w:pPr>
            <w:r>
              <w:rPr>
                <w:noProof/>
              </w:rPr>
              <w:t>M2C2–37</w:t>
            </w:r>
          </w:p>
        </w:tc>
        <w:tc>
          <w:tcPr>
            <w:tcW w:w="1716" w:type="dxa"/>
            <w:shd w:val="clear" w:color="auto" w:fill="C6EFCE"/>
            <w:noWrap/>
            <w:vAlign w:val="center"/>
          </w:tcPr>
          <w:p w14:paraId="1172AFC9" w14:textId="77777777" w:rsidR="00154E32" w:rsidRDefault="00A43E04">
            <w:pPr>
              <w:pStyle w:val="P68B1DB1-Normal11"/>
              <w:spacing w:line="276" w:lineRule="auto"/>
              <w:jc w:val="center"/>
              <w:rPr>
                <w:noProof/>
              </w:rPr>
            </w:pPr>
            <w:r>
              <w:rPr>
                <w:noProof/>
              </w:rPr>
              <w:t>Reforma 5: Pametnejši postopki za ocenjevanje projektov v sektorju sistemov lokalnega javnega prevoza s fiksnimi napravami in v sektorju hitrega množičnega prometa</w:t>
            </w:r>
          </w:p>
        </w:tc>
        <w:tc>
          <w:tcPr>
            <w:tcW w:w="1131" w:type="dxa"/>
            <w:shd w:val="clear" w:color="auto" w:fill="C6EFCE"/>
            <w:noWrap/>
            <w:vAlign w:val="center"/>
          </w:tcPr>
          <w:p w14:paraId="77CE5ED3" w14:textId="77777777" w:rsidR="00154E32" w:rsidRDefault="00A43E04">
            <w:pPr>
              <w:pStyle w:val="P68B1DB1-Normal11"/>
              <w:spacing w:line="276" w:lineRule="auto"/>
              <w:jc w:val="center"/>
              <w:rPr>
                <w:noProof/>
              </w:rPr>
            </w:pPr>
            <w:r>
              <w:rPr>
                <w:noProof/>
              </w:rPr>
              <w:t>Mejnik</w:t>
            </w:r>
          </w:p>
        </w:tc>
        <w:tc>
          <w:tcPr>
            <w:tcW w:w="1418" w:type="dxa"/>
            <w:shd w:val="clear" w:color="auto" w:fill="C6EFCE"/>
            <w:noWrap/>
            <w:vAlign w:val="center"/>
          </w:tcPr>
          <w:p w14:paraId="4318B652" w14:textId="77777777" w:rsidR="00154E32" w:rsidRDefault="00A43E04">
            <w:pPr>
              <w:pStyle w:val="P68B1DB1-Normal11"/>
              <w:spacing w:line="276" w:lineRule="auto"/>
              <w:jc w:val="center"/>
              <w:rPr>
                <w:noProof/>
              </w:rPr>
            </w:pPr>
            <w:r>
              <w:rPr>
                <w:noProof/>
              </w:rPr>
              <w:t>Začetek veljavnosti zakonskega odloka</w:t>
            </w:r>
          </w:p>
        </w:tc>
        <w:tc>
          <w:tcPr>
            <w:tcW w:w="1277" w:type="dxa"/>
            <w:shd w:val="clear" w:color="auto" w:fill="C6EFCE"/>
            <w:noWrap/>
            <w:vAlign w:val="center"/>
          </w:tcPr>
          <w:p w14:paraId="26173066" w14:textId="77777777" w:rsidR="00154E32" w:rsidRDefault="00A43E04">
            <w:pPr>
              <w:pStyle w:val="P68B1DB1-Normal11"/>
              <w:spacing w:line="276" w:lineRule="auto"/>
              <w:jc w:val="center"/>
              <w:rPr>
                <w:noProof/>
              </w:rPr>
            </w:pPr>
            <w:r>
              <w:rPr>
                <w:noProof/>
              </w:rPr>
              <w:t>Določba zakona o začetku veljavnosti zakonskega odloka</w:t>
            </w:r>
          </w:p>
        </w:tc>
        <w:tc>
          <w:tcPr>
            <w:tcW w:w="1415" w:type="dxa"/>
            <w:shd w:val="clear" w:color="auto" w:fill="C6EFCE"/>
            <w:noWrap/>
            <w:vAlign w:val="center"/>
          </w:tcPr>
          <w:p w14:paraId="62A86CE7" w14:textId="77777777" w:rsidR="00154E32" w:rsidRDefault="00A43E04">
            <w:pPr>
              <w:pStyle w:val="P68B1DB1-Normal11"/>
              <w:spacing w:line="276" w:lineRule="auto"/>
              <w:jc w:val="center"/>
              <w:rPr>
                <w:noProof/>
              </w:rPr>
            </w:pPr>
            <w:r>
              <w:rPr>
                <w:noProof/>
              </w:rPr>
              <w:t>JIH NI</w:t>
            </w:r>
          </w:p>
        </w:tc>
        <w:tc>
          <w:tcPr>
            <w:tcW w:w="709" w:type="dxa"/>
            <w:shd w:val="clear" w:color="auto" w:fill="C6EFCE"/>
            <w:noWrap/>
            <w:vAlign w:val="center"/>
          </w:tcPr>
          <w:p w14:paraId="7266CE6E" w14:textId="77777777" w:rsidR="00154E32" w:rsidRDefault="00A43E04">
            <w:pPr>
              <w:pStyle w:val="P68B1DB1-Normal11"/>
              <w:spacing w:line="276" w:lineRule="auto"/>
              <w:jc w:val="center"/>
              <w:rPr>
                <w:noProof/>
              </w:rPr>
            </w:pPr>
            <w:r>
              <w:rPr>
                <w:noProof/>
              </w:rPr>
              <w:t>JIH NI</w:t>
            </w:r>
          </w:p>
        </w:tc>
        <w:tc>
          <w:tcPr>
            <w:tcW w:w="1418" w:type="dxa"/>
            <w:shd w:val="clear" w:color="auto" w:fill="C6EFCE"/>
            <w:noWrap/>
            <w:vAlign w:val="center"/>
          </w:tcPr>
          <w:p w14:paraId="6D0A3D1B"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3CD72B6C" w14:textId="77777777" w:rsidR="00154E32" w:rsidRDefault="00A43E04">
            <w:pPr>
              <w:pStyle w:val="P68B1DB1-Normal11"/>
              <w:spacing w:line="276" w:lineRule="auto"/>
              <w:jc w:val="center"/>
              <w:rPr>
                <w:noProof/>
              </w:rPr>
            </w:pPr>
            <w:r>
              <w:rPr>
                <w:noProof/>
              </w:rPr>
              <w:t>Q4</w:t>
            </w:r>
          </w:p>
        </w:tc>
        <w:tc>
          <w:tcPr>
            <w:tcW w:w="709" w:type="dxa"/>
            <w:shd w:val="clear" w:color="auto" w:fill="C6EFCE"/>
            <w:noWrap/>
            <w:vAlign w:val="center"/>
          </w:tcPr>
          <w:p w14:paraId="25A99664" w14:textId="77777777" w:rsidR="00154E32" w:rsidRDefault="00A43E04">
            <w:pPr>
              <w:pStyle w:val="P68B1DB1-Normal11"/>
              <w:spacing w:line="276" w:lineRule="auto"/>
              <w:jc w:val="center"/>
              <w:rPr>
                <w:noProof/>
              </w:rPr>
            </w:pPr>
            <w:r>
              <w:rPr>
                <w:noProof/>
              </w:rPr>
              <w:t>2021</w:t>
            </w:r>
          </w:p>
        </w:tc>
        <w:tc>
          <w:tcPr>
            <w:tcW w:w="3854" w:type="dxa"/>
            <w:shd w:val="clear" w:color="auto" w:fill="C6EFCE"/>
            <w:noWrap/>
            <w:vAlign w:val="center"/>
          </w:tcPr>
          <w:p w14:paraId="75FB5118" w14:textId="77777777" w:rsidR="00154E32" w:rsidRDefault="00A43E04">
            <w:pPr>
              <w:pStyle w:val="P68B1DB1-Normal11"/>
              <w:spacing w:after="120"/>
              <w:rPr>
                <w:noProof/>
              </w:rPr>
            </w:pPr>
            <w:r>
              <w:rPr>
                <w:noProof/>
              </w:rPr>
              <w:t>Uredba-zakon poenostavi merila za ocenjevanje projektov v zvezi z lokalnim javnim prevozom ter pospeši postopek zasnove in odobritve.</w:t>
            </w:r>
          </w:p>
        </w:tc>
      </w:tr>
      <w:tr w:rsidR="00154E32" w14:paraId="25C91DAF" w14:textId="77777777">
        <w:trPr>
          <w:trHeight w:val="309"/>
          <w:jc w:val="center"/>
        </w:trPr>
        <w:tc>
          <w:tcPr>
            <w:tcW w:w="975" w:type="dxa"/>
            <w:shd w:val="clear" w:color="auto" w:fill="C6EFCE"/>
            <w:noWrap/>
            <w:vAlign w:val="center"/>
          </w:tcPr>
          <w:p w14:paraId="7F1B6C31" w14:textId="77777777" w:rsidR="00154E32" w:rsidRDefault="00A43E04">
            <w:pPr>
              <w:pStyle w:val="P68B1DB1-Normal11"/>
              <w:spacing w:line="276" w:lineRule="auto"/>
              <w:jc w:val="center"/>
              <w:rPr>
                <w:noProof/>
              </w:rPr>
            </w:pPr>
            <w:r>
              <w:rPr>
                <w:noProof/>
              </w:rPr>
              <w:t>M2C2–38</w:t>
            </w:r>
          </w:p>
        </w:tc>
        <w:tc>
          <w:tcPr>
            <w:tcW w:w="1716" w:type="dxa"/>
            <w:shd w:val="clear" w:color="auto" w:fill="C6EFCE"/>
            <w:noWrap/>
            <w:vAlign w:val="center"/>
          </w:tcPr>
          <w:p w14:paraId="5A127FFF" w14:textId="77777777" w:rsidR="00154E32" w:rsidRDefault="00A43E04">
            <w:pPr>
              <w:pStyle w:val="P68B1DB1-Normal11"/>
              <w:spacing w:line="276" w:lineRule="auto"/>
              <w:jc w:val="center"/>
              <w:rPr>
                <w:noProof/>
              </w:rPr>
            </w:pPr>
            <w:r>
              <w:rPr>
                <w:noProof/>
              </w:rPr>
              <w:t>Naložba 5.1: Obnovljivi viri energije in baterije</w:t>
            </w:r>
          </w:p>
        </w:tc>
        <w:tc>
          <w:tcPr>
            <w:tcW w:w="1131" w:type="dxa"/>
            <w:shd w:val="clear" w:color="auto" w:fill="C6EFCE"/>
            <w:noWrap/>
            <w:vAlign w:val="center"/>
          </w:tcPr>
          <w:p w14:paraId="12C53E91" w14:textId="77777777" w:rsidR="00154E32" w:rsidRDefault="00A43E04">
            <w:pPr>
              <w:pStyle w:val="P68B1DB1-Normal11"/>
              <w:spacing w:line="276" w:lineRule="auto"/>
              <w:jc w:val="center"/>
              <w:rPr>
                <w:noProof/>
              </w:rPr>
            </w:pPr>
            <w:r>
              <w:rPr>
                <w:noProof/>
              </w:rPr>
              <w:t>Mejnik</w:t>
            </w:r>
          </w:p>
        </w:tc>
        <w:tc>
          <w:tcPr>
            <w:tcW w:w="1418" w:type="dxa"/>
            <w:shd w:val="clear" w:color="auto" w:fill="C6EFCE"/>
            <w:noWrap/>
            <w:vAlign w:val="center"/>
          </w:tcPr>
          <w:p w14:paraId="33FE0DDA" w14:textId="77777777" w:rsidR="00154E32" w:rsidRDefault="00A43E04">
            <w:pPr>
              <w:pStyle w:val="P68B1DB1-Normal11"/>
              <w:spacing w:line="276" w:lineRule="auto"/>
              <w:jc w:val="center"/>
              <w:rPr>
                <w:noProof/>
              </w:rPr>
            </w:pPr>
            <w:r>
              <w:rPr>
                <w:noProof/>
              </w:rPr>
              <w:t>Začetek veljavnosti ministrske uredbe</w:t>
            </w:r>
          </w:p>
        </w:tc>
        <w:tc>
          <w:tcPr>
            <w:tcW w:w="1277" w:type="dxa"/>
            <w:shd w:val="clear" w:color="auto" w:fill="C6EFCE"/>
            <w:noWrap/>
            <w:vAlign w:val="center"/>
          </w:tcPr>
          <w:p w14:paraId="3466417B" w14:textId="77777777" w:rsidR="00154E32" w:rsidRDefault="00A43E04">
            <w:pPr>
              <w:pStyle w:val="P68B1DB1-Normal11"/>
              <w:spacing w:line="276" w:lineRule="auto"/>
              <w:jc w:val="center"/>
              <w:rPr>
                <w:noProof/>
              </w:rPr>
            </w:pPr>
            <w:r>
              <w:rPr>
                <w:noProof/>
              </w:rPr>
              <w:t>Določba zakona o začetku veljavnosti ministrske uredbe</w:t>
            </w:r>
          </w:p>
        </w:tc>
        <w:tc>
          <w:tcPr>
            <w:tcW w:w="1415" w:type="dxa"/>
            <w:shd w:val="clear" w:color="auto" w:fill="C6EFCE"/>
            <w:noWrap/>
            <w:vAlign w:val="center"/>
          </w:tcPr>
          <w:p w14:paraId="51EAEAFE" w14:textId="77777777" w:rsidR="00154E32" w:rsidRDefault="00A43E04">
            <w:pPr>
              <w:pStyle w:val="P68B1DB1-Normal11"/>
              <w:spacing w:line="276" w:lineRule="auto"/>
              <w:jc w:val="center"/>
              <w:rPr>
                <w:noProof/>
              </w:rPr>
            </w:pPr>
            <w:r>
              <w:rPr>
                <w:noProof/>
              </w:rPr>
              <w:t>JIH NI</w:t>
            </w:r>
          </w:p>
        </w:tc>
        <w:tc>
          <w:tcPr>
            <w:tcW w:w="709" w:type="dxa"/>
            <w:shd w:val="clear" w:color="auto" w:fill="C6EFCE"/>
            <w:noWrap/>
            <w:vAlign w:val="center"/>
          </w:tcPr>
          <w:p w14:paraId="3C45EDE9" w14:textId="77777777" w:rsidR="00154E32" w:rsidRDefault="00A43E04">
            <w:pPr>
              <w:pStyle w:val="P68B1DB1-Normal11"/>
              <w:spacing w:line="276" w:lineRule="auto"/>
              <w:jc w:val="center"/>
              <w:rPr>
                <w:noProof/>
              </w:rPr>
            </w:pPr>
            <w:r>
              <w:rPr>
                <w:noProof/>
              </w:rPr>
              <w:t>JIH NI</w:t>
            </w:r>
          </w:p>
        </w:tc>
        <w:tc>
          <w:tcPr>
            <w:tcW w:w="1418" w:type="dxa"/>
            <w:shd w:val="clear" w:color="auto" w:fill="C6EFCE"/>
            <w:noWrap/>
            <w:vAlign w:val="center"/>
          </w:tcPr>
          <w:p w14:paraId="61C4E31A"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59494605" w14:textId="77777777" w:rsidR="00154E32" w:rsidRDefault="00A43E04">
            <w:pPr>
              <w:pStyle w:val="P68B1DB1-Normal11"/>
              <w:spacing w:line="276" w:lineRule="auto"/>
              <w:jc w:val="center"/>
              <w:rPr>
                <w:noProof/>
              </w:rPr>
            </w:pPr>
            <w:r>
              <w:rPr>
                <w:noProof/>
              </w:rPr>
              <w:t>Q2</w:t>
            </w:r>
          </w:p>
        </w:tc>
        <w:tc>
          <w:tcPr>
            <w:tcW w:w="709" w:type="dxa"/>
            <w:shd w:val="clear" w:color="auto" w:fill="C6EFCE"/>
            <w:noWrap/>
            <w:vAlign w:val="center"/>
          </w:tcPr>
          <w:p w14:paraId="6B100508" w14:textId="77777777" w:rsidR="00154E32" w:rsidRDefault="00A43E04">
            <w:pPr>
              <w:pStyle w:val="P68B1DB1-Normal11"/>
              <w:spacing w:line="276" w:lineRule="auto"/>
              <w:jc w:val="center"/>
              <w:rPr>
                <w:noProof/>
              </w:rPr>
            </w:pPr>
            <w:r>
              <w:rPr>
                <w:noProof/>
              </w:rPr>
              <w:t>2022</w:t>
            </w:r>
          </w:p>
        </w:tc>
        <w:tc>
          <w:tcPr>
            <w:tcW w:w="3854" w:type="dxa"/>
            <w:shd w:val="clear" w:color="auto" w:fill="C6EFCE"/>
            <w:noWrap/>
            <w:vAlign w:val="center"/>
          </w:tcPr>
          <w:p w14:paraId="609DEE3A" w14:textId="002BFA86" w:rsidR="00154E32" w:rsidRDefault="00A43E04">
            <w:pPr>
              <w:pStyle w:val="P68B1DB1-Normal11"/>
              <w:spacing w:after="120"/>
              <w:rPr>
                <w:noProof/>
              </w:rPr>
            </w:pPr>
            <w:r>
              <w:rPr>
                <w:noProof/>
              </w:rPr>
              <w:t>V ministrski uredbi se določijo znesek razpoložljivih sredstev, zahteve za dostop upravičencev, pogoji za upravičenost programov in projektov, upravičeni stroški ter oblika in intenzivnost pomoči za razvoj fotonapetostnih panelov z visokim izkoristkom in za razvoj baterij.</w:t>
            </w:r>
          </w:p>
        </w:tc>
      </w:tr>
      <w:tr w:rsidR="00154E32" w14:paraId="105F6478" w14:textId="77777777">
        <w:trPr>
          <w:trHeight w:val="309"/>
          <w:jc w:val="center"/>
        </w:trPr>
        <w:tc>
          <w:tcPr>
            <w:tcW w:w="975" w:type="dxa"/>
            <w:shd w:val="clear" w:color="auto" w:fill="C6EFCE"/>
            <w:noWrap/>
            <w:vAlign w:val="center"/>
          </w:tcPr>
          <w:p w14:paraId="5FBD119E" w14:textId="77777777" w:rsidR="00154E32" w:rsidRDefault="00A43E04">
            <w:pPr>
              <w:pStyle w:val="P68B1DB1-Normal11"/>
              <w:spacing w:line="276" w:lineRule="auto"/>
              <w:jc w:val="center"/>
              <w:rPr>
                <w:noProof/>
              </w:rPr>
            </w:pPr>
            <w:r>
              <w:rPr>
                <w:noProof/>
              </w:rPr>
              <w:t>M2C2–41</w:t>
            </w:r>
          </w:p>
        </w:tc>
        <w:tc>
          <w:tcPr>
            <w:tcW w:w="1716" w:type="dxa"/>
            <w:shd w:val="clear" w:color="auto" w:fill="C6EFCE"/>
            <w:noWrap/>
            <w:vAlign w:val="center"/>
          </w:tcPr>
          <w:p w14:paraId="7359CF22" w14:textId="77777777" w:rsidR="00154E32" w:rsidRDefault="00A43E04">
            <w:pPr>
              <w:pStyle w:val="P68B1DB1-Normal11"/>
              <w:spacing w:line="276" w:lineRule="auto"/>
              <w:jc w:val="center"/>
              <w:rPr>
                <w:noProof/>
              </w:rPr>
            </w:pPr>
            <w:r>
              <w:rPr>
                <w:noProof/>
              </w:rPr>
              <w:t>Naložba 5.3: Električni avtobusi</w:t>
            </w:r>
          </w:p>
        </w:tc>
        <w:tc>
          <w:tcPr>
            <w:tcW w:w="1131" w:type="dxa"/>
            <w:shd w:val="clear" w:color="auto" w:fill="C6EFCE"/>
            <w:noWrap/>
            <w:vAlign w:val="center"/>
          </w:tcPr>
          <w:p w14:paraId="576C4B67" w14:textId="77777777" w:rsidR="00154E32" w:rsidRDefault="00A43E04">
            <w:pPr>
              <w:pStyle w:val="P68B1DB1-Normal11"/>
              <w:spacing w:line="276" w:lineRule="auto"/>
              <w:jc w:val="center"/>
              <w:rPr>
                <w:noProof/>
              </w:rPr>
            </w:pPr>
            <w:r>
              <w:rPr>
                <w:noProof/>
              </w:rPr>
              <w:t>Mejnik</w:t>
            </w:r>
          </w:p>
        </w:tc>
        <w:tc>
          <w:tcPr>
            <w:tcW w:w="1418" w:type="dxa"/>
            <w:shd w:val="clear" w:color="auto" w:fill="C6EFCE"/>
            <w:noWrap/>
            <w:vAlign w:val="center"/>
          </w:tcPr>
          <w:p w14:paraId="70959897" w14:textId="77777777" w:rsidR="00154E32" w:rsidRDefault="00A43E04">
            <w:pPr>
              <w:pStyle w:val="P68B1DB1-Normal11"/>
              <w:spacing w:line="276" w:lineRule="auto"/>
              <w:jc w:val="center"/>
              <w:rPr>
                <w:noProof/>
              </w:rPr>
            </w:pPr>
            <w:r>
              <w:rPr>
                <w:noProof/>
              </w:rPr>
              <w:t>Začetek veljavnosti ministrskega odloka, ki določa znesek razpoložljivih sredstev za dosego namena intervencije (dobavna veriga)</w:t>
            </w:r>
          </w:p>
        </w:tc>
        <w:tc>
          <w:tcPr>
            <w:tcW w:w="1277" w:type="dxa"/>
            <w:shd w:val="clear" w:color="auto" w:fill="C6EFCE"/>
            <w:noWrap/>
            <w:vAlign w:val="center"/>
          </w:tcPr>
          <w:p w14:paraId="360BC175" w14:textId="77777777" w:rsidR="00154E32" w:rsidRDefault="00A43E04">
            <w:pPr>
              <w:pStyle w:val="P68B1DB1-Normal11"/>
              <w:spacing w:line="276" w:lineRule="auto"/>
              <w:jc w:val="center"/>
              <w:rPr>
                <w:noProof/>
              </w:rPr>
            </w:pPr>
            <w:r>
              <w:rPr>
                <w:noProof/>
              </w:rPr>
              <w:t>Določba ministrskega odloka o začetku veljavnosti</w:t>
            </w:r>
          </w:p>
        </w:tc>
        <w:tc>
          <w:tcPr>
            <w:tcW w:w="1415" w:type="dxa"/>
            <w:shd w:val="clear" w:color="auto" w:fill="C6EFCE"/>
            <w:noWrap/>
            <w:vAlign w:val="center"/>
          </w:tcPr>
          <w:p w14:paraId="7C096EDB" w14:textId="77777777" w:rsidR="00154E32" w:rsidRDefault="00A43E04">
            <w:pPr>
              <w:pStyle w:val="P68B1DB1-Normal11"/>
              <w:spacing w:line="276" w:lineRule="auto"/>
              <w:jc w:val="center"/>
              <w:rPr>
                <w:noProof/>
              </w:rPr>
            </w:pPr>
            <w:r>
              <w:rPr>
                <w:noProof/>
              </w:rPr>
              <w:t>JIH NI</w:t>
            </w:r>
          </w:p>
        </w:tc>
        <w:tc>
          <w:tcPr>
            <w:tcW w:w="709" w:type="dxa"/>
            <w:shd w:val="clear" w:color="auto" w:fill="C6EFCE"/>
            <w:noWrap/>
            <w:vAlign w:val="center"/>
          </w:tcPr>
          <w:p w14:paraId="10EEC118" w14:textId="77777777" w:rsidR="00154E32" w:rsidRDefault="00A43E04">
            <w:pPr>
              <w:pStyle w:val="P68B1DB1-Normal11"/>
              <w:spacing w:line="276" w:lineRule="auto"/>
              <w:jc w:val="center"/>
              <w:rPr>
                <w:noProof/>
              </w:rPr>
            </w:pPr>
            <w:r>
              <w:rPr>
                <w:noProof/>
              </w:rPr>
              <w:t>JIH NI</w:t>
            </w:r>
          </w:p>
        </w:tc>
        <w:tc>
          <w:tcPr>
            <w:tcW w:w="1418" w:type="dxa"/>
            <w:shd w:val="clear" w:color="auto" w:fill="C6EFCE"/>
            <w:noWrap/>
            <w:vAlign w:val="center"/>
          </w:tcPr>
          <w:p w14:paraId="3272812C"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6DD24B73" w14:textId="77777777" w:rsidR="00154E32" w:rsidRDefault="00A43E04">
            <w:pPr>
              <w:pStyle w:val="P68B1DB1-Normal11"/>
              <w:spacing w:line="276" w:lineRule="auto"/>
              <w:jc w:val="center"/>
              <w:rPr>
                <w:noProof/>
              </w:rPr>
            </w:pPr>
            <w:r>
              <w:rPr>
                <w:noProof/>
              </w:rPr>
              <w:t>Q4</w:t>
            </w:r>
          </w:p>
        </w:tc>
        <w:tc>
          <w:tcPr>
            <w:tcW w:w="709" w:type="dxa"/>
            <w:shd w:val="clear" w:color="auto" w:fill="C6EFCE"/>
            <w:noWrap/>
            <w:vAlign w:val="center"/>
          </w:tcPr>
          <w:p w14:paraId="37A56C25" w14:textId="77777777" w:rsidR="00154E32" w:rsidRDefault="00A43E04">
            <w:pPr>
              <w:pStyle w:val="P68B1DB1-Normal11"/>
              <w:spacing w:line="276" w:lineRule="auto"/>
              <w:jc w:val="center"/>
              <w:rPr>
                <w:noProof/>
              </w:rPr>
            </w:pPr>
            <w:r>
              <w:rPr>
                <w:noProof/>
              </w:rPr>
              <w:t>2021</w:t>
            </w:r>
          </w:p>
        </w:tc>
        <w:tc>
          <w:tcPr>
            <w:tcW w:w="3854" w:type="dxa"/>
            <w:shd w:val="clear" w:color="auto" w:fill="C6EFCE"/>
            <w:noWrap/>
            <w:vAlign w:val="center"/>
          </w:tcPr>
          <w:p w14:paraId="60329A89" w14:textId="77777777" w:rsidR="00154E32" w:rsidRDefault="00A43E04">
            <w:pPr>
              <w:pStyle w:val="P68B1DB1-Normal11"/>
              <w:spacing w:after="120"/>
              <w:rPr>
                <w:noProof/>
              </w:rPr>
            </w:pPr>
            <w:r>
              <w:rPr>
                <w:noProof/>
              </w:rPr>
              <w:t>V ministrskem odloku se določi znesek razpoložljivih sredstev za izvedbo približno 45 projektov industrijske preobrazbe prek „Pogodb o razvoju“.</w:t>
            </w:r>
          </w:p>
        </w:tc>
      </w:tr>
      <w:tr w:rsidR="00154E32" w14:paraId="4FB88B9B" w14:textId="77777777">
        <w:trPr>
          <w:trHeight w:val="7425"/>
          <w:jc w:val="center"/>
        </w:trPr>
        <w:tc>
          <w:tcPr>
            <w:tcW w:w="975" w:type="dxa"/>
            <w:shd w:val="clear" w:color="auto" w:fill="C6EFCE"/>
            <w:noWrap/>
            <w:vAlign w:val="center"/>
          </w:tcPr>
          <w:p w14:paraId="369E1C3F" w14:textId="77777777" w:rsidR="00154E32" w:rsidRDefault="00A43E04">
            <w:pPr>
              <w:pStyle w:val="P68B1DB1-Normal11"/>
              <w:spacing w:line="276" w:lineRule="auto"/>
              <w:jc w:val="center"/>
              <w:rPr>
                <w:noProof/>
              </w:rPr>
            </w:pPr>
            <w:r>
              <w:rPr>
                <w:noProof/>
              </w:rPr>
              <w:t>M2C2–42</w:t>
            </w:r>
          </w:p>
        </w:tc>
        <w:tc>
          <w:tcPr>
            <w:tcW w:w="1716" w:type="dxa"/>
            <w:shd w:val="clear" w:color="auto" w:fill="C6EFCE"/>
            <w:noWrap/>
            <w:vAlign w:val="center"/>
          </w:tcPr>
          <w:p w14:paraId="6AAE6FC1" w14:textId="77777777" w:rsidR="00154E32" w:rsidRDefault="00A43E04">
            <w:pPr>
              <w:pStyle w:val="P68B1DB1-Normal11"/>
              <w:spacing w:line="276" w:lineRule="auto"/>
              <w:jc w:val="center"/>
              <w:rPr>
                <w:noProof/>
              </w:rPr>
            </w:pPr>
            <w:r>
              <w:rPr>
                <w:noProof/>
              </w:rPr>
              <w:t>Naložba 5.4: Podpora zagonskim podjetjem in tveganemu kapitalu, dejavnim v ekološkem prehodu</w:t>
            </w:r>
          </w:p>
        </w:tc>
        <w:tc>
          <w:tcPr>
            <w:tcW w:w="1131" w:type="dxa"/>
            <w:shd w:val="clear" w:color="auto" w:fill="C6EFCE"/>
            <w:noWrap/>
            <w:vAlign w:val="center"/>
          </w:tcPr>
          <w:p w14:paraId="41023B45" w14:textId="77777777" w:rsidR="00154E32" w:rsidRDefault="00A43E04">
            <w:pPr>
              <w:pStyle w:val="P68B1DB1-Normal11"/>
              <w:spacing w:line="276" w:lineRule="auto"/>
              <w:jc w:val="center"/>
              <w:rPr>
                <w:noProof/>
              </w:rPr>
            </w:pPr>
            <w:r>
              <w:rPr>
                <w:noProof/>
              </w:rPr>
              <w:t>Mejnik</w:t>
            </w:r>
          </w:p>
        </w:tc>
        <w:tc>
          <w:tcPr>
            <w:tcW w:w="1418" w:type="dxa"/>
            <w:shd w:val="clear" w:color="auto" w:fill="C6EFCE"/>
            <w:noWrap/>
            <w:vAlign w:val="center"/>
          </w:tcPr>
          <w:p w14:paraId="0DA89F16" w14:textId="77777777" w:rsidR="00154E32" w:rsidRDefault="00A43E04">
            <w:pPr>
              <w:pStyle w:val="P68B1DB1-Normal11"/>
              <w:spacing w:line="276" w:lineRule="auto"/>
              <w:jc w:val="center"/>
              <w:rPr>
                <w:noProof/>
              </w:rPr>
            </w:pPr>
            <w:r>
              <w:rPr>
                <w:noProof/>
              </w:rPr>
              <w:t>Podpis finančnega sporazuma</w:t>
            </w:r>
          </w:p>
        </w:tc>
        <w:tc>
          <w:tcPr>
            <w:tcW w:w="1277" w:type="dxa"/>
            <w:shd w:val="clear" w:color="auto" w:fill="C6EFCE"/>
            <w:noWrap/>
            <w:vAlign w:val="center"/>
          </w:tcPr>
          <w:p w14:paraId="18EBBA61" w14:textId="77777777" w:rsidR="00154E32" w:rsidRDefault="00A43E04">
            <w:pPr>
              <w:pStyle w:val="P68B1DB1-Normal11"/>
              <w:spacing w:line="276" w:lineRule="auto"/>
              <w:jc w:val="center"/>
              <w:rPr>
                <w:noProof/>
              </w:rPr>
            </w:pPr>
            <w:r>
              <w:rPr>
                <w:noProof/>
              </w:rPr>
              <w:t>Uradno obvestilo o podpisu finančnega sporazuma</w:t>
            </w:r>
          </w:p>
        </w:tc>
        <w:tc>
          <w:tcPr>
            <w:tcW w:w="1415" w:type="dxa"/>
            <w:shd w:val="clear" w:color="auto" w:fill="C6EFCE"/>
            <w:noWrap/>
            <w:vAlign w:val="center"/>
          </w:tcPr>
          <w:p w14:paraId="2659D53C" w14:textId="77777777" w:rsidR="00154E32" w:rsidRDefault="00A43E04">
            <w:pPr>
              <w:pStyle w:val="P68B1DB1-Normal11"/>
              <w:spacing w:line="276" w:lineRule="auto"/>
              <w:jc w:val="center"/>
              <w:rPr>
                <w:noProof/>
              </w:rPr>
            </w:pPr>
            <w:r>
              <w:rPr>
                <w:noProof/>
              </w:rPr>
              <w:t>JIH NI</w:t>
            </w:r>
          </w:p>
        </w:tc>
        <w:tc>
          <w:tcPr>
            <w:tcW w:w="709" w:type="dxa"/>
            <w:shd w:val="clear" w:color="auto" w:fill="C6EFCE"/>
            <w:noWrap/>
            <w:vAlign w:val="center"/>
          </w:tcPr>
          <w:p w14:paraId="5F5628E6" w14:textId="77777777" w:rsidR="00154E32" w:rsidRDefault="00A43E04">
            <w:pPr>
              <w:pStyle w:val="P68B1DB1-Normal11"/>
              <w:spacing w:line="276" w:lineRule="auto"/>
              <w:jc w:val="center"/>
              <w:rPr>
                <w:noProof/>
              </w:rPr>
            </w:pPr>
            <w:r>
              <w:rPr>
                <w:noProof/>
              </w:rPr>
              <w:t>JIH NI</w:t>
            </w:r>
          </w:p>
        </w:tc>
        <w:tc>
          <w:tcPr>
            <w:tcW w:w="1418" w:type="dxa"/>
            <w:shd w:val="clear" w:color="auto" w:fill="C6EFCE"/>
            <w:noWrap/>
            <w:vAlign w:val="center"/>
          </w:tcPr>
          <w:p w14:paraId="076BF20D" w14:textId="77777777" w:rsidR="00154E32" w:rsidRDefault="00A43E04">
            <w:pPr>
              <w:pStyle w:val="P68B1DB1-Normal11"/>
              <w:spacing w:line="276" w:lineRule="auto"/>
              <w:jc w:val="center"/>
              <w:rPr>
                <w:noProof/>
              </w:rPr>
            </w:pPr>
            <w:r>
              <w:rPr>
                <w:noProof/>
              </w:rPr>
              <w:t>JIH NI</w:t>
            </w:r>
          </w:p>
        </w:tc>
        <w:tc>
          <w:tcPr>
            <w:tcW w:w="993" w:type="dxa"/>
            <w:shd w:val="clear" w:color="auto" w:fill="C6EFCE"/>
            <w:noWrap/>
            <w:vAlign w:val="center"/>
          </w:tcPr>
          <w:p w14:paraId="53317ED0" w14:textId="77777777" w:rsidR="00154E32" w:rsidRDefault="00A43E04">
            <w:pPr>
              <w:pStyle w:val="P68B1DB1-Normal11"/>
              <w:spacing w:line="276" w:lineRule="auto"/>
              <w:jc w:val="center"/>
              <w:rPr>
                <w:noProof/>
              </w:rPr>
            </w:pPr>
            <w:r>
              <w:rPr>
                <w:noProof/>
              </w:rPr>
              <w:t>Q2</w:t>
            </w:r>
          </w:p>
        </w:tc>
        <w:tc>
          <w:tcPr>
            <w:tcW w:w="709" w:type="dxa"/>
            <w:shd w:val="clear" w:color="auto" w:fill="C6EFCE"/>
            <w:noWrap/>
            <w:vAlign w:val="center"/>
          </w:tcPr>
          <w:p w14:paraId="2CDAE434" w14:textId="77777777" w:rsidR="00154E32" w:rsidRDefault="00A43E04">
            <w:pPr>
              <w:pStyle w:val="P68B1DB1-Normal11"/>
              <w:spacing w:line="276" w:lineRule="auto"/>
              <w:jc w:val="center"/>
              <w:rPr>
                <w:noProof/>
              </w:rPr>
            </w:pPr>
            <w:r>
              <w:rPr>
                <w:noProof/>
              </w:rPr>
              <w:t>2022</w:t>
            </w:r>
          </w:p>
        </w:tc>
        <w:tc>
          <w:tcPr>
            <w:tcW w:w="3854" w:type="dxa"/>
            <w:shd w:val="clear" w:color="auto" w:fill="C6EFCE"/>
            <w:noWrap/>
            <w:vAlign w:val="center"/>
          </w:tcPr>
          <w:p w14:paraId="64717548" w14:textId="77777777" w:rsidR="00154E32" w:rsidRDefault="00A43E04">
            <w:pPr>
              <w:pStyle w:val="P68B1DB1-Normal11"/>
              <w:spacing w:after="120"/>
              <w:rPr>
                <w:noProof/>
              </w:rPr>
            </w:pPr>
            <w:r>
              <w:rPr>
                <w:noProof/>
              </w:rPr>
              <w:t>Finančni sporazum določa posredne naložbe v financiranje upraviteljev skladov tveganega kapitala z naložbami in podjetji/zagonom v skladu s cilji zelenega prehoda, da se poveča kapital, ki je na voljo raziskovalcem in zagonskim podjetjem, okrepi delovanje aktivnih skladov tveganega kapitala ter razvije nova in inovativna podjetja v partnerstvu s podjetji.</w:t>
            </w:r>
          </w:p>
          <w:p w14:paraId="6FAD358D" w14:textId="77777777" w:rsidR="00154E32" w:rsidRDefault="00154E32">
            <w:pPr>
              <w:spacing w:after="120"/>
              <w:rPr>
                <w:rFonts w:ascii="Arial Narrow" w:hAnsi="Arial Narrow"/>
                <w:noProof/>
                <w:color w:val="006100"/>
                <w:sz w:val="20"/>
              </w:rPr>
            </w:pPr>
          </w:p>
          <w:p w14:paraId="62EC5FBA" w14:textId="77777777" w:rsidR="00154E32" w:rsidRDefault="00A43E04">
            <w:pPr>
              <w:pStyle w:val="P68B1DB1-Normal11"/>
              <w:spacing w:after="120"/>
              <w:rPr>
                <w:noProof/>
              </w:rPr>
            </w:pPr>
            <w:r>
              <w:rPr>
                <w:noProof/>
              </w:rPr>
              <w:t>Finančni sporazum vključuje:</w:t>
            </w:r>
          </w:p>
          <w:p w14:paraId="21214601" w14:textId="77777777" w:rsidR="00154E32" w:rsidRDefault="00A43E04">
            <w:pPr>
              <w:pStyle w:val="P68B1DB1-ListParagraph13"/>
              <w:numPr>
                <w:ilvl w:val="0"/>
                <w:numId w:val="69"/>
              </w:numPr>
              <w:spacing w:before="0"/>
              <w:ind w:left="296"/>
              <w:contextualSpacing w:val="0"/>
              <w:jc w:val="left"/>
              <w:rPr>
                <w:noProof/>
              </w:rPr>
            </w:pPr>
            <w:r>
              <w:rPr>
                <w:noProof/>
              </w:rPr>
              <w:t>naložbena politika,</w:t>
            </w:r>
          </w:p>
          <w:p w14:paraId="14874944" w14:textId="77777777" w:rsidR="00154E32" w:rsidRDefault="00A43E04">
            <w:pPr>
              <w:pStyle w:val="P68B1DB1-ListParagraph13"/>
              <w:numPr>
                <w:ilvl w:val="0"/>
                <w:numId w:val="69"/>
              </w:numPr>
              <w:spacing w:before="0"/>
              <w:ind w:left="296"/>
              <w:contextualSpacing w:val="0"/>
              <w:jc w:val="left"/>
              <w:rPr>
                <w:noProof/>
              </w:rPr>
            </w:pPr>
            <w:r>
              <w:rPr>
                <w:noProof/>
              </w:rPr>
              <w:t>merila za upravičenost,</w:t>
            </w:r>
          </w:p>
          <w:p w14:paraId="25127252" w14:textId="77777777" w:rsidR="00154E32" w:rsidRDefault="00A43E04">
            <w:pPr>
              <w:pStyle w:val="P68B1DB1-Normal11"/>
              <w:spacing w:after="120"/>
              <w:rPr>
                <w:noProof/>
              </w:rPr>
            </w:pPr>
            <w:r>
              <w:rPr>
                <w:noProof/>
              </w:rPr>
              <w:t>skladnost s tehničnimi smernicami „da se ne škoduje bistveno“ (2021/C58/01) podprtih transakcij v okviru tega ukrepa z uporabo preverjanja trajnostnosti, seznama izključitev in zahteve po skladnosti z ustrezno okoljsko zakonodajo EU in nacionalno okoljsko zakonodajo.</w:t>
            </w:r>
          </w:p>
        </w:tc>
      </w:tr>
    </w:tbl>
    <w:p w14:paraId="2D5F1C5B" w14:textId="77777777" w:rsidR="00154E32" w:rsidRDefault="00154E32">
      <w:pPr>
        <w:spacing w:before="120" w:after="120"/>
        <w:ind w:left="709"/>
        <w:jc w:val="both"/>
        <w:rPr>
          <w:noProof/>
        </w:rPr>
      </w:pPr>
    </w:p>
    <w:p w14:paraId="34CF9AF6" w14:textId="77777777" w:rsidR="00154E32" w:rsidRDefault="00154E32">
      <w:pPr>
        <w:spacing w:before="120" w:after="120"/>
        <w:ind w:left="709"/>
        <w:jc w:val="both"/>
        <w:rPr>
          <w:noProof/>
        </w:rPr>
        <w:sectPr w:rsidR="00154E32" w:rsidSect="001354D1">
          <w:headerReference w:type="even" r:id="rId122"/>
          <w:headerReference w:type="default" r:id="rId123"/>
          <w:footerReference w:type="even" r:id="rId124"/>
          <w:footerReference w:type="default" r:id="rId125"/>
          <w:headerReference w:type="first" r:id="rId126"/>
          <w:footerReference w:type="first" r:id="rId127"/>
          <w:pgSz w:w="16839" w:h="11907" w:orient="landscape"/>
          <w:pgMar w:top="1134" w:right="1134" w:bottom="1134" w:left="1134" w:header="567" w:footer="567" w:gutter="0"/>
          <w:cols w:space="720"/>
          <w:docGrid w:linePitch="360"/>
        </w:sectPr>
      </w:pPr>
    </w:p>
    <w:p w14:paraId="1B78A949" w14:textId="77777777" w:rsidR="00154E32" w:rsidRDefault="00A43E04">
      <w:pPr>
        <w:pStyle w:val="Heading3"/>
        <w:numPr>
          <w:ilvl w:val="0"/>
          <w:numId w:val="0"/>
        </w:numPr>
        <w:ind w:left="850" w:hanging="850"/>
        <w:rPr>
          <w:b/>
          <w:i w:val="0"/>
          <w:noProof/>
          <w:color w:val="4F81BD" w:themeColor="accent1"/>
          <w:u w:val="single"/>
        </w:rPr>
      </w:pPr>
      <w:r>
        <w:rPr>
          <w:b/>
          <w:i w:val="0"/>
          <w:noProof/>
          <w:u w:val="single"/>
        </w:rPr>
        <w:t xml:space="preserve">E.3. </w:t>
      </w:r>
      <w:r>
        <w:rPr>
          <w:noProof/>
        </w:rPr>
        <w:tab/>
      </w:r>
      <w:r>
        <w:rPr>
          <w:b/>
          <w:i w:val="0"/>
          <w:noProof/>
          <w:u w:val="single"/>
        </w:rPr>
        <w:t xml:space="preserve">Opis reform in naložb za posojilo </w:t>
      </w:r>
    </w:p>
    <w:p w14:paraId="7F0307CB" w14:textId="77777777" w:rsidR="00154E32" w:rsidRDefault="00A43E04">
      <w:pPr>
        <w:pStyle w:val="P68B1DB1-Normal2"/>
        <w:spacing w:before="120" w:after="120"/>
        <w:jc w:val="both"/>
        <w:rPr>
          <w:noProof/>
        </w:rPr>
      </w:pPr>
      <w:r>
        <w:rPr>
          <w:noProof/>
        </w:rPr>
        <w:t>Naložba 1.1 – Razvoj kmetijsko-voltaičnih sistemov</w:t>
      </w:r>
    </w:p>
    <w:p w14:paraId="324EF261" w14:textId="77777777" w:rsidR="00154E32" w:rsidRDefault="00A43E04">
      <w:pPr>
        <w:spacing w:before="120" w:after="120"/>
        <w:jc w:val="both"/>
        <w:rPr>
          <w:noProof/>
        </w:rPr>
      </w:pPr>
      <w:r>
        <w:rPr>
          <w:noProof/>
        </w:rPr>
        <w:t>Ta naložba zajema nepovratna sredstva in posojila, ki podpirajo naložbe za izgradnjo kmetijsko-voltaičnih sistemov in namestitev merilnih instrumentov za spremljanje osnovne kmetijske dejavnosti, da se ocenijo mikroklima, varčevanje z vodo, obnovitev rodovitnosti tal, odpornost na podnebne spremembe in kmetijska produktivnost za različne vrste poljščin.</w:t>
      </w:r>
    </w:p>
    <w:p w14:paraId="19B541FE" w14:textId="77777777" w:rsidR="00154E32" w:rsidRDefault="00A43E04">
      <w:pPr>
        <w:pStyle w:val="P68B1DB1-Normal2"/>
        <w:spacing w:before="120" w:after="120"/>
        <w:jc w:val="both"/>
        <w:rPr>
          <w:noProof/>
        </w:rPr>
      </w:pPr>
      <w:r>
        <w:rPr>
          <w:noProof/>
        </w:rPr>
        <w:t>Naložba 1.2 – Spodbujanje obnovljivih virov energije za energetske skupnosti in skupno delujoče samooskrbovalce z energijo iz obnovljivih virov</w:t>
      </w:r>
    </w:p>
    <w:p w14:paraId="59B15D14" w14:textId="7CE05843" w:rsidR="00154E32" w:rsidRDefault="00A43E04">
      <w:pPr>
        <w:spacing w:before="120" w:after="120"/>
        <w:jc w:val="both"/>
        <w:rPr>
          <w:noProof/>
        </w:rPr>
      </w:pPr>
      <w:r>
        <w:rPr>
          <w:noProof/>
        </w:rPr>
        <w:t>Ta naložba vključuje podporo namestitvi 1 730 MW novih zmogljivosti za proizvodnjo električne energije za konfiguracije skupne lastne porabe in skupnosti na področju energije iz obnovljivih virov, zlasti v občinah z manj kot 5000 prebivalci. Podpora temelji na nepovratnih sredstvih za gradnjo obnovljivih virov energije in proizvodnih obratov, povezanih s sistemi za shranjevanje energije.</w:t>
      </w:r>
    </w:p>
    <w:p w14:paraId="30BADB75" w14:textId="77777777" w:rsidR="00154E32" w:rsidRDefault="00A43E04">
      <w:pPr>
        <w:pStyle w:val="P68B1DB1-Normal2"/>
        <w:spacing w:before="120" w:after="120"/>
        <w:jc w:val="both"/>
        <w:rPr>
          <w:noProof/>
        </w:rPr>
      </w:pPr>
      <w:r>
        <w:rPr>
          <w:noProof/>
        </w:rPr>
        <w:t>Naložba 1.4 – Razvoj biometana v skladu z merili za spodbujanje krožnega gospodarstva</w:t>
      </w:r>
    </w:p>
    <w:p w14:paraId="0B81E416" w14:textId="77777777" w:rsidR="00154E32" w:rsidRDefault="00A43E04">
      <w:pPr>
        <w:spacing w:before="120" w:after="120"/>
        <w:jc w:val="both"/>
        <w:rPr>
          <w:noProof/>
        </w:rPr>
      </w:pPr>
      <w:r>
        <w:rPr>
          <w:noProof/>
        </w:rPr>
        <w:t>To naložbo sestavljajo:</w:t>
      </w:r>
    </w:p>
    <w:p w14:paraId="1117C589" w14:textId="77777777" w:rsidR="00154E32" w:rsidRDefault="00A43E04">
      <w:pPr>
        <w:numPr>
          <w:ilvl w:val="0"/>
          <w:numId w:val="67"/>
        </w:numPr>
        <w:spacing w:before="120" w:after="120" w:line="259" w:lineRule="auto"/>
        <w:ind w:left="360"/>
        <w:contextualSpacing/>
        <w:jc w:val="both"/>
        <w:rPr>
          <w:noProof/>
        </w:rPr>
      </w:pPr>
      <w:r>
        <w:rPr>
          <w:noProof/>
        </w:rPr>
        <w:t>Podpora za gradnjo novih obratov za proizvodnjo biometana</w:t>
      </w:r>
    </w:p>
    <w:p w14:paraId="5801CC52" w14:textId="77777777" w:rsidR="00154E32" w:rsidRDefault="00A43E04">
      <w:pPr>
        <w:numPr>
          <w:ilvl w:val="0"/>
          <w:numId w:val="67"/>
        </w:numPr>
        <w:spacing w:before="120" w:after="120" w:line="259" w:lineRule="auto"/>
        <w:ind w:left="360"/>
        <w:contextualSpacing/>
        <w:jc w:val="both"/>
        <w:rPr>
          <w:noProof/>
        </w:rPr>
      </w:pPr>
      <w:r>
        <w:rPr>
          <w:noProof/>
        </w:rPr>
        <w:t>Ponovna preusmeritev in izboljšanje učinkovitosti obstoječih kmetijskih obratov za pridobivanje bioplina (vključno z organskim delom trdnih komunalnih odpadkov) v smeri proizvodnje biometana za promet, industrijo in ogrevanje. Biometan izpolnjuje merila iz Direktive 2018/2001 (direktiva o spodbujanju uporabe energije iz obnovljivih virov), da se omogoči, da je ukrep skladen z načelom, da se ne šteje za bistveno, in ustreznimi zahtevami iz opombe 8 Priloge VI k Uredbi (EU) 2021/241.</w:t>
      </w:r>
    </w:p>
    <w:p w14:paraId="58083E6E" w14:textId="77777777" w:rsidR="00154E32" w:rsidRDefault="00A43E04">
      <w:pPr>
        <w:numPr>
          <w:ilvl w:val="0"/>
          <w:numId w:val="67"/>
        </w:numPr>
        <w:spacing w:before="120" w:after="120" w:line="259" w:lineRule="auto"/>
        <w:ind w:left="360"/>
        <w:contextualSpacing/>
        <w:jc w:val="both"/>
        <w:rPr>
          <w:noProof/>
        </w:rPr>
      </w:pPr>
      <w:r>
        <w:rPr>
          <w:noProof/>
        </w:rPr>
        <w:t>Nadomestitev zastarelih in nizko učinkovitih mehanskih vozil z vozili, ki vozijo izključno z biometanom v skladu z merili iz Direktive 2018/2001 (direktiva o spodbujanju uporabe energije iz obnovljivih virov). Proizvajalci biogoriv in biometana ter biogoriv morajo predložiti certifikate (dokazilo o trajnostnosti), ki jih izdajo neodvisni ocenjevalci, kot je določeno v Direktivi 2018/2001. Upravljavec kupi potrdilo o izvoru, ki je sorazmerno s pričakovano porabo goriva.</w:t>
      </w:r>
    </w:p>
    <w:p w14:paraId="45A6F2BB" w14:textId="1BAFC9DD" w:rsidR="00154E32" w:rsidRDefault="00A43E04">
      <w:pPr>
        <w:numPr>
          <w:ilvl w:val="0"/>
          <w:numId w:val="67"/>
        </w:numPr>
        <w:spacing w:before="120" w:after="120" w:line="259" w:lineRule="auto"/>
        <w:ind w:left="360"/>
        <w:contextualSpacing/>
        <w:jc w:val="both"/>
        <w:rPr>
          <w:noProof/>
        </w:rPr>
      </w:pPr>
      <w:r>
        <w:rPr>
          <w:noProof/>
        </w:rPr>
        <w:t>Razpršitev ekoloških praks v fazi proizvodnje bioplina (kraji minimalne obdelave tal, inovativni sistemi z nizko stopnjo emisij za distribucijo digestata).</w:t>
      </w:r>
    </w:p>
    <w:p w14:paraId="03C2BCC9" w14:textId="77777777" w:rsidR="00154E32" w:rsidRDefault="00A43E04">
      <w:pPr>
        <w:pStyle w:val="P68B1DB1-Normal2"/>
        <w:spacing w:before="120" w:after="120"/>
        <w:jc w:val="both"/>
        <w:rPr>
          <w:noProof/>
        </w:rPr>
      </w:pPr>
      <w:r>
        <w:rPr>
          <w:noProof/>
        </w:rPr>
        <w:t>Naložba 2.1 – Krepitev pametnih omrežij</w:t>
      </w:r>
    </w:p>
    <w:p w14:paraId="60D1125B" w14:textId="77777777" w:rsidR="00154E32" w:rsidRDefault="00A43E04">
      <w:pPr>
        <w:spacing w:before="120" w:after="120"/>
        <w:jc w:val="both"/>
        <w:rPr>
          <w:noProof/>
        </w:rPr>
      </w:pPr>
      <w:r>
        <w:rPr>
          <w:noProof/>
        </w:rPr>
        <w:t>Ta naložba vključuje preoblikovanje distribucijskih omrežij in njihovega upravljanja z posegi v elektroenergetsko omrežje in njegove sestavne dele programske opreme, da se omogočijo novi energetski scenariji, pri katerih lahko sodelujejo tudi odjemalci in proizvajalci-odjemalci.</w:t>
      </w:r>
    </w:p>
    <w:p w14:paraId="4FBA14C2" w14:textId="77777777" w:rsidR="00154E32" w:rsidRDefault="00A43E04">
      <w:pPr>
        <w:pStyle w:val="P68B1DB1-Normal2"/>
        <w:spacing w:before="120" w:after="120"/>
        <w:jc w:val="both"/>
        <w:rPr>
          <w:noProof/>
        </w:rPr>
      </w:pPr>
      <w:r>
        <w:rPr>
          <w:noProof/>
        </w:rPr>
        <w:t>Naložba 2.2 – Intervencije za povečanje odpornosti električnega omrežja</w:t>
      </w:r>
    </w:p>
    <w:p w14:paraId="30BB3F4D" w14:textId="77777777" w:rsidR="00154E32" w:rsidRDefault="00A43E04">
      <w:pPr>
        <w:spacing w:before="120" w:after="120"/>
        <w:jc w:val="both"/>
        <w:rPr>
          <w:noProof/>
        </w:rPr>
      </w:pPr>
      <w:r>
        <w:rPr>
          <w:noProof/>
        </w:rPr>
        <w:t>Ta naložba vključuje ukrepe za izboljšanje odpornosti elektroenergetskega omrežja na ekstremne vremenske pojave (veter/padača drevesa, led, vročinski valovi, poplavna in hidrogeološka tveganja), zlasti na distribucijskem omrežju, ter za zmanjšanje verjetnosti dolgotrajnih prekinitev oskrbe z električno energijo ter negativnih socialnih in gospodarskih posledic za prizadeta območja.</w:t>
      </w:r>
    </w:p>
    <w:p w14:paraId="044C9DC3" w14:textId="5495A66C" w:rsidR="00154E32" w:rsidRDefault="00A43E04">
      <w:pPr>
        <w:pStyle w:val="P68B1DB1-Normal2"/>
        <w:spacing w:before="120" w:after="120"/>
        <w:jc w:val="both"/>
        <w:rPr>
          <w:noProof/>
        </w:rPr>
      </w:pPr>
      <w:r>
        <w:rPr>
          <w:noProof/>
        </w:rPr>
        <w:t>Naložba 3.1 – Proizvodnja vodika na degradiranih območjih (hidrogenska dolina)</w:t>
      </w:r>
    </w:p>
    <w:p w14:paraId="0A4CFEFC" w14:textId="77777777" w:rsidR="00154E32" w:rsidRDefault="00A43E04">
      <w:pPr>
        <w:spacing w:before="120" w:after="120"/>
        <w:jc w:val="both"/>
        <w:rPr>
          <w:noProof/>
        </w:rPr>
      </w:pPr>
      <w:r>
        <w:rPr>
          <w:noProof/>
        </w:rPr>
        <w:t>Ta naložba vključuje podporo lokalni proizvodnji in uporabi zelenega vodika v industriji, malih in srednjih podjetjih ter lokalnem prometu, s čimer se ustvarjajo nove vodikove doline, ki se večinoma nahajajo na jugu Italije, z lokalno proizvodnjo iz obnovljivih virov energije in lokalno uporabo. Cilj projekta je ponovna uporaba opuščenih industrijskih območij za preskusne enote za proizvodnjo vodika iz lokalnih obratov za energijo iz obnovljivih virov, ki se nahajajo v istem industrijskem prostoru in obratih ali na sosednjih območjih. Ta ukrep podpira proizvodnjo vodika na podlagi elektrolize z uporabo obnovljivih virov energije, kot so opredeljeni v Direktivi (EU) 2018/2001 (direktiva o obnovljivih virih), ali električne energije iz omrežja.</w:t>
      </w:r>
    </w:p>
    <w:p w14:paraId="46DEC56A" w14:textId="77777777" w:rsidR="00154E32" w:rsidRDefault="00A43E04">
      <w:pPr>
        <w:pStyle w:val="P68B1DB1-Normal2"/>
        <w:spacing w:before="120" w:after="120"/>
        <w:jc w:val="both"/>
        <w:rPr>
          <w:noProof/>
        </w:rPr>
      </w:pPr>
      <w:r>
        <w:rPr>
          <w:noProof/>
        </w:rPr>
        <w:t>Naložba 3.2 – Uporaba vodika v industriji, v kateri je težko zmanjšati emisije</w:t>
      </w:r>
    </w:p>
    <w:p w14:paraId="6B48525D" w14:textId="266BFCF1" w:rsidR="00154E32" w:rsidRDefault="00A43E04">
      <w:pPr>
        <w:spacing w:before="120" w:after="120"/>
        <w:jc w:val="both"/>
        <w:rPr>
          <w:b/>
          <w:noProof/>
        </w:rPr>
      </w:pPr>
      <w:r>
        <w:rPr>
          <w:noProof/>
        </w:rPr>
        <w:t>Ta naložba vključuje podporo raziskavam, razvoju in inovacijam na področju industrijskih procesov za razvoj pobud za uporabo vodika v industrijskih sektorjih, ki uporabljajo metan kot vir energije za toplotno energijo (cement, papirnice, keramika, steklarska industrija itd.). Sektor fosilnih goriv, kot so rafinerije nafte, ni upravičen. Ta ukrep podpira proizvodnjo vodika na podlagi elektrolize z uporabo obnovljivih virov energije, kot so opredeljeni v Direktivi (EU) 2018/2001 (direktiva o obnovljivih virih), ali električne energije iz omrežja.</w:t>
      </w:r>
      <w:r>
        <w:rPr>
          <w:b/>
          <w:noProof/>
        </w:rPr>
        <w:t xml:space="preserve"> </w:t>
      </w:r>
    </w:p>
    <w:p w14:paraId="1901E301" w14:textId="1A784B3C" w:rsidR="00154E32" w:rsidRDefault="00A43E04">
      <w:pPr>
        <w:spacing w:before="120" w:after="120"/>
        <w:jc w:val="both"/>
        <w:rPr>
          <w:noProof/>
        </w:rPr>
      </w:pPr>
      <w:r>
        <w:rPr>
          <w:noProof/>
        </w:rPr>
        <w:t>Za zagotovitev, da je ukrep skladen z načelom, da se ne škoduje bistveno, v okviru mehanizma za okrevanje in odpornost, kot je določeno v tehničnih smernicah za načelo, da se ne škoduje bistveno (2021/C58/01), merila za upravičenost v prihodnjih razpisih izključujejo dejavnosti v okviru sistema EU za trgovanje z emisijami (ETS), s katerimi se dosegajo predvidene emisije toplogrednih plinov, ki niso nižje od ustreznih referenčnih vrednosti. Kadar dejavnost dosega predvidene emisije toplogrednih plinov, ki niso bistveno nižje, vendar še vedno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p w14:paraId="1B9A3C33" w14:textId="77777777" w:rsidR="00154E32" w:rsidRDefault="00A43E04">
      <w:pPr>
        <w:pStyle w:val="P68B1DB1-Normal2"/>
        <w:spacing w:before="120" w:after="120"/>
        <w:jc w:val="both"/>
        <w:rPr>
          <w:noProof/>
        </w:rPr>
      </w:pPr>
      <w:r>
        <w:rPr>
          <w:noProof/>
        </w:rPr>
        <w:t>Naložba 3.3 – Preizkus vodika za cestni promet</w:t>
      </w:r>
    </w:p>
    <w:p w14:paraId="07042940" w14:textId="77777777" w:rsidR="00154E32" w:rsidRDefault="00A43E04">
      <w:pPr>
        <w:spacing w:before="120" w:after="120"/>
        <w:jc w:val="both"/>
        <w:rPr>
          <w:noProof/>
        </w:rPr>
      </w:pPr>
      <w:r>
        <w:rPr>
          <w:noProof/>
        </w:rPr>
        <w:t xml:space="preserve">Ta naložba vključuje vzpostavitev vsaj 40 oskrbovalnih postaj na vodikovih območjih, logističnih skladiščih in pristaniščih v skladu z zahtevami Direktive 2014/94 o infrastrukturi za alternativna goriva. </w:t>
      </w:r>
    </w:p>
    <w:p w14:paraId="45AF42FB" w14:textId="77777777" w:rsidR="00154E32" w:rsidRDefault="00A43E04">
      <w:pPr>
        <w:pStyle w:val="P68B1DB1-Normal2"/>
        <w:spacing w:before="120" w:after="120"/>
        <w:jc w:val="both"/>
        <w:rPr>
          <w:noProof/>
        </w:rPr>
      </w:pPr>
      <w:r>
        <w:rPr>
          <w:noProof/>
        </w:rPr>
        <w:t>Naložba 3.4 – Preizkus vodika za mobilnost v železniškem prometu</w:t>
      </w:r>
    </w:p>
    <w:p w14:paraId="6FA98301" w14:textId="77777777" w:rsidR="00154E32" w:rsidRDefault="00A43E04">
      <w:pPr>
        <w:spacing w:before="120" w:after="120"/>
        <w:jc w:val="both"/>
        <w:rPr>
          <w:noProof/>
        </w:rPr>
      </w:pPr>
      <w:r>
        <w:rPr>
          <w:noProof/>
        </w:rPr>
        <w:t xml:space="preserve">Ta naložba vključuje gradnjo vsaj desetih oskrbovalnih postaj za železnico na osnovi vodika na vsaj šestih železniških progah. Oskrbovalne postaje za vodik se po možnosti izvedejo v bližini lokalnih obratov za proizvodnjo vodika iz obnovljivih virov in/ali avtocestnih oskrbovalnih postaj za vodik.  </w:t>
      </w:r>
    </w:p>
    <w:p w14:paraId="5513A5D0" w14:textId="77777777" w:rsidR="00154E32" w:rsidRDefault="00A43E04">
      <w:pPr>
        <w:pStyle w:val="P68B1DB1-Normal2"/>
        <w:spacing w:before="120" w:after="120"/>
        <w:jc w:val="both"/>
        <w:rPr>
          <w:noProof/>
        </w:rPr>
      </w:pPr>
      <w:r>
        <w:rPr>
          <w:noProof/>
        </w:rPr>
        <w:t>Naložba 3.5 – Raziskave in razvoj na področju vodika</w:t>
      </w:r>
    </w:p>
    <w:p w14:paraId="6DCCFE7E" w14:textId="77777777" w:rsidR="00154E32" w:rsidRDefault="00A43E04">
      <w:pPr>
        <w:spacing w:before="120" w:after="120" w:line="246" w:lineRule="auto"/>
        <w:jc w:val="both"/>
        <w:rPr>
          <w:noProof/>
        </w:rPr>
      </w:pPr>
      <w:r>
        <w:rPr>
          <w:noProof/>
        </w:rPr>
        <w:t>Ta naložba zajema podporo dejavnostim raziskav in razvoja na področju vodika v:</w:t>
      </w:r>
    </w:p>
    <w:p w14:paraId="6C4C111F" w14:textId="77777777" w:rsidR="00154E32" w:rsidRDefault="00A43E04">
      <w:pPr>
        <w:numPr>
          <w:ilvl w:val="0"/>
          <w:numId w:val="68"/>
        </w:numPr>
        <w:spacing w:before="120" w:after="120" w:line="246" w:lineRule="auto"/>
        <w:ind w:left="360"/>
        <w:contextualSpacing/>
        <w:jc w:val="both"/>
        <w:rPr>
          <w:noProof/>
        </w:rPr>
      </w:pPr>
      <w:r>
        <w:rPr>
          <w:noProof/>
        </w:rPr>
        <w:t>Proizvodnja zelenega in čistega vodika</w:t>
      </w:r>
    </w:p>
    <w:p w14:paraId="3D39BB16" w14:textId="77777777" w:rsidR="00154E32" w:rsidRDefault="00A43E04">
      <w:pPr>
        <w:numPr>
          <w:ilvl w:val="0"/>
          <w:numId w:val="68"/>
        </w:numPr>
        <w:spacing w:before="120" w:after="120" w:line="246" w:lineRule="auto"/>
        <w:ind w:left="360"/>
        <w:contextualSpacing/>
        <w:jc w:val="both"/>
        <w:rPr>
          <w:noProof/>
        </w:rPr>
      </w:pPr>
      <w:r>
        <w:rPr>
          <w:noProof/>
        </w:rPr>
        <w:t>Inovativne tehnologije za shranjevanje, prenos in pretvorbo vodika v derivate in e-goriva</w:t>
      </w:r>
    </w:p>
    <w:p w14:paraId="6ACB1953" w14:textId="77777777" w:rsidR="00154E32" w:rsidRDefault="00A43E04">
      <w:pPr>
        <w:numPr>
          <w:ilvl w:val="0"/>
          <w:numId w:val="68"/>
        </w:numPr>
        <w:spacing w:before="120" w:after="120" w:line="246" w:lineRule="auto"/>
        <w:ind w:left="360"/>
        <w:contextualSpacing/>
        <w:jc w:val="both"/>
        <w:rPr>
          <w:noProof/>
        </w:rPr>
      </w:pPr>
      <w:r>
        <w:rPr>
          <w:noProof/>
        </w:rPr>
        <w:t>Gorivne celice za stacionarno uporabo in uporabo za mobilnost</w:t>
      </w:r>
    </w:p>
    <w:p w14:paraId="0C97794B" w14:textId="77777777" w:rsidR="00154E32" w:rsidRDefault="00A43E04">
      <w:pPr>
        <w:numPr>
          <w:ilvl w:val="0"/>
          <w:numId w:val="68"/>
        </w:numPr>
        <w:spacing w:before="120" w:after="120" w:line="246" w:lineRule="auto"/>
        <w:ind w:left="360"/>
        <w:contextualSpacing/>
        <w:jc w:val="both"/>
        <w:rPr>
          <w:noProof/>
        </w:rPr>
      </w:pPr>
      <w:r>
        <w:rPr>
          <w:noProof/>
        </w:rPr>
        <w:t xml:space="preserve">Integrirani pametni sistemi upravljanja za povečanje odpornosti in zanesljivosti inteligentnih infrastruktur, ki temeljijo na vodiku </w:t>
      </w:r>
    </w:p>
    <w:p w14:paraId="13EB039B" w14:textId="2A14FAB4" w:rsidR="00154E32" w:rsidRDefault="00A43E04">
      <w:pPr>
        <w:spacing w:before="120" w:after="120"/>
        <w:jc w:val="both"/>
        <w:rPr>
          <w:noProof/>
        </w:rPr>
      </w:pPr>
      <w:r>
        <w:rPr>
          <w:noProof/>
        </w:rPr>
        <w:t>Ta ukrep podpira proizvodnjo vodika na podlagi elektrolize z uporabo obnovljivih virov energije, kot so opredeljeni v Direktivi (EU) 2018/2001 (direktiva o obnovljivih virih), ali električne energije iz omrežja ali vodikove dejavnosti, ki izpolnjujejo zahtevo glede prihrankov emisij toplogrednih plinov v življenjskem ciklu v višini 73,4 % za vodik [zaradi česar so emisije toplogrednih plinov v življenjskem ciklu nižje od 3 t CO2e/tH2] in 70 % za sintetična goriva na osnovi vodika glede na primerjalno fosilno gorivo 94 g CO2e/MJ po analogiji s pristopom iz člena 25(2) Direktive (EU) 2018/2001 in Priloge V k Direktivi (EU) 2018/2001.</w:t>
      </w:r>
    </w:p>
    <w:p w14:paraId="48BAE65B" w14:textId="77777777" w:rsidR="00154E32" w:rsidRDefault="00A43E04">
      <w:pPr>
        <w:pStyle w:val="P68B1DB1-Normal2"/>
        <w:spacing w:after="120"/>
        <w:jc w:val="both"/>
        <w:rPr>
          <w:noProof/>
        </w:rPr>
      </w:pPr>
      <w:r>
        <w:rPr>
          <w:noProof/>
        </w:rPr>
        <w:t>Naložba 4.2 – Razvoj sistemov hitrega množičnega prevoza (metro, ulični vagon, BRT)</w:t>
      </w:r>
    </w:p>
    <w:p w14:paraId="45241A2F" w14:textId="77777777" w:rsidR="00154E32" w:rsidRDefault="00A43E04">
      <w:pPr>
        <w:spacing w:after="120"/>
        <w:jc w:val="both"/>
        <w:rPr>
          <w:noProof/>
        </w:rPr>
      </w:pPr>
      <w:r>
        <w:rPr>
          <w:noProof/>
        </w:rPr>
        <w:t xml:space="preserve">Cilj ukrepa je povečati hiter prevoz v okviru sistema množičnega prevoza in dati prednost prehodu z avtomobilskega prevoza na javni prevoz. </w:t>
      </w:r>
    </w:p>
    <w:p w14:paraId="150D50D9" w14:textId="77777777" w:rsidR="00154E32" w:rsidRDefault="00A43E04">
      <w:pPr>
        <w:spacing w:after="120"/>
        <w:jc w:val="both"/>
        <w:rPr>
          <w:noProof/>
        </w:rPr>
      </w:pPr>
      <w:r>
        <w:rPr>
          <w:noProof/>
        </w:rPr>
        <w:t>To naložbo sestavljajo:</w:t>
      </w:r>
    </w:p>
    <w:p w14:paraId="3AE34B28" w14:textId="77777777" w:rsidR="00154E32" w:rsidRDefault="00A43E04">
      <w:pPr>
        <w:numPr>
          <w:ilvl w:val="0"/>
          <w:numId w:val="98"/>
        </w:numPr>
        <w:spacing w:after="120"/>
        <w:ind w:right="4"/>
        <w:jc w:val="both"/>
        <w:rPr>
          <w:noProof/>
        </w:rPr>
      </w:pPr>
      <w:r>
        <w:rPr>
          <w:noProof/>
        </w:rPr>
        <w:t>Gradnja novih prog in razširitev obstoječih prog hitrih sistemov masovnega prometa za najmanj 231 km. Seznam projektov vključuje najmanj 96 km pasov podzemne železnice ali tramvajev in najmanj 135 km trolejbusov ali žičnic.</w:t>
      </w:r>
    </w:p>
    <w:p w14:paraId="3CC70B75" w14:textId="77777777" w:rsidR="00154E32" w:rsidRDefault="00A43E04">
      <w:pPr>
        <w:numPr>
          <w:ilvl w:val="0"/>
          <w:numId w:val="98"/>
        </w:numPr>
        <w:spacing w:after="120"/>
        <w:ind w:right="4"/>
        <w:jc w:val="both"/>
        <w:rPr>
          <w:noProof/>
        </w:rPr>
      </w:pPr>
      <w:r>
        <w:rPr>
          <w:noProof/>
        </w:rPr>
        <w:t>Nadgradnja infrastrukture hitrih sistemov množičnega prometa, vključno z njihovo digitalizacijo. Ti posegi vključujejo nadgradnjo postaj podzemne železnice in infrastrukture podzemne železnice, signalizacijske sisteme za železnice in tramvaje ter javna tranzitna skladišča.</w:t>
      </w:r>
    </w:p>
    <w:p w14:paraId="3B0F5DBF" w14:textId="77777777" w:rsidR="00154E32" w:rsidRDefault="00A43E04">
      <w:pPr>
        <w:numPr>
          <w:ilvl w:val="0"/>
          <w:numId w:val="98"/>
        </w:numPr>
        <w:spacing w:after="120"/>
        <w:ind w:right="4"/>
        <w:jc w:val="both"/>
        <w:rPr>
          <w:noProof/>
        </w:rPr>
      </w:pPr>
      <w:r>
        <w:rPr>
          <w:noProof/>
        </w:rPr>
        <w:t>Nakup brezemisijskih tirnih vozil za hitre sisteme masovnega prometa.</w:t>
      </w:r>
    </w:p>
    <w:p w14:paraId="578C44D9" w14:textId="77777777" w:rsidR="00154E32" w:rsidRDefault="00A43E04">
      <w:pPr>
        <w:spacing w:after="120"/>
        <w:jc w:val="both"/>
        <w:rPr>
          <w:noProof/>
        </w:rPr>
      </w:pPr>
      <w:r>
        <w:rPr>
          <w:noProof/>
        </w:rPr>
        <w:t xml:space="preserve">Intervencije, vključene v ta ukrep, izhajajo iz dveh ločenih razpisov za prijavo interesa (makroskupine): </w:t>
      </w:r>
    </w:p>
    <w:p w14:paraId="3B3A1837" w14:textId="77777777" w:rsidR="00154E32" w:rsidRDefault="00A43E04">
      <w:pPr>
        <w:pStyle w:val="ListParagraph"/>
        <w:numPr>
          <w:ilvl w:val="0"/>
          <w:numId w:val="99"/>
        </w:numPr>
        <w:spacing w:before="0"/>
        <w:rPr>
          <w:noProof/>
        </w:rPr>
      </w:pPr>
      <w:r>
        <w:rPr>
          <w:noProof/>
        </w:rPr>
        <w:t>razpis „Avviso 1“ (končni mandat leta 2020) – izvedba vsaj sedmih ukrepov na metropolitanskih območjih,</w:t>
      </w:r>
      <w:r>
        <w:rPr>
          <w:rStyle w:val="FootnoteReference"/>
          <w:noProof/>
        </w:rPr>
        <w:footnoteReference w:id="50"/>
      </w:r>
      <w:r>
        <w:rPr>
          <w:noProof/>
        </w:rPr>
        <w:t xml:space="preserve"> vključno z Rimom, Genoo, Firencem, Palermo, Bologna in Rimini; </w:t>
      </w:r>
    </w:p>
    <w:p w14:paraId="3EBFD896" w14:textId="77777777" w:rsidR="00154E32" w:rsidRDefault="00A43E04">
      <w:pPr>
        <w:pStyle w:val="ListParagraph"/>
        <w:numPr>
          <w:ilvl w:val="0"/>
          <w:numId w:val="99"/>
        </w:numPr>
        <w:spacing w:before="0"/>
        <w:contextualSpacing w:val="0"/>
        <w:rPr>
          <w:noProof/>
        </w:rPr>
      </w:pPr>
      <w:r>
        <w:rPr>
          <w:noProof/>
        </w:rPr>
        <w:t>razpis „Avviso 2“ (končni mandat januarja 2021) – izvedba vsaj 21 ukrepov na metropolitanskih območjih, vključno z Rimom, Firencem, Neapeljom, Milanom, Palermo, Barijem, Bologni, Catanio, Padova, Perugio, Tarantom.</w:t>
      </w:r>
    </w:p>
    <w:p w14:paraId="60E4CDD4" w14:textId="77777777" w:rsidR="00154E32" w:rsidRDefault="00A43E04">
      <w:pPr>
        <w:spacing w:after="120"/>
        <w:ind w:right="4"/>
        <w:jc w:val="both"/>
        <w:rPr>
          <w:noProof/>
        </w:rPr>
      </w:pPr>
      <w:r>
        <w:rPr>
          <w:noProof/>
        </w:rPr>
        <w:t>Infrastruktura, ki je upravičena do gradnje in nadgradnje, je namenjena brezemisijskim voznim parkom (to so pasovi podzemne železnice, tramvajske proge, trolejbusni pasovi in/ali žičnice). Naložba ne vključuje gradnje ali nadgradnje cest.</w:t>
      </w:r>
    </w:p>
    <w:p w14:paraId="7606820C" w14:textId="77777777" w:rsidR="00154E32" w:rsidRDefault="00A43E04">
      <w:pPr>
        <w:pStyle w:val="P68B1DB1-Normal2"/>
        <w:spacing w:after="120"/>
        <w:jc w:val="both"/>
        <w:rPr>
          <w:noProof/>
        </w:rPr>
      </w:pPr>
      <w:bookmarkStart w:id="3" w:name="_Hlk151064119"/>
      <w:r>
        <w:rPr>
          <w:noProof/>
        </w:rPr>
        <w:t>Naložba 4.4.1 – Krepitev brezemisijskega avtobusnega voznega parka regionalnega javnega prevoza</w:t>
      </w:r>
    </w:p>
    <w:p w14:paraId="72B80D61" w14:textId="71525EC1" w:rsidR="00154E32" w:rsidRDefault="00A43E04">
      <w:pPr>
        <w:spacing w:after="120"/>
        <w:jc w:val="both"/>
        <w:rPr>
          <w:noProof/>
        </w:rPr>
      </w:pPr>
      <w:r>
        <w:rPr>
          <w:noProof/>
        </w:rPr>
        <w:t>Ta naložba vključuje javno naročilo vsaj</w:t>
      </w:r>
      <w:r>
        <w:rPr>
          <w:noProof/>
          <w:color w:val="006100"/>
          <w:sz w:val="20"/>
        </w:rPr>
        <w:t xml:space="preserve"> </w:t>
      </w:r>
      <w:r>
        <w:rPr>
          <w:noProof/>
        </w:rPr>
        <w:t>3000 brezemisijskih nizkopodnih avtobusov in vsaj</w:t>
      </w:r>
      <w:r>
        <w:rPr>
          <w:noProof/>
          <w:color w:val="006100"/>
          <w:sz w:val="20"/>
        </w:rPr>
        <w:t xml:space="preserve"> </w:t>
      </w:r>
      <w:r>
        <w:rPr>
          <w:noProof/>
        </w:rPr>
        <w:t xml:space="preserve">1000 polnilnih postaj za brezemisijske in nizkoemisijske nizkopodne avtobuse. Avtobusi so opremljeni z digitalnimi funkcijami. Upravičeni avtobusi so nizkopodni (tj. spadajo v kategoriji vozil M2 in M3 v skladu s standardi UN/ECE) in so električni ali vodikovi gorivni celici. </w:t>
      </w:r>
    </w:p>
    <w:bookmarkEnd w:id="3"/>
    <w:p w14:paraId="19E6285E" w14:textId="77777777" w:rsidR="00154E32" w:rsidRDefault="00A43E04">
      <w:pPr>
        <w:pStyle w:val="P68B1DB1-Normal2"/>
        <w:spacing w:before="120" w:after="120"/>
        <w:jc w:val="both"/>
        <w:rPr>
          <w:noProof/>
        </w:rPr>
      </w:pPr>
      <w:r>
        <w:rPr>
          <w:noProof/>
        </w:rPr>
        <w:t>Naložba 4.4.2 – Krepitev voznega parka regionalnega javnega prevoza z brezemisijskimi vlaki in univerzalnimi storitvami</w:t>
      </w:r>
    </w:p>
    <w:p w14:paraId="2DA767CE" w14:textId="77777777" w:rsidR="00154E32" w:rsidRDefault="00A43E04">
      <w:pPr>
        <w:spacing w:before="120" w:after="120"/>
        <w:jc w:val="both"/>
        <w:rPr>
          <w:noProof/>
        </w:rPr>
      </w:pPr>
      <w:r>
        <w:rPr>
          <w:noProof/>
        </w:rPr>
        <w:t>Ta naložba zajema nabavo in začetek obratovanja vsaj 66 brezemisijskih potniških vlakov</w:t>
      </w:r>
      <w:r>
        <w:rPr>
          <w:rStyle w:val="FootnoteReference"/>
          <w:noProof/>
        </w:rPr>
        <w:footnoteReference w:id="51"/>
      </w:r>
      <w:r>
        <w:rPr>
          <w:noProof/>
        </w:rPr>
        <w:t xml:space="preserve"> (pri čemer je vlak sestavljen iz vsaj ene lokomotive in vključuje potniške vagone) ter dodatnih 100 vagonov za univerzalno storitev. Na splošno naložba zagotovi najmanj 523 enot, od katerih je vsaj 66 lokomotiv.</w:t>
      </w:r>
    </w:p>
    <w:p w14:paraId="0A461285" w14:textId="77777777" w:rsidR="00154E32" w:rsidRDefault="00A43E04">
      <w:pPr>
        <w:pStyle w:val="P68B1DB1-Normal2"/>
        <w:spacing w:before="120" w:after="120"/>
        <w:jc w:val="both"/>
        <w:rPr>
          <w:noProof/>
        </w:rPr>
      </w:pPr>
      <w:r>
        <w:rPr>
          <w:noProof/>
        </w:rPr>
        <w:t xml:space="preserve">Naložba 4.4.3 – Obnova flote za poveljstvo nacionalne gasilske brigade </w:t>
      </w:r>
    </w:p>
    <w:p w14:paraId="3D413323" w14:textId="0009F480" w:rsidR="00154E32" w:rsidRDefault="00A43E04">
      <w:pPr>
        <w:spacing w:before="120" w:after="120"/>
        <w:jc w:val="both"/>
        <w:rPr>
          <w:noProof/>
        </w:rPr>
      </w:pPr>
      <w:r>
        <w:rPr>
          <w:noProof/>
        </w:rPr>
        <w:t>Ta naložba zajema nakup 200 letaliških vozil in</w:t>
      </w:r>
      <w:r>
        <w:rPr>
          <w:noProof/>
          <w:color w:val="006100"/>
          <w:sz w:val="20"/>
        </w:rPr>
        <w:t xml:space="preserve"> </w:t>
      </w:r>
      <w:r>
        <w:rPr>
          <w:noProof/>
        </w:rPr>
        <w:t>3600 protipožarnih vozil za nadomestitev celotnega voznega parka nacionalne gasilske brigade ter izgradnjo 875 polnilnih postaj. Vozila so brezemisijska ali se uporabljajo izključno z biometanom v skladu s trajnostnimi merili in merili za prihranek emisij toplogrednih plinov iz členov 29–31 ter pravili o biogorivih iz živil in krme iz člena 26 Direktive (EU) 2018/2001 o energiji iz obnovljivih virov (REDII) ter povezanimi izvedbenimi in delegiranimi akti. Upravljavci kupijo potrdilo o izvoru, ki je sorazmerno s pričakovano porabo goriva.</w:t>
      </w:r>
    </w:p>
    <w:p w14:paraId="09538FBF" w14:textId="77777777" w:rsidR="00154E32" w:rsidRDefault="00A43E04">
      <w:pPr>
        <w:pStyle w:val="P68B1DB1-Normal2"/>
        <w:spacing w:after="120"/>
        <w:jc w:val="both"/>
        <w:rPr>
          <w:noProof/>
        </w:rPr>
      </w:pPr>
      <w:r>
        <w:rPr>
          <w:noProof/>
        </w:rPr>
        <w:t>Naložba 5.1 – Razvoj vodilnega položaja v mednarodnem, industrijskem ter raziskovalnem in razvojnem sektorju na področju obnovljivih virov energije in baterij</w:t>
      </w:r>
    </w:p>
    <w:p w14:paraId="65BE578B" w14:textId="376BA638" w:rsidR="00154E32" w:rsidRDefault="00A43E04">
      <w:pPr>
        <w:spacing w:after="120"/>
        <w:jc w:val="both"/>
        <w:rPr>
          <w:noProof/>
        </w:rPr>
      </w:pPr>
      <w:r>
        <w:rPr>
          <w:noProof/>
        </w:rPr>
        <w:t>Ta ukrep zajema javne naložbe v mehanizem, tj. „obrat za obnovljive vire in baterije“, da bi spodbudili zasebne naložbe in izboljšali dostop do financiranja za podporo razvoju vrednostne verige na področju obnovljivih virov energije in baterij. Instrument deluje z zagotavljanjem nepovratnih sredstev, subvencioniranih posojil in subvencioniranih obresti neposredno zasebnemu sektorju. Na podlagi naložb iz mehanizma za okrevanje in odpornost je cilj mehanizma na začetku</w:t>
      </w:r>
      <w:r>
        <w:rPr>
          <w:noProof/>
          <w:color w:val="006100"/>
          <w:sz w:val="20"/>
        </w:rPr>
        <w:t xml:space="preserve"> </w:t>
      </w:r>
      <w:r>
        <w:rPr>
          <w:noProof/>
        </w:rPr>
        <w:t>zagotoviti</w:t>
      </w:r>
      <w:r>
        <w:rPr>
          <w:noProof/>
          <w:color w:val="006100"/>
          <w:sz w:val="20"/>
        </w:rPr>
        <w:t xml:space="preserve"> </w:t>
      </w:r>
      <w:r>
        <w:rPr>
          <w:noProof/>
        </w:rPr>
        <w:t>vsaj</w:t>
      </w:r>
      <w:r>
        <w:rPr>
          <w:noProof/>
          <w:color w:val="006100"/>
          <w:sz w:val="20"/>
        </w:rPr>
        <w:t xml:space="preserve"> </w:t>
      </w:r>
      <w:r>
        <w:rPr>
          <w:noProof/>
        </w:rPr>
        <w:t>1400000 EUR financiranja.</w:t>
      </w:r>
    </w:p>
    <w:p w14:paraId="5231626F" w14:textId="77777777" w:rsidR="00154E32" w:rsidRDefault="00A43E04">
      <w:pPr>
        <w:spacing w:after="120"/>
        <w:jc w:val="both"/>
        <w:rPr>
          <w:noProof/>
        </w:rPr>
      </w:pPr>
      <w:r>
        <w:rPr>
          <w:noProof/>
        </w:rPr>
        <w:t>Instrument upravlja Invitalia S.p.A. kot izvajalski partner. Instrument vključuje naslednje vrste produktov:</w:t>
      </w:r>
    </w:p>
    <w:p w14:paraId="4B9A2E97" w14:textId="77777777" w:rsidR="00154E32" w:rsidRDefault="00A43E04">
      <w:pPr>
        <w:pStyle w:val="ListParagraph"/>
        <w:numPr>
          <w:ilvl w:val="0"/>
          <w:numId w:val="101"/>
        </w:numPr>
        <w:spacing w:before="0"/>
        <w:rPr>
          <w:noProof/>
        </w:rPr>
      </w:pPr>
      <w:r>
        <w:rPr>
          <w:noProof/>
        </w:rPr>
        <w:t xml:space="preserve">Prvi se osredotoča na proizvodnjo baterij in povečuje proizvodno zmogljivost fotovoltaičnih ali vetrnih tehnologij za vsaj 2,4 GW/leto.  </w:t>
      </w:r>
    </w:p>
    <w:p w14:paraId="74FA30C4" w14:textId="77777777" w:rsidR="00154E32" w:rsidRDefault="00A43E04">
      <w:pPr>
        <w:pStyle w:val="ListParagraph"/>
        <w:numPr>
          <w:ilvl w:val="0"/>
          <w:numId w:val="101"/>
        </w:numPr>
        <w:spacing w:before="0"/>
        <w:rPr>
          <w:noProof/>
        </w:rPr>
      </w:pPr>
      <w:r>
        <w:rPr>
          <w:noProof/>
        </w:rPr>
        <w:t>Drugi se osredotoča na proizvodnjo fotovoltaičnih ali vetrnih tehnologij in povečuje proizvodno zmogljivost baterij za vsaj 13 GW/leto.</w:t>
      </w:r>
    </w:p>
    <w:p w14:paraId="3D2DCE35" w14:textId="77777777" w:rsidR="00154E32" w:rsidRDefault="00A43E04">
      <w:pPr>
        <w:spacing w:after="120"/>
        <w:jc w:val="both"/>
        <w:rPr>
          <w:noProof/>
        </w:rPr>
      </w:pPr>
      <w:r>
        <w:rPr>
          <w:noProof/>
        </w:rPr>
        <w:t>Za izvedbo naložbe v sklad Italija in Invitalia podpišeta izvedbeni sporazum, ki vključuje naslednjo vsebino:</w:t>
      </w:r>
    </w:p>
    <w:p w14:paraId="214C9C99" w14:textId="77777777" w:rsidR="00154E32" w:rsidRDefault="00A43E04">
      <w:pPr>
        <w:pStyle w:val="ListParagraph"/>
        <w:numPr>
          <w:ilvl w:val="0"/>
          <w:numId w:val="144"/>
        </w:numPr>
        <w:spacing w:before="0"/>
        <w:contextualSpacing w:val="0"/>
        <w:rPr>
          <w:noProof/>
        </w:rPr>
      </w:pPr>
      <w:r>
        <w:rPr>
          <w:noProof/>
        </w:rPr>
        <w:t>Opis postopka odločanja instrumenta: Končno odločitev o naložbah Sklada za spodbujanje naložb sprejme odbor za naložbe ali drug ustrezen enakovreden upravljavski organ in jo z večino glasov potrdijo člani, ki so neodvisni od vlade.</w:t>
      </w:r>
    </w:p>
    <w:p w14:paraId="13206F27" w14:textId="77777777" w:rsidR="00154E32" w:rsidRDefault="00A43E04">
      <w:pPr>
        <w:pStyle w:val="ListParagraph"/>
        <w:numPr>
          <w:ilvl w:val="0"/>
          <w:numId w:val="144"/>
        </w:numPr>
        <w:spacing w:before="0"/>
        <w:contextualSpacing w:val="0"/>
        <w:rPr>
          <w:noProof/>
        </w:rPr>
      </w:pPr>
      <w:r>
        <w:rPr>
          <w:noProof/>
        </w:rPr>
        <w:t>Ključne zahteve povezane naložbene politike, ki vključujejo:</w:t>
      </w:r>
    </w:p>
    <w:p w14:paraId="5E54EF47" w14:textId="77777777" w:rsidR="00154E32" w:rsidRDefault="00A43E04">
      <w:pPr>
        <w:pStyle w:val="ListParagraph"/>
        <w:numPr>
          <w:ilvl w:val="4"/>
          <w:numId w:val="27"/>
        </w:numPr>
        <w:spacing w:before="0"/>
        <w:ind w:left="1276"/>
        <w:contextualSpacing w:val="0"/>
        <w:rPr>
          <w:noProof/>
        </w:rPr>
      </w:pPr>
      <w:r>
        <w:rPr>
          <w:noProof/>
        </w:rPr>
        <w:t xml:space="preserve">Opis finančnih produktov in upravičenih končnih upravičencev. </w:t>
      </w:r>
    </w:p>
    <w:p w14:paraId="7B6C54E6" w14:textId="77777777" w:rsidR="00154E32" w:rsidRDefault="00A43E04">
      <w:pPr>
        <w:pStyle w:val="ListParagraph"/>
        <w:numPr>
          <w:ilvl w:val="4"/>
          <w:numId w:val="27"/>
        </w:numPr>
        <w:spacing w:before="0"/>
        <w:ind w:left="1276"/>
        <w:contextualSpacing w:val="0"/>
        <w:rPr>
          <w:noProof/>
        </w:rPr>
      </w:pPr>
      <w:r>
        <w:rPr>
          <w:noProof/>
        </w:rPr>
        <w:t xml:space="preserve">Zahteva, da so vse podprte naložbe ekonomsko upravičene. </w:t>
      </w:r>
    </w:p>
    <w:p w14:paraId="06020128" w14:textId="580C8E69" w:rsidR="00154E32" w:rsidRDefault="00A43E04">
      <w:pPr>
        <w:pStyle w:val="ListParagraph"/>
        <w:numPr>
          <w:ilvl w:val="4"/>
          <w:numId w:val="27"/>
        </w:numPr>
        <w:spacing w:before="0"/>
        <w:ind w:left="1276"/>
        <w:contextualSpacing w:val="0"/>
        <w:rPr>
          <w:noProof/>
        </w:rPr>
      </w:pPr>
      <w:r>
        <w:rPr>
          <w:noProof/>
        </w:rPr>
        <w:t>Zahtevo po skladnosti z načelom, da se ne škoduje bistveno, kot je določeno v tehničnih smernicah za načelo, da se ne škoduje bistveno (2021/C58/01). Naložbena politika zlasti izključuje naslednji seznam dejavnosti in sredstev iz upravičenosti: (I) dejavnosti in sredstva iz upravičenosti: (I) dejavnosti in sredstva, povezana s fosilnimi gorivi, vključno z nadaljnjo uporabo,</w:t>
      </w:r>
      <w:r>
        <w:rPr>
          <w:rStyle w:val="FootnoteReference"/>
          <w:noProof/>
        </w:rPr>
        <w:footnoteReference w:id="52"/>
      </w:r>
      <w:r>
        <w:rPr>
          <w:noProof/>
        </w:rPr>
        <w:t>(ii) dejavnosti in sredstva v okviru sistema EU za trgovanje z emisijami (ETS), s katerimi se dosegajo predvidene emisije toplogrednih plinov, ki niso nižje od ustreznih referenčnih vrednosti,</w:t>
      </w:r>
      <w:r>
        <w:rPr>
          <w:rStyle w:val="FootnoteReference"/>
          <w:noProof/>
        </w:rPr>
        <w:footnoteReference w:id="53"/>
      </w:r>
      <w:r>
        <w:rPr>
          <w:noProof/>
        </w:rPr>
        <w:t>(iii) dejavnosti in sredstva, povezana z odlagališči odpadkov, sežigalnicami</w:t>
      </w:r>
      <w:r>
        <w:rPr>
          <w:rStyle w:val="FootnoteReference"/>
          <w:noProof/>
        </w:rPr>
        <w:footnoteReference w:id="54"/>
      </w:r>
      <w:r>
        <w:rPr>
          <w:noProof/>
        </w:rPr>
        <w:t xml:space="preserve"> in napravami za mehansko-biološko obdelavo</w:t>
      </w:r>
      <w:r>
        <w:rPr>
          <w:rStyle w:val="FootnoteReference"/>
          <w:noProof/>
        </w:rPr>
        <w:footnoteReference w:id="55"/>
      </w:r>
      <w:r>
        <w:rPr>
          <w:noProof/>
        </w:rPr>
        <w:t xml:space="preserve">. </w:t>
      </w:r>
    </w:p>
    <w:p w14:paraId="15F309EA" w14:textId="77777777" w:rsidR="00154E32" w:rsidRDefault="00A43E04">
      <w:pPr>
        <w:pStyle w:val="ListParagraph"/>
        <w:numPr>
          <w:ilvl w:val="4"/>
          <w:numId w:val="27"/>
        </w:numPr>
        <w:spacing w:before="0"/>
        <w:ind w:left="1276"/>
        <w:contextualSpacing w:val="0"/>
        <w:rPr>
          <w:noProof/>
        </w:rPr>
      </w:pPr>
      <w:r>
        <w:rPr>
          <w:noProof/>
        </w:rPr>
        <w:t>Zahteva, da končni upravičenci Instrumenta ne prejmejo podpore iz drugih instrumentov Unije za kritje istih stroškov.</w:t>
      </w:r>
    </w:p>
    <w:p w14:paraId="27D01A32" w14:textId="77777777" w:rsidR="00154E32" w:rsidRDefault="00A43E04">
      <w:pPr>
        <w:pStyle w:val="ListParagraph"/>
        <w:numPr>
          <w:ilvl w:val="0"/>
          <w:numId w:val="144"/>
        </w:numPr>
        <w:spacing w:before="0"/>
        <w:contextualSpacing w:val="0"/>
        <w:rPr>
          <w:noProof/>
        </w:rPr>
      </w:pPr>
      <w:r>
        <w:rPr>
          <w:noProof/>
        </w:rPr>
        <w:t>Znesek, zajet v izvedbenem sporazumu, strukturo pristojbin za izvajalskega partnerja in zahtevo po ponovnem vlaganju vrnjenih sredstev v skladu z naložbeno politiko Sklada za spodbujanje naložb.</w:t>
      </w:r>
    </w:p>
    <w:p w14:paraId="7589AEE0" w14:textId="77777777" w:rsidR="00154E32" w:rsidRDefault="00A43E04">
      <w:pPr>
        <w:pStyle w:val="ListParagraph"/>
        <w:numPr>
          <w:ilvl w:val="0"/>
          <w:numId w:val="144"/>
        </w:numPr>
        <w:spacing w:before="0"/>
        <w:contextualSpacing w:val="0"/>
        <w:rPr>
          <w:noProof/>
        </w:rPr>
      </w:pPr>
      <w:r>
        <w:rPr>
          <w:noProof/>
        </w:rPr>
        <w:t>Zahteve glede spremljanja, revizije in nadzora, vključno z:</w:t>
      </w:r>
    </w:p>
    <w:p w14:paraId="3E06C8DA" w14:textId="77777777" w:rsidR="00154E32" w:rsidRDefault="00A43E04">
      <w:pPr>
        <w:pStyle w:val="ListParagraph"/>
        <w:numPr>
          <w:ilvl w:val="4"/>
          <w:numId w:val="27"/>
        </w:numPr>
        <w:spacing w:before="0"/>
        <w:ind w:left="1276"/>
        <w:contextualSpacing w:val="0"/>
        <w:rPr>
          <w:noProof/>
        </w:rPr>
      </w:pPr>
      <w:r>
        <w:rPr>
          <w:noProof/>
        </w:rPr>
        <w:t>Opis sistema spremljanja izvajalskega partnerja za poročanje o mobiliziranih naložbah.</w:t>
      </w:r>
    </w:p>
    <w:p w14:paraId="2554283E" w14:textId="77777777" w:rsidR="00154E32" w:rsidRDefault="00A43E04">
      <w:pPr>
        <w:pStyle w:val="ListParagraph"/>
        <w:numPr>
          <w:ilvl w:val="4"/>
          <w:numId w:val="27"/>
        </w:numPr>
        <w:spacing w:before="0"/>
        <w:ind w:left="1276"/>
        <w:contextualSpacing w:val="0"/>
        <w:rPr>
          <w:noProof/>
        </w:rPr>
      </w:pPr>
      <w:r>
        <w:rPr>
          <w:noProof/>
        </w:rPr>
        <w:t xml:space="preserve">Opis postopkov izvajalskega partnerja, ki zagotavljajo preprečevanje, odkrivanje in odpravljanje goljufij, korupcije in nasprotij interesov. </w:t>
      </w:r>
    </w:p>
    <w:p w14:paraId="28988C38" w14:textId="77777777" w:rsidR="00154E32" w:rsidRDefault="00A43E04">
      <w:pPr>
        <w:pStyle w:val="ListParagraph"/>
        <w:numPr>
          <w:ilvl w:val="4"/>
          <w:numId w:val="27"/>
        </w:numPr>
        <w:spacing w:before="0"/>
        <w:ind w:left="1276"/>
        <w:contextualSpacing w:val="0"/>
        <w:rPr>
          <w:noProof/>
        </w:rPr>
      </w:pPr>
      <w:r>
        <w:rPr>
          <w:noProof/>
        </w:rPr>
        <w:t>Obveznost preverjanja upravičenosti vsake operacije v skladu z zahtevami iz izvedbenega sporazuma, preden se zaveže k financiranju operacije.</w:t>
      </w:r>
    </w:p>
    <w:p w14:paraId="7F4814EF" w14:textId="77777777" w:rsidR="00154E32" w:rsidRDefault="00A43E04">
      <w:pPr>
        <w:pStyle w:val="ListParagraph"/>
        <w:numPr>
          <w:ilvl w:val="4"/>
          <w:numId w:val="27"/>
        </w:numPr>
        <w:spacing w:before="0"/>
        <w:ind w:left="1276"/>
        <w:contextualSpacing w:val="0"/>
        <w:rPr>
          <w:noProof/>
        </w:rPr>
      </w:pPr>
      <w:r>
        <w:rPr>
          <w:noProof/>
        </w:rPr>
        <w:t>Obveznost izvajanja naknadnih revizij na podlagi tveganja v skladu z revizijskim načrtom POV Invitalia. S temi revizijami se preveri:</w:t>
      </w:r>
    </w:p>
    <w:p w14:paraId="0B5817CD" w14:textId="77777777" w:rsidR="00154E32" w:rsidRDefault="00A43E04">
      <w:pPr>
        <w:pStyle w:val="ListParagraph"/>
        <w:numPr>
          <w:ilvl w:val="5"/>
          <w:numId w:val="27"/>
        </w:numPr>
        <w:spacing w:before="0"/>
        <w:ind w:left="1985"/>
        <w:contextualSpacing w:val="0"/>
        <w:rPr>
          <w:noProof/>
        </w:rPr>
      </w:pPr>
      <w:r>
        <w:rPr>
          <w:noProof/>
        </w:rPr>
        <w:t>da so nadzorni sistemi učinkoviti, vključno z odkrivanjem goljufij, korupcije in navzkrižja interesov;</w:t>
      </w:r>
    </w:p>
    <w:p w14:paraId="4D95DA6E" w14:textId="77777777" w:rsidR="00154E32" w:rsidRDefault="00A43E04">
      <w:pPr>
        <w:pStyle w:val="ListParagraph"/>
        <w:numPr>
          <w:ilvl w:val="5"/>
          <w:numId w:val="27"/>
        </w:numPr>
        <w:spacing w:before="0"/>
        <w:ind w:left="1985"/>
        <w:contextualSpacing w:val="0"/>
        <w:rPr>
          <w:noProof/>
        </w:rPr>
      </w:pPr>
      <w:r>
        <w:rPr>
          <w:noProof/>
        </w:rPr>
        <w:t xml:space="preserve">skladnost z načelom, da se ne škoduje bistveno, pravili o državni pomoči in zahtevami glede podnebnih ciljev;  </w:t>
      </w:r>
    </w:p>
    <w:p w14:paraId="08E98854" w14:textId="77777777" w:rsidR="00154E32" w:rsidRDefault="00A43E04">
      <w:pPr>
        <w:pStyle w:val="ListParagraph"/>
        <w:numPr>
          <w:ilvl w:val="5"/>
          <w:numId w:val="27"/>
        </w:numPr>
        <w:spacing w:before="0"/>
        <w:ind w:left="1985"/>
        <w:contextualSpacing w:val="0"/>
        <w:rPr>
          <w:noProof/>
        </w:rPr>
      </w:pPr>
      <w:r>
        <w:rPr>
          <w:noProof/>
        </w:rPr>
        <w:t xml:space="preserve">da se spoštuje zahteva, da končni upravičenci Instrumenta niso prejeli podpore iz drugih instrumentov Unije za kritje istih stroškov. Z revizijami se preveri tudi zakonitost transakcij in spoštovanje pogojev iz veljavnega izvedbenega sporazuma. </w:t>
      </w:r>
    </w:p>
    <w:p w14:paraId="021FB43E" w14:textId="3F5D4322" w:rsidR="00154E32" w:rsidRDefault="00A43E04">
      <w:pPr>
        <w:pStyle w:val="ListParagraph"/>
        <w:numPr>
          <w:ilvl w:val="0"/>
          <w:numId w:val="144"/>
        </w:numPr>
        <w:spacing w:before="0"/>
        <w:contextualSpacing w:val="0"/>
        <w:rPr>
          <w:noProof/>
        </w:rPr>
      </w:pPr>
      <w:r>
        <w:rPr>
          <w:noProof/>
        </w:rPr>
        <w:t>Zahteve za podnebne naložbe, ki jih izvaja izvajalski partner: najmanj 1 000 000 000 EUR naložb</w:t>
      </w:r>
      <w:r>
        <w:rPr>
          <w:noProof/>
          <w:color w:val="006100"/>
          <w:sz w:val="20"/>
        </w:rPr>
        <w:t xml:space="preserve"> </w:t>
      </w:r>
      <w:r>
        <w:rPr>
          <w:noProof/>
        </w:rPr>
        <w:t>mehanizma</w:t>
      </w:r>
      <w:r>
        <w:rPr>
          <w:noProof/>
          <w:color w:val="006100"/>
          <w:sz w:val="20"/>
        </w:rPr>
        <w:t xml:space="preserve"> </w:t>
      </w:r>
      <w:r>
        <w:rPr>
          <w:noProof/>
        </w:rPr>
        <w:t>za</w:t>
      </w:r>
      <w:r>
        <w:rPr>
          <w:noProof/>
          <w:color w:val="006100"/>
          <w:sz w:val="20"/>
        </w:rPr>
        <w:t xml:space="preserve"> </w:t>
      </w:r>
      <w:r>
        <w:rPr>
          <w:noProof/>
        </w:rPr>
        <w:t>okrevanje in odpornost v mehanizem prispeva k ciljem na področju podnebnih sprememb v skladu s Prilogo VI k uredbi o mehanizmu za okrevanje in odpornost</w:t>
      </w:r>
      <w:r>
        <w:rPr>
          <w:rStyle w:val="FootnoteReference"/>
          <w:noProof/>
        </w:rPr>
        <w:footnoteReference w:id="56"/>
      </w:r>
      <w:r>
        <w:rPr>
          <w:noProof/>
        </w:rPr>
        <w:t>.</w:t>
      </w:r>
    </w:p>
    <w:p w14:paraId="15526B12" w14:textId="77777777" w:rsidR="00154E32" w:rsidRDefault="00A43E04">
      <w:pPr>
        <w:spacing w:after="120"/>
        <w:jc w:val="both"/>
        <w:rPr>
          <w:noProof/>
        </w:rPr>
      </w:pPr>
      <w:r>
        <w:rPr>
          <w:noProof/>
        </w:rPr>
        <w:t>Ukrep se izvede do 31. avgusta 2026.</w:t>
      </w:r>
    </w:p>
    <w:p w14:paraId="508CB857" w14:textId="3464066F" w:rsidR="00154E32" w:rsidRDefault="00A43E04">
      <w:pPr>
        <w:pStyle w:val="P68B1DB1-Normal2"/>
        <w:spacing w:before="120" w:after="120"/>
        <w:jc w:val="both"/>
        <w:rPr>
          <w:noProof/>
        </w:rPr>
      </w:pPr>
      <w:r>
        <w:rPr>
          <w:noProof/>
        </w:rPr>
        <w:t>Naložba 5.2 – Razvoj vodilnega položaja na področju raziskav in razvoja na področju vodika na mednarodni in industrijski ravni ter na področju raziskav in razvoja</w:t>
      </w:r>
    </w:p>
    <w:p w14:paraId="0CA1C396" w14:textId="77777777" w:rsidR="00154E32" w:rsidRDefault="00A43E04">
      <w:pPr>
        <w:spacing w:before="120" w:after="120"/>
        <w:jc w:val="both"/>
        <w:rPr>
          <w:noProof/>
        </w:rPr>
      </w:pPr>
      <w:r>
        <w:rPr>
          <w:noProof/>
        </w:rPr>
        <w:t>Ta naložba vključuje podporo projektom za razvoj vrednostne verige vodika v Italiji, ki je primerna tudi za sodelovanje v morebitnih pomembnih projektih skupnega evropskega interesa na področju vodika.</w:t>
      </w:r>
    </w:p>
    <w:p w14:paraId="1EB721FD" w14:textId="77777777" w:rsidR="00154E32" w:rsidRDefault="00A43E04">
      <w:pPr>
        <w:pStyle w:val="P68B1DB1-Normal2"/>
        <w:spacing w:before="120" w:after="120"/>
        <w:jc w:val="both"/>
        <w:rPr>
          <w:noProof/>
        </w:rPr>
      </w:pPr>
      <w:r>
        <w:rPr>
          <w:noProof/>
        </w:rPr>
        <w:t>Naložba 5.3 – Razvoj vodilnega položaja na področju mednarodnih, industrijskih ter raziskovalnih in razvojnih dejavnosti na področju električnih avtobusov</w:t>
      </w:r>
    </w:p>
    <w:p w14:paraId="729FB38F" w14:textId="77777777" w:rsidR="00154E32" w:rsidRDefault="00A43E04">
      <w:pPr>
        <w:spacing w:before="120" w:after="120"/>
        <w:jc w:val="both"/>
        <w:rPr>
          <w:noProof/>
        </w:rPr>
      </w:pPr>
      <w:r>
        <w:rPr>
          <w:noProof/>
        </w:rPr>
        <w:t>Ta naložba vključuje podporo približno 45 projektom, ki lahko spodbujajo digitalno in zeleno preobrazbo avtobusne industrije za proizvodnjo električnih in povezanih avtobusov.  Te naložbe naj bi podpirale tudi naložbe v obnovo voznega parka električnih avtobusov (brez upoštevanja hibridnih avtobusov).</w:t>
      </w:r>
    </w:p>
    <w:p w14:paraId="73B86E2E" w14:textId="77777777" w:rsidR="00154E32" w:rsidRDefault="00A43E04">
      <w:pPr>
        <w:pStyle w:val="P68B1DB1-Normal2"/>
        <w:spacing w:before="120" w:after="120"/>
        <w:jc w:val="both"/>
        <w:rPr>
          <w:noProof/>
        </w:rPr>
      </w:pPr>
      <w:r>
        <w:rPr>
          <w:noProof/>
        </w:rPr>
        <w:t>Naložba 5.4 – Podpora zagonskim podjetjem in tveganemu kapitalu, dejavnim v ekološkem prehodu</w:t>
      </w:r>
    </w:p>
    <w:p w14:paraId="0567D705" w14:textId="77777777" w:rsidR="00154E32" w:rsidRDefault="00A43E04">
      <w:pPr>
        <w:jc w:val="both"/>
        <w:rPr>
          <w:noProof/>
        </w:rPr>
      </w:pPr>
      <w:r>
        <w:rPr>
          <w:noProof/>
        </w:rPr>
        <w:t xml:space="preserve">Ta ukrep zajema javne naložbe v instrument, tj. sklad za zeleni prehod, da bi spodbudili zasebne naložbe, izboljšali dostop do financiranja v Italiji za zagonska podjetja, vključena v zeleni prehod, in razvili trg tveganega kapitala v tem sektorju. Instrument deluje tako, da neposredno ali </w:t>
      </w:r>
      <w:r>
        <w:rPr>
          <w:noProof/>
          <w:color w:val="000000" w:themeColor="text1"/>
        </w:rPr>
        <w:t>posredno zagotavlja podporo za lastniški ali</w:t>
      </w:r>
      <w:r>
        <w:rPr>
          <w:noProof/>
        </w:rPr>
        <w:t xml:space="preserve"> navidezni lastniški kapital. Zlasti v primeru neposrednih naložb GTF deluje tako, da zagonskim podjetjem zagotavlja podporo lastniškega ali navideznega lastniškega kapitala (kot zamenljivi zapisi); v primeru posrednih naložb SGR deluje s financiranjem skladov tretjih oseb (–AIS – alternativni investicijski sklad), ki delujejo z zagotavljanjem lastniških ali navideznih lastniških, dolžniških ali navideznih dolžniških instrumentov. GTF vlaga v naslednja področja ukrepanja: obnovljivi viri energije, krožno gospodarstvo, mobilnost, energijska učinkovitost, ravnanje z odpadki in shranjevanje energije. </w:t>
      </w:r>
    </w:p>
    <w:p w14:paraId="7BB09B7A" w14:textId="77777777" w:rsidR="00154E32" w:rsidRDefault="00154E32">
      <w:pPr>
        <w:jc w:val="both"/>
        <w:rPr>
          <w:noProof/>
        </w:rPr>
      </w:pPr>
    </w:p>
    <w:p w14:paraId="41498E28" w14:textId="50B83844" w:rsidR="00154E32" w:rsidRDefault="00A43E04">
      <w:pPr>
        <w:jc w:val="both"/>
        <w:rPr>
          <w:noProof/>
        </w:rPr>
      </w:pPr>
      <w:r>
        <w:rPr>
          <w:noProof/>
        </w:rPr>
        <w:t>Na podlagi naložb iz mehanizma za okrevanje in odpornost je cilj mehanizma na začetku zagotoviti vsaj</w:t>
      </w:r>
      <w:r>
        <w:rPr>
          <w:noProof/>
          <w:color w:val="006100"/>
          <w:sz w:val="20"/>
        </w:rPr>
        <w:t xml:space="preserve">  </w:t>
      </w:r>
      <w:r>
        <w:rPr>
          <w:noProof/>
        </w:rPr>
        <w:t>250000000 EUR financiranja.</w:t>
      </w:r>
    </w:p>
    <w:p w14:paraId="3DDF71AB" w14:textId="77777777" w:rsidR="00154E32" w:rsidRDefault="00154E32">
      <w:pPr>
        <w:jc w:val="both"/>
        <w:rPr>
          <w:noProof/>
        </w:rPr>
      </w:pPr>
    </w:p>
    <w:p w14:paraId="40187E7E" w14:textId="77777777" w:rsidR="00154E32" w:rsidRDefault="00A43E04">
      <w:pPr>
        <w:jc w:val="both"/>
        <w:rPr>
          <w:noProof/>
        </w:rPr>
      </w:pPr>
      <w:r>
        <w:rPr>
          <w:noProof/>
        </w:rPr>
        <w:t>Instrument upravlja SGR tveganega kapitala CDP kot izvajalski partner. GTF traja 15 let, da bi ustrezal trajanju vloženih sredstev tretjih oseb, in vlaga v naslednje vrste produktov:</w:t>
      </w:r>
    </w:p>
    <w:p w14:paraId="06B98BA8" w14:textId="77777777" w:rsidR="00154E32" w:rsidRDefault="00A43E04">
      <w:pPr>
        <w:pStyle w:val="ListParagraph"/>
        <w:numPr>
          <w:ilvl w:val="0"/>
          <w:numId w:val="52"/>
        </w:numPr>
        <w:spacing w:before="0" w:after="160"/>
        <w:rPr>
          <w:noProof/>
        </w:rPr>
      </w:pPr>
      <w:r>
        <w:rPr>
          <w:noProof/>
        </w:rPr>
        <w:t>Podpora lastniškega ali navideznega lastniškega kapitala zelenim zagonskim podjetjem (neposredno);</w:t>
      </w:r>
    </w:p>
    <w:p w14:paraId="172F6461" w14:textId="77777777" w:rsidR="00154E32" w:rsidRDefault="00A43E04">
      <w:pPr>
        <w:pStyle w:val="ListParagraph"/>
        <w:numPr>
          <w:ilvl w:val="0"/>
          <w:numId w:val="52"/>
        </w:numPr>
        <w:spacing w:before="0" w:after="160"/>
        <w:rPr>
          <w:noProof/>
        </w:rPr>
      </w:pPr>
      <w:r>
        <w:rPr>
          <w:noProof/>
        </w:rPr>
        <w:t>Lastniški kapital, podpora navideznega lastniškega kapitala za lastniški kapital/dolžniške sklade (posredno);</w:t>
      </w:r>
    </w:p>
    <w:p w14:paraId="102AA77F" w14:textId="77777777" w:rsidR="00154E32" w:rsidRDefault="00A43E04">
      <w:pPr>
        <w:pStyle w:val="ListParagraph"/>
        <w:numPr>
          <w:ilvl w:val="0"/>
          <w:numId w:val="52"/>
        </w:numPr>
        <w:spacing w:before="0" w:after="160"/>
        <w:rPr>
          <w:noProof/>
        </w:rPr>
      </w:pPr>
      <w:r>
        <w:rPr>
          <w:noProof/>
        </w:rPr>
        <w:t>Podpora v obliki lastniškega ali navideznega lastniškega financiranja za programe inkubacije/pospeševanja.</w:t>
      </w:r>
    </w:p>
    <w:p w14:paraId="4F6866D6" w14:textId="77777777" w:rsidR="00154E32" w:rsidRDefault="00154E32">
      <w:pPr>
        <w:pStyle w:val="ListParagraph"/>
        <w:rPr>
          <w:noProof/>
        </w:rPr>
      </w:pPr>
    </w:p>
    <w:p w14:paraId="733E0651" w14:textId="77777777" w:rsidR="00154E32" w:rsidRDefault="00A43E04">
      <w:pPr>
        <w:jc w:val="both"/>
        <w:rPr>
          <w:noProof/>
        </w:rPr>
      </w:pPr>
      <w:r>
        <w:rPr>
          <w:noProof/>
        </w:rPr>
        <w:t>MIMIT in SGR spremenita sedanji izvedbeni sporazum (v nadaljnjem</w:t>
      </w:r>
      <w:r>
        <w:rPr>
          <w:i/>
          <w:noProof/>
        </w:rPr>
        <w:t>besedilu: Accordo Finanziario</w:t>
      </w:r>
      <w:r>
        <w:rPr>
          <w:noProof/>
        </w:rPr>
        <w:t>) in pravila GTF, da se vključijo naslednje določbe:</w:t>
      </w:r>
    </w:p>
    <w:p w14:paraId="2D8544D1" w14:textId="77777777" w:rsidR="00154E32" w:rsidRDefault="00A43E04">
      <w:pPr>
        <w:pStyle w:val="LegalNumPar"/>
        <w:jc w:val="both"/>
        <w:rPr>
          <w:rFonts w:ascii="Times New Roman" w:eastAsia="Times New Roman" w:hAnsi="Times New Roman" w:cs="Times New Roman"/>
          <w:noProof/>
          <w:sz w:val="24"/>
        </w:rPr>
      </w:pPr>
      <w:r>
        <w:rPr>
          <w:rFonts w:ascii="Times New Roman" w:hAnsi="Times New Roman"/>
          <w:noProof/>
          <w:sz w:val="24"/>
        </w:rPr>
        <w:t>Opis postopka odločanja instrumenta: končno odločitev o naložbah Sklada sprejme upravni odbor ali drug ustrezen enakovreden vodstveni organ in jo z večino glasov potrdijo člani, ki so neodvisni od vlade</w:t>
      </w:r>
      <w:r>
        <w:rPr>
          <w:rStyle w:val="FootnoteReference"/>
          <w:rFonts w:eastAsia="Times New Roman"/>
          <w:noProof/>
        </w:rPr>
        <w:footnoteReference w:id="57"/>
      </w:r>
      <w:r>
        <w:rPr>
          <w:rFonts w:ascii="Times New Roman" w:hAnsi="Times New Roman"/>
          <w:noProof/>
          <w:sz w:val="24"/>
        </w:rPr>
        <w:t>.</w:t>
      </w:r>
    </w:p>
    <w:p w14:paraId="6CADD546" w14:textId="77777777" w:rsidR="00154E32" w:rsidRDefault="00A43E04">
      <w:pPr>
        <w:pStyle w:val="P68B1DB1-LegalNumPar27"/>
        <w:jc w:val="both"/>
        <w:rPr>
          <w:rFonts w:eastAsia="Times New Roman" w:cs="Times New Roman"/>
          <w:noProof/>
        </w:rPr>
      </w:pPr>
      <w:r>
        <w:rPr>
          <w:noProof/>
        </w:rPr>
        <w:t>Ključne zahteve povezane naložbene politike,</w:t>
      </w:r>
      <w:r>
        <w:rPr>
          <w:b/>
          <w:noProof/>
        </w:rPr>
        <w:t xml:space="preserve"> </w:t>
      </w:r>
      <w:r>
        <w:rPr>
          <w:noProof/>
        </w:rPr>
        <w:t>ki vključujejo:</w:t>
      </w:r>
    </w:p>
    <w:p w14:paraId="63DBC5FB" w14:textId="77777777" w:rsidR="00154E32" w:rsidRDefault="00A43E04">
      <w:pPr>
        <w:pStyle w:val="P68B1DB1-LegalNumPar228"/>
        <w:jc w:val="both"/>
        <w:rPr>
          <w:rFonts w:eastAsia="Times New Roman" w:cs="Times New Roman"/>
          <w:noProof/>
        </w:rPr>
      </w:pPr>
      <w:r>
        <w:rPr>
          <w:noProof/>
        </w:rPr>
        <w:t xml:space="preserve">Opis finančnih produktov in upravičenih končnih upravičencev. </w:t>
      </w:r>
    </w:p>
    <w:p w14:paraId="0147093A" w14:textId="77777777" w:rsidR="00154E32" w:rsidRDefault="00A43E04">
      <w:pPr>
        <w:pStyle w:val="P68B1DB1-LegalNumPar228"/>
        <w:jc w:val="both"/>
        <w:rPr>
          <w:rFonts w:eastAsia="Times New Roman" w:cs="Times New Roman"/>
          <w:noProof/>
        </w:rPr>
      </w:pPr>
      <w:r>
        <w:rPr>
          <w:noProof/>
        </w:rPr>
        <w:t>Zahteva, da so vse podprte naložbe ekonomsko upravičene</w:t>
      </w:r>
      <w:r>
        <w:rPr>
          <w:b/>
          <w:noProof/>
        </w:rPr>
        <w:t>.</w:t>
      </w:r>
    </w:p>
    <w:p w14:paraId="1D399DC9" w14:textId="77777777" w:rsidR="00154E32" w:rsidRDefault="00A43E04">
      <w:pPr>
        <w:pStyle w:val="P68B1DB1-LegalNumPar228"/>
        <w:jc w:val="both"/>
        <w:rPr>
          <w:rFonts w:eastAsia="Times New Roman" w:cs="Times New Roman"/>
          <w:noProof/>
        </w:rPr>
      </w:pPr>
      <w:r>
        <w:rPr>
          <w:noProof/>
        </w:rPr>
        <w:t>Zahtevo po skladnosti z načelom, da se ne škoduje bistveno, kot je določeno v tehničnih smernicah za načelo, da se ne škoduje bistveno (2021/C58/01). Zlasti v primeru splošne podpore zagonskim podjetjem naložbena politika izključuje podjetja s pomembnim poudarkom</w:t>
      </w:r>
      <w:r>
        <w:rPr>
          <w:noProof/>
        </w:rPr>
        <w:footnoteReference w:id="58"/>
      </w:r>
      <w:r>
        <w:rPr>
          <w:noProof/>
        </w:rPr>
        <w:t xml:space="preserve"> na naslednjih sektorjih: (I) proizvodnjo energije iz fosilnih goriv in z njo povezane dejavnosti</w:t>
      </w:r>
      <w:r>
        <w:rPr>
          <w:noProof/>
        </w:rPr>
        <w:footnoteReference w:id="59"/>
      </w:r>
      <w:r>
        <w:rPr>
          <w:noProof/>
        </w:rPr>
        <w:t>; (II) energetsko intenzivne industrije in/ali industrije z visokimi emisijami CO2</w:t>
      </w:r>
      <w:r>
        <w:rPr>
          <w:noProof/>
        </w:rPr>
        <w:footnoteReference w:id="60"/>
      </w:r>
      <w:r>
        <w:rPr>
          <w:noProof/>
        </w:rPr>
        <w:t>; (III) proizvodnjo, najem ali prodajo vozil, ki onesnažujejo okolje</w:t>
      </w:r>
      <w:r>
        <w:rPr>
          <w:noProof/>
        </w:rPr>
        <w:footnoteReference w:id="61"/>
      </w:r>
      <w:r>
        <w:rPr>
          <w:noProof/>
        </w:rPr>
        <w:t>; (IV) zbiranje, obdelava in odlaganje odpadkov</w:t>
      </w:r>
      <w:r>
        <w:rPr>
          <w:noProof/>
        </w:rPr>
        <w:footnoteReference w:id="62"/>
      </w:r>
      <w:r>
        <w:rPr>
          <w:noProof/>
        </w:rPr>
        <w:t>, (v) predelava jedrskega goriva, proizvodnja jedrske energije. Poleg tega se za naložbeno politiko zahteva</w:t>
      </w:r>
      <w:r>
        <w:rPr>
          <w:b/>
          <w:noProof/>
        </w:rPr>
        <w:t xml:space="preserve"> </w:t>
      </w:r>
      <w:r>
        <w:rPr>
          <w:noProof/>
        </w:rPr>
        <w:t>skladnost končnih upravičencev instrumenta z ustrezno okoljsko zakonodajo EU in nacionalno okoljsko zakonodajo.</w:t>
      </w:r>
    </w:p>
    <w:p w14:paraId="4666E5D6" w14:textId="77777777" w:rsidR="00154E32" w:rsidRDefault="00A43E04">
      <w:pPr>
        <w:pStyle w:val="P68B1DB1-LegalNumPar228"/>
        <w:jc w:val="both"/>
        <w:rPr>
          <w:rFonts w:eastAsia="Times New Roman" w:cs="Times New Roman"/>
          <w:noProof/>
        </w:rPr>
      </w:pPr>
      <w:r>
        <w:rPr>
          <w:noProof/>
        </w:rPr>
        <w:t>Zahteva, da končni upravičenci Instrumenta ne prejmejo podpore iz drugih instrumentov Unije za kritje istih stroškov.</w:t>
      </w:r>
    </w:p>
    <w:p w14:paraId="748C2276" w14:textId="77777777" w:rsidR="00154E32" w:rsidRDefault="00A43E04">
      <w:pPr>
        <w:pStyle w:val="P68B1DB1-LegalNumPar27"/>
        <w:jc w:val="both"/>
        <w:rPr>
          <w:rFonts w:eastAsia="Times New Roman" w:cs="Times New Roman"/>
          <w:noProof/>
        </w:rPr>
      </w:pPr>
      <w:r>
        <w:rPr>
          <w:noProof/>
        </w:rPr>
        <w:t>Znesek, zajet v izvedbenem sporazumu, strukturo pristojbin za izvajalskega partnerja in zahtevo po ponovnem vlaganju vrnjenih sredstev v skladu z naložbeno politiko Sklada za spodbujanje naložb.</w:t>
      </w:r>
    </w:p>
    <w:p w14:paraId="3F12F79D" w14:textId="77777777" w:rsidR="00154E32" w:rsidRDefault="00A43E04">
      <w:pPr>
        <w:pStyle w:val="P68B1DB1-LegalNumPar27"/>
        <w:jc w:val="both"/>
        <w:rPr>
          <w:rFonts w:eastAsia="Times New Roman" w:cs="Times New Roman"/>
          <w:noProof/>
        </w:rPr>
      </w:pPr>
      <w:r>
        <w:rPr>
          <w:noProof/>
        </w:rPr>
        <w:t>Zahteve glede spremljanja, revizije in nadzora, vključno z:</w:t>
      </w:r>
    </w:p>
    <w:p w14:paraId="55B2077E" w14:textId="77777777" w:rsidR="00154E32" w:rsidRDefault="00A43E04">
      <w:pPr>
        <w:numPr>
          <w:ilvl w:val="1"/>
          <w:numId w:val="100"/>
        </w:numPr>
        <w:spacing w:after="160"/>
        <w:jc w:val="both"/>
        <w:rPr>
          <w:noProof/>
        </w:rPr>
      </w:pPr>
      <w:r>
        <w:rPr>
          <w:noProof/>
        </w:rPr>
        <w:t>Opis sistema spremljanja izvajalskega partnerja za poročanje o mobiliziranih naložbah.</w:t>
      </w:r>
    </w:p>
    <w:p w14:paraId="29D6553A" w14:textId="77777777" w:rsidR="00154E32" w:rsidRDefault="00A43E04">
      <w:pPr>
        <w:numPr>
          <w:ilvl w:val="1"/>
          <w:numId w:val="100"/>
        </w:numPr>
        <w:spacing w:after="160" w:line="259" w:lineRule="auto"/>
        <w:jc w:val="both"/>
        <w:rPr>
          <w:noProof/>
        </w:rPr>
      </w:pPr>
      <w:r>
        <w:rPr>
          <w:noProof/>
        </w:rPr>
        <w:t xml:space="preserve">Opis postopkov izvajalskega partnerja, ki zagotavljajo preprečevanje, odkrivanje in odpravljanje goljufij, korupcije in nasprotij interesov. </w:t>
      </w:r>
    </w:p>
    <w:p w14:paraId="1E904D7E" w14:textId="77777777" w:rsidR="00154E32" w:rsidRDefault="00A43E04">
      <w:pPr>
        <w:numPr>
          <w:ilvl w:val="1"/>
          <w:numId w:val="100"/>
        </w:numPr>
        <w:spacing w:after="160" w:line="259" w:lineRule="auto"/>
        <w:jc w:val="both"/>
        <w:rPr>
          <w:noProof/>
        </w:rPr>
      </w:pPr>
      <w:r>
        <w:rPr>
          <w:noProof/>
        </w:rPr>
        <w:t>Obveznost preverjanja upravičenosti vsake operacije v skladu z zahtevami iz izvedbenega sporazuma, preden se zaveže k financiranju operacije.</w:t>
      </w:r>
    </w:p>
    <w:p w14:paraId="20F98FD3" w14:textId="77777777" w:rsidR="00154E32" w:rsidRDefault="00A43E04">
      <w:pPr>
        <w:numPr>
          <w:ilvl w:val="1"/>
          <w:numId w:val="100"/>
        </w:numPr>
        <w:spacing w:after="160"/>
        <w:jc w:val="both"/>
        <w:rPr>
          <w:noProof/>
        </w:rPr>
      </w:pPr>
      <w:r>
        <w:rPr>
          <w:noProof/>
        </w:rPr>
        <w:t xml:space="preserve">Obveznost izvajanja naknadnih revizij na podlagi tveganja v skladu z revizijskim načrtom SGR. S temi revizijami se preveri i) učinkovitost kontrolnih sistemov, vključno z odkrivanjem goljufij, korupcije in navzkrižja interesov; II) skladnost z načelom, da se ne škoduje bistveno, tj. pravili o državni pomoči; in iii) da se spoštuje zahteva, da končni upravičenci instrumenta niso prejeli podpore iz drugih instrumentov Unije za kritje istih stroškov. Z revizijami se preveri tudi zakonitost transakcij in spoštovanje pogojev iz veljavnega sporazuma o izvajanju in sporazumov o financiranju. </w:t>
      </w:r>
    </w:p>
    <w:p w14:paraId="210F5C35" w14:textId="77777777" w:rsidR="00154E32" w:rsidRDefault="00A43E04">
      <w:pPr>
        <w:numPr>
          <w:ilvl w:val="0"/>
          <w:numId w:val="25"/>
        </w:numPr>
        <w:spacing w:after="160"/>
        <w:ind w:left="720" w:hanging="360"/>
        <w:jc w:val="both"/>
        <w:rPr>
          <w:noProof/>
        </w:rPr>
      </w:pPr>
      <w:r>
        <w:rPr>
          <w:b/>
          <w:noProof/>
        </w:rPr>
        <w:t>Zahteve za izbiro lastniškega kapitala/dolžniških</w:t>
      </w:r>
      <w:r>
        <w:rPr>
          <w:noProof/>
        </w:rPr>
        <w:t xml:space="preserve"> </w:t>
      </w:r>
      <w:r>
        <w:rPr>
          <w:b/>
          <w:noProof/>
        </w:rPr>
        <w:t>skladov</w:t>
      </w:r>
      <w:r>
        <w:rPr>
          <w:noProof/>
        </w:rPr>
        <w:t xml:space="preserve">: Sklad za zeleni prehod izbere finančne posrednike na odprt, pregleden in nediskriminatoren način v skladu s sedanjo prakso, med drugim z objavo vseh zahtev in prijavnih obrazcev na spletnih straneh SGR in MIMIT. Kontrole v zvezi z odsotnostjo navzkrižja interesov pri finančnih posrednikih se izvajajo in izvajajo </w:t>
      </w:r>
      <w:r>
        <w:rPr>
          <w:i/>
          <w:noProof/>
        </w:rPr>
        <w:t>predhodno</w:t>
      </w:r>
      <w:r>
        <w:rPr>
          <w:noProof/>
        </w:rPr>
        <w:t xml:space="preserve"> za vse udeležene finančne udeležence. Odsotnost navzkrižja interesov se vedno nanaša na „končnega upravičenca“ instrumenta.</w:t>
      </w:r>
    </w:p>
    <w:p w14:paraId="65512CD3" w14:textId="77777777" w:rsidR="00154E32" w:rsidRDefault="00A43E04">
      <w:pPr>
        <w:numPr>
          <w:ilvl w:val="0"/>
          <w:numId w:val="25"/>
        </w:numPr>
        <w:spacing w:after="160"/>
        <w:ind w:left="720" w:hanging="360"/>
        <w:jc w:val="both"/>
        <w:rPr>
          <w:noProof/>
        </w:rPr>
      </w:pPr>
      <w:r>
        <w:rPr>
          <w:b/>
          <w:noProof/>
        </w:rPr>
        <w:t>Zahteva po podpisu sporazumov o financiranju</w:t>
      </w:r>
      <w:r>
        <w:rPr>
          <w:noProof/>
        </w:rPr>
        <w:t xml:space="preserve">: GTF s finančnimi posredniki podpiše sporazume o financiranju v skladu s ključnimi zahtevami, ki vključujejo vse zahteve, v skladu s katerimi deluje GTF, vključno z: </w:t>
      </w:r>
    </w:p>
    <w:p w14:paraId="7631971B" w14:textId="77777777" w:rsidR="00154E32" w:rsidRDefault="00A43E04">
      <w:pPr>
        <w:numPr>
          <w:ilvl w:val="0"/>
          <w:numId w:val="51"/>
        </w:numPr>
        <w:spacing w:after="160"/>
        <w:jc w:val="both"/>
        <w:rPr>
          <w:noProof/>
        </w:rPr>
      </w:pPr>
      <w:r>
        <w:rPr>
          <w:noProof/>
        </w:rPr>
        <w:t xml:space="preserve">Obveznost finančnega posrednika, da sprejema odločitve </w:t>
      </w:r>
      <w:r>
        <w:rPr>
          <w:i/>
          <w:noProof/>
        </w:rPr>
        <w:t>smiselno</w:t>
      </w:r>
      <w:r>
        <w:rPr>
          <w:noProof/>
        </w:rPr>
        <w:t xml:space="preserve"> v skladu z zgoraj navedenimi zahtevami glede odločanja in naložbene politike, vključno v zvezi s spoštovanjem načela, da se ne škoduje bistveno.</w:t>
      </w:r>
    </w:p>
    <w:p w14:paraId="677EDBB2" w14:textId="77777777" w:rsidR="00154E32" w:rsidRDefault="00A43E04">
      <w:pPr>
        <w:numPr>
          <w:ilvl w:val="0"/>
          <w:numId w:val="51"/>
        </w:numPr>
        <w:spacing w:after="160"/>
        <w:jc w:val="both"/>
        <w:rPr>
          <w:noProof/>
        </w:rPr>
      </w:pPr>
      <w:r>
        <w:rPr>
          <w:noProof/>
        </w:rPr>
        <w:t xml:space="preserve">Opis okvira spremljanja, revizije in nadzora, ki ga vzpostavi finančni posrednik in za katerega </w:t>
      </w:r>
      <w:r>
        <w:rPr>
          <w:i/>
          <w:noProof/>
        </w:rPr>
        <w:t>smiselno</w:t>
      </w:r>
      <w:r>
        <w:rPr>
          <w:noProof/>
        </w:rPr>
        <w:t xml:space="preserve"> veljajo vse zgoraj navedene zahteve glede spremljanja, revizije in nadzora. </w:t>
      </w:r>
    </w:p>
    <w:p w14:paraId="4188B381" w14:textId="08BF234B" w:rsidR="00154E32" w:rsidRDefault="00A43E04">
      <w:pPr>
        <w:spacing w:before="120" w:after="120"/>
        <w:jc w:val="both"/>
        <w:rPr>
          <w:noProof/>
        </w:rPr>
      </w:pPr>
      <w:r>
        <w:rPr>
          <w:noProof/>
        </w:rPr>
        <w:t xml:space="preserve">Ukrep se izvede do 31. avgusta 2026. </w:t>
      </w:r>
    </w:p>
    <w:p w14:paraId="345B23CC" w14:textId="77777777" w:rsidR="00154E32" w:rsidRDefault="00A43E04">
      <w:pPr>
        <w:pStyle w:val="Heading3"/>
        <w:numPr>
          <w:ilvl w:val="0"/>
          <w:numId w:val="0"/>
        </w:numPr>
        <w:ind w:left="850" w:hanging="850"/>
        <w:rPr>
          <w:b/>
          <w:i w:val="0"/>
          <w:noProof/>
          <w:u w:val="single"/>
        </w:rPr>
      </w:pPr>
      <w:r>
        <w:rPr>
          <w:b/>
          <w:i w:val="0"/>
          <w:noProof/>
          <w:u w:val="single"/>
        </w:rPr>
        <w:t xml:space="preserve">E.4. </w:t>
      </w:r>
      <w:r>
        <w:rPr>
          <w:noProof/>
        </w:rPr>
        <w:tab/>
      </w:r>
      <w:r>
        <w:rPr>
          <w:b/>
          <w:i w:val="0"/>
          <w:noProof/>
          <w:u w:val="single"/>
        </w:rPr>
        <w:t xml:space="preserve">Mejniki, cilji, kazalniki in časovni razpored za spremljanje in izvajanje posojila </w:t>
      </w:r>
    </w:p>
    <w:p w14:paraId="27790AF9" w14:textId="77777777" w:rsidR="00154E32" w:rsidRDefault="00154E32">
      <w:pPr>
        <w:spacing w:before="120" w:after="120"/>
        <w:ind w:left="709"/>
        <w:contextualSpacing/>
        <w:jc w:val="both"/>
        <w:rPr>
          <w:noProof/>
        </w:rPr>
        <w:sectPr w:rsidR="00154E32" w:rsidSect="001354D1">
          <w:headerReference w:type="even" r:id="rId128"/>
          <w:headerReference w:type="default" r:id="rId129"/>
          <w:footerReference w:type="even" r:id="rId130"/>
          <w:footerReference w:type="default" r:id="rId131"/>
          <w:headerReference w:type="first" r:id="rId132"/>
          <w:footerReference w:type="first" r:id="rId133"/>
          <w:pgSz w:w="11907" w:h="16839"/>
          <w:pgMar w:top="1134" w:right="1134" w:bottom="1134" w:left="1134" w:header="567" w:footer="567" w:gutter="0"/>
          <w:cols w:space="720"/>
          <w:docGrid w:linePitch="360"/>
        </w:sectPr>
      </w:pPr>
    </w:p>
    <w:p w14:paraId="69A6BF55" w14:textId="77777777" w:rsidR="00154E32" w:rsidRDefault="00154E32">
      <w:pPr>
        <w:spacing w:before="120" w:after="120"/>
        <w:ind w:left="709"/>
        <w:contextualSpacing/>
        <w:jc w:val="both"/>
        <w:rPr>
          <w:noProof/>
        </w:rPr>
      </w:pPr>
    </w:p>
    <w:tbl>
      <w:tblPr>
        <w:tblW w:w="16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643"/>
        <w:gridCol w:w="1559"/>
        <w:gridCol w:w="1703"/>
        <w:gridCol w:w="1843"/>
        <w:gridCol w:w="1417"/>
        <w:gridCol w:w="1134"/>
        <w:gridCol w:w="982"/>
        <w:gridCol w:w="1255"/>
        <w:gridCol w:w="756"/>
        <w:gridCol w:w="2970"/>
      </w:tblGrid>
      <w:tr w:rsidR="00154E32" w14:paraId="0BD9B648" w14:textId="77777777">
        <w:trPr>
          <w:trHeight w:val="927"/>
          <w:tblHeader/>
          <w:jc w:val="center"/>
        </w:trPr>
        <w:tc>
          <w:tcPr>
            <w:tcW w:w="1613" w:type="dxa"/>
            <w:vMerge w:val="restart"/>
            <w:shd w:val="clear" w:color="auto" w:fill="BDD7EE"/>
            <w:vAlign w:val="center"/>
            <w:hideMark/>
          </w:tcPr>
          <w:p w14:paraId="3D0707A8" w14:textId="77777777" w:rsidR="00154E32" w:rsidRDefault="00A43E04">
            <w:pPr>
              <w:pStyle w:val="P68B1DB1-Normal19"/>
              <w:jc w:val="center"/>
              <w:rPr>
                <w:b/>
                <w:noProof/>
              </w:rPr>
            </w:pPr>
            <w:r>
              <w:rPr>
                <w:b/>
                <w:noProof/>
              </w:rPr>
              <w:t>Ekvitativna številka</w:t>
            </w:r>
          </w:p>
        </w:tc>
        <w:tc>
          <w:tcPr>
            <w:tcW w:w="1643" w:type="dxa"/>
            <w:vMerge w:val="restart"/>
            <w:shd w:val="clear" w:color="auto" w:fill="BDD7EE"/>
            <w:vAlign w:val="center"/>
            <w:hideMark/>
          </w:tcPr>
          <w:p w14:paraId="51BD8176" w14:textId="77777777" w:rsidR="00154E32" w:rsidRDefault="00A43E04">
            <w:pPr>
              <w:pStyle w:val="P68B1DB1-Normal9"/>
              <w:jc w:val="center"/>
              <w:rPr>
                <w:noProof/>
              </w:rPr>
            </w:pPr>
            <w:r>
              <w:rPr>
                <w:noProof/>
              </w:rPr>
              <w:t>Povezani ukrep (reforma ali naložba)</w:t>
            </w:r>
          </w:p>
        </w:tc>
        <w:tc>
          <w:tcPr>
            <w:tcW w:w="1559" w:type="dxa"/>
            <w:vMerge w:val="restart"/>
            <w:shd w:val="clear" w:color="auto" w:fill="BDD7EE"/>
            <w:vAlign w:val="center"/>
            <w:hideMark/>
          </w:tcPr>
          <w:p w14:paraId="6E1C6601" w14:textId="77777777" w:rsidR="00154E32" w:rsidRDefault="00A43E04">
            <w:pPr>
              <w:pStyle w:val="P68B1DB1-Normal9"/>
              <w:jc w:val="center"/>
              <w:rPr>
                <w:noProof/>
              </w:rPr>
            </w:pPr>
            <w:r>
              <w:rPr>
                <w:noProof/>
              </w:rPr>
              <w:t>Mejnik/cilj</w:t>
            </w:r>
          </w:p>
        </w:tc>
        <w:tc>
          <w:tcPr>
            <w:tcW w:w="1559" w:type="dxa"/>
            <w:vMerge w:val="restart"/>
            <w:shd w:val="clear" w:color="auto" w:fill="BDD7EE"/>
            <w:vAlign w:val="center"/>
            <w:hideMark/>
          </w:tcPr>
          <w:p w14:paraId="528221E8" w14:textId="77777777" w:rsidR="00154E32" w:rsidRDefault="00A43E04">
            <w:pPr>
              <w:pStyle w:val="P68B1DB1-Normal9"/>
              <w:jc w:val="center"/>
              <w:rPr>
                <w:noProof/>
              </w:rPr>
            </w:pPr>
            <w:r>
              <w:rPr>
                <w:noProof/>
              </w:rPr>
              <w:t>Ime</w:t>
            </w:r>
          </w:p>
        </w:tc>
        <w:tc>
          <w:tcPr>
            <w:tcW w:w="1843" w:type="dxa"/>
            <w:vMerge w:val="restart"/>
            <w:shd w:val="clear" w:color="auto" w:fill="BDD7EE"/>
            <w:vAlign w:val="center"/>
            <w:hideMark/>
          </w:tcPr>
          <w:p w14:paraId="655BB0B3" w14:textId="07B06850" w:rsidR="00154E32" w:rsidRDefault="00A43E04">
            <w:pPr>
              <w:pStyle w:val="P68B1DB1-Normal10"/>
              <w:jc w:val="center"/>
              <w:rPr>
                <w:b/>
                <w:noProof/>
                <w:sz w:val="20"/>
              </w:rPr>
            </w:pPr>
            <w:r>
              <w:rPr>
                <w:b/>
                <w:noProof/>
                <w:sz w:val="20"/>
              </w:rPr>
              <w:t>Kakovostni kazalniki</w:t>
            </w:r>
            <w:r>
              <w:rPr>
                <w:noProof/>
              </w:rPr>
              <w:t xml:space="preserve"> </w:t>
            </w:r>
            <w:r>
              <w:rPr>
                <w:noProof/>
              </w:rPr>
              <w:br/>
            </w:r>
            <w:r>
              <w:rPr>
                <w:b/>
                <w:noProof/>
                <w:sz w:val="20"/>
              </w:rPr>
              <w:t>(za mejnike)</w:t>
            </w:r>
          </w:p>
        </w:tc>
        <w:tc>
          <w:tcPr>
            <w:tcW w:w="3497" w:type="dxa"/>
            <w:gridSpan w:val="3"/>
            <w:shd w:val="clear" w:color="auto" w:fill="BDD7EE"/>
            <w:vAlign w:val="center"/>
            <w:hideMark/>
          </w:tcPr>
          <w:p w14:paraId="0996A0B1" w14:textId="77777777" w:rsidR="00154E32" w:rsidRDefault="00A43E04">
            <w:pPr>
              <w:pStyle w:val="P68B1DB1-Normal10"/>
              <w:jc w:val="center"/>
              <w:rPr>
                <w:b/>
                <w:noProof/>
                <w:sz w:val="20"/>
              </w:rPr>
            </w:pPr>
            <w:r>
              <w:rPr>
                <w:b/>
                <w:noProof/>
                <w:sz w:val="20"/>
              </w:rPr>
              <w:t>Kvantitativni kazalniki</w:t>
            </w:r>
            <w:r>
              <w:rPr>
                <w:noProof/>
              </w:rPr>
              <w:t xml:space="preserve"> </w:t>
            </w:r>
            <w:r>
              <w:rPr>
                <w:noProof/>
              </w:rPr>
              <w:br/>
            </w:r>
            <w:r>
              <w:rPr>
                <w:b/>
                <w:noProof/>
                <w:sz w:val="20"/>
              </w:rPr>
              <w:t>(za ciljne vrednosti)</w:t>
            </w:r>
          </w:p>
        </w:tc>
        <w:tc>
          <w:tcPr>
            <w:tcW w:w="1748" w:type="dxa"/>
            <w:gridSpan w:val="2"/>
            <w:shd w:val="clear" w:color="auto" w:fill="BDD7EE"/>
            <w:vAlign w:val="center"/>
            <w:hideMark/>
          </w:tcPr>
          <w:p w14:paraId="729F5BB9" w14:textId="77777777" w:rsidR="00154E32" w:rsidRDefault="00A43E04">
            <w:pPr>
              <w:pStyle w:val="P68B1DB1-Normal9"/>
              <w:jc w:val="center"/>
              <w:rPr>
                <w:noProof/>
              </w:rPr>
            </w:pPr>
            <w:r>
              <w:rPr>
                <w:noProof/>
              </w:rPr>
              <w:t>Okvirni časovni razpored za dokončanje</w:t>
            </w:r>
          </w:p>
        </w:tc>
        <w:tc>
          <w:tcPr>
            <w:tcW w:w="2793" w:type="dxa"/>
            <w:vMerge w:val="restart"/>
            <w:shd w:val="clear" w:color="auto" w:fill="BDD7EE"/>
            <w:vAlign w:val="center"/>
            <w:hideMark/>
          </w:tcPr>
          <w:p w14:paraId="668EB59A" w14:textId="77777777" w:rsidR="00154E32" w:rsidRDefault="00A43E04">
            <w:pPr>
              <w:pStyle w:val="P68B1DB1-Normal9"/>
              <w:rPr>
                <w:noProof/>
              </w:rPr>
            </w:pPr>
            <w:r>
              <w:rPr>
                <w:noProof/>
              </w:rPr>
              <w:t>Opis vsakega mejnika in cilja</w:t>
            </w:r>
          </w:p>
        </w:tc>
      </w:tr>
      <w:tr w:rsidR="00154E32" w14:paraId="319F06D6" w14:textId="77777777">
        <w:trPr>
          <w:trHeight w:val="771"/>
          <w:tblHeader/>
          <w:jc w:val="center"/>
        </w:trPr>
        <w:tc>
          <w:tcPr>
            <w:tcW w:w="1613" w:type="dxa"/>
            <w:vMerge/>
            <w:vAlign w:val="center"/>
            <w:hideMark/>
          </w:tcPr>
          <w:p w14:paraId="3A3299C2" w14:textId="77777777" w:rsidR="00154E32" w:rsidRDefault="00154E32">
            <w:pPr>
              <w:jc w:val="center"/>
              <w:rPr>
                <w:rFonts w:ascii="Arial Narrow" w:hAnsi="Arial Narrow"/>
                <w:b/>
                <w:noProof/>
                <w:sz w:val="20"/>
              </w:rPr>
            </w:pPr>
          </w:p>
        </w:tc>
        <w:tc>
          <w:tcPr>
            <w:tcW w:w="1643" w:type="dxa"/>
            <w:vMerge/>
            <w:vAlign w:val="center"/>
            <w:hideMark/>
          </w:tcPr>
          <w:p w14:paraId="42418AC2" w14:textId="77777777" w:rsidR="00154E32" w:rsidRDefault="00154E32">
            <w:pPr>
              <w:jc w:val="center"/>
              <w:rPr>
                <w:rFonts w:ascii="Arial Narrow" w:hAnsi="Arial Narrow"/>
                <w:b/>
                <w:noProof/>
                <w:sz w:val="20"/>
              </w:rPr>
            </w:pPr>
          </w:p>
        </w:tc>
        <w:tc>
          <w:tcPr>
            <w:tcW w:w="1559" w:type="dxa"/>
            <w:vMerge/>
            <w:vAlign w:val="center"/>
            <w:hideMark/>
          </w:tcPr>
          <w:p w14:paraId="677501CD" w14:textId="77777777" w:rsidR="00154E32" w:rsidRDefault="00154E32">
            <w:pPr>
              <w:jc w:val="center"/>
              <w:rPr>
                <w:rFonts w:ascii="Arial Narrow" w:hAnsi="Arial Narrow"/>
                <w:b/>
                <w:noProof/>
                <w:sz w:val="20"/>
              </w:rPr>
            </w:pPr>
          </w:p>
        </w:tc>
        <w:tc>
          <w:tcPr>
            <w:tcW w:w="1559" w:type="dxa"/>
            <w:vMerge/>
            <w:vAlign w:val="center"/>
            <w:hideMark/>
          </w:tcPr>
          <w:p w14:paraId="0ED300B3" w14:textId="77777777" w:rsidR="00154E32" w:rsidRDefault="00154E32">
            <w:pPr>
              <w:jc w:val="center"/>
              <w:rPr>
                <w:rFonts w:ascii="Arial Narrow" w:hAnsi="Arial Narrow"/>
                <w:b/>
                <w:noProof/>
                <w:sz w:val="20"/>
              </w:rPr>
            </w:pPr>
          </w:p>
        </w:tc>
        <w:tc>
          <w:tcPr>
            <w:tcW w:w="1843" w:type="dxa"/>
            <w:vMerge/>
            <w:vAlign w:val="center"/>
            <w:hideMark/>
          </w:tcPr>
          <w:p w14:paraId="4FCE83BB" w14:textId="77777777" w:rsidR="00154E32" w:rsidRDefault="00154E32">
            <w:pPr>
              <w:jc w:val="center"/>
              <w:rPr>
                <w:rFonts w:ascii="Arial Narrow" w:hAnsi="Arial Narrow"/>
                <w:b/>
                <w:noProof/>
                <w:sz w:val="20"/>
              </w:rPr>
            </w:pPr>
          </w:p>
        </w:tc>
        <w:tc>
          <w:tcPr>
            <w:tcW w:w="1417" w:type="dxa"/>
            <w:shd w:val="clear" w:color="auto" w:fill="BDD7EE"/>
            <w:vAlign w:val="center"/>
            <w:hideMark/>
          </w:tcPr>
          <w:p w14:paraId="40A07952" w14:textId="77777777" w:rsidR="00154E32" w:rsidRDefault="00A43E04">
            <w:pPr>
              <w:pStyle w:val="P68B1DB1-Normal9"/>
              <w:jc w:val="center"/>
              <w:rPr>
                <w:noProof/>
              </w:rPr>
            </w:pPr>
            <w:r>
              <w:rPr>
                <w:noProof/>
              </w:rPr>
              <w:t>Merska enota</w:t>
            </w:r>
          </w:p>
        </w:tc>
        <w:tc>
          <w:tcPr>
            <w:tcW w:w="1134" w:type="dxa"/>
            <w:shd w:val="clear" w:color="auto" w:fill="BDD7EE"/>
            <w:vAlign w:val="center"/>
            <w:hideMark/>
          </w:tcPr>
          <w:p w14:paraId="675B1734" w14:textId="77777777" w:rsidR="00154E32" w:rsidRDefault="00A43E04">
            <w:pPr>
              <w:pStyle w:val="P68B1DB1-Normal9"/>
              <w:jc w:val="center"/>
              <w:rPr>
                <w:noProof/>
              </w:rPr>
            </w:pPr>
            <w:r>
              <w:rPr>
                <w:noProof/>
              </w:rPr>
              <w:t>Izhodišče</w:t>
            </w:r>
          </w:p>
        </w:tc>
        <w:tc>
          <w:tcPr>
            <w:tcW w:w="946" w:type="dxa"/>
            <w:shd w:val="clear" w:color="auto" w:fill="BDD7EE"/>
            <w:vAlign w:val="center"/>
            <w:hideMark/>
          </w:tcPr>
          <w:p w14:paraId="2C960C9E" w14:textId="77777777" w:rsidR="00154E32" w:rsidRDefault="00A43E04">
            <w:pPr>
              <w:pStyle w:val="P68B1DB1-Normal9"/>
              <w:jc w:val="center"/>
              <w:rPr>
                <w:noProof/>
              </w:rPr>
            </w:pPr>
            <w:r>
              <w:rPr>
                <w:noProof/>
              </w:rPr>
              <w:t>Cilj</w:t>
            </w:r>
          </w:p>
        </w:tc>
        <w:tc>
          <w:tcPr>
            <w:tcW w:w="992" w:type="dxa"/>
            <w:shd w:val="clear" w:color="auto" w:fill="BDD7EE"/>
            <w:vAlign w:val="center"/>
            <w:hideMark/>
          </w:tcPr>
          <w:p w14:paraId="136EE45D" w14:textId="77777777" w:rsidR="00154E32" w:rsidRDefault="00A43E04">
            <w:pPr>
              <w:pStyle w:val="P68B1DB1-Normal9"/>
              <w:jc w:val="center"/>
              <w:rPr>
                <w:noProof/>
              </w:rPr>
            </w:pPr>
            <w:r>
              <w:rPr>
                <w:noProof/>
              </w:rPr>
              <w:t>Četrtletje</w:t>
            </w:r>
          </w:p>
        </w:tc>
        <w:tc>
          <w:tcPr>
            <w:tcW w:w="756" w:type="dxa"/>
            <w:shd w:val="clear" w:color="auto" w:fill="BDD7EE"/>
            <w:vAlign w:val="center"/>
            <w:hideMark/>
          </w:tcPr>
          <w:p w14:paraId="203B8AE5" w14:textId="77777777" w:rsidR="00154E32" w:rsidRDefault="00A43E04">
            <w:pPr>
              <w:pStyle w:val="P68B1DB1-Normal9"/>
              <w:jc w:val="center"/>
              <w:rPr>
                <w:noProof/>
              </w:rPr>
            </w:pPr>
            <w:r>
              <w:rPr>
                <w:noProof/>
              </w:rPr>
              <w:t>Leto</w:t>
            </w:r>
          </w:p>
        </w:tc>
        <w:tc>
          <w:tcPr>
            <w:tcW w:w="2793" w:type="dxa"/>
            <w:vMerge/>
            <w:vAlign w:val="center"/>
            <w:hideMark/>
          </w:tcPr>
          <w:p w14:paraId="274C3521" w14:textId="77777777" w:rsidR="00154E32" w:rsidRDefault="00154E32">
            <w:pPr>
              <w:rPr>
                <w:rFonts w:ascii="Arial Narrow" w:hAnsi="Arial Narrow"/>
                <w:b/>
                <w:noProof/>
                <w:sz w:val="20"/>
              </w:rPr>
            </w:pPr>
          </w:p>
        </w:tc>
      </w:tr>
      <w:tr w:rsidR="00154E32" w14:paraId="6DBBD66F" w14:textId="77777777">
        <w:trPr>
          <w:trHeight w:val="309"/>
          <w:jc w:val="center"/>
        </w:trPr>
        <w:tc>
          <w:tcPr>
            <w:tcW w:w="1613" w:type="dxa"/>
            <w:shd w:val="clear" w:color="auto" w:fill="C6EFCE"/>
            <w:noWrap/>
            <w:vAlign w:val="center"/>
          </w:tcPr>
          <w:p w14:paraId="65F44D38" w14:textId="0743C038" w:rsidR="00154E32" w:rsidRDefault="00A43E04">
            <w:pPr>
              <w:pStyle w:val="P68B1DB1-Normal11"/>
              <w:jc w:val="center"/>
              <w:rPr>
                <w:noProof/>
              </w:rPr>
            </w:pPr>
            <w:r>
              <w:rPr>
                <w:noProof/>
              </w:rPr>
              <w:t>M2C2–3</w:t>
            </w:r>
          </w:p>
        </w:tc>
        <w:tc>
          <w:tcPr>
            <w:tcW w:w="1643" w:type="dxa"/>
            <w:shd w:val="clear" w:color="auto" w:fill="C6EFCE"/>
            <w:noWrap/>
            <w:vAlign w:val="center"/>
          </w:tcPr>
          <w:p w14:paraId="68434B69" w14:textId="4D31E8C1" w:rsidR="00154E32" w:rsidRDefault="00A43E04">
            <w:pPr>
              <w:pStyle w:val="P68B1DB1-Normal11"/>
              <w:jc w:val="center"/>
              <w:rPr>
                <w:noProof/>
              </w:rPr>
            </w:pPr>
            <w:r>
              <w:rPr>
                <w:noProof/>
              </w:rPr>
              <w:t>Naložba 1.4 Razvoj biometana v skladu z merili za spodbujanje krožnega gospodarstva</w:t>
            </w:r>
          </w:p>
        </w:tc>
        <w:tc>
          <w:tcPr>
            <w:tcW w:w="1559" w:type="dxa"/>
            <w:shd w:val="clear" w:color="auto" w:fill="C6EFCE"/>
            <w:noWrap/>
            <w:vAlign w:val="center"/>
          </w:tcPr>
          <w:p w14:paraId="78B0F4D3" w14:textId="0EBB07BD" w:rsidR="00154E32" w:rsidRDefault="00A43E04">
            <w:pPr>
              <w:pStyle w:val="P68B1DB1-Normal11"/>
              <w:jc w:val="center"/>
              <w:rPr>
                <w:noProof/>
              </w:rPr>
            </w:pPr>
            <w:r>
              <w:rPr>
                <w:noProof/>
              </w:rPr>
              <w:t>Tarča</w:t>
            </w:r>
          </w:p>
        </w:tc>
        <w:tc>
          <w:tcPr>
            <w:tcW w:w="1559" w:type="dxa"/>
            <w:shd w:val="clear" w:color="auto" w:fill="C6EFCE"/>
            <w:noWrap/>
            <w:vAlign w:val="center"/>
          </w:tcPr>
          <w:p w14:paraId="37AD4242" w14:textId="3824860C" w:rsidR="00154E32" w:rsidRDefault="00A43E04">
            <w:pPr>
              <w:pStyle w:val="P68B1DB1-Normal11"/>
              <w:jc w:val="center"/>
              <w:rPr>
                <w:noProof/>
              </w:rPr>
            </w:pPr>
            <w:r>
              <w:rPr>
                <w:noProof/>
              </w:rPr>
              <w:t>Zamenjava kmetijskih traktorjev</w:t>
            </w:r>
          </w:p>
        </w:tc>
        <w:tc>
          <w:tcPr>
            <w:tcW w:w="1843" w:type="dxa"/>
            <w:shd w:val="clear" w:color="auto" w:fill="C6EFCE"/>
            <w:noWrap/>
            <w:vAlign w:val="center"/>
          </w:tcPr>
          <w:p w14:paraId="0CD39E58" w14:textId="6C375086" w:rsidR="00154E32" w:rsidRDefault="00A43E04">
            <w:pPr>
              <w:pStyle w:val="P68B1DB1-Normal11"/>
              <w:jc w:val="center"/>
              <w:rPr>
                <w:noProof/>
              </w:rPr>
            </w:pPr>
            <w:r>
              <w:rPr>
                <w:noProof/>
              </w:rPr>
              <w:t>JIH NI</w:t>
            </w:r>
          </w:p>
        </w:tc>
        <w:tc>
          <w:tcPr>
            <w:tcW w:w="1417" w:type="dxa"/>
            <w:shd w:val="clear" w:color="auto" w:fill="C6EFCE"/>
            <w:noWrap/>
            <w:vAlign w:val="center"/>
          </w:tcPr>
          <w:p w14:paraId="2D6E4A92" w14:textId="2119208A" w:rsidR="00154E32" w:rsidRDefault="00A43E04">
            <w:pPr>
              <w:pStyle w:val="P68B1DB1-Normal11"/>
              <w:jc w:val="center"/>
              <w:rPr>
                <w:noProof/>
              </w:rPr>
            </w:pPr>
            <w:r>
              <w:rPr>
                <w:noProof/>
              </w:rPr>
              <w:t>Število</w:t>
            </w:r>
          </w:p>
        </w:tc>
        <w:tc>
          <w:tcPr>
            <w:tcW w:w="1134" w:type="dxa"/>
            <w:shd w:val="clear" w:color="auto" w:fill="C6EFCE"/>
            <w:noWrap/>
            <w:vAlign w:val="center"/>
          </w:tcPr>
          <w:p w14:paraId="7B2F8A25" w14:textId="5C020B59" w:rsidR="00154E32" w:rsidRDefault="00A43E04">
            <w:pPr>
              <w:pStyle w:val="P68B1DB1-Normal11"/>
              <w:jc w:val="center"/>
              <w:rPr>
                <w:noProof/>
              </w:rPr>
            </w:pPr>
            <w:r>
              <w:rPr>
                <w:noProof/>
              </w:rPr>
              <w:t>0</w:t>
            </w:r>
          </w:p>
        </w:tc>
        <w:tc>
          <w:tcPr>
            <w:tcW w:w="946" w:type="dxa"/>
            <w:shd w:val="clear" w:color="auto" w:fill="C6EFCE"/>
            <w:noWrap/>
            <w:vAlign w:val="center"/>
          </w:tcPr>
          <w:p w14:paraId="69D395BD" w14:textId="557A3E88" w:rsidR="00154E32" w:rsidRDefault="00A43E04">
            <w:pPr>
              <w:pStyle w:val="P68B1DB1-Normal11"/>
              <w:jc w:val="center"/>
              <w:rPr>
                <w:noProof/>
              </w:rPr>
            </w:pPr>
            <w:r>
              <w:rPr>
                <w:noProof/>
              </w:rPr>
              <w:t>300</w:t>
            </w:r>
          </w:p>
        </w:tc>
        <w:tc>
          <w:tcPr>
            <w:tcW w:w="992" w:type="dxa"/>
            <w:shd w:val="clear" w:color="auto" w:fill="C6EFCE"/>
            <w:noWrap/>
            <w:vAlign w:val="center"/>
          </w:tcPr>
          <w:p w14:paraId="75246DDE" w14:textId="4DBDC225" w:rsidR="00154E32" w:rsidRDefault="00A43E04">
            <w:pPr>
              <w:pStyle w:val="P68B1DB1-Normal11"/>
              <w:jc w:val="center"/>
              <w:rPr>
                <w:noProof/>
              </w:rPr>
            </w:pPr>
            <w:r>
              <w:rPr>
                <w:noProof/>
              </w:rPr>
              <w:t>Q2</w:t>
            </w:r>
          </w:p>
        </w:tc>
        <w:tc>
          <w:tcPr>
            <w:tcW w:w="756" w:type="dxa"/>
            <w:shd w:val="clear" w:color="auto" w:fill="C6EFCE"/>
            <w:noWrap/>
            <w:vAlign w:val="center"/>
          </w:tcPr>
          <w:p w14:paraId="1197C14E" w14:textId="03CDDE03" w:rsidR="00154E32" w:rsidRDefault="00A43E04">
            <w:pPr>
              <w:pStyle w:val="P68B1DB1-Normal11"/>
              <w:jc w:val="center"/>
              <w:rPr>
                <w:noProof/>
              </w:rPr>
            </w:pPr>
            <w:r>
              <w:rPr>
                <w:noProof/>
              </w:rPr>
              <w:t>2026</w:t>
            </w:r>
          </w:p>
        </w:tc>
        <w:tc>
          <w:tcPr>
            <w:tcW w:w="2793" w:type="dxa"/>
            <w:shd w:val="clear" w:color="auto" w:fill="C6EFCE"/>
            <w:noWrap/>
            <w:vAlign w:val="center"/>
          </w:tcPr>
          <w:p w14:paraId="0BCAC108" w14:textId="77777777" w:rsidR="00154E32" w:rsidRDefault="00A43E04">
            <w:pPr>
              <w:pStyle w:val="P68B1DB1-Normal11"/>
              <w:spacing w:after="120"/>
              <w:rPr>
                <w:noProof/>
              </w:rPr>
            </w:pPr>
            <w:r>
              <w:rPr>
                <w:noProof/>
              </w:rPr>
              <w:t>Zamenjava vsaj 300 kmetijskih traktorjev z mehanskimi traktorji, ki jih poganja izključno biometan in so opremljeni tudi z orodji za precizno kmetovanje.</w:t>
            </w:r>
          </w:p>
          <w:p w14:paraId="05DF974B" w14:textId="7C5BFC43" w:rsidR="00154E32" w:rsidRDefault="00A43E04">
            <w:pPr>
              <w:pStyle w:val="P68B1DB1-Normal11"/>
              <w:rPr>
                <w:noProof/>
              </w:rPr>
            </w:pPr>
            <w:r>
              <w:rPr>
                <w:noProof/>
              </w:rPr>
              <w:t xml:space="preserve">Biometan mora izpolnjevati merila iz Direktive 2018/2001 (direktiva o spodbujanju uporabe energije iz obnovljivih virov), da bi bil skladen z načelom, da se ne uporablja bistveno. Proizvajalci biogoriv in biometana ter biogoriv morajo predložiti certifikate (dokazilo o trajnostnosti), ki jih izdajo neodvisni ocenjevalci, kot je določeno v Direktivi 2018/2001. Upravljavec kupi potrdilo o izvoru, ki je sorazmerno s pričakovano porabo goriva.  </w:t>
            </w:r>
          </w:p>
        </w:tc>
      </w:tr>
      <w:tr w:rsidR="00154E32" w14:paraId="2570E0C7" w14:textId="77777777">
        <w:trPr>
          <w:trHeight w:val="309"/>
          <w:jc w:val="center"/>
        </w:trPr>
        <w:tc>
          <w:tcPr>
            <w:tcW w:w="1613" w:type="dxa"/>
            <w:shd w:val="clear" w:color="auto" w:fill="C6EFCE"/>
            <w:noWrap/>
            <w:vAlign w:val="center"/>
          </w:tcPr>
          <w:p w14:paraId="7676FE9B" w14:textId="6FE9848F" w:rsidR="00154E32" w:rsidRDefault="00A43E04">
            <w:pPr>
              <w:pStyle w:val="P68B1DB1-Normal11"/>
              <w:jc w:val="center"/>
              <w:rPr>
                <w:noProof/>
              </w:rPr>
            </w:pPr>
            <w:r>
              <w:rPr>
                <w:noProof/>
              </w:rPr>
              <w:t>M2C2–4</w:t>
            </w:r>
          </w:p>
        </w:tc>
        <w:tc>
          <w:tcPr>
            <w:tcW w:w="1643" w:type="dxa"/>
            <w:shd w:val="clear" w:color="auto" w:fill="C6EFCE"/>
            <w:noWrap/>
            <w:vAlign w:val="center"/>
          </w:tcPr>
          <w:p w14:paraId="4E127772" w14:textId="6C8F4347" w:rsidR="00154E32" w:rsidRDefault="00A43E04">
            <w:pPr>
              <w:pStyle w:val="P68B1DB1-Normal11"/>
              <w:jc w:val="center"/>
              <w:rPr>
                <w:noProof/>
              </w:rPr>
            </w:pPr>
            <w:r>
              <w:rPr>
                <w:noProof/>
              </w:rPr>
              <w:t>Naložba 1.4 Razvoj biometana v skladu z merili za spodbujanje krožnega gospodarstva</w:t>
            </w:r>
          </w:p>
        </w:tc>
        <w:tc>
          <w:tcPr>
            <w:tcW w:w="1559" w:type="dxa"/>
            <w:shd w:val="clear" w:color="auto" w:fill="C6EFCE"/>
            <w:noWrap/>
            <w:vAlign w:val="center"/>
          </w:tcPr>
          <w:p w14:paraId="357D2310" w14:textId="4F14F932" w:rsidR="00154E32" w:rsidRDefault="00A43E04">
            <w:pPr>
              <w:pStyle w:val="P68B1DB1-Normal11"/>
              <w:jc w:val="center"/>
              <w:rPr>
                <w:noProof/>
              </w:rPr>
            </w:pPr>
            <w:r>
              <w:rPr>
                <w:noProof/>
              </w:rPr>
              <w:t>Tarča</w:t>
            </w:r>
          </w:p>
        </w:tc>
        <w:tc>
          <w:tcPr>
            <w:tcW w:w="1559" w:type="dxa"/>
            <w:shd w:val="clear" w:color="auto" w:fill="C6EFCE"/>
            <w:noWrap/>
            <w:vAlign w:val="center"/>
          </w:tcPr>
          <w:p w14:paraId="1CB6DDB4" w14:textId="72A8DD7C" w:rsidR="00154E32" w:rsidRDefault="00A43E04">
            <w:pPr>
              <w:pStyle w:val="P68B1DB1-Normal11"/>
              <w:jc w:val="center"/>
              <w:rPr>
                <w:noProof/>
              </w:rPr>
            </w:pPr>
            <w:r>
              <w:rPr>
                <w:noProof/>
              </w:rPr>
              <w:t>Dodatna proizvodna zmogljivost za biometan</w:t>
            </w:r>
          </w:p>
        </w:tc>
        <w:tc>
          <w:tcPr>
            <w:tcW w:w="1843" w:type="dxa"/>
            <w:shd w:val="clear" w:color="auto" w:fill="C6EFCE"/>
            <w:noWrap/>
            <w:vAlign w:val="center"/>
          </w:tcPr>
          <w:p w14:paraId="2E640168" w14:textId="5345D495" w:rsidR="00154E32" w:rsidRDefault="00A43E04">
            <w:pPr>
              <w:pStyle w:val="P68B1DB1-Normal11"/>
              <w:jc w:val="center"/>
              <w:rPr>
                <w:noProof/>
              </w:rPr>
            </w:pPr>
            <w:r>
              <w:rPr>
                <w:noProof/>
              </w:rPr>
              <w:t>JIH NI</w:t>
            </w:r>
          </w:p>
        </w:tc>
        <w:tc>
          <w:tcPr>
            <w:tcW w:w="1417" w:type="dxa"/>
            <w:shd w:val="clear" w:color="auto" w:fill="C6EFCE"/>
            <w:noWrap/>
            <w:vAlign w:val="center"/>
          </w:tcPr>
          <w:p w14:paraId="4D96C367" w14:textId="2F32C2B4" w:rsidR="00154E32" w:rsidRDefault="00A43E04">
            <w:pPr>
              <w:pStyle w:val="P68B1DB1-Normal11"/>
              <w:jc w:val="center"/>
              <w:rPr>
                <w:noProof/>
              </w:rPr>
            </w:pPr>
            <w:r>
              <w:rPr>
                <w:noProof/>
              </w:rPr>
              <w:t>1 000 000 000</w:t>
            </w:r>
          </w:p>
        </w:tc>
        <w:tc>
          <w:tcPr>
            <w:tcW w:w="1134" w:type="dxa"/>
            <w:shd w:val="clear" w:color="auto" w:fill="C6EFCE"/>
            <w:noWrap/>
            <w:vAlign w:val="center"/>
          </w:tcPr>
          <w:p w14:paraId="2BD33158" w14:textId="4D0FB0F8" w:rsidR="00154E32" w:rsidRDefault="00A43E04">
            <w:pPr>
              <w:pStyle w:val="P68B1DB1-Normal11"/>
              <w:jc w:val="center"/>
              <w:rPr>
                <w:noProof/>
              </w:rPr>
            </w:pPr>
            <w:r>
              <w:rPr>
                <w:noProof/>
              </w:rPr>
              <w:t>0</w:t>
            </w:r>
          </w:p>
        </w:tc>
        <w:tc>
          <w:tcPr>
            <w:tcW w:w="946" w:type="dxa"/>
            <w:shd w:val="clear" w:color="auto" w:fill="C6EFCE"/>
            <w:noWrap/>
            <w:vAlign w:val="center"/>
          </w:tcPr>
          <w:p w14:paraId="6018B829" w14:textId="6E04FC79" w:rsidR="00154E32" w:rsidRDefault="00A43E04">
            <w:pPr>
              <w:pStyle w:val="P68B1DB1-Normal11"/>
              <w:jc w:val="center"/>
              <w:rPr>
                <w:noProof/>
              </w:rPr>
            </w:pPr>
            <w:r>
              <w:rPr>
                <w:noProof/>
              </w:rPr>
              <w:t>0.6</w:t>
            </w:r>
          </w:p>
        </w:tc>
        <w:tc>
          <w:tcPr>
            <w:tcW w:w="992" w:type="dxa"/>
            <w:shd w:val="clear" w:color="auto" w:fill="C6EFCE"/>
            <w:noWrap/>
            <w:vAlign w:val="center"/>
          </w:tcPr>
          <w:p w14:paraId="2F5DE9C4" w14:textId="50569AC1" w:rsidR="00154E32" w:rsidRDefault="00A43E04">
            <w:pPr>
              <w:pStyle w:val="P68B1DB1-Normal11"/>
              <w:jc w:val="center"/>
              <w:rPr>
                <w:noProof/>
              </w:rPr>
            </w:pPr>
            <w:r>
              <w:rPr>
                <w:noProof/>
              </w:rPr>
              <w:t>Q2</w:t>
            </w:r>
          </w:p>
        </w:tc>
        <w:tc>
          <w:tcPr>
            <w:tcW w:w="756" w:type="dxa"/>
            <w:shd w:val="clear" w:color="auto" w:fill="C6EFCE"/>
            <w:noWrap/>
            <w:vAlign w:val="center"/>
          </w:tcPr>
          <w:p w14:paraId="40DDDB1F" w14:textId="257BAE10" w:rsidR="00154E32" w:rsidRDefault="00A43E04">
            <w:pPr>
              <w:pStyle w:val="P68B1DB1-Normal11"/>
              <w:jc w:val="center"/>
              <w:rPr>
                <w:noProof/>
              </w:rPr>
            </w:pPr>
            <w:r>
              <w:rPr>
                <w:noProof/>
              </w:rPr>
              <w:t>2025</w:t>
            </w:r>
          </w:p>
        </w:tc>
        <w:tc>
          <w:tcPr>
            <w:tcW w:w="2793" w:type="dxa"/>
            <w:shd w:val="clear" w:color="auto" w:fill="C6EFCE"/>
            <w:noWrap/>
            <w:vAlign w:val="center"/>
          </w:tcPr>
          <w:p w14:paraId="14D16E63" w14:textId="77777777" w:rsidR="00154E32" w:rsidRDefault="00A43E04">
            <w:pPr>
              <w:pStyle w:val="P68B1DB1-Normal11"/>
              <w:spacing w:after="120"/>
              <w:rPr>
                <w:noProof/>
              </w:rPr>
            </w:pPr>
            <w:r>
              <w:rPr>
                <w:noProof/>
              </w:rPr>
              <w:t>Razvoj proizvodne zmogljivosti biometana s pretvorbo obstoječih obratov (vključno z organskim delom trdnih komunalnih odpadkov – OFUSW) in iz novih obratov na vsaj 0,6 milijarde m³ konec leta 2023</w:t>
            </w:r>
          </w:p>
          <w:p w14:paraId="418485E2" w14:textId="68B5A143" w:rsidR="00154E32" w:rsidRDefault="00A43E04">
            <w:pPr>
              <w:pStyle w:val="P68B1DB1-Normal11"/>
              <w:spacing w:after="120"/>
              <w:rPr>
                <w:noProof/>
              </w:rPr>
            </w:pPr>
            <w:r>
              <w:rPr>
                <w:noProof/>
              </w:rPr>
              <w:t>Biometan izpolnjuje merila iz Direktive 2018/2001 (direktiva o spodbujanju uporabe energije iz obnovljivih virov), da se omogoči, da je ukrep skladen z načelom, da se ne šteje za bistveno, in ustreznimi zahtevami iz opombe 8 Priloge VI k Uredbi (EU) 2021/241.</w:t>
            </w:r>
          </w:p>
          <w:p w14:paraId="1A2C02B7" w14:textId="1411189B" w:rsidR="00154E32" w:rsidRDefault="00A43E04">
            <w:pPr>
              <w:pStyle w:val="P68B1DB1-Normal11"/>
              <w:rPr>
                <w:noProof/>
              </w:rPr>
            </w:pPr>
            <w:r>
              <w:rPr>
                <w:noProof/>
              </w:rPr>
              <w:t xml:space="preserve">Proizvajalci biogoriv in biometana ter biogoriv morajo predložiti certifikate (dokazilo o trajnostnosti), ki jih izdajo neodvisni ocenjevalci, kot je določeno v Direktivi 2018/2001. </w:t>
            </w:r>
          </w:p>
        </w:tc>
      </w:tr>
      <w:tr w:rsidR="00154E32" w14:paraId="3340CED1" w14:textId="77777777">
        <w:trPr>
          <w:trHeight w:val="309"/>
          <w:jc w:val="center"/>
        </w:trPr>
        <w:tc>
          <w:tcPr>
            <w:tcW w:w="1613" w:type="dxa"/>
            <w:shd w:val="clear" w:color="auto" w:fill="C6EFCE"/>
            <w:noWrap/>
            <w:vAlign w:val="center"/>
          </w:tcPr>
          <w:p w14:paraId="655F3771" w14:textId="6EE99C31" w:rsidR="00154E32" w:rsidRDefault="00A43E04">
            <w:pPr>
              <w:pStyle w:val="P68B1DB1-Normal11"/>
              <w:jc w:val="center"/>
              <w:rPr>
                <w:noProof/>
              </w:rPr>
            </w:pPr>
            <w:r>
              <w:rPr>
                <w:noProof/>
              </w:rPr>
              <w:t>M2C2–5</w:t>
            </w:r>
          </w:p>
        </w:tc>
        <w:tc>
          <w:tcPr>
            <w:tcW w:w="1643" w:type="dxa"/>
            <w:shd w:val="clear" w:color="auto" w:fill="C6EFCE"/>
            <w:noWrap/>
            <w:vAlign w:val="center"/>
          </w:tcPr>
          <w:p w14:paraId="10DECADD" w14:textId="1319F240" w:rsidR="00154E32" w:rsidRDefault="00A43E04">
            <w:pPr>
              <w:pStyle w:val="P68B1DB1-Normal11"/>
              <w:jc w:val="center"/>
              <w:rPr>
                <w:noProof/>
              </w:rPr>
            </w:pPr>
            <w:r>
              <w:rPr>
                <w:noProof/>
              </w:rPr>
              <w:t>Naložba 1.4 Razvoj biometana v skladu z merili za spodbujanje krožnega gospodarstva</w:t>
            </w:r>
          </w:p>
        </w:tc>
        <w:tc>
          <w:tcPr>
            <w:tcW w:w="1559" w:type="dxa"/>
            <w:shd w:val="clear" w:color="auto" w:fill="C6EFCE"/>
            <w:noWrap/>
            <w:vAlign w:val="center"/>
          </w:tcPr>
          <w:p w14:paraId="4E192779" w14:textId="656F2AD5" w:rsidR="00154E32" w:rsidRDefault="00A43E04">
            <w:pPr>
              <w:pStyle w:val="P68B1DB1-Normal11"/>
              <w:jc w:val="center"/>
              <w:rPr>
                <w:noProof/>
              </w:rPr>
            </w:pPr>
            <w:r>
              <w:rPr>
                <w:noProof/>
              </w:rPr>
              <w:t>Tarča</w:t>
            </w:r>
          </w:p>
        </w:tc>
        <w:tc>
          <w:tcPr>
            <w:tcW w:w="1559" w:type="dxa"/>
            <w:shd w:val="clear" w:color="auto" w:fill="C6EFCE"/>
            <w:noWrap/>
            <w:vAlign w:val="center"/>
          </w:tcPr>
          <w:p w14:paraId="360C26B9" w14:textId="74CB264F" w:rsidR="00154E32" w:rsidRDefault="00A43E04">
            <w:pPr>
              <w:pStyle w:val="P68B1DB1-Normal11"/>
              <w:jc w:val="center"/>
              <w:rPr>
                <w:noProof/>
              </w:rPr>
            </w:pPr>
            <w:r>
              <w:rPr>
                <w:noProof/>
              </w:rPr>
              <w:t>Dodatna proizvodnja biometana</w:t>
            </w:r>
          </w:p>
        </w:tc>
        <w:tc>
          <w:tcPr>
            <w:tcW w:w="1843" w:type="dxa"/>
            <w:shd w:val="clear" w:color="auto" w:fill="C6EFCE"/>
            <w:noWrap/>
            <w:vAlign w:val="center"/>
          </w:tcPr>
          <w:p w14:paraId="0B3651EA" w14:textId="3089AB59" w:rsidR="00154E32" w:rsidRDefault="00A43E04">
            <w:pPr>
              <w:pStyle w:val="P68B1DB1-Normal11"/>
              <w:jc w:val="center"/>
              <w:rPr>
                <w:noProof/>
              </w:rPr>
            </w:pPr>
            <w:r>
              <w:rPr>
                <w:noProof/>
              </w:rPr>
              <w:t>JIH NI</w:t>
            </w:r>
          </w:p>
        </w:tc>
        <w:tc>
          <w:tcPr>
            <w:tcW w:w="1417" w:type="dxa"/>
            <w:shd w:val="clear" w:color="auto" w:fill="C6EFCE"/>
            <w:noWrap/>
            <w:vAlign w:val="center"/>
          </w:tcPr>
          <w:p w14:paraId="3DF13528" w14:textId="6F64A583" w:rsidR="00154E32" w:rsidRDefault="00A43E04">
            <w:pPr>
              <w:pStyle w:val="P68B1DB1-Normal11"/>
              <w:jc w:val="center"/>
              <w:rPr>
                <w:noProof/>
              </w:rPr>
            </w:pPr>
            <w:r>
              <w:rPr>
                <w:noProof/>
              </w:rPr>
              <w:t xml:space="preserve">1 000 000 000 </w:t>
            </w:r>
          </w:p>
        </w:tc>
        <w:tc>
          <w:tcPr>
            <w:tcW w:w="1134" w:type="dxa"/>
            <w:shd w:val="clear" w:color="auto" w:fill="C6EFCE"/>
            <w:noWrap/>
            <w:vAlign w:val="center"/>
          </w:tcPr>
          <w:p w14:paraId="69910D61" w14:textId="27A903B7" w:rsidR="00154E32" w:rsidRDefault="00A43E04">
            <w:pPr>
              <w:pStyle w:val="P68B1DB1-Normal11"/>
              <w:jc w:val="center"/>
              <w:rPr>
                <w:noProof/>
              </w:rPr>
            </w:pPr>
            <w:r>
              <w:rPr>
                <w:noProof/>
              </w:rPr>
              <w:t>0.6</w:t>
            </w:r>
          </w:p>
        </w:tc>
        <w:tc>
          <w:tcPr>
            <w:tcW w:w="946" w:type="dxa"/>
            <w:shd w:val="clear" w:color="auto" w:fill="C6EFCE"/>
            <w:noWrap/>
            <w:vAlign w:val="center"/>
          </w:tcPr>
          <w:p w14:paraId="7CBB37DF" w14:textId="1A004771" w:rsidR="00154E32" w:rsidRDefault="00A43E04">
            <w:pPr>
              <w:pStyle w:val="P68B1DB1-Normal11"/>
              <w:jc w:val="center"/>
              <w:rPr>
                <w:noProof/>
              </w:rPr>
            </w:pPr>
            <w:r>
              <w:rPr>
                <w:noProof/>
              </w:rPr>
              <w:t>2.3</w:t>
            </w:r>
          </w:p>
        </w:tc>
        <w:tc>
          <w:tcPr>
            <w:tcW w:w="992" w:type="dxa"/>
            <w:shd w:val="clear" w:color="auto" w:fill="C6EFCE"/>
            <w:noWrap/>
            <w:vAlign w:val="center"/>
          </w:tcPr>
          <w:p w14:paraId="355B6CF5" w14:textId="17C18A3A" w:rsidR="00154E32" w:rsidRDefault="00A43E04">
            <w:pPr>
              <w:pStyle w:val="P68B1DB1-Normal11"/>
              <w:jc w:val="center"/>
              <w:rPr>
                <w:noProof/>
              </w:rPr>
            </w:pPr>
            <w:r>
              <w:rPr>
                <w:noProof/>
              </w:rPr>
              <w:t>Q2</w:t>
            </w:r>
          </w:p>
        </w:tc>
        <w:tc>
          <w:tcPr>
            <w:tcW w:w="756" w:type="dxa"/>
            <w:shd w:val="clear" w:color="auto" w:fill="C6EFCE"/>
            <w:noWrap/>
            <w:vAlign w:val="center"/>
          </w:tcPr>
          <w:p w14:paraId="0F6FD217" w14:textId="76E0942E" w:rsidR="00154E32" w:rsidRDefault="00A43E04">
            <w:pPr>
              <w:pStyle w:val="P68B1DB1-Normal11"/>
              <w:jc w:val="center"/>
              <w:rPr>
                <w:noProof/>
              </w:rPr>
            </w:pPr>
            <w:r>
              <w:rPr>
                <w:noProof/>
              </w:rPr>
              <w:t>2026</w:t>
            </w:r>
          </w:p>
        </w:tc>
        <w:tc>
          <w:tcPr>
            <w:tcW w:w="2793" w:type="dxa"/>
            <w:shd w:val="clear" w:color="auto" w:fill="C6EFCE"/>
            <w:noWrap/>
            <w:vAlign w:val="center"/>
          </w:tcPr>
          <w:p w14:paraId="20A1A2FF" w14:textId="1AF8799C" w:rsidR="00154E32" w:rsidRDefault="00A43E04">
            <w:pPr>
              <w:pStyle w:val="P68B1DB1-Normal11"/>
              <w:spacing w:after="120"/>
              <w:rPr>
                <w:noProof/>
              </w:rPr>
            </w:pPr>
            <w:r>
              <w:rPr>
                <w:noProof/>
              </w:rPr>
              <w:t>Razvoj proizvodne zmogljivosti biometana s pretvorbo obstoječih obratov (vključno z organskim delom trdnih komunalnih odpadkov – OFUSW) in iz novih obratov na vsaj 2,3 milijarde m³ konec junija 2026.</w:t>
            </w:r>
          </w:p>
          <w:p w14:paraId="73F6D4E5" w14:textId="495E0939" w:rsidR="00154E32" w:rsidRDefault="00A43E04">
            <w:pPr>
              <w:pStyle w:val="P68B1DB1-Normal11"/>
              <w:spacing w:after="120"/>
              <w:rPr>
                <w:noProof/>
              </w:rPr>
            </w:pPr>
            <w:r>
              <w:rPr>
                <w:noProof/>
              </w:rPr>
              <w:t>Biometan izpolnjuje merila iz Direktive 2018/2001 (direktiva o spodbujanju uporabe energije iz obnovljivih virov), da se omogoči skladnost ukrepa z načelom, da se ne šteje za bistveno, in ustreznimi zahtevami iz opombe 8 Priloge VI k Uredbi (EU) 2021/241.</w:t>
            </w:r>
          </w:p>
          <w:p w14:paraId="4FDB8316" w14:textId="5F52413D" w:rsidR="00154E32" w:rsidRDefault="00A43E04">
            <w:pPr>
              <w:pStyle w:val="P68B1DB1-Normal11"/>
              <w:rPr>
                <w:noProof/>
              </w:rPr>
            </w:pPr>
            <w:r>
              <w:rPr>
                <w:noProof/>
              </w:rPr>
              <w:t xml:space="preserve">Proizvajalci biogoriv in biometana ter biogoriv morajo predložiti certifikate (dokazilo o trajnostnosti), ki jih izdajo neodvisni ocenjevalci, kot je določeno v Direktivi 2018/2001. </w:t>
            </w:r>
          </w:p>
        </w:tc>
      </w:tr>
      <w:tr w:rsidR="00154E32" w14:paraId="38A226B3" w14:textId="77777777">
        <w:trPr>
          <w:trHeight w:val="309"/>
          <w:jc w:val="center"/>
        </w:trPr>
        <w:tc>
          <w:tcPr>
            <w:tcW w:w="1613" w:type="dxa"/>
            <w:shd w:val="clear" w:color="auto" w:fill="C6EFCE"/>
            <w:noWrap/>
            <w:vAlign w:val="center"/>
          </w:tcPr>
          <w:p w14:paraId="365AB7B5" w14:textId="2D3B6C3C" w:rsidR="00154E32" w:rsidRDefault="00A43E04">
            <w:pPr>
              <w:pStyle w:val="P68B1DB1-Normal11"/>
              <w:jc w:val="center"/>
              <w:rPr>
                <w:noProof/>
              </w:rPr>
            </w:pPr>
            <w:r>
              <w:rPr>
                <w:noProof/>
              </w:rPr>
              <w:t>M2C2–9</w:t>
            </w:r>
          </w:p>
        </w:tc>
        <w:tc>
          <w:tcPr>
            <w:tcW w:w="1643" w:type="dxa"/>
            <w:shd w:val="clear" w:color="auto" w:fill="C6EFCE"/>
            <w:noWrap/>
            <w:vAlign w:val="center"/>
          </w:tcPr>
          <w:p w14:paraId="5146714C" w14:textId="5BB40B18" w:rsidR="00154E32" w:rsidRDefault="00A43E04">
            <w:pPr>
              <w:pStyle w:val="P68B1DB1-Normal11"/>
              <w:jc w:val="center"/>
              <w:rPr>
                <w:noProof/>
              </w:rPr>
            </w:pPr>
            <w:r>
              <w:rPr>
                <w:noProof/>
              </w:rPr>
              <w:t>Naložba 2.1 Krepitev pametnih omrežij</w:t>
            </w:r>
          </w:p>
        </w:tc>
        <w:tc>
          <w:tcPr>
            <w:tcW w:w="1559" w:type="dxa"/>
            <w:shd w:val="clear" w:color="auto" w:fill="C6EFCE"/>
            <w:noWrap/>
            <w:vAlign w:val="center"/>
          </w:tcPr>
          <w:p w14:paraId="16754295" w14:textId="251A74A2" w:rsidR="00154E32" w:rsidRDefault="00A43E04">
            <w:pPr>
              <w:pStyle w:val="P68B1DB1-Normal11"/>
              <w:jc w:val="center"/>
              <w:rPr>
                <w:noProof/>
              </w:rPr>
            </w:pPr>
            <w:r>
              <w:rPr>
                <w:noProof/>
              </w:rPr>
              <w:t>Tarča</w:t>
            </w:r>
          </w:p>
        </w:tc>
        <w:tc>
          <w:tcPr>
            <w:tcW w:w="1559" w:type="dxa"/>
            <w:shd w:val="clear" w:color="auto" w:fill="C6EFCE"/>
            <w:noWrap/>
            <w:vAlign w:val="center"/>
          </w:tcPr>
          <w:p w14:paraId="2B881D08" w14:textId="02F92753" w:rsidR="00154E32" w:rsidRDefault="00A43E04">
            <w:pPr>
              <w:pStyle w:val="P68B1DB1-Normal11"/>
              <w:jc w:val="center"/>
              <w:rPr>
                <w:noProof/>
              </w:rPr>
            </w:pPr>
            <w:r>
              <w:rPr>
                <w:noProof/>
              </w:rPr>
              <w:t>Pametna omrežja – povečanje zmogljivosti omrežja za distribucijo energije iz obnovljivih virov</w:t>
            </w:r>
          </w:p>
        </w:tc>
        <w:tc>
          <w:tcPr>
            <w:tcW w:w="1843" w:type="dxa"/>
            <w:shd w:val="clear" w:color="auto" w:fill="C6EFCE"/>
            <w:noWrap/>
            <w:vAlign w:val="center"/>
          </w:tcPr>
          <w:p w14:paraId="1FCE79A6" w14:textId="2B663EAC" w:rsidR="00154E32" w:rsidRDefault="00A43E04">
            <w:pPr>
              <w:pStyle w:val="P68B1DB1-Normal11"/>
              <w:jc w:val="center"/>
              <w:rPr>
                <w:noProof/>
              </w:rPr>
            </w:pPr>
            <w:r>
              <w:rPr>
                <w:noProof/>
              </w:rPr>
              <w:t>JIH NI</w:t>
            </w:r>
          </w:p>
        </w:tc>
        <w:tc>
          <w:tcPr>
            <w:tcW w:w="1417" w:type="dxa"/>
            <w:shd w:val="clear" w:color="auto" w:fill="C6EFCE"/>
            <w:noWrap/>
            <w:vAlign w:val="center"/>
          </w:tcPr>
          <w:p w14:paraId="4F1DA28E" w14:textId="0C7F03B6" w:rsidR="00154E32" w:rsidRDefault="00A43E04">
            <w:pPr>
              <w:pStyle w:val="P68B1DB1-Normal11"/>
              <w:jc w:val="center"/>
              <w:rPr>
                <w:noProof/>
              </w:rPr>
            </w:pPr>
            <w:r>
              <w:rPr>
                <w:noProof/>
              </w:rPr>
              <w:t>Število</w:t>
            </w:r>
          </w:p>
        </w:tc>
        <w:tc>
          <w:tcPr>
            <w:tcW w:w="1134" w:type="dxa"/>
            <w:shd w:val="clear" w:color="auto" w:fill="C6EFCE"/>
            <w:noWrap/>
            <w:vAlign w:val="center"/>
          </w:tcPr>
          <w:p w14:paraId="3EF205D7" w14:textId="7FBE2292" w:rsidR="00154E32" w:rsidRDefault="00A43E04">
            <w:pPr>
              <w:pStyle w:val="P68B1DB1-Normal11"/>
              <w:jc w:val="center"/>
              <w:rPr>
                <w:noProof/>
              </w:rPr>
            </w:pPr>
            <w:r>
              <w:rPr>
                <w:noProof/>
              </w:rPr>
              <w:t>0</w:t>
            </w:r>
          </w:p>
        </w:tc>
        <w:tc>
          <w:tcPr>
            <w:tcW w:w="946" w:type="dxa"/>
            <w:shd w:val="clear" w:color="auto" w:fill="C6EFCE"/>
            <w:noWrap/>
            <w:vAlign w:val="center"/>
          </w:tcPr>
          <w:p w14:paraId="65D6E44B" w14:textId="5D0B3399" w:rsidR="00154E32" w:rsidRDefault="00A43E04">
            <w:pPr>
              <w:pStyle w:val="P68B1DB1-Normal12"/>
              <w:jc w:val="center"/>
              <w:rPr>
                <w:rFonts w:ascii="Arial Narrow" w:hAnsi="Arial Narrow"/>
                <w:noProof/>
              </w:rPr>
            </w:pPr>
            <w:r>
              <w:rPr>
                <w:rFonts w:ascii="Arial Narrow" w:hAnsi="Arial Narrow"/>
                <w:noProof/>
              </w:rPr>
              <w:t>1</w:t>
            </w:r>
            <w:r>
              <w:rPr>
                <w:noProof/>
              </w:rPr>
              <w:t xml:space="preserve"> </w:t>
            </w:r>
            <w:r>
              <w:rPr>
                <w:rFonts w:ascii="Arial Narrow" w:hAnsi="Arial Narrow"/>
                <w:noProof/>
              </w:rPr>
              <w:t>000</w:t>
            </w:r>
          </w:p>
        </w:tc>
        <w:tc>
          <w:tcPr>
            <w:tcW w:w="992" w:type="dxa"/>
            <w:shd w:val="clear" w:color="auto" w:fill="C6EFCE"/>
            <w:noWrap/>
            <w:vAlign w:val="center"/>
          </w:tcPr>
          <w:p w14:paraId="0000ED43" w14:textId="2FBB1221" w:rsidR="00154E32" w:rsidRDefault="00A43E04">
            <w:pPr>
              <w:pStyle w:val="P68B1DB1-Normal11"/>
              <w:jc w:val="center"/>
              <w:rPr>
                <w:noProof/>
              </w:rPr>
            </w:pPr>
            <w:r>
              <w:rPr>
                <w:noProof/>
              </w:rPr>
              <w:t>Q4</w:t>
            </w:r>
          </w:p>
        </w:tc>
        <w:tc>
          <w:tcPr>
            <w:tcW w:w="756" w:type="dxa"/>
            <w:shd w:val="clear" w:color="auto" w:fill="C6EFCE"/>
            <w:noWrap/>
            <w:vAlign w:val="center"/>
          </w:tcPr>
          <w:p w14:paraId="3E9AD8EA" w14:textId="36B33EFA" w:rsidR="00154E32" w:rsidRDefault="00A43E04">
            <w:pPr>
              <w:pStyle w:val="P68B1DB1-Normal11"/>
              <w:jc w:val="center"/>
              <w:rPr>
                <w:noProof/>
              </w:rPr>
            </w:pPr>
            <w:r>
              <w:rPr>
                <w:noProof/>
              </w:rPr>
              <w:t>2024</w:t>
            </w:r>
          </w:p>
        </w:tc>
        <w:tc>
          <w:tcPr>
            <w:tcW w:w="2793" w:type="dxa"/>
            <w:shd w:val="clear" w:color="auto" w:fill="C6EFCE"/>
            <w:noWrap/>
            <w:vAlign w:val="center"/>
          </w:tcPr>
          <w:p w14:paraId="55805DFA" w14:textId="2A28E818" w:rsidR="00154E32" w:rsidRDefault="00A43E04">
            <w:pPr>
              <w:pStyle w:val="P68B1DB1-Normal12"/>
              <w:rPr>
                <w:rFonts w:ascii="Arial Narrow" w:hAnsi="Arial Narrow"/>
                <w:noProof/>
              </w:rPr>
            </w:pPr>
            <w:r>
              <w:rPr>
                <w:rFonts w:ascii="Arial Narrow" w:hAnsi="Arial Narrow"/>
                <w:noProof/>
              </w:rPr>
              <w:t>Povečanje zmogljivosti omrežja za distribucijo energije iz obnovljivih virov za vsaj 1000</w:t>
            </w:r>
            <w:r>
              <w:rPr>
                <w:noProof/>
              </w:rPr>
              <w:t xml:space="preserve"> </w:t>
            </w:r>
            <w:r>
              <w:rPr>
                <w:rFonts w:ascii="Arial Narrow" w:hAnsi="Arial Narrow"/>
                <w:noProof/>
              </w:rPr>
              <w:t>MW</w:t>
            </w:r>
          </w:p>
        </w:tc>
      </w:tr>
      <w:tr w:rsidR="00154E32" w14:paraId="1EC3680F" w14:textId="77777777">
        <w:trPr>
          <w:trHeight w:val="309"/>
          <w:jc w:val="center"/>
        </w:trPr>
        <w:tc>
          <w:tcPr>
            <w:tcW w:w="1613" w:type="dxa"/>
            <w:shd w:val="clear" w:color="auto" w:fill="C6EFCE"/>
            <w:noWrap/>
            <w:vAlign w:val="center"/>
          </w:tcPr>
          <w:p w14:paraId="5A57F967" w14:textId="7A484BAC" w:rsidR="00154E32" w:rsidRDefault="00A43E04">
            <w:pPr>
              <w:pStyle w:val="P68B1DB1-Normal11"/>
              <w:jc w:val="center"/>
              <w:rPr>
                <w:noProof/>
              </w:rPr>
            </w:pPr>
            <w:r>
              <w:rPr>
                <w:noProof/>
              </w:rPr>
              <w:t>M2C2–10</w:t>
            </w:r>
          </w:p>
        </w:tc>
        <w:tc>
          <w:tcPr>
            <w:tcW w:w="1643" w:type="dxa"/>
            <w:shd w:val="clear" w:color="auto" w:fill="C6EFCE"/>
            <w:noWrap/>
            <w:vAlign w:val="center"/>
          </w:tcPr>
          <w:p w14:paraId="7C07DD6C" w14:textId="428BFAE6" w:rsidR="00154E32" w:rsidRDefault="00A43E04">
            <w:pPr>
              <w:pStyle w:val="P68B1DB1-Normal11"/>
              <w:jc w:val="center"/>
              <w:rPr>
                <w:noProof/>
              </w:rPr>
            </w:pPr>
            <w:r>
              <w:rPr>
                <w:noProof/>
              </w:rPr>
              <w:t>Naložba 2.1 Krepitev pametnih omrežij</w:t>
            </w:r>
          </w:p>
        </w:tc>
        <w:tc>
          <w:tcPr>
            <w:tcW w:w="1559" w:type="dxa"/>
            <w:shd w:val="clear" w:color="auto" w:fill="C6EFCE"/>
            <w:noWrap/>
            <w:vAlign w:val="center"/>
          </w:tcPr>
          <w:p w14:paraId="54C685D9" w14:textId="0F25154F" w:rsidR="00154E32" w:rsidRDefault="00A43E04">
            <w:pPr>
              <w:pStyle w:val="P68B1DB1-Normal11"/>
              <w:jc w:val="center"/>
              <w:rPr>
                <w:noProof/>
              </w:rPr>
            </w:pPr>
            <w:r>
              <w:rPr>
                <w:noProof/>
              </w:rPr>
              <w:t>Tarča</w:t>
            </w:r>
          </w:p>
        </w:tc>
        <w:tc>
          <w:tcPr>
            <w:tcW w:w="1559" w:type="dxa"/>
            <w:shd w:val="clear" w:color="auto" w:fill="C6EFCE"/>
            <w:noWrap/>
            <w:vAlign w:val="center"/>
          </w:tcPr>
          <w:p w14:paraId="5F09BB5C" w14:textId="1CAF43AE" w:rsidR="00154E32" w:rsidRDefault="00A43E04">
            <w:pPr>
              <w:pStyle w:val="P68B1DB1-Normal11"/>
              <w:jc w:val="center"/>
              <w:rPr>
                <w:noProof/>
              </w:rPr>
            </w:pPr>
            <w:r>
              <w:rPr>
                <w:noProof/>
              </w:rPr>
              <w:t>Pametna omrežja – povečanje zmogljivosti omrežja za distribucijo energije iz obnovljivih virov</w:t>
            </w:r>
          </w:p>
        </w:tc>
        <w:tc>
          <w:tcPr>
            <w:tcW w:w="1843" w:type="dxa"/>
            <w:shd w:val="clear" w:color="auto" w:fill="C6EFCE"/>
            <w:noWrap/>
            <w:vAlign w:val="center"/>
          </w:tcPr>
          <w:p w14:paraId="136596FC" w14:textId="0AC424BC" w:rsidR="00154E32" w:rsidRDefault="00A43E04">
            <w:pPr>
              <w:pStyle w:val="P68B1DB1-Normal11"/>
              <w:jc w:val="center"/>
              <w:rPr>
                <w:noProof/>
              </w:rPr>
            </w:pPr>
            <w:r>
              <w:rPr>
                <w:noProof/>
              </w:rPr>
              <w:t>JIH NI</w:t>
            </w:r>
          </w:p>
        </w:tc>
        <w:tc>
          <w:tcPr>
            <w:tcW w:w="1417" w:type="dxa"/>
            <w:shd w:val="clear" w:color="auto" w:fill="C6EFCE"/>
            <w:noWrap/>
            <w:vAlign w:val="center"/>
          </w:tcPr>
          <w:p w14:paraId="3B5DFDDD" w14:textId="21C1EE74" w:rsidR="00154E32" w:rsidRDefault="00A43E04">
            <w:pPr>
              <w:pStyle w:val="P68B1DB1-Normal11"/>
              <w:jc w:val="center"/>
              <w:rPr>
                <w:noProof/>
              </w:rPr>
            </w:pPr>
            <w:r>
              <w:rPr>
                <w:noProof/>
              </w:rPr>
              <w:t>Število</w:t>
            </w:r>
          </w:p>
        </w:tc>
        <w:tc>
          <w:tcPr>
            <w:tcW w:w="1134" w:type="dxa"/>
            <w:shd w:val="clear" w:color="auto" w:fill="C6EFCE"/>
            <w:noWrap/>
            <w:vAlign w:val="center"/>
          </w:tcPr>
          <w:p w14:paraId="1FE0E998" w14:textId="41438D1C" w:rsidR="00154E32" w:rsidRDefault="00A43E04">
            <w:pPr>
              <w:pStyle w:val="P68B1DB1-Normal12"/>
              <w:jc w:val="center"/>
              <w:rPr>
                <w:rFonts w:ascii="Arial Narrow" w:hAnsi="Arial Narrow"/>
                <w:noProof/>
              </w:rPr>
            </w:pPr>
            <w:r>
              <w:rPr>
                <w:rFonts w:ascii="Arial Narrow" w:hAnsi="Arial Narrow"/>
                <w:noProof/>
              </w:rPr>
              <w:t>1</w:t>
            </w:r>
            <w:r>
              <w:rPr>
                <w:noProof/>
              </w:rPr>
              <w:t xml:space="preserve"> </w:t>
            </w:r>
            <w:r>
              <w:rPr>
                <w:rFonts w:ascii="Arial Narrow" w:hAnsi="Arial Narrow"/>
                <w:noProof/>
              </w:rPr>
              <w:t>000</w:t>
            </w:r>
          </w:p>
        </w:tc>
        <w:tc>
          <w:tcPr>
            <w:tcW w:w="946" w:type="dxa"/>
            <w:shd w:val="clear" w:color="auto" w:fill="C6EFCE"/>
            <w:noWrap/>
            <w:vAlign w:val="center"/>
          </w:tcPr>
          <w:p w14:paraId="126E2BB0" w14:textId="4A7F3ADD" w:rsidR="00154E32" w:rsidRDefault="00A43E04">
            <w:pPr>
              <w:pStyle w:val="P68B1DB1-Normal12"/>
              <w:jc w:val="center"/>
              <w:rPr>
                <w:rFonts w:ascii="Arial Narrow" w:hAnsi="Arial Narrow"/>
                <w:noProof/>
              </w:rPr>
            </w:pPr>
            <w:r>
              <w:rPr>
                <w:rFonts w:ascii="Arial Narrow" w:hAnsi="Arial Narrow"/>
                <w:noProof/>
              </w:rPr>
              <w:t>4</w:t>
            </w:r>
            <w:r>
              <w:rPr>
                <w:noProof/>
              </w:rPr>
              <w:t xml:space="preserve"> </w:t>
            </w:r>
            <w:r>
              <w:rPr>
                <w:rFonts w:ascii="Arial Narrow" w:hAnsi="Arial Narrow"/>
                <w:noProof/>
              </w:rPr>
              <w:t>000</w:t>
            </w:r>
          </w:p>
        </w:tc>
        <w:tc>
          <w:tcPr>
            <w:tcW w:w="992" w:type="dxa"/>
            <w:shd w:val="clear" w:color="auto" w:fill="C6EFCE"/>
            <w:noWrap/>
            <w:vAlign w:val="center"/>
          </w:tcPr>
          <w:p w14:paraId="278EACA5" w14:textId="4F717012" w:rsidR="00154E32" w:rsidRDefault="00A43E04">
            <w:pPr>
              <w:pStyle w:val="P68B1DB1-Normal11"/>
              <w:jc w:val="center"/>
              <w:rPr>
                <w:noProof/>
              </w:rPr>
            </w:pPr>
            <w:r>
              <w:rPr>
                <w:noProof/>
              </w:rPr>
              <w:t>Q2</w:t>
            </w:r>
          </w:p>
        </w:tc>
        <w:tc>
          <w:tcPr>
            <w:tcW w:w="756" w:type="dxa"/>
            <w:shd w:val="clear" w:color="auto" w:fill="C6EFCE"/>
            <w:noWrap/>
            <w:vAlign w:val="center"/>
          </w:tcPr>
          <w:p w14:paraId="27820824" w14:textId="4DE54226" w:rsidR="00154E32" w:rsidRDefault="00A43E04">
            <w:pPr>
              <w:pStyle w:val="P68B1DB1-Normal11"/>
              <w:jc w:val="center"/>
              <w:rPr>
                <w:noProof/>
              </w:rPr>
            </w:pPr>
            <w:r>
              <w:rPr>
                <w:noProof/>
              </w:rPr>
              <w:t>2026</w:t>
            </w:r>
          </w:p>
        </w:tc>
        <w:tc>
          <w:tcPr>
            <w:tcW w:w="2793" w:type="dxa"/>
            <w:shd w:val="clear" w:color="auto" w:fill="C6EFCE"/>
            <w:noWrap/>
            <w:vAlign w:val="center"/>
          </w:tcPr>
          <w:p w14:paraId="427F0A85" w14:textId="7D4016D5" w:rsidR="00154E32" w:rsidRDefault="00A43E04">
            <w:pPr>
              <w:pStyle w:val="P68B1DB1-Normal12"/>
              <w:rPr>
                <w:rFonts w:ascii="Arial Narrow" w:hAnsi="Arial Narrow"/>
                <w:noProof/>
              </w:rPr>
            </w:pPr>
            <w:r>
              <w:rPr>
                <w:rFonts w:ascii="Arial Narrow" w:hAnsi="Arial Narrow"/>
                <w:noProof/>
              </w:rPr>
              <w:t>Povečanje zmogljivosti omrežja za distribucijo energije iz obnovljivih virov za vsaj 4000</w:t>
            </w:r>
            <w:r>
              <w:rPr>
                <w:noProof/>
              </w:rPr>
              <w:t xml:space="preserve"> </w:t>
            </w:r>
            <w:r>
              <w:rPr>
                <w:rFonts w:ascii="Arial Narrow" w:hAnsi="Arial Narrow"/>
                <w:noProof/>
              </w:rPr>
              <w:t>MW</w:t>
            </w:r>
          </w:p>
        </w:tc>
      </w:tr>
      <w:tr w:rsidR="00154E32" w14:paraId="6742D9D6" w14:textId="77777777">
        <w:trPr>
          <w:trHeight w:val="309"/>
          <w:jc w:val="center"/>
        </w:trPr>
        <w:tc>
          <w:tcPr>
            <w:tcW w:w="1613" w:type="dxa"/>
            <w:shd w:val="clear" w:color="auto" w:fill="C6EFCE"/>
            <w:noWrap/>
            <w:vAlign w:val="center"/>
          </w:tcPr>
          <w:p w14:paraId="3DB72409" w14:textId="58F16B9D" w:rsidR="00154E32" w:rsidRDefault="00A43E04">
            <w:pPr>
              <w:pStyle w:val="P68B1DB1-Normal11"/>
              <w:jc w:val="center"/>
              <w:rPr>
                <w:noProof/>
              </w:rPr>
            </w:pPr>
            <w:r>
              <w:rPr>
                <w:noProof/>
              </w:rPr>
              <w:t>M2C2–11</w:t>
            </w:r>
          </w:p>
        </w:tc>
        <w:tc>
          <w:tcPr>
            <w:tcW w:w="1643" w:type="dxa"/>
            <w:shd w:val="clear" w:color="auto" w:fill="C6EFCE"/>
            <w:noWrap/>
            <w:vAlign w:val="center"/>
          </w:tcPr>
          <w:p w14:paraId="35EE3EA5" w14:textId="40BA5142" w:rsidR="00154E32" w:rsidRDefault="00A43E04">
            <w:pPr>
              <w:pStyle w:val="P68B1DB1-Normal11"/>
              <w:jc w:val="center"/>
              <w:rPr>
                <w:noProof/>
              </w:rPr>
            </w:pPr>
            <w:r>
              <w:rPr>
                <w:noProof/>
              </w:rPr>
              <w:t>Naložba 2.1 Krepitev pametnih omrežij</w:t>
            </w:r>
          </w:p>
        </w:tc>
        <w:tc>
          <w:tcPr>
            <w:tcW w:w="1559" w:type="dxa"/>
            <w:shd w:val="clear" w:color="auto" w:fill="C6EFCE"/>
            <w:noWrap/>
            <w:vAlign w:val="center"/>
          </w:tcPr>
          <w:p w14:paraId="0FE5FD76" w14:textId="46CC280B" w:rsidR="00154E32" w:rsidRDefault="00A43E04">
            <w:pPr>
              <w:pStyle w:val="P68B1DB1-Normal11"/>
              <w:jc w:val="center"/>
              <w:rPr>
                <w:noProof/>
              </w:rPr>
            </w:pPr>
            <w:r>
              <w:rPr>
                <w:noProof/>
              </w:rPr>
              <w:t>Tarča</w:t>
            </w:r>
          </w:p>
        </w:tc>
        <w:tc>
          <w:tcPr>
            <w:tcW w:w="1559" w:type="dxa"/>
            <w:shd w:val="clear" w:color="auto" w:fill="C6EFCE"/>
            <w:noWrap/>
            <w:vAlign w:val="center"/>
          </w:tcPr>
          <w:p w14:paraId="05395038" w14:textId="21290A63" w:rsidR="00154E32" w:rsidRDefault="00A43E04">
            <w:pPr>
              <w:pStyle w:val="P68B1DB1-Normal11"/>
              <w:jc w:val="center"/>
              <w:rPr>
                <w:noProof/>
              </w:rPr>
            </w:pPr>
            <w:r>
              <w:rPr>
                <w:noProof/>
              </w:rPr>
              <w:t>Pametna omrežja – elektrifikacija porabe energije</w:t>
            </w:r>
          </w:p>
        </w:tc>
        <w:tc>
          <w:tcPr>
            <w:tcW w:w="1843" w:type="dxa"/>
            <w:shd w:val="clear" w:color="auto" w:fill="C6EFCE"/>
            <w:noWrap/>
            <w:vAlign w:val="center"/>
          </w:tcPr>
          <w:p w14:paraId="02C7183D" w14:textId="3E802A04" w:rsidR="00154E32" w:rsidRDefault="00A43E04">
            <w:pPr>
              <w:pStyle w:val="P68B1DB1-Normal11"/>
              <w:jc w:val="center"/>
              <w:rPr>
                <w:noProof/>
              </w:rPr>
            </w:pPr>
            <w:r>
              <w:rPr>
                <w:noProof/>
              </w:rPr>
              <w:t>JIH NI</w:t>
            </w:r>
          </w:p>
        </w:tc>
        <w:tc>
          <w:tcPr>
            <w:tcW w:w="1417" w:type="dxa"/>
            <w:shd w:val="clear" w:color="auto" w:fill="C6EFCE"/>
            <w:noWrap/>
            <w:vAlign w:val="center"/>
          </w:tcPr>
          <w:p w14:paraId="2AF98FDD" w14:textId="55D8C22E" w:rsidR="00154E32" w:rsidRDefault="00A43E04">
            <w:pPr>
              <w:pStyle w:val="P68B1DB1-Normal11"/>
              <w:jc w:val="center"/>
              <w:rPr>
                <w:noProof/>
              </w:rPr>
            </w:pPr>
            <w:r>
              <w:rPr>
                <w:noProof/>
              </w:rPr>
              <w:t>Število</w:t>
            </w:r>
          </w:p>
        </w:tc>
        <w:tc>
          <w:tcPr>
            <w:tcW w:w="1134" w:type="dxa"/>
            <w:shd w:val="clear" w:color="auto" w:fill="C6EFCE"/>
            <w:noWrap/>
            <w:vAlign w:val="center"/>
          </w:tcPr>
          <w:p w14:paraId="4310D180" w14:textId="779E39AC" w:rsidR="00154E32" w:rsidRDefault="00A43E04">
            <w:pPr>
              <w:pStyle w:val="P68B1DB1-Normal11"/>
              <w:jc w:val="center"/>
              <w:rPr>
                <w:noProof/>
              </w:rPr>
            </w:pPr>
            <w:r>
              <w:rPr>
                <w:noProof/>
              </w:rPr>
              <w:t>0</w:t>
            </w:r>
          </w:p>
        </w:tc>
        <w:tc>
          <w:tcPr>
            <w:tcW w:w="946" w:type="dxa"/>
            <w:shd w:val="clear" w:color="auto" w:fill="C6EFCE"/>
            <w:noWrap/>
            <w:vAlign w:val="center"/>
          </w:tcPr>
          <w:p w14:paraId="7741FF87" w14:textId="06434783" w:rsidR="00154E32" w:rsidRDefault="00A43E04">
            <w:pPr>
              <w:pStyle w:val="P68B1DB1-Normal11"/>
              <w:jc w:val="center"/>
              <w:rPr>
                <w:noProof/>
              </w:rPr>
            </w:pPr>
            <w:r>
              <w:rPr>
                <w:noProof/>
              </w:rPr>
              <w:t>1 500 000</w:t>
            </w:r>
          </w:p>
        </w:tc>
        <w:tc>
          <w:tcPr>
            <w:tcW w:w="992" w:type="dxa"/>
            <w:shd w:val="clear" w:color="auto" w:fill="C6EFCE"/>
            <w:noWrap/>
            <w:vAlign w:val="center"/>
          </w:tcPr>
          <w:p w14:paraId="39F4CAB1" w14:textId="79224103" w:rsidR="00154E32" w:rsidRDefault="00A43E04">
            <w:pPr>
              <w:pStyle w:val="P68B1DB1-Normal11"/>
              <w:jc w:val="center"/>
              <w:rPr>
                <w:noProof/>
              </w:rPr>
            </w:pPr>
            <w:r>
              <w:rPr>
                <w:noProof/>
              </w:rPr>
              <w:t>Q2</w:t>
            </w:r>
          </w:p>
        </w:tc>
        <w:tc>
          <w:tcPr>
            <w:tcW w:w="756" w:type="dxa"/>
            <w:shd w:val="clear" w:color="auto" w:fill="C6EFCE"/>
            <w:noWrap/>
            <w:vAlign w:val="center"/>
          </w:tcPr>
          <w:p w14:paraId="7F10AA75" w14:textId="32251144" w:rsidR="00154E32" w:rsidRDefault="00A43E04">
            <w:pPr>
              <w:pStyle w:val="P68B1DB1-Normal11"/>
              <w:jc w:val="center"/>
              <w:rPr>
                <w:noProof/>
              </w:rPr>
            </w:pPr>
            <w:r>
              <w:rPr>
                <w:noProof/>
              </w:rPr>
              <w:t>2026</w:t>
            </w:r>
          </w:p>
        </w:tc>
        <w:tc>
          <w:tcPr>
            <w:tcW w:w="2793" w:type="dxa"/>
            <w:shd w:val="clear" w:color="auto" w:fill="C6EFCE"/>
            <w:noWrap/>
            <w:vAlign w:val="center"/>
          </w:tcPr>
          <w:p w14:paraId="3D68599E" w14:textId="4C01AD8C" w:rsidR="00154E32" w:rsidRDefault="00A43E04">
            <w:pPr>
              <w:pStyle w:val="P68B1DB1-Normal12"/>
              <w:rPr>
                <w:rFonts w:ascii="Arial Narrow" w:hAnsi="Arial Narrow"/>
                <w:noProof/>
              </w:rPr>
            </w:pPr>
            <w:r>
              <w:rPr>
                <w:rFonts w:ascii="Arial Narrow" w:hAnsi="Arial Narrow"/>
                <w:noProof/>
              </w:rPr>
              <w:t>Elektrifikacija porabe energije, ki ima vsaj</w:t>
            </w:r>
            <w:r>
              <w:rPr>
                <w:noProof/>
              </w:rPr>
              <w:t xml:space="preserve">  </w:t>
            </w:r>
            <w:r>
              <w:rPr>
                <w:rFonts w:ascii="Arial Narrow" w:hAnsi="Arial Narrow"/>
                <w:noProof/>
              </w:rPr>
              <w:t>1500000 prebivalcev</w:t>
            </w:r>
          </w:p>
        </w:tc>
      </w:tr>
      <w:tr w:rsidR="00154E32" w14:paraId="62D0B581" w14:textId="77777777">
        <w:trPr>
          <w:trHeight w:val="309"/>
          <w:jc w:val="center"/>
        </w:trPr>
        <w:tc>
          <w:tcPr>
            <w:tcW w:w="1613" w:type="dxa"/>
            <w:shd w:val="clear" w:color="auto" w:fill="C6EFCE"/>
            <w:noWrap/>
            <w:vAlign w:val="center"/>
          </w:tcPr>
          <w:p w14:paraId="742578EB" w14:textId="5AA502E6" w:rsidR="00154E32" w:rsidRDefault="00A43E04">
            <w:pPr>
              <w:pStyle w:val="P68B1DB1-Normal11"/>
              <w:jc w:val="center"/>
              <w:rPr>
                <w:noProof/>
              </w:rPr>
            </w:pPr>
            <w:r>
              <w:rPr>
                <w:noProof/>
              </w:rPr>
              <w:t>M2C2–13</w:t>
            </w:r>
          </w:p>
        </w:tc>
        <w:tc>
          <w:tcPr>
            <w:tcW w:w="1643" w:type="dxa"/>
            <w:shd w:val="clear" w:color="auto" w:fill="C6EFCE"/>
            <w:noWrap/>
            <w:vAlign w:val="center"/>
          </w:tcPr>
          <w:p w14:paraId="5C9CD7F7" w14:textId="076D1E48" w:rsidR="00154E32" w:rsidRDefault="00A43E04">
            <w:pPr>
              <w:pStyle w:val="P68B1DB1-Normal11"/>
              <w:jc w:val="center"/>
              <w:rPr>
                <w:noProof/>
              </w:rPr>
            </w:pPr>
            <w:r>
              <w:rPr>
                <w:noProof/>
              </w:rPr>
              <w:t>Naložba 2.2 Intervencije za povečanje odpornosti električnega omrežja</w:t>
            </w:r>
          </w:p>
        </w:tc>
        <w:tc>
          <w:tcPr>
            <w:tcW w:w="1559" w:type="dxa"/>
            <w:shd w:val="clear" w:color="auto" w:fill="C6EFCE"/>
            <w:noWrap/>
            <w:vAlign w:val="center"/>
          </w:tcPr>
          <w:p w14:paraId="08160935" w14:textId="002F52C7" w:rsidR="00154E32" w:rsidRDefault="00A43E04">
            <w:pPr>
              <w:pStyle w:val="P68B1DB1-Normal11"/>
              <w:jc w:val="center"/>
              <w:rPr>
                <w:noProof/>
              </w:rPr>
            </w:pPr>
            <w:r>
              <w:rPr>
                <w:noProof/>
              </w:rPr>
              <w:t>Tarča</w:t>
            </w:r>
          </w:p>
        </w:tc>
        <w:tc>
          <w:tcPr>
            <w:tcW w:w="1559" w:type="dxa"/>
            <w:shd w:val="clear" w:color="auto" w:fill="C6EFCE"/>
            <w:noWrap/>
            <w:vAlign w:val="center"/>
          </w:tcPr>
          <w:p w14:paraId="506BEE00" w14:textId="32874C9F" w:rsidR="00154E32" w:rsidRDefault="00A43E04">
            <w:pPr>
              <w:pStyle w:val="P68B1DB1-Normal11"/>
              <w:jc w:val="center"/>
              <w:rPr>
                <w:noProof/>
              </w:rPr>
            </w:pPr>
            <w:r>
              <w:rPr>
                <w:noProof/>
              </w:rPr>
              <w:t>Povečanje odpornosti omrežja elektroenergetskega sistema</w:t>
            </w:r>
          </w:p>
        </w:tc>
        <w:tc>
          <w:tcPr>
            <w:tcW w:w="1843" w:type="dxa"/>
            <w:shd w:val="clear" w:color="auto" w:fill="C6EFCE"/>
            <w:noWrap/>
            <w:vAlign w:val="center"/>
          </w:tcPr>
          <w:p w14:paraId="5796553C" w14:textId="0B934FAD" w:rsidR="00154E32" w:rsidRDefault="00A43E04">
            <w:pPr>
              <w:pStyle w:val="P68B1DB1-Normal11"/>
              <w:jc w:val="center"/>
              <w:rPr>
                <w:noProof/>
              </w:rPr>
            </w:pPr>
            <w:r>
              <w:rPr>
                <w:noProof/>
              </w:rPr>
              <w:t>JIH NI</w:t>
            </w:r>
          </w:p>
        </w:tc>
        <w:tc>
          <w:tcPr>
            <w:tcW w:w="1417" w:type="dxa"/>
            <w:shd w:val="clear" w:color="auto" w:fill="C6EFCE"/>
            <w:noWrap/>
            <w:vAlign w:val="center"/>
          </w:tcPr>
          <w:p w14:paraId="3D50B377" w14:textId="2D644E88" w:rsidR="00154E32" w:rsidRDefault="00A43E04">
            <w:pPr>
              <w:pStyle w:val="P68B1DB1-Normal11"/>
              <w:jc w:val="center"/>
              <w:rPr>
                <w:noProof/>
              </w:rPr>
            </w:pPr>
            <w:r>
              <w:rPr>
                <w:noProof/>
              </w:rPr>
              <w:t>Število</w:t>
            </w:r>
          </w:p>
        </w:tc>
        <w:tc>
          <w:tcPr>
            <w:tcW w:w="1134" w:type="dxa"/>
            <w:shd w:val="clear" w:color="auto" w:fill="C6EFCE"/>
            <w:noWrap/>
            <w:vAlign w:val="center"/>
          </w:tcPr>
          <w:p w14:paraId="5C01BFCF" w14:textId="7C257119" w:rsidR="00154E32" w:rsidRDefault="00A43E04">
            <w:pPr>
              <w:pStyle w:val="P68B1DB1-Normal11"/>
              <w:jc w:val="center"/>
              <w:rPr>
                <w:noProof/>
              </w:rPr>
            </w:pPr>
            <w:r>
              <w:rPr>
                <w:noProof/>
              </w:rPr>
              <w:t>0</w:t>
            </w:r>
          </w:p>
        </w:tc>
        <w:tc>
          <w:tcPr>
            <w:tcW w:w="946" w:type="dxa"/>
            <w:shd w:val="clear" w:color="auto" w:fill="C6EFCE"/>
            <w:noWrap/>
            <w:vAlign w:val="center"/>
          </w:tcPr>
          <w:p w14:paraId="4A285166" w14:textId="53C66589" w:rsidR="00154E32" w:rsidRDefault="00A43E04">
            <w:pPr>
              <w:pStyle w:val="P68B1DB1-Normal11"/>
              <w:jc w:val="center"/>
              <w:rPr>
                <w:noProof/>
              </w:rPr>
            </w:pPr>
            <w:r>
              <w:rPr>
                <w:noProof/>
              </w:rPr>
              <w:t>4 000</w:t>
            </w:r>
          </w:p>
        </w:tc>
        <w:tc>
          <w:tcPr>
            <w:tcW w:w="992" w:type="dxa"/>
            <w:shd w:val="clear" w:color="auto" w:fill="C6EFCE"/>
            <w:noWrap/>
            <w:vAlign w:val="center"/>
          </w:tcPr>
          <w:p w14:paraId="07C790CC" w14:textId="5890A751" w:rsidR="00154E32" w:rsidRDefault="00A43E04">
            <w:pPr>
              <w:pStyle w:val="P68B1DB1-Normal11"/>
              <w:jc w:val="center"/>
              <w:rPr>
                <w:noProof/>
              </w:rPr>
            </w:pPr>
            <w:r>
              <w:rPr>
                <w:noProof/>
              </w:rPr>
              <w:t>Q2</w:t>
            </w:r>
          </w:p>
        </w:tc>
        <w:tc>
          <w:tcPr>
            <w:tcW w:w="756" w:type="dxa"/>
            <w:shd w:val="clear" w:color="auto" w:fill="C6EFCE"/>
            <w:noWrap/>
            <w:vAlign w:val="center"/>
          </w:tcPr>
          <w:p w14:paraId="0E0A9451" w14:textId="406FC2B7" w:rsidR="00154E32" w:rsidRDefault="00A43E04">
            <w:pPr>
              <w:pStyle w:val="P68B1DB1-Normal11"/>
              <w:jc w:val="center"/>
              <w:rPr>
                <w:noProof/>
              </w:rPr>
            </w:pPr>
            <w:r>
              <w:rPr>
                <w:noProof/>
              </w:rPr>
              <w:t>2026</w:t>
            </w:r>
          </w:p>
        </w:tc>
        <w:tc>
          <w:tcPr>
            <w:tcW w:w="2793" w:type="dxa"/>
            <w:shd w:val="clear" w:color="auto" w:fill="C6EFCE"/>
            <w:noWrap/>
            <w:vAlign w:val="center"/>
          </w:tcPr>
          <w:p w14:paraId="46E88F5D" w14:textId="7AB9A943" w:rsidR="00154E32" w:rsidRDefault="00A43E04">
            <w:pPr>
              <w:pStyle w:val="P68B1DB1-Normal12"/>
              <w:rPr>
                <w:rFonts w:ascii="Arial Narrow" w:hAnsi="Arial Narrow"/>
                <w:noProof/>
              </w:rPr>
            </w:pPr>
            <w:r>
              <w:rPr>
                <w:rFonts w:ascii="Arial Narrow" w:hAnsi="Arial Narrow"/>
                <w:noProof/>
              </w:rPr>
              <w:t>Povečanje odpornosti vsaj 4000</w:t>
            </w:r>
            <w:r>
              <w:rPr>
                <w:noProof/>
              </w:rPr>
              <w:t xml:space="preserve"> </w:t>
            </w:r>
            <w:r>
              <w:rPr>
                <w:rFonts w:ascii="Arial Narrow" w:hAnsi="Arial Narrow"/>
                <w:noProof/>
              </w:rPr>
              <w:t>km v elektroenergetskem omrežju, da se zmanjša pogostost in trajanje zmanjšanja energije, ki je posledica skrajnih vremenskih razmer.</w:t>
            </w:r>
          </w:p>
        </w:tc>
      </w:tr>
      <w:tr w:rsidR="00154E32" w14:paraId="491CFFF7" w14:textId="77777777">
        <w:trPr>
          <w:trHeight w:val="309"/>
          <w:jc w:val="center"/>
        </w:trPr>
        <w:tc>
          <w:tcPr>
            <w:tcW w:w="1613" w:type="dxa"/>
            <w:shd w:val="clear" w:color="auto" w:fill="C6EFCE"/>
            <w:noWrap/>
            <w:vAlign w:val="center"/>
          </w:tcPr>
          <w:p w14:paraId="7A1D3E96" w14:textId="65109C2D" w:rsidR="00154E32" w:rsidRDefault="00A43E04">
            <w:pPr>
              <w:pStyle w:val="P68B1DB1-Normal11"/>
              <w:jc w:val="center"/>
              <w:rPr>
                <w:noProof/>
              </w:rPr>
            </w:pPr>
            <w:r>
              <w:rPr>
                <w:noProof/>
              </w:rPr>
              <w:t>M2C2–15</w:t>
            </w:r>
          </w:p>
        </w:tc>
        <w:tc>
          <w:tcPr>
            <w:tcW w:w="1643" w:type="dxa"/>
            <w:shd w:val="clear" w:color="auto" w:fill="C6EFCE"/>
            <w:noWrap/>
            <w:vAlign w:val="center"/>
          </w:tcPr>
          <w:p w14:paraId="4EF6FB73" w14:textId="4944460F" w:rsidR="00154E32" w:rsidRDefault="00A43E04">
            <w:pPr>
              <w:pStyle w:val="P68B1DB1-Normal11"/>
              <w:jc w:val="center"/>
              <w:rPr>
                <w:noProof/>
              </w:rPr>
            </w:pPr>
            <w:r>
              <w:rPr>
                <w:noProof/>
              </w:rPr>
              <w:t>Naložba 3.3 Preizkus vodika za cestni promet</w:t>
            </w:r>
          </w:p>
        </w:tc>
        <w:tc>
          <w:tcPr>
            <w:tcW w:w="1559" w:type="dxa"/>
            <w:shd w:val="clear" w:color="auto" w:fill="C6EFCE"/>
            <w:noWrap/>
            <w:vAlign w:val="center"/>
          </w:tcPr>
          <w:p w14:paraId="74194776" w14:textId="5B4093E0" w:rsidR="00154E32" w:rsidRDefault="00A43E04">
            <w:pPr>
              <w:pStyle w:val="P68B1DB1-Normal11"/>
              <w:jc w:val="center"/>
              <w:rPr>
                <w:noProof/>
              </w:rPr>
            </w:pPr>
            <w:r>
              <w:rPr>
                <w:noProof/>
              </w:rPr>
              <w:t>Tarča</w:t>
            </w:r>
          </w:p>
        </w:tc>
        <w:tc>
          <w:tcPr>
            <w:tcW w:w="1559" w:type="dxa"/>
            <w:shd w:val="clear" w:color="auto" w:fill="C6EFCE"/>
            <w:noWrap/>
            <w:vAlign w:val="center"/>
          </w:tcPr>
          <w:p w14:paraId="08D76E29" w14:textId="5775DDD4" w:rsidR="00154E32" w:rsidRDefault="00A43E04">
            <w:pPr>
              <w:pStyle w:val="P68B1DB1-Normal11"/>
              <w:jc w:val="center"/>
              <w:rPr>
                <w:noProof/>
              </w:rPr>
            </w:pPr>
            <w:r>
              <w:rPr>
                <w:noProof/>
              </w:rPr>
              <w:t>Razvoj polnilnih postaj na osnovi vodika</w:t>
            </w:r>
          </w:p>
        </w:tc>
        <w:tc>
          <w:tcPr>
            <w:tcW w:w="1843" w:type="dxa"/>
            <w:shd w:val="clear" w:color="auto" w:fill="C6EFCE"/>
            <w:noWrap/>
            <w:vAlign w:val="center"/>
          </w:tcPr>
          <w:p w14:paraId="4BA9CAC6" w14:textId="5FCBE59B" w:rsidR="00154E32" w:rsidRDefault="00A43E04">
            <w:pPr>
              <w:pStyle w:val="P68B1DB1-Normal11"/>
              <w:jc w:val="center"/>
              <w:rPr>
                <w:noProof/>
              </w:rPr>
            </w:pPr>
            <w:r>
              <w:rPr>
                <w:noProof/>
              </w:rPr>
              <w:t>JIH NI</w:t>
            </w:r>
          </w:p>
        </w:tc>
        <w:tc>
          <w:tcPr>
            <w:tcW w:w="1417" w:type="dxa"/>
            <w:shd w:val="clear" w:color="auto" w:fill="C6EFCE"/>
            <w:noWrap/>
            <w:vAlign w:val="center"/>
          </w:tcPr>
          <w:p w14:paraId="4BD4EA64" w14:textId="2C34521D" w:rsidR="00154E32" w:rsidRDefault="00A43E04">
            <w:pPr>
              <w:pStyle w:val="P68B1DB1-Normal11"/>
              <w:jc w:val="center"/>
              <w:rPr>
                <w:noProof/>
              </w:rPr>
            </w:pPr>
            <w:r>
              <w:rPr>
                <w:noProof/>
              </w:rPr>
              <w:t>Število</w:t>
            </w:r>
          </w:p>
        </w:tc>
        <w:tc>
          <w:tcPr>
            <w:tcW w:w="1134" w:type="dxa"/>
            <w:shd w:val="clear" w:color="auto" w:fill="C6EFCE"/>
            <w:noWrap/>
            <w:vAlign w:val="center"/>
          </w:tcPr>
          <w:p w14:paraId="4230DDB6" w14:textId="6E3EDE1A" w:rsidR="00154E32" w:rsidRDefault="00A43E04">
            <w:pPr>
              <w:pStyle w:val="P68B1DB1-Normal11"/>
              <w:jc w:val="center"/>
              <w:rPr>
                <w:noProof/>
              </w:rPr>
            </w:pPr>
            <w:r>
              <w:rPr>
                <w:noProof/>
              </w:rPr>
              <w:t>0</w:t>
            </w:r>
          </w:p>
        </w:tc>
        <w:tc>
          <w:tcPr>
            <w:tcW w:w="946" w:type="dxa"/>
            <w:shd w:val="clear" w:color="auto" w:fill="C6EFCE"/>
            <w:noWrap/>
            <w:vAlign w:val="center"/>
          </w:tcPr>
          <w:p w14:paraId="67B671B9" w14:textId="7CDB74CB" w:rsidR="00154E32" w:rsidRDefault="00A43E04">
            <w:pPr>
              <w:pStyle w:val="P68B1DB1-Normal11"/>
              <w:jc w:val="center"/>
              <w:rPr>
                <w:noProof/>
              </w:rPr>
            </w:pPr>
            <w:r>
              <w:rPr>
                <w:noProof/>
              </w:rPr>
              <w:t>40</w:t>
            </w:r>
          </w:p>
        </w:tc>
        <w:tc>
          <w:tcPr>
            <w:tcW w:w="992" w:type="dxa"/>
            <w:shd w:val="clear" w:color="auto" w:fill="C6EFCE"/>
            <w:noWrap/>
            <w:vAlign w:val="center"/>
          </w:tcPr>
          <w:p w14:paraId="5D35A18B" w14:textId="0A1C7893" w:rsidR="00154E32" w:rsidRDefault="00A43E04">
            <w:pPr>
              <w:pStyle w:val="P68B1DB1-Normal11"/>
              <w:jc w:val="center"/>
              <w:rPr>
                <w:noProof/>
              </w:rPr>
            </w:pPr>
            <w:r>
              <w:rPr>
                <w:noProof/>
              </w:rPr>
              <w:t>Q2</w:t>
            </w:r>
          </w:p>
        </w:tc>
        <w:tc>
          <w:tcPr>
            <w:tcW w:w="756" w:type="dxa"/>
            <w:shd w:val="clear" w:color="auto" w:fill="C6EFCE"/>
            <w:noWrap/>
            <w:vAlign w:val="center"/>
          </w:tcPr>
          <w:p w14:paraId="6D833B71" w14:textId="014A5761" w:rsidR="00154E32" w:rsidRDefault="00A43E04">
            <w:pPr>
              <w:pStyle w:val="P68B1DB1-Normal11"/>
              <w:jc w:val="center"/>
              <w:rPr>
                <w:noProof/>
              </w:rPr>
            </w:pPr>
            <w:r>
              <w:rPr>
                <w:noProof/>
              </w:rPr>
              <w:t>2026</w:t>
            </w:r>
          </w:p>
        </w:tc>
        <w:tc>
          <w:tcPr>
            <w:tcW w:w="2793" w:type="dxa"/>
            <w:shd w:val="clear" w:color="auto" w:fill="C6EFCE"/>
            <w:noWrap/>
            <w:vAlign w:val="center"/>
          </w:tcPr>
          <w:p w14:paraId="1C06CBA7" w14:textId="77777777" w:rsidR="00154E32" w:rsidRDefault="00A43E04">
            <w:pPr>
              <w:pStyle w:val="P68B1DB1-Normal11"/>
              <w:spacing w:after="120"/>
              <w:rPr>
                <w:noProof/>
              </w:rPr>
            </w:pPr>
            <w:r>
              <w:rPr>
                <w:noProof/>
              </w:rPr>
              <w:t>Razvoj vsaj 40 polnilnih postaj na osnovi vodika za lahka in težka vozila v skladu z Direktivo 2014/94/EU</w:t>
            </w:r>
          </w:p>
          <w:p w14:paraId="5E8C581C" w14:textId="77777777" w:rsidR="00154E32" w:rsidRDefault="00154E32">
            <w:pPr>
              <w:rPr>
                <w:rFonts w:ascii="Arial Narrow" w:hAnsi="Arial Narrow"/>
                <w:noProof/>
                <w:sz w:val="20"/>
              </w:rPr>
            </w:pPr>
          </w:p>
        </w:tc>
      </w:tr>
      <w:tr w:rsidR="00154E32" w14:paraId="7EA35CAD" w14:textId="77777777">
        <w:trPr>
          <w:trHeight w:val="309"/>
          <w:jc w:val="center"/>
        </w:trPr>
        <w:tc>
          <w:tcPr>
            <w:tcW w:w="1613" w:type="dxa"/>
            <w:shd w:val="clear" w:color="auto" w:fill="C6EFCE"/>
            <w:noWrap/>
            <w:vAlign w:val="center"/>
          </w:tcPr>
          <w:p w14:paraId="21E19A8D" w14:textId="3B523E6E" w:rsidR="00154E32" w:rsidRDefault="00A43E04">
            <w:pPr>
              <w:pStyle w:val="P68B1DB1-Normal11"/>
              <w:jc w:val="center"/>
              <w:rPr>
                <w:noProof/>
              </w:rPr>
            </w:pPr>
            <w:r>
              <w:rPr>
                <w:noProof/>
              </w:rPr>
              <w:t>M2C2–17</w:t>
            </w:r>
          </w:p>
        </w:tc>
        <w:tc>
          <w:tcPr>
            <w:tcW w:w="1643" w:type="dxa"/>
            <w:shd w:val="clear" w:color="auto" w:fill="C6EFCE"/>
            <w:noWrap/>
            <w:vAlign w:val="center"/>
          </w:tcPr>
          <w:p w14:paraId="66F2D814" w14:textId="5D31E876" w:rsidR="00154E32" w:rsidRDefault="00A43E04">
            <w:pPr>
              <w:pStyle w:val="P68B1DB1-Normal11"/>
              <w:jc w:val="center"/>
              <w:rPr>
                <w:noProof/>
              </w:rPr>
            </w:pPr>
            <w:r>
              <w:rPr>
                <w:noProof/>
              </w:rPr>
              <w:t>Naložba 3.4 Preizkus vodika za mobilnost v železniškem prometu</w:t>
            </w:r>
          </w:p>
        </w:tc>
        <w:tc>
          <w:tcPr>
            <w:tcW w:w="1559" w:type="dxa"/>
            <w:shd w:val="clear" w:color="auto" w:fill="C6EFCE"/>
            <w:noWrap/>
            <w:vAlign w:val="center"/>
          </w:tcPr>
          <w:p w14:paraId="0D5874B3" w14:textId="5EAFE349" w:rsidR="00154E32" w:rsidRDefault="00A43E04">
            <w:pPr>
              <w:pStyle w:val="P68B1DB1-Normal11"/>
              <w:jc w:val="center"/>
              <w:rPr>
                <w:noProof/>
              </w:rPr>
            </w:pPr>
            <w:r>
              <w:rPr>
                <w:noProof/>
              </w:rPr>
              <w:t>Tarča</w:t>
            </w:r>
          </w:p>
        </w:tc>
        <w:tc>
          <w:tcPr>
            <w:tcW w:w="1559" w:type="dxa"/>
            <w:shd w:val="clear" w:color="auto" w:fill="C6EFCE"/>
            <w:noWrap/>
            <w:vAlign w:val="center"/>
          </w:tcPr>
          <w:p w14:paraId="1581AD0E" w14:textId="1CAF615B" w:rsidR="00154E32" w:rsidRDefault="00A43E04">
            <w:pPr>
              <w:pStyle w:val="P68B1DB1-Normal11"/>
              <w:jc w:val="center"/>
              <w:rPr>
                <w:noProof/>
              </w:rPr>
            </w:pPr>
            <w:r>
              <w:rPr>
                <w:noProof/>
              </w:rPr>
              <w:t>Število oskrbovalnih postaj za vodik</w:t>
            </w:r>
          </w:p>
        </w:tc>
        <w:tc>
          <w:tcPr>
            <w:tcW w:w="1843" w:type="dxa"/>
            <w:shd w:val="clear" w:color="auto" w:fill="C6EFCE"/>
            <w:noWrap/>
            <w:vAlign w:val="center"/>
          </w:tcPr>
          <w:p w14:paraId="2AD8A424" w14:textId="0F36A0E0" w:rsidR="00154E32" w:rsidRDefault="00A43E04">
            <w:pPr>
              <w:pStyle w:val="P68B1DB1-Normal11"/>
              <w:jc w:val="center"/>
              <w:rPr>
                <w:noProof/>
              </w:rPr>
            </w:pPr>
            <w:r>
              <w:rPr>
                <w:noProof/>
              </w:rPr>
              <w:t>JIH NI</w:t>
            </w:r>
          </w:p>
        </w:tc>
        <w:tc>
          <w:tcPr>
            <w:tcW w:w="1417" w:type="dxa"/>
            <w:shd w:val="clear" w:color="auto" w:fill="C6EFCE"/>
            <w:noWrap/>
            <w:vAlign w:val="center"/>
          </w:tcPr>
          <w:p w14:paraId="541DB971" w14:textId="3DC6696C" w:rsidR="00154E32" w:rsidRDefault="00A43E04">
            <w:pPr>
              <w:pStyle w:val="P68B1DB1-Normal11"/>
              <w:jc w:val="center"/>
              <w:rPr>
                <w:noProof/>
              </w:rPr>
            </w:pPr>
            <w:r>
              <w:rPr>
                <w:noProof/>
              </w:rPr>
              <w:t>Število</w:t>
            </w:r>
          </w:p>
        </w:tc>
        <w:tc>
          <w:tcPr>
            <w:tcW w:w="1134" w:type="dxa"/>
            <w:shd w:val="clear" w:color="auto" w:fill="C6EFCE"/>
            <w:noWrap/>
            <w:vAlign w:val="center"/>
          </w:tcPr>
          <w:p w14:paraId="135FFF04" w14:textId="7FC728FA" w:rsidR="00154E32" w:rsidRDefault="00A43E04">
            <w:pPr>
              <w:pStyle w:val="P68B1DB1-Normal11"/>
              <w:jc w:val="center"/>
              <w:rPr>
                <w:noProof/>
              </w:rPr>
            </w:pPr>
            <w:r>
              <w:rPr>
                <w:noProof/>
              </w:rPr>
              <w:t>0</w:t>
            </w:r>
          </w:p>
        </w:tc>
        <w:tc>
          <w:tcPr>
            <w:tcW w:w="946" w:type="dxa"/>
            <w:shd w:val="clear" w:color="auto" w:fill="C6EFCE"/>
            <w:noWrap/>
            <w:vAlign w:val="center"/>
          </w:tcPr>
          <w:p w14:paraId="64C7038F" w14:textId="167BE95F" w:rsidR="00154E32" w:rsidRDefault="00A43E04">
            <w:pPr>
              <w:pStyle w:val="P68B1DB1-Normal11"/>
              <w:jc w:val="center"/>
              <w:rPr>
                <w:noProof/>
              </w:rPr>
            </w:pPr>
            <w:r>
              <w:rPr>
                <w:noProof/>
              </w:rPr>
              <w:t>10</w:t>
            </w:r>
          </w:p>
        </w:tc>
        <w:tc>
          <w:tcPr>
            <w:tcW w:w="992" w:type="dxa"/>
            <w:shd w:val="clear" w:color="auto" w:fill="C6EFCE"/>
            <w:noWrap/>
            <w:vAlign w:val="center"/>
          </w:tcPr>
          <w:p w14:paraId="41E06D40" w14:textId="2AB4A061" w:rsidR="00154E32" w:rsidRDefault="00A43E04">
            <w:pPr>
              <w:pStyle w:val="P68B1DB1-Normal11"/>
              <w:jc w:val="center"/>
              <w:rPr>
                <w:noProof/>
              </w:rPr>
            </w:pPr>
            <w:r>
              <w:rPr>
                <w:noProof/>
              </w:rPr>
              <w:t>Q2</w:t>
            </w:r>
          </w:p>
        </w:tc>
        <w:tc>
          <w:tcPr>
            <w:tcW w:w="756" w:type="dxa"/>
            <w:shd w:val="clear" w:color="auto" w:fill="C6EFCE"/>
            <w:noWrap/>
            <w:vAlign w:val="center"/>
          </w:tcPr>
          <w:p w14:paraId="59CC0418" w14:textId="6E796BEC" w:rsidR="00154E32" w:rsidRDefault="00A43E04">
            <w:pPr>
              <w:pStyle w:val="P68B1DB1-Normal11"/>
              <w:jc w:val="center"/>
              <w:rPr>
                <w:noProof/>
              </w:rPr>
            </w:pPr>
            <w:r>
              <w:rPr>
                <w:noProof/>
              </w:rPr>
              <w:t>2026</w:t>
            </w:r>
          </w:p>
        </w:tc>
        <w:tc>
          <w:tcPr>
            <w:tcW w:w="2793" w:type="dxa"/>
            <w:shd w:val="clear" w:color="auto" w:fill="C6EFCE"/>
            <w:noWrap/>
            <w:vAlign w:val="center"/>
          </w:tcPr>
          <w:p w14:paraId="02C5F061" w14:textId="629DF835" w:rsidR="00154E32" w:rsidRDefault="00A43E04">
            <w:pPr>
              <w:pStyle w:val="P68B1DB1-Normal11"/>
              <w:spacing w:after="120"/>
              <w:rPr>
                <w:noProof/>
              </w:rPr>
            </w:pPr>
            <w:r>
              <w:rPr>
                <w:noProof/>
              </w:rPr>
              <w:t>Zgraditi deset oskrbovalnih postaj za železnice, ki temeljijo na vodiku, vzdolž šestih železniških prog, ki se opredelijo z javnimi postopki, ki jih določita Ministrstvo za trajnostno mobilnost (MIMS) in ministrstvo za ekološki prehod (MITE).</w:t>
            </w:r>
          </w:p>
        </w:tc>
      </w:tr>
      <w:tr w:rsidR="00154E32" w14:paraId="182B43DF" w14:textId="77777777">
        <w:trPr>
          <w:trHeight w:val="309"/>
          <w:jc w:val="center"/>
        </w:trPr>
        <w:tc>
          <w:tcPr>
            <w:tcW w:w="1613" w:type="dxa"/>
            <w:shd w:val="clear" w:color="auto" w:fill="C6EFCE"/>
            <w:noWrap/>
            <w:vAlign w:val="center"/>
          </w:tcPr>
          <w:p w14:paraId="0B47D30C" w14:textId="6B701A5C" w:rsidR="00154E32" w:rsidRDefault="00A43E04">
            <w:pPr>
              <w:pStyle w:val="P68B1DB1-Normal11"/>
              <w:jc w:val="center"/>
              <w:rPr>
                <w:noProof/>
              </w:rPr>
            </w:pPr>
            <w:r>
              <w:rPr>
                <w:noProof/>
              </w:rPr>
              <w:t>M2C2–19</w:t>
            </w:r>
          </w:p>
        </w:tc>
        <w:tc>
          <w:tcPr>
            <w:tcW w:w="1643" w:type="dxa"/>
            <w:shd w:val="clear" w:color="auto" w:fill="C6EFCE"/>
            <w:noWrap/>
            <w:vAlign w:val="center"/>
          </w:tcPr>
          <w:p w14:paraId="5D781946" w14:textId="46B03DDF" w:rsidR="00154E32" w:rsidRDefault="00A43E04">
            <w:pPr>
              <w:pStyle w:val="P68B1DB1-Normal11"/>
              <w:jc w:val="center"/>
              <w:rPr>
                <w:noProof/>
              </w:rPr>
            </w:pPr>
            <w:r>
              <w:rPr>
                <w:noProof/>
              </w:rPr>
              <w:t>Naložba 3.5 Raziskave in razvoj na področju vodika</w:t>
            </w:r>
          </w:p>
        </w:tc>
        <w:tc>
          <w:tcPr>
            <w:tcW w:w="1559" w:type="dxa"/>
            <w:shd w:val="clear" w:color="auto" w:fill="C6EFCE"/>
            <w:noWrap/>
            <w:vAlign w:val="center"/>
          </w:tcPr>
          <w:p w14:paraId="636E68D2" w14:textId="724276FD" w:rsidR="00154E32" w:rsidRDefault="00A43E04">
            <w:pPr>
              <w:pStyle w:val="P68B1DB1-Normal11"/>
              <w:jc w:val="center"/>
              <w:rPr>
                <w:noProof/>
              </w:rPr>
            </w:pPr>
            <w:r>
              <w:rPr>
                <w:noProof/>
              </w:rPr>
              <w:t>Tarča</w:t>
            </w:r>
          </w:p>
        </w:tc>
        <w:tc>
          <w:tcPr>
            <w:tcW w:w="1559" w:type="dxa"/>
            <w:shd w:val="clear" w:color="auto" w:fill="C6EFCE"/>
            <w:noWrap/>
            <w:vAlign w:val="center"/>
          </w:tcPr>
          <w:p w14:paraId="1DB82AB1" w14:textId="7ADBC616" w:rsidR="00154E32" w:rsidRDefault="00A43E04">
            <w:pPr>
              <w:pStyle w:val="P68B1DB1-Normal11"/>
              <w:jc w:val="center"/>
              <w:rPr>
                <w:noProof/>
              </w:rPr>
            </w:pPr>
            <w:r>
              <w:rPr>
                <w:noProof/>
              </w:rPr>
              <w:t>Število projektov za raziskave in razvoj na področju vodika</w:t>
            </w:r>
          </w:p>
        </w:tc>
        <w:tc>
          <w:tcPr>
            <w:tcW w:w="1843" w:type="dxa"/>
            <w:shd w:val="clear" w:color="auto" w:fill="C6EFCE"/>
            <w:noWrap/>
            <w:vAlign w:val="center"/>
          </w:tcPr>
          <w:p w14:paraId="3D4A7914" w14:textId="5C4B35B3" w:rsidR="00154E32" w:rsidRDefault="00A43E04">
            <w:pPr>
              <w:pStyle w:val="P68B1DB1-Normal11"/>
              <w:jc w:val="center"/>
              <w:rPr>
                <w:noProof/>
              </w:rPr>
            </w:pPr>
            <w:r>
              <w:rPr>
                <w:noProof/>
              </w:rPr>
              <w:t>JIH NI</w:t>
            </w:r>
          </w:p>
        </w:tc>
        <w:tc>
          <w:tcPr>
            <w:tcW w:w="1417" w:type="dxa"/>
            <w:shd w:val="clear" w:color="auto" w:fill="C6EFCE"/>
            <w:noWrap/>
            <w:vAlign w:val="center"/>
          </w:tcPr>
          <w:p w14:paraId="6D13D79E" w14:textId="4C57E9AC" w:rsidR="00154E32" w:rsidRDefault="00A43E04">
            <w:pPr>
              <w:pStyle w:val="P68B1DB1-Normal11"/>
              <w:jc w:val="center"/>
              <w:rPr>
                <w:noProof/>
              </w:rPr>
            </w:pPr>
            <w:r>
              <w:rPr>
                <w:noProof/>
              </w:rPr>
              <w:t>Število</w:t>
            </w:r>
          </w:p>
        </w:tc>
        <w:tc>
          <w:tcPr>
            <w:tcW w:w="1134" w:type="dxa"/>
            <w:shd w:val="clear" w:color="auto" w:fill="C6EFCE"/>
            <w:noWrap/>
            <w:vAlign w:val="center"/>
          </w:tcPr>
          <w:p w14:paraId="2D43C30F" w14:textId="63AC3690" w:rsidR="00154E32" w:rsidRDefault="00A43E04">
            <w:pPr>
              <w:pStyle w:val="P68B1DB1-Normal11"/>
              <w:jc w:val="center"/>
              <w:rPr>
                <w:noProof/>
              </w:rPr>
            </w:pPr>
            <w:r>
              <w:rPr>
                <w:noProof/>
              </w:rPr>
              <w:t>0</w:t>
            </w:r>
          </w:p>
        </w:tc>
        <w:tc>
          <w:tcPr>
            <w:tcW w:w="946" w:type="dxa"/>
            <w:shd w:val="clear" w:color="auto" w:fill="C6EFCE"/>
            <w:noWrap/>
            <w:vAlign w:val="center"/>
          </w:tcPr>
          <w:p w14:paraId="1B9ED744" w14:textId="60B60C4D" w:rsidR="00154E32" w:rsidRDefault="00A43E04">
            <w:pPr>
              <w:pStyle w:val="P68B1DB1-Normal11"/>
              <w:jc w:val="center"/>
              <w:rPr>
                <w:noProof/>
              </w:rPr>
            </w:pPr>
            <w:r>
              <w:rPr>
                <w:noProof/>
              </w:rPr>
              <w:t>10</w:t>
            </w:r>
          </w:p>
        </w:tc>
        <w:tc>
          <w:tcPr>
            <w:tcW w:w="992" w:type="dxa"/>
            <w:shd w:val="clear" w:color="auto" w:fill="C6EFCE"/>
            <w:noWrap/>
            <w:vAlign w:val="center"/>
          </w:tcPr>
          <w:p w14:paraId="37B503C0" w14:textId="4302C595" w:rsidR="00154E32" w:rsidRDefault="00A43E04">
            <w:pPr>
              <w:pStyle w:val="P68B1DB1-Normal11"/>
              <w:jc w:val="center"/>
              <w:rPr>
                <w:noProof/>
              </w:rPr>
            </w:pPr>
            <w:r>
              <w:rPr>
                <w:noProof/>
              </w:rPr>
              <w:t>Q2</w:t>
            </w:r>
          </w:p>
        </w:tc>
        <w:tc>
          <w:tcPr>
            <w:tcW w:w="756" w:type="dxa"/>
            <w:shd w:val="clear" w:color="auto" w:fill="C6EFCE"/>
            <w:noWrap/>
            <w:vAlign w:val="center"/>
          </w:tcPr>
          <w:p w14:paraId="365DB17F" w14:textId="5C62B646" w:rsidR="00154E32" w:rsidRDefault="00A43E04">
            <w:pPr>
              <w:pStyle w:val="P68B1DB1-Normal11"/>
              <w:jc w:val="center"/>
              <w:rPr>
                <w:noProof/>
              </w:rPr>
            </w:pPr>
            <w:r>
              <w:rPr>
                <w:noProof/>
              </w:rPr>
              <w:t>2026</w:t>
            </w:r>
          </w:p>
        </w:tc>
        <w:tc>
          <w:tcPr>
            <w:tcW w:w="2793" w:type="dxa"/>
            <w:shd w:val="clear" w:color="auto" w:fill="C6EFCE"/>
            <w:noWrap/>
            <w:vAlign w:val="center"/>
          </w:tcPr>
          <w:p w14:paraId="51F790C4" w14:textId="77777777" w:rsidR="00154E32" w:rsidRDefault="00A43E04">
            <w:pPr>
              <w:pStyle w:val="P68B1DB1-Normal11"/>
              <w:spacing w:after="120"/>
              <w:rPr>
                <w:noProof/>
              </w:rPr>
            </w:pPr>
            <w:r>
              <w:rPr>
                <w:noProof/>
              </w:rPr>
              <w:t>Vsaj 10 izvedenih projektov na področju raziskav in razvoja (eden za vsako razsežnost raziskav in razvoja v nadaljevanju) in za katere je bilo izdano potrdilo o preskusu ali publikacija</w:t>
            </w:r>
          </w:p>
          <w:p w14:paraId="21799A47" w14:textId="77777777" w:rsidR="00154E32" w:rsidRDefault="00A43E04">
            <w:pPr>
              <w:pStyle w:val="P68B1DB1-Normal11"/>
              <w:spacing w:after="120"/>
              <w:rPr>
                <w:noProof/>
              </w:rPr>
            </w:pPr>
            <w:r>
              <w:rPr>
                <w:noProof/>
              </w:rPr>
              <w:t>Razvijejo se štiri področja dejavnosti na področju raziskav in razvoja, ki se nanašajo na:</w:t>
            </w:r>
          </w:p>
          <w:p w14:paraId="51205EEC" w14:textId="77777777" w:rsidR="00154E32" w:rsidRDefault="00A43E04">
            <w:pPr>
              <w:pStyle w:val="P68B1DB1-Normal11"/>
              <w:spacing w:after="120"/>
              <w:rPr>
                <w:noProof/>
              </w:rPr>
            </w:pPr>
            <w:r>
              <w:rPr>
                <w:noProof/>
              </w:rPr>
              <w:t>a) proizvodnja zelenega in čistega vodika</w:t>
            </w:r>
          </w:p>
          <w:p w14:paraId="61E6685C" w14:textId="77777777" w:rsidR="00154E32" w:rsidRDefault="00A43E04">
            <w:pPr>
              <w:pStyle w:val="P68B1DB1-Normal11"/>
              <w:spacing w:after="120"/>
              <w:rPr>
                <w:noProof/>
              </w:rPr>
            </w:pPr>
            <w:r>
              <w:rPr>
                <w:noProof/>
              </w:rPr>
              <w:t>b) Inovativne tehnologije za shranjevanje, prenos in pretvorbo vodika v derivate in e-goriva</w:t>
            </w:r>
          </w:p>
          <w:p w14:paraId="5F3E8F73" w14:textId="77777777" w:rsidR="00154E32" w:rsidRDefault="00A43E04">
            <w:pPr>
              <w:pStyle w:val="P68B1DB1-Normal11"/>
              <w:spacing w:after="120"/>
              <w:rPr>
                <w:noProof/>
              </w:rPr>
            </w:pPr>
            <w:r>
              <w:rPr>
                <w:noProof/>
              </w:rPr>
              <w:t>C)gorivne celice za stacionarno uporabo in uporabo za mobilnost</w:t>
            </w:r>
          </w:p>
          <w:p w14:paraId="7E121C8B" w14:textId="77777777" w:rsidR="00154E32" w:rsidRDefault="00A43E04">
            <w:pPr>
              <w:pStyle w:val="P68B1DB1-Normal11"/>
              <w:spacing w:after="120"/>
              <w:rPr>
                <w:noProof/>
              </w:rPr>
            </w:pPr>
            <w:r>
              <w:rPr>
                <w:noProof/>
              </w:rPr>
              <w:t>d)integrirani pametni sistemi upravljanja za povečanje odpornosti in zanesljivosti inteligentnih infrastruktur, ki temeljijo na vodiku.</w:t>
            </w:r>
          </w:p>
          <w:p w14:paraId="436F1952" w14:textId="17DE04AC" w:rsidR="00154E32" w:rsidRDefault="00A43E04">
            <w:pPr>
              <w:pStyle w:val="P68B1DB1-Normal11"/>
              <w:rPr>
                <w:noProof/>
              </w:rPr>
            </w:pPr>
            <w:r>
              <w:rPr>
                <w:noProof/>
              </w:rPr>
              <w:t>Ta ukrep podpira proizvodnjo vodika na podlagi elektrolize z uporabo obnovljivih virov energije, kot so opredeljeni v Direktivi (EU) 2018/2001 (direktiva o obnovljivih virih), ali električne energije iz omrežja ali vodikove dejavnosti, ki izpolnjujejo zahtevo glede prihrankov emisij toplogrednih plinov v življenjskem ciklu v višini 73,4 % za vodik [zaradi česar so emisije toplogrednih plinov v življenjskem ciklu nižje od 3 t CO2e/tH2] in 70 % za sintetična goriva na osnovi vodika glede na primerjalno fosilno gorivo 94 g CO2e/MJ po analogiji s pristopom iz člena 25(2) Direktive (EU) 2018/2001 in Priloge V k tej direktivi.</w:t>
            </w:r>
          </w:p>
        </w:tc>
      </w:tr>
      <w:tr w:rsidR="00154E32" w14:paraId="24E4CE3E" w14:textId="77777777">
        <w:trPr>
          <w:trHeight w:val="309"/>
          <w:jc w:val="center"/>
        </w:trPr>
        <w:tc>
          <w:tcPr>
            <w:tcW w:w="1613" w:type="dxa"/>
            <w:shd w:val="clear" w:color="auto" w:fill="C6EFCE"/>
            <w:noWrap/>
            <w:vAlign w:val="center"/>
          </w:tcPr>
          <w:p w14:paraId="05BF0B1F" w14:textId="3C88F07C" w:rsidR="00154E32" w:rsidRDefault="00A43E04">
            <w:pPr>
              <w:pStyle w:val="P68B1DB1-Normal11"/>
              <w:jc w:val="center"/>
              <w:rPr>
                <w:noProof/>
              </w:rPr>
            </w:pPr>
            <w:r>
              <w:rPr>
                <w:noProof/>
              </w:rPr>
              <w:t>M2C2–25</w:t>
            </w:r>
          </w:p>
        </w:tc>
        <w:tc>
          <w:tcPr>
            <w:tcW w:w="1643" w:type="dxa"/>
            <w:shd w:val="clear" w:color="auto" w:fill="C6EFCE"/>
            <w:noWrap/>
            <w:vAlign w:val="center"/>
          </w:tcPr>
          <w:p w14:paraId="0D1A60A8" w14:textId="6C7E9345" w:rsidR="00154E32" w:rsidRDefault="00A43E04">
            <w:pPr>
              <w:pStyle w:val="P68B1DB1-Normal11"/>
              <w:jc w:val="center"/>
              <w:rPr>
                <w:noProof/>
              </w:rPr>
            </w:pPr>
            <w:r>
              <w:rPr>
                <w:noProof/>
              </w:rPr>
              <w:t>Naložba 4.2 Razvoj sistemov hitrega množičnega prevoza (metro, ulična motorna vozila, BRT)</w:t>
            </w:r>
          </w:p>
        </w:tc>
        <w:tc>
          <w:tcPr>
            <w:tcW w:w="1559" w:type="dxa"/>
            <w:shd w:val="clear" w:color="auto" w:fill="C6EFCE"/>
            <w:noWrap/>
            <w:vAlign w:val="center"/>
          </w:tcPr>
          <w:p w14:paraId="47FACFF1" w14:textId="4EE4B02E" w:rsidR="00154E32" w:rsidRDefault="00A43E04">
            <w:pPr>
              <w:pStyle w:val="P68B1DB1-Normal11"/>
              <w:jc w:val="center"/>
              <w:rPr>
                <w:noProof/>
              </w:rPr>
            </w:pPr>
            <w:r>
              <w:rPr>
                <w:noProof/>
              </w:rPr>
              <w:t>Mejnik</w:t>
            </w:r>
          </w:p>
        </w:tc>
        <w:tc>
          <w:tcPr>
            <w:tcW w:w="1559" w:type="dxa"/>
            <w:shd w:val="clear" w:color="auto" w:fill="C6EFCE"/>
            <w:noWrap/>
            <w:vAlign w:val="center"/>
          </w:tcPr>
          <w:p w14:paraId="7C083241" w14:textId="3647C721" w:rsidR="00154E32" w:rsidRDefault="00A43E04">
            <w:pPr>
              <w:pStyle w:val="P68B1DB1-Normal19"/>
              <w:jc w:val="center"/>
              <w:rPr>
                <w:noProof/>
                <w:color w:val="006100"/>
              </w:rPr>
            </w:pPr>
            <w:r>
              <w:rPr>
                <w:noProof/>
                <w:color w:val="006100"/>
              </w:rPr>
              <w:t>Oddaja</w:t>
            </w:r>
            <w:r>
              <w:rPr>
                <w:noProof/>
              </w:rPr>
              <w:t xml:space="preserve"> </w:t>
            </w:r>
            <w:r>
              <w:rPr>
                <w:noProof/>
                <w:color w:val="006100"/>
              </w:rPr>
              <w:t>vseh javnih naročil za nakup brezemisijskih tirnih vozil in posegi za nadgradnjo infrastrukture hitrih sistemov masovnega prometa</w:t>
            </w:r>
          </w:p>
        </w:tc>
        <w:tc>
          <w:tcPr>
            <w:tcW w:w="1843" w:type="dxa"/>
            <w:shd w:val="clear" w:color="auto" w:fill="C6EFCE"/>
            <w:noWrap/>
            <w:vAlign w:val="center"/>
          </w:tcPr>
          <w:p w14:paraId="617CE26B" w14:textId="7AAEFE79" w:rsidR="00154E32" w:rsidRDefault="00A43E04">
            <w:pPr>
              <w:pStyle w:val="P68B1DB1-Normal11"/>
              <w:jc w:val="center"/>
              <w:rPr>
                <w:noProof/>
              </w:rPr>
            </w:pPr>
            <w:r>
              <w:rPr>
                <w:noProof/>
              </w:rPr>
              <w:t xml:space="preserve">Obvestilo o oddaji vseh javnih naročil </w:t>
            </w:r>
          </w:p>
        </w:tc>
        <w:tc>
          <w:tcPr>
            <w:tcW w:w="1417" w:type="dxa"/>
            <w:shd w:val="clear" w:color="auto" w:fill="C6EFCE"/>
            <w:noWrap/>
            <w:vAlign w:val="center"/>
          </w:tcPr>
          <w:p w14:paraId="0F0717FD" w14:textId="26655EB8" w:rsidR="00154E32" w:rsidRDefault="00A43E04">
            <w:pPr>
              <w:pStyle w:val="P68B1DB1-Normal11"/>
              <w:jc w:val="center"/>
              <w:rPr>
                <w:noProof/>
              </w:rPr>
            </w:pPr>
            <w:r>
              <w:rPr>
                <w:noProof/>
              </w:rPr>
              <w:t>JIH NI</w:t>
            </w:r>
          </w:p>
        </w:tc>
        <w:tc>
          <w:tcPr>
            <w:tcW w:w="1134" w:type="dxa"/>
            <w:shd w:val="clear" w:color="auto" w:fill="C6EFCE"/>
            <w:noWrap/>
            <w:vAlign w:val="center"/>
          </w:tcPr>
          <w:p w14:paraId="1E2FF4B8" w14:textId="19EF8EF0" w:rsidR="00154E32" w:rsidRDefault="00A43E04">
            <w:pPr>
              <w:pStyle w:val="P68B1DB1-Normal11"/>
              <w:jc w:val="center"/>
              <w:rPr>
                <w:noProof/>
              </w:rPr>
            </w:pPr>
            <w:r>
              <w:rPr>
                <w:noProof/>
              </w:rPr>
              <w:t>JIH NI</w:t>
            </w:r>
          </w:p>
        </w:tc>
        <w:tc>
          <w:tcPr>
            <w:tcW w:w="946" w:type="dxa"/>
            <w:shd w:val="clear" w:color="auto" w:fill="C6EFCE"/>
            <w:noWrap/>
            <w:vAlign w:val="center"/>
          </w:tcPr>
          <w:p w14:paraId="30CBE5FA" w14:textId="164B5BB7" w:rsidR="00154E32" w:rsidRDefault="00A43E04">
            <w:pPr>
              <w:pStyle w:val="P68B1DB1-Normal11"/>
              <w:jc w:val="center"/>
              <w:rPr>
                <w:noProof/>
              </w:rPr>
            </w:pPr>
            <w:r>
              <w:rPr>
                <w:noProof/>
              </w:rPr>
              <w:t>JIH NI</w:t>
            </w:r>
          </w:p>
        </w:tc>
        <w:tc>
          <w:tcPr>
            <w:tcW w:w="992" w:type="dxa"/>
            <w:shd w:val="clear" w:color="auto" w:fill="C6EFCE"/>
            <w:noWrap/>
            <w:vAlign w:val="center"/>
          </w:tcPr>
          <w:p w14:paraId="194264F7" w14:textId="640A3CBE" w:rsidR="00154E32" w:rsidRDefault="00A43E04">
            <w:pPr>
              <w:pStyle w:val="P68B1DB1-Normal11"/>
              <w:jc w:val="center"/>
              <w:rPr>
                <w:noProof/>
              </w:rPr>
            </w:pPr>
            <w:r>
              <w:rPr>
                <w:noProof/>
              </w:rPr>
              <w:t>Q3</w:t>
            </w:r>
          </w:p>
        </w:tc>
        <w:tc>
          <w:tcPr>
            <w:tcW w:w="756" w:type="dxa"/>
            <w:shd w:val="clear" w:color="auto" w:fill="C6EFCE"/>
            <w:noWrap/>
            <w:vAlign w:val="center"/>
          </w:tcPr>
          <w:p w14:paraId="2328139A" w14:textId="77C926E0" w:rsidR="00154E32" w:rsidRDefault="00A43E04">
            <w:pPr>
              <w:pStyle w:val="P68B1DB1-Normal11"/>
              <w:jc w:val="center"/>
              <w:rPr>
                <w:noProof/>
              </w:rPr>
            </w:pPr>
            <w:r>
              <w:rPr>
                <w:noProof/>
              </w:rPr>
              <w:t>2024</w:t>
            </w:r>
          </w:p>
        </w:tc>
        <w:tc>
          <w:tcPr>
            <w:tcW w:w="2793" w:type="dxa"/>
            <w:shd w:val="clear" w:color="auto" w:fill="C6EFCE"/>
            <w:noWrap/>
            <w:vAlign w:val="center"/>
          </w:tcPr>
          <w:p w14:paraId="5384B371" w14:textId="7AE5681E" w:rsidR="00154E32" w:rsidRDefault="00A43E04">
            <w:pPr>
              <w:pStyle w:val="P68B1DB1-Normal19"/>
              <w:rPr>
                <w:noProof/>
              </w:rPr>
            </w:pPr>
            <w:r>
              <w:rPr>
                <w:noProof/>
                <w:color w:val="006100"/>
              </w:rPr>
              <w:t>Obvestilo o oddaji</w:t>
            </w:r>
            <w:r>
              <w:rPr>
                <w:noProof/>
              </w:rPr>
              <w:t xml:space="preserve"> </w:t>
            </w:r>
            <w:r>
              <w:rPr>
                <w:noProof/>
                <w:color w:val="006100"/>
              </w:rPr>
              <w:t>vseh javnih naročil za nakup vsaj 85 enot tirnih vozil in vsaj petih intervencij za nadgradnjo infrastrukture hitrih sistemov masovnega prometa, kot je opredeljeno v opisu ukrepa.</w:t>
            </w:r>
          </w:p>
        </w:tc>
      </w:tr>
      <w:tr w:rsidR="00154E32" w14:paraId="5BACA9E8" w14:textId="77777777">
        <w:trPr>
          <w:trHeight w:val="309"/>
          <w:jc w:val="center"/>
        </w:trPr>
        <w:tc>
          <w:tcPr>
            <w:tcW w:w="1613" w:type="dxa"/>
            <w:shd w:val="clear" w:color="auto" w:fill="C6EFCE"/>
            <w:noWrap/>
            <w:vAlign w:val="center"/>
          </w:tcPr>
          <w:p w14:paraId="11FF148F" w14:textId="4DD833C5" w:rsidR="00154E32" w:rsidRDefault="00A43E04">
            <w:pPr>
              <w:pStyle w:val="P68B1DB1-Normal11"/>
              <w:jc w:val="center"/>
              <w:rPr>
                <w:noProof/>
              </w:rPr>
            </w:pPr>
            <w:r>
              <w:rPr>
                <w:noProof/>
              </w:rPr>
              <w:t>M2C2–25a</w:t>
            </w:r>
          </w:p>
        </w:tc>
        <w:tc>
          <w:tcPr>
            <w:tcW w:w="1643" w:type="dxa"/>
            <w:shd w:val="clear" w:color="auto" w:fill="C6EFCE"/>
            <w:noWrap/>
            <w:vAlign w:val="center"/>
          </w:tcPr>
          <w:p w14:paraId="01C47145" w14:textId="7A46E38E" w:rsidR="00154E32" w:rsidRDefault="00A43E04">
            <w:pPr>
              <w:pStyle w:val="P68B1DB1-Normal11"/>
              <w:jc w:val="center"/>
              <w:rPr>
                <w:noProof/>
              </w:rPr>
            </w:pPr>
            <w:r>
              <w:rPr>
                <w:noProof/>
              </w:rPr>
              <w:t>Naložba 4.2 Razvoj sistemov hitrega množičnega prevoza (metro, ulična motorna vozila, BRT)</w:t>
            </w:r>
          </w:p>
        </w:tc>
        <w:tc>
          <w:tcPr>
            <w:tcW w:w="1559" w:type="dxa"/>
            <w:shd w:val="clear" w:color="auto" w:fill="C6EFCE"/>
            <w:noWrap/>
            <w:vAlign w:val="center"/>
          </w:tcPr>
          <w:p w14:paraId="683A03D5" w14:textId="0C94BA5F" w:rsidR="00154E32" w:rsidRDefault="00A43E04">
            <w:pPr>
              <w:pStyle w:val="P68B1DB1-Normal11"/>
              <w:jc w:val="center"/>
              <w:rPr>
                <w:noProof/>
              </w:rPr>
            </w:pPr>
            <w:r>
              <w:rPr>
                <w:noProof/>
              </w:rPr>
              <w:t>Tarča</w:t>
            </w:r>
          </w:p>
        </w:tc>
        <w:tc>
          <w:tcPr>
            <w:tcW w:w="1559" w:type="dxa"/>
            <w:shd w:val="clear" w:color="auto" w:fill="C6EFCE"/>
            <w:noWrap/>
            <w:vAlign w:val="center"/>
          </w:tcPr>
          <w:p w14:paraId="14B20330" w14:textId="40BE84AF" w:rsidR="00154E32" w:rsidRDefault="00A43E04">
            <w:pPr>
              <w:pStyle w:val="P68B1DB1-Normal11"/>
              <w:jc w:val="center"/>
              <w:rPr>
                <w:noProof/>
              </w:rPr>
            </w:pPr>
            <w:r>
              <w:rPr>
                <w:noProof/>
              </w:rPr>
              <w:t>Vsaj pet posredovanj za nadgradnjo infrastrukture hitrih sistemov masovnega prometa</w:t>
            </w:r>
          </w:p>
        </w:tc>
        <w:tc>
          <w:tcPr>
            <w:tcW w:w="1843" w:type="dxa"/>
            <w:shd w:val="clear" w:color="auto" w:fill="C6EFCE"/>
            <w:noWrap/>
            <w:vAlign w:val="center"/>
          </w:tcPr>
          <w:p w14:paraId="0C30F5C6" w14:textId="77777777" w:rsidR="00154E32" w:rsidRDefault="00154E32">
            <w:pPr>
              <w:jc w:val="center"/>
              <w:rPr>
                <w:rFonts w:ascii="Arial Narrow" w:hAnsi="Arial Narrow"/>
                <w:noProof/>
                <w:color w:val="006100"/>
                <w:sz w:val="20"/>
              </w:rPr>
            </w:pPr>
          </w:p>
        </w:tc>
        <w:tc>
          <w:tcPr>
            <w:tcW w:w="1417" w:type="dxa"/>
            <w:shd w:val="clear" w:color="auto" w:fill="C6EFCE"/>
            <w:noWrap/>
            <w:vAlign w:val="center"/>
          </w:tcPr>
          <w:p w14:paraId="4D515C49" w14:textId="67F513ED" w:rsidR="00154E32" w:rsidRDefault="00A43E04">
            <w:pPr>
              <w:pStyle w:val="P68B1DB1-Normal11"/>
              <w:jc w:val="center"/>
              <w:rPr>
                <w:noProof/>
              </w:rPr>
            </w:pPr>
            <w:r>
              <w:rPr>
                <w:noProof/>
              </w:rPr>
              <w:t>Število</w:t>
            </w:r>
          </w:p>
        </w:tc>
        <w:tc>
          <w:tcPr>
            <w:tcW w:w="1134" w:type="dxa"/>
            <w:shd w:val="clear" w:color="auto" w:fill="C6EFCE"/>
            <w:noWrap/>
            <w:vAlign w:val="center"/>
          </w:tcPr>
          <w:p w14:paraId="454E2E91" w14:textId="400A4995" w:rsidR="00154E32" w:rsidRDefault="00A43E04">
            <w:pPr>
              <w:pStyle w:val="P68B1DB1-Normal11"/>
              <w:jc w:val="center"/>
              <w:rPr>
                <w:noProof/>
              </w:rPr>
            </w:pPr>
            <w:r>
              <w:rPr>
                <w:noProof/>
              </w:rPr>
              <w:t>0</w:t>
            </w:r>
          </w:p>
        </w:tc>
        <w:tc>
          <w:tcPr>
            <w:tcW w:w="946" w:type="dxa"/>
            <w:shd w:val="clear" w:color="auto" w:fill="C6EFCE"/>
            <w:noWrap/>
            <w:vAlign w:val="center"/>
          </w:tcPr>
          <w:p w14:paraId="635D468B" w14:textId="65B5B4D7" w:rsidR="00154E32" w:rsidRDefault="00A43E04">
            <w:pPr>
              <w:pStyle w:val="P68B1DB1-Normal11"/>
              <w:jc w:val="center"/>
              <w:rPr>
                <w:noProof/>
              </w:rPr>
            </w:pPr>
            <w:r>
              <w:rPr>
                <w:noProof/>
              </w:rPr>
              <w:t>5</w:t>
            </w:r>
          </w:p>
        </w:tc>
        <w:tc>
          <w:tcPr>
            <w:tcW w:w="992" w:type="dxa"/>
            <w:shd w:val="clear" w:color="auto" w:fill="C6EFCE"/>
            <w:noWrap/>
            <w:vAlign w:val="center"/>
          </w:tcPr>
          <w:p w14:paraId="0C68227C" w14:textId="06E78289" w:rsidR="00154E32" w:rsidRDefault="00A43E04">
            <w:pPr>
              <w:pStyle w:val="P68B1DB1-Normal11"/>
              <w:jc w:val="center"/>
              <w:rPr>
                <w:noProof/>
              </w:rPr>
            </w:pPr>
            <w:r>
              <w:rPr>
                <w:noProof/>
              </w:rPr>
              <w:t>Q2</w:t>
            </w:r>
          </w:p>
        </w:tc>
        <w:tc>
          <w:tcPr>
            <w:tcW w:w="756" w:type="dxa"/>
            <w:shd w:val="clear" w:color="auto" w:fill="C6EFCE"/>
            <w:noWrap/>
            <w:vAlign w:val="center"/>
          </w:tcPr>
          <w:p w14:paraId="11FF9650" w14:textId="7A8780DB" w:rsidR="00154E32" w:rsidRDefault="00A43E04">
            <w:pPr>
              <w:pStyle w:val="P68B1DB1-Normal11"/>
              <w:jc w:val="center"/>
              <w:rPr>
                <w:noProof/>
              </w:rPr>
            </w:pPr>
            <w:r>
              <w:rPr>
                <w:noProof/>
              </w:rPr>
              <w:t>2026</w:t>
            </w:r>
          </w:p>
        </w:tc>
        <w:tc>
          <w:tcPr>
            <w:tcW w:w="2793" w:type="dxa"/>
            <w:shd w:val="clear" w:color="auto" w:fill="C6EFCE"/>
            <w:noWrap/>
            <w:vAlign w:val="center"/>
          </w:tcPr>
          <w:p w14:paraId="3B674F83" w14:textId="77777777" w:rsidR="00154E32" w:rsidRDefault="00A43E04">
            <w:pPr>
              <w:pStyle w:val="P68B1DB1-Normal11"/>
              <w:spacing w:after="120"/>
              <w:rPr>
                <w:noProof/>
              </w:rPr>
            </w:pPr>
            <w:r>
              <w:rPr>
                <w:noProof/>
              </w:rPr>
              <w:t>Dokončanje vsaj petih intervencij za nadgradnjo infrastrukture (kot je opredeljena v opisu ukrepa) hitrih sistemov masovnega prometa.</w:t>
            </w:r>
          </w:p>
          <w:p w14:paraId="1536356F" w14:textId="05623B78" w:rsidR="00154E32" w:rsidRDefault="00A43E04">
            <w:pPr>
              <w:pStyle w:val="P68B1DB1-Normal11"/>
              <w:rPr>
                <w:noProof/>
              </w:rPr>
            </w:pPr>
            <w:r>
              <w:rPr>
                <w:noProof/>
              </w:rPr>
              <w:t>Po zaključku del je ciljna infrastruktura operativna ali dostopna (odvisno od vrste infrastrukture).</w:t>
            </w:r>
          </w:p>
        </w:tc>
      </w:tr>
      <w:tr w:rsidR="00154E32" w14:paraId="32DA3167" w14:textId="77777777">
        <w:trPr>
          <w:trHeight w:val="309"/>
          <w:jc w:val="center"/>
        </w:trPr>
        <w:tc>
          <w:tcPr>
            <w:tcW w:w="1613" w:type="dxa"/>
            <w:shd w:val="clear" w:color="auto" w:fill="C6EFCE"/>
            <w:noWrap/>
            <w:vAlign w:val="center"/>
          </w:tcPr>
          <w:p w14:paraId="13C259FA" w14:textId="24902D22" w:rsidR="00154E32" w:rsidRDefault="00A43E04">
            <w:pPr>
              <w:pStyle w:val="P68B1DB1-Normal11"/>
              <w:jc w:val="center"/>
              <w:rPr>
                <w:noProof/>
              </w:rPr>
            </w:pPr>
            <w:r>
              <w:rPr>
                <w:noProof/>
              </w:rPr>
              <w:t>M2C2–25b</w:t>
            </w:r>
          </w:p>
        </w:tc>
        <w:tc>
          <w:tcPr>
            <w:tcW w:w="1643" w:type="dxa"/>
            <w:shd w:val="clear" w:color="auto" w:fill="C6EFCE"/>
            <w:noWrap/>
            <w:vAlign w:val="center"/>
          </w:tcPr>
          <w:p w14:paraId="220293E7" w14:textId="4A203037" w:rsidR="00154E32" w:rsidRDefault="00A43E04">
            <w:pPr>
              <w:pStyle w:val="P68B1DB1-Normal11"/>
              <w:jc w:val="center"/>
              <w:rPr>
                <w:noProof/>
              </w:rPr>
            </w:pPr>
            <w:r>
              <w:rPr>
                <w:noProof/>
              </w:rPr>
              <w:t>Naložba 4.2 Razvoj sistemov hitrega množičnega prevoza (metro, ulična motorna vozila, BRT)</w:t>
            </w:r>
          </w:p>
        </w:tc>
        <w:tc>
          <w:tcPr>
            <w:tcW w:w="1559" w:type="dxa"/>
            <w:shd w:val="clear" w:color="auto" w:fill="C6EFCE"/>
            <w:noWrap/>
            <w:vAlign w:val="center"/>
          </w:tcPr>
          <w:p w14:paraId="57F0D4B7" w14:textId="4FE69707" w:rsidR="00154E32" w:rsidRDefault="00A43E04">
            <w:pPr>
              <w:pStyle w:val="P68B1DB1-Normal11"/>
              <w:jc w:val="center"/>
              <w:rPr>
                <w:noProof/>
              </w:rPr>
            </w:pPr>
            <w:r>
              <w:rPr>
                <w:noProof/>
              </w:rPr>
              <w:t>Tarča</w:t>
            </w:r>
          </w:p>
        </w:tc>
        <w:tc>
          <w:tcPr>
            <w:tcW w:w="1559" w:type="dxa"/>
            <w:shd w:val="clear" w:color="auto" w:fill="C6EFCE"/>
            <w:noWrap/>
            <w:vAlign w:val="center"/>
          </w:tcPr>
          <w:p w14:paraId="4D1D5B7A" w14:textId="5C3CDAB5" w:rsidR="00154E32" w:rsidRDefault="00A43E04">
            <w:pPr>
              <w:pStyle w:val="P68B1DB1-Normal11"/>
              <w:jc w:val="center"/>
              <w:rPr>
                <w:noProof/>
              </w:rPr>
            </w:pPr>
            <w:r>
              <w:rPr>
                <w:noProof/>
              </w:rPr>
              <w:t>Nakup najmanj 85 enot železniškega voznega parka za množični hitri prevoz</w:t>
            </w:r>
          </w:p>
        </w:tc>
        <w:tc>
          <w:tcPr>
            <w:tcW w:w="1843" w:type="dxa"/>
            <w:shd w:val="clear" w:color="auto" w:fill="C6EFCE"/>
            <w:noWrap/>
            <w:vAlign w:val="center"/>
          </w:tcPr>
          <w:p w14:paraId="7A4B3FD8" w14:textId="77777777" w:rsidR="00154E32" w:rsidRDefault="00154E32">
            <w:pPr>
              <w:jc w:val="center"/>
              <w:rPr>
                <w:rFonts w:ascii="Arial Narrow" w:hAnsi="Arial Narrow"/>
                <w:noProof/>
                <w:color w:val="006100"/>
                <w:sz w:val="20"/>
              </w:rPr>
            </w:pPr>
          </w:p>
        </w:tc>
        <w:tc>
          <w:tcPr>
            <w:tcW w:w="1417" w:type="dxa"/>
            <w:shd w:val="clear" w:color="auto" w:fill="C6EFCE"/>
            <w:noWrap/>
            <w:vAlign w:val="center"/>
          </w:tcPr>
          <w:p w14:paraId="33DD2A38" w14:textId="259F3290" w:rsidR="00154E32" w:rsidRDefault="00A43E04">
            <w:pPr>
              <w:pStyle w:val="P68B1DB1-Normal11"/>
              <w:jc w:val="center"/>
              <w:rPr>
                <w:noProof/>
              </w:rPr>
            </w:pPr>
            <w:r>
              <w:rPr>
                <w:noProof/>
              </w:rPr>
              <w:t>Število</w:t>
            </w:r>
          </w:p>
        </w:tc>
        <w:tc>
          <w:tcPr>
            <w:tcW w:w="1134" w:type="dxa"/>
            <w:shd w:val="clear" w:color="auto" w:fill="C6EFCE"/>
            <w:noWrap/>
            <w:vAlign w:val="center"/>
          </w:tcPr>
          <w:p w14:paraId="46A97DC9" w14:textId="67638BDC" w:rsidR="00154E32" w:rsidRDefault="00A43E04">
            <w:pPr>
              <w:pStyle w:val="P68B1DB1-Normal11"/>
              <w:jc w:val="center"/>
              <w:rPr>
                <w:noProof/>
              </w:rPr>
            </w:pPr>
            <w:r>
              <w:rPr>
                <w:noProof/>
              </w:rPr>
              <w:t>0</w:t>
            </w:r>
          </w:p>
        </w:tc>
        <w:tc>
          <w:tcPr>
            <w:tcW w:w="946" w:type="dxa"/>
            <w:shd w:val="clear" w:color="auto" w:fill="C6EFCE"/>
            <w:noWrap/>
            <w:vAlign w:val="center"/>
          </w:tcPr>
          <w:p w14:paraId="6F4B60E2" w14:textId="70F9770C" w:rsidR="00154E32" w:rsidRDefault="00A43E04">
            <w:pPr>
              <w:pStyle w:val="P68B1DB1-Normal11"/>
              <w:jc w:val="center"/>
              <w:rPr>
                <w:noProof/>
              </w:rPr>
            </w:pPr>
            <w:r>
              <w:rPr>
                <w:noProof/>
              </w:rPr>
              <w:t>85</w:t>
            </w:r>
          </w:p>
        </w:tc>
        <w:tc>
          <w:tcPr>
            <w:tcW w:w="992" w:type="dxa"/>
            <w:shd w:val="clear" w:color="auto" w:fill="C6EFCE"/>
            <w:noWrap/>
            <w:vAlign w:val="center"/>
          </w:tcPr>
          <w:p w14:paraId="39D0A847" w14:textId="2D58F86D" w:rsidR="00154E32" w:rsidRDefault="00A43E04">
            <w:pPr>
              <w:pStyle w:val="P68B1DB1-Normal11"/>
              <w:jc w:val="center"/>
              <w:rPr>
                <w:noProof/>
              </w:rPr>
            </w:pPr>
            <w:r>
              <w:rPr>
                <w:noProof/>
              </w:rPr>
              <w:t>Q2</w:t>
            </w:r>
          </w:p>
        </w:tc>
        <w:tc>
          <w:tcPr>
            <w:tcW w:w="756" w:type="dxa"/>
            <w:shd w:val="clear" w:color="auto" w:fill="C6EFCE"/>
            <w:noWrap/>
            <w:vAlign w:val="center"/>
          </w:tcPr>
          <w:p w14:paraId="14D46E1C" w14:textId="493F4B2F" w:rsidR="00154E32" w:rsidRDefault="00A43E04">
            <w:pPr>
              <w:pStyle w:val="P68B1DB1-Normal11"/>
              <w:jc w:val="center"/>
              <w:rPr>
                <w:noProof/>
              </w:rPr>
            </w:pPr>
            <w:r>
              <w:rPr>
                <w:noProof/>
              </w:rPr>
              <w:t>2026</w:t>
            </w:r>
          </w:p>
        </w:tc>
        <w:tc>
          <w:tcPr>
            <w:tcW w:w="2793" w:type="dxa"/>
            <w:shd w:val="clear" w:color="auto" w:fill="C6EFCE"/>
            <w:noWrap/>
            <w:vAlign w:val="center"/>
          </w:tcPr>
          <w:p w14:paraId="3490D222" w14:textId="1C341EE5" w:rsidR="00154E32" w:rsidRDefault="00A43E04">
            <w:pPr>
              <w:pStyle w:val="P68B1DB1-Normal11"/>
              <w:rPr>
                <w:noProof/>
              </w:rPr>
            </w:pPr>
            <w:r>
              <w:rPr>
                <w:noProof/>
              </w:rPr>
              <w:t>Nakup najmanj 85 enot brezemisijskega železniškega voznega parka za množični hitri prevoz na metropolitanskih območjih, kot je opredeljeno v opisu ukrepa.</w:t>
            </w:r>
          </w:p>
        </w:tc>
      </w:tr>
      <w:tr w:rsidR="00154E32" w14:paraId="556DF3EA" w14:textId="77777777">
        <w:trPr>
          <w:trHeight w:val="309"/>
          <w:jc w:val="center"/>
        </w:trPr>
        <w:tc>
          <w:tcPr>
            <w:tcW w:w="1613" w:type="dxa"/>
            <w:shd w:val="clear" w:color="auto" w:fill="C6EFCE"/>
            <w:noWrap/>
            <w:vAlign w:val="center"/>
          </w:tcPr>
          <w:p w14:paraId="039F680F" w14:textId="16920259" w:rsidR="00154E32" w:rsidRDefault="00A43E04">
            <w:pPr>
              <w:pStyle w:val="P68B1DB1-Normal11"/>
              <w:jc w:val="center"/>
              <w:rPr>
                <w:noProof/>
              </w:rPr>
            </w:pPr>
            <w:r>
              <w:rPr>
                <w:noProof/>
              </w:rPr>
              <w:t>M2C2–26</w:t>
            </w:r>
          </w:p>
        </w:tc>
        <w:tc>
          <w:tcPr>
            <w:tcW w:w="1643" w:type="dxa"/>
            <w:shd w:val="clear" w:color="auto" w:fill="C6EFCE"/>
            <w:noWrap/>
            <w:vAlign w:val="center"/>
          </w:tcPr>
          <w:p w14:paraId="1567AD24" w14:textId="7A70CAEC" w:rsidR="00154E32" w:rsidRDefault="00A43E04">
            <w:pPr>
              <w:pStyle w:val="P68B1DB1-Normal11"/>
              <w:jc w:val="center"/>
              <w:rPr>
                <w:noProof/>
              </w:rPr>
            </w:pPr>
            <w:r>
              <w:rPr>
                <w:noProof/>
              </w:rPr>
              <w:t>Naložba 4.2 Razvoj sistemov hitrega množičnega prevoza (metro, ulični avtomobil, avtobusni prevoz)</w:t>
            </w:r>
          </w:p>
        </w:tc>
        <w:tc>
          <w:tcPr>
            <w:tcW w:w="1559" w:type="dxa"/>
            <w:shd w:val="clear" w:color="auto" w:fill="C6EFCE"/>
            <w:noWrap/>
            <w:vAlign w:val="center"/>
          </w:tcPr>
          <w:p w14:paraId="4569FF91" w14:textId="5425C196" w:rsidR="00154E32" w:rsidRDefault="00A43E04">
            <w:pPr>
              <w:pStyle w:val="P68B1DB1-Normal11"/>
              <w:jc w:val="center"/>
              <w:rPr>
                <w:noProof/>
              </w:rPr>
            </w:pPr>
            <w:r>
              <w:rPr>
                <w:noProof/>
              </w:rPr>
              <w:t>Tarča</w:t>
            </w:r>
          </w:p>
        </w:tc>
        <w:tc>
          <w:tcPr>
            <w:tcW w:w="1559" w:type="dxa"/>
            <w:shd w:val="clear" w:color="auto" w:fill="C6EFCE"/>
            <w:noWrap/>
            <w:vAlign w:val="center"/>
          </w:tcPr>
          <w:p w14:paraId="0E7E2E14" w14:textId="47806917" w:rsidR="00154E32" w:rsidRDefault="00A43E04">
            <w:pPr>
              <w:pStyle w:val="P68B1DB1-Normal11"/>
              <w:jc w:val="center"/>
              <w:rPr>
                <w:noProof/>
              </w:rPr>
            </w:pPr>
            <w:r>
              <w:rPr>
                <w:noProof/>
              </w:rPr>
              <w:t>Število km infrastrukture javnega prevoza</w:t>
            </w:r>
          </w:p>
        </w:tc>
        <w:tc>
          <w:tcPr>
            <w:tcW w:w="1843" w:type="dxa"/>
            <w:shd w:val="clear" w:color="auto" w:fill="C6EFCE"/>
            <w:noWrap/>
            <w:vAlign w:val="center"/>
          </w:tcPr>
          <w:p w14:paraId="19BA64EC" w14:textId="244C69C7" w:rsidR="00154E32" w:rsidRDefault="00A43E04">
            <w:pPr>
              <w:pStyle w:val="P68B1DB1-Normal11"/>
              <w:jc w:val="center"/>
              <w:rPr>
                <w:noProof/>
              </w:rPr>
            </w:pPr>
            <w:r>
              <w:rPr>
                <w:noProof/>
              </w:rPr>
              <w:t>JIH NI</w:t>
            </w:r>
          </w:p>
        </w:tc>
        <w:tc>
          <w:tcPr>
            <w:tcW w:w="1417" w:type="dxa"/>
            <w:shd w:val="clear" w:color="auto" w:fill="C6EFCE"/>
            <w:noWrap/>
            <w:vAlign w:val="center"/>
          </w:tcPr>
          <w:p w14:paraId="1EBE794B" w14:textId="2282C9A4" w:rsidR="00154E32" w:rsidRDefault="00A43E04">
            <w:pPr>
              <w:pStyle w:val="P68B1DB1-Normal11"/>
              <w:jc w:val="center"/>
              <w:rPr>
                <w:noProof/>
              </w:rPr>
            </w:pPr>
            <w:r>
              <w:rPr>
                <w:noProof/>
              </w:rPr>
              <w:t>kilometri</w:t>
            </w:r>
          </w:p>
        </w:tc>
        <w:tc>
          <w:tcPr>
            <w:tcW w:w="1134" w:type="dxa"/>
            <w:shd w:val="clear" w:color="auto" w:fill="C6EFCE"/>
            <w:noWrap/>
            <w:vAlign w:val="center"/>
          </w:tcPr>
          <w:p w14:paraId="0C3FF7A2" w14:textId="0E7E63F6" w:rsidR="00154E32" w:rsidRDefault="00A43E04">
            <w:pPr>
              <w:pStyle w:val="P68B1DB1-Normal11"/>
              <w:jc w:val="center"/>
              <w:rPr>
                <w:noProof/>
              </w:rPr>
            </w:pPr>
            <w:r>
              <w:rPr>
                <w:noProof/>
              </w:rPr>
              <w:t>0</w:t>
            </w:r>
          </w:p>
        </w:tc>
        <w:tc>
          <w:tcPr>
            <w:tcW w:w="946" w:type="dxa"/>
            <w:shd w:val="clear" w:color="auto" w:fill="C6EFCE"/>
            <w:noWrap/>
            <w:vAlign w:val="center"/>
          </w:tcPr>
          <w:p w14:paraId="0D0BBCF9" w14:textId="21CD7D81" w:rsidR="00154E32" w:rsidRDefault="00A43E04">
            <w:pPr>
              <w:pStyle w:val="P68B1DB1-Normal11"/>
              <w:jc w:val="center"/>
              <w:rPr>
                <w:noProof/>
              </w:rPr>
            </w:pPr>
            <w:r>
              <w:rPr>
                <w:noProof/>
              </w:rPr>
              <w:t>231</w:t>
            </w:r>
          </w:p>
        </w:tc>
        <w:tc>
          <w:tcPr>
            <w:tcW w:w="992" w:type="dxa"/>
            <w:shd w:val="clear" w:color="auto" w:fill="C6EFCE"/>
            <w:noWrap/>
            <w:vAlign w:val="center"/>
          </w:tcPr>
          <w:p w14:paraId="165D5C00" w14:textId="63548CFC" w:rsidR="00154E32" w:rsidRDefault="00A43E04">
            <w:pPr>
              <w:pStyle w:val="P68B1DB1-Normal11"/>
              <w:jc w:val="center"/>
              <w:rPr>
                <w:noProof/>
              </w:rPr>
            </w:pPr>
            <w:r>
              <w:rPr>
                <w:noProof/>
              </w:rPr>
              <w:t>Q2</w:t>
            </w:r>
          </w:p>
        </w:tc>
        <w:tc>
          <w:tcPr>
            <w:tcW w:w="756" w:type="dxa"/>
            <w:shd w:val="clear" w:color="auto" w:fill="C6EFCE"/>
            <w:noWrap/>
            <w:vAlign w:val="center"/>
          </w:tcPr>
          <w:p w14:paraId="169F20AD" w14:textId="3DB1988E" w:rsidR="00154E32" w:rsidRDefault="00A43E04">
            <w:pPr>
              <w:pStyle w:val="P68B1DB1-Normal11"/>
              <w:jc w:val="center"/>
              <w:rPr>
                <w:noProof/>
              </w:rPr>
            </w:pPr>
            <w:r>
              <w:rPr>
                <w:noProof/>
              </w:rPr>
              <w:t>2026</w:t>
            </w:r>
          </w:p>
        </w:tc>
        <w:tc>
          <w:tcPr>
            <w:tcW w:w="2793" w:type="dxa"/>
            <w:shd w:val="clear" w:color="auto" w:fill="C6EFCE"/>
            <w:noWrap/>
            <w:vAlign w:val="center"/>
          </w:tcPr>
          <w:p w14:paraId="71B55AEC" w14:textId="613666D6" w:rsidR="00154E32" w:rsidRDefault="00A43E04">
            <w:pPr>
              <w:pStyle w:val="P68B1DB1-Normal11"/>
              <w:rPr>
                <w:noProof/>
              </w:rPr>
            </w:pPr>
            <w:r>
              <w:rPr>
                <w:noProof/>
              </w:rPr>
              <w:t xml:space="preserve">Zgraditi vsaj 231 km infrastrukture javnega prevoza na funkcionalnih mestnih območjih, kot je opredeljeno v opisu ukrepa. </w:t>
            </w:r>
          </w:p>
        </w:tc>
      </w:tr>
      <w:tr w:rsidR="00154E32" w14:paraId="36490252" w14:textId="77777777">
        <w:trPr>
          <w:trHeight w:val="309"/>
          <w:jc w:val="center"/>
        </w:trPr>
        <w:tc>
          <w:tcPr>
            <w:tcW w:w="1613" w:type="dxa"/>
            <w:shd w:val="clear" w:color="auto" w:fill="C6EFCE"/>
            <w:noWrap/>
            <w:vAlign w:val="center"/>
          </w:tcPr>
          <w:p w14:paraId="5215CD32" w14:textId="3A4C3C64" w:rsidR="00154E32" w:rsidRDefault="00A43E04">
            <w:pPr>
              <w:pStyle w:val="P68B1DB1-Normal11"/>
              <w:jc w:val="center"/>
              <w:rPr>
                <w:noProof/>
              </w:rPr>
            </w:pPr>
            <w:r>
              <w:rPr>
                <w:noProof/>
              </w:rPr>
              <w:t>M2C2–31</w:t>
            </w:r>
          </w:p>
        </w:tc>
        <w:tc>
          <w:tcPr>
            <w:tcW w:w="1643" w:type="dxa"/>
            <w:shd w:val="clear" w:color="auto" w:fill="C6EFCE"/>
            <w:noWrap/>
            <w:vAlign w:val="center"/>
          </w:tcPr>
          <w:p w14:paraId="296DE649" w14:textId="19B59E46" w:rsidR="00154E32" w:rsidRDefault="00A43E04">
            <w:pPr>
              <w:pStyle w:val="P68B1DB1-Normal11"/>
              <w:jc w:val="center"/>
              <w:rPr>
                <w:noProof/>
              </w:rPr>
            </w:pPr>
            <w:r>
              <w:rPr>
                <w:noProof/>
              </w:rPr>
              <w:t>Naložba 4.4.3: Flota za obnovo nacionalnega poveljstva gasilske službe</w:t>
            </w:r>
          </w:p>
        </w:tc>
        <w:tc>
          <w:tcPr>
            <w:tcW w:w="1559" w:type="dxa"/>
            <w:shd w:val="clear" w:color="auto" w:fill="C6EFCE"/>
            <w:noWrap/>
            <w:vAlign w:val="center"/>
          </w:tcPr>
          <w:p w14:paraId="7828404E" w14:textId="6785A404" w:rsidR="00154E32" w:rsidRDefault="00A43E04">
            <w:pPr>
              <w:pStyle w:val="P68B1DB1-Normal11"/>
              <w:jc w:val="center"/>
              <w:rPr>
                <w:noProof/>
              </w:rPr>
            </w:pPr>
            <w:r>
              <w:rPr>
                <w:noProof/>
              </w:rPr>
              <w:t>Mejnik</w:t>
            </w:r>
          </w:p>
        </w:tc>
        <w:tc>
          <w:tcPr>
            <w:tcW w:w="1559" w:type="dxa"/>
            <w:shd w:val="clear" w:color="auto" w:fill="C6EFCE"/>
            <w:noWrap/>
            <w:vAlign w:val="center"/>
          </w:tcPr>
          <w:p w14:paraId="3B37DC9C" w14:textId="0CF21D53" w:rsidR="00154E32" w:rsidRDefault="00A43E04">
            <w:pPr>
              <w:pStyle w:val="P68B1DB1-Normal11"/>
              <w:jc w:val="center"/>
              <w:rPr>
                <w:noProof/>
              </w:rPr>
            </w:pPr>
            <w:r>
              <w:rPr>
                <w:noProof/>
              </w:rPr>
              <w:t>Oddaja vseh javnih naročil za obnovitveno floto nacionalnega poveljstva gasilske službe</w:t>
            </w:r>
          </w:p>
        </w:tc>
        <w:tc>
          <w:tcPr>
            <w:tcW w:w="1843" w:type="dxa"/>
            <w:shd w:val="clear" w:color="auto" w:fill="C6EFCE"/>
            <w:noWrap/>
            <w:vAlign w:val="center"/>
          </w:tcPr>
          <w:p w14:paraId="69171247" w14:textId="3F5BB3E6" w:rsidR="00154E32" w:rsidRDefault="00A43E04">
            <w:pPr>
              <w:pStyle w:val="P68B1DB1-Normal11"/>
              <w:jc w:val="center"/>
              <w:rPr>
                <w:noProof/>
              </w:rPr>
            </w:pPr>
            <w:r>
              <w:rPr>
                <w:noProof/>
              </w:rPr>
              <w:t>Obvestilo o oddaji vseh pogodb za floto za obnovo nacionalnega poveljstva gasilske službe</w:t>
            </w:r>
          </w:p>
        </w:tc>
        <w:tc>
          <w:tcPr>
            <w:tcW w:w="1417" w:type="dxa"/>
            <w:shd w:val="clear" w:color="auto" w:fill="C6EFCE"/>
            <w:noWrap/>
            <w:vAlign w:val="center"/>
          </w:tcPr>
          <w:p w14:paraId="3525242E" w14:textId="3C11419E" w:rsidR="00154E32" w:rsidRDefault="00A43E04">
            <w:pPr>
              <w:pStyle w:val="P68B1DB1-Normal11"/>
              <w:jc w:val="center"/>
              <w:rPr>
                <w:noProof/>
              </w:rPr>
            </w:pPr>
            <w:r>
              <w:rPr>
                <w:noProof/>
              </w:rPr>
              <w:t>JIH NI</w:t>
            </w:r>
          </w:p>
        </w:tc>
        <w:tc>
          <w:tcPr>
            <w:tcW w:w="1134" w:type="dxa"/>
            <w:shd w:val="clear" w:color="auto" w:fill="C6EFCE"/>
            <w:noWrap/>
            <w:vAlign w:val="center"/>
          </w:tcPr>
          <w:p w14:paraId="6CE9D23F" w14:textId="7D0F13AD" w:rsidR="00154E32" w:rsidRDefault="00A43E04">
            <w:pPr>
              <w:pStyle w:val="P68B1DB1-Normal11"/>
              <w:jc w:val="center"/>
              <w:rPr>
                <w:noProof/>
              </w:rPr>
            </w:pPr>
            <w:r>
              <w:rPr>
                <w:noProof/>
              </w:rPr>
              <w:t>JIH NI</w:t>
            </w:r>
          </w:p>
        </w:tc>
        <w:tc>
          <w:tcPr>
            <w:tcW w:w="946" w:type="dxa"/>
            <w:shd w:val="clear" w:color="auto" w:fill="C6EFCE"/>
            <w:noWrap/>
            <w:vAlign w:val="center"/>
          </w:tcPr>
          <w:p w14:paraId="6133BD69" w14:textId="4672C66A" w:rsidR="00154E32" w:rsidRDefault="00A43E04">
            <w:pPr>
              <w:pStyle w:val="P68B1DB1-Normal11"/>
              <w:jc w:val="center"/>
              <w:rPr>
                <w:noProof/>
              </w:rPr>
            </w:pPr>
            <w:r>
              <w:rPr>
                <w:noProof/>
              </w:rPr>
              <w:t>OPOMBA:</w:t>
            </w:r>
          </w:p>
        </w:tc>
        <w:tc>
          <w:tcPr>
            <w:tcW w:w="992" w:type="dxa"/>
            <w:shd w:val="clear" w:color="auto" w:fill="C6EFCE"/>
            <w:noWrap/>
            <w:vAlign w:val="center"/>
          </w:tcPr>
          <w:p w14:paraId="18F64F2C" w14:textId="3C32A002" w:rsidR="00154E32" w:rsidRDefault="00A43E04">
            <w:pPr>
              <w:pStyle w:val="P68B1DB1-Normal11"/>
              <w:jc w:val="center"/>
              <w:rPr>
                <w:noProof/>
              </w:rPr>
            </w:pPr>
            <w:r>
              <w:rPr>
                <w:noProof/>
              </w:rPr>
              <w:t>Q2</w:t>
            </w:r>
          </w:p>
        </w:tc>
        <w:tc>
          <w:tcPr>
            <w:tcW w:w="756" w:type="dxa"/>
            <w:shd w:val="clear" w:color="auto" w:fill="C6EFCE"/>
            <w:noWrap/>
            <w:vAlign w:val="center"/>
          </w:tcPr>
          <w:p w14:paraId="3C47FF49" w14:textId="7D313BD9" w:rsidR="00154E32" w:rsidRDefault="00A43E04">
            <w:pPr>
              <w:pStyle w:val="P68B1DB1-Normal11"/>
              <w:jc w:val="center"/>
              <w:rPr>
                <w:noProof/>
              </w:rPr>
            </w:pPr>
            <w:r>
              <w:rPr>
                <w:noProof/>
              </w:rPr>
              <w:t>2024</w:t>
            </w:r>
          </w:p>
        </w:tc>
        <w:tc>
          <w:tcPr>
            <w:tcW w:w="2793" w:type="dxa"/>
            <w:shd w:val="clear" w:color="auto" w:fill="C6EFCE"/>
            <w:noWrap/>
            <w:vAlign w:val="center"/>
          </w:tcPr>
          <w:p w14:paraId="3119651E" w14:textId="6147EF01" w:rsidR="00154E32" w:rsidRDefault="00A43E04">
            <w:pPr>
              <w:pStyle w:val="P68B1DB1-Normal11"/>
              <w:rPr>
                <w:noProof/>
              </w:rPr>
            </w:pPr>
            <w:r>
              <w:rPr>
                <w:noProof/>
              </w:rPr>
              <w:t>Obvestilo o oddaji vseh javnih naročil za nakup nacionalnih gasilskih vozil.</w:t>
            </w:r>
          </w:p>
        </w:tc>
      </w:tr>
      <w:tr w:rsidR="00154E32" w14:paraId="607DBD31" w14:textId="77777777">
        <w:trPr>
          <w:trHeight w:val="309"/>
          <w:jc w:val="center"/>
        </w:trPr>
        <w:tc>
          <w:tcPr>
            <w:tcW w:w="1613" w:type="dxa"/>
            <w:shd w:val="clear" w:color="auto" w:fill="C6EFCE"/>
            <w:noWrap/>
            <w:vAlign w:val="center"/>
          </w:tcPr>
          <w:p w14:paraId="5E2E0FBE" w14:textId="6477DB6E" w:rsidR="00154E32" w:rsidRDefault="00A43E04">
            <w:pPr>
              <w:pStyle w:val="P68B1DB1-Normal11"/>
              <w:jc w:val="center"/>
              <w:rPr>
                <w:noProof/>
              </w:rPr>
            </w:pPr>
            <w:r>
              <w:rPr>
                <w:noProof/>
              </w:rPr>
              <w:t>M2C2–32</w:t>
            </w:r>
          </w:p>
        </w:tc>
        <w:tc>
          <w:tcPr>
            <w:tcW w:w="1643" w:type="dxa"/>
            <w:shd w:val="clear" w:color="auto" w:fill="C6EFCE"/>
            <w:noWrap/>
            <w:vAlign w:val="center"/>
          </w:tcPr>
          <w:p w14:paraId="281EE316" w14:textId="6529F74E" w:rsidR="00154E32" w:rsidRDefault="00A43E04">
            <w:pPr>
              <w:pStyle w:val="P68B1DB1-Normal11"/>
              <w:jc w:val="center"/>
              <w:rPr>
                <w:noProof/>
              </w:rPr>
            </w:pPr>
            <w:r>
              <w:rPr>
                <w:noProof/>
              </w:rPr>
              <w:t>Naložba 4.4.1: Krepitev voznega parka avtobusov v regionalnem javnem prometu z brezemisijskimi nizkopodnimi avtobusi</w:t>
            </w:r>
          </w:p>
        </w:tc>
        <w:tc>
          <w:tcPr>
            <w:tcW w:w="1559" w:type="dxa"/>
            <w:shd w:val="clear" w:color="auto" w:fill="C6EFCE"/>
            <w:noWrap/>
            <w:vAlign w:val="center"/>
          </w:tcPr>
          <w:p w14:paraId="43FA8E85" w14:textId="16015E34" w:rsidR="00154E32" w:rsidRDefault="00A43E04">
            <w:pPr>
              <w:pStyle w:val="P68B1DB1-Normal11"/>
              <w:jc w:val="center"/>
              <w:rPr>
                <w:noProof/>
              </w:rPr>
            </w:pPr>
            <w:r>
              <w:rPr>
                <w:noProof/>
              </w:rPr>
              <w:t>Mejnik</w:t>
            </w:r>
          </w:p>
        </w:tc>
        <w:tc>
          <w:tcPr>
            <w:tcW w:w="1559" w:type="dxa"/>
            <w:shd w:val="clear" w:color="auto" w:fill="C6EFCE"/>
            <w:noWrap/>
            <w:vAlign w:val="center"/>
          </w:tcPr>
          <w:p w14:paraId="7E3A61C0" w14:textId="4D87B5D3" w:rsidR="00154E32" w:rsidRDefault="00A43E04">
            <w:pPr>
              <w:pStyle w:val="P68B1DB1-Normal11"/>
              <w:jc w:val="center"/>
              <w:rPr>
                <w:noProof/>
              </w:rPr>
            </w:pPr>
            <w:r>
              <w:rPr>
                <w:noProof/>
              </w:rPr>
              <w:t>Oddaja vseh javnih naročil za krepitev voznega parka avtobusov regionalnega javnega prevoza z brezemisijskimi nizkopodnimi avtobusi</w:t>
            </w:r>
          </w:p>
        </w:tc>
        <w:tc>
          <w:tcPr>
            <w:tcW w:w="1843" w:type="dxa"/>
            <w:shd w:val="clear" w:color="auto" w:fill="C6EFCE"/>
            <w:noWrap/>
            <w:vAlign w:val="center"/>
          </w:tcPr>
          <w:p w14:paraId="20C4EFFF" w14:textId="6A573DAF" w:rsidR="00154E32" w:rsidRDefault="00A43E04">
            <w:pPr>
              <w:pStyle w:val="P68B1DB1-Normal11"/>
              <w:jc w:val="center"/>
              <w:rPr>
                <w:noProof/>
              </w:rPr>
            </w:pPr>
            <w:r>
              <w:rPr>
                <w:noProof/>
              </w:rPr>
              <w:t xml:space="preserve">Obvestilo o oddaji vseh naročil </w:t>
            </w:r>
          </w:p>
        </w:tc>
        <w:tc>
          <w:tcPr>
            <w:tcW w:w="1417" w:type="dxa"/>
            <w:shd w:val="clear" w:color="auto" w:fill="C6EFCE"/>
            <w:noWrap/>
            <w:vAlign w:val="center"/>
          </w:tcPr>
          <w:p w14:paraId="3E37DD2F" w14:textId="2FE66134" w:rsidR="00154E32" w:rsidRDefault="00A43E04">
            <w:pPr>
              <w:pStyle w:val="P68B1DB1-Normal11"/>
              <w:jc w:val="center"/>
              <w:rPr>
                <w:noProof/>
              </w:rPr>
            </w:pPr>
            <w:r>
              <w:rPr>
                <w:noProof/>
              </w:rPr>
              <w:t>JIH NI</w:t>
            </w:r>
          </w:p>
        </w:tc>
        <w:tc>
          <w:tcPr>
            <w:tcW w:w="1134" w:type="dxa"/>
            <w:shd w:val="clear" w:color="auto" w:fill="C6EFCE"/>
            <w:noWrap/>
            <w:vAlign w:val="center"/>
          </w:tcPr>
          <w:p w14:paraId="002D1BDC" w14:textId="342BE0AF" w:rsidR="00154E32" w:rsidRDefault="00A43E04">
            <w:pPr>
              <w:pStyle w:val="P68B1DB1-Normal11"/>
              <w:jc w:val="center"/>
              <w:rPr>
                <w:noProof/>
              </w:rPr>
            </w:pPr>
            <w:r>
              <w:rPr>
                <w:noProof/>
              </w:rPr>
              <w:t>JIH NI</w:t>
            </w:r>
          </w:p>
        </w:tc>
        <w:tc>
          <w:tcPr>
            <w:tcW w:w="946" w:type="dxa"/>
            <w:shd w:val="clear" w:color="auto" w:fill="C6EFCE"/>
            <w:noWrap/>
            <w:vAlign w:val="center"/>
          </w:tcPr>
          <w:p w14:paraId="5D927AD9" w14:textId="1257566B" w:rsidR="00154E32" w:rsidRDefault="00A43E04">
            <w:pPr>
              <w:pStyle w:val="P68B1DB1-Normal11"/>
              <w:jc w:val="center"/>
              <w:rPr>
                <w:noProof/>
              </w:rPr>
            </w:pPr>
            <w:r>
              <w:rPr>
                <w:noProof/>
              </w:rPr>
              <w:t>JIH NI</w:t>
            </w:r>
          </w:p>
        </w:tc>
        <w:tc>
          <w:tcPr>
            <w:tcW w:w="992" w:type="dxa"/>
            <w:shd w:val="clear" w:color="auto" w:fill="C6EFCE"/>
            <w:noWrap/>
            <w:vAlign w:val="center"/>
          </w:tcPr>
          <w:p w14:paraId="577FABF3" w14:textId="3B9B0D3B" w:rsidR="00154E32" w:rsidRDefault="00A43E04">
            <w:pPr>
              <w:pStyle w:val="P68B1DB1-Normal11"/>
              <w:jc w:val="center"/>
              <w:rPr>
                <w:noProof/>
              </w:rPr>
            </w:pPr>
            <w:r>
              <w:rPr>
                <w:noProof/>
              </w:rPr>
              <w:t>Q4</w:t>
            </w:r>
          </w:p>
        </w:tc>
        <w:tc>
          <w:tcPr>
            <w:tcW w:w="756" w:type="dxa"/>
            <w:shd w:val="clear" w:color="auto" w:fill="C6EFCE"/>
            <w:noWrap/>
            <w:vAlign w:val="center"/>
          </w:tcPr>
          <w:p w14:paraId="57F47EB0" w14:textId="4657596A" w:rsidR="00154E32" w:rsidRDefault="00A43E04">
            <w:pPr>
              <w:pStyle w:val="P68B1DB1-Normal11"/>
              <w:jc w:val="center"/>
              <w:rPr>
                <w:noProof/>
              </w:rPr>
            </w:pPr>
            <w:r>
              <w:rPr>
                <w:noProof/>
              </w:rPr>
              <w:t>2023</w:t>
            </w:r>
          </w:p>
        </w:tc>
        <w:tc>
          <w:tcPr>
            <w:tcW w:w="2793" w:type="dxa"/>
            <w:shd w:val="clear" w:color="auto" w:fill="C6EFCE"/>
            <w:noWrap/>
            <w:vAlign w:val="center"/>
          </w:tcPr>
          <w:p w14:paraId="59AD17FA" w14:textId="2E925756" w:rsidR="00154E32" w:rsidRDefault="00A43E04">
            <w:pPr>
              <w:pStyle w:val="P68B1DB1-Normal12"/>
              <w:rPr>
                <w:rFonts w:ascii="Arial Narrow" w:hAnsi="Arial Narrow"/>
                <w:noProof/>
              </w:rPr>
            </w:pPr>
            <w:r>
              <w:rPr>
                <w:rFonts w:ascii="Arial Narrow" w:hAnsi="Arial Narrow"/>
                <w:noProof/>
              </w:rPr>
              <w:t>Obvestilo o oddaji javnih naročil za nakup vsaj 3000</w:t>
            </w:r>
            <w:r>
              <w:rPr>
                <w:noProof/>
              </w:rPr>
              <w:t xml:space="preserve"> </w:t>
            </w:r>
            <w:r>
              <w:rPr>
                <w:rFonts w:ascii="Arial Narrow" w:hAnsi="Arial Narrow"/>
                <w:noProof/>
              </w:rPr>
              <w:t>brezemisijskih nizkopodnih avtobusov.</w:t>
            </w:r>
          </w:p>
        </w:tc>
      </w:tr>
      <w:tr w:rsidR="00154E32" w14:paraId="3145F41B" w14:textId="77777777">
        <w:trPr>
          <w:trHeight w:val="309"/>
          <w:jc w:val="center"/>
        </w:trPr>
        <w:tc>
          <w:tcPr>
            <w:tcW w:w="1613" w:type="dxa"/>
            <w:shd w:val="clear" w:color="auto" w:fill="C6EFCE"/>
            <w:noWrap/>
            <w:vAlign w:val="center"/>
          </w:tcPr>
          <w:p w14:paraId="28A11FF2" w14:textId="590494B3" w:rsidR="00154E32" w:rsidRDefault="00A43E04">
            <w:pPr>
              <w:pStyle w:val="P68B1DB1-Normal11"/>
              <w:jc w:val="center"/>
              <w:rPr>
                <w:noProof/>
              </w:rPr>
            </w:pPr>
            <w:r>
              <w:rPr>
                <w:noProof/>
              </w:rPr>
              <w:t>M2C2–34</w:t>
            </w:r>
          </w:p>
        </w:tc>
        <w:tc>
          <w:tcPr>
            <w:tcW w:w="1643" w:type="dxa"/>
            <w:shd w:val="clear" w:color="auto" w:fill="C6EFCE"/>
            <w:noWrap/>
            <w:vAlign w:val="center"/>
          </w:tcPr>
          <w:p w14:paraId="48533CB6" w14:textId="1FC97417" w:rsidR="00154E32" w:rsidRDefault="00A43E04">
            <w:pPr>
              <w:pStyle w:val="P68B1DB1-Normal11"/>
              <w:jc w:val="center"/>
              <w:rPr>
                <w:noProof/>
              </w:rPr>
            </w:pPr>
            <w:r>
              <w:rPr>
                <w:noProof/>
              </w:rPr>
              <w:t>Naložba 4.4.1: Krepitev voznega parka avtobusov v regionalnem javnem prometu z brezemisijskimi nizkopodnimi avtobusi</w:t>
            </w:r>
          </w:p>
        </w:tc>
        <w:tc>
          <w:tcPr>
            <w:tcW w:w="1559" w:type="dxa"/>
            <w:shd w:val="clear" w:color="auto" w:fill="C6EFCE"/>
            <w:noWrap/>
            <w:vAlign w:val="center"/>
          </w:tcPr>
          <w:p w14:paraId="3C4CFBFE" w14:textId="0E7760C3" w:rsidR="00154E32" w:rsidRDefault="00A43E04">
            <w:pPr>
              <w:pStyle w:val="P68B1DB1-Normal11"/>
              <w:jc w:val="center"/>
              <w:rPr>
                <w:noProof/>
              </w:rPr>
            </w:pPr>
            <w:r>
              <w:rPr>
                <w:noProof/>
              </w:rPr>
              <w:t>Tarča</w:t>
            </w:r>
          </w:p>
        </w:tc>
        <w:tc>
          <w:tcPr>
            <w:tcW w:w="1559" w:type="dxa"/>
            <w:shd w:val="clear" w:color="auto" w:fill="C6EFCE"/>
            <w:noWrap/>
            <w:vAlign w:val="center"/>
          </w:tcPr>
          <w:p w14:paraId="706C0BFF" w14:textId="14C7DA7B" w:rsidR="00154E32" w:rsidRDefault="00A43E04">
            <w:pPr>
              <w:pStyle w:val="P68B1DB1-Normal11"/>
              <w:jc w:val="center"/>
              <w:rPr>
                <w:noProof/>
              </w:rPr>
            </w:pPr>
            <w:r>
              <w:rPr>
                <w:noProof/>
              </w:rPr>
              <w:t>Število brezemisijskih nizkopodnih avtobusov, kupljenih T1</w:t>
            </w:r>
          </w:p>
        </w:tc>
        <w:tc>
          <w:tcPr>
            <w:tcW w:w="1843" w:type="dxa"/>
            <w:shd w:val="clear" w:color="auto" w:fill="C6EFCE"/>
            <w:noWrap/>
            <w:vAlign w:val="center"/>
          </w:tcPr>
          <w:p w14:paraId="7C1535D6" w14:textId="521558A7" w:rsidR="00154E32" w:rsidRDefault="00A43E04">
            <w:pPr>
              <w:pStyle w:val="P68B1DB1-Normal11"/>
              <w:jc w:val="center"/>
              <w:rPr>
                <w:noProof/>
              </w:rPr>
            </w:pPr>
            <w:r>
              <w:rPr>
                <w:noProof/>
              </w:rPr>
              <w:t>JIH NI</w:t>
            </w:r>
          </w:p>
        </w:tc>
        <w:tc>
          <w:tcPr>
            <w:tcW w:w="1417" w:type="dxa"/>
            <w:shd w:val="clear" w:color="auto" w:fill="C6EFCE"/>
            <w:noWrap/>
            <w:vAlign w:val="center"/>
          </w:tcPr>
          <w:p w14:paraId="54BF4ADA" w14:textId="17F6F2CF" w:rsidR="00154E32" w:rsidRDefault="00A43E04">
            <w:pPr>
              <w:pStyle w:val="P68B1DB1-Normal11"/>
              <w:jc w:val="center"/>
              <w:rPr>
                <w:noProof/>
              </w:rPr>
            </w:pPr>
            <w:r>
              <w:rPr>
                <w:noProof/>
              </w:rPr>
              <w:t>Število</w:t>
            </w:r>
          </w:p>
        </w:tc>
        <w:tc>
          <w:tcPr>
            <w:tcW w:w="1134" w:type="dxa"/>
            <w:shd w:val="clear" w:color="auto" w:fill="C6EFCE"/>
            <w:noWrap/>
            <w:vAlign w:val="center"/>
          </w:tcPr>
          <w:p w14:paraId="49A76DA1" w14:textId="77CDB780" w:rsidR="00154E32" w:rsidRDefault="00A43E04">
            <w:pPr>
              <w:pStyle w:val="P68B1DB1-Normal11"/>
              <w:jc w:val="center"/>
              <w:rPr>
                <w:noProof/>
              </w:rPr>
            </w:pPr>
            <w:r>
              <w:rPr>
                <w:noProof/>
              </w:rPr>
              <w:t>0</w:t>
            </w:r>
          </w:p>
        </w:tc>
        <w:tc>
          <w:tcPr>
            <w:tcW w:w="946" w:type="dxa"/>
            <w:shd w:val="clear" w:color="auto" w:fill="C6EFCE"/>
            <w:noWrap/>
            <w:vAlign w:val="center"/>
          </w:tcPr>
          <w:p w14:paraId="37258A90" w14:textId="2A05B492" w:rsidR="00154E32" w:rsidRDefault="00A43E04">
            <w:pPr>
              <w:pStyle w:val="P68B1DB1-Normal11"/>
              <w:jc w:val="center"/>
              <w:rPr>
                <w:noProof/>
              </w:rPr>
            </w:pPr>
            <w:r>
              <w:rPr>
                <w:noProof/>
              </w:rPr>
              <w:t>800</w:t>
            </w:r>
          </w:p>
        </w:tc>
        <w:tc>
          <w:tcPr>
            <w:tcW w:w="992" w:type="dxa"/>
            <w:shd w:val="clear" w:color="auto" w:fill="C6EFCE"/>
            <w:noWrap/>
            <w:vAlign w:val="center"/>
          </w:tcPr>
          <w:p w14:paraId="36417E52" w14:textId="37ECFD50" w:rsidR="00154E32" w:rsidRDefault="00A43E04">
            <w:pPr>
              <w:pStyle w:val="P68B1DB1-Normal11"/>
              <w:jc w:val="center"/>
              <w:rPr>
                <w:noProof/>
              </w:rPr>
            </w:pPr>
            <w:r>
              <w:rPr>
                <w:noProof/>
              </w:rPr>
              <w:t>Q4</w:t>
            </w:r>
          </w:p>
        </w:tc>
        <w:tc>
          <w:tcPr>
            <w:tcW w:w="756" w:type="dxa"/>
            <w:shd w:val="clear" w:color="auto" w:fill="C6EFCE"/>
            <w:noWrap/>
            <w:vAlign w:val="center"/>
          </w:tcPr>
          <w:p w14:paraId="0997D89F" w14:textId="19BEA95A" w:rsidR="00154E32" w:rsidRDefault="00A43E04">
            <w:pPr>
              <w:pStyle w:val="P68B1DB1-Normal11"/>
              <w:jc w:val="center"/>
              <w:rPr>
                <w:noProof/>
              </w:rPr>
            </w:pPr>
            <w:r>
              <w:rPr>
                <w:noProof/>
              </w:rPr>
              <w:t>2024</w:t>
            </w:r>
          </w:p>
        </w:tc>
        <w:tc>
          <w:tcPr>
            <w:tcW w:w="2793" w:type="dxa"/>
            <w:shd w:val="clear" w:color="auto" w:fill="C6EFCE"/>
            <w:noWrap/>
            <w:vAlign w:val="center"/>
          </w:tcPr>
          <w:p w14:paraId="215E1485" w14:textId="42739984" w:rsidR="00154E32" w:rsidRDefault="00A43E04">
            <w:pPr>
              <w:pStyle w:val="P68B1DB1-Normal11"/>
              <w:rPr>
                <w:noProof/>
              </w:rPr>
            </w:pPr>
            <w:r>
              <w:rPr>
                <w:noProof/>
              </w:rPr>
              <w:t>Nakup vsaj 800 brezemisijskih nizkopodnih avtobusov, naročenih v okviru M2C2–32, za okrepitev zadevnega voznega parka.</w:t>
            </w:r>
          </w:p>
        </w:tc>
      </w:tr>
      <w:tr w:rsidR="00154E32" w14:paraId="688DD9EF" w14:textId="77777777">
        <w:trPr>
          <w:trHeight w:val="309"/>
          <w:jc w:val="center"/>
        </w:trPr>
        <w:tc>
          <w:tcPr>
            <w:tcW w:w="1613" w:type="dxa"/>
            <w:shd w:val="clear" w:color="auto" w:fill="C6EFCE"/>
            <w:noWrap/>
            <w:vAlign w:val="center"/>
          </w:tcPr>
          <w:p w14:paraId="6D7FB5A8" w14:textId="67D54327" w:rsidR="00154E32" w:rsidRDefault="00A43E04">
            <w:pPr>
              <w:pStyle w:val="P68B1DB1-Normal11"/>
              <w:jc w:val="center"/>
              <w:rPr>
                <w:noProof/>
              </w:rPr>
            </w:pPr>
            <w:r>
              <w:rPr>
                <w:noProof/>
              </w:rPr>
              <w:t>M2C2–34 Bis</w:t>
            </w:r>
          </w:p>
        </w:tc>
        <w:tc>
          <w:tcPr>
            <w:tcW w:w="1643" w:type="dxa"/>
            <w:shd w:val="clear" w:color="auto" w:fill="C6EFCE"/>
            <w:noWrap/>
            <w:vAlign w:val="center"/>
          </w:tcPr>
          <w:p w14:paraId="5768DE46" w14:textId="7B7E2613" w:rsidR="00154E32" w:rsidRDefault="00A43E04">
            <w:pPr>
              <w:pStyle w:val="P68B1DB1-Normal11"/>
              <w:jc w:val="center"/>
              <w:rPr>
                <w:noProof/>
              </w:rPr>
            </w:pPr>
            <w:r>
              <w:rPr>
                <w:noProof/>
              </w:rPr>
              <w:t>Naložba 4.4.2:  Krepitev regionalnega javnega železniškega voznega parka z brezemisijskimi vlaki in univerzalnimi storitvami</w:t>
            </w:r>
          </w:p>
        </w:tc>
        <w:tc>
          <w:tcPr>
            <w:tcW w:w="1559" w:type="dxa"/>
            <w:shd w:val="clear" w:color="auto" w:fill="C6EFCE"/>
            <w:noWrap/>
            <w:vAlign w:val="center"/>
          </w:tcPr>
          <w:p w14:paraId="6D24012A" w14:textId="3187B139" w:rsidR="00154E32" w:rsidRDefault="00A43E04">
            <w:pPr>
              <w:pStyle w:val="P68B1DB1-Normal11"/>
              <w:jc w:val="center"/>
              <w:rPr>
                <w:noProof/>
              </w:rPr>
            </w:pPr>
            <w:r>
              <w:rPr>
                <w:noProof/>
              </w:rPr>
              <w:t>Tarča</w:t>
            </w:r>
          </w:p>
        </w:tc>
        <w:tc>
          <w:tcPr>
            <w:tcW w:w="1559" w:type="dxa"/>
            <w:shd w:val="clear" w:color="auto" w:fill="C6EFCE"/>
            <w:noWrap/>
            <w:vAlign w:val="center"/>
          </w:tcPr>
          <w:p w14:paraId="194D8B04" w14:textId="3DA6972C" w:rsidR="00154E32" w:rsidRDefault="00A43E04">
            <w:pPr>
              <w:pStyle w:val="P68B1DB1-Normal11"/>
              <w:jc w:val="center"/>
              <w:rPr>
                <w:noProof/>
              </w:rPr>
            </w:pPr>
            <w:r>
              <w:rPr>
                <w:noProof/>
              </w:rPr>
              <w:t>Število vlakov z ničelnimi emisijami T1</w:t>
            </w:r>
          </w:p>
        </w:tc>
        <w:tc>
          <w:tcPr>
            <w:tcW w:w="1843" w:type="dxa"/>
            <w:shd w:val="clear" w:color="auto" w:fill="C6EFCE"/>
            <w:noWrap/>
            <w:vAlign w:val="center"/>
          </w:tcPr>
          <w:p w14:paraId="4EDADB83" w14:textId="3B02470E" w:rsidR="00154E32" w:rsidRDefault="00A43E04">
            <w:pPr>
              <w:pStyle w:val="P68B1DB1-Normal11"/>
              <w:jc w:val="center"/>
              <w:rPr>
                <w:noProof/>
              </w:rPr>
            </w:pPr>
            <w:r>
              <w:rPr>
                <w:noProof/>
              </w:rPr>
              <w:t>JIH NI</w:t>
            </w:r>
          </w:p>
        </w:tc>
        <w:tc>
          <w:tcPr>
            <w:tcW w:w="1417" w:type="dxa"/>
            <w:shd w:val="clear" w:color="auto" w:fill="C6EFCE"/>
            <w:noWrap/>
            <w:vAlign w:val="center"/>
          </w:tcPr>
          <w:p w14:paraId="3D24203C" w14:textId="616CB648" w:rsidR="00154E32" w:rsidRDefault="00A43E04">
            <w:pPr>
              <w:pStyle w:val="P68B1DB1-Normal11"/>
              <w:jc w:val="center"/>
              <w:rPr>
                <w:noProof/>
              </w:rPr>
            </w:pPr>
            <w:r>
              <w:rPr>
                <w:noProof/>
              </w:rPr>
              <w:t>Število</w:t>
            </w:r>
          </w:p>
        </w:tc>
        <w:tc>
          <w:tcPr>
            <w:tcW w:w="1134" w:type="dxa"/>
            <w:shd w:val="clear" w:color="auto" w:fill="C6EFCE"/>
            <w:noWrap/>
            <w:vAlign w:val="center"/>
          </w:tcPr>
          <w:p w14:paraId="2DF56A00" w14:textId="2299CBF6" w:rsidR="00154E32" w:rsidRDefault="00A43E04">
            <w:pPr>
              <w:pStyle w:val="P68B1DB1-Normal11"/>
              <w:jc w:val="center"/>
              <w:rPr>
                <w:noProof/>
              </w:rPr>
            </w:pPr>
            <w:r>
              <w:rPr>
                <w:noProof/>
              </w:rPr>
              <w:t>0</w:t>
            </w:r>
          </w:p>
        </w:tc>
        <w:tc>
          <w:tcPr>
            <w:tcW w:w="946" w:type="dxa"/>
            <w:shd w:val="clear" w:color="auto" w:fill="C6EFCE"/>
            <w:noWrap/>
            <w:vAlign w:val="center"/>
          </w:tcPr>
          <w:p w14:paraId="3AF0516D" w14:textId="0132741D" w:rsidR="00154E32" w:rsidRDefault="00A43E04">
            <w:pPr>
              <w:pStyle w:val="P68B1DB1-Normal11"/>
              <w:jc w:val="center"/>
              <w:rPr>
                <w:noProof/>
              </w:rPr>
            </w:pPr>
            <w:r>
              <w:rPr>
                <w:noProof/>
              </w:rPr>
              <w:t>25</w:t>
            </w:r>
          </w:p>
        </w:tc>
        <w:tc>
          <w:tcPr>
            <w:tcW w:w="992" w:type="dxa"/>
            <w:shd w:val="clear" w:color="auto" w:fill="C6EFCE"/>
            <w:noWrap/>
            <w:vAlign w:val="center"/>
          </w:tcPr>
          <w:p w14:paraId="30708AC1" w14:textId="079D248D" w:rsidR="00154E32" w:rsidRDefault="00A43E04">
            <w:pPr>
              <w:pStyle w:val="P68B1DB1-Normal11"/>
              <w:jc w:val="center"/>
              <w:rPr>
                <w:noProof/>
              </w:rPr>
            </w:pPr>
            <w:r>
              <w:rPr>
                <w:noProof/>
              </w:rPr>
              <w:t>Q4</w:t>
            </w:r>
          </w:p>
        </w:tc>
        <w:tc>
          <w:tcPr>
            <w:tcW w:w="756" w:type="dxa"/>
            <w:shd w:val="clear" w:color="auto" w:fill="C6EFCE"/>
            <w:noWrap/>
            <w:vAlign w:val="center"/>
          </w:tcPr>
          <w:p w14:paraId="6887E4E1" w14:textId="328FE88D" w:rsidR="00154E32" w:rsidRDefault="00A43E04">
            <w:pPr>
              <w:pStyle w:val="P68B1DB1-Normal11"/>
              <w:jc w:val="center"/>
              <w:rPr>
                <w:noProof/>
              </w:rPr>
            </w:pPr>
            <w:r>
              <w:rPr>
                <w:noProof/>
              </w:rPr>
              <w:t>2024</w:t>
            </w:r>
          </w:p>
        </w:tc>
        <w:tc>
          <w:tcPr>
            <w:tcW w:w="2793" w:type="dxa"/>
            <w:shd w:val="clear" w:color="auto" w:fill="C6EFCE"/>
            <w:noWrap/>
            <w:vAlign w:val="center"/>
          </w:tcPr>
          <w:p w14:paraId="4064729D" w14:textId="55D93875" w:rsidR="00154E32" w:rsidRDefault="00A43E04">
            <w:pPr>
              <w:pStyle w:val="P68B1DB1-Normal11"/>
              <w:rPr>
                <w:noProof/>
              </w:rPr>
            </w:pPr>
            <w:r>
              <w:rPr>
                <w:noProof/>
              </w:rPr>
              <w:t>Pridobitev ES-izjave o verifikaciji skladnosti v skladu s členom 15 zakonodajnega odloka št. 57/2019 (tj. Dichiarazione di verifica di conformità CE di cui all’art 15 del D.Lgs 57/2019) za vsaj 25 brezemisijskih vlakov za okrepitev zadevnega voznega parka.</w:t>
            </w:r>
          </w:p>
        </w:tc>
      </w:tr>
      <w:tr w:rsidR="00154E32" w14:paraId="7D822BE4" w14:textId="77777777">
        <w:trPr>
          <w:trHeight w:val="309"/>
          <w:jc w:val="center"/>
        </w:trPr>
        <w:tc>
          <w:tcPr>
            <w:tcW w:w="1613" w:type="dxa"/>
            <w:shd w:val="clear" w:color="auto" w:fill="C6EFCE"/>
            <w:noWrap/>
            <w:vAlign w:val="center"/>
          </w:tcPr>
          <w:p w14:paraId="644AD3AC" w14:textId="0957D0CA" w:rsidR="00154E32" w:rsidRDefault="00A43E04">
            <w:pPr>
              <w:pStyle w:val="P68B1DB1-Normal11"/>
              <w:jc w:val="center"/>
              <w:rPr>
                <w:noProof/>
              </w:rPr>
            </w:pPr>
            <w:r>
              <w:rPr>
                <w:noProof/>
              </w:rPr>
              <w:t>M2C2–35</w:t>
            </w:r>
          </w:p>
        </w:tc>
        <w:tc>
          <w:tcPr>
            <w:tcW w:w="1643" w:type="dxa"/>
            <w:shd w:val="clear" w:color="auto" w:fill="C6EFCE"/>
            <w:noWrap/>
            <w:vAlign w:val="center"/>
          </w:tcPr>
          <w:p w14:paraId="25A765E5" w14:textId="08F17CF3" w:rsidR="00154E32" w:rsidRDefault="00A43E04">
            <w:pPr>
              <w:pStyle w:val="P68B1DB1-Normal19"/>
              <w:jc w:val="center"/>
              <w:rPr>
                <w:noProof/>
                <w:color w:val="006100"/>
              </w:rPr>
            </w:pPr>
            <w:r>
              <w:rPr>
                <w:noProof/>
                <w:color w:val="006100"/>
              </w:rPr>
              <w:t>Naložba 4.4.1: Krepitev voznega parka avtobusov v regionalnem javnem prometu z</w:t>
            </w:r>
            <w:r>
              <w:rPr>
                <w:noProof/>
              </w:rPr>
              <w:t xml:space="preserve"> </w:t>
            </w:r>
            <w:r>
              <w:rPr>
                <w:noProof/>
                <w:color w:val="006100"/>
              </w:rPr>
              <w:t>brezemisijskimi nizkopodnimi avtobusi –</w:t>
            </w:r>
          </w:p>
        </w:tc>
        <w:tc>
          <w:tcPr>
            <w:tcW w:w="1559" w:type="dxa"/>
            <w:shd w:val="clear" w:color="auto" w:fill="C6EFCE"/>
            <w:noWrap/>
            <w:vAlign w:val="center"/>
          </w:tcPr>
          <w:p w14:paraId="21FCD810" w14:textId="33532628" w:rsidR="00154E32" w:rsidRDefault="00A43E04">
            <w:pPr>
              <w:pStyle w:val="P68B1DB1-Normal11"/>
              <w:jc w:val="center"/>
              <w:rPr>
                <w:noProof/>
              </w:rPr>
            </w:pPr>
            <w:r>
              <w:rPr>
                <w:noProof/>
              </w:rPr>
              <w:t>Tarča</w:t>
            </w:r>
          </w:p>
        </w:tc>
        <w:tc>
          <w:tcPr>
            <w:tcW w:w="1559" w:type="dxa"/>
            <w:shd w:val="clear" w:color="auto" w:fill="C6EFCE"/>
            <w:noWrap/>
            <w:vAlign w:val="center"/>
          </w:tcPr>
          <w:p w14:paraId="7BF9976E" w14:textId="17EBA8FF" w:rsidR="00154E32" w:rsidRDefault="00A43E04">
            <w:pPr>
              <w:pStyle w:val="P68B1DB1-Normal11"/>
              <w:jc w:val="center"/>
              <w:rPr>
                <w:noProof/>
              </w:rPr>
            </w:pPr>
            <w:r>
              <w:rPr>
                <w:noProof/>
              </w:rPr>
              <w:t>Število brezemisijskih nizkopodnih avtobusov, ki so začeli veljati T2</w:t>
            </w:r>
          </w:p>
        </w:tc>
        <w:tc>
          <w:tcPr>
            <w:tcW w:w="1843" w:type="dxa"/>
            <w:shd w:val="clear" w:color="auto" w:fill="C6EFCE"/>
            <w:noWrap/>
            <w:vAlign w:val="center"/>
          </w:tcPr>
          <w:p w14:paraId="31334AF3" w14:textId="46BEF7A8" w:rsidR="00154E32" w:rsidRDefault="00A43E04">
            <w:pPr>
              <w:pStyle w:val="P68B1DB1-Normal11"/>
              <w:jc w:val="center"/>
              <w:rPr>
                <w:noProof/>
              </w:rPr>
            </w:pPr>
            <w:r>
              <w:rPr>
                <w:noProof/>
              </w:rPr>
              <w:t>JIH NI</w:t>
            </w:r>
          </w:p>
        </w:tc>
        <w:tc>
          <w:tcPr>
            <w:tcW w:w="1417" w:type="dxa"/>
            <w:shd w:val="clear" w:color="auto" w:fill="C6EFCE"/>
            <w:noWrap/>
            <w:vAlign w:val="center"/>
          </w:tcPr>
          <w:p w14:paraId="17CF2D03" w14:textId="272FCAA4" w:rsidR="00154E32" w:rsidRDefault="00A43E04">
            <w:pPr>
              <w:pStyle w:val="P68B1DB1-Normal11"/>
              <w:jc w:val="center"/>
              <w:rPr>
                <w:noProof/>
              </w:rPr>
            </w:pPr>
            <w:r>
              <w:rPr>
                <w:noProof/>
              </w:rPr>
              <w:t>Število</w:t>
            </w:r>
          </w:p>
        </w:tc>
        <w:tc>
          <w:tcPr>
            <w:tcW w:w="1134" w:type="dxa"/>
            <w:shd w:val="clear" w:color="auto" w:fill="C6EFCE"/>
            <w:noWrap/>
            <w:vAlign w:val="center"/>
          </w:tcPr>
          <w:p w14:paraId="01FE92AD" w14:textId="6F7DAA8D" w:rsidR="00154E32" w:rsidRDefault="00A43E04">
            <w:pPr>
              <w:pStyle w:val="P68B1DB1-Normal11"/>
              <w:jc w:val="center"/>
              <w:rPr>
                <w:noProof/>
              </w:rPr>
            </w:pPr>
            <w:r>
              <w:rPr>
                <w:noProof/>
              </w:rPr>
              <w:t>0</w:t>
            </w:r>
          </w:p>
        </w:tc>
        <w:tc>
          <w:tcPr>
            <w:tcW w:w="946" w:type="dxa"/>
            <w:shd w:val="clear" w:color="auto" w:fill="C6EFCE"/>
            <w:noWrap/>
            <w:vAlign w:val="center"/>
          </w:tcPr>
          <w:p w14:paraId="1E4DAE5F" w14:textId="21B70E26" w:rsidR="00154E32" w:rsidRDefault="00A43E04">
            <w:pPr>
              <w:pStyle w:val="P68B1DB1-Normal12"/>
              <w:jc w:val="center"/>
              <w:rPr>
                <w:rFonts w:ascii="Arial Narrow" w:hAnsi="Arial Narrow"/>
                <w:noProof/>
              </w:rPr>
            </w:pPr>
            <w:r>
              <w:rPr>
                <w:rFonts w:ascii="Arial Narrow" w:hAnsi="Arial Narrow"/>
                <w:noProof/>
              </w:rPr>
              <w:t>3</w:t>
            </w:r>
            <w:r>
              <w:rPr>
                <w:noProof/>
              </w:rPr>
              <w:t xml:space="preserve"> </w:t>
            </w:r>
            <w:r>
              <w:rPr>
                <w:rFonts w:ascii="Arial Narrow" w:hAnsi="Arial Narrow"/>
                <w:noProof/>
              </w:rPr>
              <w:t>000</w:t>
            </w:r>
          </w:p>
        </w:tc>
        <w:tc>
          <w:tcPr>
            <w:tcW w:w="992" w:type="dxa"/>
            <w:shd w:val="clear" w:color="auto" w:fill="C6EFCE"/>
            <w:noWrap/>
            <w:vAlign w:val="center"/>
          </w:tcPr>
          <w:p w14:paraId="25273CD8" w14:textId="2A3FE4D5" w:rsidR="00154E32" w:rsidRDefault="00A43E04">
            <w:pPr>
              <w:pStyle w:val="P68B1DB1-Normal11"/>
              <w:jc w:val="center"/>
              <w:rPr>
                <w:noProof/>
              </w:rPr>
            </w:pPr>
            <w:r>
              <w:rPr>
                <w:noProof/>
              </w:rPr>
              <w:t>Q2</w:t>
            </w:r>
          </w:p>
        </w:tc>
        <w:tc>
          <w:tcPr>
            <w:tcW w:w="756" w:type="dxa"/>
            <w:shd w:val="clear" w:color="auto" w:fill="C6EFCE"/>
            <w:noWrap/>
            <w:vAlign w:val="center"/>
          </w:tcPr>
          <w:p w14:paraId="6D55FC23" w14:textId="703A7CAB" w:rsidR="00154E32" w:rsidRDefault="00A43E04">
            <w:pPr>
              <w:pStyle w:val="P68B1DB1-Normal11"/>
              <w:jc w:val="center"/>
              <w:rPr>
                <w:noProof/>
              </w:rPr>
            </w:pPr>
            <w:r>
              <w:rPr>
                <w:noProof/>
              </w:rPr>
              <w:t>2026</w:t>
            </w:r>
          </w:p>
        </w:tc>
        <w:tc>
          <w:tcPr>
            <w:tcW w:w="2793" w:type="dxa"/>
            <w:shd w:val="clear" w:color="auto" w:fill="C6EFCE"/>
            <w:noWrap/>
            <w:vAlign w:val="center"/>
          </w:tcPr>
          <w:p w14:paraId="16B6CA78" w14:textId="454920F6" w:rsidR="00154E32" w:rsidRDefault="00A43E04">
            <w:pPr>
              <w:pStyle w:val="P68B1DB1-Normal12"/>
              <w:rPr>
                <w:rFonts w:ascii="Arial Narrow" w:hAnsi="Arial Narrow"/>
                <w:noProof/>
              </w:rPr>
            </w:pPr>
            <w:r>
              <w:rPr>
                <w:rFonts w:ascii="Arial Narrow" w:hAnsi="Arial Narrow"/>
                <w:noProof/>
              </w:rPr>
              <w:t>Začetek uporabe vsaj 3000</w:t>
            </w:r>
            <w:r>
              <w:rPr>
                <w:noProof/>
              </w:rPr>
              <w:t xml:space="preserve"> </w:t>
            </w:r>
            <w:r>
              <w:rPr>
                <w:rFonts w:ascii="Arial Narrow" w:hAnsi="Arial Narrow"/>
                <w:noProof/>
              </w:rPr>
              <w:t>brezemisijskih nizkopodnih avtobusov, naročenih v okviru M2C2–32, za okrepitev zadevnega voznega parka.</w:t>
            </w:r>
          </w:p>
        </w:tc>
      </w:tr>
      <w:tr w:rsidR="00154E32" w14:paraId="57131C8F" w14:textId="77777777">
        <w:trPr>
          <w:trHeight w:val="309"/>
          <w:jc w:val="center"/>
        </w:trPr>
        <w:tc>
          <w:tcPr>
            <w:tcW w:w="1613" w:type="dxa"/>
            <w:shd w:val="clear" w:color="auto" w:fill="C6EFCE"/>
            <w:noWrap/>
            <w:vAlign w:val="center"/>
          </w:tcPr>
          <w:p w14:paraId="65D8EC3C" w14:textId="00F19994" w:rsidR="00154E32" w:rsidRDefault="00A43E04">
            <w:pPr>
              <w:pStyle w:val="P68B1DB1-Normal11"/>
              <w:jc w:val="center"/>
              <w:rPr>
                <w:noProof/>
              </w:rPr>
            </w:pPr>
            <w:r>
              <w:rPr>
                <w:noProof/>
              </w:rPr>
              <w:t>M2C2–35 ter</w:t>
            </w:r>
          </w:p>
        </w:tc>
        <w:tc>
          <w:tcPr>
            <w:tcW w:w="1643" w:type="dxa"/>
            <w:shd w:val="clear" w:color="auto" w:fill="C6EFCE"/>
            <w:noWrap/>
            <w:vAlign w:val="center"/>
          </w:tcPr>
          <w:p w14:paraId="4DEBB833" w14:textId="4F9D7C4F" w:rsidR="00154E32" w:rsidRDefault="00A43E04">
            <w:pPr>
              <w:pStyle w:val="P68B1DB1-Normal11"/>
              <w:jc w:val="center"/>
              <w:rPr>
                <w:noProof/>
              </w:rPr>
            </w:pPr>
            <w:r>
              <w:rPr>
                <w:noProof/>
              </w:rPr>
              <w:t>Naložba 4.4.1: Krepitev voznega parka avtobusnega prevoza v regionalnem javnem prometu z vozili na čista goriva</w:t>
            </w:r>
          </w:p>
        </w:tc>
        <w:tc>
          <w:tcPr>
            <w:tcW w:w="1559" w:type="dxa"/>
            <w:shd w:val="clear" w:color="auto" w:fill="C6EFCE"/>
            <w:noWrap/>
            <w:vAlign w:val="center"/>
          </w:tcPr>
          <w:p w14:paraId="670666C6" w14:textId="67B6CFB8" w:rsidR="00154E32" w:rsidRDefault="00A43E04">
            <w:pPr>
              <w:pStyle w:val="P68B1DB1-Normal11"/>
              <w:jc w:val="center"/>
              <w:rPr>
                <w:noProof/>
              </w:rPr>
            </w:pPr>
            <w:r>
              <w:rPr>
                <w:noProof/>
              </w:rPr>
              <w:t>Tarča</w:t>
            </w:r>
          </w:p>
        </w:tc>
        <w:tc>
          <w:tcPr>
            <w:tcW w:w="1559" w:type="dxa"/>
            <w:shd w:val="clear" w:color="auto" w:fill="C6EFCE"/>
            <w:noWrap/>
            <w:vAlign w:val="center"/>
          </w:tcPr>
          <w:p w14:paraId="7BA1A97F" w14:textId="6B4BB629" w:rsidR="00154E32" w:rsidRDefault="00A43E04">
            <w:pPr>
              <w:pStyle w:val="P68B1DB1-Normal11"/>
              <w:jc w:val="center"/>
              <w:rPr>
                <w:noProof/>
              </w:rPr>
            </w:pPr>
            <w:r>
              <w:rPr>
                <w:noProof/>
              </w:rPr>
              <w:t>Število polnilnih postaj za brezemisijske in nizkoemisijske nizkopodne avtobuse</w:t>
            </w:r>
          </w:p>
        </w:tc>
        <w:tc>
          <w:tcPr>
            <w:tcW w:w="1843" w:type="dxa"/>
            <w:shd w:val="clear" w:color="auto" w:fill="C6EFCE"/>
            <w:noWrap/>
            <w:vAlign w:val="center"/>
          </w:tcPr>
          <w:p w14:paraId="03F058BD" w14:textId="77777777" w:rsidR="00154E32" w:rsidRDefault="00154E32">
            <w:pPr>
              <w:jc w:val="center"/>
              <w:rPr>
                <w:rFonts w:ascii="Arial Narrow" w:hAnsi="Arial Narrow"/>
                <w:noProof/>
                <w:color w:val="006100"/>
                <w:sz w:val="20"/>
              </w:rPr>
            </w:pPr>
          </w:p>
        </w:tc>
        <w:tc>
          <w:tcPr>
            <w:tcW w:w="1417" w:type="dxa"/>
            <w:shd w:val="clear" w:color="auto" w:fill="C6EFCE"/>
            <w:noWrap/>
            <w:vAlign w:val="center"/>
          </w:tcPr>
          <w:p w14:paraId="3688F7D8" w14:textId="52982773" w:rsidR="00154E32" w:rsidRDefault="00A43E04">
            <w:pPr>
              <w:pStyle w:val="P68B1DB1-Normal11"/>
              <w:jc w:val="center"/>
              <w:rPr>
                <w:noProof/>
              </w:rPr>
            </w:pPr>
            <w:r>
              <w:rPr>
                <w:noProof/>
              </w:rPr>
              <w:t>Število</w:t>
            </w:r>
          </w:p>
        </w:tc>
        <w:tc>
          <w:tcPr>
            <w:tcW w:w="1134" w:type="dxa"/>
            <w:shd w:val="clear" w:color="auto" w:fill="C6EFCE"/>
            <w:noWrap/>
            <w:vAlign w:val="center"/>
          </w:tcPr>
          <w:p w14:paraId="3F98E140" w14:textId="322E37A0" w:rsidR="00154E32" w:rsidRDefault="00A43E04">
            <w:pPr>
              <w:pStyle w:val="P68B1DB1-Normal11"/>
              <w:jc w:val="center"/>
              <w:rPr>
                <w:noProof/>
              </w:rPr>
            </w:pPr>
            <w:r>
              <w:rPr>
                <w:noProof/>
              </w:rPr>
              <w:t>0</w:t>
            </w:r>
          </w:p>
        </w:tc>
        <w:tc>
          <w:tcPr>
            <w:tcW w:w="946" w:type="dxa"/>
            <w:shd w:val="clear" w:color="auto" w:fill="C6EFCE"/>
            <w:noWrap/>
            <w:vAlign w:val="center"/>
          </w:tcPr>
          <w:p w14:paraId="67062E89" w14:textId="06A69D27" w:rsidR="00154E32" w:rsidRDefault="00A43E04">
            <w:pPr>
              <w:pStyle w:val="P68B1DB1-Normal12"/>
              <w:jc w:val="center"/>
              <w:rPr>
                <w:rFonts w:ascii="Arial Narrow" w:hAnsi="Arial Narrow"/>
                <w:noProof/>
              </w:rPr>
            </w:pPr>
            <w:r>
              <w:rPr>
                <w:rFonts w:ascii="Arial Narrow" w:hAnsi="Arial Narrow"/>
                <w:noProof/>
              </w:rPr>
              <w:t>1</w:t>
            </w:r>
            <w:r>
              <w:rPr>
                <w:noProof/>
              </w:rPr>
              <w:t xml:space="preserve"> </w:t>
            </w:r>
            <w:r>
              <w:rPr>
                <w:rFonts w:ascii="Arial Narrow" w:hAnsi="Arial Narrow"/>
                <w:noProof/>
              </w:rPr>
              <w:t>000</w:t>
            </w:r>
          </w:p>
        </w:tc>
        <w:tc>
          <w:tcPr>
            <w:tcW w:w="992" w:type="dxa"/>
            <w:shd w:val="clear" w:color="auto" w:fill="C6EFCE"/>
            <w:noWrap/>
            <w:vAlign w:val="center"/>
          </w:tcPr>
          <w:p w14:paraId="73343940" w14:textId="7CBA4C0C" w:rsidR="00154E32" w:rsidRDefault="00A43E04">
            <w:pPr>
              <w:pStyle w:val="P68B1DB1-Normal11"/>
              <w:jc w:val="center"/>
              <w:rPr>
                <w:noProof/>
              </w:rPr>
            </w:pPr>
            <w:r>
              <w:rPr>
                <w:noProof/>
              </w:rPr>
              <w:t>Q2</w:t>
            </w:r>
          </w:p>
        </w:tc>
        <w:tc>
          <w:tcPr>
            <w:tcW w:w="756" w:type="dxa"/>
            <w:shd w:val="clear" w:color="auto" w:fill="C6EFCE"/>
            <w:noWrap/>
            <w:vAlign w:val="center"/>
          </w:tcPr>
          <w:p w14:paraId="35853347" w14:textId="1204565B" w:rsidR="00154E32" w:rsidRDefault="00A43E04">
            <w:pPr>
              <w:pStyle w:val="P68B1DB1-Normal11"/>
              <w:jc w:val="center"/>
              <w:rPr>
                <w:noProof/>
              </w:rPr>
            </w:pPr>
            <w:r>
              <w:rPr>
                <w:noProof/>
              </w:rPr>
              <w:t>2026</w:t>
            </w:r>
          </w:p>
        </w:tc>
        <w:tc>
          <w:tcPr>
            <w:tcW w:w="2793" w:type="dxa"/>
            <w:shd w:val="clear" w:color="auto" w:fill="C6EFCE"/>
            <w:noWrap/>
            <w:vAlign w:val="center"/>
          </w:tcPr>
          <w:p w14:paraId="520CFB57" w14:textId="40E79060" w:rsidR="00154E32" w:rsidRDefault="00A43E04">
            <w:pPr>
              <w:pStyle w:val="P68B1DB1-Normal12"/>
              <w:rPr>
                <w:rFonts w:ascii="Arial Narrow" w:hAnsi="Arial Narrow"/>
                <w:noProof/>
              </w:rPr>
            </w:pPr>
            <w:r>
              <w:rPr>
                <w:rFonts w:ascii="Arial Narrow" w:hAnsi="Arial Narrow"/>
                <w:noProof/>
              </w:rPr>
              <w:t>Začetek obratovanja vsaj 1000</w:t>
            </w:r>
            <w:r>
              <w:rPr>
                <w:noProof/>
              </w:rPr>
              <w:t xml:space="preserve"> </w:t>
            </w:r>
            <w:r>
              <w:rPr>
                <w:rFonts w:ascii="Arial Narrow" w:hAnsi="Arial Narrow"/>
                <w:noProof/>
              </w:rPr>
              <w:t>polnilnih postaj za brezemisijske ali nizkoemisijske nizkopodne avtobuse.</w:t>
            </w:r>
          </w:p>
        </w:tc>
      </w:tr>
      <w:tr w:rsidR="00154E32" w14:paraId="3B3A3368" w14:textId="77777777">
        <w:trPr>
          <w:trHeight w:val="309"/>
          <w:jc w:val="center"/>
        </w:trPr>
        <w:tc>
          <w:tcPr>
            <w:tcW w:w="1613" w:type="dxa"/>
            <w:shd w:val="clear" w:color="auto" w:fill="C6EFCE"/>
            <w:noWrap/>
            <w:vAlign w:val="center"/>
          </w:tcPr>
          <w:p w14:paraId="0FC13E9E" w14:textId="63167281" w:rsidR="00154E32" w:rsidRDefault="00A43E04">
            <w:pPr>
              <w:pStyle w:val="P68B1DB1-Normal11"/>
              <w:jc w:val="center"/>
              <w:rPr>
                <w:noProof/>
              </w:rPr>
            </w:pPr>
            <w:r>
              <w:rPr>
                <w:noProof/>
              </w:rPr>
              <w:t xml:space="preserve">M2C2–35 bis </w:t>
            </w:r>
          </w:p>
        </w:tc>
        <w:tc>
          <w:tcPr>
            <w:tcW w:w="1643" w:type="dxa"/>
            <w:shd w:val="clear" w:color="auto" w:fill="C6EFCE"/>
            <w:noWrap/>
            <w:vAlign w:val="center"/>
          </w:tcPr>
          <w:p w14:paraId="038BF8F0" w14:textId="6F33A523" w:rsidR="00154E32" w:rsidRDefault="00A43E04">
            <w:pPr>
              <w:pStyle w:val="P68B1DB1-Normal11"/>
              <w:jc w:val="center"/>
              <w:rPr>
                <w:noProof/>
              </w:rPr>
            </w:pPr>
            <w:r>
              <w:rPr>
                <w:noProof/>
              </w:rPr>
              <w:t>Naložba 4.4.2:  Krepitev regionalnega javnega železniškega voznega parka z brezemisijskimi vlaki in univerzalnimi storitvami</w:t>
            </w:r>
          </w:p>
        </w:tc>
        <w:tc>
          <w:tcPr>
            <w:tcW w:w="1559" w:type="dxa"/>
            <w:shd w:val="clear" w:color="auto" w:fill="C6EFCE"/>
            <w:noWrap/>
            <w:vAlign w:val="center"/>
          </w:tcPr>
          <w:p w14:paraId="2BD9B1E2" w14:textId="2B532D99" w:rsidR="00154E32" w:rsidRDefault="00A43E04">
            <w:pPr>
              <w:pStyle w:val="P68B1DB1-Normal11"/>
              <w:jc w:val="center"/>
              <w:rPr>
                <w:noProof/>
              </w:rPr>
            </w:pPr>
            <w:r>
              <w:rPr>
                <w:noProof/>
              </w:rPr>
              <w:t>Tarča</w:t>
            </w:r>
          </w:p>
        </w:tc>
        <w:tc>
          <w:tcPr>
            <w:tcW w:w="1559" w:type="dxa"/>
            <w:shd w:val="clear" w:color="auto" w:fill="C6EFCE"/>
            <w:noWrap/>
            <w:vAlign w:val="center"/>
          </w:tcPr>
          <w:p w14:paraId="5989E266" w14:textId="3109000E" w:rsidR="00154E32" w:rsidRDefault="00A43E04">
            <w:pPr>
              <w:pStyle w:val="P68B1DB1-Normal11"/>
              <w:jc w:val="center"/>
              <w:rPr>
                <w:noProof/>
              </w:rPr>
            </w:pPr>
            <w:r>
              <w:rPr>
                <w:noProof/>
              </w:rPr>
              <w:t xml:space="preserve">Število vlakov brez emisij in število prevoznih sredstev za univerzalno storitev </w:t>
            </w:r>
          </w:p>
        </w:tc>
        <w:tc>
          <w:tcPr>
            <w:tcW w:w="1843" w:type="dxa"/>
            <w:shd w:val="clear" w:color="auto" w:fill="C6EFCE"/>
            <w:noWrap/>
            <w:vAlign w:val="center"/>
          </w:tcPr>
          <w:p w14:paraId="19BF3ED8" w14:textId="4153D8C6" w:rsidR="00154E32" w:rsidRDefault="00A43E04">
            <w:pPr>
              <w:pStyle w:val="P68B1DB1-Normal11"/>
              <w:jc w:val="center"/>
              <w:rPr>
                <w:noProof/>
              </w:rPr>
            </w:pPr>
            <w:r>
              <w:rPr>
                <w:noProof/>
              </w:rPr>
              <w:t>JIH NI</w:t>
            </w:r>
          </w:p>
        </w:tc>
        <w:tc>
          <w:tcPr>
            <w:tcW w:w="1417" w:type="dxa"/>
            <w:shd w:val="clear" w:color="auto" w:fill="C6EFCE"/>
            <w:noWrap/>
            <w:vAlign w:val="center"/>
          </w:tcPr>
          <w:p w14:paraId="58DAAB80" w14:textId="48B00CE7" w:rsidR="00154E32" w:rsidRDefault="00A43E04">
            <w:pPr>
              <w:pStyle w:val="P68B1DB1-Normal11"/>
              <w:jc w:val="center"/>
              <w:rPr>
                <w:noProof/>
              </w:rPr>
            </w:pPr>
            <w:r>
              <w:rPr>
                <w:noProof/>
              </w:rPr>
              <w:t>Število</w:t>
            </w:r>
          </w:p>
        </w:tc>
        <w:tc>
          <w:tcPr>
            <w:tcW w:w="1134" w:type="dxa"/>
            <w:shd w:val="clear" w:color="auto" w:fill="C6EFCE"/>
            <w:noWrap/>
            <w:vAlign w:val="center"/>
          </w:tcPr>
          <w:p w14:paraId="57F22ED5" w14:textId="24EBE61E" w:rsidR="00154E32" w:rsidRDefault="00A43E04">
            <w:pPr>
              <w:pStyle w:val="P68B1DB1-Normal11"/>
              <w:jc w:val="center"/>
              <w:rPr>
                <w:noProof/>
              </w:rPr>
            </w:pPr>
            <w:r>
              <w:rPr>
                <w:noProof/>
              </w:rPr>
              <w:t>25</w:t>
            </w:r>
          </w:p>
        </w:tc>
        <w:tc>
          <w:tcPr>
            <w:tcW w:w="946" w:type="dxa"/>
            <w:shd w:val="clear" w:color="auto" w:fill="C6EFCE"/>
            <w:noWrap/>
            <w:vAlign w:val="center"/>
          </w:tcPr>
          <w:p w14:paraId="00FB7959" w14:textId="08E7CB78" w:rsidR="00154E32" w:rsidRDefault="00A43E04">
            <w:pPr>
              <w:pStyle w:val="P68B1DB1-Normal11"/>
              <w:jc w:val="center"/>
              <w:rPr>
                <w:noProof/>
              </w:rPr>
            </w:pPr>
            <w:r>
              <w:rPr>
                <w:noProof/>
              </w:rPr>
              <w:t>66</w:t>
            </w:r>
          </w:p>
        </w:tc>
        <w:tc>
          <w:tcPr>
            <w:tcW w:w="992" w:type="dxa"/>
            <w:shd w:val="clear" w:color="auto" w:fill="C6EFCE"/>
            <w:noWrap/>
            <w:vAlign w:val="center"/>
          </w:tcPr>
          <w:p w14:paraId="4A6B0840" w14:textId="3F756168" w:rsidR="00154E32" w:rsidRDefault="00A43E04">
            <w:pPr>
              <w:pStyle w:val="P68B1DB1-Normal11"/>
              <w:jc w:val="center"/>
              <w:rPr>
                <w:noProof/>
              </w:rPr>
            </w:pPr>
            <w:r>
              <w:rPr>
                <w:noProof/>
              </w:rPr>
              <w:t>Q2</w:t>
            </w:r>
          </w:p>
        </w:tc>
        <w:tc>
          <w:tcPr>
            <w:tcW w:w="756" w:type="dxa"/>
            <w:shd w:val="clear" w:color="auto" w:fill="C6EFCE"/>
            <w:noWrap/>
            <w:vAlign w:val="center"/>
          </w:tcPr>
          <w:p w14:paraId="07284C95" w14:textId="1526B012" w:rsidR="00154E32" w:rsidRDefault="00A43E04">
            <w:pPr>
              <w:pStyle w:val="P68B1DB1-Normal11"/>
              <w:jc w:val="center"/>
              <w:rPr>
                <w:noProof/>
              </w:rPr>
            </w:pPr>
            <w:r>
              <w:rPr>
                <w:noProof/>
              </w:rPr>
              <w:t>2026</w:t>
            </w:r>
          </w:p>
        </w:tc>
        <w:tc>
          <w:tcPr>
            <w:tcW w:w="2793" w:type="dxa"/>
            <w:shd w:val="clear" w:color="auto" w:fill="C6EFCE"/>
            <w:noWrap/>
            <w:vAlign w:val="center"/>
          </w:tcPr>
          <w:p w14:paraId="083D5B7D" w14:textId="77777777" w:rsidR="00154E32" w:rsidRDefault="00A43E04">
            <w:pPr>
              <w:pStyle w:val="P68B1DB1-Normal11"/>
              <w:spacing w:after="120"/>
              <w:rPr>
                <w:noProof/>
              </w:rPr>
            </w:pPr>
            <w:r>
              <w:rPr>
                <w:noProof/>
              </w:rPr>
              <w:t xml:space="preserve">Začetek obratovanja in pridobitev ES-izjave o verifikaciji skladnosti v skladu s členom 15 zakonodajnega odloka št. 57/2019 (tj. Dichiarazione di verifica di conformità CE di cui all’art 15 del D.Lgs 57/2019) za najmanj 53 brezemisijskih vlakov za regionalni železniški vozni park, vsaj 13 bimodalnih vlakov in 100 vagonov za univerzalno storitev. </w:t>
            </w:r>
          </w:p>
          <w:p w14:paraId="300E9A17" w14:textId="34EB7FAF" w:rsidR="00154E32" w:rsidRDefault="00A43E04">
            <w:pPr>
              <w:pStyle w:val="P68B1DB1-Normal11"/>
              <w:rPr>
                <w:noProof/>
              </w:rPr>
            </w:pPr>
            <w:r>
              <w:rPr>
                <w:noProof/>
              </w:rPr>
              <w:t>Kar zadeva univerzalno storitev/medsebojnost, bo vozna sredstva, kupljena s sredstvi mehanizma za okrevanje in odpornost, v lasti države. Zato bo po izteku pogodbe o storitvah prvotnih ponudnikov ta železniški vozni park na voljo novemu dodeljenemu subjektu pogodbe o opravljanju storitev v celoti v skladu z Uredbo (EU) št. 1370/2007.</w:t>
            </w:r>
          </w:p>
        </w:tc>
      </w:tr>
      <w:tr w:rsidR="00154E32" w14:paraId="289F8605" w14:textId="77777777">
        <w:trPr>
          <w:trHeight w:val="309"/>
          <w:jc w:val="center"/>
        </w:trPr>
        <w:tc>
          <w:tcPr>
            <w:tcW w:w="1613" w:type="dxa"/>
            <w:shd w:val="clear" w:color="auto" w:fill="C6EFCE"/>
            <w:noWrap/>
            <w:vAlign w:val="center"/>
          </w:tcPr>
          <w:p w14:paraId="69D571FD" w14:textId="498E3C08" w:rsidR="00154E32" w:rsidRDefault="00A43E04">
            <w:pPr>
              <w:pStyle w:val="P68B1DB1-Normal11"/>
              <w:jc w:val="center"/>
              <w:rPr>
                <w:noProof/>
              </w:rPr>
            </w:pPr>
            <w:r>
              <w:rPr>
                <w:noProof/>
              </w:rPr>
              <w:t>M2C2–36</w:t>
            </w:r>
          </w:p>
        </w:tc>
        <w:tc>
          <w:tcPr>
            <w:tcW w:w="1643" w:type="dxa"/>
            <w:shd w:val="clear" w:color="auto" w:fill="C6EFCE"/>
            <w:noWrap/>
            <w:vAlign w:val="center"/>
          </w:tcPr>
          <w:p w14:paraId="3C82E55B" w14:textId="70A1E87A" w:rsidR="00154E32" w:rsidRDefault="00A43E04">
            <w:pPr>
              <w:pStyle w:val="P68B1DB1-Normal11"/>
              <w:jc w:val="center"/>
              <w:rPr>
                <w:noProof/>
              </w:rPr>
            </w:pPr>
            <w:r>
              <w:rPr>
                <w:noProof/>
              </w:rPr>
              <w:t>Naložba 4.4.3: Flota za obnovo nacionalnega poveljstva gasilske službe</w:t>
            </w:r>
          </w:p>
        </w:tc>
        <w:tc>
          <w:tcPr>
            <w:tcW w:w="1559" w:type="dxa"/>
            <w:shd w:val="clear" w:color="auto" w:fill="C6EFCE"/>
            <w:noWrap/>
            <w:vAlign w:val="center"/>
          </w:tcPr>
          <w:p w14:paraId="04A5A3DC" w14:textId="0E608DE7" w:rsidR="00154E32" w:rsidRDefault="00A43E04">
            <w:pPr>
              <w:pStyle w:val="P68B1DB1-Normal11"/>
              <w:jc w:val="center"/>
              <w:rPr>
                <w:noProof/>
              </w:rPr>
            </w:pPr>
            <w:r>
              <w:rPr>
                <w:noProof/>
              </w:rPr>
              <w:t>Tarča</w:t>
            </w:r>
          </w:p>
        </w:tc>
        <w:tc>
          <w:tcPr>
            <w:tcW w:w="1559" w:type="dxa"/>
            <w:shd w:val="clear" w:color="auto" w:fill="C6EFCE"/>
            <w:noWrap/>
            <w:vAlign w:val="center"/>
          </w:tcPr>
          <w:p w14:paraId="618BF38E" w14:textId="29309AE1" w:rsidR="00154E32" w:rsidRDefault="00A43E04">
            <w:pPr>
              <w:pStyle w:val="P68B1DB1-Normal11"/>
              <w:jc w:val="center"/>
              <w:rPr>
                <w:noProof/>
              </w:rPr>
            </w:pPr>
            <w:r>
              <w:rPr>
                <w:noProof/>
              </w:rPr>
              <w:t>Število čistih vozil za obnovo voznega parka za poveljstvo nacionalne gasilske službe</w:t>
            </w:r>
          </w:p>
        </w:tc>
        <w:tc>
          <w:tcPr>
            <w:tcW w:w="1843" w:type="dxa"/>
            <w:shd w:val="clear" w:color="auto" w:fill="C6EFCE"/>
            <w:noWrap/>
            <w:vAlign w:val="center"/>
          </w:tcPr>
          <w:p w14:paraId="510B771C" w14:textId="48B279E9" w:rsidR="00154E32" w:rsidRDefault="00A43E04">
            <w:pPr>
              <w:pStyle w:val="P68B1DB1-Normal11"/>
              <w:jc w:val="center"/>
              <w:rPr>
                <w:noProof/>
              </w:rPr>
            </w:pPr>
            <w:r>
              <w:rPr>
                <w:noProof/>
              </w:rPr>
              <w:t>JIH NI</w:t>
            </w:r>
          </w:p>
        </w:tc>
        <w:tc>
          <w:tcPr>
            <w:tcW w:w="1417" w:type="dxa"/>
            <w:shd w:val="clear" w:color="auto" w:fill="C6EFCE"/>
            <w:noWrap/>
            <w:vAlign w:val="center"/>
          </w:tcPr>
          <w:p w14:paraId="3FE555EC" w14:textId="01FBC720" w:rsidR="00154E32" w:rsidRDefault="00A43E04">
            <w:pPr>
              <w:pStyle w:val="P68B1DB1-Normal11"/>
              <w:jc w:val="center"/>
              <w:rPr>
                <w:noProof/>
              </w:rPr>
            </w:pPr>
            <w:r>
              <w:rPr>
                <w:noProof/>
              </w:rPr>
              <w:t>Število</w:t>
            </w:r>
          </w:p>
        </w:tc>
        <w:tc>
          <w:tcPr>
            <w:tcW w:w="1134" w:type="dxa"/>
            <w:shd w:val="clear" w:color="auto" w:fill="C6EFCE"/>
            <w:noWrap/>
            <w:vAlign w:val="center"/>
          </w:tcPr>
          <w:p w14:paraId="5C1E1606" w14:textId="3312C42F" w:rsidR="00154E32" w:rsidRDefault="00A43E04">
            <w:pPr>
              <w:pStyle w:val="P68B1DB1-Normal11"/>
              <w:jc w:val="center"/>
              <w:rPr>
                <w:noProof/>
              </w:rPr>
            </w:pPr>
            <w:r>
              <w:rPr>
                <w:noProof/>
              </w:rPr>
              <w:t>0</w:t>
            </w:r>
          </w:p>
        </w:tc>
        <w:tc>
          <w:tcPr>
            <w:tcW w:w="946" w:type="dxa"/>
            <w:shd w:val="clear" w:color="auto" w:fill="C6EFCE"/>
            <w:noWrap/>
            <w:vAlign w:val="center"/>
          </w:tcPr>
          <w:p w14:paraId="093FD57A" w14:textId="0C4401BE" w:rsidR="00154E32" w:rsidRDefault="00A43E04">
            <w:pPr>
              <w:pStyle w:val="P68B1DB1-Normal12"/>
              <w:jc w:val="center"/>
              <w:rPr>
                <w:rFonts w:ascii="Arial Narrow" w:hAnsi="Arial Narrow"/>
                <w:noProof/>
              </w:rPr>
            </w:pPr>
            <w:r>
              <w:rPr>
                <w:rFonts w:ascii="Arial Narrow" w:hAnsi="Arial Narrow"/>
                <w:noProof/>
              </w:rPr>
              <w:t>3</w:t>
            </w:r>
            <w:r>
              <w:rPr>
                <w:noProof/>
              </w:rPr>
              <w:t xml:space="preserve"> </w:t>
            </w:r>
            <w:r>
              <w:rPr>
                <w:rFonts w:ascii="Arial Narrow" w:hAnsi="Arial Narrow"/>
                <w:noProof/>
              </w:rPr>
              <w:t>800</w:t>
            </w:r>
          </w:p>
        </w:tc>
        <w:tc>
          <w:tcPr>
            <w:tcW w:w="992" w:type="dxa"/>
            <w:shd w:val="clear" w:color="auto" w:fill="C6EFCE"/>
            <w:noWrap/>
            <w:vAlign w:val="center"/>
          </w:tcPr>
          <w:p w14:paraId="70ED4F02" w14:textId="1275D6EE" w:rsidR="00154E32" w:rsidRDefault="00A43E04">
            <w:pPr>
              <w:pStyle w:val="P68B1DB1-Normal11"/>
              <w:jc w:val="center"/>
              <w:rPr>
                <w:noProof/>
              </w:rPr>
            </w:pPr>
            <w:r>
              <w:rPr>
                <w:noProof/>
              </w:rPr>
              <w:t>Q2</w:t>
            </w:r>
          </w:p>
        </w:tc>
        <w:tc>
          <w:tcPr>
            <w:tcW w:w="756" w:type="dxa"/>
            <w:shd w:val="clear" w:color="auto" w:fill="C6EFCE"/>
            <w:noWrap/>
            <w:vAlign w:val="center"/>
          </w:tcPr>
          <w:p w14:paraId="5AFCE793" w14:textId="4DC33676" w:rsidR="00154E32" w:rsidRDefault="00A43E04">
            <w:pPr>
              <w:pStyle w:val="P68B1DB1-Normal11"/>
              <w:jc w:val="center"/>
              <w:rPr>
                <w:noProof/>
              </w:rPr>
            </w:pPr>
            <w:r>
              <w:rPr>
                <w:noProof/>
              </w:rPr>
              <w:t>2026</w:t>
            </w:r>
          </w:p>
        </w:tc>
        <w:tc>
          <w:tcPr>
            <w:tcW w:w="2793" w:type="dxa"/>
            <w:shd w:val="clear" w:color="auto" w:fill="C6EFCE"/>
            <w:noWrap/>
            <w:vAlign w:val="center"/>
          </w:tcPr>
          <w:p w14:paraId="550D2A14" w14:textId="3520004A" w:rsidR="00154E32" w:rsidRDefault="00A43E04">
            <w:pPr>
              <w:pStyle w:val="P68B1DB1-Normal12"/>
              <w:spacing w:after="120"/>
              <w:rPr>
                <w:rFonts w:ascii="Arial Narrow" w:hAnsi="Arial Narrow"/>
                <w:noProof/>
              </w:rPr>
            </w:pPr>
            <w:r>
              <w:rPr>
                <w:rFonts w:ascii="Arial Narrow" w:hAnsi="Arial Narrow"/>
                <w:noProof/>
              </w:rPr>
              <w:t>Začetek uporabe vsaj 3800</w:t>
            </w:r>
            <w:r>
              <w:rPr>
                <w:noProof/>
              </w:rPr>
              <w:t xml:space="preserve"> </w:t>
            </w:r>
            <w:r>
              <w:rPr>
                <w:rFonts w:ascii="Arial Narrow" w:hAnsi="Arial Narrow"/>
                <w:noProof/>
              </w:rPr>
              <w:t>čistih vozil za obnovo voznega parka za poveljstvo nacionalne gasilske službe.</w:t>
            </w:r>
          </w:p>
          <w:p w14:paraId="334CE951" w14:textId="564D1E5F" w:rsidR="00154E32" w:rsidRDefault="00A43E04">
            <w:pPr>
              <w:pStyle w:val="P68B1DB1-Normal12"/>
              <w:rPr>
                <w:rFonts w:ascii="Arial Narrow" w:hAnsi="Arial Narrow"/>
                <w:noProof/>
              </w:rPr>
            </w:pPr>
            <w:r>
              <w:rPr>
                <w:rFonts w:ascii="Arial Narrow" w:hAnsi="Arial Narrow"/>
                <w:noProof/>
              </w:rPr>
              <w:t>3500</w:t>
            </w:r>
            <w:r>
              <w:rPr>
                <w:noProof/>
              </w:rPr>
              <w:t xml:space="preserve"> </w:t>
            </w:r>
            <w:r>
              <w:rPr>
                <w:rFonts w:ascii="Arial Narrow" w:hAnsi="Arial Narrow"/>
                <w:noProof/>
              </w:rPr>
              <w:t xml:space="preserve">vozil lahko izkoristi 100-odstotno ekološko označevanje, saj so 100-odstotno električna, polnilne postaje pa napajajo fotonapetostni paneli. 300 težkih vozil, 200 za letališča in 100 za reševanje v mestih, lahko vozijo le z biometanom in izpolnjujejo merila iz direktive o obnovljivih virih energije iz leta 2018/2001 (direktiva o spodbujanju uporabe energije iz obnovljivih virov). Proizvajalci biogoriv in biometana ter biogoriv morajo predložiti certifikate (dokazilo o trajnostnosti), ki jih izdajo neodvisni ocenjevalci, kot je določeno v Direktivi 2018/2001. Upravljavec kupi potrdilo o izvoru, ki je sorazmerno s pričakovano porabo goriva.  </w:t>
            </w:r>
          </w:p>
        </w:tc>
      </w:tr>
      <w:tr w:rsidR="00154E32" w14:paraId="3D934462" w14:textId="77777777">
        <w:trPr>
          <w:trHeight w:val="309"/>
          <w:jc w:val="center"/>
        </w:trPr>
        <w:tc>
          <w:tcPr>
            <w:tcW w:w="1613" w:type="dxa"/>
            <w:shd w:val="clear" w:color="auto" w:fill="C6EFCE"/>
            <w:noWrap/>
            <w:vAlign w:val="center"/>
          </w:tcPr>
          <w:p w14:paraId="4F3644F2" w14:textId="71FD8371" w:rsidR="00154E32" w:rsidRDefault="00A43E04">
            <w:pPr>
              <w:pStyle w:val="P68B1DB1-Normal11"/>
              <w:jc w:val="center"/>
              <w:rPr>
                <w:noProof/>
              </w:rPr>
            </w:pPr>
            <w:r>
              <w:rPr>
                <w:noProof/>
              </w:rPr>
              <w:t>M2C2–38a</w:t>
            </w:r>
          </w:p>
        </w:tc>
        <w:tc>
          <w:tcPr>
            <w:tcW w:w="1643" w:type="dxa"/>
            <w:shd w:val="clear" w:color="auto" w:fill="C6EFCE"/>
            <w:noWrap/>
            <w:vAlign w:val="center"/>
          </w:tcPr>
          <w:p w14:paraId="6FFFD400" w14:textId="25A87519" w:rsidR="00154E32" w:rsidRDefault="00A43E04">
            <w:pPr>
              <w:pStyle w:val="P68B1DB1-Normal11"/>
              <w:jc w:val="center"/>
              <w:rPr>
                <w:noProof/>
              </w:rPr>
            </w:pPr>
            <w:r>
              <w:rPr>
                <w:noProof/>
              </w:rPr>
              <w:t>Naložba 5.1: Obnovljivi viri energije in baterije</w:t>
            </w:r>
          </w:p>
        </w:tc>
        <w:tc>
          <w:tcPr>
            <w:tcW w:w="1559" w:type="dxa"/>
            <w:shd w:val="clear" w:color="auto" w:fill="C6EFCE"/>
            <w:noWrap/>
            <w:vAlign w:val="center"/>
          </w:tcPr>
          <w:p w14:paraId="4474E6E8" w14:textId="4AA0FB0D" w:rsidR="00154E32" w:rsidRDefault="00A43E04">
            <w:pPr>
              <w:pStyle w:val="P68B1DB1-Normal11"/>
              <w:jc w:val="center"/>
              <w:rPr>
                <w:noProof/>
              </w:rPr>
            </w:pPr>
            <w:r>
              <w:rPr>
                <w:noProof/>
              </w:rPr>
              <w:t>Mejnik</w:t>
            </w:r>
          </w:p>
        </w:tc>
        <w:tc>
          <w:tcPr>
            <w:tcW w:w="1559" w:type="dxa"/>
            <w:shd w:val="clear" w:color="auto" w:fill="C6EFCE"/>
            <w:noWrap/>
            <w:vAlign w:val="center"/>
          </w:tcPr>
          <w:p w14:paraId="53CB2321" w14:textId="1CCBF9B1" w:rsidR="00154E32" w:rsidRDefault="00A43E04">
            <w:pPr>
              <w:pStyle w:val="P68B1DB1-Normal11"/>
              <w:jc w:val="center"/>
              <w:rPr>
                <w:noProof/>
              </w:rPr>
            </w:pPr>
            <w:r>
              <w:rPr>
                <w:noProof/>
              </w:rPr>
              <w:t>Izvedbeni sporazum</w:t>
            </w:r>
          </w:p>
        </w:tc>
        <w:tc>
          <w:tcPr>
            <w:tcW w:w="1843" w:type="dxa"/>
            <w:shd w:val="clear" w:color="auto" w:fill="C6EFCE"/>
            <w:noWrap/>
            <w:vAlign w:val="center"/>
          </w:tcPr>
          <w:p w14:paraId="330F8274" w14:textId="5836B837" w:rsidR="00154E32" w:rsidRDefault="00A43E04">
            <w:pPr>
              <w:pStyle w:val="P68B1DB1-Normal11"/>
              <w:jc w:val="center"/>
              <w:rPr>
                <w:noProof/>
              </w:rPr>
            </w:pPr>
            <w:r>
              <w:rPr>
                <w:noProof/>
              </w:rPr>
              <w:t>Začetek veljavnosti izvedbenega sporazuma</w:t>
            </w:r>
          </w:p>
        </w:tc>
        <w:tc>
          <w:tcPr>
            <w:tcW w:w="1417" w:type="dxa"/>
            <w:shd w:val="clear" w:color="auto" w:fill="C6EFCE"/>
            <w:noWrap/>
          </w:tcPr>
          <w:p w14:paraId="750C7155" w14:textId="77777777" w:rsidR="00154E32" w:rsidRDefault="00154E32">
            <w:pPr>
              <w:jc w:val="center"/>
              <w:rPr>
                <w:rFonts w:ascii="Arial Narrow" w:hAnsi="Arial Narrow"/>
                <w:noProof/>
                <w:color w:val="006100"/>
                <w:sz w:val="20"/>
              </w:rPr>
            </w:pPr>
          </w:p>
        </w:tc>
        <w:tc>
          <w:tcPr>
            <w:tcW w:w="1134" w:type="dxa"/>
            <w:shd w:val="clear" w:color="auto" w:fill="C6EFCE"/>
            <w:noWrap/>
            <w:vAlign w:val="center"/>
          </w:tcPr>
          <w:p w14:paraId="7964B7DF" w14:textId="77777777" w:rsidR="00154E32" w:rsidRDefault="00154E32">
            <w:pPr>
              <w:jc w:val="center"/>
              <w:rPr>
                <w:rFonts w:ascii="Arial Narrow" w:hAnsi="Arial Narrow"/>
                <w:noProof/>
                <w:color w:val="006100"/>
                <w:sz w:val="20"/>
              </w:rPr>
            </w:pPr>
          </w:p>
        </w:tc>
        <w:tc>
          <w:tcPr>
            <w:tcW w:w="946" w:type="dxa"/>
            <w:shd w:val="clear" w:color="auto" w:fill="C6EFCE"/>
            <w:noWrap/>
            <w:vAlign w:val="center"/>
          </w:tcPr>
          <w:p w14:paraId="27EED8BB" w14:textId="77777777" w:rsidR="00154E32" w:rsidRDefault="00154E32">
            <w:pPr>
              <w:jc w:val="center"/>
              <w:rPr>
                <w:rFonts w:ascii="Arial Narrow" w:hAnsi="Arial Narrow"/>
                <w:noProof/>
                <w:color w:val="006100"/>
                <w:sz w:val="20"/>
              </w:rPr>
            </w:pPr>
          </w:p>
        </w:tc>
        <w:tc>
          <w:tcPr>
            <w:tcW w:w="992" w:type="dxa"/>
            <w:shd w:val="clear" w:color="auto" w:fill="C6EFCE"/>
            <w:noWrap/>
            <w:vAlign w:val="center"/>
          </w:tcPr>
          <w:p w14:paraId="10FD3502" w14:textId="464609AB" w:rsidR="00154E32" w:rsidRDefault="00A43E04">
            <w:pPr>
              <w:pStyle w:val="P68B1DB1-Normal11"/>
              <w:jc w:val="center"/>
              <w:rPr>
                <w:noProof/>
              </w:rPr>
            </w:pPr>
            <w:r>
              <w:rPr>
                <w:noProof/>
              </w:rPr>
              <w:t>Q4</w:t>
            </w:r>
          </w:p>
        </w:tc>
        <w:tc>
          <w:tcPr>
            <w:tcW w:w="756" w:type="dxa"/>
            <w:shd w:val="clear" w:color="auto" w:fill="C6EFCE"/>
            <w:noWrap/>
            <w:vAlign w:val="center"/>
          </w:tcPr>
          <w:p w14:paraId="5CE7549B" w14:textId="07EDD059" w:rsidR="00154E32" w:rsidRDefault="00A43E04">
            <w:pPr>
              <w:pStyle w:val="P68B1DB1-Normal11"/>
              <w:jc w:val="center"/>
              <w:rPr>
                <w:noProof/>
              </w:rPr>
            </w:pPr>
            <w:r>
              <w:rPr>
                <w:noProof/>
              </w:rPr>
              <w:t>2024</w:t>
            </w:r>
          </w:p>
        </w:tc>
        <w:tc>
          <w:tcPr>
            <w:tcW w:w="2793" w:type="dxa"/>
            <w:shd w:val="clear" w:color="auto" w:fill="C6EFCE"/>
            <w:noWrap/>
            <w:vAlign w:val="center"/>
          </w:tcPr>
          <w:p w14:paraId="31A5B811" w14:textId="495E9709" w:rsidR="00154E32" w:rsidRDefault="00A43E04">
            <w:pPr>
              <w:pStyle w:val="P68B1DB1-Normal11"/>
              <w:rPr>
                <w:noProof/>
              </w:rPr>
            </w:pPr>
            <w:r>
              <w:rPr>
                <w:noProof/>
              </w:rPr>
              <w:t>Začetek veljavnosti izvedbenega sporazuma.</w:t>
            </w:r>
          </w:p>
        </w:tc>
      </w:tr>
      <w:tr w:rsidR="00154E32" w14:paraId="38BA111C" w14:textId="77777777">
        <w:trPr>
          <w:trHeight w:val="309"/>
          <w:jc w:val="center"/>
        </w:trPr>
        <w:tc>
          <w:tcPr>
            <w:tcW w:w="1613" w:type="dxa"/>
            <w:shd w:val="clear" w:color="auto" w:fill="C6EFCE"/>
            <w:noWrap/>
            <w:vAlign w:val="center"/>
          </w:tcPr>
          <w:p w14:paraId="38A2A77C" w14:textId="5141008F" w:rsidR="00154E32" w:rsidRDefault="00A43E04">
            <w:pPr>
              <w:pStyle w:val="P68B1DB1-Normal11"/>
              <w:jc w:val="center"/>
              <w:rPr>
                <w:noProof/>
              </w:rPr>
            </w:pPr>
            <w:r>
              <w:rPr>
                <w:noProof/>
              </w:rPr>
              <w:t>M2C2–39</w:t>
            </w:r>
          </w:p>
        </w:tc>
        <w:tc>
          <w:tcPr>
            <w:tcW w:w="1643" w:type="dxa"/>
            <w:shd w:val="clear" w:color="auto" w:fill="C6EFCE"/>
            <w:noWrap/>
            <w:vAlign w:val="center"/>
          </w:tcPr>
          <w:p w14:paraId="53001829" w14:textId="45BF4CBC" w:rsidR="00154E32" w:rsidRDefault="00A43E04">
            <w:pPr>
              <w:pStyle w:val="P68B1DB1-Normal11"/>
              <w:jc w:val="center"/>
              <w:rPr>
                <w:noProof/>
              </w:rPr>
            </w:pPr>
            <w:r>
              <w:rPr>
                <w:noProof/>
              </w:rPr>
              <w:t>Naložba 5.1.Obnovljivi viri in baterije</w:t>
            </w:r>
          </w:p>
        </w:tc>
        <w:tc>
          <w:tcPr>
            <w:tcW w:w="1559" w:type="dxa"/>
            <w:shd w:val="clear" w:color="auto" w:fill="C6EFCE"/>
            <w:noWrap/>
            <w:vAlign w:val="center"/>
          </w:tcPr>
          <w:p w14:paraId="45ABCE1C" w14:textId="56EF9985" w:rsidR="00154E32" w:rsidRDefault="00A43E04">
            <w:pPr>
              <w:pStyle w:val="P68B1DB1-Normal11"/>
              <w:jc w:val="center"/>
              <w:rPr>
                <w:noProof/>
              </w:rPr>
            </w:pPr>
            <w:r>
              <w:rPr>
                <w:noProof/>
              </w:rPr>
              <w:t>Mejnik</w:t>
            </w:r>
          </w:p>
        </w:tc>
        <w:tc>
          <w:tcPr>
            <w:tcW w:w="1559" w:type="dxa"/>
            <w:shd w:val="clear" w:color="auto" w:fill="C6EFCE"/>
            <w:noWrap/>
            <w:vAlign w:val="center"/>
          </w:tcPr>
          <w:p w14:paraId="6B0EF39E" w14:textId="40E15942" w:rsidR="00154E32" w:rsidRDefault="00A43E04">
            <w:pPr>
              <w:pStyle w:val="P68B1DB1-Normal11"/>
              <w:jc w:val="center"/>
              <w:rPr>
                <w:noProof/>
              </w:rPr>
            </w:pPr>
            <w:r>
              <w:rPr>
                <w:noProof/>
              </w:rPr>
              <w:t>Italijansko ministrstvo za podjetja in Made je zaključilo prenos sredstev na Invitalia S.p.A.</w:t>
            </w:r>
          </w:p>
        </w:tc>
        <w:tc>
          <w:tcPr>
            <w:tcW w:w="1843" w:type="dxa"/>
            <w:shd w:val="clear" w:color="auto" w:fill="C6EFCE"/>
            <w:noWrap/>
            <w:vAlign w:val="center"/>
          </w:tcPr>
          <w:p w14:paraId="37A4E05F" w14:textId="202A1FEE" w:rsidR="00154E32" w:rsidRDefault="00A43E04">
            <w:pPr>
              <w:pStyle w:val="P68B1DB1-Normal11"/>
              <w:jc w:val="center"/>
              <w:rPr>
                <w:noProof/>
              </w:rPr>
            </w:pPr>
            <w:r>
              <w:rPr>
                <w:noProof/>
              </w:rPr>
              <w:t>Potrdilo o prenosu</w:t>
            </w:r>
          </w:p>
        </w:tc>
        <w:tc>
          <w:tcPr>
            <w:tcW w:w="1417" w:type="dxa"/>
            <w:shd w:val="clear" w:color="auto" w:fill="C6EFCE"/>
            <w:noWrap/>
          </w:tcPr>
          <w:p w14:paraId="4B406C9C" w14:textId="77777777" w:rsidR="00154E32" w:rsidRDefault="00154E32">
            <w:pPr>
              <w:jc w:val="center"/>
              <w:rPr>
                <w:rFonts w:ascii="Arial Narrow" w:hAnsi="Arial Narrow"/>
                <w:noProof/>
                <w:color w:val="006100"/>
                <w:sz w:val="20"/>
              </w:rPr>
            </w:pPr>
          </w:p>
        </w:tc>
        <w:tc>
          <w:tcPr>
            <w:tcW w:w="1134" w:type="dxa"/>
            <w:shd w:val="clear" w:color="auto" w:fill="C6EFCE"/>
            <w:noWrap/>
            <w:vAlign w:val="center"/>
          </w:tcPr>
          <w:p w14:paraId="01937D2F" w14:textId="77777777" w:rsidR="00154E32" w:rsidRDefault="00154E32">
            <w:pPr>
              <w:jc w:val="center"/>
              <w:rPr>
                <w:rFonts w:ascii="Arial Narrow" w:hAnsi="Arial Narrow"/>
                <w:noProof/>
                <w:color w:val="006100"/>
                <w:sz w:val="20"/>
              </w:rPr>
            </w:pPr>
          </w:p>
        </w:tc>
        <w:tc>
          <w:tcPr>
            <w:tcW w:w="946" w:type="dxa"/>
            <w:shd w:val="clear" w:color="auto" w:fill="C6EFCE"/>
            <w:noWrap/>
            <w:vAlign w:val="center"/>
          </w:tcPr>
          <w:p w14:paraId="123625C1" w14:textId="77777777" w:rsidR="00154E32" w:rsidRDefault="00154E32">
            <w:pPr>
              <w:jc w:val="center"/>
              <w:rPr>
                <w:rFonts w:ascii="Arial Narrow" w:hAnsi="Arial Narrow"/>
                <w:noProof/>
                <w:color w:val="006100"/>
                <w:sz w:val="20"/>
              </w:rPr>
            </w:pPr>
          </w:p>
        </w:tc>
        <w:tc>
          <w:tcPr>
            <w:tcW w:w="992" w:type="dxa"/>
            <w:shd w:val="clear" w:color="auto" w:fill="C6EFCE"/>
            <w:noWrap/>
            <w:vAlign w:val="center"/>
          </w:tcPr>
          <w:p w14:paraId="42532100" w14:textId="0B17B6F8" w:rsidR="00154E32" w:rsidRDefault="00A43E04">
            <w:pPr>
              <w:pStyle w:val="P68B1DB1-Normal11"/>
              <w:jc w:val="center"/>
              <w:rPr>
                <w:noProof/>
              </w:rPr>
            </w:pPr>
            <w:r>
              <w:rPr>
                <w:noProof/>
              </w:rPr>
              <w:t>Q4</w:t>
            </w:r>
          </w:p>
        </w:tc>
        <w:tc>
          <w:tcPr>
            <w:tcW w:w="756" w:type="dxa"/>
            <w:shd w:val="clear" w:color="auto" w:fill="C6EFCE"/>
            <w:noWrap/>
            <w:vAlign w:val="center"/>
          </w:tcPr>
          <w:p w14:paraId="0A25D1B6" w14:textId="27D302D7" w:rsidR="00154E32" w:rsidRDefault="00A43E04">
            <w:pPr>
              <w:pStyle w:val="P68B1DB1-Normal11"/>
              <w:jc w:val="center"/>
              <w:rPr>
                <w:noProof/>
              </w:rPr>
            </w:pPr>
            <w:r>
              <w:rPr>
                <w:noProof/>
              </w:rPr>
              <w:t>2024</w:t>
            </w:r>
          </w:p>
        </w:tc>
        <w:tc>
          <w:tcPr>
            <w:tcW w:w="2793" w:type="dxa"/>
            <w:shd w:val="clear" w:color="auto" w:fill="C6EFCE"/>
            <w:noWrap/>
            <w:vAlign w:val="center"/>
          </w:tcPr>
          <w:p w14:paraId="67EAE0AC" w14:textId="156131B7" w:rsidR="00154E32" w:rsidRDefault="00A43E04">
            <w:pPr>
              <w:pStyle w:val="P68B1DB1-Normal12"/>
              <w:rPr>
                <w:rFonts w:ascii="Arial Narrow" w:hAnsi="Arial Narrow"/>
                <w:noProof/>
              </w:rPr>
            </w:pPr>
            <w:r>
              <w:rPr>
                <w:rFonts w:ascii="Arial Narrow" w:hAnsi="Arial Narrow"/>
                <w:noProof/>
              </w:rPr>
              <w:t>Italija prenese 1 000 000 000 EUR</w:t>
            </w:r>
            <w:r>
              <w:rPr>
                <w:noProof/>
              </w:rPr>
              <w:t xml:space="preserve">  </w:t>
            </w:r>
            <w:r>
              <w:rPr>
                <w:rFonts w:ascii="Arial Narrow" w:hAnsi="Arial Narrow"/>
                <w:noProof/>
              </w:rPr>
              <w:t>na</w:t>
            </w:r>
            <w:r>
              <w:rPr>
                <w:noProof/>
              </w:rPr>
              <w:t xml:space="preserve"> </w:t>
            </w:r>
            <w:r>
              <w:rPr>
                <w:rFonts w:ascii="Arial Narrow" w:hAnsi="Arial Narrow"/>
                <w:noProof/>
              </w:rPr>
              <w:t>Invitalia S.p.A. za instrument.</w:t>
            </w:r>
          </w:p>
        </w:tc>
      </w:tr>
      <w:tr w:rsidR="00154E32" w14:paraId="268061FF" w14:textId="77777777">
        <w:trPr>
          <w:trHeight w:val="309"/>
          <w:jc w:val="center"/>
        </w:trPr>
        <w:tc>
          <w:tcPr>
            <w:tcW w:w="1613" w:type="dxa"/>
            <w:shd w:val="clear" w:color="auto" w:fill="C6EFCE"/>
            <w:noWrap/>
            <w:vAlign w:val="center"/>
          </w:tcPr>
          <w:p w14:paraId="66557E2F" w14:textId="32D2FBE7" w:rsidR="00154E32" w:rsidRDefault="00A43E04">
            <w:pPr>
              <w:pStyle w:val="P68B1DB1-Normal11"/>
              <w:jc w:val="center"/>
              <w:rPr>
                <w:noProof/>
              </w:rPr>
            </w:pPr>
            <w:r>
              <w:rPr>
                <w:noProof/>
              </w:rPr>
              <w:t>M2C2–40</w:t>
            </w:r>
          </w:p>
        </w:tc>
        <w:tc>
          <w:tcPr>
            <w:tcW w:w="1643" w:type="dxa"/>
            <w:shd w:val="clear" w:color="auto" w:fill="C6EFCE"/>
            <w:noWrap/>
            <w:vAlign w:val="center"/>
          </w:tcPr>
          <w:p w14:paraId="78D6B58D" w14:textId="6316991E" w:rsidR="00154E32" w:rsidRDefault="00A43E04">
            <w:pPr>
              <w:pStyle w:val="P68B1DB1-Normal11"/>
              <w:jc w:val="center"/>
              <w:rPr>
                <w:noProof/>
              </w:rPr>
            </w:pPr>
            <w:r>
              <w:rPr>
                <w:noProof/>
              </w:rPr>
              <w:t>Naložba 5.1.1:  Obnovljivi viri energije in baterije</w:t>
            </w:r>
          </w:p>
        </w:tc>
        <w:tc>
          <w:tcPr>
            <w:tcW w:w="1559" w:type="dxa"/>
            <w:shd w:val="clear" w:color="auto" w:fill="C6EFCE"/>
            <w:noWrap/>
            <w:vAlign w:val="center"/>
          </w:tcPr>
          <w:p w14:paraId="5FFFD250" w14:textId="74FD09AF" w:rsidR="00154E32" w:rsidRDefault="00A43E04">
            <w:pPr>
              <w:pStyle w:val="P68B1DB1-Normal11"/>
              <w:jc w:val="center"/>
              <w:rPr>
                <w:noProof/>
              </w:rPr>
            </w:pPr>
            <w:r>
              <w:rPr>
                <w:noProof/>
              </w:rPr>
              <w:t>Tarča</w:t>
            </w:r>
          </w:p>
        </w:tc>
        <w:tc>
          <w:tcPr>
            <w:tcW w:w="1559" w:type="dxa"/>
            <w:shd w:val="clear" w:color="auto" w:fill="C6EFCE"/>
            <w:noWrap/>
            <w:vAlign w:val="center"/>
          </w:tcPr>
          <w:p w14:paraId="74343D12" w14:textId="2A696D18" w:rsidR="00154E32" w:rsidRDefault="00A43E04">
            <w:pPr>
              <w:pStyle w:val="P68B1DB1-Normal11"/>
              <w:jc w:val="center"/>
              <w:rPr>
                <w:noProof/>
              </w:rPr>
            </w:pPr>
            <w:r>
              <w:rPr>
                <w:noProof/>
              </w:rPr>
              <w:t>Pravni sporazumi, podpisani s končnimi upravičenci, ki ustrezajo proizvodnim zmogljivostim fotovoltaičnih ali vetrnih tehnologij</w:t>
            </w:r>
          </w:p>
        </w:tc>
        <w:tc>
          <w:tcPr>
            <w:tcW w:w="1843" w:type="dxa"/>
            <w:shd w:val="clear" w:color="auto" w:fill="C6EFCE"/>
            <w:noWrap/>
            <w:vAlign w:val="center"/>
          </w:tcPr>
          <w:p w14:paraId="1317DEF7" w14:textId="77777777" w:rsidR="00154E32" w:rsidRDefault="00154E32">
            <w:pPr>
              <w:jc w:val="center"/>
              <w:rPr>
                <w:rFonts w:ascii="Arial Narrow" w:hAnsi="Arial Narrow"/>
                <w:noProof/>
                <w:color w:val="006100"/>
                <w:sz w:val="20"/>
              </w:rPr>
            </w:pPr>
          </w:p>
        </w:tc>
        <w:tc>
          <w:tcPr>
            <w:tcW w:w="1417" w:type="dxa"/>
            <w:shd w:val="clear" w:color="auto" w:fill="C6EFCE"/>
            <w:noWrap/>
            <w:vAlign w:val="center"/>
          </w:tcPr>
          <w:p w14:paraId="15D17449" w14:textId="298B0890" w:rsidR="00154E32" w:rsidRDefault="00A43E04">
            <w:pPr>
              <w:pStyle w:val="P68B1DB1-Normal11"/>
              <w:jc w:val="center"/>
              <w:rPr>
                <w:noProof/>
              </w:rPr>
            </w:pPr>
            <w:r>
              <w:rPr>
                <w:noProof/>
              </w:rPr>
              <w:t>Odstotek (%)</w:t>
            </w:r>
          </w:p>
        </w:tc>
        <w:tc>
          <w:tcPr>
            <w:tcW w:w="1134" w:type="dxa"/>
            <w:shd w:val="clear" w:color="auto" w:fill="C6EFCE"/>
            <w:noWrap/>
            <w:vAlign w:val="center"/>
          </w:tcPr>
          <w:p w14:paraId="1F66E418" w14:textId="55D443CB" w:rsidR="00154E32" w:rsidRDefault="00A43E04">
            <w:pPr>
              <w:pStyle w:val="P68B1DB1-Normal11"/>
              <w:jc w:val="center"/>
              <w:rPr>
                <w:noProof/>
              </w:rPr>
            </w:pPr>
            <w:r>
              <w:rPr>
                <w:noProof/>
              </w:rPr>
              <w:t>0</w:t>
            </w:r>
          </w:p>
        </w:tc>
        <w:tc>
          <w:tcPr>
            <w:tcW w:w="946" w:type="dxa"/>
            <w:shd w:val="clear" w:color="auto" w:fill="C6EFCE"/>
            <w:noWrap/>
            <w:vAlign w:val="center"/>
          </w:tcPr>
          <w:p w14:paraId="494942D0" w14:textId="4B39A786" w:rsidR="00154E32" w:rsidRDefault="00A43E04">
            <w:pPr>
              <w:pStyle w:val="P68B1DB1-Normal11"/>
              <w:jc w:val="center"/>
              <w:rPr>
                <w:noProof/>
              </w:rPr>
            </w:pPr>
            <w:r>
              <w:rPr>
                <w:noProof/>
              </w:rPr>
              <w:t>100 %</w:t>
            </w:r>
          </w:p>
        </w:tc>
        <w:tc>
          <w:tcPr>
            <w:tcW w:w="992" w:type="dxa"/>
            <w:shd w:val="clear" w:color="auto" w:fill="C6EFCE"/>
            <w:noWrap/>
            <w:vAlign w:val="center"/>
          </w:tcPr>
          <w:p w14:paraId="1A94F417" w14:textId="7DDCA547" w:rsidR="00154E32" w:rsidRDefault="00A43E04">
            <w:pPr>
              <w:pStyle w:val="P68B1DB1-Normal11"/>
              <w:jc w:val="center"/>
              <w:rPr>
                <w:noProof/>
              </w:rPr>
            </w:pPr>
            <w:r>
              <w:rPr>
                <w:noProof/>
              </w:rPr>
              <w:t>Q4</w:t>
            </w:r>
          </w:p>
        </w:tc>
        <w:tc>
          <w:tcPr>
            <w:tcW w:w="756" w:type="dxa"/>
            <w:shd w:val="clear" w:color="auto" w:fill="C6EFCE"/>
            <w:noWrap/>
            <w:vAlign w:val="center"/>
          </w:tcPr>
          <w:p w14:paraId="5F64D79E" w14:textId="14BDA0B0" w:rsidR="00154E32" w:rsidRDefault="00A43E04">
            <w:pPr>
              <w:pStyle w:val="P68B1DB1-Normal11"/>
              <w:jc w:val="center"/>
              <w:rPr>
                <w:noProof/>
              </w:rPr>
            </w:pPr>
            <w:r>
              <w:rPr>
                <w:noProof/>
              </w:rPr>
              <w:t>2025</w:t>
            </w:r>
          </w:p>
        </w:tc>
        <w:tc>
          <w:tcPr>
            <w:tcW w:w="2793" w:type="dxa"/>
            <w:shd w:val="clear" w:color="auto" w:fill="C6EFCE"/>
            <w:noWrap/>
            <w:vAlign w:val="center"/>
          </w:tcPr>
          <w:p w14:paraId="3AB0AA41" w14:textId="49CA3835" w:rsidR="00154E32" w:rsidRDefault="00A43E04">
            <w:pPr>
              <w:pStyle w:val="P68B1DB1-Normal11"/>
              <w:rPr>
                <w:noProof/>
              </w:rPr>
            </w:pPr>
            <w:r>
              <w:rPr>
                <w:noProof/>
              </w:rPr>
              <w:t>Invitalia S.p.A. sklene zakonite sporazume o financiranju s končnimi upravičenci za znesek, potreben za uporabo 100 % naložbe mehanizma za okrevanje in odpornost v mehanizem (ob upoštevanju provizij za upravljanje).</w:t>
            </w:r>
          </w:p>
        </w:tc>
      </w:tr>
      <w:tr w:rsidR="00154E32" w14:paraId="52E39CE5" w14:textId="77777777">
        <w:trPr>
          <w:trHeight w:val="309"/>
          <w:jc w:val="center"/>
        </w:trPr>
        <w:tc>
          <w:tcPr>
            <w:tcW w:w="1613" w:type="dxa"/>
            <w:shd w:val="clear" w:color="auto" w:fill="C6EFCE"/>
            <w:noWrap/>
            <w:vAlign w:val="center"/>
          </w:tcPr>
          <w:p w14:paraId="7C92CB11" w14:textId="624438C6" w:rsidR="00154E32" w:rsidRDefault="00A43E04">
            <w:pPr>
              <w:pStyle w:val="P68B1DB1-Normal11"/>
              <w:jc w:val="both"/>
              <w:rPr>
                <w:noProof/>
              </w:rPr>
            </w:pPr>
            <w:r>
              <w:rPr>
                <w:noProof/>
              </w:rPr>
              <w:t>M2C2–42 BIS</w:t>
            </w:r>
          </w:p>
        </w:tc>
        <w:tc>
          <w:tcPr>
            <w:tcW w:w="1643" w:type="dxa"/>
            <w:shd w:val="clear" w:color="auto" w:fill="C6EFCE"/>
            <w:noWrap/>
            <w:vAlign w:val="center"/>
          </w:tcPr>
          <w:p w14:paraId="268556FE" w14:textId="50CB54F5" w:rsidR="00154E32" w:rsidRDefault="00A43E04">
            <w:pPr>
              <w:pStyle w:val="P68B1DB1-Normal11"/>
              <w:jc w:val="both"/>
              <w:rPr>
                <w:noProof/>
              </w:rPr>
            </w:pPr>
            <w:r>
              <w:rPr>
                <w:noProof/>
              </w:rPr>
              <w:t>Naložba 5.4 – Podpora zagonskim podjetjem in tveganemu kapitalu, dejavnemu v ekološkem prehodu.</w:t>
            </w:r>
          </w:p>
        </w:tc>
        <w:tc>
          <w:tcPr>
            <w:tcW w:w="1559" w:type="dxa"/>
            <w:shd w:val="clear" w:color="auto" w:fill="C6EFCE"/>
            <w:noWrap/>
            <w:vAlign w:val="center"/>
          </w:tcPr>
          <w:p w14:paraId="64672603" w14:textId="7756D228" w:rsidR="00154E32" w:rsidRDefault="00A43E04">
            <w:pPr>
              <w:pStyle w:val="P68B1DB1-Normal11"/>
              <w:jc w:val="both"/>
              <w:rPr>
                <w:noProof/>
              </w:rPr>
            </w:pPr>
            <w:r>
              <w:rPr>
                <w:noProof/>
              </w:rPr>
              <w:t>Mejnik</w:t>
            </w:r>
          </w:p>
        </w:tc>
        <w:tc>
          <w:tcPr>
            <w:tcW w:w="1559" w:type="dxa"/>
            <w:shd w:val="clear" w:color="auto" w:fill="C6EFCE"/>
            <w:noWrap/>
            <w:vAlign w:val="center"/>
          </w:tcPr>
          <w:p w14:paraId="642A35D4" w14:textId="14AF6B7A" w:rsidR="00154E32" w:rsidRDefault="00A43E04">
            <w:pPr>
              <w:pStyle w:val="P68B1DB1-Normal11"/>
              <w:jc w:val="both"/>
              <w:rPr>
                <w:noProof/>
              </w:rPr>
            </w:pPr>
            <w:r>
              <w:rPr>
                <w:noProof/>
              </w:rPr>
              <w:t>Ministrstvo je zaključilo prenos sredstev na CDP Venture Capital SGR.</w:t>
            </w:r>
          </w:p>
        </w:tc>
        <w:tc>
          <w:tcPr>
            <w:tcW w:w="1843" w:type="dxa"/>
            <w:shd w:val="clear" w:color="auto" w:fill="C6EFCE"/>
            <w:noWrap/>
            <w:vAlign w:val="center"/>
          </w:tcPr>
          <w:p w14:paraId="425FDFB4" w14:textId="75E4BDDC" w:rsidR="00154E32" w:rsidRDefault="00A43E04">
            <w:pPr>
              <w:pStyle w:val="P68B1DB1-Normal11"/>
              <w:jc w:val="center"/>
              <w:rPr>
                <w:noProof/>
              </w:rPr>
            </w:pPr>
            <w:r>
              <w:rPr>
                <w:noProof/>
              </w:rPr>
              <w:t>Potrdilo o prenosu</w:t>
            </w:r>
          </w:p>
        </w:tc>
        <w:tc>
          <w:tcPr>
            <w:tcW w:w="1417" w:type="dxa"/>
            <w:shd w:val="clear" w:color="auto" w:fill="C6EFCE"/>
            <w:noWrap/>
            <w:vAlign w:val="center"/>
          </w:tcPr>
          <w:p w14:paraId="7315E67C" w14:textId="0EA73ACB" w:rsidR="00154E32" w:rsidRDefault="00A43E04">
            <w:pPr>
              <w:pStyle w:val="P68B1DB1-Normal11"/>
              <w:jc w:val="center"/>
              <w:rPr>
                <w:noProof/>
              </w:rPr>
            </w:pPr>
            <w:r>
              <w:rPr>
                <w:noProof/>
              </w:rPr>
              <w:t>JIH NI</w:t>
            </w:r>
          </w:p>
        </w:tc>
        <w:tc>
          <w:tcPr>
            <w:tcW w:w="1134" w:type="dxa"/>
            <w:shd w:val="clear" w:color="auto" w:fill="C6EFCE"/>
            <w:noWrap/>
            <w:vAlign w:val="center"/>
          </w:tcPr>
          <w:p w14:paraId="2A382B0B" w14:textId="408748C0" w:rsidR="00154E32" w:rsidRDefault="00A43E04">
            <w:pPr>
              <w:pStyle w:val="P68B1DB1-Normal11"/>
              <w:jc w:val="center"/>
              <w:rPr>
                <w:noProof/>
              </w:rPr>
            </w:pPr>
            <w:r>
              <w:rPr>
                <w:noProof/>
              </w:rPr>
              <w:t xml:space="preserve"> JIH NI</w:t>
            </w:r>
          </w:p>
        </w:tc>
        <w:tc>
          <w:tcPr>
            <w:tcW w:w="946" w:type="dxa"/>
            <w:shd w:val="clear" w:color="auto" w:fill="C6EFCE"/>
            <w:noWrap/>
            <w:vAlign w:val="center"/>
          </w:tcPr>
          <w:p w14:paraId="47D8128C" w14:textId="0D8E4148" w:rsidR="00154E32" w:rsidRDefault="00A43E04">
            <w:pPr>
              <w:pStyle w:val="P68B1DB1-Normal11"/>
              <w:jc w:val="center"/>
              <w:rPr>
                <w:noProof/>
              </w:rPr>
            </w:pPr>
            <w:r>
              <w:rPr>
                <w:noProof/>
              </w:rPr>
              <w:t>JIH NI</w:t>
            </w:r>
          </w:p>
        </w:tc>
        <w:tc>
          <w:tcPr>
            <w:tcW w:w="992" w:type="dxa"/>
            <w:shd w:val="clear" w:color="auto" w:fill="C6EFCE"/>
            <w:noWrap/>
            <w:vAlign w:val="center"/>
          </w:tcPr>
          <w:p w14:paraId="474C5EA0" w14:textId="69EF6568" w:rsidR="00154E32" w:rsidRDefault="00A43E04">
            <w:pPr>
              <w:pStyle w:val="P68B1DB1-Normal11"/>
              <w:jc w:val="center"/>
              <w:rPr>
                <w:noProof/>
              </w:rPr>
            </w:pPr>
            <w:r>
              <w:rPr>
                <w:noProof/>
              </w:rPr>
              <w:t>Q4</w:t>
            </w:r>
          </w:p>
        </w:tc>
        <w:tc>
          <w:tcPr>
            <w:tcW w:w="756" w:type="dxa"/>
            <w:shd w:val="clear" w:color="auto" w:fill="C6EFCE"/>
            <w:noWrap/>
            <w:vAlign w:val="center"/>
          </w:tcPr>
          <w:p w14:paraId="57D6EAD4" w14:textId="201227AA" w:rsidR="00154E32" w:rsidRDefault="00A43E04">
            <w:pPr>
              <w:pStyle w:val="P68B1DB1-Normal11"/>
              <w:jc w:val="center"/>
              <w:rPr>
                <w:noProof/>
              </w:rPr>
            </w:pPr>
            <w:r>
              <w:rPr>
                <w:noProof/>
              </w:rPr>
              <w:t>2024</w:t>
            </w:r>
          </w:p>
        </w:tc>
        <w:tc>
          <w:tcPr>
            <w:tcW w:w="2793" w:type="dxa"/>
            <w:shd w:val="clear" w:color="auto" w:fill="C6EFCE"/>
            <w:noWrap/>
            <w:vAlign w:val="center"/>
          </w:tcPr>
          <w:p w14:paraId="73887946" w14:textId="52AE8E19" w:rsidR="00154E32" w:rsidRDefault="00A43E04">
            <w:pPr>
              <w:pStyle w:val="P68B1DB1-Normal12"/>
              <w:spacing w:after="120"/>
              <w:jc w:val="both"/>
              <w:rPr>
                <w:rFonts w:ascii="Arial Narrow" w:hAnsi="Arial Narrow"/>
                <w:noProof/>
              </w:rPr>
            </w:pPr>
            <w:r>
              <w:rPr>
                <w:rFonts w:ascii="Arial Narrow" w:hAnsi="Arial Narrow"/>
                <w:noProof/>
              </w:rPr>
              <w:t>Italija prenese 250 000 000 EUR</w:t>
            </w:r>
            <w:r>
              <w:rPr>
                <w:noProof/>
              </w:rPr>
              <w:t xml:space="preserve">  </w:t>
            </w:r>
            <w:r>
              <w:rPr>
                <w:rFonts w:ascii="Arial Narrow" w:hAnsi="Arial Narrow"/>
                <w:noProof/>
              </w:rPr>
              <w:t>na SGR tveganega kapitala CDP za Sklad.</w:t>
            </w:r>
          </w:p>
          <w:p w14:paraId="6AFBA486" w14:textId="55A16E6F" w:rsidR="00154E32" w:rsidRDefault="00A43E04">
            <w:pPr>
              <w:pStyle w:val="P68B1DB1-Normal11"/>
              <w:rPr>
                <w:noProof/>
              </w:rPr>
            </w:pPr>
            <w:r>
              <w:rPr>
                <w:noProof/>
              </w:rPr>
              <w:t>Za zadovoljivo izpolnitev cilja je treba v skladu s pogoji iz izvedbenega sklepa Sveta spremeniti tudi izvedbeni sporazum med Italijo in SGR v okviru CDP ter statutov instrumenta.</w:t>
            </w:r>
          </w:p>
        </w:tc>
      </w:tr>
      <w:tr w:rsidR="00154E32" w14:paraId="1B8DFD43" w14:textId="77777777">
        <w:trPr>
          <w:trHeight w:val="309"/>
          <w:jc w:val="center"/>
        </w:trPr>
        <w:tc>
          <w:tcPr>
            <w:tcW w:w="1613" w:type="dxa"/>
            <w:shd w:val="clear" w:color="auto" w:fill="C6EFCE"/>
            <w:noWrap/>
            <w:vAlign w:val="center"/>
          </w:tcPr>
          <w:p w14:paraId="11CF808C" w14:textId="2D1689D8" w:rsidR="00154E32" w:rsidRDefault="00A43E04">
            <w:pPr>
              <w:pStyle w:val="P68B1DB1-Normal11"/>
              <w:jc w:val="center"/>
              <w:rPr>
                <w:noProof/>
              </w:rPr>
            </w:pPr>
            <w:r>
              <w:rPr>
                <w:noProof/>
              </w:rPr>
              <w:t>M2C2–43</w:t>
            </w:r>
          </w:p>
        </w:tc>
        <w:tc>
          <w:tcPr>
            <w:tcW w:w="1643" w:type="dxa"/>
            <w:shd w:val="clear" w:color="auto" w:fill="C6EFCE"/>
            <w:noWrap/>
            <w:vAlign w:val="center"/>
          </w:tcPr>
          <w:p w14:paraId="60832C76" w14:textId="03732F65" w:rsidR="00154E32" w:rsidRDefault="00A43E04">
            <w:pPr>
              <w:pStyle w:val="P68B1DB1-Normal11"/>
              <w:jc w:val="center"/>
              <w:rPr>
                <w:noProof/>
              </w:rPr>
            </w:pPr>
            <w:r>
              <w:rPr>
                <w:noProof/>
              </w:rPr>
              <w:t>Naložba 5.4 – Podpora zagonskim podjetjem in tveganemu kapitalu, dejavnemu v ekološkem prehodu.</w:t>
            </w:r>
          </w:p>
        </w:tc>
        <w:tc>
          <w:tcPr>
            <w:tcW w:w="1559" w:type="dxa"/>
            <w:shd w:val="clear" w:color="auto" w:fill="C6EFCE"/>
            <w:noWrap/>
            <w:vAlign w:val="center"/>
          </w:tcPr>
          <w:p w14:paraId="234D8E26" w14:textId="6CFDE74C" w:rsidR="00154E32" w:rsidRDefault="00A43E04">
            <w:pPr>
              <w:pStyle w:val="P68B1DB1-Normal11"/>
              <w:jc w:val="center"/>
              <w:rPr>
                <w:noProof/>
              </w:rPr>
            </w:pPr>
            <w:r>
              <w:rPr>
                <w:noProof/>
              </w:rPr>
              <w:t>Tarča</w:t>
            </w:r>
          </w:p>
        </w:tc>
        <w:tc>
          <w:tcPr>
            <w:tcW w:w="1559" w:type="dxa"/>
            <w:shd w:val="clear" w:color="auto" w:fill="C6EFCE"/>
            <w:noWrap/>
            <w:vAlign w:val="center"/>
          </w:tcPr>
          <w:p w14:paraId="71531521" w14:textId="639F467E" w:rsidR="00154E32" w:rsidRDefault="00A43E04">
            <w:pPr>
              <w:pStyle w:val="P68B1DB1-Normal11"/>
              <w:jc w:val="center"/>
              <w:rPr>
                <w:noProof/>
              </w:rPr>
            </w:pPr>
            <w:r>
              <w:rPr>
                <w:noProof/>
              </w:rPr>
              <w:t>Pravni sporazumi, podpisani s skladi tveganega kapitala in zagonskimi podjetji</w:t>
            </w:r>
          </w:p>
        </w:tc>
        <w:tc>
          <w:tcPr>
            <w:tcW w:w="1843" w:type="dxa"/>
            <w:shd w:val="clear" w:color="auto" w:fill="C6EFCE"/>
            <w:noWrap/>
            <w:vAlign w:val="center"/>
          </w:tcPr>
          <w:p w14:paraId="1B5E7E37" w14:textId="77777777" w:rsidR="00154E32" w:rsidRDefault="00154E32">
            <w:pPr>
              <w:jc w:val="center"/>
              <w:rPr>
                <w:rFonts w:ascii="Arial Narrow" w:hAnsi="Arial Narrow"/>
                <w:noProof/>
                <w:color w:val="006100"/>
                <w:sz w:val="20"/>
              </w:rPr>
            </w:pPr>
          </w:p>
        </w:tc>
        <w:tc>
          <w:tcPr>
            <w:tcW w:w="1417" w:type="dxa"/>
            <w:shd w:val="clear" w:color="auto" w:fill="C6EFCE"/>
            <w:noWrap/>
            <w:vAlign w:val="center"/>
          </w:tcPr>
          <w:p w14:paraId="131CB4C3" w14:textId="70604196" w:rsidR="00154E32" w:rsidRDefault="00A43E04">
            <w:pPr>
              <w:pStyle w:val="P68B1DB1-Normal11"/>
              <w:jc w:val="center"/>
              <w:rPr>
                <w:noProof/>
              </w:rPr>
            </w:pPr>
            <w:r>
              <w:rPr>
                <w:noProof/>
              </w:rPr>
              <w:t>EUR</w:t>
            </w:r>
          </w:p>
        </w:tc>
        <w:tc>
          <w:tcPr>
            <w:tcW w:w="1134" w:type="dxa"/>
            <w:shd w:val="clear" w:color="auto" w:fill="C6EFCE"/>
            <w:noWrap/>
            <w:vAlign w:val="center"/>
          </w:tcPr>
          <w:p w14:paraId="4F4F59D5" w14:textId="37C11453" w:rsidR="00154E32" w:rsidRDefault="00A43E04">
            <w:pPr>
              <w:pStyle w:val="P68B1DB1-Normal11"/>
              <w:jc w:val="center"/>
              <w:rPr>
                <w:noProof/>
              </w:rPr>
            </w:pPr>
            <w:r>
              <w:rPr>
                <w:noProof/>
              </w:rPr>
              <w:t>0</w:t>
            </w:r>
          </w:p>
        </w:tc>
        <w:tc>
          <w:tcPr>
            <w:tcW w:w="946" w:type="dxa"/>
            <w:shd w:val="clear" w:color="auto" w:fill="C6EFCE"/>
            <w:noWrap/>
            <w:vAlign w:val="center"/>
          </w:tcPr>
          <w:p w14:paraId="323614AD" w14:textId="05357F4F" w:rsidR="00154E32" w:rsidRDefault="00A43E04">
            <w:pPr>
              <w:pStyle w:val="P68B1DB1-Normal11"/>
              <w:jc w:val="center"/>
              <w:rPr>
                <w:noProof/>
              </w:rPr>
            </w:pPr>
            <w:r>
              <w:rPr>
                <w:noProof/>
              </w:rPr>
              <w:t>100 %</w:t>
            </w:r>
          </w:p>
        </w:tc>
        <w:tc>
          <w:tcPr>
            <w:tcW w:w="992" w:type="dxa"/>
            <w:shd w:val="clear" w:color="auto" w:fill="C6EFCE"/>
            <w:noWrap/>
            <w:vAlign w:val="center"/>
          </w:tcPr>
          <w:p w14:paraId="5FC3F196" w14:textId="7061B44A" w:rsidR="00154E32" w:rsidRDefault="00A43E04">
            <w:pPr>
              <w:pStyle w:val="P68B1DB1-Normal11"/>
              <w:jc w:val="center"/>
              <w:rPr>
                <w:noProof/>
              </w:rPr>
            </w:pPr>
            <w:r>
              <w:rPr>
                <w:noProof/>
              </w:rPr>
              <w:t>Q2</w:t>
            </w:r>
          </w:p>
        </w:tc>
        <w:tc>
          <w:tcPr>
            <w:tcW w:w="756" w:type="dxa"/>
            <w:shd w:val="clear" w:color="auto" w:fill="C6EFCE"/>
            <w:noWrap/>
            <w:vAlign w:val="center"/>
          </w:tcPr>
          <w:p w14:paraId="7B17DEEE" w14:textId="6F4E7CBB" w:rsidR="00154E32" w:rsidRDefault="00A43E04">
            <w:pPr>
              <w:pStyle w:val="P68B1DB1-Normal11"/>
              <w:jc w:val="center"/>
              <w:rPr>
                <w:noProof/>
              </w:rPr>
            </w:pPr>
            <w:r>
              <w:rPr>
                <w:noProof/>
              </w:rPr>
              <w:t>2026</w:t>
            </w:r>
          </w:p>
        </w:tc>
        <w:tc>
          <w:tcPr>
            <w:tcW w:w="2793" w:type="dxa"/>
            <w:shd w:val="clear" w:color="auto" w:fill="C6EFCE"/>
            <w:noWrap/>
          </w:tcPr>
          <w:p w14:paraId="311409E5" w14:textId="77777777" w:rsidR="00154E32" w:rsidRDefault="00A43E04">
            <w:pPr>
              <w:pStyle w:val="P68B1DB1-Normal11"/>
              <w:jc w:val="both"/>
              <w:rPr>
                <w:noProof/>
              </w:rPr>
            </w:pPr>
            <w:r>
              <w:rPr>
                <w:noProof/>
              </w:rPr>
              <w:t>Cassa Depositi e Prestiti Venture Capital je sklenila zakonite sporazume o financiranju z zagonskimi podjetji, inkubacijskimi/pospeševalnimi programi ali skladi tveganega kapitala v znesku, ki je potreben za uporabo 100 % naložb mehanizma za okrevanje in odpornost (250 milijonov EUR) v mehanizem (vključno s povprečno zgornjo mejo 13 % provizij za upravljanje in stroškov GTF v življenjskem ciklu sklada ter vključno s predhodnimi pogojenostmi za naslednje naložbene kroge, z izjemo prenesenih zainteresiranih, provizij za uspešnost ter vseh provizij za stroške in upravljanje, povezanih s skladi tretjih oseb).</w:t>
            </w:r>
          </w:p>
          <w:p w14:paraId="68CC68AF" w14:textId="77777777" w:rsidR="00154E32" w:rsidRDefault="00154E32">
            <w:pPr>
              <w:jc w:val="both"/>
              <w:rPr>
                <w:rFonts w:ascii="Arial Narrow" w:hAnsi="Arial Narrow"/>
                <w:noProof/>
                <w:color w:val="006100"/>
                <w:sz w:val="20"/>
              </w:rPr>
            </w:pPr>
          </w:p>
          <w:p w14:paraId="04D90142" w14:textId="77777777" w:rsidR="00154E32" w:rsidRDefault="00A43E04">
            <w:pPr>
              <w:pStyle w:val="P68B1DB1-Normal11"/>
              <w:jc w:val="both"/>
              <w:rPr>
                <w:noProof/>
              </w:rPr>
            </w:pPr>
            <w:r>
              <w:rPr>
                <w:noProof/>
              </w:rPr>
              <w:t>Naložba se razdeli na naslednji dve vrsti intervencij:</w:t>
            </w:r>
          </w:p>
          <w:p w14:paraId="1411E1E0" w14:textId="77777777" w:rsidR="00154E32" w:rsidRDefault="00154E32">
            <w:pPr>
              <w:jc w:val="both"/>
              <w:rPr>
                <w:rFonts w:ascii="Arial Narrow" w:hAnsi="Arial Narrow"/>
                <w:noProof/>
                <w:color w:val="006100"/>
                <w:sz w:val="20"/>
              </w:rPr>
            </w:pPr>
          </w:p>
          <w:p w14:paraId="0D12F7E4" w14:textId="77777777" w:rsidR="00154E32" w:rsidRDefault="00A43E04">
            <w:pPr>
              <w:pStyle w:val="P68B1DB1-Normal11"/>
              <w:jc w:val="both"/>
              <w:rPr>
                <w:noProof/>
              </w:rPr>
            </w:pPr>
            <w:r>
              <w:rPr>
                <w:noProof/>
              </w:rPr>
              <w:t>— Neposredne naložbe.</w:t>
            </w:r>
          </w:p>
          <w:p w14:paraId="2BBC8B12" w14:textId="77777777" w:rsidR="00154E32" w:rsidRDefault="00154E32">
            <w:pPr>
              <w:jc w:val="both"/>
              <w:rPr>
                <w:rFonts w:ascii="Arial Narrow" w:hAnsi="Arial Narrow"/>
                <w:noProof/>
                <w:color w:val="006100"/>
                <w:sz w:val="20"/>
              </w:rPr>
            </w:pPr>
          </w:p>
          <w:p w14:paraId="7B2FEF94" w14:textId="77777777" w:rsidR="00154E32" w:rsidRDefault="00A43E04">
            <w:pPr>
              <w:pStyle w:val="P68B1DB1-Normal11"/>
              <w:jc w:val="both"/>
              <w:rPr>
                <w:noProof/>
              </w:rPr>
            </w:pPr>
            <w:r>
              <w:rPr>
                <w:noProof/>
              </w:rPr>
              <w:t>— Posredne naložbe.</w:t>
            </w:r>
          </w:p>
          <w:p w14:paraId="7906E9E3" w14:textId="77777777" w:rsidR="00154E32" w:rsidRDefault="00154E32">
            <w:pPr>
              <w:jc w:val="both"/>
              <w:rPr>
                <w:rFonts w:ascii="Arial Narrow" w:hAnsi="Arial Narrow"/>
                <w:noProof/>
                <w:color w:val="006100"/>
                <w:sz w:val="20"/>
              </w:rPr>
            </w:pPr>
          </w:p>
          <w:p w14:paraId="1947A3AD" w14:textId="77777777" w:rsidR="00154E32" w:rsidRDefault="00A43E04">
            <w:pPr>
              <w:pStyle w:val="P68B1DB1-Normal11"/>
              <w:jc w:val="both"/>
              <w:rPr>
                <w:noProof/>
              </w:rPr>
            </w:pPr>
            <w:r>
              <w:rPr>
                <w:noProof/>
              </w:rPr>
              <w:t xml:space="preserve">Za posredne naložbe v sklade tveganega kapitala je Cassa Depositi e Prestiti Venture Capital sklenila zakonite sporazume o financiranju s skladi tveganega kapitala za znesek, ki je potreben za okvirno uporabo približno 60 % naložb mehanizma za okrevanje in odpornost v mehanizem (brez provizij za upravljanje in stroškov GTF v celotnem življenjskem ciklu sklada). </w:t>
            </w:r>
          </w:p>
          <w:p w14:paraId="6C5EE136" w14:textId="77777777" w:rsidR="00154E32" w:rsidRDefault="00154E32">
            <w:pPr>
              <w:jc w:val="both"/>
              <w:rPr>
                <w:rFonts w:ascii="Arial Narrow" w:hAnsi="Arial Narrow"/>
                <w:noProof/>
                <w:color w:val="006100"/>
                <w:sz w:val="20"/>
              </w:rPr>
            </w:pPr>
          </w:p>
          <w:p w14:paraId="0EF2CBC2" w14:textId="77777777" w:rsidR="00154E32" w:rsidRDefault="00A43E04">
            <w:pPr>
              <w:pStyle w:val="P68B1DB1-Normal11"/>
              <w:jc w:val="both"/>
              <w:rPr>
                <w:noProof/>
              </w:rPr>
            </w:pPr>
            <w:r>
              <w:rPr>
                <w:noProof/>
              </w:rPr>
              <w:t>Za posredne naložbe v zagonska podjetja pravni sporazumi o financiranju s skladi tveganega kapitala vključujejo zavezujočo zavezo za doseganje kumulativnega učinka finančnega vzvoda uporabljenega kapitala tako na ravni skladov kot tudi na ravni zagonskih podjetij vsaj 1x1 za celotno življenjsko dobo sklada.</w:t>
            </w:r>
          </w:p>
          <w:p w14:paraId="137F7DC3" w14:textId="77777777" w:rsidR="00154E32" w:rsidRDefault="00154E32">
            <w:pPr>
              <w:jc w:val="both"/>
              <w:rPr>
                <w:rFonts w:ascii="Arial Narrow" w:hAnsi="Arial Narrow"/>
                <w:noProof/>
                <w:color w:val="006100"/>
                <w:sz w:val="20"/>
              </w:rPr>
            </w:pPr>
          </w:p>
          <w:p w14:paraId="1D0862BB" w14:textId="77777777" w:rsidR="00154E32" w:rsidRDefault="00A43E04">
            <w:pPr>
              <w:pStyle w:val="P68B1DB1-Normal11"/>
              <w:jc w:val="both"/>
              <w:rPr>
                <w:noProof/>
              </w:rPr>
            </w:pPr>
            <w:r>
              <w:rPr>
                <w:noProof/>
              </w:rPr>
              <w:t>Za neposredne naložbe je tvegani kapital CDP sklenil zakonite sporazume o financiranju z zagonskimi podjetji/inkubacijskimi/pospeševalnimi programi v znesku, ki je potreben za okvirno uporabo približno 40 % naložb mehanizma za okrevanje in odpornost (250 milijonov EUR) v mehanizem (vključno s provizijami za upravljanje in stroški GTF v celotnem življenjskem ciklu sklada).</w:t>
            </w:r>
          </w:p>
          <w:p w14:paraId="65C05EF2" w14:textId="31B7AEC6" w:rsidR="00154E32" w:rsidRDefault="00A43E04">
            <w:pPr>
              <w:pStyle w:val="P68B1DB1-Normal11"/>
              <w:jc w:val="both"/>
              <w:rPr>
                <w:noProof/>
              </w:rPr>
            </w:pPr>
            <w:r>
              <w:rPr>
                <w:noProof/>
              </w:rPr>
              <w:t>Za neposredne naložbe lahko pravni sporazum o financiranju z zagonskimi podjetji vključuje tudi predhodne pogojenosti za naslednje naložbene kroge (tj. pogoje za sprostitev financiranja Serie B ali Serie C).</w:t>
            </w:r>
          </w:p>
          <w:p w14:paraId="200760E7" w14:textId="77777777" w:rsidR="00154E32" w:rsidRDefault="00154E32">
            <w:pPr>
              <w:jc w:val="both"/>
              <w:rPr>
                <w:rFonts w:ascii="Arial Narrow" w:hAnsi="Arial Narrow"/>
                <w:noProof/>
                <w:color w:val="006100"/>
                <w:sz w:val="20"/>
              </w:rPr>
            </w:pPr>
          </w:p>
          <w:p w14:paraId="561D427A" w14:textId="77777777" w:rsidR="00154E32" w:rsidRDefault="00A43E04">
            <w:pPr>
              <w:pStyle w:val="P68B1DB1-Normal11"/>
              <w:jc w:val="both"/>
              <w:rPr>
                <w:noProof/>
              </w:rPr>
            </w:pPr>
            <w:r>
              <w:rPr>
                <w:noProof/>
              </w:rPr>
              <w:t xml:space="preserve">Zaveze v okviru tega ukrepa, sklenjene pred začetkom veljavnosti sprememb naložbene politike sporazuma o izvajanju in v skladu s sporazumom iz mejnika M2C2–42, se prav tako upoštevajo pri doseganju cilja. </w:t>
            </w:r>
          </w:p>
          <w:p w14:paraId="3B8C23E1" w14:textId="77777777" w:rsidR="00154E32" w:rsidRDefault="00A43E04">
            <w:pPr>
              <w:pStyle w:val="P68B1DB1-Normal11"/>
              <w:jc w:val="both"/>
              <w:rPr>
                <w:noProof/>
              </w:rPr>
            </w:pPr>
            <w:r>
              <w:rPr>
                <w:noProof/>
              </w:rPr>
              <w:t xml:space="preserve">Od datuma začetka veljavnosti izvedbenega sklepa Sveta bi morale nove obveznosti slediti novi naložbeni politiki v skladu z novim izvedbenim sklepom Sveta. </w:t>
            </w:r>
          </w:p>
          <w:p w14:paraId="5DD04FB0" w14:textId="77777777" w:rsidR="00154E32" w:rsidRDefault="00154E32">
            <w:pPr>
              <w:rPr>
                <w:rFonts w:ascii="Arial Narrow" w:hAnsi="Arial Narrow"/>
                <w:noProof/>
                <w:sz w:val="20"/>
              </w:rPr>
            </w:pPr>
          </w:p>
        </w:tc>
      </w:tr>
      <w:tr w:rsidR="00154E32" w14:paraId="1810176D" w14:textId="77777777">
        <w:trPr>
          <w:trHeight w:val="309"/>
          <w:jc w:val="center"/>
        </w:trPr>
        <w:tc>
          <w:tcPr>
            <w:tcW w:w="1613" w:type="dxa"/>
            <w:shd w:val="clear" w:color="auto" w:fill="C6EFCE"/>
            <w:noWrap/>
            <w:vAlign w:val="center"/>
            <w:hideMark/>
          </w:tcPr>
          <w:p w14:paraId="3CD5FD09" w14:textId="77777777" w:rsidR="00154E32" w:rsidRDefault="00A43E04">
            <w:pPr>
              <w:pStyle w:val="P68B1DB1-Normal11"/>
              <w:jc w:val="center"/>
              <w:rPr>
                <w:noProof/>
              </w:rPr>
            </w:pPr>
            <w:r>
              <w:rPr>
                <w:noProof/>
              </w:rPr>
              <w:t>M2C2–44</w:t>
            </w:r>
          </w:p>
        </w:tc>
        <w:tc>
          <w:tcPr>
            <w:tcW w:w="1643" w:type="dxa"/>
            <w:shd w:val="clear" w:color="auto" w:fill="C6EFCE"/>
            <w:noWrap/>
            <w:vAlign w:val="center"/>
            <w:hideMark/>
          </w:tcPr>
          <w:p w14:paraId="78590C12" w14:textId="77777777" w:rsidR="00154E32" w:rsidRDefault="00A43E04">
            <w:pPr>
              <w:pStyle w:val="P68B1DB1-Normal11"/>
              <w:jc w:val="center"/>
              <w:rPr>
                <w:noProof/>
              </w:rPr>
            </w:pPr>
            <w:r>
              <w:rPr>
                <w:noProof/>
              </w:rPr>
              <w:t>Naložba 1.1 Razvoj kmetijsko-voltaičnih sistemov</w:t>
            </w:r>
          </w:p>
        </w:tc>
        <w:tc>
          <w:tcPr>
            <w:tcW w:w="1559" w:type="dxa"/>
            <w:shd w:val="clear" w:color="auto" w:fill="C6EFCE"/>
            <w:noWrap/>
            <w:vAlign w:val="center"/>
            <w:hideMark/>
          </w:tcPr>
          <w:p w14:paraId="0B310B86" w14:textId="77777777" w:rsidR="00154E32" w:rsidRDefault="00A43E04">
            <w:pPr>
              <w:pStyle w:val="P68B1DB1-Normal11"/>
              <w:jc w:val="center"/>
              <w:rPr>
                <w:noProof/>
              </w:rPr>
            </w:pPr>
            <w:r>
              <w:rPr>
                <w:noProof/>
              </w:rPr>
              <w:t>Mejnik</w:t>
            </w:r>
          </w:p>
        </w:tc>
        <w:tc>
          <w:tcPr>
            <w:tcW w:w="1559" w:type="dxa"/>
            <w:shd w:val="clear" w:color="auto" w:fill="C6EFCE"/>
            <w:noWrap/>
            <w:vAlign w:val="center"/>
            <w:hideMark/>
          </w:tcPr>
          <w:p w14:paraId="7393C641" w14:textId="77777777" w:rsidR="00154E32" w:rsidRDefault="00A43E04">
            <w:pPr>
              <w:pStyle w:val="P68B1DB1-Normal11"/>
              <w:jc w:val="center"/>
              <w:rPr>
                <w:noProof/>
              </w:rPr>
            </w:pPr>
            <w:r>
              <w:rPr>
                <w:noProof/>
              </w:rPr>
              <w:t>Oddaja vseh javnih naročil za namestitev fotovoltaičnih sončnih panelov v kmetijsko-voltaičnih sistemih</w:t>
            </w:r>
          </w:p>
        </w:tc>
        <w:tc>
          <w:tcPr>
            <w:tcW w:w="1843" w:type="dxa"/>
            <w:shd w:val="clear" w:color="auto" w:fill="C6EFCE"/>
            <w:noWrap/>
            <w:vAlign w:val="center"/>
            <w:hideMark/>
          </w:tcPr>
          <w:p w14:paraId="07299CC2" w14:textId="77777777" w:rsidR="00154E32" w:rsidRDefault="00A43E04">
            <w:pPr>
              <w:pStyle w:val="P68B1DB1-Normal11"/>
              <w:jc w:val="center"/>
              <w:rPr>
                <w:noProof/>
              </w:rPr>
            </w:pPr>
            <w:r>
              <w:rPr>
                <w:noProof/>
              </w:rPr>
              <w:t xml:space="preserve">Obvestilo o oddaji vseh javnih naročil za namestitev fotovoltaičnih sončnih panelov v kmetijsko-voltaičnih sistemih </w:t>
            </w:r>
          </w:p>
        </w:tc>
        <w:tc>
          <w:tcPr>
            <w:tcW w:w="1417" w:type="dxa"/>
            <w:shd w:val="clear" w:color="auto" w:fill="C6EFCE"/>
            <w:noWrap/>
            <w:vAlign w:val="center"/>
            <w:hideMark/>
          </w:tcPr>
          <w:p w14:paraId="626F7CBD" w14:textId="77777777" w:rsidR="00154E32" w:rsidRDefault="00A43E04">
            <w:pPr>
              <w:pStyle w:val="P68B1DB1-Normal11"/>
              <w:jc w:val="center"/>
              <w:rPr>
                <w:noProof/>
              </w:rPr>
            </w:pPr>
            <w:r>
              <w:rPr>
                <w:noProof/>
              </w:rPr>
              <w:t>JIH NI</w:t>
            </w:r>
          </w:p>
        </w:tc>
        <w:tc>
          <w:tcPr>
            <w:tcW w:w="1134" w:type="dxa"/>
            <w:shd w:val="clear" w:color="auto" w:fill="C6EFCE"/>
            <w:noWrap/>
            <w:vAlign w:val="center"/>
            <w:hideMark/>
          </w:tcPr>
          <w:p w14:paraId="6A115CB0" w14:textId="77777777" w:rsidR="00154E32" w:rsidRDefault="00A43E04">
            <w:pPr>
              <w:pStyle w:val="P68B1DB1-Normal11"/>
              <w:jc w:val="center"/>
              <w:rPr>
                <w:noProof/>
              </w:rPr>
            </w:pPr>
            <w:r>
              <w:rPr>
                <w:noProof/>
              </w:rPr>
              <w:t>JIH NI</w:t>
            </w:r>
          </w:p>
        </w:tc>
        <w:tc>
          <w:tcPr>
            <w:tcW w:w="946" w:type="dxa"/>
            <w:shd w:val="clear" w:color="auto" w:fill="C6EFCE"/>
            <w:noWrap/>
            <w:vAlign w:val="center"/>
            <w:hideMark/>
          </w:tcPr>
          <w:p w14:paraId="371DB9B5" w14:textId="77777777" w:rsidR="00154E32" w:rsidRDefault="00A43E04">
            <w:pPr>
              <w:pStyle w:val="P68B1DB1-Normal11"/>
              <w:jc w:val="center"/>
              <w:rPr>
                <w:noProof/>
              </w:rPr>
            </w:pPr>
            <w:r>
              <w:rPr>
                <w:noProof/>
              </w:rPr>
              <w:t>JIH NI</w:t>
            </w:r>
          </w:p>
        </w:tc>
        <w:tc>
          <w:tcPr>
            <w:tcW w:w="992" w:type="dxa"/>
            <w:shd w:val="clear" w:color="auto" w:fill="C6EFCE"/>
            <w:noWrap/>
            <w:vAlign w:val="center"/>
            <w:hideMark/>
          </w:tcPr>
          <w:p w14:paraId="0A6A3291" w14:textId="77777777" w:rsidR="00154E32" w:rsidRDefault="00A43E04">
            <w:pPr>
              <w:pStyle w:val="P68B1DB1-Normal11"/>
              <w:jc w:val="center"/>
              <w:rPr>
                <w:noProof/>
              </w:rPr>
            </w:pPr>
            <w:r>
              <w:rPr>
                <w:noProof/>
              </w:rPr>
              <w:t>Q4</w:t>
            </w:r>
          </w:p>
        </w:tc>
        <w:tc>
          <w:tcPr>
            <w:tcW w:w="756" w:type="dxa"/>
            <w:shd w:val="clear" w:color="auto" w:fill="C6EFCE"/>
            <w:noWrap/>
            <w:vAlign w:val="center"/>
            <w:hideMark/>
          </w:tcPr>
          <w:p w14:paraId="2722A80A" w14:textId="77777777" w:rsidR="00154E32" w:rsidRDefault="00A43E04">
            <w:pPr>
              <w:pStyle w:val="P68B1DB1-Normal11"/>
              <w:jc w:val="center"/>
              <w:rPr>
                <w:noProof/>
              </w:rPr>
            </w:pPr>
            <w:r>
              <w:rPr>
                <w:noProof/>
              </w:rPr>
              <w:t>2024</w:t>
            </w:r>
          </w:p>
        </w:tc>
        <w:tc>
          <w:tcPr>
            <w:tcW w:w="2793" w:type="dxa"/>
            <w:shd w:val="clear" w:color="auto" w:fill="C6EFCE"/>
            <w:noWrap/>
            <w:vAlign w:val="center"/>
            <w:hideMark/>
          </w:tcPr>
          <w:p w14:paraId="7795466B" w14:textId="6F155913" w:rsidR="00154E32" w:rsidRDefault="00A43E04">
            <w:pPr>
              <w:pStyle w:val="P68B1DB1-Normal11"/>
              <w:rPr>
                <w:noProof/>
              </w:rPr>
            </w:pPr>
            <w:r>
              <w:rPr>
                <w:noProof/>
              </w:rPr>
              <w:t>Obvestilo o oddaji vseh javnih naročil za namestitev fotovoltaičnih sončnih panelov in merilnih instrumentov v kmetijsko-voltaične sisteme.</w:t>
            </w:r>
          </w:p>
          <w:p w14:paraId="34BB7F51" w14:textId="2107130F" w:rsidR="00154E32" w:rsidRDefault="00A43E04">
            <w:pPr>
              <w:pStyle w:val="P68B1DB1-Normal11"/>
              <w:rPr>
                <w:noProof/>
              </w:rPr>
            </w:pPr>
            <w:r>
              <w:rPr>
                <w:noProof/>
              </w:rPr>
              <w:t>Inštalirana moč agrovoltaičnih sistemov eksperimentalne narave naj bi spodbudila razvoj inovativnih rešitev za talne naprave, v katerih lahko soobstaja več vrst rabe zemljišč, s čimer bi se ustvarile konkurenčne koristi. Začetek obratovanja rastlin se evidentira v nacionalnem sistemu Gaud μ (register proizvodnih obratov), ki zagotavlja prepričljive dokaze o doseganju ciljev.</w:t>
            </w:r>
          </w:p>
        </w:tc>
      </w:tr>
      <w:tr w:rsidR="00154E32" w14:paraId="274E4186" w14:textId="77777777">
        <w:trPr>
          <w:trHeight w:val="309"/>
          <w:jc w:val="center"/>
        </w:trPr>
        <w:tc>
          <w:tcPr>
            <w:tcW w:w="1613" w:type="dxa"/>
            <w:shd w:val="clear" w:color="auto" w:fill="C6EFCE"/>
            <w:noWrap/>
            <w:vAlign w:val="center"/>
            <w:hideMark/>
          </w:tcPr>
          <w:p w14:paraId="3C5F71A3" w14:textId="77777777" w:rsidR="00154E32" w:rsidRDefault="00A43E04">
            <w:pPr>
              <w:pStyle w:val="P68B1DB1-Normal11"/>
              <w:jc w:val="center"/>
              <w:rPr>
                <w:noProof/>
              </w:rPr>
            </w:pPr>
            <w:r>
              <w:rPr>
                <w:noProof/>
              </w:rPr>
              <w:t>M2C2–45</w:t>
            </w:r>
          </w:p>
        </w:tc>
        <w:tc>
          <w:tcPr>
            <w:tcW w:w="1643" w:type="dxa"/>
            <w:shd w:val="clear" w:color="auto" w:fill="C6EFCE"/>
            <w:noWrap/>
            <w:vAlign w:val="center"/>
            <w:hideMark/>
          </w:tcPr>
          <w:p w14:paraId="3497472B" w14:textId="77777777" w:rsidR="00154E32" w:rsidRDefault="00A43E04">
            <w:pPr>
              <w:pStyle w:val="P68B1DB1-Normal11"/>
              <w:jc w:val="center"/>
              <w:rPr>
                <w:noProof/>
              </w:rPr>
            </w:pPr>
            <w:r>
              <w:rPr>
                <w:noProof/>
              </w:rPr>
              <w:t>Naložba 1.1 Razvoj kmetijsko-voltaičnih sistemov</w:t>
            </w:r>
          </w:p>
        </w:tc>
        <w:tc>
          <w:tcPr>
            <w:tcW w:w="1559" w:type="dxa"/>
            <w:shd w:val="clear" w:color="auto" w:fill="C6EFCE"/>
            <w:noWrap/>
            <w:vAlign w:val="center"/>
            <w:hideMark/>
          </w:tcPr>
          <w:p w14:paraId="2A920501" w14:textId="77777777" w:rsidR="00154E32" w:rsidRDefault="00A43E04">
            <w:pPr>
              <w:pStyle w:val="P68B1DB1-Normal11"/>
              <w:jc w:val="center"/>
              <w:rPr>
                <w:noProof/>
              </w:rPr>
            </w:pPr>
            <w:r>
              <w:rPr>
                <w:noProof/>
              </w:rPr>
              <w:t>Tarča</w:t>
            </w:r>
          </w:p>
        </w:tc>
        <w:tc>
          <w:tcPr>
            <w:tcW w:w="1559" w:type="dxa"/>
            <w:shd w:val="clear" w:color="auto" w:fill="C6EFCE"/>
            <w:noWrap/>
            <w:vAlign w:val="center"/>
            <w:hideMark/>
          </w:tcPr>
          <w:p w14:paraId="3ED6BCAC" w14:textId="77777777" w:rsidR="00154E32" w:rsidRDefault="00A43E04">
            <w:pPr>
              <w:pStyle w:val="P68B1DB1-Normal11"/>
              <w:jc w:val="center"/>
              <w:rPr>
                <w:noProof/>
              </w:rPr>
            </w:pPr>
            <w:r>
              <w:rPr>
                <w:noProof/>
              </w:rPr>
              <w:t xml:space="preserve">Namestitev fotovoltaičnih sončnih panelov v kmetijsko-voltaične sisteme </w:t>
            </w:r>
          </w:p>
        </w:tc>
        <w:tc>
          <w:tcPr>
            <w:tcW w:w="1843" w:type="dxa"/>
            <w:shd w:val="clear" w:color="auto" w:fill="C6EFCE"/>
            <w:noWrap/>
            <w:vAlign w:val="center"/>
            <w:hideMark/>
          </w:tcPr>
          <w:p w14:paraId="4F10ECFF" w14:textId="77777777" w:rsidR="00154E32" w:rsidRDefault="00A43E04">
            <w:pPr>
              <w:pStyle w:val="P68B1DB1-Normal11"/>
              <w:jc w:val="center"/>
              <w:rPr>
                <w:noProof/>
              </w:rPr>
            </w:pPr>
            <w:r>
              <w:rPr>
                <w:noProof/>
              </w:rPr>
              <w:t>JIH NI</w:t>
            </w:r>
          </w:p>
        </w:tc>
        <w:tc>
          <w:tcPr>
            <w:tcW w:w="1417" w:type="dxa"/>
            <w:shd w:val="clear" w:color="auto" w:fill="C6EFCE"/>
            <w:noWrap/>
            <w:vAlign w:val="center"/>
            <w:hideMark/>
          </w:tcPr>
          <w:p w14:paraId="5760DCA9" w14:textId="77777777" w:rsidR="00154E32" w:rsidRDefault="00A43E04">
            <w:pPr>
              <w:pStyle w:val="P68B1DB1-Normal11"/>
              <w:jc w:val="center"/>
              <w:rPr>
                <w:noProof/>
              </w:rPr>
            </w:pPr>
            <w:r>
              <w:rPr>
                <w:noProof/>
              </w:rPr>
              <w:t>MW</w:t>
            </w:r>
          </w:p>
        </w:tc>
        <w:tc>
          <w:tcPr>
            <w:tcW w:w="1134" w:type="dxa"/>
            <w:shd w:val="clear" w:color="auto" w:fill="C6EFCE"/>
            <w:noWrap/>
            <w:vAlign w:val="center"/>
            <w:hideMark/>
          </w:tcPr>
          <w:p w14:paraId="39FE1A0F" w14:textId="77777777" w:rsidR="00154E32" w:rsidRDefault="00A43E04">
            <w:pPr>
              <w:pStyle w:val="P68B1DB1-Normal11"/>
              <w:jc w:val="center"/>
              <w:rPr>
                <w:noProof/>
              </w:rPr>
            </w:pPr>
            <w:r>
              <w:rPr>
                <w:noProof/>
              </w:rPr>
              <w:t>0</w:t>
            </w:r>
          </w:p>
        </w:tc>
        <w:tc>
          <w:tcPr>
            <w:tcW w:w="946" w:type="dxa"/>
            <w:shd w:val="clear" w:color="auto" w:fill="C6EFCE"/>
            <w:noWrap/>
            <w:vAlign w:val="center"/>
            <w:hideMark/>
          </w:tcPr>
          <w:p w14:paraId="643A830B" w14:textId="77777777" w:rsidR="00154E32" w:rsidRDefault="00A43E04">
            <w:pPr>
              <w:pStyle w:val="P68B1DB1-Normal11"/>
              <w:jc w:val="center"/>
              <w:rPr>
                <w:noProof/>
              </w:rPr>
            </w:pPr>
            <w:r>
              <w:rPr>
                <w:noProof/>
              </w:rPr>
              <w:t>900</w:t>
            </w:r>
          </w:p>
        </w:tc>
        <w:tc>
          <w:tcPr>
            <w:tcW w:w="992" w:type="dxa"/>
            <w:shd w:val="clear" w:color="auto" w:fill="C6EFCE"/>
            <w:noWrap/>
            <w:vAlign w:val="center"/>
            <w:hideMark/>
          </w:tcPr>
          <w:p w14:paraId="33C235C8" w14:textId="77777777" w:rsidR="00154E32" w:rsidRDefault="00A43E04">
            <w:pPr>
              <w:pStyle w:val="P68B1DB1-Normal11"/>
              <w:jc w:val="center"/>
              <w:rPr>
                <w:noProof/>
              </w:rPr>
            </w:pPr>
            <w:r>
              <w:rPr>
                <w:noProof/>
              </w:rPr>
              <w:t>Q2</w:t>
            </w:r>
          </w:p>
        </w:tc>
        <w:tc>
          <w:tcPr>
            <w:tcW w:w="756" w:type="dxa"/>
            <w:shd w:val="clear" w:color="auto" w:fill="C6EFCE"/>
            <w:noWrap/>
            <w:vAlign w:val="center"/>
            <w:hideMark/>
          </w:tcPr>
          <w:p w14:paraId="3C960C01" w14:textId="77777777" w:rsidR="00154E32" w:rsidRDefault="00A43E04">
            <w:pPr>
              <w:pStyle w:val="P68B1DB1-Normal11"/>
              <w:jc w:val="center"/>
              <w:rPr>
                <w:noProof/>
              </w:rPr>
            </w:pPr>
            <w:r>
              <w:rPr>
                <w:noProof/>
              </w:rPr>
              <w:t>2026</w:t>
            </w:r>
          </w:p>
        </w:tc>
        <w:tc>
          <w:tcPr>
            <w:tcW w:w="2793" w:type="dxa"/>
            <w:shd w:val="clear" w:color="auto" w:fill="C6EFCE"/>
            <w:noWrap/>
            <w:vAlign w:val="center"/>
            <w:hideMark/>
          </w:tcPr>
          <w:p w14:paraId="63574DBD" w14:textId="77777777" w:rsidR="00154E32" w:rsidRDefault="00A43E04">
            <w:pPr>
              <w:pStyle w:val="P68B1DB1-Normal11"/>
              <w:rPr>
                <w:noProof/>
              </w:rPr>
            </w:pPr>
            <w:r>
              <w:rPr>
                <w:noProof/>
              </w:rPr>
              <w:t xml:space="preserve">Nameščati fotovoltaične sončne panele v kmetijsko-voltaične sisteme z zmogljivostjo najmanj 900 MW. </w:t>
            </w:r>
          </w:p>
        </w:tc>
      </w:tr>
      <w:tr w:rsidR="00154E32" w14:paraId="4559D083" w14:textId="77777777">
        <w:trPr>
          <w:trHeight w:val="309"/>
          <w:jc w:val="center"/>
        </w:trPr>
        <w:tc>
          <w:tcPr>
            <w:tcW w:w="1613" w:type="dxa"/>
            <w:shd w:val="clear" w:color="auto" w:fill="C6EFCE"/>
            <w:noWrap/>
            <w:vAlign w:val="center"/>
            <w:hideMark/>
          </w:tcPr>
          <w:p w14:paraId="003480CF" w14:textId="77777777" w:rsidR="00154E32" w:rsidRDefault="00A43E04">
            <w:pPr>
              <w:pStyle w:val="P68B1DB1-Normal11"/>
              <w:jc w:val="center"/>
              <w:rPr>
                <w:noProof/>
              </w:rPr>
            </w:pPr>
            <w:r>
              <w:rPr>
                <w:noProof/>
              </w:rPr>
              <w:t>M2C2–46</w:t>
            </w:r>
          </w:p>
        </w:tc>
        <w:tc>
          <w:tcPr>
            <w:tcW w:w="1643" w:type="dxa"/>
            <w:shd w:val="clear" w:color="auto" w:fill="C6EFCE"/>
            <w:noWrap/>
            <w:vAlign w:val="center"/>
            <w:hideMark/>
          </w:tcPr>
          <w:p w14:paraId="793E317B" w14:textId="77777777" w:rsidR="00154E32" w:rsidRDefault="00A43E04">
            <w:pPr>
              <w:pStyle w:val="P68B1DB1-Normal11"/>
              <w:jc w:val="center"/>
              <w:rPr>
                <w:noProof/>
              </w:rPr>
            </w:pPr>
            <w:r>
              <w:rPr>
                <w:noProof/>
              </w:rPr>
              <w:t>Naložba 1.2 Spodbujanje obnovljivih virov energije za energetske skupnosti in skupno delujoče samooskrbovalce z energijo iz obnovljivih virov</w:t>
            </w:r>
          </w:p>
        </w:tc>
        <w:tc>
          <w:tcPr>
            <w:tcW w:w="1559" w:type="dxa"/>
            <w:shd w:val="clear" w:color="auto" w:fill="C6EFCE"/>
            <w:noWrap/>
            <w:vAlign w:val="center"/>
            <w:hideMark/>
          </w:tcPr>
          <w:p w14:paraId="61FD22EF" w14:textId="77777777" w:rsidR="00154E32" w:rsidRDefault="00A43E04">
            <w:pPr>
              <w:pStyle w:val="P68B1DB1-Normal11"/>
              <w:jc w:val="center"/>
              <w:rPr>
                <w:noProof/>
              </w:rPr>
            </w:pPr>
            <w:r>
              <w:rPr>
                <w:noProof/>
              </w:rPr>
              <w:t>Mejnik</w:t>
            </w:r>
          </w:p>
        </w:tc>
        <w:tc>
          <w:tcPr>
            <w:tcW w:w="1559" w:type="dxa"/>
            <w:shd w:val="clear" w:color="auto" w:fill="C6EFCE"/>
            <w:noWrap/>
            <w:vAlign w:val="center"/>
            <w:hideMark/>
          </w:tcPr>
          <w:p w14:paraId="47321E97" w14:textId="77777777" w:rsidR="00154E32" w:rsidRDefault="00A43E04">
            <w:pPr>
              <w:pStyle w:val="P68B1DB1-Normal11"/>
              <w:jc w:val="center"/>
              <w:rPr>
                <w:noProof/>
              </w:rPr>
            </w:pPr>
            <w:r>
              <w:rPr>
                <w:noProof/>
              </w:rPr>
              <w:t>Dodelitev vseh javnih naročil za dodelitev nepovratnih sredstev za izvajanje intervencij za energetske skupnosti</w:t>
            </w:r>
          </w:p>
        </w:tc>
        <w:tc>
          <w:tcPr>
            <w:tcW w:w="1843" w:type="dxa"/>
            <w:shd w:val="clear" w:color="auto" w:fill="C6EFCE"/>
            <w:noWrap/>
            <w:vAlign w:val="center"/>
            <w:hideMark/>
          </w:tcPr>
          <w:p w14:paraId="68CC52AE" w14:textId="77777777" w:rsidR="00154E32" w:rsidRDefault="00A43E04">
            <w:pPr>
              <w:pStyle w:val="P68B1DB1-Normal11"/>
              <w:jc w:val="center"/>
              <w:rPr>
                <w:noProof/>
              </w:rPr>
            </w:pPr>
            <w:r>
              <w:rPr>
                <w:noProof/>
              </w:rPr>
              <w:t xml:space="preserve">Obvestilo o oddaji vseh javnih naročil za izvajanje intervencij za energetske skupnosti </w:t>
            </w:r>
          </w:p>
        </w:tc>
        <w:tc>
          <w:tcPr>
            <w:tcW w:w="1417" w:type="dxa"/>
            <w:shd w:val="clear" w:color="auto" w:fill="C6EFCE"/>
            <w:noWrap/>
            <w:vAlign w:val="center"/>
            <w:hideMark/>
          </w:tcPr>
          <w:p w14:paraId="018CD686" w14:textId="77777777" w:rsidR="00154E32" w:rsidRDefault="00A43E04">
            <w:pPr>
              <w:pStyle w:val="P68B1DB1-Normal11"/>
              <w:jc w:val="center"/>
              <w:rPr>
                <w:noProof/>
              </w:rPr>
            </w:pPr>
            <w:r>
              <w:rPr>
                <w:noProof/>
              </w:rPr>
              <w:t>JIH NI</w:t>
            </w:r>
          </w:p>
        </w:tc>
        <w:tc>
          <w:tcPr>
            <w:tcW w:w="1134" w:type="dxa"/>
            <w:shd w:val="clear" w:color="auto" w:fill="C6EFCE"/>
            <w:noWrap/>
            <w:vAlign w:val="center"/>
            <w:hideMark/>
          </w:tcPr>
          <w:p w14:paraId="130E8915" w14:textId="77777777" w:rsidR="00154E32" w:rsidRDefault="00A43E04">
            <w:pPr>
              <w:pStyle w:val="P68B1DB1-Normal11"/>
              <w:jc w:val="center"/>
              <w:rPr>
                <w:noProof/>
              </w:rPr>
            </w:pPr>
            <w:r>
              <w:rPr>
                <w:noProof/>
              </w:rPr>
              <w:t>JIH NI</w:t>
            </w:r>
          </w:p>
        </w:tc>
        <w:tc>
          <w:tcPr>
            <w:tcW w:w="946" w:type="dxa"/>
            <w:shd w:val="clear" w:color="auto" w:fill="C6EFCE"/>
            <w:noWrap/>
            <w:vAlign w:val="center"/>
            <w:hideMark/>
          </w:tcPr>
          <w:p w14:paraId="2FAD9929" w14:textId="77777777" w:rsidR="00154E32" w:rsidRDefault="00A43E04">
            <w:pPr>
              <w:pStyle w:val="P68B1DB1-Normal11"/>
              <w:jc w:val="center"/>
              <w:rPr>
                <w:noProof/>
              </w:rPr>
            </w:pPr>
            <w:r>
              <w:rPr>
                <w:noProof/>
              </w:rPr>
              <w:t>JIH NI</w:t>
            </w:r>
          </w:p>
        </w:tc>
        <w:tc>
          <w:tcPr>
            <w:tcW w:w="992" w:type="dxa"/>
            <w:shd w:val="clear" w:color="auto" w:fill="C6EFCE"/>
            <w:noWrap/>
            <w:vAlign w:val="center"/>
            <w:hideMark/>
          </w:tcPr>
          <w:p w14:paraId="31D99785" w14:textId="77777777" w:rsidR="00154E32" w:rsidRDefault="00A43E04">
            <w:pPr>
              <w:pStyle w:val="P68B1DB1-Normal11"/>
              <w:jc w:val="center"/>
              <w:rPr>
                <w:noProof/>
              </w:rPr>
            </w:pPr>
            <w:r>
              <w:rPr>
                <w:noProof/>
              </w:rPr>
              <w:t>Q4</w:t>
            </w:r>
          </w:p>
        </w:tc>
        <w:tc>
          <w:tcPr>
            <w:tcW w:w="756" w:type="dxa"/>
            <w:shd w:val="clear" w:color="auto" w:fill="C6EFCE"/>
            <w:noWrap/>
            <w:vAlign w:val="center"/>
            <w:hideMark/>
          </w:tcPr>
          <w:p w14:paraId="03968E71" w14:textId="77777777" w:rsidR="00154E32" w:rsidRDefault="00A43E04">
            <w:pPr>
              <w:pStyle w:val="P68B1DB1-Normal11"/>
              <w:jc w:val="center"/>
              <w:rPr>
                <w:noProof/>
              </w:rPr>
            </w:pPr>
            <w:r>
              <w:rPr>
                <w:noProof/>
              </w:rPr>
              <w:t xml:space="preserve">2025 </w:t>
            </w:r>
          </w:p>
        </w:tc>
        <w:tc>
          <w:tcPr>
            <w:tcW w:w="2793" w:type="dxa"/>
            <w:shd w:val="clear" w:color="auto" w:fill="C6EFCE"/>
            <w:noWrap/>
            <w:vAlign w:val="center"/>
            <w:hideMark/>
          </w:tcPr>
          <w:p w14:paraId="41E33AF6" w14:textId="2772E252" w:rsidR="00154E32" w:rsidRDefault="00A43E04">
            <w:pPr>
              <w:pStyle w:val="P68B1DB1-Normal11"/>
              <w:rPr>
                <w:noProof/>
              </w:rPr>
            </w:pPr>
            <w:r>
              <w:rPr>
                <w:noProof/>
              </w:rPr>
              <w:t>Podpis pogodb za dodelitev nepovratnih sredstev za izvajanje intervencij za energetske skupnosti.</w:t>
            </w:r>
          </w:p>
        </w:tc>
      </w:tr>
      <w:tr w:rsidR="00154E32" w14:paraId="2BCE8323" w14:textId="77777777">
        <w:trPr>
          <w:trHeight w:val="309"/>
          <w:jc w:val="center"/>
        </w:trPr>
        <w:tc>
          <w:tcPr>
            <w:tcW w:w="1613" w:type="dxa"/>
            <w:shd w:val="clear" w:color="auto" w:fill="C6EFCE"/>
            <w:noWrap/>
            <w:vAlign w:val="center"/>
            <w:hideMark/>
          </w:tcPr>
          <w:p w14:paraId="21A10B5B" w14:textId="77777777" w:rsidR="00154E32" w:rsidRDefault="00A43E04">
            <w:pPr>
              <w:pStyle w:val="P68B1DB1-Normal11"/>
              <w:jc w:val="center"/>
              <w:rPr>
                <w:noProof/>
              </w:rPr>
            </w:pPr>
            <w:r>
              <w:rPr>
                <w:noProof/>
              </w:rPr>
              <w:t>M2C2–47</w:t>
            </w:r>
          </w:p>
        </w:tc>
        <w:tc>
          <w:tcPr>
            <w:tcW w:w="1643" w:type="dxa"/>
            <w:shd w:val="clear" w:color="auto" w:fill="C6EFCE"/>
            <w:noWrap/>
            <w:vAlign w:val="center"/>
            <w:hideMark/>
          </w:tcPr>
          <w:p w14:paraId="3A3D6CC3" w14:textId="77777777" w:rsidR="00154E32" w:rsidRDefault="00A43E04">
            <w:pPr>
              <w:pStyle w:val="P68B1DB1-Normal11"/>
              <w:jc w:val="center"/>
              <w:rPr>
                <w:noProof/>
              </w:rPr>
            </w:pPr>
            <w:r>
              <w:rPr>
                <w:noProof/>
              </w:rPr>
              <w:t>Naložba 1.2 Spodbujanje obnovljivih virov energije za energetske skupnosti in skupno delujoče samooskrbovalce z energijo iz obnovljivih virov</w:t>
            </w:r>
          </w:p>
        </w:tc>
        <w:tc>
          <w:tcPr>
            <w:tcW w:w="1559" w:type="dxa"/>
            <w:shd w:val="clear" w:color="auto" w:fill="C6EFCE"/>
            <w:noWrap/>
            <w:vAlign w:val="center"/>
            <w:hideMark/>
          </w:tcPr>
          <w:p w14:paraId="61825259" w14:textId="77777777" w:rsidR="00154E32" w:rsidRDefault="00A43E04">
            <w:pPr>
              <w:pStyle w:val="P68B1DB1-Normal11"/>
              <w:jc w:val="center"/>
              <w:rPr>
                <w:noProof/>
              </w:rPr>
            </w:pPr>
            <w:r>
              <w:rPr>
                <w:noProof/>
              </w:rPr>
              <w:t>Tarča</w:t>
            </w:r>
          </w:p>
        </w:tc>
        <w:tc>
          <w:tcPr>
            <w:tcW w:w="1559" w:type="dxa"/>
            <w:shd w:val="clear" w:color="auto" w:fill="C6EFCE"/>
            <w:noWrap/>
            <w:vAlign w:val="center"/>
            <w:hideMark/>
          </w:tcPr>
          <w:p w14:paraId="5F9E148B" w14:textId="77777777" w:rsidR="00154E32" w:rsidRDefault="00A43E04">
            <w:pPr>
              <w:pStyle w:val="P68B1DB1-Normal11"/>
              <w:jc w:val="center"/>
              <w:rPr>
                <w:noProof/>
              </w:rPr>
            </w:pPr>
            <w:r>
              <w:rPr>
                <w:noProof/>
              </w:rPr>
              <w:t>Proizvodnja energije iz obnovljivih virov v energetskih skupnostih in skupno delujočih samooskrbovalcev z energijo iz obnovljivih virov</w:t>
            </w:r>
          </w:p>
        </w:tc>
        <w:tc>
          <w:tcPr>
            <w:tcW w:w="1843" w:type="dxa"/>
            <w:shd w:val="clear" w:color="auto" w:fill="C6EFCE"/>
            <w:noWrap/>
            <w:vAlign w:val="center"/>
            <w:hideMark/>
          </w:tcPr>
          <w:p w14:paraId="4E870E22" w14:textId="77777777" w:rsidR="00154E32" w:rsidRDefault="00A43E04">
            <w:pPr>
              <w:pStyle w:val="P68B1DB1-Normal11"/>
              <w:jc w:val="center"/>
              <w:rPr>
                <w:noProof/>
              </w:rPr>
            </w:pPr>
            <w:r>
              <w:rPr>
                <w:noProof/>
              </w:rPr>
              <w:t>JIH NI</w:t>
            </w:r>
          </w:p>
        </w:tc>
        <w:tc>
          <w:tcPr>
            <w:tcW w:w="1417" w:type="dxa"/>
            <w:shd w:val="clear" w:color="auto" w:fill="C6EFCE"/>
            <w:noWrap/>
            <w:vAlign w:val="center"/>
            <w:hideMark/>
          </w:tcPr>
          <w:p w14:paraId="2E360EEF" w14:textId="77777777" w:rsidR="00154E32" w:rsidRDefault="00A43E04">
            <w:pPr>
              <w:pStyle w:val="P68B1DB1-Normal11"/>
              <w:jc w:val="center"/>
              <w:rPr>
                <w:noProof/>
              </w:rPr>
            </w:pPr>
            <w:r>
              <w:rPr>
                <w:noProof/>
              </w:rPr>
              <w:t>Število</w:t>
            </w:r>
          </w:p>
        </w:tc>
        <w:tc>
          <w:tcPr>
            <w:tcW w:w="1134" w:type="dxa"/>
            <w:shd w:val="clear" w:color="auto" w:fill="C6EFCE"/>
            <w:noWrap/>
            <w:vAlign w:val="center"/>
            <w:hideMark/>
          </w:tcPr>
          <w:p w14:paraId="6AE7C5D5" w14:textId="77777777" w:rsidR="00154E32" w:rsidRDefault="00A43E04">
            <w:pPr>
              <w:pStyle w:val="P68B1DB1-Normal11"/>
              <w:jc w:val="center"/>
              <w:rPr>
                <w:noProof/>
              </w:rPr>
            </w:pPr>
            <w:r>
              <w:rPr>
                <w:noProof/>
              </w:rPr>
              <w:t>0</w:t>
            </w:r>
          </w:p>
        </w:tc>
        <w:tc>
          <w:tcPr>
            <w:tcW w:w="946" w:type="dxa"/>
            <w:shd w:val="clear" w:color="auto" w:fill="C6EFCE"/>
            <w:noWrap/>
            <w:vAlign w:val="center"/>
            <w:hideMark/>
          </w:tcPr>
          <w:p w14:paraId="589D6281" w14:textId="1186F4B7" w:rsidR="00154E32" w:rsidRDefault="00A43E04">
            <w:pPr>
              <w:pStyle w:val="P68B1DB1-Normal12"/>
              <w:jc w:val="center"/>
              <w:rPr>
                <w:rFonts w:ascii="Arial Narrow" w:hAnsi="Arial Narrow"/>
                <w:noProof/>
              </w:rPr>
            </w:pPr>
            <w:r>
              <w:rPr>
                <w:rFonts w:ascii="Arial Narrow" w:hAnsi="Arial Narrow"/>
                <w:noProof/>
              </w:rPr>
              <w:t>1</w:t>
            </w:r>
            <w:r>
              <w:rPr>
                <w:noProof/>
              </w:rPr>
              <w:t xml:space="preserve"> </w:t>
            </w:r>
            <w:r>
              <w:rPr>
                <w:rFonts w:ascii="Arial Narrow" w:hAnsi="Arial Narrow"/>
                <w:noProof/>
              </w:rPr>
              <w:t>730</w:t>
            </w:r>
          </w:p>
        </w:tc>
        <w:tc>
          <w:tcPr>
            <w:tcW w:w="992" w:type="dxa"/>
            <w:shd w:val="clear" w:color="auto" w:fill="C6EFCE"/>
            <w:noWrap/>
            <w:vAlign w:val="center"/>
            <w:hideMark/>
          </w:tcPr>
          <w:p w14:paraId="28D8DEE2" w14:textId="77777777" w:rsidR="00154E32" w:rsidRDefault="00A43E04">
            <w:pPr>
              <w:pStyle w:val="P68B1DB1-Normal11"/>
              <w:jc w:val="center"/>
              <w:rPr>
                <w:noProof/>
              </w:rPr>
            </w:pPr>
            <w:r>
              <w:rPr>
                <w:noProof/>
              </w:rPr>
              <w:t>Q2</w:t>
            </w:r>
          </w:p>
        </w:tc>
        <w:tc>
          <w:tcPr>
            <w:tcW w:w="756" w:type="dxa"/>
            <w:shd w:val="clear" w:color="auto" w:fill="C6EFCE"/>
            <w:noWrap/>
            <w:vAlign w:val="center"/>
            <w:hideMark/>
          </w:tcPr>
          <w:p w14:paraId="22EB4CC9" w14:textId="77777777" w:rsidR="00154E32" w:rsidRDefault="00A43E04">
            <w:pPr>
              <w:pStyle w:val="P68B1DB1-Normal11"/>
              <w:jc w:val="center"/>
              <w:rPr>
                <w:noProof/>
              </w:rPr>
            </w:pPr>
            <w:r>
              <w:rPr>
                <w:noProof/>
              </w:rPr>
              <w:t>2026</w:t>
            </w:r>
          </w:p>
        </w:tc>
        <w:tc>
          <w:tcPr>
            <w:tcW w:w="2793" w:type="dxa"/>
            <w:shd w:val="clear" w:color="auto" w:fill="C6EFCE"/>
            <w:noWrap/>
            <w:vAlign w:val="center"/>
            <w:hideMark/>
          </w:tcPr>
          <w:p w14:paraId="37ED75D7" w14:textId="479C4D5B" w:rsidR="00154E32" w:rsidRDefault="00A43E04">
            <w:pPr>
              <w:pStyle w:val="P68B1DB1-Normal12"/>
              <w:rPr>
                <w:rFonts w:ascii="Arial Narrow" w:hAnsi="Arial Narrow"/>
                <w:noProof/>
              </w:rPr>
            </w:pPr>
            <w:r>
              <w:rPr>
                <w:rFonts w:ascii="Arial Narrow" w:hAnsi="Arial Narrow"/>
                <w:noProof/>
              </w:rPr>
              <w:t>Podpirati energetske skupnosti v občinah z manj kot 5000</w:t>
            </w:r>
            <w:r>
              <w:rPr>
                <w:noProof/>
              </w:rPr>
              <w:t xml:space="preserve"> </w:t>
            </w:r>
            <w:r>
              <w:rPr>
                <w:rFonts w:ascii="Arial Narrow" w:hAnsi="Arial Narrow"/>
                <w:noProof/>
              </w:rPr>
              <w:t>prebivalci, da se obrat opremi z vsaj</w:t>
            </w:r>
            <w:r>
              <w:rPr>
                <w:noProof/>
              </w:rPr>
              <w:t xml:space="preserve"> </w:t>
            </w:r>
            <w:r>
              <w:rPr>
                <w:rFonts w:ascii="Arial Narrow" w:hAnsi="Arial Narrow"/>
                <w:noProof/>
              </w:rPr>
              <w:t>1730 MW iz obnovljivih virov. Ta ukrep ne podpira dejavnosti na področju vodika, katerih emisije toplogrednih plinov presegajo 3 t ekvivalenta CO2/tH2.</w:t>
            </w:r>
          </w:p>
        </w:tc>
      </w:tr>
      <w:tr w:rsidR="00154E32" w14:paraId="124B3150" w14:textId="77777777">
        <w:trPr>
          <w:trHeight w:val="309"/>
          <w:jc w:val="center"/>
        </w:trPr>
        <w:tc>
          <w:tcPr>
            <w:tcW w:w="1613" w:type="dxa"/>
            <w:shd w:val="clear" w:color="auto" w:fill="C6EFCE"/>
            <w:noWrap/>
            <w:vAlign w:val="center"/>
          </w:tcPr>
          <w:p w14:paraId="2C899AE0" w14:textId="77777777" w:rsidR="00154E32" w:rsidRDefault="00A43E04">
            <w:pPr>
              <w:pStyle w:val="P68B1DB1-Normal11"/>
              <w:jc w:val="center"/>
              <w:rPr>
                <w:noProof/>
              </w:rPr>
            </w:pPr>
            <w:r>
              <w:rPr>
                <w:noProof/>
              </w:rPr>
              <w:t>M2C2–48</w:t>
            </w:r>
          </w:p>
        </w:tc>
        <w:tc>
          <w:tcPr>
            <w:tcW w:w="1643" w:type="dxa"/>
            <w:shd w:val="clear" w:color="auto" w:fill="C6EFCE"/>
            <w:noWrap/>
            <w:vAlign w:val="center"/>
          </w:tcPr>
          <w:p w14:paraId="36074FF4" w14:textId="77777777" w:rsidR="00154E32" w:rsidRDefault="00A43E04">
            <w:pPr>
              <w:pStyle w:val="P68B1DB1-Normal11"/>
              <w:jc w:val="center"/>
              <w:rPr>
                <w:noProof/>
              </w:rPr>
            </w:pPr>
            <w:r>
              <w:rPr>
                <w:noProof/>
              </w:rPr>
              <w:t>Naložba 3.1 Proizvodnja vodika na degradiranih območjih (hidrogenska dolina)</w:t>
            </w:r>
          </w:p>
        </w:tc>
        <w:tc>
          <w:tcPr>
            <w:tcW w:w="1559" w:type="dxa"/>
            <w:shd w:val="clear" w:color="auto" w:fill="C6EFCE"/>
            <w:noWrap/>
            <w:vAlign w:val="center"/>
          </w:tcPr>
          <w:p w14:paraId="51930F8B" w14:textId="77777777" w:rsidR="00154E32" w:rsidRDefault="00A43E04">
            <w:pPr>
              <w:pStyle w:val="P68B1DB1-Normal11"/>
              <w:jc w:val="center"/>
              <w:rPr>
                <w:noProof/>
              </w:rPr>
            </w:pPr>
            <w:r>
              <w:rPr>
                <w:noProof/>
              </w:rPr>
              <w:t>Mejnik</w:t>
            </w:r>
          </w:p>
        </w:tc>
        <w:tc>
          <w:tcPr>
            <w:tcW w:w="1559" w:type="dxa"/>
            <w:shd w:val="clear" w:color="auto" w:fill="C6EFCE"/>
            <w:noWrap/>
            <w:vAlign w:val="center"/>
          </w:tcPr>
          <w:p w14:paraId="11C8216A" w14:textId="77777777" w:rsidR="00154E32" w:rsidRDefault="00A43E04">
            <w:pPr>
              <w:pStyle w:val="P68B1DB1-Normal11"/>
              <w:jc w:val="center"/>
              <w:rPr>
                <w:noProof/>
              </w:rPr>
            </w:pPr>
            <w:r>
              <w:rPr>
                <w:noProof/>
              </w:rPr>
              <w:t>Oddaja vseh javnih naročil za projekte proizvodnje vodika v zapuščenih industrijskih središčih</w:t>
            </w:r>
          </w:p>
        </w:tc>
        <w:tc>
          <w:tcPr>
            <w:tcW w:w="1843" w:type="dxa"/>
            <w:shd w:val="clear" w:color="auto" w:fill="C6EFCE"/>
            <w:noWrap/>
            <w:vAlign w:val="center"/>
          </w:tcPr>
          <w:p w14:paraId="45B691C9" w14:textId="77777777" w:rsidR="00154E32" w:rsidRDefault="00A43E04">
            <w:pPr>
              <w:pStyle w:val="P68B1DB1-Normal11"/>
              <w:jc w:val="center"/>
              <w:rPr>
                <w:noProof/>
              </w:rPr>
            </w:pPr>
            <w:r>
              <w:rPr>
                <w:noProof/>
              </w:rPr>
              <w:t>Obvestilo o oddaji vseh javnih naročil za proizvodnjo vodika v zapuščenih industrijskih središčih</w:t>
            </w:r>
          </w:p>
        </w:tc>
        <w:tc>
          <w:tcPr>
            <w:tcW w:w="1417" w:type="dxa"/>
            <w:shd w:val="clear" w:color="auto" w:fill="C6EFCE"/>
            <w:noWrap/>
            <w:vAlign w:val="center"/>
          </w:tcPr>
          <w:p w14:paraId="0803A14B"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0E4F627C" w14:textId="77777777" w:rsidR="00154E32" w:rsidRDefault="00A43E04">
            <w:pPr>
              <w:pStyle w:val="P68B1DB1-Normal11"/>
              <w:jc w:val="center"/>
              <w:rPr>
                <w:noProof/>
              </w:rPr>
            </w:pPr>
            <w:r>
              <w:rPr>
                <w:noProof/>
              </w:rPr>
              <w:t>JIH NI</w:t>
            </w:r>
          </w:p>
        </w:tc>
        <w:tc>
          <w:tcPr>
            <w:tcW w:w="946" w:type="dxa"/>
            <w:shd w:val="clear" w:color="auto" w:fill="C6EFCE"/>
            <w:noWrap/>
            <w:vAlign w:val="center"/>
          </w:tcPr>
          <w:p w14:paraId="1681F748" w14:textId="77777777" w:rsidR="00154E32" w:rsidRDefault="00A43E04">
            <w:pPr>
              <w:pStyle w:val="P68B1DB1-Normal11"/>
              <w:jc w:val="center"/>
              <w:rPr>
                <w:noProof/>
              </w:rPr>
            </w:pPr>
            <w:r>
              <w:rPr>
                <w:noProof/>
              </w:rPr>
              <w:t>JIH NI</w:t>
            </w:r>
          </w:p>
        </w:tc>
        <w:tc>
          <w:tcPr>
            <w:tcW w:w="992" w:type="dxa"/>
            <w:shd w:val="clear" w:color="auto" w:fill="C6EFCE"/>
            <w:noWrap/>
            <w:vAlign w:val="center"/>
          </w:tcPr>
          <w:p w14:paraId="12F83C88" w14:textId="77777777" w:rsidR="00154E32" w:rsidRDefault="00A43E04">
            <w:pPr>
              <w:pStyle w:val="P68B1DB1-Normal11"/>
              <w:jc w:val="center"/>
              <w:rPr>
                <w:noProof/>
              </w:rPr>
            </w:pPr>
            <w:r>
              <w:rPr>
                <w:noProof/>
              </w:rPr>
              <w:t>ČETRTLETJE 1</w:t>
            </w:r>
          </w:p>
        </w:tc>
        <w:tc>
          <w:tcPr>
            <w:tcW w:w="756" w:type="dxa"/>
            <w:shd w:val="clear" w:color="auto" w:fill="C6EFCE"/>
            <w:noWrap/>
            <w:vAlign w:val="center"/>
          </w:tcPr>
          <w:p w14:paraId="5836E9CC" w14:textId="77777777" w:rsidR="00154E32" w:rsidRDefault="00A43E04">
            <w:pPr>
              <w:pStyle w:val="P68B1DB1-Normal11"/>
              <w:jc w:val="center"/>
              <w:rPr>
                <w:noProof/>
              </w:rPr>
            </w:pPr>
            <w:r>
              <w:rPr>
                <w:noProof/>
              </w:rPr>
              <w:t>2023</w:t>
            </w:r>
          </w:p>
        </w:tc>
        <w:tc>
          <w:tcPr>
            <w:tcW w:w="2793" w:type="dxa"/>
            <w:shd w:val="clear" w:color="auto" w:fill="C6EFCE"/>
            <w:noWrap/>
            <w:vAlign w:val="center"/>
          </w:tcPr>
          <w:p w14:paraId="4DB42062" w14:textId="77777777" w:rsidR="00154E32" w:rsidRDefault="00A43E04">
            <w:pPr>
              <w:pStyle w:val="P68B1DB1-Normal19"/>
              <w:rPr>
                <w:noProof/>
                <w:color w:val="006100"/>
              </w:rPr>
            </w:pPr>
            <w:r>
              <w:rPr>
                <w:noProof/>
                <w:color w:val="006100"/>
              </w:rPr>
              <w:t>Dodelitev projektov za proizvodnjo vodika v zapuščenih industrijskih središčih. Financira se proizvodnja zelenega vodika z manj kot 3 tCO2eq/tH2, da se doseže najboljši rezultat v smislu razogljičenja. Ta ukrep podpira proizvodnjo vodika na podlagi elektrolize z uporabo obnovljivih virov energije, kot so opredeljeni v Direktivi (EU) 2018/2001 (direktiva o obnovljivih virih), ali električne energije iz omrežja</w:t>
            </w:r>
            <w:r>
              <w:rPr>
                <w:noProof/>
              </w:rPr>
              <w:t>.</w:t>
            </w:r>
          </w:p>
        </w:tc>
      </w:tr>
      <w:tr w:rsidR="00154E32" w14:paraId="41646CBA" w14:textId="77777777">
        <w:trPr>
          <w:trHeight w:val="309"/>
          <w:jc w:val="center"/>
        </w:trPr>
        <w:tc>
          <w:tcPr>
            <w:tcW w:w="1613" w:type="dxa"/>
            <w:shd w:val="clear" w:color="auto" w:fill="C6EFCE"/>
            <w:noWrap/>
            <w:vAlign w:val="center"/>
          </w:tcPr>
          <w:p w14:paraId="69AF7824" w14:textId="77777777" w:rsidR="00154E32" w:rsidRDefault="00A43E04">
            <w:pPr>
              <w:pStyle w:val="P68B1DB1-Normal11"/>
              <w:jc w:val="center"/>
              <w:rPr>
                <w:noProof/>
              </w:rPr>
            </w:pPr>
            <w:r>
              <w:rPr>
                <w:noProof/>
              </w:rPr>
              <w:t>M2C2–49</w:t>
            </w:r>
          </w:p>
        </w:tc>
        <w:tc>
          <w:tcPr>
            <w:tcW w:w="1643" w:type="dxa"/>
            <w:shd w:val="clear" w:color="auto" w:fill="C6EFCE"/>
            <w:noWrap/>
            <w:vAlign w:val="center"/>
          </w:tcPr>
          <w:p w14:paraId="0BA0F21F" w14:textId="77777777" w:rsidR="00154E32" w:rsidRDefault="00A43E04">
            <w:pPr>
              <w:pStyle w:val="P68B1DB1-Normal11"/>
              <w:jc w:val="center"/>
              <w:rPr>
                <w:noProof/>
              </w:rPr>
            </w:pPr>
            <w:r>
              <w:rPr>
                <w:noProof/>
              </w:rPr>
              <w:t>Naložba 3.1 Proizvodnja vodika na degradiranih območjih (hidrogenska dolina)</w:t>
            </w:r>
          </w:p>
        </w:tc>
        <w:tc>
          <w:tcPr>
            <w:tcW w:w="1559" w:type="dxa"/>
            <w:shd w:val="clear" w:color="auto" w:fill="C6EFCE"/>
            <w:noWrap/>
            <w:vAlign w:val="center"/>
          </w:tcPr>
          <w:p w14:paraId="38753819" w14:textId="77777777" w:rsidR="00154E32" w:rsidRDefault="00A43E04">
            <w:pPr>
              <w:pStyle w:val="P68B1DB1-Normal11"/>
              <w:jc w:val="center"/>
              <w:rPr>
                <w:noProof/>
              </w:rPr>
            </w:pPr>
            <w:r>
              <w:rPr>
                <w:noProof/>
              </w:rPr>
              <w:t>Tarča</w:t>
            </w:r>
          </w:p>
        </w:tc>
        <w:tc>
          <w:tcPr>
            <w:tcW w:w="1559" w:type="dxa"/>
            <w:shd w:val="clear" w:color="auto" w:fill="C6EFCE"/>
            <w:noWrap/>
            <w:vAlign w:val="center"/>
          </w:tcPr>
          <w:p w14:paraId="03F5F0B3" w14:textId="77777777" w:rsidR="00154E32" w:rsidRDefault="00A43E04">
            <w:pPr>
              <w:pStyle w:val="P68B1DB1-Normal11"/>
              <w:jc w:val="center"/>
              <w:rPr>
                <w:noProof/>
              </w:rPr>
            </w:pPr>
            <w:r>
              <w:rPr>
                <w:noProof/>
              </w:rPr>
              <w:t>Zaključek projekta v zvezi s proizvodnjo vodika na industrijskih območjih</w:t>
            </w:r>
          </w:p>
        </w:tc>
        <w:tc>
          <w:tcPr>
            <w:tcW w:w="1843" w:type="dxa"/>
            <w:shd w:val="clear" w:color="auto" w:fill="C6EFCE"/>
            <w:noWrap/>
            <w:vAlign w:val="center"/>
          </w:tcPr>
          <w:p w14:paraId="0D1FBFCC" w14:textId="77777777" w:rsidR="00154E32" w:rsidRDefault="00A43E04">
            <w:pPr>
              <w:pStyle w:val="P68B1DB1-Normal11"/>
              <w:jc w:val="center"/>
              <w:rPr>
                <w:noProof/>
              </w:rPr>
            </w:pPr>
            <w:r>
              <w:rPr>
                <w:noProof/>
              </w:rPr>
              <w:t>JIH NI</w:t>
            </w:r>
          </w:p>
        </w:tc>
        <w:tc>
          <w:tcPr>
            <w:tcW w:w="1417" w:type="dxa"/>
            <w:shd w:val="clear" w:color="auto" w:fill="C6EFCE"/>
            <w:noWrap/>
            <w:vAlign w:val="center"/>
          </w:tcPr>
          <w:p w14:paraId="160DB480" w14:textId="77777777" w:rsidR="00154E32" w:rsidRDefault="00A43E04">
            <w:pPr>
              <w:pStyle w:val="P68B1DB1-Normal11"/>
              <w:jc w:val="center"/>
              <w:rPr>
                <w:noProof/>
              </w:rPr>
            </w:pPr>
            <w:r>
              <w:rPr>
                <w:noProof/>
              </w:rPr>
              <w:t>Število</w:t>
            </w:r>
          </w:p>
        </w:tc>
        <w:tc>
          <w:tcPr>
            <w:tcW w:w="1134" w:type="dxa"/>
            <w:shd w:val="clear" w:color="auto" w:fill="C6EFCE"/>
            <w:noWrap/>
            <w:vAlign w:val="center"/>
          </w:tcPr>
          <w:p w14:paraId="26D25F9A" w14:textId="77777777" w:rsidR="00154E32" w:rsidRDefault="00A43E04">
            <w:pPr>
              <w:pStyle w:val="P68B1DB1-Normal11"/>
              <w:jc w:val="center"/>
              <w:rPr>
                <w:noProof/>
              </w:rPr>
            </w:pPr>
            <w:r>
              <w:rPr>
                <w:noProof/>
              </w:rPr>
              <w:t>0</w:t>
            </w:r>
          </w:p>
        </w:tc>
        <w:tc>
          <w:tcPr>
            <w:tcW w:w="946" w:type="dxa"/>
            <w:shd w:val="clear" w:color="auto" w:fill="C6EFCE"/>
            <w:noWrap/>
            <w:vAlign w:val="center"/>
          </w:tcPr>
          <w:p w14:paraId="6FAA6D43" w14:textId="77777777" w:rsidR="00154E32" w:rsidRDefault="00A43E04">
            <w:pPr>
              <w:pStyle w:val="P68B1DB1-Normal11"/>
              <w:jc w:val="center"/>
              <w:rPr>
                <w:noProof/>
              </w:rPr>
            </w:pPr>
            <w:r>
              <w:rPr>
                <w:noProof/>
              </w:rPr>
              <w:t>10</w:t>
            </w:r>
          </w:p>
        </w:tc>
        <w:tc>
          <w:tcPr>
            <w:tcW w:w="992" w:type="dxa"/>
            <w:shd w:val="clear" w:color="auto" w:fill="C6EFCE"/>
            <w:noWrap/>
            <w:vAlign w:val="center"/>
          </w:tcPr>
          <w:p w14:paraId="782E86C4" w14:textId="77777777" w:rsidR="00154E32" w:rsidRDefault="00A43E04">
            <w:pPr>
              <w:pStyle w:val="P68B1DB1-Normal11"/>
              <w:jc w:val="center"/>
              <w:rPr>
                <w:noProof/>
              </w:rPr>
            </w:pPr>
            <w:r>
              <w:rPr>
                <w:noProof/>
              </w:rPr>
              <w:t>Q2</w:t>
            </w:r>
          </w:p>
        </w:tc>
        <w:tc>
          <w:tcPr>
            <w:tcW w:w="756" w:type="dxa"/>
            <w:shd w:val="clear" w:color="auto" w:fill="C6EFCE"/>
            <w:noWrap/>
            <w:vAlign w:val="center"/>
          </w:tcPr>
          <w:p w14:paraId="2BF50EE8" w14:textId="77777777" w:rsidR="00154E32" w:rsidRDefault="00A43E04">
            <w:pPr>
              <w:pStyle w:val="P68B1DB1-Normal11"/>
              <w:jc w:val="center"/>
              <w:rPr>
                <w:noProof/>
              </w:rPr>
            </w:pPr>
            <w:r>
              <w:rPr>
                <w:noProof/>
              </w:rPr>
              <w:t>2026</w:t>
            </w:r>
          </w:p>
        </w:tc>
        <w:tc>
          <w:tcPr>
            <w:tcW w:w="2793" w:type="dxa"/>
            <w:shd w:val="clear" w:color="auto" w:fill="C6EFCE"/>
            <w:noWrap/>
            <w:vAlign w:val="center"/>
          </w:tcPr>
          <w:p w14:paraId="73499DF0" w14:textId="77777777" w:rsidR="00154E32" w:rsidRDefault="00A43E04">
            <w:pPr>
              <w:pStyle w:val="P68B1DB1-Normal11"/>
              <w:spacing w:after="120"/>
              <w:rPr>
                <w:noProof/>
              </w:rPr>
            </w:pPr>
            <w:r>
              <w:rPr>
                <w:noProof/>
              </w:rPr>
              <w:t>Dokončati vsaj 10 projektov za proizvodnjo vodika na opuščenih industrijskih območjih s povprečno zmogljivostjo najmanj 1–5 MW.</w:t>
            </w:r>
          </w:p>
          <w:p w14:paraId="6A3D0136" w14:textId="77777777" w:rsidR="00154E32" w:rsidRDefault="00A43E04">
            <w:pPr>
              <w:pStyle w:val="P68B1DB1-Normal11"/>
              <w:spacing w:after="120"/>
              <w:rPr>
                <w:noProof/>
              </w:rPr>
            </w:pPr>
            <w:r>
              <w:rPr>
                <w:noProof/>
              </w:rPr>
              <w:t>Ta ukrep podpira proizvodnjo vodika na podlagi elektrolize z uporabo obnovljivih virov energije, kot so opredeljeni v Direktivi (EU) 2018/2001 (direktiva o obnovljivih virih), ali električne energije iz omrežja.</w:t>
            </w:r>
          </w:p>
        </w:tc>
      </w:tr>
      <w:tr w:rsidR="00154E32" w14:paraId="7883E920" w14:textId="77777777">
        <w:trPr>
          <w:trHeight w:val="309"/>
          <w:jc w:val="center"/>
        </w:trPr>
        <w:tc>
          <w:tcPr>
            <w:tcW w:w="1613" w:type="dxa"/>
            <w:shd w:val="clear" w:color="auto" w:fill="C6EFCE"/>
            <w:noWrap/>
            <w:vAlign w:val="center"/>
          </w:tcPr>
          <w:p w14:paraId="44ABFBEE" w14:textId="77777777" w:rsidR="00154E32" w:rsidRDefault="00A43E04">
            <w:pPr>
              <w:pStyle w:val="P68B1DB1-Normal11"/>
              <w:jc w:val="center"/>
              <w:rPr>
                <w:noProof/>
              </w:rPr>
            </w:pPr>
            <w:r>
              <w:rPr>
                <w:noProof/>
              </w:rPr>
              <w:t>M2C2–50</w:t>
            </w:r>
          </w:p>
        </w:tc>
        <w:tc>
          <w:tcPr>
            <w:tcW w:w="1643" w:type="dxa"/>
            <w:shd w:val="clear" w:color="auto" w:fill="C6EFCE"/>
            <w:noWrap/>
            <w:vAlign w:val="center"/>
          </w:tcPr>
          <w:p w14:paraId="14ECA391" w14:textId="77777777" w:rsidR="00154E32" w:rsidRDefault="00A43E04">
            <w:pPr>
              <w:pStyle w:val="P68B1DB1-Normal11"/>
              <w:jc w:val="center"/>
              <w:rPr>
                <w:noProof/>
              </w:rPr>
            </w:pPr>
            <w:r>
              <w:rPr>
                <w:noProof/>
              </w:rPr>
              <w:t>Naložba 3.2 Uporaba vodika v industriji, v kateri je težko zmanjšati emisije</w:t>
            </w:r>
          </w:p>
        </w:tc>
        <w:tc>
          <w:tcPr>
            <w:tcW w:w="1559" w:type="dxa"/>
            <w:shd w:val="clear" w:color="auto" w:fill="C6EFCE"/>
            <w:noWrap/>
            <w:vAlign w:val="center"/>
          </w:tcPr>
          <w:p w14:paraId="554BBDCD" w14:textId="77777777" w:rsidR="00154E32" w:rsidRDefault="00A43E04">
            <w:pPr>
              <w:pStyle w:val="P68B1DB1-Normal11"/>
              <w:jc w:val="center"/>
              <w:rPr>
                <w:noProof/>
              </w:rPr>
            </w:pPr>
            <w:r>
              <w:rPr>
                <w:noProof/>
              </w:rPr>
              <w:t>Mejnik</w:t>
            </w:r>
          </w:p>
        </w:tc>
        <w:tc>
          <w:tcPr>
            <w:tcW w:w="1559" w:type="dxa"/>
            <w:shd w:val="clear" w:color="auto" w:fill="C6EFCE"/>
            <w:noWrap/>
            <w:vAlign w:val="center"/>
          </w:tcPr>
          <w:p w14:paraId="55BD504A" w14:textId="77777777" w:rsidR="00154E32" w:rsidRDefault="00A43E04">
            <w:pPr>
              <w:pStyle w:val="P68B1DB1-Normal11"/>
              <w:jc w:val="center"/>
              <w:rPr>
                <w:noProof/>
              </w:rPr>
            </w:pPr>
            <w:r>
              <w:rPr>
                <w:noProof/>
              </w:rPr>
              <w:t>Dogovor o spodbujanju prehoda z metana na zeleni vodik</w:t>
            </w:r>
          </w:p>
        </w:tc>
        <w:tc>
          <w:tcPr>
            <w:tcW w:w="1843" w:type="dxa"/>
            <w:shd w:val="clear" w:color="auto" w:fill="C6EFCE"/>
            <w:noWrap/>
            <w:vAlign w:val="center"/>
          </w:tcPr>
          <w:p w14:paraId="5ABE1986" w14:textId="77777777" w:rsidR="00154E32" w:rsidRDefault="00A43E04">
            <w:pPr>
              <w:pStyle w:val="P68B1DB1-Normal11"/>
              <w:jc w:val="center"/>
              <w:rPr>
                <w:noProof/>
              </w:rPr>
            </w:pPr>
            <w:r>
              <w:rPr>
                <w:noProof/>
              </w:rPr>
              <w:t>Podpis sporazuma</w:t>
            </w:r>
          </w:p>
        </w:tc>
        <w:tc>
          <w:tcPr>
            <w:tcW w:w="1417" w:type="dxa"/>
            <w:shd w:val="clear" w:color="auto" w:fill="C6EFCE"/>
            <w:noWrap/>
            <w:vAlign w:val="center"/>
          </w:tcPr>
          <w:p w14:paraId="49E60012"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179D9CF1" w14:textId="77777777" w:rsidR="00154E32" w:rsidRDefault="00A43E04">
            <w:pPr>
              <w:pStyle w:val="P68B1DB1-Normal11"/>
              <w:jc w:val="center"/>
              <w:rPr>
                <w:noProof/>
              </w:rPr>
            </w:pPr>
            <w:r>
              <w:rPr>
                <w:noProof/>
              </w:rPr>
              <w:t>JIH NI</w:t>
            </w:r>
          </w:p>
        </w:tc>
        <w:tc>
          <w:tcPr>
            <w:tcW w:w="946" w:type="dxa"/>
            <w:shd w:val="clear" w:color="auto" w:fill="C6EFCE"/>
            <w:noWrap/>
            <w:vAlign w:val="center"/>
          </w:tcPr>
          <w:p w14:paraId="149A7A55" w14:textId="77777777" w:rsidR="00154E32" w:rsidRDefault="00A43E04">
            <w:pPr>
              <w:pStyle w:val="P68B1DB1-Normal11"/>
              <w:jc w:val="center"/>
              <w:rPr>
                <w:noProof/>
              </w:rPr>
            </w:pPr>
            <w:r>
              <w:rPr>
                <w:noProof/>
              </w:rPr>
              <w:t>JIH NI</w:t>
            </w:r>
          </w:p>
        </w:tc>
        <w:tc>
          <w:tcPr>
            <w:tcW w:w="992" w:type="dxa"/>
            <w:shd w:val="clear" w:color="auto" w:fill="C6EFCE"/>
            <w:noWrap/>
            <w:vAlign w:val="center"/>
          </w:tcPr>
          <w:p w14:paraId="0553CBE0" w14:textId="77777777" w:rsidR="00154E32" w:rsidRDefault="00A43E04">
            <w:pPr>
              <w:pStyle w:val="P68B1DB1-Normal11"/>
              <w:jc w:val="center"/>
              <w:rPr>
                <w:noProof/>
              </w:rPr>
            </w:pPr>
            <w:r>
              <w:rPr>
                <w:noProof/>
              </w:rPr>
              <w:t>ČETRTLETJE 1</w:t>
            </w:r>
          </w:p>
        </w:tc>
        <w:tc>
          <w:tcPr>
            <w:tcW w:w="756" w:type="dxa"/>
            <w:shd w:val="clear" w:color="auto" w:fill="C6EFCE"/>
            <w:noWrap/>
            <w:vAlign w:val="center"/>
          </w:tcPr>
          <w:p w14:paraId="7AC0FE4E" w14:textId="77777777" w:rsidR="00154E32" w:rsidRDefault="00A43E04">
            <w:pPr>
              <w:pStyle w:val="P68B1DB1-Normal11"/>
              <w:jc w:val="center"/>
              <w:rPr>
                <w:noProof/>
              </w:rPr>
            </w:pPr>
            <w:r>
              <w:rPr>
                <w:noProof/>
              </w:rPr>
              <w:t>2023</w:t>
            </w:r>
          </w:p>
        </w:tc>
        <w:tc>
          <w:tcPr>
            <w:tcW w:w="2793" w:type="dxa"/>
            <w:shd w:val="clear" w:color="auto" w:fill="C6EFCE"/>
            <w:noWrap/>
            <w:vAlign w:val="center"/>
          </w:tcPr>
          <w:p w14:paraId="58E8DD70" w14:textId="77777777" w:rsidR="00154E32" w:rsidRDefault="00A43E04">
            <w:pPr>
              <w:pStyle w:val="P68B1DB1-Normal19"/>
              <w:rPr>
                <w:noProof/>
                <w:color w:val="006100"/>
              </w:rPr>
            </w:pPr>
            <w:r>
              <w:rPr>
                <w:noProof/>
                <w:color w:val="006100"/>
              </w:rPr>
              <w:t>Podpis sporazuma z izbranimi lastniki projektov za spodbujanje prehoda z metana na zeleni vodik. Projekti so delno namenjeni procesu raziskav, razvoja in inovacij za razvoj, delno pa so namenjeni uresničitvi in preskušanju industrijskega prototipa z uporabo vodika.</w:t>
            </w:r>
            <w:r>
              <w:rPr>
                <w:noProof/>
              </w:rPr>
              <w:t xml:space="preserve"> </w:t>
            </w:r>
            <w:r>
              <w:rPr>
                <w:noProof/>
                <w:color w:val="006100"/>
              </w:rPr>
              <w:t>Ta ukrep podpira proizvodnjo vodika na podlagi elektrolize z uporabo obnovljivih virov energije, kot so opredeljeni v Direktivi (EU) 2018/2001 (direktiva o obnovljivih virih), ali električne energije iz omrežja.</w:t>
            </w:r>
          </w:p>
        </w:tc>
      </w:tr>
      <w:tr w:rsidR="00154E32" w14:paraId="0DCF4886" w14:textId="77777777">
        <w:trPr>
          <w:trHeight w:val="309"/>
          <w:jc w:val="center"/>
        </w:trPr>
        <w:tc>
          <w:tcPr>
            <w:tcW w:w="1613" w:type="dxa"/>
            <w:shd w:val="clear" w:color="auto" w:fill="C6EFCE"/>
            <w:noWrap/>
            <w:vAlign w:val="center"/>
          </w:tcPr>
          <w:p w14:paraId="77936FDA" w14:textId="77777777" w:rsidR="00154E32" w:rsidRDefault="00A43E04">
            <w:pPr>
              <w:pStyle w:val="P68B1DB1-Normal11"/>
              <w:jc w:val="center"/>
              <w:rPr>
                <w:noProof/>
              </w:rPr>
            </w:pPr>
            <w:r>
              <w:rPr>
                <w:noProof/>
              </w:rPr>
              <w:t>M2C2–51</w:t>
            </w:r>
          </w:p>
        </w:tc>
        <w:tc>
          <w:tcPr>
            <w:tcW w:w="1643" w:type="dxa"/>
            <w:shd w:val="clear" w:color="auto" w:fill="C6EFCE"/>
            <w:noWrap/>
            <w:vAlign w:val="center"/>
          </w:tcPr>
          <w:p w14:paraId="6E36E884" w14:textId="77777777" w:rsidR="00154E32" w:rsidRDefault="00A43E04">
            <w:pPr>
              <w:pStyle w:val="P68B1DB1-Normal11"/>
              <w:jc w:val="center"/>
              <w:rPr>
                <w:noProof/>
              </w:rPr>
            </w:pPr>
            <w:r>
              <w:rPr>
                <w:noProof/>
              </w:rPr>
              <w:t>Naložba 3.2 Uporaba vodika v industriji, v kateri je težko zmanjšati emisije</w:t>
            </w:r>
          </w:p>
        </w:tc>
        <w:tc>
          <w:tcPr>
            <w:tcW w:w="1559" w:type="dxa"/>
            <w:shd w:val="clear" w:color="auto" w:fill="C6EFCE"/>
            <w:noWrap/>
            <w:vAlign w:val="center"/>
          </w:tcPr>
          <w:p w14:paraId="4B830690" w14:textId="77777777" w:rsidR="00154E32" w:rsidRDefault="00A43E04">
            <w:pPr>
              <w:pStyle w:val="P68B1DB1-Normal11"/>
              <w:jc w:val="center"/>
              <w:rPr>
                <w:noProof/>
              </w:rPr>
            </w:pPr>
            <w:r>
              <w:rPr>
                <w:noProof/>
              </w:rPr>
              <w:t>Tarča</w:t>
            </w:r>
          </w:p>
        </w:tc>
        <w:tc>
          <w:tcPr>
            <w:tcW w:w="1559" w:type="dxa"/>
            <w:shd w:val="clear" w:color="auto" w:fill="C6EFCE"/>
            <w:noWrap/>
            <w:vAlign w:val="center"/>
          </w:tcPr>
          <w:p w14:paraId="7C9FB0D4" w14:textId="77777777" w:rsidR="00154E32" w:rsidRDefault="00A43E04">
            <w:pPr>
              <w:pStyle w:val="P68B1DB1-Normal11"/>
              <w:jc w:val="center"/>
              <w:rPr>
                <w:noProof/>
              </w:rPr>
            </w:pPr>
            <w:r>
              <w:rPr>
                <w:noProof/>
              </w:rPr>
              <w:t>Uvedba vodika v industrijskem procesu</w:t>
            </w:r>
          </w:p>
        </w:tc>
        <w:tc>
          <w:tcPr>
            <w:tcW w:w="1843" w:type="dxa"/>
            <w:shd w:val="clear" w:color="auto" w:fill="C6EFCE"/>
            <w:noWrap/>
            <w:vAlign w:val="center"/>
          </w:tcPr>
          <w:p w14:paraId="154FB226" w14:textId="77777777" w:rsidR="00154E32" w:rsidRDefault="00A43E04">
            <w:pPr>
              <w:pStyle w:val="P68B1DB1-Normal11"/>
              <w:jc w:val="center"/>
              <w:rPr>
                <w:noProof/>
              </w:rPr>
            </w:pPr>
            <w:r>
              <w:rPr>
                <w:noProof/>
              </w:rPr>
              <w:t>JIH NI</w:t>
            </w:r>
          </w:p>
        </w:tc>
        <w:tc>
          <w:tcPr>
            <w:tcW w:w="1417" w:type="dxa"/>
            <w:shd w:val="clear" w:color="auto" w:fill="C6EFCE"/>
            <w:noWrap/>
            <w:vAlign w:val="center"/>
          </w:tcPr>
          <w:p w14:paraId="2D721C78" w14:textId="77777777" w:rsidR="00154E32" w:rsidRDefault="00A43E04">
            <w:pPr>
              <w:pStyle w:val="P68B1DB1-Normal11"/>
              <w:jc w:val="center"/>
              <w:rPr>
                <w:noProof/>
              </w:rPr>
            </w:pPr>
            <w:r>
              <w:rPr>
                <w:noProof/>
              </w:rPr>
              <w:t xml:space="preserve">Število </w:t>
            </w:r>
          </w:p>
        </w:tc>
        <w:tc>
          <w:tcPr>
            <w:tcW w:w="1134" w:type="dxa"/>
            <w:shd w:val="clear" w:color="auto" w:fill="C6EFCE"/>
            <w:noWrap/>
            <w:vAlign w:val="center"/>
          </w:tcPr>
          <w:p w14:paraId="0DBAF812" w14:textId="77777777" w:rsidR="00154E32" w:rsidRDefault="00A43E04">
            <w:pPr>
              <w:pStyle w:val="P68B1DB1-Normal11"/>
              <w:jc w:val="center"/>
              <w:rPr>
                <w:noProof/>
              </w:rPr>
            </w:pPr>
            <w:r>
              <w:rPr>
                <w:noProof/>
              </w:rPr>
              <w:t>0</w:t>
            </w:r>
          </w:p>
        </w:tc>
        <w:tc>
          <w:tcPr>
            <w:tcW w:w="946" w:type="dxa"/>
            <w:shd w:val="clear" w:color="auto" w:fill="C6EFCE"/>
            <w:noWrap/>
            <w:vAlign w:val="center"/>
          </w:tcPr>
          <w:p w14:paraId="58CB8129" w14:textId="77777777" w:rsidR="00154E32" w:rsidRDefault="00A43E04">
            <w:pPr>
              <w:pStyle w:val="P68B1DB1-Normal11"/>
              <w:jc w:val="center"/>
              <w:rPr>
                <w:noProof/>
              </w:rPr>
            </w:pPr>
            <w:r>
              <w:rPr>
                <w:noProof/>
              </w:rPr>
              <w:t>1</w:t>
            </w:r>
          </w:p>
        </w:tc>
        <w:tc>
          <w:tcPr>
            <w:tcW w:w="992" w:type="dxa"/>
            <w:shd w:val="clear" w:color="auto" w:fill="C6EFCE"/>
            <w:noWrap/>
            <w:vAlign w:val="center"/>
          </w:tcPr>
          <w:p w14:paraId="1226EBB2" w14:textId="77777777" w:rsidR="00154E32" w:rsidRDefault="00A43E04">
            <w:pPr>
              <w:pStyle w:val="P68B1DB1-Normal11"/>
              <w:jc w:val="center"/>
              <w:rPr>
                <w:noProof/>
              </w:rPr>
            </w:pPr>
            <w:r>
              <w:rPr>
                <w:noProof/>
              </w:rPr>
              <w:t>Q2</w:t>
            </w:r>
          </w:p>
        </w:tc>
        <w:tc>
          <w:tcPr>
            <w:tcW w:w="756" w:type="dxa"/>
            <w:shd w:val="clear" w:color="auto" w:fill="C6EFCE"/>
            <w:noWrap/>
            <w:vAlign w:val="center"/>
          </w:tcPr>
          <w:p w14:paraId="7A2CD16B" w14:textId="77777777" w:rsidR="00154E32" w:rsidRDefault="00A43E04">
            <w:pPr>
              <w:pStyle w:val="P68B1DB1-Normal11"/>
              <w:jc w:val="center"/>
              <w:rPr>
                <w:noProof/>
              </w:rPr>
            </w:pPr>
            <w:r>
              <w:rPr>
                <w:noProof/>
              </w:rPr>
              <w:t>2026</w:t>
            </w:r>
          </w:p>
        </w:tc>
        <w:tc>
          <w:tcPr>
            <w:tcW w:w="2793" w:type="dxa"/>
            <w:shd w:val="clear" w:color="auto" w:fill="C6EFCE"/>
            <w:noWrap/>
            <w:vAlign w:val="center"/>
          </w:tcPr>
          <w:p w14:paraId="246AFA32" w14:textId="20F4276F" w:rsidR="00154E32" w:rsidRDefault="00A43E04">
            <w:pPr>
              <w:pStyle w:val="P68B1DB1-Normal11"/>
              <w:spacing w:after="120"/>
              <w:rPr>
                <w:noProof/>
              </w:rPr>
            </w:pPr>
            <w:r>
              <w:rPr>
                <w:noProof/>
              </w:rPr>
              <w:t>Uvedba vodika v vsaj enem industrijskem obratu za razogljičenje sektorjev, ki jih je težko zmanjšati. Ta ukrep podpira proizvodnjo vodika na podlagi elektrolize z uporabo obnovljivih virov energije, kot so opredeljeni v Direktivi (EU) 2018/2001 (direktiva o obnovljivih virih), ali električne energije iz omrežja.</w:t>
            </w:r>
          </w:p>
          <w:p w14:paraId="370D219D" w14:textId="7ED68F9E" w:rsidR="00154E32" w:rsidRDefault="00A43E04">
            <w:pPr>
              <w:pStyle w:val="P68B1DB1-Normal12"/>
              <w:spacing w:after="120"/>
              <w:rPr>
                <w:rFonts w:ascii="Arial Narrow" w:hAnsi="Arial Narrow"/>
                <w:noProof/>
              </w:rPr>
            </w:pPr>
            <w:r>
              <w:rPr>
                <w:rFonts w:ascii="Arial Narrow" w:hAnsi="Arial Narrow"/>
                <w:noProof/>
              </w:rPr>
              <w:t>Vsaj 400 000 000 EUR podpira</w:t>
            </w:r>
            <w:r>
              <w:rPr>
                <w:noProof/>
              </w:rPr>
              <w:t xml:space="preserve"> </w:t>
            </w:r>
            <w:r>
              <w:rPr>
                <w:rFonts w:ascii="Arial Narrow" w:hAnsi="Arial Narrow"/>
                <w:noProof/>
              </w:rPr>
              <w:t xml:space="preserve"> industrijski razvoj, ki 90 % uporabe metana in fosilnih goriv v industrijskem procesu nadomesti z vodikom na podlagi elektrolize z uporabo obnovljivih virov energije, kot so opredeljeni v Direktivi (EU) 2018/2001 (direktiva o obnovljivih virih), ali električno energijo iz omrežja</w:t>
            </w:r>
            <w:r>
              <w:rPr>
                <w:noProof/>
              </w:rPr>
              <w:t>.</w:t>
            </w:r>
          </w:p>
        </w:tc>
      </w:tr>
      <w:tr w:rsidR="00154E32" w14:paraId="76739419" w14:textId="77777777">
        <w:trPr>
          <w:trHeight w:val="309"/>
          <w:jc w:val="center"/>
        </w:trPr>
        <w:tc>
          <w:tcPr>
            <w:tcW w:w="1613" w:type="dxa"/>
            <w:shd w:val="clear" w:color="auto" w:fill="C6EFCE"/>
            <w:noWrap/>
            <w:vAlign w:val="center"/>
          </w:tcPr>
          <w:p w14:paraId="641DF0E7" w14:textId="77777777" w:rsidR="00154E32" w:rsidRDefault="00A43E04">
            <w:pPr>
              <w:pStyle w:val="P68B1DB1-Normal11"/>
              <w:jc w:val="center"/>
              <w:rPr>
                <w:noProof/>
              </w:rPr>
            </w:pPr>
            <w:r>
              <w:rPr>
                <w:noProof/>
              </w:rPr>
              <w:t>M2C2–52</w:t>
            </w:r>
          </w:p>
        </w:tc>
        <w:tc>
          <w:tcPr>
            <w:tcW w:w="1643" w:type="dxa"/>
            <w:shd w:val="clear" w:color="auto" w:fill="C6EFCE"/>
            <w:noWrap/>
            <w:vAlign w:val="center"/>
          </w:tcPr>
          <w:p w14:paraId="6BAFBEE8" w14:textId="77777777" w:rsidR="00154E32" w:rsidRDefault="00A43E04">
            <w:pPr>
              <w:pStyle w:val="P68B1DB1-Normal11"/>
              <w:jc w:val="center"/>
              <w:rPr>
                <w:noProof/>
              </w:rPr>
            </w:pPr>
            <w:r>
              <w:rPr>
                <w:noProof/>
              </w:rPr>
              <w:t>Naložba 5.2 Vodenje</w:t>
            </w:r>
          </w:p>
        </w:tc>
        <w:tc>
          <w:tcPr>
            <w:tcW w:w="1559" w:type="dxa"/>
            <w:shd w:val="clear" w:color="auto" w:fill="C6EFCE"/>
            <w:noWrap/>
            <w:vAlign w:val="center"/>
          </w:tcPr>
          <w:p w14:paraId="503BC730" w14:textId="77777777" w:rsidR="00154E32" w:rsidRDefault="00A43E04">
            <w:pPr>
              <w:pStyle w:val="P68B1DB1-Normal11"/>
              <w:jc w:val="center"/>
              <w:rPr>
                <w:noProof/>
              </w:rPr>
            </w:pPr>
            <w:r>
              <w:rPr>
                <w:noProof/>
              </w:rPr>
              <w:t>Mejnik</w:t>
            </w:r>
          </w:p>
        </w:tc>
        <w:tc>
          <w:tcPr>
            <w:tcW w:w="1559" w:type="dxa"/>
            <w:shd w:val="clear" w:color="auto" w:fill="C6EFCE"/>
            <w:noWrap/>
            <w:vAlign w:val="center"/>
          </w:tcPr>
          <w:p w14:paraId="20554E7C" w14:textId="77777777" w:rsidR="00154E32" w:rsidRDefault="00A43E04">
            <w:pPr>
              <w:pStyle w:val="P68B1DB1-Normal11"/>
              <w:jc w:val="center"/>
              <w:rPr>
                <w:noProof/>
              </w:rPr>
            </w:pPr>
            <w:r>
              <w:rPr>
                <w:noProof/>
              </w:rPr>
              <w:t>Proizvodnja elektrolizatorjev</w:t>
            </w:r>
          </w:p>
        </w:tc>
        <w:tc>
          <w:tcPr>
            <w:tcW w:w="1843" w:type="dxa"/>
            <w:shd w:val="clear" w:color="auto" w:fill="C6EFCE"/>
            <w:noWrap/>
            <w:vAlign w:val="center"/>
          </w:tcPr>
          <w:p w14:paraId="03B0C0EB" w14:textId="77777777" w:rsidR="00154E32" w:rsidRDefault="00A43E04">
            <w:pPr>
              <w:pStyle w:val="P68B1DB1-Normal11"/>
              <w:jc w:val="center"/>
              <w:rPr>
                <w:noProof/>
              </w:rPr>
            </w:pPr>
            <w:r>
              <w:rPr>
                <w:noProof/>
              </w:rPr>
              <w:t>Obvestilo o objavi vseh javnih naročil</w:t>
            </w:r>
          </w:p>
        </w:tc>
        <w:tc>
          <w:tcPr>
            <w:tcW w:w="1417" w:type="dxa"/>
            <w:shd w:val="clear" w:color="auto" w:fill="C6EFCE"/>
            <w:noWrap/>
            <w:vAlign w:val="center"/>
          </w:tcPr>
          <w:p w14:paraId="2EE5B0FE"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3CC3CDE6" w14:textId="77777777" w:rsidR="00154E32" w:rsidRDefault="00A43E04">
            <w:pPr>
              <w:pStyle w:val="P68B1DB1-Normal11"/>
              <w:jc w:val="center"/>
              <w:rPr>
                <w:noProof/>
              </w:rPr>
            </w:pPr>
            <w:r>
              <w:rPr>
                <w:noProof/>
              </w:rPr>
              <w:t>JIH NI</w:t>
            </w:r>
          </w:p>
        </w:tc>
        <w:tc>
          <w:tcPr>
            <w:tcW w:w="946" w:type="dxa"/>
            <w:shd w:val="clear" w:color="auto" w:fill="C6EFCE"/>
            <w:noWrap/>
            <w:vAlign w:val="center"/>
          </w:tcPr>
          <w:p w14:paraId="3EBED14A" w14:textId="77777777" w:rsidR="00154E32" w:rsidRDefault="00A43E04">
            <w:pPr>
              <w:pStyle w:val="P68B1DB1-Normal11"/>
              <w:jc w:val="center"/>
              <w:rPr>
                <w:noProof/>
              </w:rPr>
            </w:pPr>
            <w:r>
              <w:rPr>
                <w:noProof/>
              </w:rPr>
              <w:t>JIH NI</w:t>
            </w:r>
          </w:p>
        </w:tc>
        <w:tc>
          <w:tcPr>
            <w:tcW w:w="992" w:type="dxa"/>
            <w:shd w:val="clear" w:color="auto" w:fill="C6EFCE"/>
            <w:noWrap/>
            <w:vAlign w:val="center"/>
          </w:tcPr>
          <w:p w14:paraId="396FCA77" w14:textId="77777777" w:rsidR="00154E32" w:rsidRDefault="00A43E04">
            <w:pPr>
              <w:pStyle w:val="P68B1DB1-Normal11"/>
              <w:jc w:val="center"/>
              <w:rPr>
                <w:noProof/>
              </w:rPr>
            </w:pPr>
            <w:r>
              <w:rPr>
                <w:noProof/>
              </w:rPr>
              <w:t>Q2</w:t>
            </w:r>
          </w:p>
        </w:tc>
        <w:tc>
          <w:tcPr>
            <w:tcW w:w="756" w:type="dxa"/>
            <w:shd w:val="clear" w:color="auto" w:fill="C6EFCE"/>
            <w:noWrap/>
            <w:vAlign w:val="center"/>
          </w:tcPr>
          <w:p w14:paraId="10B7151E" w14:textId="77777777" w:rsidR="00154E32" w:rsidRDefault="00A43E04">
            <w:pPr>
              <w:pStyle w:val="P68B1DB1-Normal11"/>
              <w:jc w:val="center"/>
              <w:rPr>
                <w:noProof/>
              </w:rPr>
            </w:pPr>
            <w:r>
              <w:rPr>
                <w:noProof/>
              </w:rPr>
              <w:t>2022</w:t>
            </w:r>
          </w:p>
        </w:tc>
        <w:tc>
          <w:tcPr>
            <w:tcW w:w="2793" w:type="dxa"/>
            <w:shd w:val="clear" w:color="auto" w:fill="C6EFCE"/>
            <w:noWrap/>
            <w:vAlign w:val="center"/>
          </w:tcPr>
          <w:p w14:paraId="5AB1EA3A" w14:textId="50C04F95" w:rsidR="00154E32" w:rsidRDefault="00A43E04">
            <w:pPr>
              <w:pStyle w:val="P68B1DB1-Normal11"/>
              <w:rPr>
                <w:noProof/>
              </w:rPr>
            </w:pPr>
            <w:r>
              <w:rPr>
                <w:noProof/>
              </w:rPr>
              <w:t xml:space="preserve">Oddaja naročila za izgradnjo industrijskega obrata za proizvodnjo elektrolizatorjev. </w:t>
            </w:r>
          </w:p>
        </w:tc>
      </w:tr>
      <w:tr w:rsidR="00154E32" w14:paraId="14E7E44F" w14:textId="77777777">
        <w:trPr>
          <w:trHeight w:val="309"/>
          <w:jc w:val="center"/>
        </w:trPr>
        <w:tc>
          <w:tcPr>
            <w:tcW w:w="1613" w:type="dxa"/>
            <w:shd w:val="clear" w:color="auto" w:fill="C6EFCE"/>
            <w:noWrap/>
            <w:vAlign w:val="center"/>
          </w:tcPr>
          <w:p w14:paraId="4B058BE7" w14:textId="77777777" w:rsidR="00154E32" w:rsidRDefault="00A43E04">
            <w:pPr>
              <w:pStyle w:val="P68B1DB1-Normal11"/>
              <w:jc w:val="center"/>
              <w:rPr>
                <w:noProof/>
              </w:rPr>
            </w:pPr>
            <w:r>
              <w:rPr>
                <w:noProof/>
              </w:rPr>
              <w:t>M2C2–53</w:t>
            </w:r>
          </w:p>
        </w:tc>
        <w:tc>
          <w:tcPr>
            <w:tcW w:w="1643" w:type="dxa"/>
            <w:shd w:val="clear" w:color="auto" w:fill="C6EFCE"/>
            <w:noWrap/>
            <w:vAlign w:val="center"/>
          </w:tcPr>
          <w:p w14:paraId="2ED4EA78" w14:textId="77777777" w:rsidR="00154E32" w:rsidRDefault="00A43E04">
            <w:pPr>
              <w:pStyle w:val="P68B1DB1-Normal11"/>
              <w:jc w:val="center"/>
              <w:rPr>
                <w:noProof/>
              </w:rPr>
            </w:pPr>
            <w:r>
              <w:rPr>
                <w:noProof/>
              </w:rPr>
              <w:t>Naložba 5.2 Vodenje</w:t>
            </w:r>
          </w:p>
        </w:tc>
        <w:tc>
          <w:tcPr>
            <w:tcW w:w="1559" w:type="dxa"/>
            <w:shd w:val="clear" w:color="auto" w:fill="C6EFCE"/>
            <w:noWrap/>
            <w:vAlign w:val="center"/>
          </w:tcPr>
          <w:p w14:paraId="3933D75C" w14:textId="77777777" w:rsidR="00154E32" w:rsidRDefault="00A43E04">
            <w:pPr>
              <w:pStyle w:val="P68B1DB1-Normal11"/>
              <w:jc w:val="center"/>
              <w:rPr>
                <w:noProof/>
              </w:rPr>
            </w:pPr>
            <w:r>
              <w:rPr>
                <w:noProof/>
              </w:rPr>
              <w:t>Tarča</w:t>
            </w:r>
          </w:p>
        </w:tc>
        <w:tc>
          <w:tcPr>
            <w:tcW w:w="1559" w:type="dxa"/>
            <w:shd w:val="clear" w:color="auto" w:fill="C6EFCE"/>
            <w:noWrap/>
            <w:vAlign w:val="center"/>
          </w:tcPr>
          <w:p w14:paraId="14D9AF21" w14:textId="77777777" w:rsidR="00154E32" w:rsidRDefault="00A43E04">
            <w:pPr>
              <w:pStyle w:val="P68B1DB1-Normal11"/>
              <w:jc w:val="center"/>
              <w:rPr>
                <w:noProof/>
              </w:rPr>
            </w:pPr>
            <w:r>
              <w:rPr>
                <w:noProof/>
              </w:rPr>
              <w:t xml:space="preserve">Oddaja vseh javnih naročil za dokončanje industrijskega obrata za proizvodnjo elektrolizatorjev </w:t>
            </w:r>
          </w:p>
        </w:tc>
        <w:tc>
          <w:tcPr>
            <w:tcW w:w="1843" w:type="dxa"/>
            <w:shd w:val="clear" w:color="auto" w:fill="C6EFCE"/>
            <w:noWrap/>
            <w:vAlign w:val="center"/>
          </w:tcPr>
          <w:p w14:paraId="7E203C22" w14:textId="77777777" w:rsidR="00154E32" w:rsidRDefault="00A43E04">
            <w:pPr>
              <w:pStyle w:val="P68B1DB1-Normal11"/>
              <w:jc w:val="center"/>
              <w:rPr>
                <w:noProof/>
              </w:rPr>
            </w:pPr>
            <w:r>
              <w:rPr>
                <w:noProof/>
              </w:rPr>
              <w:t>JIH NI</w:t>
            </w:r>
          </w:p>
        </w:tc>
        <w:tc>
          <w:tcPr>
            <w:tcW w:w="1417" w:type="dxa"/>
            <w:shd w:val="clear" w:color="auto" w:fill="C6EFCE"/>
            <w:noWrap/>
            <w:vAlign w:val="center"/>
          </w:tcPr>
          <w:p w14:paraId="35AFD891" w14:textId="77777777" w:rsidR="00154E32" w:rsidRDefault="00A43E04">
            <w:pPr>
              <w:pStyle w:val="P68B1DB1-Normal11"/>
              <w:jc w:val="center"/>
              <w:rPr>
                <w:noProof/>
              </w:rPr>
            </w:pPr>
            <w:r>
              <w:rPr>
                <w:noProof/>
              </w:rPr>
              <w:t>Število</w:t>
            </w:r>
          </w:p>
        </w:tc>
        <w:tc>
          <w:tcPr>
            <w:tcW w:w="1134" w:type="dxa"/>
            <w:shd w:val="clear" w:color="auto" w:fill="C6EFCE"/>
            <w:noWrap/>
            <w:vAlign w:val="center"/>
          </w:tcPr>
          <w:p w14:paraId="36140207" w14:textId="77777777" w:rsidR="00154E32" w:rsidRDefault="00A43E04">
            <w:pPr>
              <w:pStyle w:val="P68B1DB1-Normal11"/>
              <w:jc w:val="center"/>
              <w:rPr>
                <w:noProof/>
              </w:rPr>
            </w:pPr>
            <w:r>
              <w:rPr>
                <w:noProof/>
              </w:rPr>
              <w:t>0</w:t>
            </w:r>
          </w:p>
        </w:tc>
        <w:tc>
          <w:tcPr>
            <w:tcW w:w="946" w:type="dxa"/>
            <w:shd w:val="clear" w:color="auto" w:fill="C6EFCE"/>
            <w:noWrap/>
            <w:vAlign w:val="center"/>
          </w:tcPr>
          <w:p w14:paraId="389E87BB" w14:textId="77777777" w:rsidR="00154E32" w:rsidRDefault="00A43E04">
            <w:pPr>
              <w:pStyle w:val="P68B1DB1-Normal11"/>
              <w:jc w:val="center"/>
              <w:rPr>
                <w:noProof/>
              </w:rPr>
            </w:pPr>
            <w:r>
              <w:rPr>
                <w:noProof/>
              </w:rPr>
              <w:t>1</w:t>
            </w:r>
          </w:p>
        </w:tc>
        <w:tc>
          <w:tcPr>
            <w:tcW w:w="992" w:type="dxa"/>
            <w:shd w:val="clear" w:color="auto" w:fill="C6EFCE"/>
            <w:noWrap/>
            <w:vAlign w:val="center"/>
          </w:tcPr>
          <w:p w14:paraId="34C9EBD3" w14:textId="77777777" w:rsidR="00154E32" w:rsidRDefault="00A43E04">
            <w:pPr>
              <w:pStyle w:val="P68B1DB1-Normal11"/>
              <w:jc w:val="center"/>
              <w:rPr>
                <w:noProof/>
              </w:rPr>
            </w:pPr>
            <w:r>
              <w:rPr>
                <w:noProof/>
              </w:rPr>
              <w:t>Q2</w:t>
            </w:r>
          </w:p>
        </w:tc>
        <w:tc>
          <w:tcPr>
            <w:tcW w:w="756" w:type="dxa"/>
            <w:shd w:val="clear" w:color="auto" w:fill="C6EFCE"/>
            <w:noWrap/>
            <w:vAlign w:val="center"/>
          </w:tcPr>
          <w:p w14:paraId="4168BDCB" w14:textId="77777777" w:rsidR="00154E32" w:rsidRDefault="00A43E04">
            <w:pPr>
              <w:pStyle w:val="P68B1DB1-Normal11"/>
              <w:jc w:val="center"/>
              <w:rPr>
                <w:noProof/>
              </w:rPr>
            </w:pPr>
            <w:r>
              <w:rPr>
                <w:noProof/>
              </w:rPr>
              <w:t>2026</w:t>
            </w:r>
          </w:p>
        </w:tc>
        <w:tc>
          <w:tcPr>
            <w:tcW w:w="2793" w:type="dxa"/>
            <w:shd w:val="clear" w:color="auto" w:fill="C6EFCE"/>
            <w:noWrap/>
            <w:vAlign w:val="center"/>
          </w:tcPr>
          <w:p w14:paraId="6A45DACD" w14:textId="77777777" w:rsidR="00154E32" w:rsidRDefault="00A43E04">
            <w:pPr>
              <w:pStyle w:val="P68B1DB1-Normal11"/>
              <w:rPr>
                <w:noProof/>
              </w:rPr>
            </w:pPr>
            <w:r>
              <w:rPr>
                <w:noProof/>
              </w:rPr>
              <w:t>Gradnja vsaj enega industrijskega obrata za proizvodnjo elektrolizatorjev s skupno zmogljivostjo za celotno naložbo vsaj 1 GW/leto.</w:t>
            </w:r>
          </w:p>
        </w:tc>
      </w:tr>
    </w:tbl>
    <w:p w14:paraId="1F2E6B84" w14:textId="77777777" w:rsidR="00154E32" w:rsidRDefault="00154E32">
      <w:pPr>
        <w:tabs>
          <w:tab w:val="left" w:pos="1860"/>
        </w:tabs>
        <w:spacing w:before="120" w:after="120"/>
        <w:jc w:val="both"/>
        <w:rPr>
          <w:noProof/>
        </w:rPr>
      </w:pPr>
    </w:p>
    <w:p w14:paraId="52DF5F00" w14:textId="77777777" w:rsidR="00154E32" w:rsidRDefault="00154E32">
      <w:pPr>
        <w:tabs>
          <w:tab w:val="left" w:pos="1860"/>
        </w:tabs>
        <w:spacing w:before="120" w:after="120"/>
        <w:jc w:val="both"/>
        <w:rPr>
          <w:noProof/>
        </w:rPr>
        <w:sectPr w:rsidR="00154E32" w:rsidSect="001354D1">
          <w:headerReference w:type="even" r:id="rId134"/>
          <w:headerReference w:type="default" r:id="rId135"/>
          <w:footerReference w:type="even" r:id="rId136"/>
          <w:footerReference w:type="default" r:id="rId137"/>
          <w:headerReference w:type="first" r:id="rId138"/>
          <w:footerReference w:type="first" r:id="rId139"/>
          <w:pgSz w:w="16839" w:h="11907" w:orient="landscape"/>
          <w:pgMar w:top="1134" w:right="1134" w:bottom="1134" w:left="1134" w:header="567" w:footer="567" w:gutter="0"/>
          <w:cols w:space="720"/>
          <w:docGrid w:linePitch="360"/>
        </w:sectPr>
      </w:pPr>
    </w:p>
    <w:p w14:paraId="2CBE028E" w14:textId="409092A6" w:rsidR="00154E32" w:rsidRDefault="00A43E04">
      <w:pPr>
        <w:pStyle w:val="Heading2"/>
        <w:numPr>
          <w:ilvl w:val="0"/>
          <w:numId w:val="0"/>
        </w:numPr>
        <w:rPr>
          <w:noProof/>
        </w:rPr>
      </w:pPr>
      <w:r>
        <w:rPr>
          <w:noProof/>
        </w:rPr>
        <w:t>F. MISSION 2 COMPONENT 3 – Energetska učinkovitost in prekvalifikacija stavb</w:t>
      </w:r>
    </w:p>
    <w:p w14:paraId="1074CDF1" w14:textId="77777777" w:rsidR="00154E32" w:rsidRDefault="00A43E04">
      <w:pPr>
        <w:spacing w:before="120" w:after="120"/>
        <w:jc w:val="both"/>
        <w:rPr>
          <w:noProof/>
        </w:rPr>
      </w:pPr>
      <w:r>
        <w:rPr>
          <w:noProof/>
        </w:rPr>
        <w:t xml:space="preserve">Energetska učinkovitost je temelj te komponente, ki je razdeljena na tri glavne stebre. </w:t>
      </w:r>
    </w:p>
    <w:p w14:paraId="6C0D4D8C" w14:textId="77777777" w:rsidR="00154E32" w:rsidRDefault="00A43E04">
      <w:pPr>
        <w:numPr>
          <w:ilvl w:val="0"/>
          <w:numId w:val="70"/>
        </w:numPr>
        <w:spacing w:before="120" w:after="120"/>
        <w:ind w:left="360"/>
        <w:contextualSpacing/>
        <w:jc w:val="both"/>
        <w:rPr>
          <w:noProof/>
        </w:rPr>
      </w:pPr>
      <w:r>
        <w:rPr>
          <w:noProof/>
        </w:rPr>
        <w:t xml:space="preserve">Prvi steber je uvedba začasne spodbude za energetsko in protipotresno prenovo zasebnih nepremičnin z davčno olajšavo za stroške, ki nastanejo pri intervencijah. Upravičeni so ukrepi, s katerimi se energijska učinkovitost stanovanja poveča za vsaj dve kategoriji energetske izkaznice, s čimer se poraba energije v povprečju poveča za več kot 30 %. </w:t>
      </w:r>
    </w:p>
    <w:p w14:paraId="5564DA23" w14:textId="77777777" w:rsidR="00154E32" w:rsidRDefault="00A43E04">
      <w:pPr>
        <w:numPr>
          <w:ilvl w:val="0"/>
          <w:numId w:val="70"/>
        </w:numPr>
        <w:spacing w:before="120" w:after="120"/>
        <w:ind w:left="360"/>
        <w:contextualSpacing/>
        <w:jc w:val="both"/>
        <w:rPr>
          <w:noProof/>
        </w:rPr>
      </w:pPr>
      <w:r>
        <w:rPr>
          <w:noProof/>
        </w:rPr>
        <w:t>Drugi steber te komponente je izboljšanje učinkovitosti in varnosti javnih šol in sodnih citadelov.</w:t>
      </w:r>
    </w:p>
    <w:p w14:paraId="1911484F" w14:textId="77777777" w:rsidR="00154E32" w:rsidRDefault="00A43E04">
      <w:pPr>
        <w:numPr>
          <w:ilvl w:val="0"/>
          <w:numId w:val="70"/>
        </w:numPr>
        <w:spacing w:before="120" w:after="120"/>
        <w:ind w:left="360"/>
        <w:contextualSpacing/>
        <w:jc w:val="both"/>
        <w:rPr>
          <w:noProof/>
        </w:rPr>
      </w:pPr>
      <w:r>
        <w:rPr>
          <w:noProof/>
        </w:rPr>
        <w:t xml:space="preserve">Tretji steber je namenjen spodbujanju gradnje in širitve učinkovitih omrežij za daljinsko ogrevanje na mestnih območjih. </w:t>
      </w:r>
    </w:p>
    <w:p w14:paraId="470FBF23" w14:textId="77777777" w:rsidR="00154E32" w:rsidRDefault="00A43E04">
      <w:pPr>
        <w:spacing w:before="120" w:after="120"/>
        <w:jc w:val="both"/>
        <w:rPr>
          <w:noProof/>
        </w:rPr>
      </w:pPr>
      <w:r>
        <w:rPr>
          <w:noProof/>
        </w:rPr>
        <w:t xml:space="preserve">Poleg tega je bilo sprejetih več reform za poenostavitev in pospešitev izvajanja projektov, namenjenih izboljšanju energetske učinkovitosti stavb. </w:t>
      </w:r>
    </w:p>
    <w:p w14:paraId="422483A5" w14:textId="77777777" w:rsidR="00154E32" w:rsidRDefault="00A43E04">
      <w:pPr>
        <w:spacing w:before="120" w:after="120"/>
        <w:jc w:val="both"/>
        <w:rPr>
          <w:noProof/>
        </w:rPr>
      </w:pPr>
      <w:r>
        <w:rPr>
          <w:noProof/>
        </w:rPr>
        <w:t xml:space="preserve">Pričakuje se, da bo ta komponenta močno prispevala k doseganju podnebnih in energetskih ciljev Italije za leto 2030, saj je civilni sektor odgovoren za skoraj polovico skupne porabe energije v Italiji. Večina stavb je bila zgrajena pred sprejetjem meril za varčevanje z energijo in začetkom veljavnosti ustrezne zakonodaje, zato so potrebe po energetski učinkovitosti in prilagajanju potresnim tveganjem precejšnje.  </w:t>
      </w:r>
    </w:p>
    <w:p w14:paraId="0DDB3A4B" w14:textId="77777777" w:rsidR="00154E32" w:rsidRDefault="00A43E04">
      <w:pPr>
        <w:spacing w:before="120" w:after="120"/>
        <w:jc w:val="both"/>
        <w:rPr>
          <w:noProof/>
        </w:rPr>
      </w:pPr>
      <w:r>
        <w:rPr>
          <w:noProof/>
        </w:rPr>
        <w:t>Ta komponenta obravnava del priporočila 3 za posamezno državo iz leta 2020, s katerim je Svet Italiji priporočil, naj sprejme ukrepe za usmerjanje naložb v zeleni in digitalni prehod, zlasti na [...] upravljanje voda in okrepljeno digitalno infrastrukturo, da se zagotovijo bistvene storitve. Obravnava tudi dele priporočil za posamezne države iz leta 2019 („Ekonomska politika, povezana z naložbami, na kakovost infrastrukture ob upoštevanju regionalnih razlik). [...] ter izboljša učinkovitost javne uprave [...] s pospeševanjem digitalizacije ter povečanjem učinkovitosti in kakovosti lokalnih javnih storitev“).</w:t>
      </w:r>
    </w:p>
    <w:p w14:paraId="2E58118F" w14:textId="77777777" w:rsidR="00154E32" w:rsidRDefault="00A43E04">
      <w:pPr>
        <w:spacing w:before="120" w:after="120"/>
        <w:jc w:val="both"/>
        <w:rPr>
          <w:noProof/>
        </w:rPr>
      </w:pPr>
      <w:r>
        <w:rPr>
          <w:noProof/>
        </w:rPr>
        <w:t xml:space="preserve">Glede na opis ukrepov in blažilne ukrepe, določene v načrtu za okrevanje in odpornost v skladu s tehničnimi smernicami za uporabo načela, da se ne škoduje bistveno (2021/C58/01), noben ukrep v tej komponenti naj ne bi bistveno škodoval okoljskim ciljem v smislu člena 17 Uredbe (EU) 2020/852. </w:t>
      </w:r>
    </w:p>
    <w:p w14:paraId="03A66B47" w14:textId="77777777" w:rsidR="00154E32" w:rsidRDefault="00A43E04">
      <w:pPr>
        <w:pStyle w:val="Heading3"/>
        <w:numPr>
          <w:ilvl w:val="0"/>
          <w:numId w:val="0"/>
        </w:numPr>
        <w:ind w:left="850" w:hanging="850"/>
        <w:rPr>
          <w:b/>
          <w:i w:val="0"/>
          <w:noProof/>
          <w:color w:val="4F81BD" w:themeColor="accent1"/>
          <w:u w:val="single"/>
        </w:rPr>
      </w:pPr>
      <w:r>
        <w:rPr>
          <w:b/>
          <w:i w:val="0"/>
          <w:noProof/>
          <w:u w:val="single"/>
        </w:rPr>
        <w:t xml:space="preserve">F.1. </w:t>
      </w:r>
      <w:r>
        <w:rPr>
          <w:noProof/>
        </w:rPr>
        <w:tab/>
      </w:r>
      <w:r>
        <w:rPr>
          <w:b/>
          <w:i w:val="0"/>
          <w:noProof/>
          <w:u w:val="single"/>
        </w:rPr>
        <w:t>Opis reform in naložb za nepovratno finančno podporo</w:t>
      </w:r>
    </w:p>
    <w:p w14:paraId="226E2B7B" w14:textId="38D634AC" w:rsidR="00154E32" w:rsidRDefault="00A43E04">
      <w:pPr>
        <w:pStyle w:val="P68B1DB1-Normal2"/>
        <w:spacing w:before="120" w:after="120" w:line="257" w:lineRule="auto"/>
        <w:jc w:val="both"/>
        <w:rPr>
          <w:noProof/>
        </w:rPr>
      </w:pPr>
      <w:r>
        <w:rPr>
          <w:noProof/>
        </w:rPr>
        <w:t>Naložba 2.1: Krepitev ekobonusa za energetsko učinkovitost</w:t>
      </w:r>
    </w:p>
    <w:p w14:paraId="7786D95C" w14:textId="77777777" w:rsidR="00154E32" w:rsidRDefault="00A43E04">
      <w:pPr>
        <w:spacing w:before="120" w:after="120"/>
        <w:jc w:val="both"/>
        <w:rPr>
          <w:noProof/>
        </w:rPr>
      </w:pPr>
      <w:r>
        <w:rPr>
          <w:noProof/>
        </w:rPr>
        <w:t xml:space="preserve">Z ukrepom Superbonus se financira energijska prenova stanovanjskih stavb, vključno s socialnimi stanovanji, kot je določeno v členu 119 t. i. „Decreto Rilancio“, sprejete za odpravljanje negativnih gospodarskih in socialnih posledic pandemije. Cilj je dvojen: 1) znatno prispevati k doseganju ciljev varčevanja z energijo in zmanjšanja emisij, določenih v celovitem nacionalnem načrtu za energijo in podnebje Italije (PNIEC) za leto 2030, ter 2) zagotoviti proticiklično podporo gradbenemu sektorju in zasebnemu povpraševanju za izravnavo učinkov upada gospodarske rasti. </w:t>
      </w:r>
    </w:p>
    <w:p w14:paraId="0B4D89CC" w14:textId="34762B21" w:rsidR="00154E32" w:rsidRDefault="00A43E04">
      <w:pPr>
        <w:spacing w:before="120" w:after="120"/>
        <w:jc w:val="both"/>
        <w:rPr>
          <w:noProof/>
        </w:rPr>
      </w:pPr>
      <w:r>
        <w:rPr>
          <w:noProof/>
        </w:rPr>
        <w:t xml:space="preserve">Podpora se zagotavlja v obliki davčnega odbitka v petih letih. Do 16. februarja 2023 je določeno, da se lahko prejemniki namesto instrumenta davčnega odbitka namesto neposredne uporabe odbitka odločijo za uporabo finančnih instrumentov (t. i. „kreditnega prenosa“ in „diskonta na računu“) za reševanje problema visokih začetnih naložbenih stroškov. Ti alternativni instrumenti določajo, da se odbitek davka, ki ga je obračunal upravičenec, izvede za enak znesek v: </w:t>
      </w:r>
    </w:p>
    <w:p w14:paraId="38AC15D3" w14:textId="77777777" w:rsidR="00154E32" w:rsidRDefault="00A43E04">
      <w:pPr>
        <w:spacing w:before="120" w:after="120"/>
        <w:jc w:val="both"/>
        <w:rPr>
          <w:noProof/>
        </w:rPr>
      </w:pPr>
      <w:r>
        <w:rPr>
          <w:noProof/>
        </w:rPr>
        <w:t xml:space="preserve">Prispevek dobavitelja (tj. gradbenih podjetij, oblikovalcev ali splošneje splošnega izvajalca) v obliki popusta na ceno predplačila, ki ga zniža neposredno na račun in se izterja v obliki davčnega dobropisa, s katerim se znižajo stroški začetne naložbe; </w:t>
      </w:r>
    </w:p>
    <w:p w14:paraId="3CCE1AC4" w14:textId="79A6106B" w:rsidR="00154E32" w:rsidRDefault="00A43E04">
      <w:pPr>
        <w:spacing w:before="120" w:after="120"/>
        <w:jc w:val="both"/>
        <w:rPr>
          <w:noProof/>
        </w:rPr>
      </w:pPr>
      <w:r>
        <w:rPr>
          <w:noProof/>
        </w:rPr>
        <w:t>2. davčni dobropis, ki se odstopi finančni instituciji, ki vnaprej plača potrebni kapital. Ta mehanizem odtehta morebitne ovire za prenovo zaradi visokih začetnih naložbenih stroškov. Izbira splošnega izvajalca ali finančne institucije je prepuščena upravičencu.</w:t>
      </w:r>
    </w:p>
    <w:p w14:paraId="49E5A63F" w14:textId="77777777" w:rsidR="00154E32" w:rsidRDefault="00A43E04">
      <w:pPr>
        <w:spacing w:before="120" w:after="120"/>
        <w:jc w:val="both"/>
        <w:rPr>
          <w:noProof/>
        </w:rPr>
      </w:pPr>
      <w:r>
        <w:rPr>
          <w:noProof/>
        </w:rPr>
        <w:t xml:space="preserve">To davčno spodbudo lahko koristijo kondominijam, enodružinskim stavbam, nedeljenim stanovanjskim zadrugam, neprofitnim organizacijam in prostovoljnim združenjem, amaterskim športnim združenjem in klubom ter socialnim stanovanjem. Da bi bila prenova upravičena, mora biti razvrščena kot „poglobljena prenova“ (tj. srednja prenova v skladu s Priporočilom Komisije (EU) 2019/786), kar pomeni izboljšanje vsaj dveh energijskih razredov (ki v povprečju ustreza 40-odstotnemu prihranku primarne energije). Obseg upravičenih intervencij, ki jih zajema ta ukrep, je širok, vključno z na primer posegi v pogon, vlečenimi posegi, toplotno izolacijo neprozornih površin in posegi v klimatske sisteme (kondenzacijski kotli; toplotne črpalke; priključitev na učinkovita omrežja za daljinsko ogrevanje pod posebnimi pogoji; sončna toplotna energija; kotli na biomaso pod posebnimi pogoji), fotonapetostni sistemi s povezanimi sistemi za shranjevanje ali infrastrukturo za polnjenje električnih vozil. V dveh ministrskih odlokih z dne 6. avgusta 2020 so bile že opredeljene tehnične zahteve intervencij in postopki za potrjevanje skladnosti s posebnimi najvišjimi zahtevami in stroški. </w:t>
      </w:r>
    </w:p>
    <w:p w14:paraId="0A279EF3" w14:textId="77777777" w:rsidR="00154E32" w:rsidRDefault="00A43E04">
      <w:pPr>
        <w:spacing w:before="120" w:after="120"/>
        <w:jc w:val="both"/>
        <w:rPr>
          <w:noProof/>
        </w:rPr>
      </w:pPr>
      <w:r>
        <w:rPr>
          <w:noProof/>
        </w:rPr>
        <w:t xml:space="preserve">Superbonus je aktiven že od 1. julija 2020 in bo veljal do 30. junija 2022 (za socialna stanovanja do 31. decembra 2022). Dostop do nadomestila se lahko zahteva za nadaljnje obdobje šestih mesecev za dela na kondominijah ali socialnih stanovanjih, če je bilo vsaj 60 % del opravljenih pred zgoraj navedenimi datumi. Da bi imeli bolj zapleteni ukrepi več časa, se načrtuje podaljšanje uporabe ukrepa za kondominija do 31. decembra 2022 in za socialna stanovanja do 30. junija 2023, ne glede na dokončanje vsaj 60 % del. </w:t>
      </w:r>
    </w:p>
    <w:p w14:paraId="2D097E82" w14:textId="77777777" w:rsidR="00154E32" w:rsidRDefault="00A43E04">
      <w:pPr>
        <w:spacing w:before="120" w:after="120"/>
        <w:jc w:val="both"/>
        <w:rPr>
          <w:noProof/>
        </w:rPr>
      </w:pPr>
      <w:r>
        <w:rPr>
          <w:noProof/>
        </w:rPr>
        <w:t>Pričakuje se, da ta ukrep ne bo bistveno škodoval okoljskim ciljem v smislu člena 17 Uredbe (EU) 2020/852, ob upoštevanju opisa ukrepa in blažilnih ukrepov iz načrta za okrevanje in odpornost v skladu s tehničnimi smernicami, da se ne škoduje bistveno (2021/C58/01). Zlasti stroški namestitve plinskih kondenzacijskih kotlov predstavljajo največ 20 % skupnih stroškov programa prenove. V primerih, ko se kotli za kondenzacijo plina namestijo kot izbrana zamenjava obstoječih neučinkovitih kotlov na plin, premog in olje, imajo učinkovitost A. Poleg tega mora biti namestitev kotlov na zemeljski plin skladna s pogoji iz tehničnih smernic za načelo, da se ne škoduje bistveno (2021/C58/01).</w:t>
      </w:r>
    </w:p>
    <w:p w14:paraId="60471DD6" w14:textId="77777777" w:rsidR="00154E32" w:rsidRDefault="00A43E04">
      <w:pPr>
        <w:pStyle w:val="P68B1DB1-Normal2"/>
        <w:spacing w:before="120" w:after="120" w:line="257" w:lineRule="auto"/>
        <w:jc w:val="both"/>
        <w:rPr>
          <w:noProof/>
        </w:rPr>
      </w:pPr>
      <w:r>
        <w:rPr>
          <w:noProof/>
        </w:rPr>
        <w:t>Reforma 1.1 – Poenostavitev in pospešitev postopkov za ukrepe na področju energijske učinkovitosti</w:t>
      </w:r>
    </w:p>
    <w:p w14:paraId="23508811" w14:textId="77777777" w:rsidR="00154E32" w:rsidRDefault="00A43E04">
      <w:pPr>
        <w:spacing w:before="120" w:after="120"/>
        <w:jc w:val="both"/>
        <w:rPr>
          <w:noProof/>
        </w:rPr>
      </w:pPr>
      <w:r>
        <w:rPr>
          <w:noProof/>
        </w:rPr>
        <w:t>Cilj te reforme je poenostaviti in pospešiti postopke za izvajanje ukrepov, povezanih z energetsko učinkovitostjo. Sestavljajo ga štirje glavni ukrepi:</w:t>
      </w:r>
    </w:p>
    <w:p w14:paraId="6380A82D" w14:textId="77777777" w:rsidR="00154E32" w:rsidRDefault="00A43E04">
      <w:pPr>
        <w:numPr>
          <w:ilvl w:val="0"/>
          <w:numId w:val="71"/>
        </w:numPr>
        <w:spacing w:before="120" w:after="120"/>
        <w:ind w:left="357" w:hanging="357"/>
        <w:contextualSpacing/>
        <w:jc w:val="both"/>
        <w:rPr>
          <w:noProof/>
        </w:rPr>
      </w:pPr>
      <w:r>
        <w:rPr>
          <w:b/>
          <w:noProof/>
        </w:rPr>
        <w:t xml:space="preserve">Vzpostavitev nacionalnega portala za energetsko učinkovitost stavb: </w:t>
      </w:r>
      <w:r>
        <w:rPr>
          <w:noProof/>
        </w:rPr>
        <w:t xml:space="preserve">Portal podpira državljane in upravljavce pri upravljanju projektov energetske učinkovitosti in je lahko vir dostopa do informacij za nosilce odločanja. Vsebuje informacije o energetski učinkovitosti nacionalnega stavbnega fonda, ki naj bi podjetjem in državljanom pomagale pri njihovih odločitvah za izboljšanje energetske učinkovitosti njihovih nepremičnin. Vzpostavi se točka „vse na enem mestu“, ki državljanom in podjetjem zagotavlja pomoč in vse koristne informacije v zvezi z energetskim kartiranjem stavb, skladnostjo s sektorskimi predpisi, ocenjevanjem možnosti za učinkovitost in izbiro prednostnih nalog za ukrepanje, vključno s postopnimi načrti za prenovo, izbiro najprimernejših promocijskih orodij za ta namen in usposabljanjem strokovnih znanj in spretnosti. </w:t>
      </w:r>
    </w:p>
    <w:p w14:paraId="59C0A26F" w14:textId="77777777" w:rsidR="00154E32" w:rsidRDefault="00A43E04">
      <w:pPr>
        <w:numPr>
          <w:ilvl w:val="0"/>
          <w:numId w:val="71"/>
        </w:numPr>
        <w:spacing w:before="120" w:after="120"/>
        <w:ind w:left="357" w:hanging="357"/>
        <w:contextualSpacing/>
        <w:jc w:val="both"/>
        <w:rPr>
          <w:b/>
          <w:noProof/>
        </w:rPr>
      </w:pPr>
      <w:r>
        <w:rPr>
          <w:b/>
          <w:noProof/>
        </w:rPr>
        <w:t xml:space="preserve">Krepitev dejavnosti načrta informiranja in usposabljanja, namenjenega civilnemu sektorju – </w:t>
      </w:r>
      <w:r>
        <w:rPr>
          <w:noProof/>
        </w:rPr>
        <w:t>v načrtu informiranja in usposabljanja se upošteva potreba po razvoju posebnih pobud za zapolnitev informacijske vrzeli končnih uporabnikov v stanovanjskem sektorju ter ustreznih dejavnosti usposabljanja o spodbudah in najučinkovitejših posegih za podjetja, ki ponujajo energetske storitve, izvajajo intervencije, in za upravljavce kondominija. Načrt se pripravi ob upoštevanju potreb, ki izhajajo iz ukrepa Superbonus, da se čim bolj poveča njegova učinkovitost in postavijo temelji za trajno kulturo učinkovitosti v gradbeništvu.</w:t>
      </w:r>
      <w:r>
        <w:rPr>
          <w:b/>
          <w:noProof/>
        </w:rPr>
        <w:t xml:space="preserve"> </w:t>
      </w:r>
    </w:p>
    <w:p w14:paraId="4E245F3B" w14:textId="77777777" w:rsidR="00154E32" w:rsidRDefault="00A43E04">
      <w:pPr>
        <w:numPr>
          <w:ilvl w:val="0"/>
          <w:numId w:val="71"/>
        </w:numPr>
        <w:spacing w:before="120" w:after="120"/>
        <w:ind w:left="357" w:hanging="357"/>
        <w:contextualSpacing/>
        <w:jc w:val="both"/>
        <w:rPr>
          <w:noProof/>
        </w:rPr>
      </w:pPr>
      <w:r>
        <w:rPr>
          <w:b/>
          <w:noProof/>
        </w:rPr>
        <w:t xml:space="preserve">Posodobitev in okrepitev nacionalnega sklada za energetsko učinkovitost: </w:t>
      </w:r>
      <w:r>
        <w:rPr>
          <w:noProof/>
        </w:rPr>
        <w:t xml:space="preserve">Z revizijo uredb o ustanovitvi in upravljanju nacionalnega sklada za energetsko učinkovitost (člen 15 zakonske uredbe 102/2014 in medresorska uredba z dne 22. decembra 2017) začnejo veljati spremembe za spodbujanje povečanja in večje uporabe razpoložljivih sredstev. </w:t>
      </w:r>
    </w:p>
    <w:p w14:paraId="64662B48" w14:textId="77777777" w:rsidR="00154E32" w:rsidRDefault="00A43E04">
      <w:pPr>
        <w:numPr>
          <w:ilvl w:val="0"/>
          <w:numId w:val="71"/>
        </w:numPr>
        <w:spacing w:before="120" w:after="120"/>
        <w:ind w:left="357" w:hanging="357"/>
        <w:contextualSpacing/>
        <w:jc w:val="both"/>
        <w:rPr>
          <w:noProof/>
        </w:rPr>
      </w:pPr>
      <w:r>
        <w:rPr>
          <w:b/>
          <w:noProof/>
        </w:rPr>
        <w:t>Pospešitev faze izvajanja projektov, ki se financirajo iz osrednjega programa javnega razvoja EPAC: Izvede se</w:t>
      </w:r>
      <w:r>
        <w:rPr>
          <w:noProof/>
        </w:rPr>
        <w:t>regulativni pregled, katerega cilj je spodbujanje učinkovitejšega upravljanja virov, ki so posebej dodeljeni programu za pridobivanje gradbenih delavcev centralne javne uprave (PREPAC).</w:t>
      </w:r>
    </w:p>
    <w:p w14:paraId="3E97429F" w14:textId="77777777" w:rsidR="00154E32" w:rsidRDefault="00A43E04">
      <w:pPr>
        <w:pStyle w:val="Heading3"/>
        <w:numPr>
          <w:ilvl w:val="0"/>
          <w:numId w:val="0"/>
        </w:numPr>
        <w:ind w:left="850" w:hanging="850"/>
        <w:rPr>
          <w:b/>
          <w:i w:val="0"/>
          <w:noProof/>
          <w:u w:val="single"/>
        </w:rPr>
      </w:pPr>
      <w:r>
        <w:rPr>
          <w:b/>
          <w:i w:val="0"/>
          <w:noProof/>
          <w:u w:val="single"/>
        </w:rPr>
        <w:t xml:space="preserve">F.2. </w:t>
      </w:r>
      <w:r>
        <w:rPr>
          <w:noProof/>
        </w:rPr>
        <w:tab/>
      </w:r>
      <w:r>
        <w:rPr>
          <w:b/>
          <w:i w:val="0"/>
          <w:noProof/>
          <w:u w:val="single"/>
        </w:rPr>
        <w:t>Mejniki, cilji, kazalniki in časovni razpored za spremljanje in izvajanje nepovratne finančne podpore Naslednje;</w:t>
      </w:r>
    </w:p>
    <w:p w14:paraId="4BE3A2F4" w14:textId="77777777" w:rsidR="00154E32" w:rsidRDefault="00154E32">
      <w:pPr>
        <w:spacing w:before="120" w:after="120"/>
        <w:ind w:left="709"/>
        <w:jc w:val="both"/>
        <w:rPr>
          <w:noProof/>
        </w:rPr>
        <w:sectPr w:rsidR="00154E32">
          <w:headerReference w:type="even" r:id="rId140"/>
          <w:headerReference w:type="default" r:id="rId141"/>
          <w:footerReference w:type="even" r:id="rId142"/>
          <w:footerReference w:type="default" r:id="rId143"/>
          <w:headerReference w:type="first" r:id="rId144"/>
          <w:footerReference w:type="first" r:id="rId145"/>
          <w:pgSz w:w="11907" w:h="16839"/>
          <w:pgMar w:top="1440" w:right="1440" w:bottom="1440" w:left="1440" w:header="567" w:footer="567" w:gutter="0"/>
          <w:cols w:space="720"/>
          <w:docGrid w:linePitch="360"/>
        </w:sectPr>
      </w:pPr>
    </w:p>
    <w:tbl>
      <w:tblPr>
        <w:tblpPr w:leftFromText="180" w:rightFromText="180" w:horzAnchor="margin" w:tblpXSpec="center" w:tblpY="-720"/>
        <w:tblW w:w="5122" w:type="pct"/>
        <w:tblLook w:val="04A0" w:firstRow="1" w:lastRow="0" w:firstColumn="1" w:lastColumn="0" w:noHBand="0" w:noVBand="1"/>
      </w:tblPr>
      <w:tblGrid>
        <w:gridCol w:w="1130"/>
        <w:gridCol w:w="1559"/>
        <w:gridCol w:w="1134"/>
        <w:gridCol w:w="1559"/>
        <w:gridCol w:w="1609"/>
        <w:gridCol w:w="1084"/>
        <w:gridCol w:w="1276"/>
        <w:gridCol w:w="1219"/>
        <w:gridCol w:w="995"/>
        <w:gridCol w:w="704"/>
        <w:gridCol w:w="2647"/>
      </w:tblGrid>
      <w:tr w:rsidR="00154E32" w14:paraId="64C1D58C" w14:textId="77777777">
        <w:trPr>
          <w:trHeight w:val="927"/>
          <w:tblHeader/>
        </w:trPr>
        <w:tc>
          <w:tcPr>
            <w:tcW w:w="113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6EF58A2" w14:textId="77777777" w:rsidR="00154E32" w:rsidRDefault="00A43E04">
            <w:pPr>
              <w:pStyle w:val="P68B1DB1-Normal9"/>
              <w:jc w:val="center"/>
              <w:rPr>
                <w:noProof/>
              </w:rPr>
            </w:pPr>
            <w:r>
              <w:rPr>
                <w:noProof/>
              </w:rPr>
              <w:t>Zaporedna številka</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7283191" w14:textId="77777777" w:rsidR="00154E32" w:rsidRDefault="00A43E04">
            <w:pPr>
              <w:pStyle w:val="P68B1DB1-Normal9"/>
              <w:jc w:val="center"/>
              <w:rPr>
                <w:noProof/>
              </w:rPr>
            </w:pPr>
            <w:r>
              <w:rPr>
                <w:noProof/>
              </w:rPr>
              <w:t>Povezani ukrep (reforma ali naložba)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C02651D" w14:textId="77777777" w:rsidR="00154E32" w:rsidRDefault="00A43E04">
            <w:pPr>
              <w:pStyle w:val="P68B1DB1-Normal9"/>
              <w:jc w:val="center"/>
              <w:rPr>
                <w:noProof/>
              </w:rPr>
            </w:pPr>
            <w:r>
              <w:rPr>
                <w:noProof/>
              </w:rPr>
              <w:t>Mejnik/cilj</w:t>
            </w:r>
          </w:p>
        </w:tc>
        <w:tc>
          <w:tcPr>
            <w:tcW w:w="1559" w:type="dxa"/>
            <w:vMerge w:val="restart"/>
            <w:tcBorders>
              <w:top w:val="single" w:sz="4" w:space="0" w:color="auto"/>
              <w:left w:val="nil"/>
              <w:bottom w:val="single" w:sz="4" w:space="0" w:color="auto"/>
              <w:right w:val="single" w:sz="4" w:space="0" w:color="auto"/>
            </w:tcBorders>
            <w:shd w:val="clear" w:color="auto" w:fill="BDD7EE"/>
            <w:vAlign w:val="center"/>
            <w:hideMark/>
          </w:tcPr>
          <w:p w14:paraId="42EDD06B" w14:textId="77777777" w:rsidR="00154E32" w:rsidRDefault="00A43E04">
            <w:pPr>
              <w:pStyle w:val="P68B1DB1-Normal9"/>
              <w:jc w:val="center"/>
              <w:rPr>
                <w:noProof/>
              </w:rPr>
            </w:pPr>
            <w:r>
              <w:rPr>
                <w:noProof/>
              </w:rPr>
              <w:t>Ime</w:t>
            </w:r>
          </w:p>
        </w:tc>
        <w:tc>
          <w:tcPr>
            <w:tcW w:w="160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8616C44" w14:textId="77777777" w:rsidR="00154E32" w:rsidRDefault="00A43E04">
            <w:pPr>
              <w:pStyle w:val="P68B1DB1-Normal10"/>
              <w:jc w:val="center"/>
              <w:rPr>
                <w:b/>
                <w:noProof/>
                <w:sz w:val="20"/>
              </w:rPr>
            </w:pPr>
            <w:r>
              <w:rPr>
                <w:b/>
                <w:noProof/>
                <w:sz w:val="20"/>
              </w:rPr>
              <w:t>Kakovostni kazalniki</w:t>
            </w:r>
            <w:r>
              <w:rPr>
                <w:noProof/>
              </w:rPr>
              <w:t xml:space="preserve"> </w:t>
            </w:r>
            <w:r>
              <w:rPr>
                <w:noProof/>
              </w:rPr>
              <w:br/>
            </w:r>
            <w:r>
              <w:rPr>
                <w:b/>
                <w:noProof/>
                <w:sz w:val="20"/>
              </w:rPr>
              <w:t>(za mejnike)</w:t>
            </w:r>
          </w:p>
        </w:tc>
        <w:tc>
          <w:tcPr>
            <w:tcW w:w="3579" w:type="dxa"/>
            <w:gridSpan w:val="3"/>
            <w:tcBorders>
              <w:top w:val="single" w:sz="4" w:space="0" w:color="auto"/>
              <w:left w:val="nil"/>
              <w:bottom w:val="single" w:sz="4" w:space="0" w:color="auto"/>
              <w:right w:val="single" w:sz="4" w:space="0" w:color="auto"/>
            </w:tcBorders>
            <w:shd w:val="clear" w:color="auto" w:fill="BDD7EE"/>
            <w:vAlign w:val="center"/>
            <w:hideMark/>
          </w:tcPr>
          <w:p w14:paraId="0C834CEA" w14:textId="77777777" w:rsidR="00154E32" w:rsidRDefault="00A43E04">
            <w:pPr>
              <w:pStyle w:val="P68B1DB1-Normal10"/>
              <w:jc w:val="center"/>
              <w:rPr>
                <w:b/>
                <w:noProof/>
                <w:sz w:val="20"/>
              </w:rPr>
            </w:pPr>
            <w:r>
              <w:rPr>
                <w:b/>
                <w:noProof/>
                <w:sz w:val="20"/>
              </w:rPr>
              <w:t>Kvantitativni kazalniki</w:t>
            </w:r>
            <w:r>
              <w:rPr>
                <w:noProof/>
              </w:rPr>
              <w:t xml:space="preserve"> </w:t>
            </w:r>
            <w:r>
              <w:rPr>
                <w:noProof/>
              </w:rPr>
              <w:br/>
            </w:r>
            <w:r>
              <w:rPr>
                <w:b/>
                <w:noProof/>
                <w:sz w:val="20"/>
              </w:rPr>
              <w:t>(za ciljne vrednosti)</w:t>
            </w:r>
          </w:p>
        </w:tc>
        <w:tc>
          <w:tcPr>
            <w:tcW w:w="1699" w:type="dxa"/>
            <w:gridSpan w:val="2"/>
            <w:tcBorders>
              <w:top w:val="single" w:sz="4" w:space="0" w:color="auto"/>
              <w:left w:val="nil"/>
              <w:bottom w:val="single" w:sz="4" w:space="0" w:color="auto"/>
              <w:right w:val="single" w:sz="4" w:space="0" w:color="auto"/>
            </w:tcBorders>
            <w:shd w:val="clear" w:color="auto" w:fill="BDD7EE"/>
            <w:vAlign w:val="center"/>
            <w:hideMark/>
          </w:tcPr>
          <w:p w14:paraId="242A692D" w14:textId="77777777" w:rsidR="00154E32" w:rsidRDefault="00A43E04">
            <w:pPr>
              <w:pStyle w:val="P68B1DB1-Normal9"/>
              <w:jc w:val="center"/>
              <w:rPr>
                <w:noProof/>
              </w:rPr>
            </w:pPr>
            <w:r>
              <w:rPr>
                <w:noProof/>
              </w:rPr>
              <w:t xml:space="preserve">Okvirni časovni razpored za dokončanje </w:t>
            </w:r>
          </w:p>
        </w:tc>
        <w:tc>
          <w:tcPr>
            <w:tcW w:w="264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A11B7B8" w14:textId="77777777" w:rsidR="00154E32" w:rsidRDefault="00A43E04">
            <w:pPr>
              <w:pStyle w:val="P68B1DB1-Normal9"/>
              <w:rPr>
                <w:noProof/>
              </w:rPr>
            </w:pPr>
            <w:r>
              <w:rPr>
                <w:noProof/>
              </w:rPr>
              <w:t>Opis vsakega mejnika in cilja</w:t>
            </w:r>
          </w:p>
        </w:tc>
      </w:tr>
      <w:tr w:rsidR="00154E32" w14:paraId="435DBB89" w14:textId="77777777">
        <w:trPr>
          <w:trHeight w:val="751"/>
          <w:tblHeader/>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7B2A558A" w14:textId="77777777" w:rsidR="00154E32" w:rsidRDefault="00154E32">
            <w:pPr>
              <w:rPr>
                <w:rFonts w:ascii="Arial Narrow" w:hAnsi="Arial Narrow"/>
                <w:b/>
                <w:noProof/>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2208EBD" w14:textId="77777777" w:rsidR="00154E32" w:rsidRDefault="00154E32">
            <w:pPr>
              <w:rPr>
                <w:rFonts w:ascii="Arial Narrow" w:hAnsi="Arial Narrow"/>
                <w:b/>
                <w:noProof/>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610A906" w14:textId="77777777" w:rsidR="00154E32" w:rsidRDefault="00154E32">
            <w:pPr>
              <w:rPr>
                <w:rFonts w:ascii="Arial Narrow" w:hAnsi="Arial Narrow"/>
                <w:b/>
                <w:noProof/>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8312624" w14:textId="77777777" w:rsidR="00154E32" w:rsidRDefault="00154E32">
            <w:pPr>
              <w:rPr>
                <w:rFonts w:ascii="Arial Narrow" w:hAnsi="Arial Narrow"/>
                <w:b/>
                <w:noProof/>
                <w:sz w:val="20"/>
              </w:rPr>
            </w:pPr>
          </w:p>
        </w:tc>
        <w:tc>
          <w:tcPr>
            <w:tcW w:w="1609" w:type="dxa"/>
            <w:vMerge/>
            <w:tcBorders>
              <w:top w:val="single" w:sz="4" w:space="0" w:color="auto"/>
              <w:left w:val="single" w:sz="4" w:space="0" w:color="auto"/>
              <w:bottom w:val="single" w:sz="4" w:space="0" w:color="auto"/>
            </w:tcBorders>
            <w:vAlign w:val="center"/>
            <w:hideMark/>
          </w:tcPr>
          <w:p w14:paraId="7091208C" w14:textId="77777777" w:rsidR="00154E32" w:rsidRDefault="00154E32">
            <w:pPr>
              <w:rPr>
                <w:rFonts w:ascii="Arial Narrow" w:hAnsi="Arial Narrow"/>
                <w:b/>
                <w:noProof/>
                <w:sz w:val="20"/>
              </w:rPr>
            </w:pPr>
          </w:p>
        </w:tc>
        <w:tc>
          <w:tcPr>
            <w:tcW w:w="1084" w:type="dxa"/>
            <w:tcBorders>
              <w:top w:val="nil"/>
              <w:left w:val="single" w:sz="4" w:space="0" w:color="auto"/>
              <w:bottom w:val="single" w:sz="4" w:space="0" w:color="auto"/>
              <w:right w:val="single" w:sz="4" w:space="0" w:color="auto"/>
            </w:tcBorders>
            <w:shd w:val="clear" w:color="auto" w:fill="BDD7EE"/>
            <w:vAlign w:val="center"/>
            <w:hideMark/>
          </w:tcPr>
          <w:p w14:paraId="0A9A832A" w14:textId="77777777" w:rsidR="00154E32" w:rsidRDefault="00A43E04">
            <w:pPr>
              <w:pStyle w:val="P68B1DB1-Normal9"/>
              <w:jc w:val="center"/>
              <w:rPr>
                <w:noProof/>
              </w:rPr>
            </w:pPr>
            <w:r>
              <w:rPr>
                <w:noProof/>
              </w:rPr>
              <w:t>Merska enota</w:t>
            </w:r>
          </w:p>
        </w:tc>
        <w:tc>
          <w:tcPr>
            <w:tcW w:w="1276" w:type="dxa"/>
            <w:tcBorders>
              <w:top w:val="nil"/>
              <w:left w:val="nil"/>
              <w:bottom w:val="single" w:sz="4" w:space="0" w:color="auto"/>
              <w:right w:val="single" w:sz="4" w:space="0" w:color="auto"/>
            </w:tcBorders>
            <w:shd w:val="clear" w:color="auto" w:fill="BDD7EE"/>
            <w:vAlign w:val="center"/>
            <w:hideMark/>
          </w:tcPr>
          <w:p w14:paraId="64A68FBD" w14:textId="77777777" w:rsidR="00154E32" w:rsidRDefault="00A43E04">
            <w:pPr>
              <w:pStyle w:val="P68B1DB1-Normal9"/>
              <w:jc w:val="center"/>
              <w:rPr>
                <w:noProof/>
              </w:rPr>
            </w:pPr>
            <w:r>
              <w:rPr>
                <w:noProof/>
              </w:rPr>
              <w:t xml:space="preserve">Izhodišče </w:t>
            </w:r>
          </w:p>
        </w:tc>
        <w:tc>
          <w:tcPr>
            <w:tcW w:w="1219" w:type="dxa"/>
            <w:tcBorders>
              <w:top w:val="nil"/>
              <w:left w:val="nil"/>
              <w:bottom w:val="single" w:sz="4" w:space="0" w:color="auto"/>
              <w:right w:val="single" w:sz="4" w:space="0" w:color="auto"/>
            </w:tcBorders>
            <w:shd w:val="clear" w:color="auto" w:fill="BDD7EE"/>
            <w:vAlign w:val="center"/>
            <w:hideMark/>
          </w:tcPr>
          <w:p w14:paraId="64E52950" w14:textId="77777777" w:rsidR="00154E32" w:rsidRDefault="00A43E04">
            <w:pPr>
              <w:pStyle w:val="P68B1DB1-Normal9"/>
              <w:jc w:val="center"/>
              <w:rPr>
                <w:noProof/>
              </w:rPr>
            </w:pPr>
            <w:r>
              <w:rPr>
                <w:noProof/>
              </w:rPr>
              <w:t xml:space="preserve">Cilj </w:t>
            </w:r>
          </w:p>
        </w:tc>
        <w:tc>
          <w:tcPr>
            <w:tcW w:w="995" w:type="dxa"/>
            <w:tcBorders>
              <w:top w:val="nil"/>
              <w:left w:val="nil"/>
              <w:bottom w:val="single" w:sz="4" w:space="0" w:color="auto"/>
              <w:right w:val="single" w:sz="4" w:space="0" w:color="auto"/>
            </w:tcBorders>
            <w:shd w:val="clear" w:color="auto" w:fill="BDD7EE"/>
            <w:vAlign w:val="center"/>
            <w:hideMark/>
          </w:tcPr>
          <w:p w14:paraId="466ED23B" w14:textId="77777777" w:rsidR="00154E32" w:rsidRDefault="00A43E04">
            <w:pPr>
              <w:pStyle w:val="P68B1DB1-Normal9"/>
              <w:jc w:val="center"/>
              <w:rPr>
                <w:noProof/>
              </w:rPr>
            </w:pPr>
            <w:r>
              <w:rPr>
                <w:noProof/>
              </w:rPr>
              <w:t>Četrtletje</w:t>
            </w:r>
          </w:p>
        </w:tc>
        <w:tc>
          <w:tcPr>
            <w:tcW w:w="704" w:type="dxa"/>
            <w:tcBorders>
              <w:top w:val="nil"/>
              <w:left w:val="nil"/>
              <w:bottom w:val="single" w:sz="4" w:space="0" w:color="auto"/>
              <w:right w:val="single" w:sz="4" w:space="0" w:color="auto"/>
            </w:tcBorders>
            <w:shd w:val="clear" w:color="auto" w:fill="BDD7EE"/>
            <w:vAlign w:val="center"/>
            <w:hideMark/>
          </w:tcPr>
          <w:p w14:paraId="2483F80D" w14:textId="77777777" w:rsidR="00154E32" w:rsidRDefault="00A43E04">
            <w:pPr>
              <w:pStyle w:val="P68B1DB1-Normal9"/>
              <w:jc w:val="center"/>
              <w:rPr>
                <w:noProof/>
              </w:rPr>
            </w:pPr>
            <w:r>
              <w:rPr>
                <w:noProof/>
              </w:rPr>
              <w:t>Leto</w:t>
            </w:r>
          </w:p>
        </w:tc>
        <w:tc>
          <w:tcPr>
            <w:tcW w:w="2647" w:type="dxa"/>
            <w:vMerge/>
            <w:tcBorders>
              <w:top w:val="single" w:sz="4" w:space="0" w:color="auto"/>
              <w:bottom w:val="single" w:sz="4" w:space="0" w:color="auto"/>
              <w:right w:val="single" w:sz="4" w:space="0" w:color="auto"/>
            </w:tcBorders>
            <w:vAlign w:val="center"/>
            <w:hideMark/>
          </w:tcPr>
          <w:p w14:paraId="75CFE3A9" w14:textId="77777777" w:rsidR="00154E32" w:rsidRDefault="00154E32">
            <w:pPr>
              <w:rPr>
                <w:rFonts w:ascii="Arial Narrow" w:hAnsi="Arial Narrow"/>
                <w:b/>
                <w:noProof/>
                <w:sz w:val="20"/>
              </w:rPr>
            </w:pPr>
          </w:p>
        </w:tc>
      </w:tr>
      <w:tr w:rsidR="00154E32" w14:paraId="2B1D2EB9" w14:textId="77777777">
        <w:trPr>
          <w:trHeight w:val="309"/>
        </w:trPr>
        <w:tc>
          <w:tcPr>
            <w:tcW w:w="113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7DF05B65" w14:textId="77777777" w:rsidR="00154E32" w:rsidRDefault="00A43E04">
            <w:pPr>
              <w:pStyle w:val="P68B1DB1-Normal11"/>
              <w:spacing w:line="276" w:lineRule="auto"/>
              <w:jc w:val="center"/>
              <w:rPr>
                <w:noProof/>
              </w:rPr>
            </w:pPr>
            <w:r>
              <w:rPr>
                <w:noProof/>
              </w:rPr>
              <w:t>M2C3–1</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08EF2FB9" w14:textId="5D2DB18C" w:rsidR="00154E32" w:rsidRDefault="00A43E04">
            <w:pPr>
              <w:pStyle w:val="P68B1DB1-Normal11"/>
              <w:spacing w:line="276" w:lineRule="auto"/>
              <w:jc w:val="center"/>
              <w:rPr>
                <w:noProof/>
              </w:rPr>
            </w:pPr>
            <w:r>
              <w:rPr>
                <w:noProof/>
              </w:rPr>
              <w:t xml:space="preserve">Naložba 2.1 – Krepitev ekobonusa za energetsko učinkovitost </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B0693C3" w14:textId="77777777" w:rsidR="00154E32" w:rsidRDefault="00A43E04">
            <w:pPr>
              <w:pStyle w:val="P68B1DB1-Normal11"/>
              <w:spacing w:line="276" w:lineRule="auto"/>
              <w:jc w:val="center"/>
              <w:rPr>
                <w:noProof/>
              </w:rPr>
            </w:pPr>
            <w:r>
              <w:rPr>
                <w:noProof/>
              </w:rPr>
              <w:t>Mejnik</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33C36C76" w14:textId="06479835" w:rsidR="00154E32" w:rsidRDefault="00A43E04">
            <w:pPr>
              <w:pStyle w:val="P68B1DB1-Normal11"/>
              <w:spacing w:line="276" w:lineRule="auto"/>
              <w:jc w:val="center"/>
              <w:rPr>
                <w:noProof/>
              </w:rPr>
            </w:pPr>
            <w:r>
              <w:rPr>
                <w:noProof/>
              </w:rPr>
              <w:t>Začetek veljavnosti razširitve Superbonusa</w:t>
            </w:r>
          </w:p>
        </w:tc>
        <w:tc>
          <w:tcPr>
            <w:tcW w:w="1609" w:type="dxa"/>
            <w:tcBorders>
              <w:top w:val="single" w:sz="4" w:space="0" w:color="auto"/>
              <w:left w:val="nil"/>
              <w:bottom w:val="single" w:sz="4" w:space="0" w:color="auto"/>
              <w:right w:val="single" w:sz="4" w:space="0" w:color="auto"/>
            </w:tcBorders>
            <w:shd w:val="clear" w:color="auto" w:fill="C6EFCE"/>
            <w:noWrap/>
            <w:vAlign w:val="center"/>
          </w:tcPr>
          <w:p w14:paraId="6B24B8F1" w14:textId="77777777" w:rsidR="00154E32" w:rsidRDefault="00A43E04">
            <w:pPr>
              <w:pStyle w:val="P68B1DB1-Normal11"/>
              <w:spacing w:line="276" w:lineRule="auto"/>
              <w:jc w:val="center"/>
              <w:rPr>
                <w:noProof/>
              </w:rPr>
            </w:pPr>
            <w:r>
              <w:rPr>
                <w:noProof/>
              </w:rPr>
              <w:t>Določba pravnega(-ih) akta(-ov), ki označuje(-jo) začetek veljavnosti</w:t>
            </w:r>
          </w:p>
        </w:tc>
        <w:tc>
          <w:tcPr>
            <w:tcW w:w="1084" w:type="dxa"/>
            <w:tcBorders>
              <w:top w:val="nil"/>
              <w:left w:val="nil"/>
              <w:bottom w:val="single" w:sz="4" w:space="0" w:color="auto"/>
              <w:right w:val="single" w:sz="4" w:space="0" w:color="auto"/>
            </w:tcBorders>
            <w:shd w:val="clear" w:color="auto" w:fill="C6EFCE"/>
            <w:noWrap/>
            <w:vAlign w:val="center"/>
          </w:tcPr>
          <w:p w14:paraId="7AD7D9BA" w14:textId="77777777" w:rsidR="00154E32" w:rsidRDefault="00A43E04">
            <w:pPr>
              <w:pStyle w:val="P68B1DB1-Normal11"/>
              <w:spacing w:line="276" w:lineRule="auto"/>
              <w:jc w:val="center"/>
              <w:rPr>
                <w:noProof/>
              </w:rPr>
            </w:pPr>
            <w:r>
              <w:rPr>
                <w:noProof/>
              </w:rPr>
              <w:t>JIH NI</w:t>
            </w:r>
          </w:p>
        </w:tc>
        <w:tc>
          <w:tcPr>
            <w:tcW w:w="1276" w:type="dxa"/>
            <w:tcBorders>
              <w:top w:val="nil"/>
              <w:left w:val="nil"/>
              <w:bottom w:val="single" w:sz="4" w:space="0" w:color="auto"/>
              <w:right w:val="single" w:sz="4" w:space="0" w:color="auto"/>
            </w:tcBorders>
            <w:shd w:val="clear" w:color="auto" w:fill="C6EFCE"/>
            <w:noWrap/>
            <w:vAlign w:val="center"/>
          </w:tcPr>
          <w:p w14:paraId="45C8AF3A" w14:textId="77777777" w:rsidR="00154E32" w:rsidRDefault="00A43E04">
            <w:pPr>
              <w:pStyle w:val="P68B1DB1-Normal11"/>
              <w:spacing w:line="276" w:lineRule="auto"/>
              <w:jc w:val="center"/>
              <w:rPr>
                <w:noProof/>
              </w:rPr>
            </w:pPr>
            <w:r>
              <w:rPr>
                <w:noProof/>
              </w:rPr>
              <w:t>JIH NI</w:t>
            </w:r>
          </w:p>
        </w:tc>
        <w:tc>
          <w:tcPr>
            <w:tcW w:w="1219" w:type="dxa"/>
            <w:tcBorders>
              <w:top w:val="nil"/>
              <w:left w:val="nil"/>
              <w:bottom w:val="single" w:sz="4" w:space="0" w:color="auto"/>
              <w:right w:val="single" w:sz="4" w:space="0" w:color="auto"/>
            </w:tcBorders>
            <w:shd w:val="clear" w:color="auto" w:fill="C6EFCE"/>
            <w:noWrap/>
            <w:vAlign w:val="center"/>
          </w:tcPr>
          <w:p w14:paraId="3EF72B3F" w14:textId="77777777" w:rsidR="00154E32" w:rsidRDefault="00A43E04">
            <w:pPr>
              <w:pStyle w:val="P68B1DB1-Normal11"/>
              <w:spacing w:line="276" w:lineRule="auto"/>
              <w:jc w:val="center"/>
              <w:rPr>
                <w:noProof/>
              </w:rPr>
            </w:pPr>
            <w:r>
              <w:rPr>
                <w:noProof/>
              </w:rPr>
              <w:t>JIH NI</w:t>
            </w:r>
          </w:p>
        </w:tc>
        <w:tc>
          <w:tcPr>
            <w:tcW w:w="995" w:type="dxa"/>
            <w:tcBorders>
              <w:top w:val="nil"/>
              <w:left w:val="nil"/>
              <w:bottom w:val="single" w:sz="4" w:space="0" w:color="auto"/>
              <w:right w:val="single" w:sz="4" w:space="0" w:color="auto"/>
            </w:tcBorders>
            <w:shd w:val="clear" w:color="auto" w:fill="C6EFCE"/>
            <w:noWrap/>
            <w:vAlign w:val="center"/>
          </w:tcPr>
          <w:p w14:paraId="2B42EE4C" w14:textId="77777777" w:rsidR="00154E32" w:rsidRDefault="00A43E04">
            <w:pPr>
              <w:pStyle w:val="P68B1DB1-Normal11"/>
              <w:spacing w:line="276" w:lineRule="auto"/>
              <w:jc w:val="center"/>
              <w:rPr>
                <w:noProof/>
              </w:rPr>
            </w:pPr>
            <w:r>
              <w:rPr>
                <w:noProof/>
              </w:rPr>
              <w:t>Q4</w:t>
            </w:r>
          </w:p>
        </w:tc>
        <w:tc>
          <w:tcPr>
            <w:tcW w:w="704" w:type="dxa"/>
            <w:tcBorders>
              <w:top w:val="nil"/>
              <w:left w:val="nil"/>
              <w:bottom w:val="single" w:sz="4" w:space="0" w:color="auto"/>
              <w:right w:val="single" w:sz="4" w:space="0" w:color="auto"/>
            </w:tcBorders>
            <w:shd w:val="clear" w:color="auto" w:fill="C6EFCE"/>
            <w:noWrap/>
            <w:vAlign w:val="center"/>
          </w:tcPr>
          <w:p w14:paraId="41BCAE5A" w14:textId="77777777" w:rsidR="00154E32" w:rsidRDefault="00A43E04">
            <w:pPr>
              <w:pStyle w:val="P68B1DB1-Normal11"/>
              <w:spacing w:line="276" w:lineRule="auto"/>
              <w:jc w:val="center"/>
              <w:rPr>
                <w:noProof/>
              </w:rPr>
            </w:pPr>
            <w:r>
              <w:rPr>
                <w:noProof/>
              </w:rPr>
              <w:t>2021</w:t>
            </w:r>
          </w:p>
        </w:tc>
        <w:tc>
          <w:tcPr>
            <w:tcW w:w="2647" w:type="dxa"/>
            <w:tcBorders>
              <w:top w:val="single" w:sz="4" w:space="0" w:color="auto"/>
              <w:left w:val="nil"/>
              <w:bottom w:val="single" w:sz="4" w:space="0" w:color="auto"/>
              <w:right w:val="single" w:sz="4" w:space="0" w:color="auto"/>
            </w:tcBorders>
            <w:shd w:val="clear" w:color="auto" w:fill="C6EFCE"/>
            <w:noWrap/>
            <w:vAlign w:val="center"/>
          </w:tcPr>
          <w:p w14:paraId="7E799D3D" w14:textId="77777777" w:rsidR="00154E32" w:rsidRDefault="00A43E04">
            <w:pPr>
              <w:pStyle w:val="P68B1DB1-Normal11"/>
              <w:spacing w:line="276" w:lineRule="auto"/>
              <w:rPr>
                <w:noProof/>
              </w:rPr>
            </w:pPr>
            <w:r>
              <w:rPr>
                <w:noProof/>
              </w:rPr>
              <w:t>Pravni akt(-i)</w:t>
            </w:r>
          </w:p>
          <w:p w14:paraId="1A92389B" w14:textId="77777777" w:rsidR="00154E32" w:rsidRDefault="00A43E04">
            <w:pPr>
              <w:pStyle w:val="P68B1DB1-Normal11"/>
              <w:spacing w:line="276" w:lineRule="auto"/>
              <w:rPr>
                <w:noProof/>
              </w:rPr>
            </w:pPr>
            <w:r>
              <w:rPr>
                <w:noProof/>
              </w:rPr>
              <w:t>podaljšanje ugodnosti Ecobonus in Sismabonus do 31. decembra 2022</w:t>
            </w:r>
          </w:p>
          <w:p w14:paraId="76924721" w14:textId="77777777" w:rsidR="00154E32" w:rsidRDefault="00A43E04">
            <w:pPr>
              <w:pStyle w:val="P68B1DB1-Normal11"/>
              <w:spacing w:line="276" w:lineRule="auto"/>
              <w:rPr>
                <w:noProof/>
              </w:rPr>
            </w:pPr>
            <w:r>
              <w:rPr>
                <w:noProof/>
              </w:rPr>
              <w:t>za kondominija in 30. junij 2023 za družbo</w:t>
            </w:r>
          </w:p>
          <w:p w14:paraId="64BFBF5D" w14:textId="273D3668" w:rsidR="00154E32" w:rsidRDefault="00A43E04">
            <w:pPr>
              <w:pStyle w:val="P68B1DB1-Normal11"/>
              <w:spacing w:line="276" w:lineRule="auto"/>
              <w:rPr>
                <w:noProof/>
              </w:rPr>
            </w:pPr>
            <w:r>
              <w:rPr>
                <w:noProof/>
              </w:rPr>
              <w:t>nastanitev (IACP).</w:t>
            </w:r>
          </w:p>
        </w:tc>
      </w:tr>
      <w:tr w:rsidR="00154E32" w14:paraId="18DDDD17" w14:textId="77777777">
        <w:trPr>
          <w:trHeight w:val="309"/>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1996442E" w14:textId="77777777" w:rsidR="00154E32" w:rsidRDefault="00A43E04">
            <w:pPr>
              <w:pStyle w:val="P68B1DB1-Normal11"/>
              <w:spacing w:line="276" w:lineRule="auto"/>
              <w:jc w:val="center"/>
              <w:rPr>
                <w:noProof/>
              </w:rPr>
            </w:pPr>
            <w:r>
              <w:rPr>
                <w:noProof/>
              </w:rPr>
              <w:t>M2C3–2</w:t>
            </w:r>
          </w:p>
        </w:tc>
        <w:tc>
          <w:tcPr>
            <w:tcW w:w="1559" w:type="dxa"/>
            <w:tcBorders>
              <w:top w:val="nil"/>
              <w:left w:val="nil"/>
              <w:bottom w:val="single" w:sz="4" w:space="0" w:color="auto"/>
              <w:right w:val="single" w:sz="4" w:space="0" w:color="auto"/>
            </w:tcBorders>
            <w:shd w:val="clear" w:color="auto" w:fill="C6EFCE"/>
            <w:noWrap/>
            <w:vAlign w:val="center"/>
          </w:tcPr>
          <w:p w14:paraId="34C24B70" w14:textId="6B036587" w:rsidR="00154E32" w:rsidRDefault="00A43E04">
            <w:pPr>
              <w:pStyle w:val="P68B1DB1-Normal11"/>
              <w:spacing w:line="276" w:lineRule="auto"/>
              <w:jc w:val="center"/>
              <w:rPr>
                <w:noProof/>
              </w:rPr>
            </w:pPr>
            <w:r>
              <w:rPr>
                <w:noProof/>
              </w:rPr>
              <w:t>Naložba 2.1 – Krepitev ekobonusa za energetsko učinkovitost</w:t>
            </w:r>
          </w:p>
        </w:tc>
        <w:tc>
          <w:tcPr>
            <w:tcW w:w="1134" w:type="dxa"/>
            <w:tcBorders>
              <w:top w:val="nil"/>
              <w:left w:val="nil"/>
              <w:bottom w:val="single" w:sz="4" w:space="0" w:color="auto"/>
              <w:right w:val="single" w:sz="4" w:space="0" w:color="auto"/>
            </w:tcBorders>
            <w:shd w:val="clear" w:color="auto" w:fill="C6EFCE"/>
            <w:noWrap/>
            <w:vAlign w:val="center"/>
          </w:tcPr>
          <w:p w14:paraId="1CD4E068" w14:textId="77777777" w:rsidR="00154E32" w:rsidRDefault="00A43E04">
            <w:pPr>
              <w:pStyle w:val="P68B1DB1-Normal11"/>
              <w:spacing w:line="276" w:lineRule="auto"/>
              <w:jc w:val="center"/>
              <w:rPr>
                <w:noProof/>
              </w:rPr>
            </w:pPr>
            <w:r>
              <w:rPr>
                <w:noProof/>
              </w:rPr>
              <w:t>Tarča</w:t>
            </w:r>
          </w:p>
        </w:tc>
        <w:tc>
          <w:tcPr>
            <w:tcW w:w="1559" w:type="dxa"/>
            <w:tcBorders>
              <w:top w:val="nil"/>
              <w:left w:val="nil"/>
              <w:bottom w:val="single" w:sz="4" w:space="0" w:color="auto"/>
              <w:right w:val="single" w:sz="4" w:space="0" w:color="auto"/>
            </w:tcBorders>
            <w:shd w:val="clear" w:color="auto" w:fill="C6EFCE"/>
            <w:noWrap/>
            <w:vAlign w:val="center"/>
          </w:tcPr>
          <w:p w14:paraId="2DB1ABA8" w14:textId="77777777" w:rsidR="00154E32" w:rsidRDefault="00A43E04">
            <w:pPr>
              <w:pStyle w:val="P68B1DB1-Normal11"/>
              <w:spacing w:line="276" w:lineRule="auto"/>
              <w:jc w:val="center"/>
              <w:rPr>
                <w:noProof/>
              </w:rPr>
            </w:pPr>
            <w:r>
              <w:rPr>
                <w:noProof/>
              </w:rPr>
              <w:t>Superbonus T1 za prenovo stavb</w:t>
            </w:r>
          </w:p>
        </w:tc>
        <w:tc>
          <w:tcPr>
            <w:tcW w:w="1609" w:type="dxa"/>
            <w:tcBorders>
              <w:top w:val="nil"/>
              <w:left w:val="nil"/>
              <w:bottom w:val="single" w:sz="4" w:space="0" w:color="auto"/>
              <w:right w:val="single" w:sz="4" w:space="0" w:color="auto"/>
            </w:tcBorders>
            <w:shd w:val="clear" w:color="auto" w:fill="C6EFCE"/>
            <w:noWrap/>
            <w:vAlign w:val="center"/>
          </w:tcPr>
          <w:p w14:paraId="14131683" w14:textId="77777777" w:rsidR="00154E32" w:rsidRDefault="00A43E04">
            <w:pPr>
              <w:pStyle w:val="P68B1DB1-Normal11"/>
              <w:spacing w:line="276" w:lineRule="auto"/>
              <w:jc w:val="center"/>
              <w:rPr>
                <w:noProof/>
              </w:rPr>
            </w:pPr>
            <w:r>
              <w:rPr>
                <w:noProof/>
              </w:rPr>
              <w:t>JIH NI</w:t>
            </w:r>
          </w:p>
        </w:tc>
        <w:tc>
          <w:tcPr>
            <w:tcW w:w="1084" w:type="dxa"/>
            <w:tcBorders>
              <w:top w:val="nil"/>
              <w:left w:val="nil"/>
              <w:bottom w:val="single" w:sz="4" w:space="0" w:color="auto"/>
              <w:right w:val="single" w:sz="4" w:space="0" w:color="auto"/>
            </w:tcBorders>
            <w:shd w:val="clear" w:color="auto" w:fill="C6EFCE"/>
            <w:noWrap/>
            <w:vAlign w:val="center"/>
          </w:tcPr>
          <w:p w14:paraId="3B536832" w14:textId="77777777" w:rsidR="00154E32" w:rsidRDefault="00A43E04">
            <w:pPr>
              <w:pStyle w:val="P68B1DB1-Normal11"/>
              <w:spacing w:line="276" w:lineRule="auto"/>
              <w:jc w:val="center"/>
              <w:rPr>
                <w:noProof/>
              </w:rPr>
            </w:pPr>
            <w:r>
              <w:rPr>
                <w:noProof/>
              </w:rPr>
              <w:t xml:space="preserve">Število </w:t>
            </w:r>
          </w:p>
        </w:tc>
        <w:tc>
          <w:tcPr>
            <w:tcW w:w="1276" w:type="dxa"/>
            <w:tcBorders>
              <w:top w:val="nil"/>
              <w:left w:val="nil"/>
              <w:bottom w:val="single" w:sz="4" w:space="0" w:color="auto"/>
              <w:right w:val="single" w:sz="4" w:space="0" w:color="auto"/>
            </w:tcBorders>
            <w:shd w:val="clear" w:color="auto" w:fill="C6EFCE"/>
            <w:noWrap/>
            <w:vAlign w:val="center"/>
          </w:tcPr>
          <w:p w14:paraId="09D12062" w14:textId="77777777" w:rsidR="00154E32" w:rsidRDefault="00A43E04">
            <w:pPr>
              <w:pStyle w:val="P68B1DB1-Normal11"/>
              <w:spacing w:line="276" w:lineRule="auto"/>
              <w:jc w:val="center"/>
              <w:rPr>
                <w:noProof/>
              </w:rPr>
            </w:pPr>
            <w:r>
              <w:rPr>
                <w:noProof/>
              </w:rPr>
              <w:t>0</w:t>
            </w:r>
          </w:p>
        </w:tc>
        <w:tc>
          <w:tcPr>
            <w:tcW w:w="1219" w:type="dxa"/>
            <w:tcBorders>
              <w:top w:val="nil"/>
              <w:left w:val="nil"/>
              <w:bottom w:val="single" w:sz="4" w:space="0" w:color="auto"/>
              <w:right w:val="single" w:sz="4" w:space="0" w:color="auto"/>
            </w:tcBorders>
            <w:shd w:val="clear" w:color="auto" w:fill="C6EFCE"/>
            <w:noWrap/>
            <w:vAlign w:val="center"/>
          </w:tcPr>
          <w:p w14:paraId="7CC67C1C" w14:textId="2FAC4328" w:rsidR="00154E32" w:rsidRDefault="00A43E04">
            <w:pPr>
              <w:pStyle w:val="P68B1DB1-Normal11"/>
              <w:spacing w:line="276" w:lineRule="auto"/>
              <w:jc w:val="center"/>
              <w:rPr>
                <w:noProof/>
              </w:rPr>
            </w:pPr>
            <w:r>
              <w:rPr>
                <w:noProof/>
              </w:rPr>
              <w:t>17 000 000</w:t>
            </w:r>
          </w:p>
        </w:tc>
        <w:tc>
          <w:tcPr>
            <w:tcW w:w="995" w:type="dxa"/>
            <w:tcBorders>
              <w:top w:val="nil"/>
              <w:left w:val="nil"/>
              <w:bottom w:val="single" w:sz="4" w:space="0" w:color="auto"/>
              <w:right w:val="single" w:sz="4" w:space="0" w:color="auto"/>
            </w:tcBorders>
            <w:shd w:val="clear" w:color="auto" w:fill="C6EFCE"/>
            <w:noWrap/>
            <w:vAlign w:val="center"/>
          </w:tcPr>
          <w:p w14:paraId="659434A2" w14:textId="77777777" w:rsidR="00154E32" w:rsidRDefault="00A43E04">
            <w:pPr>
              <w:pStyle w:val="P68B1DB1-Normal11"/>
              <w:spacing w:line="276" w:lineRule="auto"/>
              <w:jc w:val="center"/>
              <w:rPr>
                <w:noProof/>
              </w:rPr>
            </w:pPr>
            <w:r>
              <w:rPr>
                <w:noProof/>
              </w:rPr>
              <w:t>Q2</w:t>
            </w:r>
          </w:p>
        </w:tc>
        <w:tc>
          <w:tcPr>
            <w:tcW w:w="704" w:type="dxa"/>
            <w:tcBorders>
              <w:top w:val="nil"/>
              <w:left w:val="nil"/>
              <w:bottom w:val="single" w:sz="4" w:space="0" w:color="auto"/>
              <w:right w:val="single" w:sz="4" w:space="0" w:color="auto"/>
            </w:tcBorders>
            <w:shd w:val="clear" w:color="auto" w:fill="C6EFCE"/>
            <w:noWrap/>
            <w:vAlign w:val="center"/>
          </w:tcPr>
          <w:p w14:paraId="01B40B70" w14:textId="77777777" w:rsidR="00154E32" w:rsidRDefault="00A43E04">
            <w:pPr>
              <w:pStyle w:val="P68B1DB1-Normal11"/>
              <w:spacing w:line="276" w:lineRule="auto"/>
              <w:jc w:val="center"/>
              <w:rPr>
                <w:noProof/>
              </w:rPr>
            </w:pPr>
            <w:r>
              <w:rPr>
                <w:noProof/>
              </w:rPr>
              <w:t>2023</w:t>
            </w:r>
          </w:p>
        </w:tc>
        <w:tc>
          <w:tcPr>
            <w:tcW w:w="2647" w:type="dxa"/>
            <w:tcBorders>
              <w:top w:val="nil"/>
              <w:left w:val="nil"/>
              <w:bottom w:val="single" w:sz="4" w:space="0" w:color="auto"/>
              <w:right w:val="single" w:sz="4" w:space="0" w:color="auto"/>
            </w:tcBorders>
            <w:shd w:val="clear" w:color="auto" w:fill="C6EFCE"/>
            <w:noWrap/>
            <w:vAlign w:val="center"/>
          </w:tcPr>
          <w:p w14:paraId="5810D590" w14:textId="0AE2E5AA" w:rsidR="00154E32" w:rsidRDefault="00A43E04">
            <w:pPr>
              <w:pStyle w:val="P68B1DB1-Normal12"/>
              <w:spacing w:line="276" w:lineRule="auto"/>
              <w:rPr>
                <w:rFonts w:ascii="Arial Narrow" w:hAnsi="Arial Narrow"/>
                <w:noProof/>
              </w:rPr>
            </w:pPr>
            <w:r>
              <w:rPr>
                <w:rFonts w:ascii="Arial Narrow" w:hAnsi="Arial Narrow"/>
                <w:noProof/>
              </w:rPr>
              <w:t>Popolna prenova stavb za najmanj 17000000 kvadratnih metrov,kar pomeni vsaj 40-odstotni prihranek primarne energije in povečanje vsaj dveh kategorij v izkaznici o energijski učinkovitosti.</w:t>
            </w:r>
          </w:p>
        </w:tc>
      </w:tr>
      <w:tr w:rsidR="00154E32" w14:paraId="002058A2" w14:textId="77777777">
        <w:trPr>
          <w:trHeight w:val="309"/>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127784CA" w14:textId="77777777" w:rsidR="00154E32" w:rsidRDefault="00A43E04">
            <w:pPr>
              <w:pStyle w:val="P68B1DB1-Normal11"/>
              <w:spacing w:line="276" w:lineRule="auto"/>
              <w:jc w:val="center"/>
              <w:rPr>
                <w:noProof/>
              </w:rPr>
            </w:pPr>
            <w:r>
              <w:rPr>
                <w:noProof/>
              </w:rPr>
              <w:t>M2C3–3</w:t>
            </w:r>
          </w:p>
        </w:tc>
        <w:tc>
          <w:tcPr>
            <w:tcW w:w="1559" w:type="dxa"/>
            <w:tcBorders>
              <w:top w:val="nil"/>
              <w:left w:val="nil"/>
              <w:bottom w:val="single" w:sz="4" w:space="0" w:color="auto"/>
              <w:right w:val="single" w:sz="4" w:space="0" w:color="auto"/>
            </w:tcBorders>
            <w:shd w:val="clear" w:color="auto" w:fill="C6EFCE"/>
            <w:noWrap/>
            <w:vAlign w:val="center"/>
          </w:tcPr>
          <w:p w14:paraId="0E2DED29" w14:textId="7C5AC97A" w:rsidR="00154E32" w:rsidRDefault="00A43E04">
            <w:pPr>
              <w:pStyle w:val="P68B1DB1-Normal11"/>
              <w:spacing w:line="276" w:lineRule="auto"/>
              <w:jc w:val="center"/>
              <w:rPr>
                <w:noProof/>
              </w:rPr>
            </w:pPr>
            <w:r>
              <w:rPr>
                <w:noProof/>
              </w:rPr>
              <w:t>Naložba 2.1 – Krepitev ekobonusa za energetsko učinkovitost</w:t>
            </w:r>
          </w:p>
        </w:tc>
        <w:tc>
          <w:tcPr>
            <w:tcW w:w="1134" w:type="dxa"/>
            <w:tcBorders>
              <w:top w:val="nil"/>
              <w:left w:val="nil"/>
              <w:bottom w:val="single" w:sz="4" w:space="0" w:color="auto"/>
              <w:right w:val="single" w:sz="4" w:space="0" w:color="auto"/>
            </w:tcBorders>
            <w:shd w:val="clear" w:color="auto" w:fill="C6EFCE"/>
            <w:noWrap/>
            <w:vAlign w:val="center"/>
          </w:tcPr>
          <w:p w14:paraId="12F00514" w14:textId="77777777" w:rsidR="00154E32" w:rsidRDefault="00A43E04">
            <w:pPr>
              <w:pStyle w:val="P68B1DB1-Normal11"/>
              <w:spacing w:line="276" w:lineRule="auto"/>
              <w:jc w:val="center"/>
              <w:rPr>
                <w:noProof/>
              </w:rPr>
            </w:pPr>
            <w:r>
              <w:rPr>
                <w:noProof/>
              </w:rPr>
              <w:t>Tarča</w:t>
            </w:r>
          </w:p>
        </w:tc>
        <w:tc>
          <w:tcPr>
            <w:tcW w:w="1559" w:type="dxa"/>
            <w:tcBorders>
              <w:top w:val="nil"/>
              <w:left w:val="nil"/>
              <w:bottom w:val="single" w:sz="4" w:space="0" w:color="auto"/>
              <w:right w:val="single" w:sz="4" w:space="0" w:color="auto"/>
            </w:tcBorders>
            <w:shd w:val="clear" w:color="auto" w:fill="C6EFCE"/>
            <w:noWrap/>
            <w:vAlign w:val="center"/>
          </w:tcPr>
          <w:p w14:paraId="1CFF992C" w14:textId="77777777" w:rsidR="00154E32" w:rsidRDefault="00A43E04">
            <w:pPr>
              <w:pStyle w:val="P68B1DB1-Normal11"/>
              <w:spacing w:line="276" w:lineRule="auto"/>
              <w:jc w:val="center"/>
              <w:rPr>
                <w:noProof/>
              </w:rPr>
            </w:pPr>
            <w:r>
              <w:rPr>
                <w:noProof/>
              </w:rPr>
              <w:t>Superbonus T2 za prenovo stavb</w:t>
            </w:r>
          </w:p>
        </w:tc>
        <w:tc>
          <w:tcPr>
            <w:tcW w:w="1609" w:type="dxa"/>
            <w:tcBorders>
              <w:top w:val="nil"/>
              <w:left w:val="nil"/>
              <w:bottom w:val="single" w:sz="4" w:space="0" w:color="auto"/>
              <w:right w:val="single" w:sz="4" w:space="0" w:color="auto"/>
            </w:tcBorders>
            <w:shd w:val="clear" w:color="auto" w:fill="C6EFCE"/>
            <w:noWrap/>
            <w:vAlign w:val="center"/>
          </w:tcPr>
          <w:p w14:paraId="14A3FCB6" w14:textId="77777777" w:rsidR="00154E32" w:rsidRDefault="00A43E04">
            <w:pPr>
              <w:pStyle w:val="P68B1DB1-Normal11"/>
              <w:spacing w:line="276" w:lineRule="auto"/>
              <w:jc w:val="center"/>
              <w:rPr>
                <w:noProof/>
              </w:rPr>
            </w:pPr>
            <w:r>
              <w:rPr>
                <w:noProof/>
              </w:rPr>
              <w:t>JIH NI</w:t>
            </w:r>
          </w:p>
        </w:tc>
        <w:tc>
          <w:tcPr>
            <w:tcW w:w="1084" w:type="dxa"/>
            <w:tcBorders>
              <w:top w:val="nil"/>
              <w:left w:val="nil"/>
              <w:bottom w:val="single" w:sz="4" w:space="0" w:color="auto"/>
              <w:right w:val="single" w:sz="4" w:space="0" w:color="auto"/>
            </w:tcBorders>
            <w:shd w:val="clear" w:color="auto" w:fill="C6EFCE"/>
            <w:noWrap/>
            <w:vAlign w:val="center"/>
          </w:tcPr>
          <w:p w14:paraId="72228FC8" w14:textId="77777777" w:rsidR="00154E32" w:rsidRDefault="00A43E04">
            <w:pPr>
              <w:pStyle w:val="P68B1DB1-Normal11"/>
              <w:spacing w:line="276" w:lineRule="auto"/>
              <w:jc w:val="center"/>
              <w:rPr>
                <w:noProof/>
              </w:rPr>
            </w:pPr>
            <w:r>
              <w:rPr>
                <w:noProof/>
              </w:rPr>
              <w:t xml:space="preserve">Število </w:t>
            </w:r>
          </w:p>
        </w:tc>
        <w:tc>
          <w:tcPr>
            <w:tcW w:w="1276" w:type="dxa"/>
            <w:tcBorders>
              <w:top w:val="nil"/>
              <w:left w:val="nil"/>
              <w:bottom w:val="single" w:sz="4" w:space="0" w:color="auto"/>
              <w:right w:val="single" w:sz="4" w:space="0" w:color="auto"/>
            </w:tcBorders>
            <w:shd w:val="clear" w:color="auto" w:fill="C6EFCE"/>
            <w:noWrap/>
            <w:vAlign w:val="center"/>
          </w:tcPr>
          <w:p w14:paraId="32F2D84E" w14:textId="76BC08A6" w:rsidR="00154E32" w:rsidRDefault="00A43E04">
            <w:pPr>
              <w:pStyle w:val="P68B1DB1-Normal12"/>
              <w:spacing w:line="276" w:lineRule="auto"/>
              <w:jc w:val="center"/>
              <w:rPr>
                <w:rFonts w:ascii="Arial Narrow" w:hAnsi="Arial Narrow"/>
                <w:noProof/>
              </w:rPr>
            </w:pPr>
            <w:r>
              <w:rPr>
                <w:rFonts w:ascii="Arial Narrow" w:hAnsi="Arial Narrow"/>
                <w:noProof/>
              </w:rPr>
              <w:t>17</w:t>
            </w:r>
            <w:r>
              <w:rPr>
                <w:noProof/>
              </w:rPr>
              <w:t xml:space="preserve"> </w:t>
            </w:r>
            <w:r>
              <w:rPr>
                <w:rFonts w:ascii="Arial Narrow" w:hAnsi="Arial Narrow"/>
                <w:noProof/>
              </w:rPr>
              <w:t>000</w:t>
            </w:r>
            <w:r>
              <w:rPr>
                <w:noProof/>
              </w:rPr>
              <w:t xml:space="preserve"> </w:t>
            </w:r>
            <w:r>
              <w:rPr>
                <w:rFonts w:ascii="Arial Narrow" w:hAnsi="Arial Narrow"/>
                <w:noProof/>
              </w:rPr>
              <w:t>000</w:t>
            </w:r>
          </w:p>
        </w:tc>
        <w:tc>
          <w:tcPr>
            <w:tcW w:w="1219" w:type="dxa"/>
            <w:tcBorders>
              <w:top w:val="nil"/>
              <w:left w:val="nil"/>
              <w:bottom w:val="single" w:sz="4" w:space="0" w:color="auto"/>
              <w:right w:val="single" w:sz="4" w:space="0" w:color="auto"/>
            </w:tcBorders>
            <w:shd w:val="clear" w:color="auto" w:fill="C6EFCE"/>
            <w:noWrap/>
            <w:vAlign w:val="center"/>
          </w:tcPr>
          <w:p w14:paraId="0610F2E4" w14:textId="6F4ABD30" w:rsidR="00154E32" w:rsidRDefault="00A43E04">
            <w:pPr>
              <w:pStyle w:val="P68B1DB1-Normal12"/>
              <w:spacing w:line="276" w:lineRule="auto"/>
              <w:jc w:val="center"/>
              <w:rPr>
                <w:rFonts w:ascii="Arial Narrow" w:hAnsi="Arial Narrow"/>
                <w:noProof/>
              </w:rPr>
            </w:pPr>
            <w:r>
              <w:rPr>
                <w:rFonts w:ascii="Arial Narrow" w:hAnsi="Arial Narrow"/>
                <w:noProof/>
              </w:rPr>
              <w:t>35</w:t>
            </w:r>
            <w:r>
              <w:rPr>
                <w:noProof/>
              </w:rPr>
              <w:t xml:space="preserve"> </w:t>
            </w:r>
            <w:r>
              <w:rPr>
                <w:rFonts w:ascii="Arial Narrow" w:hAnsi="Arial Narrow"/>
                <w:noProof/>
              </w:rPr>
              <w:t>800</w:t>
            </w:r>
            <w:r>
              <w:rPr>
                <w:noProof/>
              </w:rPr>
              <w:t xml:space="preserve"> </w:t>
            </w:r>
            <w:r>
              <w:rPr>
                <w:rFonts w:ascii="Arial Narrow" w:hAnsi="Arial Narrow"/>
                <w:noProof/>
              </w:rPr>
              <w:t>000</w:t>
            </w:r>
          </w:p>
        </w:tc>
        <w:tc>
          <w:tcPr>
            <w:tcW w:w="995" w:type="dxa"/>
            <w:tcBorders>
              <w:top w:val="nil"/>
              <w:left w:val="nil"/>
              <w:bottom w:val="single" w:sz="4" w:space="0" w:color="auto"/>
              <w:right w:val="single" w:sz="4" w:space="0" w:color="auto"/>
            </w:tcBorders>
            <w:shd w:val="clear" w:color="auto" w:fill="C6EFCE"/>
            <w:noWrap/>
            <w:vAlign w:val="center"/>
          </w:tcPr>
          <w:p w14:paraId="5342C5C1" w14:textId="77777777" w:rsidR="00154E32" w:rsidRDefault="00A43E04">
            <w:pPr>
              <w:pStyle w:val="P68B1DB1-Normal11"/>
              <w:spacing w:line="276" w:lineRule="auto"/>
              <w:jc w:val="center"/>
              <w:rPr>
                <w:noProof/>
              </w:rPr>
            </w:pPr>
            <w:r>
              <w:rPr>
                <w:noProof/>
              </w:rPr>
              <w:t>Q4</w:t>
            </w:r>
          </w:p>
        </w:tc>
        <w:tc>
          <w:tcPr>
            <w:tcW w:w="704" w:type="dxa"/>
            <w:tcBorders>
              <w:top w:val="nil"/>
              <w:left w:val="nil"/>
              <w:bottom w:val="single" w:sz="4" w:space="0" w:color="auto"/>
              <w:right w:val="single" w:sz="4" w:space="0" w:color="auto"/>
            </w:tcBorders>
            <w:shd w:val="clear" w:color="auto" w:fill="C6EFCE"/>
            <w:noWrap/>
            <w:vAlign w:val="center"/>
          </w:tcPr>
          <w:p w14:paraId="43A96E68" w14:textId="77777777" w:rsidR="00154E32" w:rsidRDefault="00A43E04">
            <w:pPr>
              <w:pStyle w:val="P68B1DB1-Normal11"/>
              <w:spacing w:line="276" w:lineRule="auto"/>
              <w:jc w:val="center"/>
              <w:rPr>
                <w:noProof/>
              </w:rPr>
            </w:pPr>
            <w:r>
              <w:rPr>
                <w:noProof/>
              </w:rPr>
              <w:t>2025</w:t>
            </w:r>
          </w:p>
        </w:tc>
        <w:tc>
          <w:tcPr>
            <w:tcW w:w="2647" w:type="dxa"/>
            <w:tcBorders>
              <w:top w:val="nil"/>
              <w:left w:val="nil"/>
              <w:bottom w:val="single" w:sz="4" w:space="0" w:color="auto"/>
              <w:right w:val="single" w:sz="4" w:space="0" w:color="auto"/>
            </w:tcBorders>
            <w:shd w:val="clear" w:color="auto" w:fill="C6EFCE"/>
            <w:noWrap/>
            <w:vAlign w:val="center"/>
          </w:tcPr>
          <w:p w14:paraId="656C204F" w14:textId="4420C366" w:rsidR="00154E32" w:rsidRDefault="00A43E04">
            <w:pPr>
              <w:pStyle w:val="P68B1DB1-Normal12"/>
              <w:spacing w:line="276" w:lineRule="auto"/>
              <w:rPr>
                <w:rFonts w:ascii="Arial Narrow" w:hAnsi="Arial Narrow"/>
                <w:noProof/>
              </w:rPr>
            </w:pPr>
            <w:r>
              <w:rPr>
                <w:rFonts w:ascii="Arial Narrow" w:hAnsi="Arial Narrow"/>
                <w:noProof/>
              </w:rPr>
              <w:t>Popolna prenova stavbe za najmanj 35800000 kvadratnih</w:t>
            </w:r>
            <w:r>
              <w:rPr>
                <w:noProof/>
              </w:rPr>
              <w:t xml:space="preserve"> </w:t>
            </w:r>
            <w:r>
              <w:rPr>
                <w:rFonts w:ascii="Arial Narrow" w:hAnsi="Arial Narrow"/>
                <w:noProof/>
              </w:rPr>
              <w:t xml:space="preserve"> metrov, s čimer se doseže vsaj 40-odstotni prihranek primarne energije, s čimer se povečata vsaj dve kategoriji v izkaznici o energijski učinkovitosti.</w:t>
            </w:r>
          </w:p>
        </w:tc>
      </w:tr>
      <w:tr w:rsidR="00154E32" w14:paraId="77102CB9" w14:textId="77777777">
        <w:trPr>
          <w:trHeight w:val="309"/>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73F501D6" w14:textId="77777777" w:rsidR="00154E32" w:rsidRDefault="00A43E04">
            <w:pPr>
              <w:pStyle w:val="P68B1DB1-Normal11"/>
              <w:spacing w:line="276" w:lineRule="auto"/>
              <w:jc w:val="center"/>
              <w:rPr>
                <w:noProof/>
              </w:rPr>
            </w:pPr>
            <w:r>
              <w:rPr>
                <w:noProof/>
              </w:rPr>
              <w:t>M2C3–4</w:t>
            </w:r>
          </w:p>
        </w:tc>
        <w:tc>
          <w:tcPr>
            <w:tcW w:w="1559" w:type="dxa"/>
            <w:tcBorders>
              <w:top w:val="nil"/>
              <w:left w:val="nil"/>
              <w:bottom w:val="single" w:sz="4" w:space="0" w:color="auto"/>
              <w:right w:val="single" w:sz="4" w:space="0" w:color="auto"/>
            </w:tcBorders>
            <w:shd w:val="clear" w:color="auto" w:fill="C6EFCE"/>
            <w:noWrap/>
            <w:vAlign w:val="center"/>
          </w:tcPr>
          <w:p w14:paraId="1954576C" w14:textId="77777777" w:rsidR="00154E32" w:rsidRDefault="00A43E04">
            <w:pPr>
              <w:pStyle w:val="P68B1DB1-Normal11"/>
              <w:spacing w:line="276" w:lineRule="auto"/>
              <w:jc w:val="center"/>
              <w:rPr>
                <w:noProof/>
              </w:rPr>
            </w:pPr>
            <w:r>
              <w:rPr>
                <w:noProof/>
              </w:rPr>
              <w:t>Reforma 1.1: Poenostavitev in pospešitev postopkov za posredovanje na področju energijske učinkovitosti</w:t>
            </w:r>
          </w:p>
        </w:tc>
        <w:tc>
          <w:tcPr>
            <w:tcW w:w="1134" w:type="dxa"/>
            <w:tcBorders>
              <w:top w:val="nil"/>
              <w:left w:val="nil"/>
              <w:bottom w:val="single" w:sz="4" w:space="0" w:color="auto"/>
              <w:right w:val="single" w:sz="4" w:space="0" w:color="auto"/>
            </w:tcBorders>
            <w:shd w:val="clear" w:color="auto" w:fill="C6EFCE"/>
            <w:noWrap/>
            <w:vAlign w:val="center"/>
          </w:tcPr>
          <w:p w14:paraId="53AA82A8" w14:textId="77777777" w:rsidR="00154E32" w:rsidRDefault="00A43E04">
            <w:pPr>
              <w:pStyle w:val="P68B1DB1-Normal11"/>
              <w:spacing w:line="276" w:lineRule="auto"/>
              <w:jc w:val="center"/>
              <w:rPr>
                <w:noProof/>
              </w:rPr>
            </w:pPr>
            <w:r>
              <w:rPr>
                <w:noProof/>
              </w:rPr>
              <w:t>Mejnik</w:t>
            </w:r>
          </w:p>
        </w:tc>
        <w:tc>
          <w:tcPr>
            <w:tcW w:w="1559" w:type="dxa"/>
            <w:tcBorders>
              <w:top w:val="nil"/>
              <w:left w:val="nil"/>
              <w:bottom w:val="single" w:sz="4" w:space="0" w:color="auto"/>
              <w:right w:val="single" w:sz="4" w:space="0" w:color="auto"/>
            </w:tcBorders>
            <w:shd w:val="clear" w:color="auto" w:fill="C6EFCE"/>
            <w:noWrap/>
            <w:vAlign w:val="center"/>
          </w:tcPr>
          <w:p w14:paraId="4F633841" w14:textId="77777777" w:rsidR="00154E32" w:rsidRDefault="00A43E04">
            <w:pPr>
              <w:pStyle w:val="P68B1DB1-Normal11"/>
              <w:spacing w:line="276" w:lineRule="auto"/>
              <w:jc w:val="center"/>
              <w:rPr>
                <w:noProof/>
              </w:rPr>
            </w:pPr>
            <w:r>
              <w:rPr>
                <w:noProof/>
              </w:rPr>
              <w:t>Poenostavitev in pospešitev postopkov za posredovanje na področju energijske učinkovitosti</w:t>
            </w:r>
          </w:p>
        </w:tc>
        <w:tc>
          <w:tcPr>
            <w:tcW w:w="1609" w:type="dxa"/>
            <w:tcBorders>
              <w:top w:val="nil"/>
              <w:left w:val="nil"/>
              <w:bottom w:val="single" w:sz="4" w:space="0" w:color="auto"/>
              <w:right w:val="single" w:sz="4" w:space="0" w:color="auto"/>
            </w:tcBorders>
            <w:shd w:val="clear" w:color="auto" w:fill="C6EFCE"/>
            <w:noWrap/>
            <w:vAlign w:val="center"/>
          </w:tcPr>
          <w:p w14:paraId="2C71EB8F" w14:textId="77777777" w:rsidR="00154E32" w:rsidRDefault="00A43E04">
            <w:pPr>
              <w:pStyle w:val="P68B1DB1-Normal11"/>
              <w:spacing w:line="276" w:lineRule="auto"/>
              <w:jc w:val="center"/>
              <w:rPr>
                <w:noProof/>
              </w:rPr>
            </w:pPr>
            <w:r>
              <w:rPr>
                <w:noProof/>
              </w:rPr>
              <w:t xml:space="preserve">Določba pravnega(-ih) akta(-ov), ki označuje(-jo) začetek veljavnosti </w:t>
            </w:r>
          </w:p>
        </w:tc>
        <w:tc>
          <w:tcPr>
            <w:tcW w:w="1084" w:type="dxa"/>
            <w:tcBorders>
              <w:top w:val="nil"/>
              <w:left w:val="nil"/>
              <w:bottom w:val="single" w:sz="4" w:space="0" w:color="auto"/>
              <w:right w:val="single" w:sz="4" w:space="0" w:color="auto"/>
            </w:tcBorders>
            <w:shd w:val="clear" w:color="auto" w:fill="C6EFCE"/>
            <w:noWrap/>
            <w:vAlign w:val="center"/>
          </w:tcPr>
          <w:p w14:paraId="29668D8A" w14:textId="77777777" w:rsidR="00154E32" w:rsidRDefault="00A43E04">
            <w:pPr>
              <w:pStyle w:val="P68B1DB1-Normal11"/>
              <w:spacing w:line="276" w:lineRule="auto"/>
              <w:jc w:val="center"/>
              <w:rPr>
                <w:noProof/>
              </w:rPr>
            </w:pPr>
            <w:r>
              <w:rPr>
                <w:noProof/>
              </w:rPr>
              <w:t>JIH NI</w:t>
            </w:r>
          </w:p>
        </w:tc>
        <w:tc>
          <w:tcPr>
            <w:tcW w:w="1276" w:type="dxa"/>
            <w:tcBorders>
              <w:top w:val="nil"/>
              <w:left w:val="nil"/>
              <w:bottom w:val="single" w:sz="4" w:space="0" w:color="auto"/>
              <w:right w:val="single" w:sz="4" w:space="0" w:color="auto"/>
            </w:tcBorders>
            <w:shd w:val="clear" w:color="auto" w:fill="C6EFCE"/>
            <w:noWrap/>
            <w:vAlign w:val="center"/>
          </w:tcPr>
          <w:p w14:paraId="5E50B0A3" w14:textId="77777777" w:rsidR="00154E32" w:rsidRDefault="00A43E04">
            <w:pPr>
              <w:pStyle w:val="P68B1DB1-Normal11"/>
              <w:spacing w:line="276" w:lineRule="auto"/>
              <w:jc w:val="center"/>
              <w:rPr>
                <w:noProof/>
              </w:rPr>
            </w:pPr>
            <w:r>
              <w:rPr>
                <w:noProof/>
              </w:rPr>
              <w:t>JIH NI</w:t>
            </w:r>
          </w:p>
        </w:tc>
        <w:tc>
          <w:tcPr>
            <w:tcW w:w="1219" w:type="dxa"/>
            <w:tcBorders>
              <w:top w:val="nil"/>
              <w:left w:val="nil"/>
              <w:bottom w:val="single" w:sz="4" w:space="0" w:color="auto"/>
              <w:right w:val="single" w:sz="4" w:space="0" w:color="auto"/>
            </w:tcBorders>
            <w:shd w:val="clear" w:color="auto" w:fill="C6EFCE"/>
            <w:noWrap/>
            <w:vAlign w:val="center"/>
          </w:tcPr>
          <w:p w14:paraId="58953E52" w14:textId="77777777" w:rsidR="00154E32" w:rsidRDefault="00A43E04">
            <w:pPr>
              <w:pStyle w:val="P68B1DB1-Normal11"/>
              <w:spacing w:line="276" w:lineRule="auto"/>
              <w:jc w:val="center"/>
              <w:rPr>
                <w:noProof/>
              </w:rPr>
            </w:pPr>
            <w:r>
              <w:rPr>
                <w:noProof/>
              </w:rPr>
              <w:t>JIH NI</w:t>
            </w:r>
          </w:p>
        </w:tc>
        <w:tc>
          <w:tcPr>
            <w:tcW w:w="995" w:type="dxa"/>
            <w:tcBorders>
              <w:top w:val="nil"/>
              <w:left w:val="nil"/>
              <w:bottom w:val="single" w:sz="4" w:space="0" w:color="auto"/>
              <w:right w:val="single" w:sz="4" w:space="0" w:color="auto"/>
            </w:tcBorders>
            <w:shd w:val="clear" w:color="auto" w:fill="C6EFCE"/>
            <w:noWrap/>
            <w:vAlign w:val="center"/>
          </w:tcPr>
          <w:p w14:paraId="7084B936" w14:textId="77777777" w:rsidR="00154E32" w:rsidRDefault="00A43E04">
            <w:pPr>
              <w:pStyle w:val="P68B1DB1-Normal11"/>
              <w:spacing w:line="276" w:lineRule="auto"/>
              <w:jc w:val="center"/>
              <w:rPr>
                <w:noProof/>
              </w:rPr>
            </w:pPr>
            <w:r>
              <w:rPr>
                <w:noProof/>
              </w:rPr>
              <w:t>Q2</w:t>
            </w:r>
          </w:p>
        </w:tc>
        <w:tc>
          <w:tcPr>
            <w:tcW w:w="704" w:type="dxa"/>
            <w:tcBorders>
              <w:top w:val="nil"/>
              <w:left w:val="nil"/>
              <w:bottom w:val="single" w:sz="4" w:space="0" w:color="auto"/>
              <w:right w:val="single" w:sz="4" w:space="0" w:color="auto"/>
            </w:tcBorders>
            <w:shd w:val="clear" w:color="auto" w:fill="C6EFCE"/>
            <w:noWrap/>
            <w:vAlign w:val="center"/>
          </w:tcPr>
          <w:p w14:paraId="2EC23C43" w14:textId="77777777" w:rsidR="00154E32" w:rsidRDefault="00A43E04">
            <w:pPr>
              <w:pStyle w:val="P68B1DB1-Normal11"/>
              <w:spacing w:line="276" w:lineRule="auto"/>
              <w:jc w:val="center"/>
              <w:rPr>
                <w:noProof/>
              </w:rPr>
            </w:pPr>
            <w:r>
              <w:rPr>
                <w:noProof/>
              </w:rPr>
              <w:t>2022</w:t>
            </w:r>
          </w:p>
        </w:tc>
        <w:tc>
          <w:tcPr>
            <w:tcW w:w="2647" w:type="dxa"/>
            <w:tcBorders>
              <w:top w:val="nil"/>
              <w:left w:val="nil"/>
              <w:bottom w:val="single" w:sz="4" w:space="0" w:color="auto"/>
              <w:right w:val="single" w:sz="4" w:space="0" w:color="auto"/>
            </w:tcBorders>
            <w:shd w:val="clear" w:color="auto" w:fill="C6EFCE"/>
            <w:noWrap/>
            <w:vAlign w:val="center"/>
          </w:tcPr>
          <w:p w14:paraId="38BE62D3" w14:textId="70EE8D92" w:rsidR="00154E32" w:rsidRDefault="00A43E04">
            <w:pPr>
              <w:pStyle w:val="P68B1DB1-Normal11"/>
              <w:spacing w:line="276" w:lineRule="auto"/>
              <w:rPr>
                <w:noProof/>
              </w:rPr>
            </w:pPr>
            <w:r>
              <w:rPr>
                <w:noProof/>
              </w:rPr>
              <w:t>Pravni akt(-i) poenostavi(-jo) in pospeši(-jo) postopke za posredovanje na področju energetske učinkovitosti, tako da:</w:t>
            </w:r>
          </w:p>
          <w:p w14:paraId="7AE1F7BD" w14:textId="77777777" w:rsidR="00154E32" w:rsidRDefault="00A43E04">
            <w:pPr>
              <w:pStyle w:val="P68B1DB1-ListParagraph13"/>
              <w:numPr>
                <w:ilvl w:val="0"/>
                <w:numId w:val="90"/>
              </w:numPr>
              <w:spacing w:line="276" w:lineRule="auto"/>
              <w:jc w:val="left"/>
              <w:rPr>
                <w:noProof/>
              </w:rPr>
            </w:pPr>
            <w:r>
              <w:rPr>
                <w:noProof/>
              </w:rPr>
              <w:t>Vzpostavitev nacionalnega portala za energetsko učinkovitost stavb</w:t>
            </w:r>
          </w:p>
          <w:p w14:paraId="49EA0B9D" w14:textId="77777777" w:rsidR="00154E32" w:rsidRDefault="00A43E04">
            <w:pPr>
              <w:pStyle w:val="P68B1DB1-ListParagraph13"/>
              <w:numPr>
                <w:ilvl w:val="0"/>
                <w:numId w:val="90"/>
              </w:numPr>
              <w:spacing w:line="276" w:lineRule="auto"/>
              <w:jc w:val="left"/>
              <w:rPr>
                <w:noProof/>
              </w:rPr>
            </w:pPr>
            <w:r>
              <w:rPr>
                <w:noProof/>
              </w:rPr>
              <w:t>Krepitev dejavnosti v okviru načrta obveščanja in usposabljanja, namenjenega civilnemu sektorju</w:t>
            </w:r>
          </w:p>
          <w:p w14:paraId="32CC6CEA" w14:textId="77777777" w:rsidR="00154E32" w:rsidRDefault="00A43E04">
            <w:pPr>
              <w:pStyle w:val="P68B1DB1-ListParagraph13"/>
              <w:numPr>
                <w:ilvl w:val="0"/>
                <w:numId w:val="90"/>
              </w:numPr>
              <w:spacing w:line="276" w:lineRule="auto"/>
              <w:jc w:val="left"/>
              <w:rPr>
                <w:noProof/>
              </w:rPr>
            </w:pPr>
            <w:r>
              <w:rPr>
                <w:noProof/>
              </w:rPr>
              <w:t>Posodobitev in okrepitev nacionalnega sklada za energetsko učinkovitost</w:t>
            </w:r>
          </w:p>
          <w:p w14:paraId="677B0F8B" w14:textId="295C1FE2" w:rsidR="00154E32" w:rsidRDefault="00A43E04">
            <w:pPr>
              <w:pStyle w:val="P68B1DB1-ListParagraph13"/>
              <w:numPr>
                <w:ilvl w:val="0"/>
                <w:numId w:val="90"/>
              </w:numPr>
              <w:spacing w:line="276" w:lineRule="auto"/>
              <w:jc w:val="left"/>
              <w:rPr>
                <w:noProof/>
              </w:rPr>
            </w:pPr>
            <w:r>
              <w:rPr>
                <w:noProof/>
              </w:rPr>
              <w:t>Pospešitev faze izvajanja projektov, ki se financirajo iz programa PREPAC</w:t>
            </w:r>
          </w:p>
        </w:tc>
      </w:tr>
    </w:tbl>
    <w:p w14:paraId="42909E42" w14:textId="77777777" w:rsidR="00154E32" w:rsidRDefault="00154E32">
      <w:pPr>
        <w:spacing w:before="120" w:after="120"/>
        <w:ind w:left="709"/>
        <w:jc w:val="both"/>
        <w:rPr>
          <w:noProof/>
        </w:rPr>
        <w:sectPr w:rsidR="00154E32" w:rsidSect="001354D1">
          <w:headerReference w:type="even" r:id="rId146"/>
          <w:headerReference w:type="default" r:id="rId147"/>
          <w:footerReference w:type="even" r:id="rId148"/>
          <w:footerReference w:type="default" r:id="rId149"/>
          <w:headerReference w:type="first" r:id="rId150"/>
          <w:footerReference w:type="first" r:id="rId151"/>
          <w:pgSz w:w="16839" w:h="11907" w:orient="landscape"/>
          <w:pgMar w:top="1134" w:right="1134" w:bottom="1134" w:left="1134" w:header="567" w:footer="567" w:gutter="0"/>
          <w:cols w:space="720"/>
          <w:docGrid w:linePitch="360"/>
        </w:sectPr>
      </w:pPr>
    </w:p>
    <w:p w14:paraId="411416EE" w14:textId="77777777" w:rsidR="00154E32" w:rsidRDefault="00A43E04">
      <w:pPr>
        <w:pStyle w:val="Heading3"/>
        <w:numPr>
          <w:ilvl w:val="0"/>
          <w:numId w:val="0"/>
        </w:numPr>
        <w:ind w:left="850" w:hanging="850"/>
        <w:rPr>
          <w:b/>
          <w:i w:val="0"/>
          <w:noProof/>
          <w:color w:val="4F81BD" w:themeColor="accent1"/>
          <w:u w:val="single"/>
        </w:rPr>
      </w:pPr>
      <w:r>
        <w:rPr>
          <w:b/>
          <w:i w:val="0"/>
          <w:noProof/>
          <w:u w:val="single"/>
        </w:rPr>
        <w:t xml:space="preserve">F.3. </w:t>
      </w:r>
      <w:r>
        <w:rPr>
          <w:noProof/>
        </w:rPr>
        <w:tab/>
      </w:r>
      <w:r>
        <w:rPr>
          <w:b/>
          <w:i w:val="0"/>
          <w:noProof/>
          <w:u w:val="single"/>
        </w:rPr>
        <w:t xml:space="preserve">Opis reform in naložb za posojilo </w:t>
      </w:r>
    </w:p>
    <w:p w14:paraId="3AC070D8" w14:textId="77777777" w:rsidR="00154E32" w:rsidRDefault="00A43E04">
      <w:pPr>
        <w:pStyle w:val="P68B1DB1-Normal29"/>
        <w:spacing w:before="120" w:after="120"/>
        <w:jc w:val="both"/>
        <w:rPr>
          <w:rFonts w:eastAsia="Calibri"/>
          <w:noProof/>
          <w:color w:val="4F81BD" w:themeColor="accent1"/>
        </w:rPr>
      </w:pPr>
      <w:r>
        <w:rPr>
          <w:noProof/>
        </w:rPr>
        <w:t xml:space="preserve">Naložba 1.1: Gradnja novih šol z zamenjavo stavb </w:t>
      </w:r>
    </w:p>
    <w:p w14:paraId="03B5D3C8" w14:textId="77777777" w:rsidR="00154E32" w:rsidRDefault="00A43E04">
      <w:pPr>
        <w:spacing w:before="120" w:after="120"/>
        <w:jc w:val="both"/>
        <w:rPr>
          <w:noProof/>
        </w:rPr>
      </w:pPr>
      <w:r>
        <w:rPr>
          <w:noProof/>
        </w:rPr>
        <w:t>Ta ukrep se osredotoča na postopno zamenjavo dela stavbnega fonda javnih šol z namenom oblikovanja sodobnih in trajnostnih struktur.</w:t>
      </w:r>
    </w:p>
    <w:p w14:paraId="718A53CE" w14:textId="35FBBE45" w:rsidR="00154E32" w:rsidRDefault="00A43E04">
      <w:pPr>
        <w:spacing w:before="120" w:after="120"/>
        <w:jc w:val="both"/>
        <w:rPr>
          <w:noProof/>
        </w:rPr>
      </w:pPr>
      <w:r>
        <w:rPr>
          <w:noProof/>
        </w:rPr>
        <w:t>Cilji ukrepov so zmanjšanje porabe energije, večja potresna varnost stavb in razvoj zelenih površin.</w:t>
      </w:r>
    </w:p>
    <w:p w14:paraId="62BDEFDC" w14:textId="77777777" w:rsidR="00154E32" w:rsidRDefault="00A43E04">
      <w:pPr>
        <w:spacing w:before="120" w:after="120"/>
        <w:jc w:val="both"/>
        <w:rPr>
          <w:noProof/>
        </w:rPr>
      </w:pPr>
      <w:r>
        <w:rPr>
          <w:noProof/>
        </w:rPr>
        <w:t xml:space="preserve">Načrt naj bi bil usmerjen v 166 šolskih stavb s skupno 400 tisoč m². </w:t>
      </w:r>
    </w:p>
    <w:p w14:paraId="2BA7A5A9" w14:textId="77777777" w:rsidR="00154E32" w:rsidRDefault="00A43E04">
      <w:pPr>
        <w:pStyle w:val="P68B1DB1-Normal2"/>
        <w:spacing w:before="120" w:after="120"/>
        <w:jc w:val="both"/>
        <w:rPr>
          <w:rFonts w:eastAsia="Calibri"/>
          <w:noProof/>
        </w:rPr>
      </w:pPr>
      <w:r>
        <w:rPr>
          <w:noProof/>
        </w:rPr>
        <w:t>Naložba 1.2 – Gradnja stavb, prekvalifikacija in krepitev nepremičninskih sredstev pravosodja</w:t>
      </w:r>
    </w:p>
    <w:p w14:paraId="598B1CF5" w14:textId="77777777" w:rsidR="00154E32" w:rsidRDefault="00A43E04">
      <w:pPr>
        <w:spacing w:before="120" w:after="120"/>
        <w:jc w:val="both"/>
        <w:rPr>
          <w:rFonts w:eastAsia="Calibri"/>
          <w:noProof/>
        </w:rPr>
      </w:pPr>
      <w:r>
        <w:rPr>
          <w:noProof/>
        </w:rPr>
        <w:t xml:space="preserve">Ta ukrep je namenjen prenovi in prekvalifikaciji neustreznih struktur pravosodja. </w:t>
      </w:r>
    </w:p>
    <w:p w14:paraId="48E2D7AB" w14:textId="77777777" w:rsidR="00154E32" w:rsidRDefault="00A43E04">
      <w:pPr>
        <w:spacing w:before="120" w:after="120"/>
        <w:jc w:val="both"/>
        <w:rPr>
          <w:b/>
          <w:noProof/>
          <w:u w:val="single"/>
        </w:rPr>
      </w:pPr>
      <w:r>
        <w:rPr>
          <w:noProof/>
        </w:rPr>
        <w:t>Posredovanje se osredotoča na ohranjanje obstoječih sredstev, omogočanje varstva, valorizacije in obnove zgodovinske dediščine, ki je pogosto značilna za urade uprave, tj. italijanski pravosodni sistem. Poleg energetske učinkovitosti je cilj programa tudi zagotoviti gospodarsko, okoljsko in socialno trajnost ukrepov z uporabo trajnostnih materialov in uporabo električne energije iz obnovljivih virov, ki jo proizvedejo sami. Z intervencijami se lahko prilagodijo tudi strukture za zmanjšanje potresne ranljivosti stavb.</w:t>
      </w:r>
    </w:p>
    <w:p w14:paraId="41788DD8" w14:textId="77777777" w:rsidR="00154E32" w:rsidRDefault="00A43E04">
      <w:pPr>
        <w:spacing w:before="120" w:after="120"/>
        <w:jc w:val="both"/>
        <w:rPr>
          <w:noProof/>
        </w:rPr>
      </w:pPr>
      <w:r>
        <w:rPr>
          <w:noProof/>
        </w:rPr>
        <w:t>Okvirni seznam občin, v katerih se izvajajo intervencije, je naslednji: Bari, Bergamo, Bologna, Cagliari, Firence, Genoa, Latina, Messina, Milano, Monza, Neapelj, Palermo, Perugia, Reggio Calabria, Rim, Rim, Trani, Torino, Velletri in Benetke.</w:t>
      </w:r>
    </w:p>
    <w:p w14:paraId="48E65F53" w14:textId="77777777" w:rsidR="00154E32" w:rsidRDefault="00A43E04">
      <w:pPr>
        <w:spacing w:before="120" w:after="120"/>
        <w:jc w:val="both"/>
        <w:rPr>
          <w:noProof/>
        </w:rPr>
      </w:pPr>
      <w:r>
        <w:rPr>
          <w:noProof/>
        </w:rPr>
        <w:t>Poseg ne vključuje kotlov na zemeljski plin.</w:t>
      </w:r>
    </w:p>
    <w:p w14:paraId="48E3D469" w14:textId="77777777" w:rsidR="00154E32" w:rsidRDefault="00A43E04">
      <w:pPr>
        <w:pStyle w:val="P68B1DB1-Normal2"/>
        <w:spacing w:before="120" w:after="120"/>
        <w:jc w:val="both"/>
        <w:rPr>
          <w:rFonts w:eastAsia="Calibri"/>
          <w:noProof/>
        </w:rPr>
      </w:pPr>
      <w:r>
        <w:rPr>
          <w:noProof/>
        </w:rPr>
        <w:t>Naložba 3.1: Spodbujanje učinkovitega daljinskega ogrevanja</w:t>
      </w:r>
    </w:p>
    <w:p w14:paraId="67589124" w14:textId="77777777" w:rsidR="00154E32" w:rsidRDefault="00A43E04">
      <w:pPr>
        <w:spacing w:before="120" w:after="120"/>
        <w:jc w:val="both"/>
        <w:rPr>
          <w:rFonts w:eastAsia="Calibri"/>
          <w:noProof/>
        </w:rPr>
      </w:pPr>
      <w:r>
        <w:rPr>
          <w:noProof/>
        </w:rPr>
        <w:t>Daljinsko ogrevanje ima pomembno vlogo pri doseganju okoljskih ciljev sektorja ogrevanja in hlajenja, zlasti na velikih mestnih območjih, kjer je problem še večji.</w:t>
      </w:r>
    </w:p>
    <w:p w14:paraId="4BC4F97B" w14:textId="77777777" w:rsidR="00154E32" w:rsidRDefault="00A43E04">
      <w:pPr>
        <w:spacing w:before="120" w:after="120"/>
        <w:jc w:val="both"/>
        <w:rPr>
          <w:rFonts w:eastAsia="Calibri"/>
          <w:noProof/>
        </w:rPr>
      </w:pPr>
      <w:r>
        <w:rPr>
          <w:noProof/>
        </w:rPr>
        <w:t xml:space="preserve">Ukrep razvija učinkovito daljinsko ogrevanje na podlagi porazdelitve toplote, proizvedene iz obnovljivih virov, iz odvečne toplote ali soproizvodnje v visoko zmogljivih obratih. Z ukrepom se financirajo projekti, ki bodo izbrani z javnim razpisom, ki bo objavljen leta 2022 in se nanaša na izgradnjo novih omrežij ali razširitev obstoječih omrežij za daljinsko ogrevanje. Naslednji razpis se lahko objavi leta 2023. Prednost imajo projekti, ki zagotavljajo največje prihranke primarne energije iz neobnovljivih virov. </w:t>
      </w:r>
    </w:p>
    <w:p w14:paraId="5EA3B0A2" w14:textId="77777777" w:rsidR="00154E32" w:rsidRDefault="00A43E04">
      <w:pPr>
        <w:spacing w:before="120" w:after="120"/>
        <w:jc w:val="both"/>
        <w:rPr>
          <w:rFonts w:eastAsia="Calibri"/>
          <w:noProof/>
        </w:rPr>
      </w:pPr>
      <w:r>
        <w:rPr>
          <w:noProof/>
        </w:rPr>
        <w:t xml:space="preserve">Pričakuje se, da bodo dosežene energetske in okoljske koristi v višini 20 ktoe primarne fosilne energije na leto in 40 kton CO2 emisij toplogrednih plinov, preprečenih v sektorjih, ki niso vključeni v sistem trgovanja z emisijami. </w:t>
      </w:r>
    </w:p>
    <w:p w14:paraId="48BC2598" w14:textId="77777777" w:rsidR="00154E32" w:rsidRDefault="00A43E04">
      <w:pPr>
        <w:spacing w:before="120" w:after="120"/>
        <w:jc w:val="both"/>
        <w:rPr>
          <w:rFonts w:eastAsia="Calibri"/>
          <w:noProof/>
        </w:rPr>
      </w:pPr>
      <w:r>
        <w:rPr>
          <w:noProof/>
        </w:rPr>
        <w:t>Pričakuje se, da ta ukrep ne bo bistveno škodoval okoljskim ciljem v smislu člena 17 Uredbe (EU) 2020/852, ob upoštevanju opisa ukrepa in blažilnih ukrepov iz načrta za okrevanje in odpornost v skladu s tehničnimi smernicami, da se ne škoduje bistveno (2021/C58/01). Gradnja učinkovitega sistema daljinskega ogrevanja zlasti ne sme uporabljati fosilnih goriv kot vira toplote, temveč je odvisna izključno od toplote, proizvedene iz obnovljivih virov, odvečne toplote ali soproizvodnje v visoko zmogljivih obratih. S tem povezana infrastruktura za daljinsko ogrevanje upošteva Direktivo 2012/27/EU Evropskega parlamenta in Sveta z dne 25. oktobra 2012 o energetski učinkovitosti, spremembi direktiv 2009/125/ES in 2010/30/EU ter razveljavitvi direktiv 2004/8/ES in 2006/32/ES (UL L 315, 14.11.2012, str. 1) in naj bi zagotovila zmanjšanje za 0,04 MtCO2/leto.</w:t>
      </w:r>
    </w:p>
    <w:p w14:paraId="74FB23E3" w14:textId="77777777" w:rsidR="00154E32" w:rsidRDefault="00A43E04">
      <w:pPr>
        <w:pStyle w:val="Heading3"/>
        <w:numPr>
          <w:ilvl w:val="0"/>
          <w:numId w:val="0"/>
        </w:numPr>
        <w:ind w:left="850" w:hanging="850"/>
        <w:rPr>
          <w:b/>
          <w:i w:val="0"/>
          <w:noProof/>
          <w:u w:val="single"/>
        </w:rPr>
      </w:pPr>
      <w:r>
        <w:rPr>
          <w:b/>
          <w:i w:val="0"/>
          <w:noProof/>
          <w:u w:val="single"/>
        </w:rPr>
        <w:t xml:space="preserve">F.4. </w:t>
      </w:r>
      <w:r>
        <w:rPr>
          <w:noProof/>
        </w:rPr>
        <w:tab/>
      </w:r>
      <w:r>
        <w:rPr>
          <w:b/>
          <w:i w:val="0"/>
          <w:noProof/>
          <w:u w:val="single"/>
        </w:rPr>
        <w:t xml:space="preserve">Mejniki, cilji, kazalniki in časovni razpored za spremljanje in izvajanje posojila </w:t>
      </w:r>
    </w:p>
    <w:p w14:paraId="619CBC57" w14:textId="77777777" w:rsidR="00154E32" w:rsidRDefault="00154E32">
      <w:pPr>
        <w:spacing w:before="120" w:after="120"/>
        <w:ind w:left="709"/>
        <w:contextualSpacing/>
        <w:jc w:val="both"/>
        <w:rPr>
          <w:noProof/>
        </w:rPr>
        <w:sectPr w:rsidR="00154E32" w:rsidSect="001354D1">
          <w:headerReference w:type="even" r:id="rId152"/>
          <w:headerReference w:type="default" r:id="rId153"/>
          <w:footerReference w:type="even" r:id="rId154"/>
          <w:footerReference w:type="default" r:id="rId155"/>
          <w:headerReference w:type="first" r:id="rId156"/>
          <w:footerReference w:type="first" r:id="rId157"/>
          <w:pgSz w:w="11907" w:h="16839"/>
          <w:pgMar w:top="1134" w:right="1134" w:bottom="1134" w:left="1134" w:header="567" w:footer="567" w:gutter="0"/>
          <w:cols w:space="720"/>
          <w:docGrid w:linePitch="360"/>
        </w:sectPr>
      </w:pPr>
    </w:p>
    <w:tbl>
      <w:tblPr>
        <w:tblpPr w:leftFromText="180" w:rightFromText="180" w:horzAnchor="margin" w:tblpXSpec="center" w:tblpY="-720"/>
        <w:tblW w:w="14789" w:type="dxa"/>
        <w:tblLook w:val="04A0" w:firstRow="1" w:lastRow="0" w:firstColumn="1" w:lastColumn="0" w:noHBand="0" w:noVBand="1"/>
      </w:tblPr>
      <w:tblGrid>
        <w:gridCol w:w="1271"/>
        <w:gridCol w:w="1559"/>
        <w:gridCol w:w="1134"/>
        <w:gridCol w:w="1985"/>
        <w:gridCol w:w="1701"/>
        <w:gridCol w:w="1276"/>
        <w:gridCol w:w="964"/>
        <w:gridCol w:w="1022"/>
        <w:gridCol w:w="1255"/>
        <w:gridCol w:w="653"/>
        <w:gridCol w:w="2461"/>
      </w:tblGrid>
      <w:tr w:rsidR="00154E32" w14:paraId="51B53195" w14:textId="77777777">
        <w:trPr>
          <w:trHeight w:val="939"/>
          <w:tblHeader/>
        </w:trPr>
        <w:tc>
          <w:tcPr>
            <w:tcW w:w="127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4F23FA1" w14:textId="77777777" w:rsidR="00154E32" w:rsidRDefault="00A43E04">
            <w:pPr>
              <w:pStyle w:val="P68B1DB1-Normal9"/>
              <w:jc w:val="center"/>
              <w:rPr>
                <w:noProof/>
              </w:rPr>
            </w:pPr>
            <w:r>
              <w:rPr>
                <w:noProof/>
              </w:rPr>
              <w:t>Zaporedna številka</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C7FDE26" w14:textId="77777777" w:rsidR="00154E32" w:rsidRDefault="00A43E04">
            <w:pPr>
              <w:pStyle w:val="P68B1DB1-Normal9"/>
              <w:jc w:val="center"/>
              <w:rPr>
                <w:noProof/>
              </w:rPr>
            </w:pPr>
            <w:r>
              <w:rPr>
                <w:noProof/>
              </w:rPr>
              <w:t>Povezani ukrep (reforma ali naložba)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07A4FC5" w14:textId="77777777" w:rsidR="00154E32" w:rsidRDefault="00A43E04">
            <w:pPr>
              <w:pStyle w:val="P68B1DB1-Normal9"/>
              <w:jc w:val="center"/>
              <w:rPr>
                <w:noProof/>
              </w:rPr>
            </w:pPr>
            <w:r>
              <w:rPr>
                <w:noProof/>
              </w:rPr>
              <w:t>Mejnik/cilj</w:t>
            </w:r>
          </w:p>
        </w:tc>
        <w:tc>
          <w:tcPr>
            <w:tcW w:w="1985" w:type="dxa"/>
            <w:vMerge w:val="restart"/>
            <w:tcBorders>
              <w:top w:val="single" w:sz="4" w:space="0" w:color="auto"/>
              <w:left w:val="nil"/>
              <w:bottom w:val="single" w:sz="4" w:space="0" w:color="auto"/>
              <w:right w:val="single" w:sz="4" w:space="0" w:color="auto"/>
            </w:tcBorders>
            <w:shd w:val="clear" w:color="auto" w:fill="BDD7EE"/>
            <w:vAlign w:val="center"/>
            <w:hideMark/>
          </w:tcPr>
          <w:p w14:paraId="6F52E4B2" w14:textId="77777777" w:rsidR="00154E32" w:rsidRDefault="00A43E04">
            <w:pPr>
              <w:pStyle w:val="P68B1DB1-Normal9"/>
              <w:jc w:val="center"/>
              <w:rPr>
                <w:noProof/>
              </w:rPr>
            </w:pPr>
            <w:r>
              <w:rPr>
                <w:noProof/>
              </w:rPr>
              <w:t>Ime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A1C8057" w14:textId="77777777" w:rsidR="00154E32" w:rsidRDefault="00A43E04">
            <w:pPr>
              <w:pStyle w:val="P68B1DB1-Normal10"/>
              <w:jc w:val="center"/>
              <w:rPr>
                <w:b/>
                <w:noProof/>
                <w:sz w:val="20"/>
              </w:rPr>
            </w:pPr>
            <w:r>
              <w:rPr>
                <w:b/>
                <w:noProof/>
                <w:sz w:val="20"/>
              </w:rPr>
              <w:t>Kakovostni kazalniki</w:t>
            </w:r>
            <w:r>
              <w:rPr>
                <w:noProof/>
              </w:rPr>
              <w:t xml:space="preserve"> </w:t>
            </w:r>
            <w:r>
              <w:rPr>
                <w:noProof/>
              </w:rPr>
              <w:br/>
            </w:r>
            <w:r>
              <w:rPr>
                <w:b/>
                <w:noProof/>
                <w:sz w:val="20"/>
              </w:rPr>
              <w:t>(za mejnike)</w:t>
            </w:r>
          </w:p>
        </w:tc>
        <w:tc>
          <w:tcPr>
            <w:tcW w:w="3216" w:type="dxa"/>
            <w:gridSpan w:val="3"/>
            <w:tcBorders>
              <w:top w:val="single" w:sz="4" w:space="0" w:color="auto"/>
              <w:left w:val="nil"/>
              <w:bottom w:val="single" w:sz="4" w:space="0" w:color="auto"/>
              <w:right w:val="single" w:sz="4" w:space="0" w:color="auto"/>
            </w:tcBorders>
            <w:shd w:val="clear" w:color="auto" w:fill="BDD7EE"/>
            <w:vAlign w:val="center"/>
            <w:hideMark/>
          </w:tcPr>
          <w:p w14:paraId="127482C5" w14:textId="77777777" w:rsidR="00154E32" w:rsidRDefault="00A43E04">
            <w:pPr>
              <w:pStyle w:val="P68B1DB1-Normal10"/>
              <w:jc w:val="center"/>
              <w:rPr>
                <w:b/>
                <w:noProof/>
                <w:sz w:val="20"/>
              </w:rPr>
            </w:pPr>
            <w:r>
              <w:rPr>
                <w:b/>
                <w:noProof/>
                <w:sz w:val="20"/>
              </w:rPr>
              <w:t>Kvantitativni kazalniki</w:t>
            </w:r>
            <w:r>
              <w:rPr>
                <w:noProof/>
              </w:rPr>
              <w:t xml:space="preserve"> </w:t>
            </w:r>
            <w:r>
              <w:rPr>
                <w:noProof/>
              </w:rPr>
              <w:br/>
            </w:r>
            <w:r>
              <w:rPr>
                <w:b/>
                <w:noProof/>
                <w:sz w:val="20"/>
              </w:rPr>
              <w:t>(za ciljne vrednosti)</w:t>
            </w:r>
          </w:p>
        </w:tc>
        <w:tc>
          <w:tcPr>
            <w:tcW w:w="1462" w:type="dxa"/>
            <w:gridSpan w:val="2"/>
            <w:tcBorders>
              <w:top w:val="single" w:sz="4" w:space="0" w:color="auto"/>
              <w:left w:val="nil"/>
              <w:bottom w:val="single" w:sz="4" w:space="0" w:color="auto"/>
              <w:right w:val="single" w:sz="4" w:space="0" w:color="auto"/>
            </w:tcBorders>
            <w:shd w:val="clear" w:color="auto" w:fill="BDD7EE"/>
            <w:vAlign w:val="center"/>
            <w:hideMark/>
          </w:tcPr>
          <w:p w14:paraId="1AC96808" w14:textId="77777777" w:rsidR="00154E32" w:rsidRDefault="00A43E04">
            <w:pPr>
              <w:pStyle w:val="P68B1DB1-Normal9"/>
              <w:jc w:val="center"/>
              <w:rPr>
                <w:noProof/>
              </w:rPr>
            </w:pPr>
            <w:r>
              <w:rPr>
                <w:noProof/>
              </w:rPr>
              <w:t xml:space="preserve">Okvirni časovni razpored za dokončanje </w:t>
            </w:r>
          </w:p>
        </w:tc>
        <w:tc>
          <w:tcPr>
            <w:tcW w:w="246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BA8B1AE" w14:textId="77777777" w:rsidR="00154E32" w:rsidRDefault="00A43E04">
            <w:pPr>
              <w:pStyle w:val="P68B1DB1-Normal9"/>
              <w:jc w:val="center"/>
              <w:rPr>
                <w:noProof/>
              </w:rPr>
            </w:pPr>
            <w:r>
              <w:rPr>
                <w:noProof/>
              </w:rPr>
              <w:t>Opis vsakega mejnika in cilja</w:t>
            </w:r>
          </w:p>
        </w:tc>
      </w:tr>
      <w:tr w:rsidR="00154E32" w14:paraId="7A19B21C" w14:textId="77777777">
        <w:trPr>
          <w:trHeight w:val="1027"/>
          <w:tblHead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F3C0502" w14:textId="77777777" w:rsidR="00154E32" w:rsidRDefault="00154E32">
            <w:pPr>
              <w:rPr>
                <w:rFonts w:ascii="Arial Narrow" w:hAnsi="Arial Narrow"/>
                <w:b/>
                <w:noProof/>
                <w:sz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C98FC70" w14:textId="77777777" w:rsidR="00154E32" w:rsidRDefault="00154E32">
            <w:pPr>
              <w:rPr>
                <w:rFonts w:ascii="Arial Narrow" w:hAnsi="Arial Narrow"/>
                <w:b/>
                <w:noProof/>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191EF2" w14:textId="77777777" w:rsidR="00154E32" w:rsidRDefault="00154E32">
            <w:pPr>
              <w:rPr>
                <w:rFonts w:ascii="Arial Narrow" w:hAnsi="Arial Narrow"/>
                <w:b/>
                <w:noProof/>
                <w:sz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2C4DD9D" w14:textId="77777777" w:rsidR="00154E32" w:rsidRDefault="00154E32">
            <w:pPr>
              <w:rPr>
                <w:rFonts w:ascii="Arial Narrow" w:hAnsi="Arial Narrow"/>
                <w:b/>
                <w:noProof/>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576B69C" w14:textId="77777777" w:rsidR="00154E32" w:rsidRDefault="00154E32">
            <w:pPr>
              <w:rPr>
                <w:rFonts w:ascii="Arial Narrow" w:hAnsi="Arial Narrow"/>
                <w:b/>
                <w:noProof/>
                <w:sz w:val="20"/>
              </w:rPr>
            </w:pPr>
          </w:p>
        </w:tc>
        <w:tc>
          <w:tcPr>
            <w:tcW w:w="127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16487210" w14:textId="77777777" w:rsidR="00154E32" w:rsidRDefault="00A43E04">
            <w:pPr>
              <w:pStyle w:val="P68B1DB1-Normal9"/>
              <w:jc w:val="center"/>
              <w:rPr>
                <w:noProof/>
              </w:rPr>
            </w:pPr>
            <w:r>
              <w:rPr>
                <w:noProof/>
              </w:rPr>
              <w:t>Merska enota</w:t>
            </w:r>
          </w:p>
        </w:tc>
        <w:tc>
          <w:tcPr>
            <w:tcW w:w="91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44C9F29" w14:textId="77777777" w:rsidR="00154E32" w:rsidRDefault="00A43E04">
            <w:pPr>
              <w:pStyle w:val="P68B1DB1-Normal9"/>
              <w:jc w:val="center"/>
              <w:rPr>
                <w:noProof/>
              </w:rPr>
            </w:pPr>
            <w:r>
              <w:rPr>
                <w:noProof/>
              </w:rPr>
              <w:t xml:space="preserve">Izhodišče </w:t>
            </w:r>
          </w:p>
        </w:tc>
        <w:tc>
          <w:tcPr>
            <w:tcW w:w="1022"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3A82CF72" w14:textId="77777777" w:rsidR="00154E32" w:rsidRDefault="00A43E04">
            <w:pPr>
              <w:pStyle w:val="P68B1DB1-Normal9"/>
              <w:jc w:val="center"/>
              <w:rPr>
                <w:noProof/>
              </w:rPr>
            </w:pPr>
            <w:r>
              <w:rPr>
                <w:noProof/>
              </w:rPr>
              <w:t xml:space="preserve">Cilj </w:t>
            </w:r>
          </w:p>
        </w:tc>
        <w:tc>
          <w:tcPr>
            <w:tcW w:w="809"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475D2374" w14:textId="77777777" w:rsidR="00154E32" w:rsidRDefault="00A43E04">
            <w:pPr>
              <w:pStyle w:val="P68B1DB1-Normal9"/>
              <w:jc w:val="center"/>
              <w:rPr>
                <w:noProof/>
              </w:rPr>
            </w:pPr>
            <w:r>
              <w:rPr>
                <w:noProof/>
              </w:rPr>
              <w:t>Četrtletje</w:t>
            </w:r>
          </w:p>
        </w:tc>
        <w:tc>
          <w:tcPr>
            <w:tcW w:w="653"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B25E737" w14:textId="77777777" w:rsidR="00154E32" w:rsidRDefault="00A43E04">
            <w:pPr>
              <w:pStyle w:val="P68B1DB1-Normal9"/>
              <w:jc w:val="center"/>
              <w:rPr>
                <w:noProof/>
              </w:rPr>
            </w:pPr>
            <w:r>
              <w:rPr>
                <w:noProof/>
              </w:rPr>
              <w:t>Leto</w:t>
            </w:r>
          </w:p>
        </w:tc>
        <w:tc>
          <w:tcPr>
            <w:tcW w:w="2461" w:type="dxa"/>
            <w:vMerge/>
            <w:tcBorders>
              <w:top w:val="single" w:sz="4" w:space="0" w:color="auto"/>
              <w:left w:val="single" w:sz="4" w:space="0" w:color="auto"/>
              <w:bottom w:val="single" w:sz="4" w:space="0" w:color="auto"/>
              <w:right w:val="single" w:sz="4" w:space="0" w:color="auto"/>
            </w:tcBorders>
            <w:vAlign w:val="center"/>
            <w:hideMark/>
          </w:tcPr>
          <w:p w14:paraId="58240D29" w14:textId="77777777" w:rsidR="00154E32" w:rsidRDefault="00154E32">
            <w:pPr>
              <w:rPr>
                <w:rFonts w:ascii="Arial Narrow" w:hAnsi="Arial Narrow"/>
                <w:b/>
                <w:noProof/>
                <w:sz w:val="20"/>
              </w:rPr>
            </w:pPr>
          </w:p>
        </w:tc>
      </w:tr>
      <w:tr w:rsidR="00154E32" w14:paraId="4F30D508" w14:textId="77777777">
        <w:trPr>
          <w:trHeight w:val="313"/>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D2E2AB" w14:textId="77777777" w:rsidR="00154E32" w:rsidRDefault="00A43E04">
            <w:pPr>
              <w:pStyle w:val="P68B1DB1-Normal11"/>
              <w:spacing w:line="276" w:lineRule="auto"/>
              <w:jc w:val="center"/>
              <w:rPr>
                <w:noProof/>
              </w:rPr>
            </w:pPr>
            <w:r>
              <w:rPr>
                <w:noProof/>
              </w:rPr>
              <w:t>M2C3–5</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234E95C3" w14:textId="77777777" w:rsidR="00154E32" w:rsidRDefault="00A43E04">
            <w:pPr>
              <w:pStyle w:val="P68B1DB1-Normal11"/>
              <w:spacing w:line="276" w:lineRule="auto"/>
              <w:jc w:val="center"/>
              <w:rPr>
                <w:noProof/>
              </w:rPr>
            </w:pPr>
            <w:r>
              <w:rPr>
                <w:noProof/>
              </w:rPr>
              <w:t xml:space="preserve">Naložba 1.1: Gradnja novih šol z zamenjavo stavb </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18D412F0" w14:textId="77777777" w:rsidR="00154E32" w:rsidRDefault="00A43E04">
            <w:pPr>
              <w:pStyle w:val="P68B1DB1-Normal11"/>
              <w:spacing w:line="276" w:lineRule="auto"/>
              <w:jc w:val="center"/>
              <w:rPr>
                <w:noProof/>
              </w:rPr>
            </w:pPr>
            <w:r>
              <w:rPr>
                <w:noProof/>
              </w:rPr>
              <w:t>Mejnik</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1AE74467" w14:textId="77777777" w:rsidR="00154E32" w:rsidRDefault="00A43E04">
            <w:pPr>
              <w:pStyle w:val="P68B1DB1-Normal11"/>
              <w:spacing w:line="276" w:lineRule="auto"/>
              <w:jc w:val="center"/>
              <w:rPr>
                <w:noProof/>
              </w:rPr>
            </w:pPr>
            <w:r>
              <w:rPr>
                <w:noProof/>
              </w:rPr>
              <w:t xml:space="preserve">Oddaja vseh javnih naročil za gradnjo novih šol z zamenjavo stavb za posodobitev energije v šolskih stavbah po postopku javnega razpisa </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3537D446" w14:textId="77777777" w:rsidR="00154E32" w:rsidRDefault="00A43E04">
            <w:pPr>
              <w:pStyle w:val="P68B1DB1-Normal11"/>
              <w:spacing w:line="276" w:lineRule="auto"/>
              <w:jc w:val="center"/>
              <w:rPr>
                <w:noProof/>
              </w:rPr>
            </w:pPr>
            <w:r>
              <w:rPr>
                <w:noProof/>
              </w:rPr>
              <w:t>Obvestilo o oddaji vseh javnih naročil po postopku javnega razpisa</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39D74564" w14:textId="77777777" w:rsidR="00154E32" w:rsidRDefault="00A43E04">
            <w:pPr>
              <w:pStyle w:val="P68B1DB1-Normal11"/>
              <w:spacing w:line="276" w:lineRule="auto"/>
              <w:jc w:val="center"/>
              <w:rPr>
                <w:noProof/>
              </w:rPr>
            </w:pPr>
            <w:r>
              <w:rPr>
                <w:noProof/>
              </w:rPr>
              <w:t>JIH NI</w:t>
            </w:r>
          </w:p>
        </w:tc>
        <w:tc>
          <w:tcPr>
            <w:tcW w:w="918" w:type="dxa"/>
            <w:tcBorders>
              <w:top w:val="single" w:sz="4" w:space="0" w:color="auto"/>
              <w:left w:val="nil"/>
              <w:bottom w:val="single" w:sz="4" w:space="0" w:color="auto"/>
              <w:right w:val="single" w:sz="4" w:space="0" w:color="auto"/>
            </w:tcBorders>
            <w:shd w:val="clear" w:color="auto" w:fill="C6EFCE"/>
            <w:noWrap/>
            <w:vAlign w:val="center"/>
          </w:tcPr>
          <w:p w14:paraId="128DDD81" w14:textId="77777777" w:rsidR="00154E32" w:rsidRDefault="00A43E04">
            <w:pPr>
              <w:pStyle w:val="P68B1DB1-Normal11"/>
              <w:spacing w:line="276" w:lineRule="auto"/>
              <w:jc w:val="center"/>
              <w:rPr>
                <w:noProof/>
              </w:rPr>
            </w:pPr>
            <w:r>
              <w:rPr>
                <w:noProof/>
              </w:rPr>
              <w:t>JIH NI</w:t>
            </w:r>
          </w:p>
        </w:tc>
        <w:tc>
          <w:tcPr>
            <w:tcW w:w="1022" w:type="dxa"/>
            <w:tcBorders>
              <w:top w:val="single" w:sz="4" w:space="0" w:color="auto"/>
              <w:left w:val="nil"/>
              <w:bottom w:val="single" w:sz="4" w:space="0" w:color="auto"/>
              <w:right w:val="single" w:sz="4" w:space="0" w:color="auto"/>
            </w:tcBorders>
            <w:shd w:val="clear" w:color="auto" w:fill="C6EFCE"/>
            <w:noWrap/>
            <w:vAlign w:val="center"/>
          </w:tcPr>
          <w:p w14:paraId="67775EF9" w14:textId="77777777" w:rsidR="00154E32" w:rsidRDefault="00A43E04">
            <w:pPr>
              <w:pStyle w:val="P68B1DB1-Normal11"/>
              <w:spacing w:line="276" w:lineRule="auto"/>
              <w:jc w:val="center"/>
              <w:rPr>
                <w:noProof/>
              </w:rPr>
            </w:pPr>
            <w:r>
              <w:rPr>
                <w:noProof/>
              </w:rPr>
              <w:t>JIH NI</w:t>
            </w:r>
          </w:p>
        </w:tc>
        <w:tc>
          <w:tcPr>
            <w:tcW w:w="809" w:type="dxa"/>
            <w:tcBorders>
              <w:top w:val="single" w:sz="4" w:space="0" w:color="auto"/>
              <w:left w:val="nil"/>
              <w:bottom w:val="single" w:sz="4" w:space="0" w:color="auto"/>
              <w:right w:val="single" w:sz="4" w:space="0" w:color="auto"/>
            </w:tcBorders>
            <w:shd w:val="clear" w:color="auto" w:fill="C6EFCE"/>
            <w:noWrap/>
            <w:vAlign w:val="center"/>
          </w:tcPr>
          <w:p w14:paraId="698370BD" w14:textId="77777777" w:rsidR="00154E32" w:rsidRDefault="00A43E04">
            <w:pPr>
              <w:pStyle w:val="P68B1DB1-Normal11"/>
              <w:spacing w:line="276" w:lineRule="auto"/>
              <w:jc w:val="center"/>
              <w:rPr>
                <w:noProof/>
              </w:rPr>
            </w:pPr>
            <w:r>
              <w:rPr>
                <w:noProof/>
              </w:rPr>
              <w:t>Q3</w:t>
            </w:r>
          </w:p>
        </w:tc>
        <w:tc>
          <w:tcPr>
            <w:tcW w:w="653" w:type="dxa"/>
            <w:tcBorders>
              <w:top w:val="single" w:sz="4" w:space="0" w:color="auto"/>
              <w:left w:val="nil"/>
              <w:bottom w:val="single" w:sz="4" w:space="0" w:color="auto"/>
              <w:right w:val="single" w:sz="4" w:space="0" w:color="auto"/>
            </w:tcBorders>
            <w:shd w:val="clear" w:color="auto" w:fill="C6EFCE"/>
            <w:noWrap/>
            <w:vAlign w:val="center"/>
          </w:tcPr>
          <w:p w14:paraId="7288ED48" w14:textId="77777777" w:rsidR="00154E32" w:rsidRDefault="00A43E04">
            <w:pPr>
              <w:pStyle w:val="P68B1DB1-Normal11"/>
              <w:spacing w:line="276" w:lineRule="auto"/>
              <w:jc w:val="center"/>
              <w:rPr>
                <w:noProof/>
              </w:rPr>
            </w:pPr>
            <w:r>
              <w:rPr>
                <w:noProof/>
              </w:rPr>
              <w:t>2023</w:t>
            </w:r>
          </w:p>
        </w:tc>
        <w:tc>
          <w:tcPr>
            <w:tcW w:w="2461" w:type="dxa"/>
            <w:tcBorders>
              <w:top w:val="single" w:sz="4" w:space="0" w:color="auto"/>
              <w:left w:val="nil"/>
              <w:bottom w:val="single" w:sz="4" w:space="0" w:color="auto"/>
              <w:right w:val="single" w:sz="4" w:space="0" w:color="auto"/>
            </w:tcBorders>
            <w:shd w:val="clear" w:color="auto" w:fill="C6EFCE"/>
            <w:noWrap/>
            <w:vAlign w:val="center"/>
          </w:tcPr>
          <w:p w14:paraId="0A03CF35" w14:textId="5B334371" w:rsidR="00154E32" w:rsidRDefault="00A43E04">
            <w:pPr>
              <w:pStyle w:val="P68B1DB1-Normal12"/>
              <w:spacing w:after="120"/>
              <w:rPr>
                <w:rFonts w:ascii="Arial Narrow" w:hAnsi="Arial Narrow"/>
                <w:noProof/>
              </w:rPr>
            </w:pPr>
            <w:r>
              <w:rPr>
                <w:rFonts w:ascii="Arial Narrow" w:hAnsi="Arial Narrow"/>
                <w:noProof/>
              </w:rPr>
              <w:t>Obvestilo o oddaji vseh javnih naročil za nove šolske stavbe, upravičene do financiranja, ki so jih lokalni organi formalizirali in katerih skupna površina znaša najmanj</w:t>
            </w:r>
            <w:r>
              <w:rPr>
                <w:noProof/>
              </w:rPr>
              <w:t xml:space="preserve"> </w:t>
            </w:r>
            <w:r>
              <w:rPr>
                <w:rFonts w:ascii="Arial Narrow" w:hAnsi="Arial Narrow"/>
                <w:noProof/>
              </w:rPr>
              <w:t>400000 kvadratnih metrov</w:t>
            </w:r>
          </w:p>
        </w:tc>
      </w:tr>
      <w:tr w:rsidR="00154E32" w14:paraId="092606FA" w14:textId="77777777">
        <w:trPr>
          <w:trHeight w:val="313"/>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697743" w14:textId="77777777" w:rsidR="00154E32" w:rsidRDefault="00A43E04">
            <w:pPr>
              <w:pStyle w:val="P68B1DB1-Normal11"/>
              <w:spacing w:line="276" w:lineRule="auto"/>
              <w:jc w:val="center"/>
              <w:rPr>
                <w:noProof/>
              </w:rPr>
            </w:pPr>
            <w:r>
              <w:rPr>
                <w:noProof/>
              </w:rPr>
              <w:t>M2C3–6</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2C1119A3" w14:textId="77777777" w:rsidR="00154E32" w:rsidRDefault="00A43E04">
            <w:pPr>
              <w:pStyle w:val="P68B1DB1-Normal11"/>
              <w:spacing w:line="276" w:lineRule="auto"/>
              <w:jc w:val="center"/>
              <w:rPr>
                <w:noProof/>
              </w:rPr>
            </w:pPr>
            <w:r>
              <w:rPr>
                <w:noProof/>
              </w:rPr>
              <w:t>Naložba 1.1: Gradnja novih šol z zamenjavo stavb</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71142F4" w14:textId="77777777" w:rsidR="00154E32" w:rsidRDefault="00A43E04">
            <w:pPr>
              <w:pStyle w:val="P68B1DB1-Normal11"/>
              <w:spacing w:line="276" w:lineRule="auto"/>
              <w:jc w:val="center"/>
              <w:rPr>
                <w:noProof/>
              </w:rPr>
            </w:pPr>
            <w:r>
              <w:rPr>
                <w:noProof/>
              </w:rPr>
              <w:t>Tarča</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5C426215" w14:textId="10421F2F" w:rsidR="00154E32" w:rsidRDefault="00A43E04">
            <w:pPr>
              <w:pStyle w:val="P68B1DB1-Normal12"/>
              <w:spacing w:line="276" w:lineRule="auto"/>
              <w:jc w:val="center"/>
              <w:rPr>
                <w:rFonts w:ascii="Arial Narrow" w:hAnsi="Arial Narrow"/>
                <w:noProof/>
              </w:rPr>
            </w:pPr>
            <w:r>
              <w:rPr>
                <w:rFonts w:ascii="Arial Narrow" w:hAnsi="Arial Narrow"/>
                <w:noProof/>
              </w:rPr>
              <w:t>Z zamenjavo stavb se zgradi vsaj 400 000 m² novihšol.</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79B9987E" w14:textId="77777777" w:rsidR="00154E32" w:rsidRDefault="00A43E04">
            <w:pPr>
              <w:pStyle w:val="P68B1DB1-Normal11"/>
              <w:spacing w:line="276" w:lineRule="auto"/>
              <w:jc w:val="center"/>
              <w:rPr>
                <w:noProof/>
              </w:rPr>
            </w:pPr>
            <w:r>
              <w:rPr>
                <w:noProof/>
              </w:rPr>
              <w:t>JIH NI</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601C03F2" w14:textId="77777777" w:rsidR="00154E32" w:rsidRDefault="00A43E04">
            <w:pPr>
              <w:pStyle w:val="P68B1DB1-Normal11"/>
              <w:spacing w:line="276" w:lineRule="auto"/>
              <w:jc w:val="center"/>
              <w:rPr>
                <w:noProof/>
              </w:rPr>
            </w:pPr>
            <w:r>
              <w:rPr>
                <w:noProof/>
              </w:rPr>
              <w:t>Število</w:t>
            </w:r>
          </w:p>
        </w:tc>
        <w:tc>
          <w:tcPr>
            <w:tcW w:w="918" w:type="dxa"/>
            <w:tcBorders>
              <w:top w:val="single" w:sz="4" w:space="0" w:color="auto"/>
              <w:left w:val="nil"/>
              <w:bottom w:val="single" w:sz="4" w:space="0" w:color="auto"/>
              <w:right w:val="single" w:sz="4" w:space="0" w:color="auto"/>
            </w:tcBorders>
            <w:shd w:val="clear" w:color="auto" w:fill="C6EFCE"/>
            <w:noWrap/>
            <w:vAlign w:val="center"/>
          </w:tcPr>
          <w:p w14:paraId="2DD04397" w14:textId="77777777" w:rsidR="00154E32" w:rsidRDefault="00A43E04">
            <w:pPr>
              <w:pStyle w:val="P68B1DB1-Normal11"/>
              <w:spacing w:line="276" w:lineRule="auto"/>
              <w:jc w:val="center"/>
              <w:rPr>
                <w:noProof/>
              </w:rPr>
            </w:pPr>
            <w:r>
              <w:rPr>
                <w:noProof/>
              </w:rPr>
              <w:t>0</w:t>
            </w:r>
          </w:p>
        </w:tc>
        <w:tc>
          <w:tcPr>
            <w:tcW w:w="1022" w:type="dxa"/>
            <w:tcBorders>
              <w:top w:val="single" w:sz="4" w:space="0" w:color="auto"/>
              <w:left w:val="nil"/>
              <w:bottom w:val="single" w:sz="4" w:space="0" w:color="auto"/>
              <w:right w:val="single" w:sz="4" w:space="0" w:color="auto"/>
            </w:tcBorders>
            <w:shd w:val="clear" w:color="auto" w:fill="C6EFCE"/>
            <w:noWrap/>
            <w:vAlign w:val="center"/>
          </w:tcPr>
          <w:p w14:paraId="29BDC82E" w14:textId="51F9D8E7" w:rsidR="00154E32" w:rsidRDefault="00A43E04">
            <w:pPr>
              <w:pStyle w:val="P68B1DB1-Normal12"/>
              <w:spacing w:line="276" w:lineRule="auto"/>
              <w:jc w:val="center"/>
              <w:rPr>
                <w:rFonts w:ascii="Arial Narrow" w:hAnsi="Arial Narrow"/>
                <w:noProof/>
              </w:rPr>
            </w:pPr>
            <w:r>
              <w:rPr>
                <w:rFonts w:ascii="Arial Narrow" w:hAnsi="Arial Narrow"/>
                <w:noProof/>
              </w:rPr>
              <w:t>400</w:t>
            </w:r>
            <w:r>
              <w:rPr>
                <w:noProof/>
              </w:rPr>
              <w:t xml:space="preserve"> </w:t>
            </w:r>
            <w:r>
              <w:rPr>
                <w:rFonts w:ascii="Arial Narrow" w:hAnsi="Arial Narrow"/>
                <w:noProof/>
              </w:rPr>
              <w:t>000</w:t>
            </w:r>
          </w:p>
        </w:tc>
        <w:tc>
          <w:tcPr>
            <w:tcW w:w="809" w:type="dxa"/>
            <w:tcBorders>
              <w:top w:val="single" w:sz="4" w:space="0" w:color="auto"/>
              <w:left w:val="nil"/>
              <w:bottom w:val="single" w:sz="4" w:space="0" w:color="auto"/>
              <w:right w:val="single" w:sz="4" w:space="0" w:color="auto"/>
            </w:tcBorders>
            <w:shd w:val="clear" w:color="auto" w:fill="C6EFCE"/>
            <w:noWrap/>
            <w:vAlign w:val="center"/>
          </w:tcPr>
          <w:p w14:paraId="70B55BC2" w14:textId="77777777" w:rsidR="00154E32" w:rsidRDefault="00A43E04">
            <w:pPr>
              <w:pStyle w:val="P68B1DB1-Normal11"/>
              <w:spacing w:line="276" w:lineRule="auto"/>
              <w:jc w:val="center"/>
              <w:rPr>
                <w:noProof/>
              </w:rPr>
            </w:pPr>
            <w:r>
              <w:rPr>
                <w:noProof/>
              </w:rPr>
              <w:t>ČETRTLETJE 1</w:t>
            </w:r>
          </w:p>
        </w:tc>
        <w:tc>
          <w:tcPr>
            <w:tcW w:w="653" w:type="dxa"/>
            <w:tcBorders>
              <w:top w:val="single" w:sz="4" w:space="0" w:color="auto"/>
              <w:left w:val="nil"/>
              <w:bottom w:val="single" w:sz="4" w:space="0" w:color="auto"/>
              <w:right w:val="single" w:sz="4" w:space="0" w:color="auto"/>
            </w:tcBorders>
            <w:shd w:val="clear" w:color="auto" w:fill="C6EFCE"/>
            <w:noWrap/>
            <w:vAlign w:val="center"/>
          </w:tcPr>
          <w:p w14:paraId="788E1384" w14:textId="77777777" w:rsidR="00154E32" w:rsidRDefault="00A43E04">
            <w:pPr>
              <w:pStyle w:val="P68B1DB1-Normal11"/>
              <w:spacing w:line="276" w:lineRule="auto"/>
              <w:jc w:val="center"/>
              <w:rPr>
                <w:noProof/>
              </w:rPr>
            </w:pPr>
            <w:r>
              <w:rPr>
                <w:noProof/>
              </w:rPr>
              <w:t>2026</w:t>
            </w:r>
          </w:p>
        </w:tc>
        <w:tc>
          <w:tcPr>
            <w:tcW w:w="2461" w:type="dxa"/>
            <w:tcBorders>
              <w:top w:val="single" w:sz="4" w:space="0" w:color="auto"/>
              <w:left w:val="nil"/>
              <w:bottom w:val="single" w:sz="4" w:space="0" w:color="auto"/>
              <w:right w:val="single" w:sz="4" w:space="0" w:color="auto"/>
            </w:tcBorders>
            <w:shd w:val="clear" w:color="auto" w:fill="C6EFCE"/>
            <w:noWrap/>
            <w:vAlign w:val="center"/>
          </w:tcPr>
          <w:p w14:paraId="7D8F9A79" w14:textId="03A2F566" w:rsidR="00154E32" w:rsidRDefault="00A43E04">
            <w:pPr>
              <w:pStyle w:val="P68B1DB1-Normal12"/>
              <w:spacing w:after="120"/>
              <w:rPr>
                <w:rFonts w:ascii="Arial Narrow" w:hAnsi="Arial Narrow"/>
                <w:noProof/>
              </w:rPr>
            </w:pPr>
            <w:r>
              <w:rPr>
                <w:rFonts w:ascii="Arial Narrow" w:hAnsi="Arial Narrow"/>
                <w:noProof/>
              </w:rPr>
              <w:t>Dokončanje gradnje vsaj 400000 kvadratnih</w:t>
            </w:r>
            <w:r>
              <w:rPr>
                <w:noProof/>
              </w:rPr>
              <w:t xml:space="preserve"> </w:t>
            </w:r>
            <w:r>
              <w:rPr>
                <w:rFonts w:ascii="Arial Narrow" w:hAnsi="Arial Narrow"/>
                <w:noProof/>
              </w:rPr>
              <w:t>metrov novih šol z zamenjavo stavb, kar pomeni, da je poraba primarne energije vsaj 20 % nižja od zahteve za stavbe s skoraj ničelno porabo energije</w:t>
            </w:r>
          </w:p>
        </w:tc>
      </w:tr>
      <w:tr w:rsidR="00154E32" w14:paraId="3B064126" w14:textId="77777777">
        <w:trPr>
          <w:trHeight w:val="313"/>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E65168" w14:textId="77777777" w:rsidR="00154E32" w:rsidRDefault="00A43E04">
            <w:pPr>
              <w:pStyle w:val="P68B1DB1-Normal11"/>
              <w:spacing w:line="276" w:lineRule="auto"/>
              <w:jc w:val="center"/>
              <w:rPr>
                <w:noProof/>
              </w:rPr>
            </w:pPr>
            <w:r>
              <w:rPr>
                <w:noProof/>
              </w:rPr>
              <w:t>M2C3–7</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28CDB92E" w14:textId="77777777" w:rsidR="00154E32" w:rsidRDefault="00A43E04">
            <w:pPr>
              <w:pStyle w:val="P68B1DB1-Normal11"/>
              <w:spacing w:line="276" w:lineRule="auto"/>
              <w:jc w:val="center"/>
              <w:rPr>
                <w:noProof/>
              </w:rPr>
            </w:pPr>
            <w:r>
              <w:rPr>
                <w:noProof/>
              </w:rPr>
              <w:t>Naložba 1.2 – Gradnja stavb, prekvalifikacija in krepitev nepremičninskih sredstev pravosodja</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7745EE9A" w14:textId="77777777" w:rsidR="00154E32" w:rsidRDefault="00A43E04">
            <w:pPr>
              <w:pStyle w:val="P68B1DB1-Normal11"/>
              <w:spacing w:line="276" w:lineRule="auto"/>
              <w:jc w:val="center"/>
              <w:rPr>
                <w:noProof/>
              </w:rPr>
            </w:pPr>
            <w:r>
              <w:rPr>
                <w:noProof/>
              </w:rPr>
              <w:t>Mejnik</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50DF826E" w14:textId="53B31747" w:rsidR="00154E32" w:rsidRDefault="00A43E04">
            <w:pPr>
              <w:pStyle w:val="P68B1DB1-Normal11"/>
              <w:spacing w:line="276" w:lineRule="auto"/>
              <w:jc w:val="center"/>
              <w:rPr>
                <w:noProof/>
              </w:rPr>
            </w:pPr>
            <w:r>
              <w:rPr>
                <w:noProof/>
              </w:rPr>
              <w:t>Oddajo vseh javnih naročil za gradnjo novih stavb, prekvalifikacijo in okrepitev nepremičninskega premoženja pravosodja podpiše naročnik na podlagi postopka javnega razpisa.</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299B92CC" w14:textId="77777777" w:rsidR="00154E32" w:rsidRDefault="00A43E04">
            <w:pPr>
              <w:pStyle w:val="P68B1DB1-Normal11"/>
              <w:spacing w:line="276" w:lineRule="auto"/>
              <w:jc w:val="center"/>
              <w:rPr>
                <w:noProof/>
              </w:rPr>
            </w:pPr>
            <w:r>
              <w:rPr>
                <w:noProof/>
              </w:rPr>
              <w:t>Obvestilo o oddaji vseh javnih naročil po postopku javnega razpisa</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505B77F9" w14:textId="77777777" w:rsidR="00154E32" w:rsidRDefault="00A43E04">
            <w:pPr>
              <w:pStyle w:val="P68B1DB1-Normal11"/>
              <w:spacing w:line="276" w:lineRule="auto"/>
              <w:jc w:val="center"/>
              <w:rPr>
                <w:noProof/>
              </w:rPr>
            </w:pPr>
            <w:r>
              <w:rPr>
                <w:noProof/>
              </w:rPr>
              <w:t>JIH NI</w:t>
            </w:r>
          </w:p>
        </w:tc>
        <w:tc>
          <w:tcPr>
            <w:tcW w:w="918" w:type="dxa"/>
            <w:tcBorders>
              <w:top w:val="single" w:sz="4" w:space="0" w:color="auto"/>
              <w:left w:val="nil"/>
              <w:bottom w:val="single" w:sz="4" w:space="0" w:color="auto"/>
              <w:right w:val="single" w:sz="4" w:space="0" w:color="auto"/>
            </w:tcBorders>
            <w:shd w:val="clear" w:color="auto" w:fill="C6EFCE"/>
            <w:noWrap/>
            <w:vAlign w:val="center"/>
          </w:tcPr>
          <w:p w14:paraId="60165975" w14:textId="77777777" w:rsidR="00154E32" w:rsidRDefault="00A43E04">
            <w:pPr>
              <w:pStyle w:val="P68B1DB1-Normal11"/>
              <w:spacing w:line="276" w:lineRule="auto"/>
              <w:jc w:val="center"/>
              <w:rPr>
                <w:noProof/>
              </w:rPr>
            </w:pPr>
            <w:r>
              <w:rPr>
                <w:noProof/>
              </w:rPr>
              <w:t>JIH NI</w:t>
            </w:r>
          </w:p>
        </w:tc>
        <w:tc>
          <w:tcPr>
            <w:tcW w:w="1022" w:type="dxa"/>
            <w:tcBorders>
              <w:top w:val="single" w:sz="4" w:space="0" w:color="auto"/>
              <w:left w:val="nil"/>
              <w:bottom w:val="single" w:sz="4" w:space="0" w:color="auto"/>
              <w:right w:val="single" w:sz="4" w:space="0" w:color="auto"/>
            </w:tcBorders>
            <w:shd w:val="clear" w:color="auto" w:fill="C6EFCE"/>
            <w:noWrap/>
            <w:vAlign w:val="center"/>
          </w:tcPr>
          <w:p w14:paraId="5472BAB7" w14:textId="77777777" w:rsidR="00154E32" w:rsidRDefault="00A43E04">
            <w:pPr>
              <w:pStyle w:val="P68B1DB1-Normal11"/>
              <w:spacing w:line="276" w:lineRule="auto"/>
              <w:jc w:val="center"/>
              <w:rPr>
                <w:noProof/>
              </w:rPr>
            </w:pPr>
            <w:r>
              <w:rPr>
                <w:noProof/>
              </w:rPr>
              <w:t>JIH NI</w:t>
            </w:r>
          </w:p>
        </w:tc>
        <w:tc>
          <w:tcPr>
            <w:tcW w:w="809" w:type="dxa"/>
            <w:tcBorders>
              <w:top w:val="single" w:sz="4" w:space="0" w:color="auto"/>
              <w:left w:val="nil"/>
              <w:bottom w:val="single" w:sz="4" w:space="0" w:color="auto"/>
              <w:right w:val="single" w:sz="4" w:space="0" w:color="auto"/>
            </w:tcBorders>
            <w:shd w:val="clear" w:color="auto" w:fill="C6EFCE"/>
            <w:noWrap/>
            <w:vAlign w:val="center"/>
          </w:tcPr>
          <w:p w14:paraId="5071D6D2" w14:textId="77777777" w:rsidR="00154E32" w:rsidRDefault="00A43E04">
            <w:pPr>
              <w:pStyle w:val="P68B1DB1-Normal11"/>
              <w:spacing w:line="276" w:lineRule="auto"/>
              <w:jc w:val="center"/>
              <w:rPr>
                <w:noProof/>
              </w:rPr>
            </w:pPr>
            <w:r>
              <w:rPr>
                <w:noProof/>
              </w:rPr>
              <w:t>Q4</w:t>
            </w:r>
          </w:p>
        </w:tc>
        <w:tc>
          <w:tcPr>
            <w:tcW w:w="653" w:type="dxa"/>
            <w:tcBorders>
              <w:top w:val="single" w:sz="4" w:space="0" w:color="auto"/>
              <w:left w:val="nil"/>
              <w:bottom w:val="single" w:sz="4" w:space="0" w:color="auto"/>
              <w:right w:val="single" w:sz="4" w:space="0" w:color="auto"/>
            </w:tcBorders>
            <w:shd w:val="clear" w:color="auto" w:fill="C6EFCE"/>
            <w:noWrap/>
            <w:vAlign w:val="center"/>
          </w:tcPr>
          <w:p w14:paraId="3A4B160C" w14:textId="77777777" w:rsidR="00154E32" w:rsidRDefault="00A43E04">
            <w:pPr>
              <w:pStyle w:val="P68B1DB1-Normal11"/>
              <w:spacing w:line="276" w:lineRule="auto"/>
              <w:jc w:val="center"/>
              <w:rPr>
                <w:noProof/>
              </w:rPr>
            </w:pPr>
            <w:r>
              <w:rPr>
                <w:noProof/>
              </w:rPr>
              <w:t>2023</w:t>
            </w:r>
          </w:p>
        </w:tc>
        <w:tc>
          <w:tcPr>
            <w:tcW w:w="2461" w:type="dxa"/>
            <w:tcBorders>
              <w:top w:val="single" w:sz="4" w:space="0" w:color="auto"/>
              <w:left w:val="nil"/>
              <w:bottom w:val="single" w:sz="4" w:space="0" w:color="auto"/>
              <w:right w:val="single" w:sz="4" w:space="0" w:color="auto"/>
            </w:tcBorders>
            <w:shd w:val="clear" w:color="auto" w:fill="C6EFCE"/>
            <w:noWrap/>
            <w:vAlign w:val="center"/>
          </w:tcPr>
          <w:p w14:paraId="6D99A971" w14:textId="77777777" w:rsidR="00154E32" w:rsidRDefault="00A43E04">
            <w:pPr>
              <w:pStyle w:val="P68B1DB1-Normal11"/>
              <w:spacing w:after="120"/>
              <w:rPr>
                <w:noProof/>
              </w:rPr>
            </w:pPr>
            <w:r>
              <w:rPr>
                <w:noProof/>
              </w:rPr>
              <w:t>Obvestilo o oddaji vseh javnih naročil za gradnjo stavb, prekvalifikacijo in krepitev nepremičninskega premoženja pravosodja.</w:t>
            </w:r>
          </w:p>
        </w:tc>
      </w:tr>
      <w:tr w:rsidR="00154E32" w14:paraId="0EA66156" w14:textId="77777777">
        <w:trPr>
          <w:trHeight w:val="313"/>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FE1443" w14:textId="77777777" w:rsidR="00154E32" w:rsidRDefault="00A43E04">
            <w:pPr>
              <w:pStyle w:val="P68B1DB1-Normal11"/>
              <w:spacing w:line="276" w:lineRule="auto"/>
              <w:jc w:val="center"/>
              <w:rPr>
                <w:noProof/>
              </w:rPr>
            </w:pPr>
            <w:r>
              <w:rPr>
                <w:noProof/>
              </w:rPr>
              <w:t>M2C3–8</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235C36CB" w14:textId="77777777" w:rsidR="00154E32" w:rsidRDefault="00A43E04">
            <w:pPr>
              <w:pStyle w:val="P68B1DB1-Normal11"/>
              <w:spacing w:line="276" w:lineRule="auto"/>
              <w:jc w:val="center"/>
              <w:rPr>
                <w:noProof/>
              </w:rPr>
            </w:pPr>
            <w:r>
              <w:rPr>
                <w:noProof/>
              </w:rPr>
              <w:t>Naložba 1.2 – Gradnja stavb, prekvalifikacija in krepitev nepremičninskih sredstev pravosodja</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23AEC551" w14:textId="77777777" w:rsidR="00154E32" w:rsidRDefault="00A43E04">
            <w:pPr>
              <w:pStyle w:val="P68B1DB1-Normal11"/>
              <w:spacing w:line="276" w:lineRule="auto"/>
              <w:jc w:val="center"/>
              <w:rPr>
                <w:noProof/>
              </w:rPr>
            </w:pPr>
            <w:r>
              <w:rPr>
                <w:noProof/>
              </w:rPr>
              <w:t>Tarča</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02D4776A" w14:textId="77777777" w:rsidR="00154E32" w:rsidRDefault="00A43E04">
            <w:pPr>
              <w:pStyle w:val="P68B1DB1-Normal11"/>
              <w:spacing w:line="276" w:lineRule="auto"/>
              <w:jc w:val="center"/>
              <w:rPr>
                <w:noProof/>
              </w:rPr>
            </w:pPr>
            <w:r>
              <w:rPr>
                <w:noProof/>
              </w:rPr>
              <w:t>Gradnja stavb, prekvalifikacija in krepitev nepremičninskih sredstev pravosodja</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2BF5DFD2" w14:textId="77777777" w:rsidR="00154E32" w:rsidRDefault="00A43E04">
            <w:pPr>
              <w:pStyle w:val="P68B1DB1-Normal11"/>
              <w:spacing w:line="276" w:lineRule="auto"/>
              <w:jc w:val="center"/>
              <w:rPr>
                <w:noProof/>
              </w:rPr>
            </w:pPr>
            <w:r>
              <w:rPr>
                <w:noProof/>
              </w:rPr>
              <w:t>JIH NI</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12984B9E" w14:textId="77777777" w:rsidR="00154E32" w:rsidRDefault="00A43E04">
            <w:pPr>
              <w:pStyle w:val="P68B1DB1-Normal11"/>
              <w:spacing w:line="276" w:lineRule="auto"/>
              <w:jc w:val="center"/>
              <w:rPr>
                <w:noProof/>
              </w:rPr>
            </w:pPr>
            <w:r>
              <w:rPr>
                <w:noProof/>
              </w:rPr>
              <w:t>Število</w:t>
            </w:r>
          </w:p>
        </w:tc>
        <w:tc>
          <w:tcPr>
            <w:tcW w:w="918" w:type="dxa"/>
            <w:tcBorders>
              <w:top w:val="single" w:sz="4" w:space="0" w:color="auto"/>
              <w:left w:val="nil"/>
              <w:bottom w:val="single" w:sz="4" w:space="0" w:color="auto"/>
              <w:right w:val="single" w:sz="4" w:space="0" w:color="auto"/>
            </w:tcBorders>
            <w:shd w:val="clear" w:color="auto" w:fill="C6EFCE"/>
            <w:noWrap/>
            <w:vAlign w:val="center"/>
          </w:tcPr>
          <w:p w14:paraId="7799AC16" w14:textId="77777777" w:rsidR="00154E32" w:rsidRDefault="00A43E04">
            <w:pPr>
              <w:pStyle w:val="P68B1DB1-Normal11"/>
              <w:spacing w:line="276" w:lineRule="auto"/>
              <w:jc w:val="center"/>
              <w:rPr>
                <w:noProof/>
              </w:rPr>
            </w:pPr>
            <w:r>
              <w:rPr>
                <w:noProof/>
              </w:rPr>
              <w:t>0</w:t>
            </w:r>
          </w:p>
        </w:tc>
        <w:tc>
          <w:tcPr>
            <w:tcW w:w="1022" w:type="dxa"/>
            <w:tcBorders>
              <w:top w:val="single" w:sz="4" w:space="0" w:color="auto"/>
              <w:left w:val="nil"/>
              <w:bottom w:val="single" w:sz="4" w:space="0" w:color="auto"/>
              <w:right w:val="single" w:sz="4" w:space="0" w:color="auto"/>
            </w:tcBorders>
            <w:shd w:val="clear" w:color="auto" w:fill="C6EFCE"/>
            <w:noWrap/>
            <w:vAlign w:val="center"/>
          </w:tcPr>
          <w:p w14:paraId="5D6BB0F7" w14:textId="0A7CD1E0" w:rsidR="00154E32" w:rsidRDefault="00A43E04">
            <w:pPr>
              <w:pStyle w:val="P68B1DB1-Normal12"/>
              <w:spacing w:line="276" w:lineRule="auto"/>
              <w:jc w:val="center"/>
              <w:rPr>
                <w:rFonts w:ascii="Arial Narrow" w:hAnsi="Arial Narrow"/>
                <w:noProof/>
              </w:rPr>
            </w:pPr>
            <w:r>
              <w:rPr>
                <w:rFonts w:ascii="Arial Narrow" w:hAnsi="Arial Narrow"/>
                <w:noProof/>
              </w:rPr>
              <w:t>289</w:t>
            </w:r>
            <w:r>
              <w:rPr>
                <w:noProof/>
              </w:rPr>
              <w:t xml:space="preserve"> </w:t>
            </w:r>
            <w:r>
              <w:rPr>
                <w:rFonts w:ascii="Arial Narrow" w:hAnsi="Arial Narrow"/>
                <w:noProof/>
              </w:rPr>
              <w:t>000</w:t>
            </w:r>
          </w:p>
        </w:tc>
        <w:tc>
          <w:tcPr>
            <w:tcW w:w="809" w:type="dxa"/>
            <w:tcBorders>
              <w:top w:val="single" w:sz="4" w:space="0" w:color="auto"/>
              <w:left w:val="nil"/>
              <w:bottom w:val="single" w:sz="4" w:space="0" w:color="auto"/>
              <w:right w:val="single" w:sz="4" w:space="0" w:color="auto"/>
            </w:tcBorders>
            <w:shd w:val="clear" w:color="auto" w:fill="C6EFCE"/>
            <w:noWrap/>
            <w:vAlign w:val="center"/>
          </w:tcPr>
          <w:p w14:paraId="0770E001" w14:textId="77777777" w:rsidR="00154E32" w:rsidRDefault="00A43E04">
            <w:pPr>
              <w:pStyle w:val="P68B1DB1-Normal11"/>
              <w:spacing w:line="276" w:lineRule="auto"/>
              <w:jc w:val="center"/>
              <w:rPr>
                <w:noProof/>
              </w:rPr>
            </w:pPr>
            <w:r>
              <w:rPr>
                <w:noProof/>
              </w:rPr>
              <w:t>ČETRTLETJE 1</w:t>
            </w:r>
          </w:p>
        </w:tc>
        <w:tc>
          <w:tcPr>
            <w:tcW w:w="653" w:type="dxa"/>
            <w:tcBorders>
              <w:top w:val="single" w:sz="4" w:space="0" w:color="auto"/>
              <w:left w:val="nil"/>
              <w:bottom w:val="single" w:sz="4" w:space="0" w:color="auto"/>
              <w:right w:val="single" w:sz="4" w:space="0" w:color="auto"/>
            </w:tcBorders>
            <w:shd w:val="clear" w:color="auto" w:fill="C6EFCE"/>
            <w:noWrap/>
            <w:vAlign w:val="center"/>
          </w:tcPr>
          <w:p w14:paraId="104E4BE6" w14:textId="77777777" w:rsidR="00154E32" w:rsidRDefault="00A43E04">
            <w:pPr>
              <w:pStyle w:val="P68B1DB1-Normal11"/>
              <w:spacing w:line="276" w:lineRule="auto"/>
              <w:jc w:val="center"/>
              <w:rPr>
                <w:noProof/>
              </w:rPr>
            </w:pPr>
            <w:r>
              <w:rPr>
                <w:noProof/>
              </w:rPr>
              <w:t>2026</w:t>
            </w:r>
          </w:p>
        </w:tc>
        <w:tc>
          <w:tcPr>
            <w:tcW w:w="2461" w:type="dxa"/>
            <w:tcBorders>
              <w:top w:val="single" w:sz="4" w:space="0" w:color="auto"/>
              <w:left w:val="nil"/>
              <w:bottom w:val="single" w:sz="4" w:space="0" w:color="auto"/>
              <w:right w:val="single" w:sz="4" w:space="0" w:color="auto"/>
            </w:tcBorders>
            <w:shd w:val="clear" w:color="auto" w:fill="C6EFCE"/>
            <w:noWrap/>
            <w:vAlign w:val="center"/>
          </w:tcPr>
          <w:p w14:paraId="26C27F9D" w14:textId="2D6C46D2" w:rsidR="00154E32" w:rsidRDefault="00A43E04">
            <w:pPr>
              <w:pStyle w:val="P68B1DB1-Normal12"/>
              <w:spacing w:after="120"/>
              <w:rPr>
                <w:rFonts w:ascii="Arial Narrow" w:hAnsi="Arial Narrow"/>
                <w:noProof/>
              </w:rPr>
            </w:pPr>
            <w:r>
              <w:rPr>
                <w:rFonts w:ascii="Arial Narrow" w:hAnsi="Arial Narrow"/>
                <w:noProof/>
              </w:rPr>
              <w:t>Gradnja stavb, prekvalifikacija in krepitev nepremičninskih sredstev v sodstvu za najmanj 289000</w:t>
            </w:r>
            <w:r>
              <w:rPr>
                <w:noProof/>
              </w:rPr>
              <w:t xml:space="preserve"> </w:t>
            </w:r>
            <w:r>
              <w:rPr>
                <w:rFonts w:ascii="Arial Narrow" w:hAnsi="Arial Narrow"/>
                <w:noProof/>
              </w:rPr>
              <w:t>kvadratnih metrov</w:t>
            </w:r>
          </w:p>
        </w:tc>
      </w:tr>
      <w:tr w:rsidR="00154E32" w14:paraId="74D59750" w14:textId="77777777">
        <w:trPr>
          <w:trHeight w:val="313"/>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F0D5AB" w14:textId="77777777" w:rsidR="00154E32" w:rsidRDefault="00A43E04">
            <w:pPr>
              <w:pStyle w:val="P68B1DB1-Normal11"/>
              <w:spacing w:line="276" w:lineRule="auto"/>
              <w:jc w:val="center"/>
              <w:rPr>
                <w:noProof/>
              </w:rPr>
            </w:pPr>
            <w:r>
              <w:rPr>
                <w:noProof/>
              </w:rPr>
              <w:t>M2C3–9</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7541C826" w14:textId="77777777" w:rsidR="00154E32" w:rsidRDefault="00A43E04">
            <w:pPr>
              <w:pStyle w:val="P68B1DB1-Normal11"/>
              <w:spacing w:line="276" w:lineRule="auto"/>
              <w:jc w:val="center"/>
              <w:rPr>
                <w:noProof/>
              </w:rPr>
            </w:pPr>
            <w:r>
              <w:rPr>
                <w:noProof/>
              </w:rPr>
              <w:t>Naložba 3.1: Spodbujanje učinkovitega daljinskega ogrevanja</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77A8617F" w14:textId="77777777" w:rsidR="00154E32" w:rsidRDefault="00A43E04">
            <w:pPr>
              <w:pStyle w:val="P68B1DB1-Normal11"/>
              <w:spacing w:line="276" w:lineRule="auto"/>
              <w:jc w:val="center"/>
              <w:rPr>
                <w:noProof/>
              </w:rPr>
            </w:pPr>
            <w:r>
              <w:rPr>
                <w:noProof/>
              </w:rPr>
              <w:t>Mejnik</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32872BAE" w14:textId="36CEF506" w:rsidR="00154E32" w:rsidRDefault="00A43E04">
            <w:pPr>
              <w:pStyle w:val="P68B1DB1-Normal11"/>
              <w:spacing w:line="276" w:lineRule="auto"/>
              <w:jc w:val="center"/>
              <w:rPr>
                <w:noProof/>
              </w:rPr>
            </w:pPr>
            <w:r>
              <w:rPr>
                <w:noProof/>
              </w:rPr>
              <w:t>Naročila za izboljšanje ogrevalnih omrežij odda ministrstvo za ekološki prehod na podlagi javnega razpisa.</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06A37354" w14:textId="77777777" w:rsidR="00154E32" w:rsidRDefault="00A43E04">
            <w:pPr>
              <w:pStyle w:val="P68B1DB1-Normal11"/>
              <w:spacing w:line="276" w:lineRule="auto"/>
              <w:jc w:val="center"/>
              <w:rPr>
                <w:noProof/>
              </w:rPr>
            </w:pPr>
            <w:r>
              <w:rPr>
                <w:noProof/>
              </w:rPr>
              <w:t>Obvestilo o oddaji vseh javnih naročil po postopku javnega razpisa</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478C0B12" w14:textId="77777777" w:rsidR="00154E32" w:rsidRDefault="00A43E04">
            <w:pPr>
              <w:pStyle w:val="P68B1DB1-Normal11"/>
              <w:spacing w:line="276" w:lineRule="auto"/>
              <w:jc w:val="center"/>
              <w:rPr>
                <w:noProof/>
              </w:rPr>
            </w:pPr>
            <w:r>
              <w:rPr>
                <w:noProof/>
              </w:rPr>
              <w:t>JIH NI</w:t>
            </w:r>
          </w:p>
        </w:tc>
        <w:tc>
          <w:tcPr>
            <w:tcW w:w="918" w:type="dxa"/>
            <w:tcBorders>
              <w:top w:val="single" w:sz="4" w:space="0" w:color="auto"/>
              <w:left w:val="nil"/>
              <w:bottom w:val="single" w:sz="4" w:space="0" w:color="auto"/>
              <w:right w:val="single" w:sz="4" w:space="0" w:color="auto"/>
            </w:tcBorders>
            <w:shd w:val="clear" w:color="auto" w:fill="C6EFCE"/>
            <w:noWrap/>
            <w:vAlign w:val="center"/>
          </w:tcPr>
          <w:p w14:paraId="62919C29" w14:textId="77777777" w:rsidR="00154E32" w:rsidRDefault="00A43E04">
            <w:pPr>
              <w:pStyle w:val="P68B1DB1-Normal11"/>
              <w:spacing w:line="276" w:lineRule="auto"/>
              <w:jc w:val="center"/>
              <w:rPr>
                <w:noProof/>
              </w:rPr>
            </w:pPr>
            <w:r>
              <w:rPr>
                <w:noProof/>
              </w:rPr>
              <w:t>JIH NI</w:t>
            </w:r>
          </w:p>
        </w:tc>
        <w:tc>
          <w:tcPr>
            <w:tcW w:w="1022" w:type="dxa"/>
            <w:tcBorders>
              <w:top w:val="single" w:sz="4" w:space="0" w:color="auto"/>
              <w:left w:val="nil"/>
              <w:bottom w:val="single" w:sz="4" w:space="0" w:color="auto"/>
              <w:right w:val="single" w:sz="4" w:space="0" w:color="auto"/>
            </w:tcBorders>
            <w:shd w:val="clear" w:color="auto" w:fill="C6EFCE"/>
            <w:noWrap/>
            <w:vAlign w:val="center"/>
          </w:tcPr>
          <w:p w14:paraId="0720BCF2" w14:textId="77777777" w:rsidR="00154E32" w:rsidRDefault="00A43E04">
            <w:pPr>
              <w:pStyle w:val="P68B1DB1-Normal11"/>
              <w:spacing w:line="276" w:lineRule="auto"/>
              <w:jc w:val="center"/>
              <w:rPr>
                <w:noProof/>
              </w:rPr>
            </w:pPr>
            <w:r>
              <w:rPr>
                <w:noProof/>
              </w:rPr>
              <w:t>JIH NI</w:t>
            </w:r>
          </w:p>
        </w:tc>
        <w:tc>
          <w:tcPr>
            <w:tcW w:w="809" w:type="dxa"/>
            <w:tcBorders>
              <w:top w:val="single" w:sz="4" w:space="0" w:color="auto"/>
              <w:left w:val="nil"/>
              <w:bottom w:val="single" w:sz="4" w:space="0" w:color="auto"/>
              <w:right w:val="single" w:sz="4" w:space="0" w:color="auto"/>
            </w:tcBorders>
            <w:shd w:val="clear" w:color="auto" w:fill="C6EFCE"/>
            <w:noWrap/>
            <w:vAlign w:val="center"/>
          </w:tcPr>
          <w:p w14:paraId="0DFD408C" w14:textId="77777777" w:rsidR="00154E32" w:rsidRDefault="00A43E04">
            <w:pPr>
              <w:pStyle w:val="P68B1DB1-Normal11"/>
              <w:spacing w:line="276" w:lineRule="auto"/>
              <w:jc w:val="center"/>
              <w:rPr>
                <w:noProof/>
              </w:rPr>
            </w:pPr>
            <w:r>
              <w:rPr>
                <w:noProof/>
              </w:rPr>
              <w:t>Q4</w:t>
            </w:r>
          </w:p>
        </w:tc>
        <w:tc>
          <w:tcPr>
            <w:tcW w:w="653" w:type="dxa"/>
            <w:tcBorders>
              <w:top w:val="single" w:sz="4" w:space="0" w:color="auto"/>
              <w:left w:val="nil"/>
              <w:bottom w:val="single" w:sz="4" w:space="0" w:color="auto"/>
              <w:right w:val="single" w:sz="4" w:space="0" w:color="auto"/>
            </w:tcBorders>
            <w:shd w:val="clear" w:color="auto" w:fill="C6EFCE"/>
            <w:noWrap/>
            <w:vAlign w:val="center"/>
          </w:tcPr>
          <w:p w14:paraId="47A1E9EA" w14:textId="77777777" w:rsidR="00154E32" w:rsidRDefault="00A43E04">
            <w:pPr>
              <w:pStyle w:val="P68B1DB1-Normal11"/>
              <w:spacing w:line="276" w:lineRule="auto"/>
              <w:jc w:val="center"/>
              <w:rPr>
                <w:noProof/>
              </w:rPr>
            </w:pPr>
            <w:r>
              <w:rPr>
                <w:noProof/>
              </w:rPr>
              <w:t>2022</w:t>
            </w:r>
          </w:p>
        </w:tc>
        <w:tc>
          <w:tcPr>
            <w:tcW w:w="2461" w:type="dxa"/>
            <w:tcBorders>
              <w:top w:val="single" w:sz="4" w:space="0" w:color="auto"/>
              <w:left w:val="nil"/>
              <w:bottom w:val="single" w:sz="4" w:space="0" w:color="auto"/>
              <w:right w:val="single" w:sz="4" w:space="0" w:color="auto"/>
            </w:tcBorders>
            <w:shd w:val="clear" w:color="auto" w:fill="C6EFCE"/>
            <w:noWrap/>
            <w:vAlign w:val="center"/>
          </w:tcPr>
          <w:p w14:paraId="2997928C" w14:textId="77777777" w:rsidR="00154E32" w:rsidRDefault="00A43E04">
            <w:pPr>
              <w:pStyle w:val="P68B1DB1-Normal11"/>
              <w:spacing w:after="120"/>
              <w:rPr>
                <w:noProof/>
              </w:rPr>
            </w:pPr>
            <w:r>
              <w:rPr>
                <w:noProof/>
              </w:rPr>
              <w:t>Oddaja vseh javnih naročil za izgradnjo novih omrežij za daljinsko ogrevanje ali razširitev obstoječih omrežij za daljinsko ogrevanje, ki bi morala vključevati zahtevo po zmanjšanju porabe energije.</w:t>
            </w:r>
          </w:p>
          <w:p w14:paraId="36DDC4D9" w14:textId="77777777" w:rsidR="00154E32" w:rsidRDefault="00A43E04">
            <w:pPr>
              <w:pStyle w:val="P68B1DB1-Normal11"/>
              <w:spacing w:after="120"/>
              <w:rPr>
                <w:noProof/>
              </w:rPr>
            </w:pPr>
            <w:r>
              <w:rPr>
                <w:noProof/>
              </w:rPr>
              <w:t>Dodelitev naročil projektom, izbranim v okviru konkurenčnih razpisov za zbiranje predlogov v skladu s tehničnimi smernicami, da se ne škoduje bistveno (2021/C58/01), z uporabo seznama za izključitev in zahtevo po skladnosti z ustrezno okoljsko zakonodajo EU in nacionalno okoljsko zakonodajo.</w:t>
            </w:r>
          </w:p>
        </w:tc>
      </w:tr>
      <w:tr w:rsidR="00154E32" w14:paraId="6653A12C" w14:textId="77777777">
        <w:trPr>
          <w:trHeight w:val="313"/>
        </w:trPr>
        <w:tc>
          <w:tcPr>
            <w:tcW w:w="127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11ADA23" w14:textId="77777777" w:rsidR="00154E32" w:rsidRDefault="00A43E04">
            <w:pPr>
              <w:pStyle w:val="P68B1DB1-Normal11"/>
              <w:spacing w:line="276" w:lineRule="auto"/>
              <w:jc w:val="center"/>
              <w:rPr>
                <w:noProof/>
              </w:rPr>
            </w:pPr>
            <w:r>
              <w:rPr>
                <w:noProof/>
              </w:rPr>
              <w:t>M2C3–10</w:t>
            </w:r>
          </w:p>
        </w:tc>
        <w:tc>
          <w:tcPr>
            <w:tcW w:w="1559" w:type="dxa"/>
            <w:tcBorders>
              <w:top w:val="single" w:sz="4" w:space="0" w:color="auto"/>
              <w:left w:val="nil"/>
              <w:bottom w:val="single" w:sz="4" w:space="0" w:color="auto"/>
              <w:right w:val="single" w:sz="4" w:space="0" w:color="auto"/>
            </w:tcBorders>
            <w:shd w:val="clear" w:color="auto" w:fill="C6EFCE"/>
            <w:noWrap/>
            <w:vAlign w:val="center"/>
          </w:tcPr>
          <w:p w14:paraId="3E2F5724" w14:textId="77777777" w:rsidR="00154E32" w:rsidRDefault="00A43E04">
            <w:pPr>
              <w:pStyle w:val="P68B1DB1-Normal11"/>
              <w:spacing w:line="276" w:lineRule="auto"/>
              <w:jc w:val="center"/>
              <w:rPr>
                <w:noProof/>
              </w:rPr>
            </w:pPr>
            <w:r>
              <w:rPr>
                <w:noProof/>
              </w:rPr>
              <w:t>Naložba 3.1: Spodbujanje učinkovitega daljinskega ogrevanja</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392EE588" w14:textId="77777777" w:rsidR="00154E32" w:rsidRDefault="00A43E04">
            <w:pPr>
              <w:pStyle w:val="P68B1DB1-Normal11"/>
              <w:spacing w:line="276" w:lineRule="auto"/>
              <w:jc w:val="center"/>
              <w:rPr>
                <w:noProof/>
              </w:rPr>
            </w:pPr>
            <w:r>
              <w:rPr>
                <w:noProof/>
              </w:rPr>
              <w:t>Tarča</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572869FF" w14:textId="77777777" w:rsidR="00154E32" w:rsidRDefault="00A43E04">
            <w:pPr>
              <w:pStyle w:val="P68B1DB1-Normal11"/>
              <w:spacing w:line="276" w:lineRule="auto"/>
              <w:jc w:val="center"/>
              <w:rPr>
                <w:noProof/>
              </w:rPr>
            </w:pPr>
            <w:r>
              <w:rPr>
                <w:noProof/>
              </w:rPr>
              <w:t>Izgradnja ali razširitev omrežij za daljinsko ogrevanje</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44774270" w14:textId="77777777" w:rsidR="00154E32" w:rsidRDefault="00A43E04">
            <w:pPr>
              <w:pStyle w:val="P68B1DB1-Normal11"/>
              <w:spacing w:line="276" w:lineRule="auto"/>
              <w:jc w:val="center"/>
              <w:rPr>
                <w:noProof/>
              </w:rPr>
            </w:pPr>
            <w:r>
              <w:rPr>
                <w:noProof/>
              </w:rPr>
              <w:t>JIH NI</w:t>
            </w:r>
          </w:p>
        </w:tc>
        <w:tc>
          <w:tcPr>
            <w:tcW w:w="1276" w:type="dxa"/>
            <w:tcBorders>
              <w:top w:val="single" w:sz="4" w:space="0" w:color="auto"/>
              <w:left w:val="nil"/>
              <w:bottom w:val="single" w:sz="4" w:space="0" w:color="auto"/>
              <w:right w:val="single" w:sz="4" w:space="0" w:color="auto"/>
            </w:tcBorders>
            <w:shd w:val="clear" w:color="auto" w:fill="C6EFCE"/>
            <w:noWrap/>
            <w:vAlign w:val="center"/>
          </w:tcPr>
          <w:p w14:paraId="2E3CA49F" w14:textId="77777777" w:rsidR="00154E32" w:rsidRDefault="00A43E04">
            <w:pPr>
              <w:pStyle w:val="P68B1DB1-Normal11"/>
              <w:spacing w:line="276" w:lineRule="auto"/>
              <w:jc w:val="center"/>
              <w:rPr>
                <w:noProof/>
              </w:rPr>
            </w:pPr>
            <w:r>
              <w:rPr>
                <w:noProof/>
              </w:rPr>
              <w:t>Število</w:t>
            </w:r>
          </w:p>
        </w:tc>
        <w:tc>
          <w:tcPr>
            <w:tcW w:w="918" w:type="dxa"/>
            <w:tcBorders>
              <w:top w:val="single" w:sz="4" w:space="0" w:color="auto"/>
              <w:left w:val="nil"/>
              <w:bottom w:val="single" w:sz="4" w:space="0" w:color="auto"/>
              <w:right w:val="single" w:sz="4" w:space="0" w:color="auto"/>
            </w:tcBorders>
            <w:shd w:val="clear" w:color="auto" w:fill="C6EFCE"/>
            <w:noWrap/>
            <w:vAlign w:val="center"/>
          </w:tcPr>
          <w:p w14:paraId="67842ABF" w14:textId="77777777" w:rsidR="00154E32" w:rsidRDefault="00A43E04">
            <w:pPr>
              <w:pStyle w:val="P68B1DB1-Normal11"/>
              <w:spacing w:line="276" w:lineRule="auto"/>
              <w:jc w:val="center"/>
              <w:rPr>
                <w:noProof/>
              </w:rPr>
            </w:pPr>
            <w:r>
              <w:rPr>
                <w:noProof/>
              </w:rPr>
              <w:t>0</w:t>
            </w:r>
          </w:p>
        </w:tc>
        <w:tc>
          <w:tcPr>
            <w:tcW w:w="1022" w:type="dxa"/>
            <w:tcBorders>
              <w:top w:val="single" w:sz="4" w:space="0" w:color="auto"/>
              <w:left w:val="nil"/>
              <w:bottom w:val="single" w:sz="4" w:space="0" w:color="auto"/>
              <w:right w:val="single" w:sz="4" w:space="0" w:color="auto"/>
            </w:tcBorders>
            <w:shd w:val="clear" w:color="auto" w:fill="C6EFCE"/>
            <w:noWrap/>
            <w:vAlign w:val="center"/>
          </w:tcPr>
          <w:p w14:paraId="5468CA10" w14:textId="77777777" w:rsidR="00154E32" w:rsidRDefault="00A43E04">
            <w:pPr>
              <w:pStyle w:val="P68B1DB1-Normal11"/>
              <w:spacing w:line="276" w:lineRule="auto"/>
              <w:jc w:val="center"/>
              <w:rPr>
                <w:noProof/>
              </w:rPr>
            </w:pPr>
            <w:r>
              <w:rPr>
                <w:noProof/>
              </w:rPr>
              <w:t xml:space="preserve">20 </w:t>
            </w:r>
          </w:p>
        </w:tc>
        <w:tc>
          <w:tcPr>
            <w:tcW w:w="809" w:type="dxa"/>
            <w:tcBorders>
              <w:top w:val="single" w:sz="4" w:space="0" w:color="auto"/>
              <w:left w:val="nil"/>
              <w:bottom w:val="single" w:sz="4" w:space="0" w:color="auto"/>
              <w:right w:val="single" w:sz="4" w:space="0" w:color="auto"/>
            </w:tcBorders>
            <w:shd w:val="clear" w:color="auto" w:fill="C6EFCE"/>
            <w:noWrap/>
            <w:vAlign w:val="center"/>
          </w:tcPr>
          <w:p w14:paraId="531C9823" w14:textId="77777777" w:rsidR="00154E32" w:rsidRDefault="00A43E04">
            <w:pPr>
              <w:pStyle w:val="P68B1DB1-Normal11"/>
              <w:spacing w:line="276" w:lineRule="auto"/>
              <w:jc w:val="center"/>
              <w:rPr>
                <w:noProof/>
              </w:rPr>
            </w:pPr>
            <w:r>
              <w:rPr>
                <w:noProof/>
              </w:rPr>
              <w:t>ČETRTLETJE 1</w:t>
            </w:r>
          </w:p>
        </w:tc>
        <w:tc>
          <w:tcPr>
            <w:tcW w:w="653" w:type="dxa"/>
            <w:tcBorders>
              <w:top w:val="single" w:sz="4" w:space="0" w:color="auto"/>
              <w:left w:val="nil"/>
              <w:bottom w:val="single" w:sz="4" w:space="0" w:color="auto"/>
              <w:right w:val="single" w:sz="4" w:space="0" w:color="auto"/>
            </w:tcBorders>
            <w:shd w:val="clear" w:color="auto" w:fill="C6EFCE"/>
            <w:noWrap/>
            <w:vAlign w:val="center"/>
          </w:tcPr>
          <w:p w14:paraId="0B0545C5" w14:textId="77777777" w:rsidR="00154E32" w:rsidRDefault="00A43E04">
            <w:pPr>
              <w:pStyle w:val="P68B1DB1-Normal11"/>
              <w:spacing w:line="276" w:lineRule="auto"/>
              <w:jc w:val="center"/>
              <w:rPr>
                <w:noProof/>
              </w:rPr>
            </w:pPr>
            <w:r>
              <w:rPr>
                <w:noProof/>
              </w:rPr>
              <w:t>2026</w:t>
            </w:r>
          </w:p>
        </w:tc>
        <w:tc>
          <w:tcPr>
            <w:tcW w:w="2461" w:type="dxa"/>
            <w:tcBorders>
              <w:top w:val="single" w:sz="4" w:space="0" w:color="auto"/>
              <w:left w:val="nil"/>
              <w:bottom w:val="single" w:sz="4" w:space="0" w:color="auto"/>
              <w:right w:val="single" w:sz="4" w:space="0" w:color="auto"/>
            </w:tcBorders>
            <w:shd w:val="clear" w:color="auto" w:fill="C6EFCE"/>
            <w:noWrap/>
            <w:vAlign w:val="center"/>
          </w:tcPr>
          <w:p w14:paraId="64523BE1" w14:textId="77777777" w:rsidR="00154E32" w:rsidRDefault="00A43E04">
            <w:pPr>
              <w:pStyle w:val="P68B1DB1-Normal11"/>
              <w:spacing w:after="120"/>
              <w:rPr>
                <w:noProof/>
              </w:rPr>
            </w:pPr>
            <w:r>
              <w:rPr>
                <w:noProof/>
              </w:rPr>
              <w:t>Dokončanje gradnje novih omrežij za daljinsko ogrevanje ali razširitve obstoječih omrežij za zmanjšanje porabe energije za vsaj 20 KTOE na leto.</w:t>
            </w:r>
          </w:p>
          <w:p w14:paraId="41D0121C" w14:textId="77777777" w:rsidR="00154E32" w:rsidRDefault="00A43E04">
            <w:pPr>
              <w:pStyle w:val="P68B1DB1-Normal11"/>
              <w:spacing w:after="120"/>
              <w:rPr>
                <w:noProof/>
              </w:rPr>
            </w:pPr>
            <w:r>
              <w:rPr>
                <w:noProof/>
              </w:rPr>
              <w:t>Naložba izpolnjuje pogoje iz opombe (9) Priloge VI k Uredbi 241/2021/EU o mehanizmu za okrevanje in odpornost.</w:t>
            </w:r>
          </w:p>
        </w:tc>
      </w:tr>
    </w:tbl>
    <w:p w14:paraId="315B0F7E" w14:textId="77777777" w:rsidR="00154E32" w:rsidRDefault="00154E32">
      <w:pPr>
        <w:keepNext/>
        <w:tabs>
          <w:tab w:val="left" w:pos="4252"/>
        </w:tabs>
        <w:spacing w:before="720"/>
        <w:jc w:val="both"/>
        <w:rPr>
          <w:i/>
          <w:noProof/>
        </w:rPr>
        <w:sectPr w:rsidR="00154E32" w:rsidSect="001354D1">
          <w:headerReference w:type="even" r:id="rId158"/>
          <w:headerReference w:type="default" r:id="rId159"/>
          <w:footerReference w:type="even" r:id="rId160"/>
          <w:footerReference w:type="default" r:id="rId161"/>
          <w:headerReference w:type="first" r:id="rId162"/>
          <w:footerReference w:type="first" r:id="rId163"/>
          <w:pgSz w:w="16839" w:h="11907" w:orient="landscape"/>
          <w:pgMar w:top="1134" w:right="1134" w:bottom="1134" w:left="1134" w:header="567" w:footer="567" w:gutter="0"/>
          <w:cols w:space="720"/>
          <w:docGrid w:linePitch="360"/>
        </w:sectPr>
      </w:pPr>
    </w:p>
    <w:p w14:paraId="411BB39C" w14:textId="6EB11690" w:rsidR="00154E32" w:rsidRDefault="00A43E04">
      <w:pPr>
        <w:pStyle w:val="Heading2"/>
        <w:numPr>
          <w:ilvl w:val="0"/>
          <w:numId w:val="0"/>
        </w:numPr>
        <w:ind w:left="850" w:hanging="850"/>
        <w:rPr>
          <w:noProof/>
        </w:rPr>
      </w:pPr>
      <w:r>
        <w:rPr>
          <w:noProof/>
        </w:rPr>
        <w:t>G. MISSION 2 COMPONENT 4 – Teritorialno načrtovanje in vodni viri</w:t>
      </w:r>
    </w:p>
    <w:p w14:paraId="5EC64CFA" w14:textId="77777777" w:rsidR="00154E32" w:rsidRDefault="00A43E04">
      <w:pPr>
        <w:spacing w:before="120" w:after="120"/>
        <w:jc w:val="both"/>
        <w:rPr>
          <w:noProof/>
        </w:rPr>
      </w:pPr>
      <w:r>
        <w:rPr>
          <w:noProof/>
        </w:rPr>
        <w:t>Cilj te komponente italijanskega načrta za okrevanje in odpornost je odpraviti številne dolgotrajne pomanjkljivosti, povezane z upravljanjem vodnih virov in hidrogeološkimi tveganji v Italiji, ter sprejeti številne ukrepe za ohranjanje biotske raznovrstnosti. To je treba doseči s pomembno in uravnoteženo kombinacijo reform in naložb v teh različnih razsežnostih.</w:t>
      </w:r>
    </w:p>
    <w:p w14:paraId="7883EADC" w14:textId="77777777" w:rsidR="00154E32" w:rsidRDefault="00A43E04">
      <w:pPr>
        <w:spacing w:before="120" w:after="120"/>
        <w:jc w:val="both"/>
        <w:rPr>
          <w:noProof/>
        </w:rPr>
      </w:pPr>
      <w:r>
        <w:rPr>
          <w:noProof/>
        </w:rPr>
        <w:t xml:space="preserve">Na strani reform je v komponenti predlagan sklop ukrepov, namenjenih predvsem izboljšanju učinkovitosti upravljanja vodnih virov z zmanjšanjem razdrobljenosti sektorja, vzpostavitvijo ustrezne cenovne politike in določitvijo številnih spodbud za reševanje obstoječih težav, povezanih z ravnanjem z odpadnimi vodami. Reforme na tem področju vključujejo tudi sklop ukrepov za poenostavitev zasnove in izvajanja projektov, povezanih z vodno infrastrukturo ter upravljanjem in zmanjševanjem hidroloških tveganj.  </w:t>
      </w:r>
    </w:p>
    <w:p w14:paraId="77D5E42B" w14:textId="77777777" w:rsidR="00154E32" w:rsidRDefault="00A43E04">
      <w:pPr>
        <w:spacing w:before="120" w:after="120"/>
        <w:jc w:val="both"/>
        <w:rPr>
          <w:noProof/>
        </w:rPr>
      </w:pPr>
      <w:r>
        <w:rPr>
          <w:noProof/>
        </w:rPr>
        <w:t>Naložbe, povezane s to komponento, prispevajo k blaženju in boljšemu obvladovanju hidrogeološkega tveganja v Italiji, tako z vidika preprečevanja kot prilagajanja, njihov cilj pa je povečati odpornost infrastrukture, povezane z vodo. Poleg tega je njihov cilj znatno izboljšati upravljanje vodnih virov z boljšim upravljanjem odpadnih voda in znatnim zmanjšanjem uhajanja vode, tudi v kmetijskem sektorju. Naložbe krepijo digitalizacijo teh sektorjev ter poskrbijo, da bodo energijsko učinkovitejši in bolje prilagojeni podnebnim spremembam. Ta komponenta vključuje tudi sklop ukrepov za ohranjanje biotske raznovrstnosti in zelenih površin v skladu s strategijo EU za biotsko raznovrstnost do leta 2030.</w:t>
      </w:r>
    </w:p>
    <w:p w14:paraId="639F3556" w14:textId="77777777" w:rsidR="00154E32" w:rsidRDefault="00A43E04">
      <w:pPr>
        <w:spacing w:before="120" w:after="120"/>
        <w:jc w:val="both"/>
        <w:rPr>
          <w:noProof/>
        </w:rPr>
      </w:pPr>
      <w:r>
        <w:rPr>
          <w:noProof/>
        </w:rPr>
        <w:t>Ta komponenta obravnava del priporočila 3 za posamezno državo iz leta 2020, s katerim je Svet Evropske unije Italiji priporočil, naj sprejme ukrepe za usmerjanje naložb v zeleni in digitalni prehod, zlasti na [...] upravljanje voda in okrepljeno digitalno infrastrukturo za zagotavljanje osnovnih storitev. Obravnava tudi dele priporočila 3 za posamezne države iz leta 2019 („Ekonomska politika, povezana z naložbami, na kakovost infrastrukture ob upoštevanju regionalnih razlik). [...] ter izboljša učinkovitost javne uprave [...] s pospeševanjem digitalizacije ter povečanjem učinkovitosti in kakovosti lokalnih javnih storitev“).</w:t>
      </w:r>
    </w:p>
    <w:p w14:paraId="6DCE1DD9" w14:textId="77777777" w:rsidR="00154E32" w:rsidRDefault="00A43E04">
      <w:pPr>
        <w:spacing w:before="120" w:after="120"/>
        <w:jc w:val="both"/>
        <w:rPr>
          <w:noProof/>
        </w:rPr>
      </w:pPr>
      <w:r>
        <w:rPr>
          <w:noProof/>
        </w:rPr>
        <w:t>Glede na opis ukrepov in blažilne ukrepe, določene v načrtu za okrevanje in odpornost v skladu s tehničnimi smernicami za uporabo načela, da se ne škoduje bistveno (2021/C58/01), noben ukrep v tej komponenti naj ne bi bistveno škodoval okoljskim ciljem v smislu člena 17 Uredbe (EU) 2020/852.</w:t>
      </w:r>
    </w:p>
    <w:p w14:paraId="175C0678" w14:textId="77777777" w:rsidR="00154E32" w:rsidRDefault="00A43E04">
      <w:pPr>
        <w:pStyle w:val="Heading3"/>
        <w:numPr>
          <w:ilvl w:val="0"/>
          <w:numId w:val="0"/>
        </w:numPr>
        <w:ind w:left="850" w:hanging="850"/>
        <w:rPr>
          <w:b/>
          <w:i w:val="0"/>
          <w:noProof/>
          <w:color w:val="4F81BD" w:themeColor="accent1"/>
          <w:u w:val="single"/>
        </w:rPr>
      </w:pPr>
      <w:r>
        <w:rPr>
          <w:b/>
          <w:i w:val="0"/>
          <w:noProof/>
          <w:u w:val="single"/>
        </w:rPr>
        <w:t xml:space="preserve">G.1. </w:t>
      </w:r>
      <w:r>
        <w:rPr>
          <w:noProof/>
        </w:rPr>
        <w:tab/>
      </w:r>
      <w:r>
        <w:rPr>
          <w:b/>
          <w:i w:val="0"/>
          <w:noProof/>
          <w:u w:val="single"/>
        </w:rPr>
        <w:t>Opis reform in naložb za nepovratno finančno podporo</w:t>
      </w:r>
    </w:p>
    <w:p w14:paraId="4070EE27" w14:textId="77777777" w:rsidR="00154E32" w:rsidRDefault="00A43E04">
      <w:pPr>
        <w:pStyle w:val="P68B1DB1-Normal2"/>
        <w:spacing w:before="120" w:after="120" w:line="257" w:lineRule="auto"/>
        <w:jc w:val="both"/>
        <w:rPr>
          <w:noProof/>
        </w:rPr>
      </w:pPr>
      <w:r>
        <w:rPr>
          <w:noProof/>
        </w:rPr>
        <w:t xml:space="preserve">Reforma 2.1 – Poenostavitev in pospešitev postopkov za izvajanje ukrepov proti hidrogeološki nestabilnosti </w:t>
      </w:r>
    </w:p>
    <w:p w14:paraId="476D2FB9" w14:textId="77777777" w:rsidR="00154E32" w:rsidRDefault="00A43E04">
      <w:pPr>
        <w:spacing w:before="120" w:after="120"/>
        <w:jc w:val="both"/>
        <w:rPr>
          <w:noProof/>
        </w:rPr>
      </w:pPr>
      <w:r>
        <w:rPr>
          <w:noProof/>
        </w:rPr>
        <w:t>Cilj te reforme je odpraviti obstoječe pomanjkljivosti pri upravljanju hidrogeoloških tveganj, na katere je opozorilo italijansko računsko sodišče. Zajema poenostavitev in pospešitev postopkov za izvajanje projektov na tem področju, vključno z določitvijo najdaljših rokov za vsako fazo; dajanje prednosti intervencijam v skladu z nacionalno oceno tveganja in členom 6 Sklepa 1313/2013 EU ter oceno zmogljivosti za obvladovanje tveganja in načelom, da se ne škoduje bistveno; priprava načrta za povečanje upravne zmogljivosti subjektov, odgovornih za izvajanje teh projektov, in okrepitev usklajevanja med različnimi vpletenimi ravnmi upravljanja, vključno z racionalizacijo pretoka informacij.</w:t>
      </w:r>
    </w:p>
    <w:p w14:paraId="42CCB914" w14:textId="77777777" w:rsidR="00154E32" w:rsidRDefault="00A43E04">
      <w:pPr>
        <w:pStyle w:val="P68B1DB1-Normal2"/>
        <w:spacing w:before="120" w:after="120" w:line="257" w:lineRule="auto"/>
        <w:jc w:val="both"/>
        <w:rPr>
          <w:noProof/>
        </w:rPr>
      </w:pPr>
      <w:r>
        <w:rPr>
          <w:noProof/>
        </w:rPr>
        <w:t xml:space="preserve">Reforma 2 – Reforma pravnega okvira za boljše upravljanje in trajnostno rabo vode </w:t>
      </w:r>
    </w:p>
    <w:p w14:paraId="42E50B2F" w14:textId="77777777" w:rsidR="00154E32" w:rsidRDefault="00A43E04">
      <w:pPr>
        <w:spacing w:before="120" w:after="120"/>
        <w:jc w:val="both"/>
        <w:rPr>
          <w:noProof/>
        </w:rPr>
      </w:pPr>
      <w:r>
        <w:rPr>
          <w:noProof/>
        </w:rPr>
        <w:t xml:space="preserve">Cilj te reforme je obravnavati dolgotrajne težave v vodnem sektorju v Italiji, ki se odražajo v številnih tekočih postopkih za ugotavljanje kršitev zaradi neskladnosti z Direktivo Sveta 91/271/EGS, prekomerna razdrobljenost sektorja ter pomanjkanje ustreznih spodbud in cenovnih politik. Pričakuje se, da bodo predvideni ukrepi znatno zmanjšali razdrobljenost sektorja z zmanjšanjem števila gospodarskih subjektov in spodbujanjem ekonomije obsega, določitvijo spodbud za zmanjšanje uhajanja vode in prekomerne porabe vode v kmetijskem sektorju ter vzpostavitvijo ustreznih cenovnih politik za bolj trajnostno porabo vode. </w:t>
      </w:r>
    </w:p>
    <w:p w14:paraId="67EAD886" w14:textId="61564BAD" w:rsidR="00154E32" w:rsidRDefault="00A43E04">
      <w:pPr>
        <w:spacing w:before="120" w:after="120"/>
        <w:jc w:val="both"/>
        <w:rPr>
          <w:noProof/>
        </w:rPr>
      </w:pPr>
      <w:r>
        <w:rPr>
          <w:noProof/>
        </w:rPr>
        <w:t>Z regijami Kampanija, Kalabrija, Molise in Sicilija se podpiše sklop memorandumov o soglasju, da se zmanjša razdrobljenost števila izvajalcev, ki zagotavljajo storitve za rabo vode. V memorandumu o soglasju so določeni cilji glede določitve organov lokalne samouprave, zmanjšanja števila izvajalcev in doseganja ekonomije obsega, da se v dveh letih po podpisu navedenega memoranduma o soglasju določi en sam izvajalec za najmanj 40000</w:t>
      </w:r>
      <w:r>
        <w:rPr>
          <w:noProof/>
          <w:color w:val="006100"/>
          <w:sz w:val="20"/>
        </w:rPr>
        <w:t xml:space="preserve"> </w:t>
      </w:r>
      <w:r>
        <w:rPr>
          <w:noProof/>
        </w:rPr>
        <w:t xml:space="preserve">prebivalcev.   </w:t>
      </w:r>
    </w:p>
    <w:p w14:paraId="37816D57" w14:textId="77777777" w:rsidR="00154E32" w:rsidRDefault="00A43E04">
      <w:pPr>
        <w:pStyle w:val="P68B1DB1-Normal2"/>
        <w:spacing w:before="120" w:after="120" w:line="257" w:lineRule="auto"/>
        <w:jc w:val="both"/>
        <w:rPr>
          <w:noProof/>
        </w:rPr>
      </w:pPr>
      <w:r>
        <w:rPr>
          <w:noProof/>
        </w:rPr>
        <w:t>Reforma 4.2 „Ukrepi za zagotovitev popolnih upravljavskih zmogljivosti za integrirane storitve v zvezi z vodo“</w:t>
      </w:r>
    </w:p>
    <w:p w14:paraId="7B4C6237" w14:textId="77777777" w:rsidR="00154E32" w:rsidRDefault="00A43E04">
      <w:pPr>
        <w:spacing w:before="120" w:after="120"/>
        <w:jc w:val="both"/>
        <w:rPr>
          <w:noProof/>
        </w:rPr>
      </w:pPr>
      <w:r>
        <w:rPr>
          <w:noProof/>
        </w:rPr>
        <w:t xml:space="preserve">Cilj te reforme je obravnavati glavne težave pri gospodarjenju z vodnimi viri in povečati učinkovitost sistema. </w:t>
      </w:r>
    </w:p>
    <w:p w14:paraId="3C60E05A" w14:textId="5903C6B2" w:rsidR="00154E32" w:rsidRDefault="00A43E04">
      <w:pPr>
        <w:spacing w:before="120" w:after="120"/>
        <w:jc w:val="both"/>
        <w:rPr>
          <w:noProof/>
        </w:rPr>
      </w:pPr>
      <w:r>
        <w:rPr>
          <w:noProof/>
        </w:rPr>
        <w:t>Pričakuje se, da bo sistem zmanjšal obstoječo razdrobljenost števila operaterjev, kar trenutno ovira učinkovito rabo vodnih virov v nekaterih delih države. Pričakuje se tudi, da bo reforma določila prave spodbude za boljšo uporabo vodnih virov v kmetijskem sektorju, uvedla sistem kazni za nezakonito črpanje vode in uvedla sistem cen, ki bo bolje odražal načelo „onesnaževalec plača“ in bo bolj skladen z načelom „onesnaževalec plača“, hkrati pa se bo preprečilo širjenje obstoječih namakalnih sistemov. Ukrepi se sprejmejo v sodelovanju z regijami, kjer je upravljanje vodnih virov trenutno bolj problematično.</w:t>
      </w:r>
    </w:p>
    <w:p w14:paraId="6B8BA6A6" w14:textId="77777777" w:rsidR="00154E32" w:rsidRDefault="00A43E04">
      <w:pPr>
        <w:pStyle w:val="P68B1DB1-Normal2"/>
        <w:spacing w:before="120" w:after="120" w:line="257" w:lineRule="auto"/>
        <w:jc w:val="both"/>
        <w:rPr>
          <w:noProof/>
        </w:rPr>
      </w:pPr>
      <w:r>
        <w:rPr>
          <w:noProof/>
        </w:rPr>
        <w:t>Naložba 3.2 – Digitalizacija nacionalnih parkov in zaščitenih morskih območij</w:t>
      </w:r>
    </w:p>
    <w:p w14:paraId="678512DB" w14:textId="77777777" w:rsidR="00154E32" w:rsidRDefault="00A43E04">
      <w:pPr>
        <w:spacing w:before="120" w:after="120"/>
        <w:jc w:val="both"/>
        <w:rPr>
          <w:noProof/>
        </w:rPr>
      </w:pPr>
      <w:r>
        <w:rPr>
          <w:noProof/>
        </w:rPr>
        <w:t>Ta ukrep določa standardizirane in digitalizirane postopke za posodobitev, učinkovitost in uspešno delovanje zaščitenih območij v različnih razsežnostih, kot so ohranjanje narave, upravna poenostavitev postopkov in storitev za obiskovalce nacionalnih parkov in zaščitenih morskih območij. Po posredovanju naj bi se spremljanje naravnih virov izboljšalo, da bi se po potrebi sprejeli potrebni preventivni in popravni ukrepi za zaščito biotske raznovrstnosti. Pričakuje se tudi, da bo omogočil boljše storitve in ozaveščenost o biotski raznovrstnosti za obiskovalce nacionalnih parkov in zaščitenih morskih območij za bolj trajnostni turizem in odgovorno porabo naravnih virov.</w:t>
      </w:r>
    </w:p>
    <w:p w14:paraId="773152C4" w14:textId="77777777" w:rsidR="00154E32" w:rsidRDefault="00A43E04">
      <w:pPr>
        <w:pStyle w:val="Heading3"/>
        <w:numPr>
          <w:ilvl w:val="0"/>
          <w:numId w:val="0"/>
        </w:numPr>
        <w:ind w:left="850" w:hanging="850"/>
        <w:rPr>
          <w:b/>
          <w:i w:val="0"/>
          <w:noProof/>
          <w:u w:val="single"/>
        </w:rPr>
      </w:pPr>
      <w:r>
        <w:rPr>
          <w:b/>
          <w:i w:val="0"/>
          <w:noProof/>
          <w:u w:val="single"/>
        </w:rPr>
        <w:t xml:space="preserve">G.2. </w:t>
      </w:r>
      <w:r>
        <w:rPr>
          <w:noProof/>
        </w:rPr>
        <w:tab/>
      </w:r>
      <w:r>
        <w:rPr>
          <w:b/>
          <w:i w:val="0"/>
          <w:noProof/>
          <w:u w:val="single"/>
        </w:rPr>
        <w:t>Mejniki, cilji, kazalniki in časovni razpored za spremljanje in izvajanje nepovratne finančne podpore Naslednje;</w:t>
      </w:r>
    </w:p>
    <w:p w14:paraId="3A412908" w14:textId="77777777" w:rsidR="00154E32" w:rsidRDefault="00154E32">
      <w:pPr>
        <w:spacing w:before="120" w:after="120"/>
        <w:ind w:left="709"/>
        <w:jc w:val="both"/>
        <w:rPr>
          <w:noProof/>
        </w:rPr>
        <w:sectPr w:rsidR="00154E32">
          <w:headerReference w:type="even" r:id="rId164"/>
          <w:headerReference w:type="default" r:id="rId165"/>
          <w:footerReference w:type="even" r:id="rId166"/>
          <w:footerReference w:type="default" r:id="rId167"/>
          <w:headerReference w:type="first" r:id="rId168"/>
          <w:footerReference w:type="first" r:id="rId169"/>
          <w:pgSz w:w="11907" w:h="16839"/>
          <w:pgMar w:top="1440" w:right="1440" w:bottom="1440" w:left="1440" w:header="567" w:footer="567" w:gutter="0"/>
          <w:cols w:space="720"/>
          <w:docGrid w:linePitch="360"/>
        </w:sectPr>
      </w:pPr>
    </w:p>
    <w:tbl>
      <w:tblPr>
        <w:tblW w:w="14560" w:type="dxa"/>
        <w:jc w:val="center"/>
        <w:tblLook w:val="04A0" w:firstRow="1" w:lastRow="0" w:firstColumn="1" w:lastColumn="0" w:noHBand="0" w:noVBand="1"/>
      </w:tblPr>
      <w:tblGrid>
        <w:gridCol w:w="1306"/>
        <w:gridCol w:w="1450"/>
        <w:gridCol w:w="1229"/>
        <w:gridCol w:w="1416"/>
        <w:gridCol w:w="1372"/>
        <w:gridCol w:w="1368"/>
        <w:gridCol w:w="1018"/>
        <w:gridCol w:w="701"/>
        <w:gridCol w:w="1218"/>
        <w:gridCol w:w="774"/>
        <w:gridCol w:w="2708"/>
      </w:tblGrid>
      <w:tr w:rsidR="00154E32" w14:paraId="10947D4D" w14:textId="77777777">
        <w:trPr>
          <w:trHeight w:val="927"/>
          <w:tblHeader/>
          <w:jc w:val="center"/>
        </w:trPr>
        <w:tc>
          <w:tcPr>
            <w:tcW w:w="134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0CFED3F" w14:textId="77777777" w:rsidR="00154E32" w:rsidRDefault="00A43E04">
            <w:pPr>
              <w:pStyle w:val="P68B1DB1-Normal9"/>
              <w:jc w:val="center"/>
              <w:rPr>
                <w:noProof/>
              </w:rPr>
            </w:pPr>
            <w:r>
              <w:rPr>
                <w:noProof/>
              </w:rPr>
              <w:t>Zaporedna številka</w:t>
            </w:r>
          </w:p>
        </w:tc>
        <w:tc>
          <w:tcPr>
            <w:tcW w:w="14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3CD85D1" w14:textId="77777777" w:rsidR="00154E32" w:rsidRDefault="00A43E04">
            <w:pPr>
              <w:pStyle w:val="P68B1DB1-Normal9"/>
              <w:jc w:val="center"/>
              <w:rPr>
                <w:noProof/>
              </w:rPr>
            </w:pPr>
            <w:r>
              <w:rPr>
                <w:noProof/>
              </w:rPr>
              <w:t>Povezani ukrep (reforma ali naložba)</w:t>
            </w:r>
          </w:p>
        </w:tc>
        <w:tc>
          <w:tcPr>
            <w:tcW w:w="12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E938D8D" w14:textId="77777777" w:rsidR="00154E32" w:rsidRDefault="00A43E04">
            <w:pPr>
              <w:pStyle w:val="P68B1DB1-Normal9"/>
              <w:jc w:val="center"/>
              <w:rPr>
                <w:noProof/>
              </w:rPr>
            </w:pPr>
            <w:r>
              <w:rPr>
                <w:noProof/>
              </w:rPr>
              <w:t>Mejnik/cilj</w:t>
            </w:r>
          </w:p>
        </w:tc>
        <w:tc>
          <w:tcPr>
            <w:tcW w:w="1460" w:type="dxa"/>
            <w:vMerge w:val="restart"/>
            <w:tcBorders>
              <w:top w:val="single" w:sz="4" w:space="0" w:color="auto"/>
              <w:left w:val="nil"/>
              <w:bottom w:val="single" w:sz="4" w:space="0" w:color="auto"/>
              <w:right w:val="single" w:sz="4" w:space="0" w:color="auto"/>
            </w:tcBorders>
            <w:shd w:val="clear" w:color="auto" w:fill="BDD7EE"/>
            <w:vAlign w:val="center"/>
            <w:hideMark/>
          </w:tcPr>
          <w:p w14:paraId="6DAA1FFA" w14:textId="77777777" w:rsidR="00154E32" w:rsidRDefault="00A43E04">
            <w:pPr>
              <w:pStyle w:val="P68B1DB1-Normal9"/>
              <w:jc w:val="center"/>
              <w:rPr>
                <w:noProof/>
              </w:rPr>
            </w:pPr>
            <w:r>
              <w:rPr>
                <w:noProof/>
              </w:rPr>
              <w:t>Ime</w:t>
            </w:r>
          </w:p>
        </w:tc>
        <w:tc>
          <w:tcPr>
            <w:tcW w:w="141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299BE25" w14:textId="77777777" w:rsidR="00154E32" w:rsidRDefault="00A43E04">
            <w:pPr>
              <w:pStyle w:val="P68B1DB1-Normal10"/>
              <w:jc w:val="center"/>
              <w:rPr>
                <w:b/>
                <w:noProof/>
                <w:sz w:val="20"/>
              </w:rPr>
            </w:pPr>
            <w:r>
              <w:rPr>
                <w:b/>
                <w:noProof/>
                <w:sz w:val="20"/>
              </w:rPr>
              <w:t>Kakovostni kazalniki</w:t>
            </w:r>
            <w:r>
              <w:rPr>
                <w:noProof/>
              </w:rPr>
              <w:t xml:space="preserve"> </w:t>
            </w:r>
            <w:r>
              <w:rPr>
                <w:noProof/>
              </w:rPr>
              <w:br/>
            </w:r>
            <w:r>
              <w:rPr>
                <w:b/>
                <w:noProof/>
                <w:sz w:val="20"/>
              </w:rPr>
              <w:t>(za mejnike)</w:t>
            </w:r>
          </w:p>
        </w:tc>
        <w:tc>
          <w:tcPr>
            <w:tcW w:w="3176" w:type="dxa"/>
            <w:gridSpan w:val="3"/>
            <w:tcBorders>
              <w:top w:val="single" w:sz="4" w:space="0" w:color="auto"/>
              <w:left w:val="nil"/>
              <w:bottom w:val="single" w:sz="4" w:space="0" w:color="auto"/>
              <w:right w:val="single" w:sz="4" w:space="0" w:color="auto"/>
            </w:tcBorders>
            <w:shd w:val="clear" w:color="auto" w:fill="BDD7EE"/>
            <w:vAlign w:val="center"/>
            <w:hideMark/>
          </w:tcPr>
          <w:p w14:paraId="4F2062E3" w14:textId="77777777" w:rsidR="00154E32" w:rsidRDefault="00A43E04">
            <w:pPr>
              <w:pStyle w:val="P68B1DB1-Normal10"/>
              <w:jc w:val="center"/>
              <w:rPr>
                <w:b/>
                <w:noProof/>
                <w:sz w:val="20"/>
              </w:rPr>
            </w:pPr>
            <w:r>
              <w:rPr>
                <w:b/>
                <w:noProof/>
                <w:sz w:val="20"/>
              </w:rPr>
              <w:t>Kvantitativni kazalniki</w:t>
            </w:r>
            <w:r>
              <w:rPr>
                <w:noProof/>
              </w:rPr>
              <w:t xml:space="preserve"> </w:t>
            </w:r>
            <w:r>
              <w:rPr>
                <w:noProof/>
              </w:rPr>
              <w:br/>
            </w:r>
            <w:r>
              <w:rPr>
                <w:b/>
                <w:noProof/>
                <w:sz w:val="20"/>
              </w:rPr>
              <w:t>(za ciljne vrednosti)</w:t>
            </w:r>
          </w:p>
        </w:tc>
        <w:tc>
          <w:tcPr>
            <w:tcW w:w="1603" w:type="dxa"/>
            <w:gridSpan w:val="2"/>
            <w:tcBorders>
              <w:top w:val="single" w:sz="4" w:space="0" w:color="auto"/>
              <w:left w:val="nil"/>
              <w:bottom w:val="single" w:sz="4" w:space="0" w:color="auto"/>
              <w:right w:val="single" w:sz="4" w:space="0" w:color="auto"/>
            </w:tcBorders>
            <w:shd w:val="clear" w:color="auto" w:fill="BDD7EE"/>
            <w:vAlign w:val="center"/>
            <w:hideMark/>
          </w:tcPr>
          <w:p w14:paraId="287E8950" w14:textId="77777777" w:rsidR="00154E32" w:rsidRDefault="00A43E04">
            <w:pPr>
              <w:pStyle w:val="P68B1DB1-Normal9"/>
              <w:jc w:val="center"/>
              <w:rPr>
                <w:noProof/>
              </w:rPr>
            </w:pPr>
            <w:r>
              <w:rPr>
                <w:noProof/>
              </w:rPr>
              <w:t>Okvirni časovni razpored za dokončanje</w:t>
            </w:r>
          </w:p>
        </w:tc>
        <w:tc>
          <w:tcPr>
            <w:tcW w:w="279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9669CA7" w14:textId="77777777" w:rsidR="00154E32" w:rsidRDefault="00A43E04">
            <w:pPr>
              <w:pStyle w:val="P68B1DB1-Normal9"/>
              <w:jc w:val="center"/>
              <w:rPr>
                <w:noProof/>
              </w:rPr>
            </w:pPr>
            <w:r>
              <w:rPr>
                <w:noProof/>
              </w:rPr>
              <w:t>Opis vsakega mejnika in cilja</w:t>
            </w:r>
          </w:p>
        </w:tc>
      </w:tr>
      <w:tr w:rsidR="00154E32" w14:paraId="34BB7FF9" w14:textId="77777777">
        <w:trPr>
          <w:trHeight w:val="1013"/>
          <w:tblHeader/>
          <w:jc w:val="center"/>
        </w:trPr>
        <w:tc>
          <w:tcPr>
            <w:tcW w:w="1347" w:type="dxa"/>
            <w:vMerge/>
            <w:tcBorders>
              <w:top w:val="single" w:sz="4" w:space="0" w:color="auto"/>
              <w:left w:val="single" w:sz="4" w:space="0" w:color="auto"/>
              <w:bottom w:val="single" w:sz="4" w:space="0" w:color="auto"/>
              <w:right w:val="single" w:sz="4" w:space="0" w:color="auto"/>
            </w:tcBorders>
            <w:vAlign w:val="center"/>
            <w:hideMark/>
          </w:tcPr>
          <w:p w14:paraId="2B97A327" w14:textId="77777777" w:rsidR="00154E32" w:rsidRDefault="00154E32">
            <w:pPr>
              <w:jc w:val="center"/>
              <w:rPr>
                <w:rFonts w:ascii="Arial Narrow" w:hAnsi="Arial Narrow"/>
                <w:b/>
                <w:noProof/>
                <w:sz w:val="20"/>
              </w:rPr>
            </w:pPr>
          </w:p>
        </w:tc>
        <w:tc>
          <w:tcPr>
            <w:tcW w:w="1495" w:type="dxa"/>
            <w:vMerge/>
            <w:tcBorders>
              <w:left w:val="single" w:sz="4" w:space="0" w:color="auto"/>
              <w:right w:val="single" w:sz="4" w:space="0" w:color="auto"/>
            </w:tcBorders>
            <w:vAlign w:val="center"/>
            <w:hideMark/>
          </w:tcPr>
          <w:p w14:paraId="735AE123" w14:textId="77777777" w:rsidR="00154E32" w:rsidRDefault="00154E32">
            <w:pPr>
              <w:jc w:val="center"/>
              <w:rPr>
                <w:rFonts w:ascii="Arial Narrow" w:hAnsi="Arial Narrow"/>
                <w:b/>
                <w:noProof/>
                <w:sz w:val="20"/>
              </w:rPr>
            </w:pPr>
          </w:p>
        </w:tc>
        <w:tc>
          <w:tcPr>
            <w:tcW w:w="1266" w:type="dxa"/>
            <w:vMerge/>
            <w:tcBorders>
              <w:top w:val="single" w:sz="4" w:space="0" w:color="auto"/>
              <w:left w:val="single" w:sz="4" w:space="0" w:color="auto"/>
              <w:bottom w:val="single" w:sz="4" w:space="0" w:color="auto"/>
              <w:right w:val="single" w:sz="4" w:space="0" w:color="auto"/>
            </w:tcBorders>
            <w:vAlign w:val="center"/>
            <w:hideMark/>
          </w:tcPr>
          <w:p w14:paraId="007BF0FB" w14:textId="77777777" w:rsidR="00154E32" w:rsidRDefault="00154E32">
            <w:pPr>
              <w:jc w:val="center"/>
              <w:rPr>
                <w:rFonts w:ascii="Arial Narrow" w:hAnsi="Arial Narrow"/>
                <w:b/>
                <w:noProof/>
                <w:sz w:val="20"/>
              </w:rPr>
            </w:pPr>
          </w:p>
        </w:tc>
        <w:tc>
          <w:tcPr>
            <w:tcW w:w="1460" w:type="dxa"/>
            <w:vMerge/>
            <w:tcBorders>
              <w:left w:val="single" w:sz="4" w:space="0" w:color="auto"/>
              <w:right w:val="single" w:sz="4" w:space="0" w:color="auto"/>
            </w:tcBorders>
            <w:vAlign w:val="center"/>
            <w:hideMark/>
          </w:tcPr>
          <w:p w14:paraId="2DD88B00" w14:textId="77777777" w:rsidR="00154E32" w:rsidRDefault="00154E32">
            <w:pPr>
              <w:jc w:val="center"/>
              <w:rPr>
                <w:rFonts w:ascii="Arial Narrow" w:hAnsi="Arial Narrow"/>
                <w:b/>
                <w:noProof/>
                <w:sz w:val="20"/>
              </w:rPr>
            </w:pPr>
          </w:p>
        </w:tc>
        <w:tc>
          <w:tcPr>
            <w:tcW w:w="1414" w:type="dxa"/>
            <w:vMerge/>
            <w:tcBorders>
              <w:top w:val="single" w:sz="4" w:space="0" w:color="auto"/>
              <w:left w:val="single" w:sz="4" w:space="0" w:color="auto"/>
              <w:bottom w:val="single" w:sz="4" w:space="0" w:color="auto"/>
            </w:tcBorders>
            <w:vAlign w:val="center"/>
            <w:hideMark/>
          </w:tcPr>
          <w:p w14:paraId="67595338" w14:textId="77777777" w:rsidR="00154E32" w:rsidRDefault="00154E32">
            <w:pPr>
              <w:jc w:val="center"/>
              <w:rPr>
                <w:rFonts w:ascii="Arial Narrow" w:hAnsi="Arial Narrow"/>
                <w:b/>
                <w:noProof/>
                <w:sz w:val="20"/>
              </w:rPr>
            </w:pPr>
          </w:p>
        </w:tc>
        <w:tc>
          <w:tcPr>
            <w:tcW w:w="1410" w:type="dxa"/>
            <w:tcBorders>
              <w:top w:val="nil"/>
              <w:left w:val="single" w:sz="4" w:space="0" w:color="auto"/>
              <w:bottom w:val="single" w:sz="4" w:space="0" w:color="auto"/>
              <w:right w:val="single" w:sz="4" w:space="0" w:color="auto"/>
            </w:tcBorders>
            <w:shd w:val="clear" w:color="auto" w:fill="BDD7EE"/>
            <w:vAlign w:val="center"/>
            <w:hideMark/>
          </w:tcPr>
          <w:p w14:paraId="68DA76FA" w14:textId="77777777" w:rsidR="00154E32" w:rsidRDefault="00A43E04">
            <w:pPr>
              <w:pStyle w:val="P68B1DB1-Normal9"/>
              <w:jc w:val="center"/>
              <w:rPr>
                <w:noProof/>
              </w:rPr>
            </w:pPr>
            <w:r>
              <w:rPr>
                <w:noProof/>
              </w:rPr>
              <w:t>Merska enota</w:t>
            </w:r>
          </w:p>
        </w:tc>
        <w:tc>
          <w:tcPr>
            <w:tcW w:w="1047" w:type="dxa"/>
            <w:tcBorders>
              <w:top w:val="nil"/>
              <w:left w:val="nil"/>
              <w:bottom w:val="single" w:sz="4" w:space="0" w:color="auto"/>
              <w:right w:val="single" w:sz="4" w:space="0" w:color="auto"/>
            </w:tcBorders>
            <w:shd w:val="clear" w:color="auto" w:fill="BDD7EE"/>
            <w:vAlign w:val="center"/>
            <w:hideMark/>
          </w:tcPr>
          <w:p w14:paraId="20133F12" w14:textId="77777777" w:rsidR="00154E32" w:rsidRDefault="00A43E04">
            <w:pPr>
              <w:pStyle w:val="P68B1DB1-Normal9"/>
              <w:jc w:val="center"/>
              <w:rPr>
                <w:noProof/>
              </w:rPr>
            </w:pPr>
            <w:r>
              <w:rPr>
                <w:noProof/>
              </w:rPr>
              <w:t>Izhodišče</w:t>
            </w:r>
          </w:p>
        </w:tc>
        <w:tc>
          <w:tcPr>
            <w:tcW w:w="719" w:type="dxa"/>
            <w:tcBorders>
              <w:top w:val="nil"/>
              <w:left w:val="nil"/>
              <w:bottom w:val="single" w:sz="4" w:space="0" w:color="auto"/>
              <w:right w:val="single" w:sz="4" w:space="0" w:color="auto"/>
            </w:tcBorders>
            <w:shd w:val="clear" w:color="auto" w:fill="BDD7EE"/>
            <w:vAlign w:val="center"/>
            <w:hideMark/>
          </w:tcPr>
          <w:p w14:paraId="1D675EBF" w14:textId="77777777" w:rsidR="00154E32" w:rsidRDefault="00A43E04">
            <w:pPr>
              <w:pStyle w:val="P68B1DB1-Normal9"/>
              <w:jc w:val="center"/>
              <w:rPr>
                <w:noProof/>
              </w:rPr>
            </w:pPr>
            <w:r>
              <w:rPr>
                <w:noProof/>
              </w:rPr>
              <w:t>Cilj</w:t>
            </w:r>
          </w:p>
        </w:tc>
        <w:tc>
          <w:tcPr>
            <w:tcW w:w="809" w:type="dxa"/>
            <w:tcBorders>
              <w:top w:val="nil"/>
              <w:left w:val="nil"/>
              <w:bottom w:val="single" w:sz="4" w:space="0" w:color="auto"/>
              <w:right w:val="single" w:sz="4" w:space="0" w:color="auto"/>
            </w:tcBorders>
            <w:shd w:val="clear" w:color="auto" w:fill="BDD7EE"/>
            <w:vAlign w:val="center"/>
            <w:hideMark/>
          </w:tcPr>
          <w:p w14:paraId="21AA8A9F" w14:textId="77777777" w:rsidR="00154E32" w:rsidRDefault="00A43E04">
            <w:pPr>
              <w:pStyle w:val="P68B1DB1-Normal9"/>
              <w:jc w:val="center"/>
              <w:rPr>
                <w:noProof/>
              </w:rPr>
            </w:pPr>
            <w:r>
              <w:rPr>
                <w:noProof/>
              </w:rPr>
              <w:t>Četrtletje</w:t>
            </w:r>
          </w:p>
        </w:tc>
        <w:tc>
          <w:tcPr>
            <w:tcW w:w="794" w:type="dxa"/>
            <w:tcBorders>
              <w:top w:val="nil"/>
              <w:left w:val="nil"/>
              <w:bottom w:val="single" w:sz="4" w:space="0" w:color="auto"/>
              <w:right w:val="single" w:sz="4" w:space="0" w:color="auto"/>
            </w:tcBorders>
            <w:shd w:val="clear" w:color="auto" w:fill="BDD7EE"/>
            <w:vAlign w:val="center"/>
            <w:hideMark/>
          </w:tcPr>
          <w:p w14:paraId="2694C94F" w14:textId="77777777" w:rsidR="00154E32" w:rsidRDefault="00A43E04">
            <w:pPr>
              <w:pStyle w:val="P68B1DB1-Normal9"/>
              <w:jc w:val="center"/>
              <w:rPr>
                <w:noProof/>
              </w:rPr>
            </w:pPr>
            <w:r>
              <w:rPr>
                <w:noProof/>
              </w:rPr>
              <w:t>Leto</w:t>
            </w:r>
          </w:p>
        </w:tc>
        <w:tc>
          <w:tcPr>
            <w:tcW w:w="2799" w:type="dxa"/>
            <w:vMerge/>
            <w:tcBorders>
              <w:top w:val="single" w:sz="4" w:space="0" w:color="auto"/>
              <w:bottom w:val="single" w:sz="4" w:space="0" w:color="auto"/>
              <w:right w:val="single" w:sz="4" w:space="0" w:color="auto"/>
            </w:tcBorders>
            <w:vAlign w:val="center"/>
            <w:hideMark/>
          </w:tcPr>
          <w:p w14:paraId="34FBA37B" w14:textId="77777777" w:rsidR="00154E32" w:rsidRDefault="00154E32">
            <w:pPr>
              <w:rPr>
                <w:rFonts w:ascii="Arial Narrow" w:hAnsi="Arial Narrow"/>
                <w:b/>
                <w:noProof/>
                <w:sz w:val="20"/>
              </w:rPr>
            </w:pPr>
          </w:p>
        </w:tc>
      </w:tr>
      <w:tr w:rsidR="00154E32" w14:paraId="382CAC5C" w14:textId="77777777">
        <w:trPr>
          <w:trHeight w:val="170"/>
          <w:jc w:val="center"/>
        </w:trPr>
        <w:tc>
          <w:tcPr>
            <w:tcW w:w="1347"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18294894" w14:textId="77777777" w:rsidR="00154E32" w:rsidRDefault="00A43E04">
            <w:pPr>
              <w:pStyle w:val="P68B1DB1-Normal11"/>
              <w:spacing w:line="276" w:lineRule="auto"/>
              <w:jc w:val="center"/>
              <w:rPr>
                <w:noProof/>
              </w:rPr>
            </w:pPr>
            <w:r>
              <w:rPr>
                <w:noProof/>
              </w:rPr>
              <w:t>M2C4–1</w:t>
            </w:r>
          </w:p>
        </w:tc>
        <w:tc>
          <w:tcPr>
            <w:tcW w:w="1495" w:type="dxa"/>
            <w:tcBorders>
              <w:top w:val="single" w:sz="4" w:space="0" w:color="auto"/>
              <w:left w:val="nil"/>
              <w:bottom w:val="single" w:sz="4" w:space="0" w:color="auto"/>
              <w:right w:val="single" w:sz="4" w:space="0" w:color="auto"/>
            </w:tcBorders>
            <w:shd w:val="clear" w:color="auto" w:fill="C6EFCE"/>
            <w:noWrap/>
            <w:vAlign w:val="center"/>
            <w:hideMark/>
          </w:tcPr>
          <w:p w14:paraId="02D2166F" w14:textId="77777777" w:rsidR="00154E32" w:rsidRDefault="00A43E04">
            <w:pPr>
              <w:pStyle w:val="P68B1DB1-Normal11"/>
              <w:spacing w:line="276" w:lineRule="auto"/>
              <w:jc w:val="center"/>
              <w:rPr>
                <w:noProof/>
              </w:rPr>
            </w:pPr>
            <w:r>
              <w:rPr>
                <w:noProof/>
              </w:rPr>
              <w:t>Reforma 2.1. Poenostavitev in pospešitev postopkov za izvajanje ukrepov proti hidrogeološki nestabilnosti</w:t>
            </w:r>
          </w:p>
        </w:tc>
        <w:tc>
          <w:tcPr>
            <w:tcW w:w="1266" w:type="dxa"/>
            <w:tcBorders>
              <w:top w:val="single" w:sz="4" w:space="0" w:color="auto"/>
              <w:left w:val="nil"/>
              <w:bottom w:val="single" w:sz="4" w:space="0" w:color="auto"/>
              <w:right w:val="single" w:sz="4" w:space="0" w:color="auto"/>
            </w:tcBorders>
            <w:shd w:val="clear" w:color="auto" w:fill="C6EFCE"/>
            <w:noWrap/>
            <w:vAlign w:val="center"/>
            <w:hideMark/>
          </w:tcPr>
          <w:p w14:paraId="50B34A6F" w14:textId="77777777" w:rsidR="00154E32" w:rsidRDefault="00A43E04">
            <w:pPr>
              <w:pStyle w:val="P68B1DB1-Normal11"/>
              <w:spacing w:line="276" w:lineRule="auto"/>
              <w:jc w:val="center"/>
              <w:rPr>
                <w:noProof/>
              </w:rPr>
            </w:pPr>
            <w:r>
              <w:rPr>
                <w:noProof/>
              </w:rPr>
              <w:t>Mejnik</w:t>
            </w:r>
          </w:p>
        </w:tc>
        <w:tc>
          <w:tcPr>
            <w:tcW w:w="1460" w:type="dxa"/>
            <w:tcBorders>
              <w:top w:val="single" w:sz="4" w:space="0" w:color="auto"/>
              <w:left w:val="nil"/>
              <w:bottom w:val="single" w:sz="4" w:space="0" w:color="auto"/>
              <w:right w:val="single" w:sz="4" w:space="0" w:color="auto"/>
            </w:tcBorders>
            <w:shd w:val="clear" w:color="auto" w:fill="C6EFCE"/>
            <w:noWrap/>
            <w:vAlign w:val="center"/>
            <w:hideMark/>
          </w:tcPr>
          <w:p w14:paraId="093B6151" w14:textId="77777777" w:rsidR="00154E32" w:rsidRDefault="00A43E04">
            <w:pPr>
              <w:pStyle w:val="P68B1DB1-Normal11"/>
              <w:spacing w:line="276" w:lineRule="auto"/>
              <w:jc w:val="center"/>
              <w:rPr>
                <w:noProof/>
              </w:rPr>
            </w:pPr>
            <w:r>
              <w:rPr>
                <w:noProof/>
              </w:rPr>
              <w:t>Začetek veljavnosti poenostavitve pravnega okvira za boljše obvladovanje hidroloških tveganj</w:t>
            </w:r>
          </w:p>
        </w:tc>
        <w:tc>
          <w:tcPr>
            <w:tcW w:w="1414" w:type="dxa"/>
            <w:tcBorders>
              <w:top w:val="single" w:sz="4" w:space="0" w:color="auto"/>
              <w:left w:val="nil"/>
              <w:bottom w:val="single" w:sz="4" w:space="0" w:color="auto"/>
              <w:right w:val="single" w:sz="4" w:space="0" w:color="auto"/>
            </w:tcBorders>
            <w:shd w:val="clear" w:color="auto" w:fill="C6EFCE"/>
            <w:noWrap/>
            <w:vAlign w:val="center"/>
            <w:hideMark/>
          </w:tcPr>
          <w:p w14:paraId="46111480" w14:textId="77777777" w:rsidR="00154E32" w:rsidRDefault="00A43E04">
            <w:pPr>
              <w:pStyle w:val="P68B1DB1-Normal11"/>
              <w:spacing w:line="276" w:lineRule="auto"/>
              <w:jc w:val="center"/>
              <w:rPr>
                <w:noProof/>
              </w:rPr>
            </w:pPr>
            <w:r>
              <w:rPr>
                <w:noProof/>
              </w:rPr>
              <w:t>Določba v ustreznem pravnem aktu(-ih), ki navaja(-jo) začetek veljavnosti</w:t>
            </w:r>
          </w:p>
        </w:tc>
        <w:tc>
          <w:tcPr>
            <w:tcW w:w="1410" w:type="dxa"/>
            <w:tcBorders>
              <w:top w:val="nil"/>
              <w:left w:val="nil"/>
              <w:bottom w:val="single" w:sz="4" w:space="0" w:color="auto"/>
              <w:right w:val="single" w:sz="4" w:space="0" w:color="auto"/>
            </w:tcBorders>
            <w:shd w:val="clear" w:color="auto" w:fill="C6EFCE"/>
            <w:noWrap/>
            <w:vAlign w:val="center"/>
            <w:hideMark/>
          </w:tcPr>
          <w:p w14:paraId="184C558F" w14:textId="77777777" w:rsidR="00154E32" w:rsidRDefault="00A43E04">
            <w:pPr>
              <w:pStyle w:val="P68B1DB1-Normal11"/>
              <w:spacing w:line="276" w:lineRule="auto"/>
              <w:jc w:val="center"/>
              <w:rPr>
                <w:noProof/>
              </w:rPr>
            </w:pPr>
            <w:r>
              <w:rPr>
                <w:noProof/>
              </w:rPr>
              <w:t>JIH NI</w:t>
            </w:r>
          </w:p>
        </w:tc>
        <w:tc>
          <w:tcPr>
            <w:tcW w:w="1047" w:type="dxa"/>
            <w:tcBorders>
              <w:top w:val="nil"/>
              <w:left w:val="nil"/>
              <w:bottom w:val="single" w:sz="4" w:space="0" w:color="auto"/>
              <w:right w:val="single" w:sz="4" w:space="0" w:color="auto"/>
            </w:tcBorders>
            <w:shd w:val="clear" w:color="auto" w:fill="C6EFCE"/>
            <w:noWrap/>
            <w:vAlign w:val="center"/>
            <w:hideMark/>
          </w:tcPr>
          <w:p w14:paraId="437B075F" w14:textId="77777777" w:rsidR="00154E32" w:rsidRDefault="00A43E04">
            <w:pPr>
              <w:pStyle w:val="P68B1DB1-Normal11"/>
              <w:spacing w:line="276" w:lineRule="auto"/>
              <w:jc w:val="center"/>
              <w:rPr>
                <w:noProof/>
              </w:rPr>
            </w:pPr>
            <w:r>
              <w:rPr>
                <w:noProof/>
              </w:rPr>
              <w:t>JIH NI</w:t>
            </w:r>
          </w:p>
        </w:tc>
        <w:tc>
          <w:tcPr>
            <w:tcW w:w="719" w:type="dxa"/>
            <w:tcBorders>
              <w:top w:val="nil"/>
              <w:left w:val="nil"/>
              <w:bottom w:val="single" w:sz="4" w:space="0" w:color="auto"/>
              <w:right w:val="single" w:sz="4" w:space="0" w:color="auto"/>
            </w:tcBorders>
            <w:shd w:val="clear" w:color="auto" w:fill="C6EFCE"/>
            <w:noWrap/>
            <w:vAlign w:val="center"/>
            <w:hideMark/>
          </w:tcPr>
          <w:p w14:paraId="61D698BB" w14:textId="77777777" w:rsidR="00154E32" w:rsidRDefault="00A43E04">
            <w:pPr>
              <w:pStyle w:val="P68B1DB1-Normal11"/>
              <w:spacing w:line="276" w:lineRule="auto"/>
              <w:jc w:val="center"/>
              <w:rPr>
                <w:noProof/>
              </w:rPr>
            </w:pPr>
            <w:r>
              <w:rPr>
                <w:noProof/>
              </w:rPr>
              <w:t>JIH NI</w:t>
            </w:r>
          </w:p>
        </w:tc>
        <w:tc>
          <w:tcPr>
            <w:tcW w:w="809" w:type="dxa"/>
            <w:tcBorders>
              <w:top w:val="nil"/>
              <w:left w:val="nil"/>
              <w:bottom w:val="single" w:sz="4" w:space="0" w:color="auto"/>
              <w:right w:val="single" w:sz="4" w:space="0" w:color="auto"/>
            </w:tcBorders>
            <w:shd w:val="clear" w:color="auto" w:fill="C6EFCE"/>
            <w:noWrap/>
            <w:vAlign w:val="center"/>
            <w:hideMark/>
          </w:tcPr>
          <w:p w14:paraId="00AE3A3E" w14:textId="77777777" w:rsidR="00154E32" w:rsidRDefault="00A43E04">
            <w:pPr>
              <w:pStyle w:val="P68B1DB1-Normal11"/>
              <w:spacing w:line="276" w:lineRule="auto"/>
              <w:jc w:val="center"/>
              <w:rPr>
                <w:noProof/>
              </w:rPr>
            </w:pPr>
            <w:r>
              <w:rPr>
                <w:noProof/>
              </w:rPr>
              <w:t>Q2</w:t>
            </w:r>
          </w:p>
        </w:tc>
        <w:tc>
          <w:tcPr>
            <w:tcW w:w="794" w:type="dxa"/>
            <w:tcBorders>
              <w:top w:val="nil"/>
              <w:left w:val="nil"/>
              <w:bottom w:val="single" w:sz="4" w:space="0" w:color="auto"/>
              <w:right w:val="single" w:sz="4" w:space="0" w:color="auto"/>
            </w:tcBorders>
            <w:shd w:val="clear" w:color="auto" w:fill="C6EFCE"/>
            <w:noWrap/>
            <w:vAlign w:val="center"/>
            <w:hideMark/>
          </w:tcPr>
          <w:p w14:paraId="36FD1D1D" w14:textId="77777777" w:rsidR="00154E32" w:rsidRDefault="00A43E04">
            <w:pPr>
              <w:pStyle w:val="P68B1DB1-Normal11"/>
              <w:spacing w:line="276" w:lineRule="auto"/>
              <w:jc w:val="center"/>
              <w:rPr>
                <w:noProof/>
              </w:rPr>
            </w:pPr>
            <w:r>
              <w:rPr>
                <w:noProof/>
              </w:rPr>
              <w:t>2022</w:t>
            </w:r>
          </w:p>
        </w:tc>
        <w:tc>
          <w:tcPr>
            <w:tcW w:w="2799" w:type="dxa"/>
            <w:tcBorders>
              <w:top w:val="single" w:sz="4" w:space="0" w:color="auto"/>
              <w:left w:val="nil"/>
              <w:bottom w:val="single" w:sz="4" w:space="0" w:color="auto"/>
              <w:right w:val="single" w:sz="4" w:space="0" w:color="auto"/>
            </w:tcBorders>
            <w:shd w:val="clear" w:color="auto" w:fill="C6EFCE"/>
            <w:noWrap/>
            <w:vAlign w:val="center"/>
          </w:tcPr>
          <w:p w14:paraId="29788B35" w14:textId="77777777" w:rsidR="00154E32" w:rsidRDefault="00A43E04">
            <w:pPr>
              <w:pStyle w:val="P68B1DB1-Normal11"/>
              <w:spacing w:line="276" w:lineRule="auto"/>
              <w:rPr>
                <w:noProof/>
              </w:rPr>
            </w:pPr>
            <w:r>
              <w:rPr>
                <w:noProof/>
              </w:rPr>
              <w:t>Novi pravni okvir (vsaj),</w:t>
            </w:r>
          </w:p>
          <w:p w14:paraId="10812B4D" w14:textId="77777777" w:rsidR="00154E32" w:rsidRDefault="00154E32">
            <w:pPr>
              <w:spacing w:line="276" w:lineRule="auto"/>
              <w:rPr>
                <w:rFonts w:ascii="Arial Narrow" w:hAnsi="Arial Narrow"/>
                <w:noProof/>
                <w:color w:val="006100"/>
                <w:sz w:val="20"/>
              </w:rPr>
            </w:pPr>
          </w:p>
          <w:p w14:paraId="4666E18B" w14:textId="77777777" w:rsidR="00154E32" w:rsidRDefault="00A43E04">
            <w:pPr>
              <w:pStyle w:val="P68B1DB1-ListParagraph13"/>
              <w:spacing w:after="0" w:line="276" w:lineRule="auto"/>
              <w:ind w:left="0"/>
              <w:jc w:val="left"/>
              <w:rPr>
                <w:noProof/>
              </w:rPr>
            </w:pPr>
            <w:r>
              <w:rPr>
                <w:noProof/>
              </w:rPr>
              <w:t>Prednost preventivnim ukrepom v skladu z nacionalno oceno tveganja in členom 6 Sklepa 1313/2013 EU ter oceno zmogljivosti za obvladovanje tveganja in načelom, da se ne škoduje bistveno;</w:t>
            </w:r>
          </w:p>
          <w:p w14:paraId="73E770A7" w14:textId="77777777" w:rsidR="00154E32" w:rsidRDefault="00154E32">
            <w:pPr>
              <w:spacing w:line="276" w:lineRule="auto"/>
              <w:rPr>
                <w:rFonts w:ascii="Arial Narrow" w:hAnsi="Arial Narrow"/>
                <w:noProof/>
                <w:color w:val="006100"/>
                <w:sz w:val="20"/>
              </w:rPr>
            </w:pPr>
          </w:p>
          <w:p w14:paraId="10D9AABC" w14:textId="77777777" w:rsidR="00154E32" w:rsidRDefault="00A43E04">
            <w:pPr>
              <w:pStyle w:val="P68B1DB1-ListParagraph13"/>
              <w:numPr>
                <w:ilvl w:val="0"/>
                <w:numId w:val="69"/>
              </w:numPr>
              <w:spacing w:after="0" w:line="276" w:lineRule="auto"/>
              <w:ind w:left="0"/>
              <w:jc w:val="left"/>
              <w:rPr>
                <w:noProof/>
              </w:rPr>
            </w:pPr>
            <w:r>
              <w:rPr>
                <w:noProof/>
              </w:rPr>
              <w:t>Pospešiti postopke za zasnovo projektov in določiti splošna načela za poenostavitev izvajanja in financiranja projektov ter projektov hidrološkega tveganja;</w:t>
            </w:r>
          </w:p>
          <w:p w14:paraId="0977AFB7" w14:textId="77777777" w:rsidR="00154E32" w:rsidRDefault="00154E32">
            <w:pPr>
              <w:spacing w:line="276" w:lineRule="auto"/>
              <w:rPr>
                <w:rFonts w:ascii="Arial Narrow" w:hAnsi="Arial Narrow"/>
                <w:noProof/>
                <w:color w:val="006100"/>
                <w:sz w:val="20"/>
              </w:rPr>
            </w:pPr>
          </w:p>
          <w:p w14:paraId="4F9CA28C" w14:textId="1E91BC12" w:rsidR="00154E32" w:rsidRDefault="00A43E04">
            <w:pPr>
              <w:pStyle w:val="P68B1DB1-ListParagraph13"/>
              <w:numPr>
                <w:ilvl w:val="0"/>
                <w:numId w:val="69"/>
              </w:numPr>
              <w:spacing w:after="0" w:line="276" w:lineRule="auto"/>
              <w:ind w:left="0"/>
              <w:jc w:val="left"/>
              <w:rPr>
                <w:noProof/>
              </w:rPr>
            </w:pPr>
            <w:r>
              <w:rPr>
                <w:noProof/>
              </w:rPr>
              <w:t>Uskladiti in racionalizirati pretok informacij za zmanjšanje odvečnosti pri poročanju med različnimi informacijskimi sistemi države ter razviti sistem kazalnikov za boljšo opredelitev hidroloških tveganj v skladu s priporočili italijanskega računskega sodišča.</w:t>
            </w:r>
          </w:p>
          <w:p w14:paraId="79B285FA" w14:textId="77777777" w:rsidR="00154E32" w:rsidRDefault="00A43E04">
            <w:pPr>
              <w:pStyle w:val="P68B1DB1-ListParagraph13"/>
              <w:numPr>
                <w:ilvl w:val="0"/>
                <w:numId w:val="69"/>
              </w:numPr>
              <w:spacing w:after="0" w:line="276" w:lineRule="auto"/>
              <w:ind w:left="0"/>
              <w:jc w:val="left"/>
              <w:rPr>
                <w:noProof/>
              </w:rPr>
            </w:pPr>
            <w:r>
              <w:rPr>
                <w:noProof/>
              </w:rPr>
              <w:t>Okrepiti usklajevanje intervencij med različnimi ravnmi upravljanja v skladu s priporočili italijanskega računskega sodišča;</w:t>
            </w:r>
          </w:p>
          <w:p w14:paraId="50CABDFB" w14:textId="77777777" w:rsidR="00154E32" w:rsidRDefault="00154E32">
            <w:pPr>
              <w:spacing w:line="276" w:lineRule="auto"/>
              <w:rPr>
                <w:rFonts w:ascii="Arial Narrow" w:hAnsi="Arial Narrow"/>
                <w:noProof/>
                <w:color w:val="006100"/>
                <w:sz w:val="20"/>
              </w:rPr>
            </w:pPr>
          </w:p>
          <w:p w14:paraId="0CE73142" w14:textId="77777777" w:rsidR="00154E32" w:rsidRDefault="00A43E04">
            <w:pPr>
              <w:pStyle w:val="P68B1DB1-ListParagraph13"/>
              <w:numPr>
                <w:ilvl w:val="0"/>
                <w:numId w:val="69"/>
              </w:numPr>
              <w:spacing w:after="0" w:line="276" w:lineRule="auto"/>
              <w:ind w:left="0"/>
              <w:jc w:val="left"/>
              <w:rPr>
                <w:noProof/>
              </w:rPr>
            </w:pPr>
            <w:r>
              <w:rPr>
                <w:noProof/>
              </w:rPr>
              <w:t>V skladu s priporočili italijanskega računskega sodišča vzpostaviti skupne podatkovne zbirke o incidentih („dissesto“),</w:t>
            </w:r>
          </w:p>
          <w:p w14:paraId="1C597A1C" w14:textId="77777777" w:rsidR="00154E32" w:rsidRDefault="00154E32">
            <w:pPr>
              <w:spacing w:line="276" w:lineRule="auto"/>
              <w:rPr>
                <w:rFonts w:ascii="Arial Narrow" w:hAnsi="Arial Narrow"/>
                <w:noProof/>
                <w:color w:val="006100"/>
                <w:sz w:val="20"/>
              </w:rPr>
            </w:pPr>
          </w:p>
          <w:p w14:paraId="2FAE4270" w14:textId="77777777" w:rsidR="00154E32" w:rsidRDefault="00A43E04">
            <w:pPr>
              <w:pStyle w:val="P68B1DB1-ListParagraph13"/>
              <w:numPr>
                <w:ilvl w:val="0"/>
                <w:numId w:val="69"/>
              </w:numPr>
              <w:spacing w:after="0" w:line="276" w:lineRule="auto"/>
              <w:ind w:left="0"/>
              <w:jc w:val="left"/>
              <w:rPr>
                <w:noProof/>
              </w:rPr>
            </w:pPr>
            <w:r>
              <w:rPr>
                <w:noProof/>
              </w:rPr>
              <w:t>Določi najdaljši časovni okvir za vsako fazo.</w:t>
            </w:r>
          </w:p>
          <w:p w14:paraId="4B379A5A" w14:textId="77777777" w:rsidR="00154E32" w:rsidRDefault="00154E32">
            <w:pPr>
              <w:spacing w:line="276" w:lineRule="auto"/>
              <w:rPr>
                <w:rFonts w:ascii="Arial Narrow" w:hAnsi="Arial Narrow"/>
                <w:noProof/>
                <w:color w:val="006100"/>
                <w:sz w:val="20"/>
              </w:rPr>
            </w:pPr>
          </w:p>
          <w:p w14:paraId="2F295C77" w14:textId="77777777" w:rsidR="00154E32" w:rsidRDefault="00A43E04">
            <w:pPr>
              <w:pStyle w:val="P68B1DB1-ListParagraph13"/>
              <w:numPr>
                <w:ilvl w:val="0"/>
                <w:numId w:val="69"/>
              </w:numPr>
              <w:spacing w:after="0" w:line="276" w:lineRule="auto"/>
              <w:ind w:left="0"/>
              <w:jc w:val="left"/>
              <w:rPr>
                <w:noProof/>
              </w:rPr>
            </w:pPr>
            <w:r>
              <w:rPr>
                <w:noProof/>
              </w:rPr>
              <w:t>Določi načrt za okrepitev zmogljivosti zadevnih subjektov.</w:t>
            </w:r>
          </w:p>
          <w:p w14:paraId="60CD1F0A" w14:textId="77777777" w:rsidR="00154E32" w:rsidRDefault="00154E32">
            <w:pPr>
              <w:spacing w:line="276" w:lineRule="auto"/>
              <w:rPr>
                <w:rFonts w:ascii="Arial Narrow" w:hAnsi="Arial Narrow"/>
                <w:noProof/>
                <w:color w:val="006100"/>
                <w:sz w:val="20"/>
              </w:rPr>
            </w:pPr>
          </w:p>
        </w:tc>
      </w:tr>
      <w:tr w:rsidR="00154E32" w14:paraId="722284F8" w14:textId="77777777">
        <w:trPr>
          <w:trHeight w:val="309"/>
          <w:jc w:val="center"/>
        </w:trPr>
        <w:tc>
          <w:tcPr>
            <w:tcW w:w="1347" w:type="dxa"/>
            <w:tcBorders>
              <w:top w:val="nil"/>
              <w:left w:val="single" w:sz="4" w:space="0" w:color="auto"/>
              <w:bottom w:val="single" w:sz="4" w:space="0" w:color="auto"/>
              <w:right w:val="single" w:sz="4" w:space="0" w:color="auto"/>
            </w:tcBorders>
            <w:shd w:val="clear" w:color="auto" w:fill="C6EFCE"/>
            <w:noWrap/>
            <w:vAlign w:val="center"/>
            <w:hideMark/>
          </w:tcPr>
          <w:p w14:paraId="24DD0437" w14:textId="77777777" w:rsidR="00154E32" w:rsidRDefault="00A43E04">
            <w:pPr>
              <w:pStyle w:val="P68B1DB1-Normal11"/>
              <w:spacing w:line="276" w:lineRule="auto"/>
              <w:jc w:val="center"/>
              <w:rPr>
                <w:noProof/>
              </w:rPr>
            </w:pPr>
            <w:r>
              <w:rPr>
                <w:noProof/>
              </w:rPr>
              <w:t>M2C4–2</w:t>
            </w:r>
          </w:p>
        </w:tc>
        <w:tc>
          <w:tcPr>
            <w:tcW w:w="1495" w:type="dxa"/>
            <w:tcBorders>
              <w:top w:val="single" w:sz="4" w:space="0" w:color="auto"/>
              <w:left w:val="nil"/>
              <w:bottom w:val="single" w:sz="4" w:space="0" w:color="auto"/>
              <w:right w:val="single" w:sz="4" w:space="0" w:color="auto"/>
            </w:tcBorders>
            <w:shd w:val="clear" w:color="auto" w:fill="C6EFCE"/>
            <w:noWrap/>
            <w:vAlign w:val="center"/>
            <w:hideMark/>
          </w:tcPr>
          <w:p w14:paraId="4DF76DB3" w14:textId="77777777" w:rsidR="00154E32" w:rsidRDefault="00A43E04">
            <w:pPr>
              <w:pStyle w:val="P68B1DB1-Normal11"/>
              <w:spacing w:line="276" w:lineRule="auto"/>
              <w:jc w:val="center"/>
              <w:rPr>
                <w:noProof/>
              </w:rPr>
            </w:pPr>
            <w:r>
              <w:rPr>
                <w:noProof/>
              </w:rPr>
              <w:t>Reforma 4.2 „Ukrepi za zagotovitev popolnih upravljavskih zmogljivosti za integrirane storitve v zvezi z vodo“</w:t>
            </w:r>
          </w:p>
        </w:tc>
        <w:tc>
          <w:tcPr>
            <w:tcW w:w="1266" w:type="dxa"/>
            <w:tcBorders>
              <w:top w:val="nil"/>
              <w:left w:val="nil"/>
              <w:bottom w:val="single" w:sz="4" w:space="0" w:color="auto"/>
              <w:right w:val="single" w:sz="4" w:space="0" w:color="auto"/>
            </w:tcBorders>
            <w:shd w:val="clear" w:color="auto" w:fill="C6EFCE"/>
            <w:noWrap/>
            <w:vAlign w:val="center"/>
            <w:hideMark/>
          </w:tcPr>
          <w:p w14:paraId="28383CF4" w14:textId="77777777" w:rsidR="00154E32" w:rsidRDefault="00A43E04">
            <w:pPr>
              <w:pStyle w:val="P68B1DB1-Normal11"/>
              <w:spacing w:line="276" w:lineRule="auto"/>
              <w:jc w:val="center"/>
              <w:rPr>
                <w:noProof/>
              </w:rPr>
            </w:pPr>
            <w:r>
              <w:rPr>
                <w:noProof/>
              </w:rPr>
              <w:t>Mejnik</w:t>
            </w:r>
          </w:p>
        </w:tc>
        <w:tc>
          <w:tcPr>
            <w:tcW w:w="1460" w:type="dxa"/>
            <w:tcBorders>
              <w:top w:val="single" w:sz="4" w:space="0" w:color="auto"/>
              <w:left w:val="nil"/>
              <w:bottom w:val="single" w:sz="4" w:space="0" w:color="auto"/>
              <w:right w:val="single" w:sz="4" w:space="0" w:color="auto"/>
            </w:tcBorders>
            <w:shd w:val="clear" w:color="auto" w:fill="C6EFCE"/>
            <w:noWrap/>
            <w:vAlign w:val="center"/>
            <w:hideMark/>
          </w:tcPr>
          <w:p w14:paraId="297F1531" w14:textId="59933DEE" w:rsidR="00154E32" w:rsidRDefault="00A43E04">
            <w:pPr>
              <w:pStyle w:val="P68B1DB1-Normal11"/>
              <w:spacing w:line="276" w:lineRule="auto"/>
              <w:jc w:val="center"/>
              <w:rPr>
                <w:noProof/>
              </w:rPr>
            </w:pPr>
            <w:r>
              <w:rPr>
                <w:noProof/>
              </w:rPr>
              <w:t>Začetek veljavnosti reforme za zagotovitev popolnih upravljavskih zmogljivosti za integrirane storitve v zvezi z vodo</w:t>
            </w:r>
          </w:p>
        </w:tc>
        <w:tc>
          <w:tcPr>
            <w:tcW w:w="1414" w:type="dxa"/>
            <w:tcBorders>
              <w:top w:val="nil"/>
              <w:left w:val="nil"/>
              <w:bottom w:val="single" w:sz="4" w:space="0" w:color="auto"/>
              <w:right w:val="single" w:sz="4" w:space="0" w:color="auto"/>
            </w:tcBorders>
            <w:shd w:val="clear" w:color="auto" w:fill="C6EFCE"/>
            <w:noWrap/>
            <w:vAlign w:val="center"/>
            <w:hideMark/>
          </w:tcPr>
          <w:p w14:paraId="0B5CC0CF" w14:textId="77777777" w:rsidR="00154E32" w:rsidRDefault="00A43E04">
            <w:pPr>
              <w:pStyle w:val="P68B1DB1-Normal11"/>
              <w:spacing w:line="276" w:lineRule="auto"/>
              <w:jc w:val="center"/>
              <w:rPr>
                <w:noProof/>
              </w:rPr>
            </w:pPr>
            <w:r>
              <w:rPr>
                <w:noProof/>
              </w:rPr>
              <w:t>Določba v ustreznem pravnem aktu(-ih), ki navaja(-jo) začetek veljavnosti</w:t>
            </w:r>
          </w:p>
        </w:tc>
        <w:tc>
          <w:tcPr>
            <w:tcW w:w="1410" w:type="dxa"/>
            <w:tcBorders>
              <w:top w:val="nil"/>
              <w:left w:val="nil"/>
              <w:bottom w:val="single" w:sz="4" w:space="0" w:color="auto"/>
              <w:right w:val="single" w:sz="4" w:space="0" w:color="auto"/>
            </w:tcBorders>
            <w:shd w:val="clear" w:color="auto" w:fill="C6EFCE"/>
            <w:noWrap/>
            <w:vAlign w:val="center"/>
            <w:hideMark/>
          </w:tcPr>
          <w:p w14:paraId="005D8E09" w14:textId="77777777" w:rsidR="00154E32" w:rsidRDefault="00A43E04">
            <w:pPr>
              <w:pStyle w:val="P68B1DB1-Normal11"/>
              <w:spacing w:line="276" w:lineRule="auto"/>
              <w:jc w:val="center"/>
              <w:rPr>
                <w:noProof/>
              </w:rPr>
            </w:pPr>
            <w:r>
              <w:rPr>
                <w:noProof/>
              </w:rPr>
              <w:t>JIH NI</w:t>
            </w:r>
          </w:p>
        </w:tc>
        <w:tc>
          <w:tcPr>
            <w:tcW w:w="1047" w:type="dxa"/>
            <w:tcBorders>
              <w:top w:val="nil"/>
              <w:left w:val="nil"/>
              <w:bottom w:val="single" w:sz="4" w:space="0" w:color="auto"/>
              <w:right w:val="single" w:sz="4" w:space="0" w:color="auto"/>
            </w:tcBorders>
            <w:shd w:val="clear" w:color="auto" w:fill="C6EFCE"/>
            <w:noWrap/>
            <w:vAlign w:val="center"/>
            <w:hideMark/>
          </w:tcPr>
          <w:p w14:paraId="201E91AA" w14:textId="77777777" w:rsidR="00154E32" w:rsidRDefault="00A43E04">
            <w:pPr>
              <w:pStyle w:val="P68B1DB1-Normal11"/>
              <w:spacing w:line="276" w:lineRule="auto"/>
              <w:jc w:val="center"/>
              <w:rPr>
                <w:noProof/>
              </w:rPr>
            </w:pPr>
            <w:r>
              <w:rPr>
                <w:noProof/>
              </w:rPr>
              <w:t>JIH NI</w:t>
            </w:r>
          </w:p>
        </w:tc>
        <w:tc>
          <w:tcPr>
            <w:tcW w:w="719" w:type="dxa"/>
            <w:tcBorders>
              <w:top w:val="nil"/>
              <w:left w:val="nil"/>
              <w:bottom w:val="single" w:sz="4" w:space="0" w:color="auto"/>
              <w:right w:val="single" w:sz="4" w:space="0" w:color="auto"/>
            </w:tcBorders>
            <w:shd w:val="clear" w:color="auto" w:fill="C6EFCE"/>
            <w:noWrap/>
            <w:vAlign w:val="center"/>
            <w:hideMark/>
          </w:tcPr>
          <w:p w14:paraId="4FC6E88C" w14:textId="77777777" w:rsidR="00154E32" w:rsidRDefault="00A43E04">
            <w:pPr>
              <w:pStyle w:val="P68B1DB1-Normal11"/>
              <w:spacing w:line="276" w:lineRule="auto"/>
              <w:jc w:val="center"/>
              <w:rPr>
                <w:noProof/>
              </w:rPr>
            </w:pPr>
            <w:r>
              <w:rPr>
                <w:noProof/>
              </w:rPr>
              <w:t>JIH NI</w:t>
            </w:r>
          </w:p>
        </w:tc>
        <w:tc>
          <w:tcPr>
            <w:tcW w:w="809" w:type="dxa"/>
            <w:tcBorders>
              <w:top w:val="nil"/>
              <w:left w:val="nil"/>
              <w:bottom w:val="single" w:sz="4" w:space="0" w:color="auto"/>
              <w:right w:val="single" w:sz="4" w:space="0" w:color="auto"/>
            </w:tcBorders>
            <w:shd w:val="clear" w:color="auto" w:fill="C6EFCE"/>
            <w:noWrap/>
            <w:vAlign w:val="center"/>
            <w:hideMark/>
          </w:tcPr>
          <w:p w14:paraId="1CD41728" w14:textId="77777777" w:rsidR="00154E32" w:rsidRDefault="00A43E04">
            <w:pPr>
              <w:pStyle w:val="P68B1DB1-Normal11"/>
              <w:spacing w:line="276" w:lineRule="auto"/>
              <w:jc w:val="center"/>
              <w:rPr>
                <w:noProof/>
              </w:rPr>
            </w:pPr>
            <w:r>
              <w:rPr>
                <w:noProof/>
              </w:rPr>
              <w:t>Q3</w:t>
            </w:r>
          </w:p>
        </w:tc>
        <w:tc>
          <w:tcPr>
            <w:tcW w:w="794" w:type="dxa"/>
            <w:tcBorders>
              <w:top w:val="nil"/>
              <w:left w:val="nil"/>
              <w:bottom w:val="single" w:sz="4" w:space="0" w:color="auto"/>
              <w:right w:val="single" w:sz="4" w:space="0" w:color="auto"/>
            </w:tcBorders>
            <w:shd w:val="clear" w:color="auto" w:fill="C6EFCE"/>
            <w:noWrap/>
            <w:vAlign w:val="center"/>
            <w:hideMark/>
          </w:tcPr>
          <w:p w14:paraId="0F891A46" w14:textId="77777777" w:rsidR="00154E32" w:rsidRDefault="00A43E04">
            <w:pPr>
              <w:pStyle w:val="P68B1DB1-Normal11"/>
              <w:spacing w:line="276" w:lineRule="auto"/>
              <w:jc w:val="center"/>
              <w:rPr>
                <w:noProof/>
              </w:rPr>
            </w:pPr>
            <w:r>
              <w:rPr>
                <w:noProof/>
              </w:rPr>
              <w:t>2022</w:t>
            </w:r>
          </w:p>
        </w:tc>
        <w:tc>
          <w:tcPr>
            <w:tcW w:w="2799" w:type="dxa"/>
            <w:tcBorders>
              <w:top w:val="nil"/>
              <w:left w:val="nil"/>
              <w:bottom w:val="single" w:sz="4" w:space="0" w:color="auto"/>
              <w:right w:val="single" w:sz="4" w:space="0" w:color="auto"/>
            </w:tcBorders>
            <w:shd w:val="clear" w:color="auto" w:fill="C6EFCE"/>
            <w:noWrap/>
            <w:vAlign w:val="center"/>
            <w:hideMark/>
          </w:tcPr>
          <w:p w14:paraId="19C1A083" w14:textId="77777777" w:rsidR="00154E32" w:rsidRDefault="00A43E04">
            <w:pPr>
              <w:pStyle w:val="P68B1DB1-Normal11"/>
              <w:spacing w:line="276" w:lineRule="auto"/>
              <w:rPr>
                <w:noProof/>
              </w:rPr>
            </w:pPr>
            <w:r>
              <w:rPr>
                <w:noProof/>
              </w:rPr>
              <w:t>Splošni zakon/uredbe o storitvah za rabo vode za njihovo trajnostno rabo in spodbujanje naložb v vodno infrastrukturo, ki morajo vsaj:</w:t>
            </w:r>
          </w:p>
          <w:p w14:paraId="34377418" w14:textId="77777777" w:rsidR="00154E32" w:rsidRDefault="00154E32">
            <w:pPr>
              <w:spacing w:line="276" w:lineRule="auto"/>
              <w:rPr>
                <w:rFonts w:ascii="Arial Narrow" w:hAnsi="Arial Narrow"/>
                <w:noProof/>
                <w:color w:val="006100"/>
                <w:sz w:val="20"/>
              </w:rPr>
            </w:pPr>
          </w:p>
          <w:p w14:paraId="4E6D8087" w14:textId="77777777" w:rsidR="00154E32" w:rsidRDefault="00A43E04">
            <w:pPr>
              <w:pStyle w:val="P68B1DB1-ListParagraph13"/>
              <w:numPr>
                <w:ilvl w:val="0"/>
                <w:numId w:val="69"/>
              </w:numPr>
              <w:spacing w:after="0" w:line="276" w:lineRule="auto"/>
              <w:ind w:left="0"/>
              <w:jc w:val="left"/>
              <w:rPr>
                <w:noProof/>
              </w:rPr>
            </w:pPr>
            <w:r>
              <w:rPr>
                <w:noProof/>
              </w:rPr>
              <w:t>Zmanjšanje razdrobljenosti subjektov s pravili in mehanizmi združevanja, da bi spodbudili trenutno avtonomne upravljavce k vključitvi v edinstvene gospodarske subjekte za celotno območje Ambito Territoriale Ottimale;</w:t>
            </w:r>
          </w:p>
          <w:p w14:paraId="59E8A3A4" w14:textId="77777777" w:rsidR="00154E32" w:rsidRDefault="00154E32">
            <w:pPr>
              <w:pStyle w:val="ListParagraph"/>
              <w:spacing w:after="0" w:line="276" w:lineRule="auto"/>
              <w:ind w:left="0"/>
              <w:jc w:val="left"/>
              <w:rPr>
                <w:rFonts w:ascii="Arial Narrow" w:hAnsi="Arial Narrow"/>
                <w:noProof/>
                <w:color w:val="006100"/>
                <w:sz w:val="20"/>
              </w:rPr>
            </w:pPr>
          </w:p>
          <w:p w14:paraId="4CDABA4C" w14:textId="77777777" w:rsidR="00154E32" w:rsidRDefault="00A43E04">
            <w:pPr>
              <w:pStyle w:val="P68B1DB1-ListParagraph13"/>
              <w:numPr>
                <w:ilvl w:val="0"/>
                <w:numId w:val="69"/>
              </w:numPr>
              <w:spacing w:after="0" w:line="276" w:lineRule="auto"/>
              <w:ind w:left="0"/>
              <w:jc w:val="left"/>
              <w:rPr>
                <w:noProof/>
              </w:rPr>
            </w:pPr>
            <w:r>
              <w:rPr>
                <w:noProof/>
              </w:rPr>
              <w:t>Zagotoviti spodbude za trajnostno rabo vode v kmetijstvu, zlasti za podporo uporabi skupnega sistema spremljanja rabe vode (SIGRIAN) za kolektivno in samooskrbo z namakanjem;</w:t>
            </w:r>
          </w:p>
          <w:p w14:paraId="7E29C8C7" w14:textId="77777777" w:rsidR="00154E32" w:rsidRDefault="00154E32">
            <w:pPr>
              <w:spacing w:line="276" w:lineRule="auto"/>
              <w:rPr>
                <w:rFonts w:ascii="Arial Narrow" w:hAnsi="Arial Narrow"/>
                <w:noProof/>
                <w:color w:val="006100"/>
                <w:sz w:val="20"/>
              </w:rPr>
            </w:pPr>
          </w:p>
          <w:p w14:paraId="24086BF6" w14:textId="77777777" w:rsidR="00154E32" w:rsidRDefault="00A43E04">
            <w:pPr>
              <w:pStyle w:val="P68B1DB1-ListParagraph13"/>
              <w:numPr>
                <w:ilvl w:val="0"/>
                <w:numId w:val="69"/>
              </w:numPr>
              <w:spacing w:after="0" w:line="276" w:lineRule="auto"/>
              <w:ind w:left="0"/>
              <w:jc w:val="left"/>
              <w:rPr>
                <w:noProof/>
              </w:rPr>
            </w:pPr>
            <w:r>
              <w:rPr>
                <w:noProof/>
              </w:rPr>
              <w:t>Določiti sistem reguliranih cen, ki ustrezno upošteva uporabo okoljskih virov in onesnaževanje v skladu z načelom „onesnaževalec plača“;</w:t>
            </w:r>
          </w:p>
        </w:tc>
      </w:tr>
      <w:tr w:rsidR="00154E32" w14:paraId="5AC2D420" w14:textId="77777777">
        <w:trPr>
          <w:trHeight w:val="309"/>
          <w:jc w:val="center"/>
        </w:trPr>
        <w:tc>
          <w:tcPr>
            <w:tcW w:w="1347" w:type="dxa"/>
            <w:tcBorders>
              <w:top w:val="nil"/>
              <w:left w:val="single" w:sz="4" w:space="0" w:color="auto"/>
              <w:bottom w:val="single" w:sz="4" w:space="0" w:color="auto"/>
              <w:right w:val="single" w:sz="4" w:space="0" w:color="auto"/>
            </w:tcBorders>
            <w:shd w:val="clear" w:color="auto" w:fill="C6EFCE"/>
            <w:noWrap/>
            <w:vAlign w:val="center"/>
            <w:hideMark/>
          </w:tcPr>
          <w:p w14:paraId="31541EAC" w14:textId="77777777" w:rsidR="00154E32" w:rsidRDefault="00A43E04">
            <w:pPr>
              <w:pStyle w:val="P68B1DB1-Normal11"/>
              <w:spacing w:line="276" w:lineRule="auto"/>
              <w:jc w:val="center"/>
              <w:rPr>
                <w:noProof/>
              </w:rPr>
            </w:pPr>
            <w:r>
              <w:rPr>
                <w:noProof/>
              </w:rPr>
              <w:t>M2C4–3</w:t>
            </w:r>
          </w:p>
        </w:tc>
        <w:tc>
          <w:tcPr>
            <w:tcW w:w="1495" w:type="dxa"/>
            <w:tcBorders>
              <w:top w:val="single" w:sz="4" w:space="0" w:color="auto"/>
              <w:left w:val="nil"/>
              <w:bottom w:val="single" w:sz="4" w:space="0" w:color="auto"/>
              <w:right w:val="single" w:sz="4" w:space="0" w:color="auto"/>
            </w:tcBorders>
            <w:shd w:val="clear" w:color="auto" w:fill="C6EFCE"/>
            <w:noWrap/>
            <w:vAlign w:val="center"/>
            <w:hideMark/>
          </w:tcPr>
          <w:p w14:paraId="03297AA3" w14:textId="77777777" w:rsidR="00154E32" w:rsidRDefault="00A43E04">
            <w:pPr>
              <w:pStyle w:val="P68B1DB1-Normal11"/>
              <w:spacing w:line="276" w:lineRule="auto"/>
              <w:jc w:val="center"/>
              <w:rPr>
                <w:noProof/>
              </w:rPr>
            </w:pPr>
            <w:r>
              <w:rPr>
                <w:noProof/>
              </w:rPr>
              <w:t>Reforma 4.2 „Ukrepi za zagotovitev popolnih upravljavskih zmogljivosti za integrirane storitve v zvezi z vodo“</w:t>
            </w:r>
          </w:p>
        </w:tc>
        <w:tc>
          <w:tcPr>
            <w:tcW w:w="1266" w:type="dxa"/>
            <w:tcBorders>
              <w:top w:val="nil"/>
              <w:left w:val="nil"/>
              <w:bottom w:val="single" w:sz="4" w:space="0" w:color="auto"/>
              <w:right w:val="single" w:sz="4" w:space="0" w:color="auto"/>
            </w:tcBorders>
            <w:shd w:val="clear" w:color="auto" w:fill="C6EFCE"/>
            <w:noWrap/>
            <w:vAlign w:val="center"/>
            <w:hideMark/>
          </w:tcPr>
          <w:p w14:paraId="695283FF" w14:textId="77777777" w:rsidR="00154E32" w:rsidRDefault="00A43E04">
            <w:pPr>
              <w:pStyle w:val="P68B1DB1-Normal11"/>
              <w:spacing w:line="276" w:lineRule="auto"/>
              <w:jc w:val="center"/>
              <w:rPr>
                <w:noProof/>
              </w:rPr>
            </w:pPr>
            <w:r>
              <w:rPr>
                <w:noProof/>
              </w:rPr>
              <w:t>Mejnik</w:t>
            </w:r>
          </w:p>
        </w:tc>
        <w:tc>
          <w:tcPr>
            <w:tcW w:w="1460" w:type="dxa"/>
            <w:tcBorders>
              <w:top w:val="single" w:sz="4" w:space="0" w:color="auto"/>
              <w:left w:val="nil"/>
              <w:bottom w:val="single" w:sz="4" w:space="0" w:color="auto"/>
              <w:right w:val="single" w:sz="4" w:space="0" w:color="auto"/>
            </w:tcBorders>
            <w:shd w:val="clear" w:color="auto" w:fill="C6EFCE"/>
            <w:noWrap/>
            <w:vAlign w:val="center"/>
            <w:hideMark/>
          </w:tcPr>
          <w:p w14:paraId="1D9EC41A" w14:textId="77777777" w:rsidR="00154E32" w:rsidRDefault="00A43E04">
            <w:pPr>
              <w:pStyle w:val="P68B1DB1-Normal11"/>
              <w:spacing w:line="276" w:lineRule="auto"/>
              <w:jc w:val="center"/>
              <w:rPr>
                <w:noProof/>
              </w:rPr>
            </w:pPr>
            <w:r>
              <w:rPr>
                <w:noProof/>
              </w:rPr>
              <w:t>Reforma pravnega okvira za boljše upravljanje in trajnostno rabo vode</w:t>
            </w:r>
          </w:p>
        </w:tc>
        <w:tc>
          <w:tcPr>
            <w:tcW w:w="1414" w:type="dxa"/>
            <w:tcBorders>
              <w:top w:val="nil"/>
              <w:left w:val="nil"/>
              <w:bottom w:val="single" w:sz="4" w:space="0" w:color="auto"/>
              <w:right w:val="single" w:sz="4" w:space="0" w:color="auto"/>
            </w:tcBorders>
            <w:shd w:val="clear" w:color="auto" w:fill="C6EFCE"/>
            <w:noWrap/>
            <w:vAlign w:val="center"/>
            <w:hideMark/>
          </w:tcPr>
          <w:p w14:paraId="6ED5EA97" w14:textId="77777777" w:rsidR="00154E32" w:rsidRDefault="00A43E04">
            <w:pPr>
              <w:pStyle w:val="P68B1DB1-Normal11"/>
              <w:spacing w:line="276" w:lineRule="auto"/>
              <w:jc w:val="center"/>
              <w:rPr>
                <w:noProof/>
              </w:rPr>
            </w:pPr>
            <w:r>
              <w:rPr>
                <w:noProof/>
              </w:rPr>
              <w:t>Začetek veljavnosti memorandumov o soglasju</w:t>
            </w:r>
          </w:p>
        </w:tc>
        <w:tc>
          <w:tcPr>
            <w:tcW w:w="1410" w:type="dxa"/>
            <w:tcBorders>
              <w:top w:val="nil"/>
              <w:left w:val="nil"/>
              <w:bottom w:val="single" w:sz="4" w:space="0" w:color="auto"/>
              <w:right w:val="single" w:sz="4" w:space="0" w:color="auto"/>
            </w:tcBorders>
            <w:shd w:val="clear" w:color="auto" w:fill="C6EFCE"/>
            <w:noWrap/>
            <w:vAlign w:val="center"/>
            <w:hideMark/>
          </w:tcPr>
          <w:p w14:paraId="1F959832" w14:textId="77777777" w:rsidR="00154E32" w:rsidRDefault="00A43E04">
            <w:pPr>
              <w:pStyle w:val="P68B1DB1-Normal11"/>
              <w:spacing w:line="276" w:lineRule="auto"/>
              <w:jc w:val="center"/>
              <w:rPr>
                <w:noProof/>
              </w:rPr>
            </w:pPr>
            <w:r>
              <w:rPr>
                <w:noProof/>
              </w:rPr>
              <w:t>JIH NI</w:t>
            </w:r>
          </w:p>
        </w:tc>
        <w:tc>
          <w:tcPr>
            <w:tcW w:w="1047" w:type="dxa"/>
            <w:tcBorders>
              <w:top w:val="nil"/>
              <w:left w:val="nil"/>
              <w:bottom w:val="single" w:sz="4" w:space="0" w:color="auto"/>
              <w:right w:val="single" w:sz="4" w:space="0" w:color="auto"/>
            </w:tcBorders>
            <w:shd w:val="clear" w:color="auto" w:fill="C6EFCE"/>
            <w:noWrap/>
            <w:vAlign w:val="center"/>
            <w:hideMark/>
          </w:tcPr>
          <w:p w14:paraId="48FC7B06" w14:textId="77777777" w:rsidR="00154E32" w:rsidRDefault="00A43E04">
            <w:pPr>
              <w:pStyle w:val="P68B1DB1-Normal11"/>
              <w:spacing w:line="276" w:lineRule="auto"/>
              <w:jc w:val="center"/>
              <w:rPr>
                <w:noProof/>
              </w:rPr>
            </w:pPr>
            <w:r>
              <w:rPr>
                <w:noProof/>
              </w:rPr>
              <w:t>JIH NI</w:t>
            </w:r>
          </w:p>
        </w:tc>
        <w:tc>
          <w:tcPr>
            <w:tcW w:w="719" w:type="dxa"/>
            <w:tcBorders>
              <w:top w:val="nil"/>
              <w:left w:val="nil"/>
              <w:bottom w:val="single" w:sz="4" w:space="0" w:color="auto"/>
              <w:right w:val="single" w:sz="4" w:space="0" w:color="auto"/>
            </w:tcBorders>
            <w:shd w:val="clear" w:color="auto" w:fill="C6EFCE"/>
            <w:noWrap/>
            <w:vAlign w:val="center"/>
            <w:hideMark/>
          </w:tcPr>
          <w:p w14:paraId="19086C40" w14:textId="77777777" w:rsidR="00154E32" w:rsidRDefault="00A43E04">
            <w:pPr>
              <w:pStyle w:val="P68B1DB1-Normal11"/>
              <w:spacing w:line="276" w:lineRule="auto"/>
              <w:jc w:val="center"/>
              <w:rPr>
                <w:noProof/>
              </w:rPr>
            </w:pPr>
            <w:r>
              <w:rPr>
                <w:noProof/>
              </w:rPr>
              <w:t>JIH NI</w:t>
            </w:r>
          </w:p>
        </w:tc>
        <w:tc>
          <w:tcPr>
            <w:tcW w:w="809" w:type="dxa"/>
            <w:tcBorders>
              <w:top w:val="nil"/>
              <w:left w:val="nil"/>
              <w:bottom w:val="single" w:sz="4" w:space="0" w:color="auto"/>
              <w:right w:val="single" w:sz="4" w:space="0" w:color="auto"/>
            </w:tcBorders>
            <w:shd w:val="clear" w:color="auto" w:fill="C6EFCE"/>
            <w:noWrap/>
            <w:vAlign w:val="center"/>
            <w:hideMark/>
          </w:tcPr>
          <w:p w14:paraId="732D8945" w14:textId="77777777" w:rsidR="00154E32" w:rsidRDefault="00A43E04">
            <w:pPr>
              <w:pStyle w:val="P68B1DB1-Normal11"/>
              <w:spacing w:line="276" w:lineRule="auto"/>
              <w:jc w:val="center"/>
              <w:rPr>
                <w:noProof/>
              </w:rPr>
            </w:pPr>
            <w:r>
              <w:rPr>
                <w:noProof/>
              </w:rPr>
              <w:t>Q4</w:t>
            </w:r>
          </w:p>
        </w:tc>
        <w:tc>
          <w:tcPr>
            <w:tcW w:w="794" w:type="dxa"/>
            <w:tcBorders>
              <w:top w:val="nil"/>
              <w:left w:val="nil"/>
              <w:bottom w:val="single" w:sz="4" w:space="0" w:color="auto"/>
              <w:right w:val="single" w:sz="4" w:space="0" w:color="auto"/>
            </w:tcBorders>
            <w:shd w:val="clear" w:color="auto" w:fill="C6EFCE"/>
            <w:noWrap/>
            <w:vAlign w:val="center"/>
            <w:hideMark/>
          </w:tcPr>
          <w:p w14:paraId="34F81AD9" w14:textId="77777777" w:rsidR="00154E32" w:rsidRDefault="00A43E04">
            <w:pPr>
              <w:pStyle w:val="P68B1DB1-Normal11"/>
              <w:spacing w:line="276" w:lineRule="auto"/>
              <w:jc w:val="center"/>
              <w:rPr>
                <w:noProof/>
              </w:rPr>
            </w:pPr>
            <w:r>
              <w:rPr>
                <w:noProof/>
              </w:rPr>
              <w:t>2021</w:t>
            </w:r>
          </w:p>
        </w:tc>
        <w:tc>
          <w:tcPr>
            <w:tcW w:w="2799" w:type="dxa"/>
            <w:tcBorders>
              <w:top w:val="nil"/>
              <w:left w:val="nil"/>
              <w:bottom w:val="single" w:sz="4" w:space="0" w:color="auto"/>
              <w:right w:val="single" w:sz="4" w:space="0" w:color="auto"/>
            </w:tcBorders>
            <w:shd w:val="clear" w:color="auto" w:fill="C6EFCE"/>
            <w:noWrap/>
            <w:vAlign w:val="center"/>
            <w:hideMark/>
          </w:tcPr>
          <w:p w14:paraId="2D2AB732" w14:textId="18C229EF" w:rsidR="00154E32" w:rsidRDefault="00A43E04">
            <w:pPr>
              <w:pStyle w:val="P68B1DB1-Normal12"/>
              <w:spacing w:line="276" w:lineRule="auto"/>
              <w:rPr>
                <w:rFonts w:ascii="Arial Narrow" w:hAnsi="Arial Narrow"/>
                <w:noProof/>
              </w:rPr>
            </w:pPr>
            <w:r>
              <w:rPr>
                <w:noProof/>
              </w:rPr>
              <w:t>Ministrstvo</w:t>
            </w:r>
            <w:r>
              <w:rPr>
                <w:rFonts w:ascii="Arial Narrow" w:hAnsi="Arial Narrow"/>
                <w:noProof/>
              </w:rPr>
              <w:t>za ekološki prehod je podpisalo memorandume o podtajanju z regijami Kampanija, Kalabrija, Molise in Sicilija, da bi se zmanjšala razdrobljenost števila gospodarskih subjektov, ki zagotavljajo storitve za rabo vode. V memorandumu o soglasju bi bilo treba določiti cilje v smislu določitve organov lokalne samouprave, zmanjšanja števila izvajalcev in doseganja ekonomije obsega z namenom vzpostavitve enega samega izvajalca za najmanj 40000</w:t>
            </w:r>
            <w:r>
              <w:rPr>
                <w:noProof/>
              </w:rPr>
              <w:t xml:space="preserve"> </w:t>
            </w:r>
            <w:r>
              <w:rPr>
                <w:rFonts w:ascii="Arial Narrow" w:hAnsi="Arial Narrow"/>
                <w:noProof/>
              </w:rPr>
              <w:t>prebivalcev</w:t>
            </w:r>
            <w:r>
              <w:rPr>
                <w:noProof/>
              </w:rPr>
              <w:t>.</w:t>
            </w:r>
          </w:p>
        </w:tc>
      </w:tr>
      <w:tr w:rsidR="00154E32" w14:paraId="2FBA1F3D" w14:textId="77777777">
        <w:trPr>
          <w:trHeight w:val="309"/>
          <w:jc w:val="center"/>
        </w:trPr>
        <w:tc>
          <w:tcPr>
            <w:tcW w:w="1347" w:type="dxa"/>
            <w:tcBorders>
              <w:top w:val="nil"/>
              <w:left w:val="single" w:sz="4" w:space="0" w:color="auto"/>
              <w:bottom w:val="single" w:sz="4" w:space="0" w:color="auto"/>
              <w:right w:val="single" w:sz="4" w:space="0" w:color="auto"/>
            </w:tcBorders>
            <w:shd w:val="clear" w:color="auto" w:fill="C6EFCE"/>
            <w:noWrap/>
            <w:vAlign w:val="center"/>
            <w:hideMark/>
          </w:tcPr>
          <w:p w14:paraId="7F50BD17" w14:textId="77777777" w:rsidR="00154E32" w:rsidRDefault="00A43E04">
            <w:pPr>
              <w:pStyle w:val="P68B1DB1-Normal11"/>
              <w:spacing w:line="276" w:lineRule="auto"/>
              <w:jc w:val="center"/>
              <w:rPr>
                <w:noProof/>
              </w:rPr>
            </w:pPr>
            <w:r>
              <w:rPr>
                <w:noProof/>
              </w:rPr>
              <w:t>M2C4–4</w:t>
            </w:r>
          </w:p>
        </w:tc>
        <w:tc>
          <w:tcPr>
            <w:tcW w:w="1495" w:type="dxa"/>
            <w:tcBorders>
              <w:top w:val="single" w:sz="4" w:space="0" w:color="auto"/>
              <w:left w:val="nil"/>
              <w:bottom w:val="single" w:sz="4" w:space="0" w:color="auto"/>
              <w:right w:val="single" w:sz="4" w:space="0" w:color="auto"/>
            </w:tcBorders>
            <w:shd w:val="clear" w:color="auto" w:fill="C6EFCE"/>
            <w:noWrap/>
            <w:vAlign w:val="center"/>
            <w:hideMark/>
          </w:tcPr>
          <w:p w14:paraId="57732A05" w14:textId="77777777" w:rsidR="00154E32" w:rsidRDefault="00A43E04">
            <w:pPr>
              <w:pStyle w:val="P68B1DB1-Normal11"/>
              <w:spacing w:line="276" w:lineRule="auto"/>
              <w:jc w:val="center"/>
              <w:rPr>
                <w:noProof/>
              </w:rPr>
            </w:pPr>
            <w:r>
              <w:rPr>
                <w:noProof/>
              </w:rPr>
              <w:t>Reforma 4.2 „Ukrepi za zagotovitev popolnih upravljavskih zmogljivosti za integrirane storitve v zvezi z vodo</w:t>
            </w:r>
          </w:p>
        </w:tc>
        <w:tc>
          <w:tcPr>
            <w:tcW w:w="1266" w:type="dxa"/>
            <w:tcBorders>
              <w:top w:val="nil"/>
              <w:left w:val="nil"/>
              <w:bottom w:val="single" w:sz="4" w:space="0" w:color="auto"/>
              <w:right w:val="single" w:sz="4" w:space="0" w:color="auto"/>
            </w:tcBorders>
            <w:shd w:val="clear" w:color="auto" w:fill="C6EFCE"/>
            <w:noWrap/>
            <w:vAlign w:val="center"/>
            <w:hideMark/>
          </w:tcPr>
          <w:p w14:paraId="781FD5A8" w14:textId="77777777" w:rsidR="00154E32" w:rsidRDefault="00A43E04">
            <w:pPr>
              <w:pStyle w:val="P68B1DB1-Normal11"/>
              <w:spacing w:line="276" w:lineRule="auto"/>
              <w:jc w:val="center"/>
              <w:rPr>
                <w:noProof/>
              </w:rPr>
            </w:pPr>
            <w:r>
              <w:rPr>
                <w:noProof/>
              </w:rPr>
              <w:t>Mejnik</w:t>
            </w:r>
          </w:p>
        </w:tc>
        <w:tc>
          <w:tcPr>
            <w:tcW w:w="1460" w:type="dxa"/>
            <w:tcBorders>
              <w:top w:val="single" w:sz="4" w:space="0" w:color="auto"/>
              <w:left w:val="nil"/>
              <w:bottom w:val="single" w:sz="4" w:space="0" w:color="auto"/>
              <w:right w:val="single" w:sz="4" w:space="0" w:color="auto"/>
            </w:tcBorders>
            <w:shd w:val="clear" w:color="auto" w:fill="C6EFCE"/>
            <w:noWrap/>
            <w:vAlign w:val="center"/>
            <w:hideMark/>
          </w:tcPr>
          <w:p w14:paraId="7854980C" w14:textId="77777777" w:rsidR="00154E32" w:rsidRDefault="00A43E04">
            <w:pPr>
              <w:pStyle w:val="P68B1DB1-Normal11"/>
              <w:spacing w:line="276" w:lineRule="auto"/>
              <w:jc w:val="center"/>
              <w:rPr>
                <w:noProof/>
              </w:rPr>
            </w:pPr>
            <w:r>
              <w:rPr>
                <w:noProof/>
              </w:rPr>
              <w:t>Začetek veljavnosti novega pravnega okvira za namakanje</w:t>
            </w:r>
          </w:p>
        </w:tc>
        <w:tc>
          <w:tcPr>
            <w:tcW w:w="1414" w:type="dxa"/>
            <w:tcBorders>
              <w:top w:val="nil"/>
              <w:left w:val="nil"/>
              <w:bottom w:val="single" w:sz="4" w:space="0" w:color="auto"/>
              <w:right w:val="single" w:sz="4" w:space="0" w:color="auto"/>
            </w:tcBorders>
            <w:shd w:val="clear" w:color="auto" w:fill="C6EFCE"/>
            <w:noWrap/>
            <w:vAlign w:val="center"/>
            <w:hideMark/>
          </w:tcPr>
          <w:p w14:paraId="6059F4AD" w14:textId="77777777" w:rsidR="00154E32" w:rsidRDefault="00A43E04">
            <w:pPr>
              <w:pStyle w:val="P68B1DB1-Normal11"/>
              <w:spacing w:line="276" w:lineRule="auto"/>
              <w:jc w:val="center"/>
              <w:rPr>
                <w:noProof/>
              </w:rPr>
            </w:pPr>
            <w:r>
              <w:rPr>
                <w:noProof/>
              </w:rPr>
              <w:t>Določba v ustreznem zakonodajnem aktu, ki navaja začetek veljavnosti</w:t>
            </w:r>
          </w:p>
        </w:tc>
        <w:tc>
          <w:tcPr>
            <w:tcW w:w="1410" w:type="dxa"/>
            <w:tcBorders>
              <w:top w:val="nil"/>
              <w:left w:val="nil"/>
              <w:bottom w:val="single" w:sz="4" w:space="0" w:color="auto"/>
              <w:right w:val="single" w:sz="4" w:space="0" w:color="auto"/>
            </w:tcBorders>
            <w:shd w:val="clear" w:color="auto" w:fill="C6EFCE"/>
            <w:noWrap/>
            <w:vAlign w:val="center"/>
            <w:hideMark/>
          </w:tcPr>
          <w:p w14:paraId="760C7579" w14:textId="77777777" w:rsidR="00154E32" w:rsidRDefault="00A43E04">
            <w:pPr>
              <w:pStyle w:val="P68B1DB1-Normal11"/>
              <w:spacing w:line="276" w:lineRule="auto"/>
              <w:jc w:val="center"/>
              <w:rPr>
                <w:noProof/>
              </w:rPr>
            </w:pPr>
            <w:r>
              <w:rPr>
                <w:noProof/>
              </w:rPr>
              <w:t>JIH NI</w:t>
            </w:r>
          </w:p>
        </w:tc>
        <w:tc>
          <w:tcPr>
            <w:tcW w:w="1047" w:type="dxa"/>
            <w:tcBorders>
              <w:top w:val="nil"/>
              <w:left w:val="nil"/>
              <w:bottom w:val="single" w:sz="4" w:space="0" w:color="auto"/>
              <w:right w:val="single" w:sz="4" w:space="0" w:color="auto"/>
            </w:tcBorders>
            <w:shd w:val="clear" w:color="auto" w:fill="C6EFCE"/>
            <w:noWrap/>
            <w:vAlign w:val="center"/>
            <w:hideMark/>
          </w:tcPr>
          <w:p w14:paraId="5703A0FC" w14:textId="77777777" w:rsidR="00154E32" w:rsidRDefault="00A43E04">
            <w:pPr>
              <w:pStyle w:val="P68B1DB1-Normal11"/>
              <w:spacing w:line="276" w:lineRule="auto"/>
              <w:jc w:val="center"/>
              <w:rPr>
                <w:noProof/>
              </w:rPr>
            </w:pPr>
            <w:r>
              <w:rPr>
                <w:noProof/>
              </w:rPr>
              <w:t>JIH NI</w:t>
            </w:r>
          </w:p>
        </w:tc>
        <w:tc>
          <w:tcPr>
            <w:tcW w:w="719" w:type="dxa"/>
            <w:tcBorders>
              <w:top w:val="nil"/>
              <w:left w:val="nil"/>
              <w:bottom w:val="single" w:sz="4" w:space="0" w:color="auto"/>
              <w:right w:val="single" w:sz="4" w:space="0" w:color="auto"/>
            </w:tcBorders>
            <w:shd w:val="clear" w:color="auto" w:fill="C6EFCE"/>
            <w:noWrap/>
            <w:vAlign w:val="center"/>
            <w:hideMark/>
          </w:tcPr>
          <w:p w14:paraId="4143D178" w14:textId="77777777" w:rsidR="00154E32" w:rsidRDefault="00A43E04">
            <w:pPr>
              <w:pStyle w:val="P68B1DB1-Normal11"/>
              <w:spacing w:line="276" w:lineRule="auto"/>
              <w:jc w:val="center"/>
              <w:rPr>
                <w:noProof/>
              </w:rPr>
            </w:pPr>
            <w:r>
              <w:rPr>
                <w:noProof/>
              </w:rPr>
              <w:t>JIH NI</w:t>
            </w:r>
          </w:p>
        </w:tc>
        <w:tc>
          <w:tcPr>
            <w:tcW w:w="809" w:type="dxa"/>
            <w:tcBorders>
              <w:top w:val="nil"/>
              <w:left w:val="nil"/>
              <w:bottom w:val="single" w:sz="4" w:space="0" w:color="auto"/>
              <w:right w:val="single" w:sz="4" w:space="0" w:color="auto"/>
            </w:tcBorders>
            <w:shd w:val="clear" w:color="auto" w:fill="C6EFCE"/>
            <w:noWrap/>
            <w:vAlign w:val="center"/>
            <w:hideMark/>
          </w:tcPr>
          <w:p w14:paraId="61C7ADFA" w14:textId="77777777" w:rsidR="00154E32" w:rsidRDefault="00A43E04">
            <w:pPr>
              <w:pStyle w:val="P68B1DB1-Normal11"/>
              <w:spacing w:line="276" w:lineRule="auto"/>
              <w:jc w:val="center"/>
              <w:rPr>
                <w:noProof/>
              </w:rPr>
            </w:pPr>
            <w:r>
              <w:rPr>
                <w:noProof/>
              </w:rPr>
              <w:t>Q2</w:t>
            </w:r>
          </w:p>
        </w:tc>
        <w:tc>
          <w:tcPr>
            <w:tcW w:w="794" w:type="dxa"/>
            <w:tcBorders>
              <w:top w:val="nil"/>
              <w:left w:val="nil"/>
              <w:bottom w:val="single" w:sz="4" w:space="0" w:color="auto"/>
              <w:right w:val="single" w:sz="4" w:space="0" w:color="auto"/>
            </w:tcBorders>
            <w:shd w:val="clear" w:color="auto" w:fill="C6EFCE"/>
            <w:noWrap/>
            <w:vAlign w:val="center"/>
            <w:hideMark/>
          </w:tcPr>
          <w:p w14:paraId="446A314D" w14:textId="77777777" w:rsidR="00154E32" w:rsidRDefault="00A43E04">
            <w:pPr>
              <w:pStyle w:val="P68B1DB1-Normal11"/>
              <w:spacing w:line="276" w:lineRule="auto"/>
              <w:jc w:val="center"/>
              <w:rPr>
                <w:noProof/>
              </w:rPr>
            </w:pPr>
            <w:r>
              <w:rPr>
                <w:noProof/>
              </w:rPr>
              <w:t>2022</w:t>
            </w:r>
          </w:p>
        </w:tc>
        <w:tc>
          <w:tcPr>
            <w:tcW w:w="2799" w:type="dxa"/>
            <w:tcBorders>
              <w:top w:val="nil"/>
              <w:left w:val="nil"/>
              <w:bottom w:val="single" w:sz="4" w:space="0" w:color="auto"/>
              <w:right w:val="single" w:sz="4" w:space="0" w:color="auto"/>
            </w:tcBorders>
            <w:shd w:val="clear" w:color="auto" w:fill="C6EFCE"/>
            <w:noWrap/>
            <w:vAlign w:val="center"/>
            <w:hideMark/>
          </w:tcPr>
          <w:p w14:paraId="38F23CE0" w14:textId="77777777" w:rsidR="00154E32" w:rsidRDefault="00A43E04">
            <w:pPr>
              <w:pStyle w:val="P68B1DB1-Normal11"/>
              <w:spacing w:line="276" w:lineRule="auto"/>
              <w:rPr>
                <w:noProof/>
              </w:rPr>
            </w:pPr>
            <w:r>
              <w:rPr>
                <w:noProof/>
              </w:rPr>
              <w:t>Revidirani pravni okvir mora biti vsaj:</w:t>
            </w:r>
          </w:p>
          <w:p w14:paraId="4016386A" w14:textId="77777777" w:rsidR="00154E32" w:rsidRDefault="00154E32">
            <w:pPr>
              <w:spacing w:line="276" w:lineRule="auto"/>
              <w:rPr>
                <w:rFonts w:ascii="Arial Narrow" w:hAnsi="Arial Narrow"/>
                <w:noProof/>
                <w:color w:val="006100"/>
                <w:sz w:val="20"/>
              </w:rPr>
            </w:pPr>
          </w:p>
          <w:p w14:paraId="2F7F0896" w14:textId="77777777" w:rsidR="00154E32" w:rsidRDefault="00A43E04">
            <w:pPr>
              <w:pStyle w:val="P68B1DB1-Normal11"/>
              <w:spacing w:line="276" w:lineRule="auto"/>
              <w:rPr>
                <w:noProof/>
              </w:rPr>
            </w:pPr>
            <w:r>
              <w:rPr>
                <w:noProof/>
              </w:rPr>
              <w:t>Vzpostavitev sistema kazni za nezakonito črpanje vode</w:t>
            </w:r>
          </w:p>
          <w:p w14:paraId="3779204F" w14:textId="77777777" w:rsidR="00154E32" w:rsidRDefault="00A43E04">
            <w:pPr>
              <w:pStyle w:val="P68B1DB1-Normal11"/>
              <w:spacing w:line="276" w:lineRule="auto"/>
              <w:rPr>
                <w:noProof/>
              </w:rPr>
            </w:pPr>
            <w:r>
              <w:rPr>
                <w:noProof/>
              </w:rPr>
              <w:t>Zahteva presojo vplivov v skladu s členom 4(7) okvirne direktive o vodah, da se oceni (po možnosti kumulativni) vpliv na vsa vodna telesa, ki bi lahko bila prizadeta.</w:t>
            </w:r>
          </w:p>
          <w:p w14:paraId="3CD94AEB" w14:textId="77777777" w:rsidR="00154E32" w:rsidRDefault="00A43E04">
            <w:pPr>
              <w:pStyle w:val="P68B1DB1-Normal11"/>
              <w:spacing w:line="276" w:lineRule="auto"/>
              <w:rPr>
                <w:noProof/>
              </w:rPr>
            </w:pPr>
            <w:r>
              <w:rPr>
                <w:noProof/>
              </w:rPr>
              <w:t>—Zagotoviti, da se tej širitvi obstoječega namakalnega sistema (vključno s povečano uporabo vode, tj. ne le s fizično širitvijo) tudi z učinkovitejšimi metodami prepreči, kadar so zadevna vodna telesa (površinske ali podzemne vode) v stanju, ki je manjše od dobrega ali potencialno dobrega (v okviru vse večjih podnebnih sprememb).</w:t>
            </w:r>
          </w:p>
          <w:p w14:paraId="771BF980" w14:textId="77777777" w:rsidR="00154E32" w:rsidRDefault="00154E32">
            <w:pPr>
              <w:spacing w:line="276" w:lineRule="auto"/>
              <w:rPr>
                <w:rFonts w:ascii="Arial Narrow" w:hAnsi="Arial Narrow"/>
                <w:noProof/>
                <w:color w:val="006100"/>
                <w:sz w:val="20"/>
              </w:rPr>
            </w:pPr>
          </w:p>
          <w:p w14:paraId="073FA56E" w14:textId="77777777" w:rsidR="00154E32" w:rsidRDefault="00154E32">
            <w:pPr>
              <w:spacing w:line="276" w:lineRule="auto"/>
              <w:rPr>
                <w:rFonts w:ascii="Arial Narrow" w:hAnsi="Arial Narrow"/>
                <w:noProof/>
                <w:color w:val="006100"/>
                <w:sz w:val="20"/>
              </w:rPr>
            </w:pPr>
          </w:p>
        </w:tc>
      </w:tr>
      <w:tr w:rsidR="00154E32" w14:paraId="6A898A22" w14:textId="77777777">
        <w:trPr>
          <w:trHeight w:val="309"/>
          <w:jc w:val="center"/>
        </w:trPr>
        <w:tc>
          <w:tcPr>
            <w:tcW w:w="1347" w:type="dxa"/>
            <w:tcBorders>
              <w:top w:val="nil"/>
              <w:left w:val="single" w:sz="4" w:space="0" w:color="auto"/>
              <w:bottom w:val="single" w:sz="4" w:space="0" w:color="auto"/>
              <w:right w:val="single" w:sz="4" w:space="0" w:color="auto"/>
            </w:tcBorders>
            <w:shd w:val="clear" w:color="auto" w:fill="C6EFCE"/>
            <w:noWrap/>
            <w:vAlign w:val="center"/>
            <w:hideMark/>
          </w:tcPr>
          <w:p w14:paraId="124D3C6F" w14:textId="77777777" w:rsidR="00154E32" w:rsidRDefault="00A43E04">
            <w:pPr>
              <w:pStyle w:val="P68B1DB1-Normal11"/>
              <w:spacing w:line="276" w:lineRule="auto"/>
              <w:jc w:val="center"/>
              <w:rPr>
                <w:noProof/>
              </w:rPr>
            </w:pPr>
            <w:r>
              <w:rPr>
                <w:noProof/>
              </w:rPr>
              <w:t>M2C4–5</w:t>
            </w:r>
          </w:p>
        </w:tc>
        <w:tc>
          <w:tcPr>
            <w:tcW w:w="1495" w:type="dxa"/>
            <w:tcBorders>
              <w:top w:val="single" w:sz="4" w:space="0" w:color="auto"/>
              <w:left w:val="nil"/>
              <w:bottom w:val="single" w:sz="4" w:space="0" w:color="auto"/>
              <w:right w:val="single" w:sz="4" w:space="0" w:color="auto"/>
            </w:tcBorders>
            <w:shd w:val="clear" w:color="auto" w:fill="C6EFCE"/>
            <w:noWrap/>
            <w:vAlign w:val="center"/>
            <w:hideMark/>
          </w:tcPr>
          <w:p w14:paraId="38141690" w14:textId="77777777" w:rsidR="00154E32" w:rsidRDefault="00A43E04">
            <w:pPr>
              <w:pStyle w:val="P68B1DB1-Normal11"/>
              <w:spacing w:line="276" w:lineRule="auto"/>
              <w:jc w:val="center"/>
              <w:rPr>
                <w:noProof/>
              </w:rPr>
            </w:pPr>
            <w:r>
              <w:rPr>
                <w:noProof/>
              </w:rPr>
              <w:t>Naložba 3.2: Digitalizacija nacionalnih parkov</w:t>
            </w:r>
          </w:p>
        </w:tc>
        <w:tc>
          <w:tcPr>
            <w:tcW w:w="1266" w:type="dxa"/>
            <w:tcBorders>
              <w:top w:val="nil"/>
              <w:left w:val="nil"/>
              <w:bottom w:val="single" w:sz="4" w:space="0" w:color="auto"/>
              <w:right w:val="single" w:sz="4" w:space="0" w:color="auto"/>
            </w:tcBorders>
            <w:shd w:val="clear" w:color="auto" w:fill="C6EFCE"/>
            <w:noWrap/>
            <w:vAlign w:val="center"/>
            <w:hideMark/>
          </w:tcPr>
          <w:p w14:paraId="75B25A8A" w14:textId="77777777" w:rsidR="00154E32" w:rsidRDefault="00A43E04">
            <w:pPr>
              <w:pStyle w:val="P68B1DB1-Normal11"/>
              <w:spacing w:line="276" w:lineRule="auto"/>
              <w:jc w:val="center"/>
              <w:rPr>
                <w:noProof/>
              </w:rPr>
            </w:pPr>
            <w:r>
              <w:rPr>
                <w:noProof/>
              </w:rPr>
              <w:t>Mejnik</w:t>
            </w:r>
          </w:p>
        </w:tc>
        <w:tc>
          <w:tcPr>
            <w:tcW w:w="1460" w:type="dxa"/>
            <w:tcBorders>
              <w:top w:val="single" w:sz="4" w:space="0" w:color="auto"/>
              <w:left w:val="nil"/>
              <w:bottom w:val="single" w:sz="4" w:space="0" w:color="auto"/>
              <w:right w:val="single" w:sz="4" w:space="0" w:color="auto"/>
            </w:tcBorders>
            <w:shd w:val="clear" w:color="auto" w:fill="C6EFCE"/>
            <w:noWrap/>
            <w:vAlign w:val="center"/>
            <w:hideMark/>
          </w:tcPr>
          <w:p w14:paraId="5648643B" w14:textId="77777777" w:rsidR="00154E32" w:rsidRDefault="00A43E04">
            <w:pPr>
              <w:pStyle w:val="P68B1DB1-Normal11"/>
              <w:spacing w:line="276" w:lineRule="auto"/>
              <w:jc w:val="center"/>
              <w:rPr>
                <w:noProof/>
              </w:rPr>
            </w:pPr>
            <w:r>
              <w:rPr>
                <w:noProof/>
              </w:rPr>
              <w:t>Začetek veljavnosti upravne poenostavitve in razvoja digitalnih storitev za obiskovalce nacionalnih parkov in zaščitenih morskih območij</w:t>
            </w:r>
          </w:p>
        </w:tc>
        <w:tc>
          <w:tcPr>
            <w:tcW w:w="1414" w:type="dxa"/>
            <w:tcBorders>
              <w:top w:val="nil"/>
              <w:left w:val="nil"/>
              <w:bottom w:val="single" w:sz="4" w:space="0" w:color="auto"/>
              <w:right w:val="single" w:sz="4" w:space="0" w:color="auto"/>
            </w:tcBorders>
            <w:shd w:val="clear" w:color="auto" w:fill="C6EFCE"/>
            <w:noWrap/>
            <w:vAlign w:val="center"/>
            <w:hideMark/>
          </w:tcPr>
          <w:p w14:paraId="323A0E44" w14:textId="77777777" w:rsidR="00154E32" w:rsidRDefault="00A43E04">
            <w:pPr>
              <w:pStyle w:val="P68B1DB1-Normal11"/>
              <w:spacing w:line="276" w:lineRule="auto"/>
              <w:jc w:val="center"/>
              <w:rPr>
                <w:noProof/>
              </w:rPr>
            </w:pPr>
            <w:r>
              <w:rPr>
                <w:noProof/>
              </w:rPr>
              <w:t>Določba ministrske uredbe o začetku veljavnosti</w:t>
            </w:r>
          </w:p>
        </w:tc>
        <w:tc>
          <w:tcPr>
            <w:tcW w:w="1410" w:type="dxa"/>
            <w:tcBorders>
              <w:top w:val="nil"/>
              <w:left w:val="nil"/>
              <w:bottom w:val="single" w:sz="4" w:space="0" w:color="auto"/>
              <w:right w:val="single" w:sz="4" w:space="0" w:color="auto"/>
            </w:tcBorders>
            <w:shd w:val="clear" w:color="auto" w:fill="C6EFCE"/>
            <w:noWrap/>
            <w:vAlign w:val="center"/>
            <w:hideMark/>
          </w:tcPr>
          <w:p w14:paraId="78421094" w14:textId="77777777" w:rsidR="00154E32" w:rsidRDefault="00A43E04">
            <w:pPr>
              <w:pStyle w:val="P68B1DB1-Normal11"/>
              <w:spacing w:line="276" w:lineRule="auto"/>
              <w:jc w:val="center"/>
              <w:rPr>
                <w:noProof/>
              </w:rPr>
            </w:pPr>
            <w:r>
              <w:rPr>
                <w:noProof/>
              </w:rPr>
              <w:t>JIH NI</w:t>
            </w:r>
          </w:p>
        </w:tc>
        <w:tc>
          <w:tcPr>
            <w:tcW w:w="1047" w:type="dxa"/>
            <w:tcBorders>
              <w:top w:val="nil"/>
              <w:left w:val="nil"/>
              <w:bottom w:val="single" w:sz="4" w:space="0" w:color="auto"/>
              <w:right w:val="single" w:sz="4" w:space="0" w:color="auto"/>
            </w:tcBorders>
            <w:shd w:val="clear" w:color="auto" w:fill="C6EFCE"/>
            <w:noWrap/>
            <w:vAlign w:val="center"/>
            <w:hideMark/>
          </w:tcPr>
          <w:p w14:paraId="198301B8" w14:textId="77777777" w:rsidR="00154E32" w:rsidRDefault="00A43E04">
            <w:pPr>
              <w:pStyle w:val="P68B1DB1-Normal11"/>
              <w:spacing w:line="276" w:lineRule="auto"/>
              <w:jc w:val="center"/>
              <w:rPr>
                <w:noProof/>
              </w:rPr>
            </w:pPr>
            <w:r>
              <w:rPr>
                <w:noProof/>
              </w:rPr>
              <w:t>JIH NI</w:t>
            </w:r>
          </w:p>
        </w:tc>
        <w:tc>
          <w:tcPr>
            <w:tcW w:w="719" w:type="dxa"/>
            <w:tcBorders>
              <w:top w:val="nil"/>
              <w:left w:val="nil"/>
              <w:bottom w:val="single" w:sz="4" w:space="0" w:color="auto"/>
              <w:right w:val="single" w:sz="4" w:space="0" w:color="auto"/>
            </w:tcBorders>
            <w:shd w:val="clear" w:color="auto" w:fill="C6EFCE"/>
            <w:noWrap/>
            <w:vAlign w:val="center"/>
            <w:hideMark/>
          </w:tcPr>
          <w:p w14:paraId="51E59E60" w14:textId="77777777" w:rsidR="00154E32" w:rsidRDefault="00A43E04">
            <w:pPr>
              <w:pStyle w:val="P68B1DB1-Normal11"/>
              <w:spacing w:line="276" w:lineRule="auto"/>
              <w:jc w:val="center"/>
              <w:rPr>
                <w:noProof/>
              </w:rPr>
            </w:pPr>
            <w:r>
              <w:rPr>
                <w:noProof/>
              </w:rPr>
              <w:t>JIH NI</w:t>
            </w:r>
          </w:p>
        </w:tc>
        <w:tc>
          <w:tcPr>
            <w:tcW w:w="809" w:type="dxa"/>
            <w:tcBorders>
              <w:top w:val="nil"/>
              <w:left w:val="nil"/>
              <w:bottom w:val="single" w:sz="4" w:space="0" w:color="auto"/>
              <w:right w:val="single" w:sz="4" w:space="0" w:color="auto"/>
            </w:tcBorders>
            <w:shd w:val="clear" w:color="auto" w:fill="C6EFCE"/>
            <w:noWrap/>
            <w:vAlign w:val="center"/>
            <w:hideMark/>
          </w:tcPr>
          <w:p w14:paraId="70F99AFE" w14:textId="77777777" w:rsidR="00154E32" w:rsidRDefault="00A43E04">
            <w:pPr>
              <w:pStyle w:val="P68B1DB1-Normal11"/>
              <w:spacing w:line="276" w:lineRule="auto"/>
              <w:jc w:val="center"/>
              <w:rPr>
                <w:noProof/>
              </w:rPr>
            </w:pPr>
            <w:r>
              <w:rPr>
                <w:noProof/>
              </w:rPr>
              <w:t>ČETRTLETJE 1</w:t>
            </w:r>
          </w:p>
        </w:tc>
        <w:tc>
          <w:tcPr>
            <w:tcW w:w="794" w:type="dxa"/>
            <w:tcBorders>
              <w:top w:val="nil"/>
              <w:left w:val="nil"/>
              <w:bottom w:val="single" w:sz="4" w:space="0" w:color="auto"/>
              <w:right w:val="single" w:sz="4" w:space="0" w:color="auto"/>
            </w:tcBorders>
            <w:shd w:val="clear" w:color="auto" w:fill="C6EFCE"/>
            <w:noWrap/>
            <w:vAlign w:val="center"/>
            <w:hideMark/>
          </w:tcPr>
          <w:p w14:paraId="32BC0579" w14:textId="77777777" w:rsidR="00154E32" w:rsidRDefault="00A43E04">
            <w:pPr>
              <w:pStyle w:val="P68B1DB1-Normal11"/>
              <w:spacing w:line="276" w:lineRule="auto"/>
              <w:jc w:val="center"/>
              <w:rPr>
                <w:noProof/>
              </w:rPr>
            </w:pPr>
            <w:r>
              <w:rPr>
                <w:noProof/>
              </w:rPr>
              <w:t>2022</w:t>
            </w:r>
          </w:p>
        </w:tc>
        <w:tc>
          <w:tcPr>
            <w:tcW w:w="2799" w:type="dxa"/>
            <w:tcBorders>
              <w:top w:val="nil"/>
              <w:left w:val="nil"/>
              <w:bottom w:val="single" w:sz="4" w:space="0" w:color="auto"/>
              <w:right w:val="single" w:sz="4" w:space="0" w:color="auto"/>
            </w:tcBorders>
            <w:shd w:val="clear" w:color="auto" w:fill="C6EFCE"/>
            <w:noWrap/>
            <w:vAlign w:val="center"/>
            <w:hideMark/>
          </w:tcPr>
          <w:p w14:paraId="722ACEE4" w14:textId="77777777" w:rsidR="00154E32" w:rsidRDefault="00A43E04">
            <w:pPr>
              <w:pStyle w:val="P68B1DB1-Normal11"/>
              <w:spacing w:line="276" w:lineRule="auto"/>
              <w:rPr>
                <w:noProof/>
              </w:rPr>
            </w:pPr>
            <w:r>
              <w:rPr>
                <w:noProof/>
              </w:rPr>
              <w:t>Ministrski odlok določa razvoj digitalnih storitev za obiskovalce nacionalnih parkov in zaščitenih morskih območij.</w:t>
            </w:r>
          </w:p>
          <w:p w14:paraId="6F4FFC28" w14:textId="77777777" w:rsidR="00154E32" w:rsidRDefault="00154E32">
            <w:pPr>
              <w:spacing w:line="276" w:lineRule="auto"/>
              <w:rPr>
                <w:rFonts w:ascii="Arial Narrow" w:hAnsi="Arial Narrow"/>
                <w:noProof/>
                <w:color w:val="006100"/>
                <w:sz w:val="20"/>
              </w:rPr>
            </w:pPr>
          </w:p>
        </w:tc>
      </w:tr>
    </w:tbl>
    <w:p w14:paraId="47207066" w14:textId="77777777" w:rsidR="00154E32" w:rsidRDefault="00154E32">
      <w:pPr>
        <w:spacing w:before="120" w:after="120"/>
        <w:ind w:left="709"/>
        <w:jc w:val="both"/>
        <w:rPr>
          <w:noProof/>
        </w:rPr>
      </w:pPr>
    </w:p>
    <w:p w14:paraId="4284E2DB" w14:textId="77777777" w:rsidR="00154E32" w:rsidRDefault="00154E32">
      <w:pPr>
        <w:spacing w:before="120" w:after="120"/>
        <w:ind w:left="709"/>
        <w:jc w:val="both"/>
        <w:rPr>
          <w:noProof/>
        </w:rPr>
        <w:sectPr w:rsidR="00154E32" w:rsidSect="001354D1">
          <w:headerReference w:type="even" r:id="rId170"/>
          <w:headerReference w:type="default" r:id="rId171"/>
          <w:footerReference w:type="even" r:id="rId172"/>
          <w:footerReference w:type="default" r:id="rId173"/>
          <w:headerReference w:type="first" r:id="rId174"/>
          <w:footerReference w:type="first" r:id="rId175"/>
          <w:pgSz w:w="16838" w:h="11906" w:orient="landscape" w:code="9"/>
          <w:pgMar w:top="1134" w:right="1134" w:bottom="1134" w:left="1134" w:header="567" w:footer="567" w:gutter="0"/>
          <w:cols w:space="720"/>
          <w:docGrid w:linePitch="360"/>
        </w:sectPr>
      </w:pPr>
    </w:p>
    <w:p w14:paraId="7EFFC851" w14:textId="77777777" w:rsidR="00154E32" w:rsidRDefault="00A43E04">
      <w:pPr>
        <w:pStyle w:val="Heading3"/>
        <w:numPr>
          <w:ilvl w:val="0"/>
          <w:numId w:val="0"/>
        </w:numPr>
        <w:ind w:left="850" w:hanging="850"/>
        <w:rPr>
          <w:b/>
          <w:i w:val="0"/>
          <w:noProof/>
          <w:color w:val="4F81BD" w:themeColor="accent1"/>
          <w:u w:val="single"/>
        </w:rPr>
      </w:pPr>
      <w:r>
        <w:rPr>
          <w:b/>
          <w:i w:val="0"/>
          <w:noProof/>
          <w:u w:val="single"/>
        </w:rPr>
        <w:t xml:space="preserve">G.3. </w:t>
      </w:r>
      <w:r>
        <w:rPr>
          <w:noProof/>
        </w:rPr>
        <w:tab/>
      </w:r>
      <w:r>
        <w:rPr>
          <w:b/>
          <w:i w:val="0"/>
          <w:noProof/>
          <w:u w:val="single"/>
        </w:rPr>
        <w:t xml:space="preserve">Opis reform in naložb za posojilo </w:t>
      </w:r>
    </w:p>
    <w:p w14:paraId="35B4C6AF" w14:textId="77777777" w:rsidR="00154E32" w:rsidRDefault="00A43E04">
      <w:pPr>
        <w:pStyle w:val="P68B1DB1-Normal2"/>
        <w:spacing w:before="120" w:after="120" w:line="257" w:lineRule="auto"/>
        <w:jc w:val="both"/>
        <w:rPr>
          <w:noProof/>
        </w:rPr>
      </w:pPr>
      <w:r>
        <w:rPr>
          <w:noProof/>
        </w:rPr>
        <w:t xml:space="preserve">Reforma 3.1 Sprejetje nacionalnih programov za nadzor nad onesnaževanjem zraka </w:t>
      </w:r>
    </w:p>
    <w:p w14:paraId="7336F9C5" w14:textId="77777777" w:rsidR="00154E32" w:rsidRDefault="00A43E04">
      <w:pPr>
        <w:spacing w:before="120" w:after="120"/>
        <w:jc w:val="both"/>
        <w:rPr>
          <w:noProof/>
        </w:rPr>
      </w:pPr>
      <w:r>
        <w:rPr>
          <w:noProof/>
        </w:rPr>
        <w:t>Cilj reforme je uskladiti nacionalno in regionalno zakonodajo ter uvesti s tem povezane ukrepe za zmanjšanje emisij onesnaževal zraka (v skladu s cilji iz Direktive 2016/2284 o nacionalnih zgornjih mejah emisij in spremembi podnebnih plinov).</w:t>
      </w:r>
    </w:p>
    <w:p w14:paraId="1F18DE60" w14:textId="77777777" w:rsidR="00154E32" w:rsidRDefault="00A43E04">
      <w:pPr>
        <w:pStyle w:val="P68B1DB1-Normal2"/>
        <w:spacing w:before="120" w:after="120" w:line="257" w:lineRule="auto"/>
        <w:jc w:val="both"/>
        <w:rPr>
          <w:noProof/>
        </w:rPr>
      </w:pPr>
      <w:r>
        <w:rPr>
          <w:noProof/>
        </w:rPr>
        <w:t>Naložba 1.1: Izvajanje naprednega in integriranega sistema spremljanja in napovedovanja</w:t>
      </w:r>
    </w:p>
    <w:p w14:paraId="1817BA41" w14:textId="77777777" w:rsidR="00154E32" w:rsidRDefault="00A43E04">
      <w:pPr>
        <w:spacing w:before="120" w:after="120"/>
        <w:jc w:val="both"/>
        <w:rPr>
          <w:noProof/>
        </w:rPr>
      </w:pPr>
      <w:r>
        <w:rPr>
          <w:noProof/>
        </w:rPr>
        <w:t>Z naložbo se razvije sistem spremljanja za opredelitev in predvidevanje tveganj, ki so posledica podnebnih sprememb in neustreznega prostorskega načrtovanja z uporabo naprednih tehnologij. Te tehnologije omogočajo daljinsko upravljanje velikih ozemeljskih pasov, kar je podlaga za razvoj načrtov za preprečevanje tveganj, vključno z okrepitvijo obstoječe infrastrukture, in ugotavljanjem nezakonitega odstranjevanja odpadkov. Glavni instrumenti, ki se razvijejo za doseganje teh ciljev, je zbiranje prostorskih podatkov z uporabo satelitskih sistemov za opazovanje, dronov, daljinskih senzorjev in integracije informacijskih sistemov; telekomunikacijska omrežja z najnaprednejšimi varnostnimi zahtevami; vzpostavitev osrednjih in regionalnih kontrolnih sob za dostop do informacij, zbranih na terenu; ter sistemi in storitve kibernetske varnosti za zaščito pred kibernetskimi napadi. Intervencije se izvajajo predvsem v osmih južnih regijah.</w:t>
      </w:r>
    </w:p>
    <w:p w14:paraId="61511DFD" w14:textId="77777777" w:rsidR="00154E32" w:rsidRDefault="00A43E04">
      <w:pPr>
        <w:pStyle w:val="P68B1DB1-Normal2"/>
        <w:spacing w:before="120" w:after="120" w:line="257" w:lineRule="auto"/>
        <w:jc w:val="both"/>
        <w:rPr>
          <w:noProof/>
        </w:rPr>
      </w:pPr>
      <w:r>
        <w:rPr>
          <w:noProof/>
        </w:rPr>
        <w:t>Naložba 2.1: Ukrepi za zmanjšanje tveganja poplav in hidrogeološkega tveganja</w:t>
      </w:r>
    </w:p>
    <w:p w14:paraId="7FF84C99" w14:textId="77777777" w:rsidR="00154E32" w:rsidRDefault="00A43E04">
      <w:pPr>
        <w:spacing w:after="120"/>
        <w:jc w:val="both"/>
        <w:rPr>
          <w:noProof/>
        </w:rPr>
      </w:pPr>
      <w:r>
        <w:rPr>
          <w:noProof/>
        </w:rPr>
        <w:t>Za italijansko ozemlje je značilna velika stopnja hidrogeološke nestabilnosti, ki se je zaradi posledic podnebnih sprememb še povečala. To tveganje negativno vpliva ne le na kakovost življenja, temveč tudi na gospodarsko dejavnost območij, ki so najbolj izpostavljena temu tveganju.</w:t>
      </w:r>
    </w:p>
    <w:p w14:paraId="739F73AD" w14:textId="60F9CB55" w:rsidR="00154E32" w:rsidRDefault="00A43E04">
      <w:pPr>
        <w:spacing w:after="120"/>
        <w:jc w:val="both"/>
        <w:rPr>
          <w:noProof/>
        </w:rPr>
      </w:pPr>
      <w:r>
        <w:rPr>
          <w:noProof/>
        </w:rPr>
        <w:t xml:space="preserve">Ta ukrep je razdeljen na dve vrsti ukrepov, pri čemer sta pristojna uprava </w:t>
      </w:r>
      <w:r>
        <w:rPr>
          <w:i/>
          <w:noProof/>
        </w:rPr>
        <w:t>Protezione Civile</w:t>
      </w:r>
      <w:r>
        <w:rPr>
          <w:noProof/>
        </w:rPr>
        <w:t xml:space="preserve"> in</w:t>
      </w:r>
      <w:r>
        <w:rPr>
          <w:i/>
          <w:noProof/>
        </w:rPr>
        <w:t xml:space="preserve"> </w:t>
      </w:r>
      <w:r>
        <w:rPr>
          <w:noProof/>
        </w:rPr>
        <w:t>„komisar za izredne razmere za obnovo na ozemljih Emilije Romanje, Toskane in Marke“, ki so jih maja 2023 prizadele poplave</w:t>
      </w:r>
      <w:r>
        <w:rPr>
          <w:i/>
          <w:noProof/>
        </w:rPr>
        <w:t xml:space="preserve"> (Commissario per la ricostruzione nel territorio della Regione Emilia Romagna, Toscana e Marche)</w:t>
      </w:r>
      <w:r>
        <w:rPr>
          <w:noProof/>
        </w:rPr>
        <w:t xml:space="preserve">. </w:t>
      </w:r>
    </w:p>
    <w:p w14:paraId="4725BBD8" w14:textId="7A5AA131" w:rsidR="00154E32" w:rsidRDefault="00A43E04">
      <w:pPr>
        <w:spacing w:after="120"/>
        <w:jc w:val="both"/>
        <w:rPr>
          <w:noProof/>
        </w:rPr>
      </w:pPr>
      <w:r>
        <w:rPr>
          <w:noProof/>
        </w:rPr>
        <w:t>Kar zadeva prvo vrsto ukrepov, se izvede širok in celovit sklop intervencij za obnovo poškodovanih javnih struktur in infrastruktur (ukrepi tipa E) ter zmanjšanje preostalega tveganja, ki je strogo povezano z dogodkom in je namenjeno predvsem zaščiti javne in zasebne varnosti (ukrepi tipa D).</w:t>
      </w:r>
    </w:p>
    <w:p w14:paraId="0DA41B06" w14:textId="3E03F363" w:rsidR="00154E32" w:rsidRDefault="00A43E04">
      <w:pPr>
        <w:spacing w:after="120"/>
        <w:jc w:val="both"/>
        <w:rPr>
          <w:noProof/>
        </w:rPr>
      </w:pPr>
      <w:r>
        <w:rPr>
          <w:noProof/>
        </w:rPr>
        <w:t xml:space="preserve">Druga vrsta ukrepov vključuje ukrepe, ki jih opredeli komisar za izredne razmere, zlasti pokrajine Ascoli Piceno, Bologna, Ferrara, Fermo, Firenze, Forli-Cesena, Modena, Pesaro-Urbino, Ravenna, Reggio-Emilia, Rimini. </w:t>
      </w:r>
    </w:p>
    <w:p w14:paraId="6BAD6894" w14:textId="77777777" w:rsidR="00154E32" w:rsidRDefault="00A43E04">
      <w:pPr>
        <w:spacing w:after="120"/>
        <w:jc w:val="both"/>
        <w:rPr>
          <w:noProof/>
        </w:rPr>
      </w:pPr>
      <w:r>
        <w:rPr>
          <w:noProof/>
        </w:rPr>
        <w:t>Intervencije se nanašajo na:</w:t>
      </w:r>
    </w:p>
    <w:p w14:paraId="7691E6D4" w14:textId="36704C00" w:rsidR="00154E32" w:rsidRDefault="00A43E04">
      <w:pPr>
        <w:pStyle w:val="ListParagraph"/>
        <w:numPr>
          <w:ilvl w:val="0"/>
          <w:numId w:val="96"/>
        </w:numPr>
        <w:spacing w:before="0"/>
        <w:rPr>
          <w:noProof/>
        </w:rPr>
      </w:pPr>
      <w:r>
        <w:rPr>
          <w:noProof/>
        </w:rPr>
        <w:t>Posegi za obnovo plovnih poti in večjo zaščito pred poplavami. Intervencije v največji možni meri vključujejo sonaravne rešitve. Intervencije bi morale v največji možni meri spodbujati tudi sprejetje trajnostnih praks upravljanja tal in zemljišč, da bi podprli dolgoročno odpornost tal, zaustavili degradacijo tal in ublažili posledice podnebnih sprememb;</w:t>
      </w:r>
    </w:p>
    <w:p w14:paraId="565156F7" w14:textId="77777777" w:rsidR="00154E32" w:rsidRDefault="00A43E04">
      <w:pPr>
        <w:pStyle w:val="ListParagraph"/>
        <w:numPr>
          <w:ilvl w:val="0"/>
          <w:numId w:val="96"/>
        </w:numPr>
        <w:spacing w:before="0"/>
        <w:contextualSpacing w:val="0"/>
        <w:rPr>
          <w:noProof/>
        </w:rPr>
      </w:pPr>
      <w:r>
        <w:rPr>
          <w:noProof/>
        </w:rPr>
        <w:t>Rehabilitacija lokalnega in pokrajinskega cestnega omrežja. Posegi lahko vključujejo tehnična dela na dopolnilnih infrastrukturah (vključno z mostovi), ki so utrpele škodo in jih je treba popraviti;</w:t>
      </w:r>
    </w:p>
    <w:p w14:paraId="098216A1" w14:textId="40871CC8" w:rsidR="00154E32" w:rsidRDefault="00A43E04">
      <w:pPr>
        <w:pStyle w:val="ListParagraph"/>
        <w:numPr>
          <w:ilvl w:val="0"/>
          <w:numId w:val="96"/>
        </w:numPr>
        <w:spacing w:before="0"/>
        <w:rPr>
          <w:noProof/>
        </w:rPr>
      </w:pPr>
      <w:r>
        <w:rPr>
          <w:noProof/>
        </w:rPr>
        <w:t>Posegi za obnovo javnih stavb, vključno z javnimi hišami in zdravstvenimi domovi.</w:t>
      </w:r>
    </w:p>
    <w:p w14:paraId="5EAACA3F" w14:textId="5F5A5F44" w:rsidR="00154E32" w:rsidRDefault="00A43E04">
      <w:pPr>
        <w:spacing w:after="120"/>
        <w:jc w:val="both"/>
        <w:rPr>
          <w:noProof/>
        </w:rPr>
      </w:pPr>
      <w:r>
        <w:rPr>
          <w:noProof/>
        </w:rPr>
        <w:t>Pričakuje se, da ta ukrep ne bo bistveno škodoval okoljskim ciljem v smislu člena 17 Uredbe (EU) 2020/852, ob upoštevanju opisa ukrepa in blažilnih ukrepov iz načrta za okrevanje in odpornost v skladu s tehničnimi smernicami, da se ne škoduje bistveno (2021/C58/01). Naložba ne predvideva namestitve ali zamenjave plinskih kotlov ali nakupa vozil.</w:t>
      </w:r>
    </w:p>
    <w:p w14:paraId="591DAFB9" w14:textId="77777777" w:rsidR="00154E32" w:rsidRDefault="00A43E04">
      <w:pPr>
        <w:pStyle w:val="P68B1DB1-Normal2"/>
        <w:spacing w:before="120" w:after="120" w:line="257" w:lineRule="auto"/>
        <w:jc w:val="both"/>
        <w:rPr>
          <w:noProof/>
        </w:rPr>
      </w:pPr>
      <w:r>
        <w:rPr>
          <w:noProof/>
        </w:rPr>
        <w:t xml:space="preserve">Naložba 3.1: Varstvo in krepitev mestnih in primestnih gozdov </w:t>
      </w:r>
    </w:p>
    <w:p w14:paraId="62EB2811" w14:textId="6419A415" w:rsidR="00154E32" w:rsidRDefault="00A43E04">
      <w:pPr>
        <w:spacing w:before="120" w:after="120"/>
        <w:jc w:val="both"/>
        <w:rPr>
          <w:noProof/>
        </w:rPr>
      </w:pPr>
      <w:r>
        <w:rPr>
          <w:noProof/>
        </w:rPr>
        <w:t>Cilj tega ukrepa je zaščititi zelene površine in povečati njihovo število, da bi ohranili in povečali biotsko raznovrstnost ter izboljšali kakovost življenja prebivalcev teh območij. Ukrepi se osredotočajo na 14 mest v Italiji, ki so najbolj izpostavljena okoljskim problemom, kot so onesnaženost zraka, izguba biotske raznovrstnosti ali učinki podnebnih sprememb. Gozdni razmnoževalni material (semena ali rastline) se zasadi na navedenih območjih za najmanj</w:t>
      </w:r>
      <w:r>
        <w:rPr>
          <w:noProof/>
          <w:color w:val="006100"/>
          <w:sz w:val="20"/>
        </w:rPr>
        <w:t xml:space="preserve"> </w:t>
      </w:r>
      <w:r>
        <w:rPr>
          <w:noProof/>
        </w:rPr>
        <w:t>4500000</w:t>
      </w:r>
      <w:r>
        <w:rPr>
          <w:noProof/>
          <w:color w:val="006100"/>
          <w:sz w:val="20"/>
        </w:rPr>
        <w:t xml:space="preserve"> </w:t>
      </w:r>
      <w:r>
        <w:rPr>
          <w:noProof/>
        </w:rPr>
        <w:t>dreves in grmičevja (v</w:t>
      </w:r>
      <w:r>
        <w:rPr>
          <w:noProof/>
          <w:color w:val="006100"/>
          <w:sz w:val="20"/>
        </w:rPr>
        <w:t xml:space="preserve"> </w:t>
      </w:r>
      <w:r>
        <w:rPr>
          <w:noProof/>
        </w:rPr>
        <w:t>4500 hektarjih), v končni namembni kraj pa se presadi vsaj 3,5 milijona dreves.</w:t>
      </w:r>
    </w:p>
    <w:p w14:paraId="726D0889" w14:textId="77777777" w:rsidR="00154E32" w:rsidRDefault="00A43E04">
      <w:pPr>
        <w:spacing w:before="120" w:after="120"/>
        <w:jc w:val="both"/>
        <w:rPr>
          <w:noProof/>
        </w:rPr>
      </w:pPr>
      <w:r>
        <w:rPr>
          <w:noProof/>
        </w:rPr>
        <w:t xml:space="preserve">Ukrepi sledijo sprejetju načrta za pogozdovanje v mestih, katerega cilji so ohranjanje in krepitev biotske raznovrstnosti v skladu z evropsko strategijo za biotsko raznovrstnost, zmanjšanje onesnaženosti zraka na metropolitanskih območjih in zmanjšanje števila postopkov za ugotavljanje kršitev v zvezi s kakovostjo zraka. </w:t>
      </w:r>
    </w:p>
    <w:p w14:paraId="5BED7358" w14:textId="77777777" w:rsidR="00154E32" w:rsidRDefault="00A43E04">
      <w:pPr>
        <w:pStyle w:val="P68B1DB1-Normal2"/>
        <w:spacing w:before="120" w:after="120" w:line="257" w:lineRule="auto"/>
        <w:jc w:val="both"/>
        <w:rPr>
          <w:noProof/>
        </w:rPr>
      </w:pPr>
      <w:r>
        <w:rPr>
          <w:noProof/>
        </w:rPr>
        <w:t>Naložba 3.3 – Ponovna sanacija območja Pad</w:t>
      </w:r>
    </w:p>
    <w:p w14:paraId="3F6ECF4F" w14:textId="77777777" w:rsidR="00154E32" w:rsidRDefault="00A43E04">
      <w:pPr>
        <w:spacing w:before="120" w:after="120"/>
        <w:jc w:val="both"/>
        <w:rPr>
          <w:noProof/>
        </w:rPr>
      </w:pPr>
      <w:r>
        <w:rPr>
          <w:noProof/>
        </w:rPr>
        <w:t>Za območje Pad je od leta 1970 značilno prekomerno onesnaževanje vode, poraba tal in izkopavanje na rečnem dnu. Vse te težave so negativno vplivale na nekatere njene naravne habitate in povečale hidrogeološko tveganje.</w:t>
      </w:r>
    </w:p>
    <w:p w14:paraId="1913E976" w14:textId="77777777" w:rsidR="00154E32" w:rsidRDefault="00A43E04">
      <w:pPr>
        <w:spacing w:before="120" w:after="120"/>
        <w:jc w:val="both"/>
        <w:rPr>
          <w:noProof/>
        </w:rPr>
      </w:pPr>
      <w:r>
        <w:rPr>
          <w:noProof/>
        </w:rPr>
        <w:t xml:space="preserve">Cilj tega ukrepa je ponovno aktivirati naravne procese in spodbuditi obnovo biotske raznovrstnosti. To bi zagotovilo obnovo reke ter učinkovitejšo trajnostno in učinkovitejšo rabo vodnih virov.  </w:t>
      </w:r>
    </w:p>
    <w:p w14:paraId="2BF00C97" w14:textId="77777777" w:rsidR="00154E32" w:rsidRDefault="00A43E04">
      <w:pPr>
        <w:pStyle w:val="P68B1DB1-Normal2"/>
        <w:spacing w:before="120" w:after="120" w:line="257" w:lineRule="auto"/>
        <w:jc w:val="both"/>
        <w:rPr>
          <w:noProof/>
        </w:rPr>
      </w:pPr>
      <w:r>
        <w:rPr>
          <w:noProof/>
        </w:rPr>
        <w:t>Naložba 3.4: Sanacija območij neznanega izvora</w:t>
      </w:r>
    </w:p>
    <w:p w14:paraId="331FC397" w14:textId="77777777" w:rsidR="00154E32" w:rsidRDefault="00A43E04">
      <w:pPr>
        <w:spacing w:before="120" w:after="120"/>
        <w:jc w:val="both"/>
        <w:rPr>
          <w:noProof/>
        </w:rPr>
      </w:pPr>
      <w:r>
        <w:rPr>
          <w:noProof/>
        </w:rPr>
        <w:t xml:space="preserve">Industrijsko onesnaževanje je ustvarilo številna t. i. „območja sirot“, ki predstavljajo veliko tveganje za zdravje in močno vplivajo na kakovost življenja zadevnega prebivalstva. </w:t>
      </w:r>
    </w:p>
    <w:p w14:paraId="649F3D50" w14:textId="77777777" w:rsidR="00154E32" w:rsidRDefault="00A43E04">
      <w:pPr>
        <w:spacing w:before="120" w:after="120"/>
        <w:jc w:val="both"/>
        <w:rPr>
          <w:noProof/>
        </w:rPr>
      </w:pPr>
      <w:r>
        <w:rPr>
          <w:noProof/>
        </w:rPr>
        <w:t>Cilj tega ukrepa je obnova teh zemljišč, da se zmanjša vpliv na okolje in spodbudi krožno gospodarstvo. Pri projektu se uporabljajo najboljše razpoložljive inovativne preiskovalne tehnologije, da se opredelijo dejanske potrebe po sanaciji in omogoči razvoj teh območij, vključno s stanovanji.</w:t>
      </w:r>
    </w:p>
    <w:p w14:paraId="4C000E83" w14:textId="77777777" w:rsidR="00154E32" w:rsidRDefault="00A43E04">
      <w:pPr>
        <w:spacing w:before="120" w:after="120"/>
        <w:jc w:val="both"/>
        <w:rPr>
          <w:noProof/>
        </w:rPr>
      </w:pPr>
      <w:r>
        <w:rPr>
          <w:noProof/>
        </w:rPr>
        <w:t>Ta ukrep najprej vključuje sprejetje akcijskega načrta za oživitev območij, ki niso primerna, da se zmanjša izkoriščanje zemljišč in izboljša oživljanje mest. Načrt opredeljuje območja sirote v vseh 21 regijah in avtonomnih provincah ter posebne posege, ki jih je treba izvesti.</w:t>
      </w:r>
    </w:p>
    <w:p w14:paraId="3939995F" w14:textId="77777777" w:rsidR="00154E32" w:rsidRDefault="00A43E04">
      <w:pPr>
        <w:pStyle w:val="P68B1DB1-Normal2"/>
        <w:spacing w:before="120" w:after="120" w:line="257" w:lineRule="auto"/>
        <w:jc w:val="both"/>
        <w:rPr>
          <w:noProof/>
        </w:rPr>
      </w:pPr>
      <w:r>
        <w:rPr>
          <w:noProof/>
        </w:rPr>
        <w:t>Naložba 3.5: Obnova in varstvo morskega dna in morskih habitatov</w:t>
      </w:r>
    </w:p>
    <w:p w14:paraId="71BDACEC" w14:textId="77777777" w:rsidR="00154E32" w:rsidRDefault="00A43E04">
      <w:pPr>
        <w:spacing w:before="120" w:after="120"/>
        <w:jc w:val="both"/>
        <w:rPr>
          <w:noProof/>
        </w:rPr>
      </w:pPr>
      <w:r>
        <w:rPr>
          <w:noProof/>
        </w:rPr>
        <w:t xml:space="preserve">Ta ukrep vključuje obsežne ukrepe za obnovo in varstvo morskega dna in morskih habitatov, katerih cilj je obrniti trenutno degradacijo teh ekosistemov. </w:t>
      </w:r>
    </w:p>
    <w:p w14:paraId="149FCAA7" w14:textId="1502CBC4" w:rsidR="00154E32" w:rsidRDefault="00A43E04">
      <w:pPr>
        <w:spacing w:before="120" w:after="120"/>
        <w:jc w:val="both"/>
        <w:rPr>
          <w:noProof/>
        </w:rPr>
      </w:pPr>
      <w:r>
        <w:rPr>
          <w:noProof/>
        </w:rPr>
        <w:t xml:space="preserve">Posebni ukrepi, ki jih je treba izvesti, vključujejo razvoj ustreznega kartiranja habitatov morskega dna in spremljanje okolja. Da bi zagotovili ustrezno načrtovanje in izvajanje obsežnih ukrepov za obnovo in zaščito, se okrepi nacionalni sistem raziskav in opazovanja morskih in obalnih ekosistemov. Poleg tega se okrepijo platforme za opazovanje morja, da se povečajo tehnično-znanstvene zmogljivosti za spremljanje morskega okolja in zlasti za oceno učinkovitosti zaščitnih in upravljalnih ukrepov v okviru scenarija podnebnih sprememb. Take naložbe nato omogočijo sistematično in celovito kartiranje občutljivih habitatov v italijanskih morskih vodah, da se izvedeta obnova okolja in določitev zavarovanih območij v skladu s strategijo EU za biotsko raznovrstnost iz leta 2013 in okvirno direktivo o morski strategiji. </w:t>
      </w:r>
    </w:p>
    <w:p w14:paraId="512E3851" w14:textId="77777777" w:rsidR="00154E32" w:rsidRDefault="00A43E04">
      <w:pPr>
        <w:spacing w:before="120" w:after="120"/>
        <w:jc w:val="both"/>
        <w:rPr>
          <w:noProof/>
        </w:rPr>
      </w:pPr>
      <w:r>
        <w:rPr>
          <w:noProof/>
        </w:rPr>
        <w:t>Pričakuje se, da ta ukrep ne bo bistveno škodoval okoljskim ciljem v smislu člena 17 Uredbe (EU) 2020/852, ob upoštevanju opisa ukrepa in blažilnih ukrepov iz načrta za okrevanje in odpornost v skladu s tehničnimi smernicami, da se ne škoduje bistveno (2021/C58/01). Z izvajanjem raziskovalnih dejavnosti na morskih ekosistemih lahko ukrep vključuje nakup znanstvene opreme in/ali ladij. Zlasti bodo na novo zgrajena plovila uporabljala najnaprednejše razpoložljive tehnologije, ki bodo v največji možni meri zagotavljale preprečevanje in nadzorovanje onesnaževanja.</w:t>
      </w:r>
    </w:p>
    <w:p w14:paraId="7533587C" w14:textId="77777777" w:rsidR="00154E32" w:rsidRDefault="00A43E04">
      <w:pPr>
        <w:pStyle w:val="P68B1DB1-Normal2"/>
        <w:spacing w:before="120" w:after="120" w:line="257" w:lineRule="auto"/>
        <w:jc w:val="both"/>
        <w:rPr>
          <w:rFonts w:eastAsia="Calibri"/>
          <w:noProof/>
        </w:rPr>
      </w:pPr>
      <w:r>
        <w:rPr>
          <w:noProof/>
        </w:rPr>
        <w:t>Reforma 4.1 Poenostavitev zakonodaje in krepitev upravljanja za izvajanje naložb v infrastrukturo za oskrbo z vodo</w:t>
      </w:r>
    </w:p>
    <w:p w14:paraId="4DD67DD0" w14:textId="77777777" w:rsidR="00154E32" w:rsidRDefault="00A43E04">
      <w:pPr>
        <w:pStyle w:val="P68B1DB1-Paragrafoelenco130"/>
        <w:spacing w:after="120" w:line="240" w:lineRule="auto"/>
        <w:ind w:left="0"/>
        <w:jc w:val="both"/>
        <w:rPr>
          <w:noProof/>
        </w:rPr>
      </w:pPr>
      <w:r>
        <w:rPr>
          <w:noProof/>
        </w:rPr>
        <w:t xml:space="preserve">Sedanji regulativni okvir in obstoječa razdrobljenost upravljanja negativno vplivata na zmogljivost za načrtovanje in izvajanje naložb v infrastrukturo za oskrbo z vodo. </w:t>
      </w:r>
    </w:p>
    <w:p w14:paraId="38A57CA3" w14:textId="77777777" w:rsidR="00154E32" w:rsidRDefault="00A43E04">
      <w:pPr>
        <w:suppressAutoHyphens/>
        <w:jc w:val="both"/>
        <w:rPr>
          <w:noProof/>
        </w:rPr>
      </w:pPr>
      <w:r>
        <w:rPr>
          <w:noProof/>
        </w:rPr>
        <w:t>Cilj te reforme je poenostaviti in povečati učinkovitost pravnega okvira ter po potrebi zagotoviti pomoč izvajalskim organom, ki nimajo zadostnih zmogljivosti za izvedbo in dokončanje teh naložb v prvotno določenih rokih.</w:t>
      </w:r>
    </w:p>
    <w:p w14:paraId="3FAB5E85" w14:textId="77777777" w:rsidR="00154E32" w:rsidRDefault="00154E32">
      <w:pPr>
        <w:pStyle w:val="Paragrafoelenco1"/>
        <w:spacing w:after="120" w:line="240" w:lineRule="auto"/>
        <w:ind w:left="0"/>
        <w:jc w:val="both"/>
        <w:rPr>
          <w:noProof/>
          <w:color w:val="auto"/>
          <w:sz w:val="24"/>
        </w:rPr>
      </w:pPr>
    </w:p>
    <w:p w14:paraId="2C55DDF9" w14:textId="77777777" w:rsidR="00154E32" w:rsidRDefault="00A43E04">
      <w:pPr>
        <w:pStyle w:val="P68B1DB1-Paragrafoelenco130"/>
        <w:spacing w:after="120" w:line="240" w:lineRule="auto"/>
        <w:ind w:left="0"/>
        <w:jc w:val="both"/>
        <w:rPr>
          <w:noProof/>
        </w:rPr>
      </w:pPr>
      <w:r>
        <w:rPr>
          <w:noProof/>
        </w:rPr>
        <w:t>Glavni ukrepi, načrtovani za dosego teh ciljev, so predvsem (i) vzpostavitev osrednjega instrumenta javnega financiranja za naložbe v vodni sektor, ki združuje vire, ki so trenutno precej razpršeni; (II) poenostavitev postopkov za poročanje o financiranih naložbah in njihovo spremljanje, (iii) nadaljnje vključevanje regulatorja v načrtovanje naložb, ki jih je treba izvesti, in morebitne revizije načrta.</w:t>
      </w:r>
    </w:p>
    <w:p w14:paraId="75316222" w14:textId="77777777" w:rsidR="00154E32" w:rsidRDefault="00A43E04">
      <w:pPr>
        <w:pStyle w:val="P68B1DB1-Paragrafoelenco130"/>
        <w:spacing w:after="120" w:line="240" w:lineRule="auto"/>
        <w:ind w:left="0"/>
        <w:jc w:val="both"/>
        <w:rPr>
          <w:rFonts w:eastAsia="SimSun"/>
          <w:i/>
          <w:noProof/>
          <w:u w:val="single"/>
        </w:rPr>
      </w:pPr>
      <w:r>
        <w:rPr>
          <w:noProof/>
        </w:rPr>
        <w:t xml:space="preserve">Ministrstvo za infrastrukturo in promet predstavi predlog reforme na področju oskrbe z vodo. </w:t>
      </w:r>
    </w:p>
    <w:p w14:paraId="028EB9E7" w14:textId="77777777" w:rsidR="00154E32" w:rsidRDefault="00A43E04">
      <w:pPr>
        <w:pStyle w:val="P68B1DB1-Normal2"/>
        <w:spacing w:before="120" w:after="120" w:line="257" w:lineRule="auto"/>
        <w:jc w:val="both"/>
        <w:rPr>
          <w:noProof/>
        </w:rPr>
      </w:pPr>
      <w:r>
        <w:rPr>
          <w:noProof/>
        </w:rPr>
        <w:t>Naložba 4.1 Primarna vodna infrastruktura za zanesljivost oskrbe z vodo</w:t>
      </w:r>
    </w:p>
    <w:p w14:paraId="387E76A9" w14:textId="77777777" w:rsidR="00154E32" w:rsidRDefault="00A43E04">
      <w:pPr>
        <w:spacing w:before="120" w:after="120"/>
        <w:jc w:val="both"/>
        <w:rPr>
          <w:noProof/>
        </w:rPr>
      </w:pPr>
      <w:r>
        <w:rPr>
          <w:noProof/>
        </w:rPr>
        <w:t>Cilj tega ukrepa je zagotoviti zanesljivo oskrbo z vodo za pomembna mestna območja in velika namakana območja, povečati varnost in odpornost omrežja ter izboljšati prometno zmogljivost vode. Ukrepi zajemajo celotno državno ozemlje, s posebnim poudarkom na večjih obratih na jugu države.</w:t>
      </w:r>
    </w:p>
    <w:p w14:paraId="669AFD86" w14:textId="77777777" w:rsidR="00154E32" w:rsidRDefault="00A43E04">
      <w:pPr>
        <w:spacing w:before="120" w:after="120"/>
        <w:jc w:val="both"/>
        <w:rPr>
          <w:noProof/>
        </w:rPr>
      </w:pPr>
      <w:r>
        <w:rPr>
          <w:noProof/>
        </w:rPr>
        <w:t>Pričakuje se, da ta ukrep ne bo bistveno škodoval okoljskim ciljem v smislu člena 17 Uredbe (EU) 2020/852, ob upoštevanju opisa ukrepa in blažilnih ukrepov iz načrta za okrevanje in odpornost v skladu s tehničnimi smernicami, da se ne škoduje bistveno (2021/C58/01). Zlasti se za vsako podnaložbo zagotovi popolna skladnost z zahtevami prava EU, vključno z okvirno direktivo o vodah, pred in med začetkom gradbenih del ter po njem. Poleg tega so podukrepi po potrebi predmet presoje vplivov na okolje v skladu z Direktivo 2011/92/EU ter ustreznih presoj v okviru Direktive 2000/60/ES in Direktive 92/43/EGS, vključno z izvajanjem zahtevanih blažilnih ukrepov. Ukrep ne vključuje gradnje novih jezov, temveč le izboljšanje obstoječih jezov; pri vplivih načrtovanih posegov na obstoječa dela se upoštevajo scenariji, v katerih zadevna reka ostane v svojem naravnem stanju, kot so bili spremenjeni v času gradnje. Vse načrtovane podintervencije, vključno s tistimi, ki se nanašajo na obstoječe jezove, morajo biti skladne s postopkom okoljskega dovoljenja, ki ga zahtevata nacionalna zakonodaja in zakonodaja Unije.</w:t>
      </w:r>
    </w:p>
    <w:p w14:paraId="62FCDD23" w14:textId="77777777" w:rsidR="00154E32" w:rsidRDefault="00A43E04">
      <w:pPr>
        <w:pStyle w:val="P68B1DB1-Normal2"/>
        <w:spacing w:before="120" w:after="120" w:line="257" w:lineRule="auto"/>
        <w:jc w:val="both"/>
        <w:rPr>
          <w:noProof/>
        </w:rPr>
      </w:pPr>
      <w:r>
        <w:rPr>
          <w:noProof/>
        </w:rPr>
        <w:t>Naložba 4.2. Zmanjšanje izgub v vodovodnih omrežjih, vključno z digitalizacijo in spremljanjem omrežij</w:t>
      </w:r>
    </w:p>
    <w:p w14:paraId="19BC714B" w14:textId="77777777" w:rsidR="00154E32" w:rsidRDefault="00A43E04">
      <w:pPr>
        <w:spacing w:before="120" w:after="120"/>
        <w:jc w:val="both"/>
        <w:rPr>
          <w:noProof/>
        </w:rPr>
      </w:pPr>
      <w:r>
        <w:rPr>
          <w:noProof/>
        </w:rPr>
        <w:t>Razdrobljeno in neučinkovito upravljanje vodnih virov je povzročilo znatno uhajanje vode, pri čemer je povprečna izguba na jugu države presegla 40 % in več kot 50 %. Cilj tega projekta je znatno zmanjšati izgube pitne vode z nadgradnjo in posodobitvijo vodovodnih omrežij z naprednimi nadzornimi sistemi, ki omogočajo spremljanje glavnih vozlišč in najbolj občutljivih točk omrežja.</w:t>
      </w:r>
    </w:p>
    <w:p w14:paraId="6D52FB19" w14:textId="77777777" w:rsidR="00154E32" w:rsidRDefault="00A43E04">
      <w:pPr>
        <w:pStyle w:val="P68B1DB1-Normal2"/>
        <w:spacing w:before="120" w:after="120" w:line="257" w:lineRule="auto"/>
        <w:jc w:val="both"/>
        <w:rPr>
          <w:noProof/>
        </w:rPr>
      </w:pPr>
      <w:r>
        <w:rPr>
          <w:noProof/>
        </w:rPr>
        <w:t xml:space="preserve">Naložba 4.3. Naložbe v odpornost namakalnega kmetijskega sistema za boljše upravljanje vodnih virov </w:t>
      </w:r>
    </w:p>
    <w:p w14:paraId="2377D868" w14:textId="77777777" w:rsidR="00154E32" w:rsidRDefault="00A43E04">
      <w:pPr>
        <w:spacing w:before="120" w:after="120" w:line="257" w:lineRule="auto"/>
        <w:jc w:val="both"/>
        <w:rPr>
          <w:noProof/>
        </w:rPr>
      </w:pPr>
      <w:r>
        <w:rPr>
          <w:noProof/>
        </w:rPr>
        <w:t>Cilj tega ukrepa je povečati učinkovitost namakalnih sistemov z razvojem inovativne in digitalizirane infrastrukture za bolj trajnosten kmetijski sektor, ki bo bolje prilagojen podnebnim spremembam. Naložba zajema predvsem pretvorbo namakalnih sistemov v bolj učinkovite sisteme; prilagoditev distribucijskih omrežij, da se zmanjšajo izgube; namestitev tehnologij za učinkovito rabo vodnih virov, kot so števci in daljinsko upravljanje. Kot del podprte naložbe se vzpostavijo vodni števci, ki omogočajo merjenje vode.</w:t>
      </w:r>
    </w:p>
    <w:p w14:paraId="47B5DE08" w14:textId="77777777" w:rsidR="00154E32" w:rsidRDefault="00A43E04">
      <w:pPr>
        <w:spacing w:before="120" w:after="120" w:line="257" w:lineRule="auto"/>
        <w:jc w:val="both"/>
        <w:rPr>
          <w:noProof/>
        </w:rPr>
      </w:pPr>
      <w:r>
        <w:rPr>
          <w:noProof/>
        </w:rPr>
        <w:t>Pričakuje se, da ta ukrep ne bo bistveno škodoval okoljskim ciljem v smislu člena 17 Uredbe (EU) 2020/852, ob upoštevanju opisa ukrepa in blažilnih ukrepov iz načrta za okrevanje in odpornost v skladu s tehničnimi smernicami, da se ne škoduje bistveno (2021/C58/01). Zlasti se za vsako podnaložbo zagotovi popolna skladnost z zahtevami prava EU, vključno z okvirno direktivo o vodah, pred in med začetkom gradbenih del ter po njem. Poleg tega so projekti, kadar je to ustrezno v skladu z nacionalno zakonodajo, predmet presoje vplivov na okolje v skladu z Direktivo 2011/92/EU ter ustreznih presoj v okviru Direktive 2000/60/ES in Direktive 92/43/EGS, vključno z izvajanjem zahtevanih blažilnih ukrepov.</w:t>
      </w:r>
    </w:p>
    <w:p w14:paraId="2713A0FD" w14:textId="77777777" w:rsidR="00154E32" w:rsidRDefault="00154E32">
      <w:pPr>
        <w:spacing w:before="120" w:after="120" w:line="257" w:lineRule="auto"/>
        <w:jc w:val="both"/>
        <w:rPr>
          <w:b/>
          <w:noProof/>
        </w:rPr>
      </w:pPr>
    </w:p>
    <w:p w14:paraId="3713D9B6" w14:textId="77777777" w:rsidR="00154E32" w:rsidRDefault="00A43E04">
      <w:pPr>
        <w:pStyle w:val="P68B1DB1-Normal2"/>
        <w:spacing w:before="120" w:after="120" w:line="257" w:lineRule="auto"/>
        <w:jc w:val="both"/>
        <w:rPr>
          <w:noProof/>
        </w:rPr>
      </w:pPr>
      <w:r>
        <w:rPr>
          <w:noProof/>
        </w:rPr>
        <w:t>Naložba 4.4. Kanalizacija in čiščenje</w:t>
      </w:r>
    </w:p>
    <w:p w14:paraId="0F93DFC1" w14:textId="77777777" w:rsidR="00154E32" w:rsidRDefault="00A43E04">
      <w:pPr>
        <w:spacing w:before="120" w:after="120"/>
        <w:jc w:val="both"/>
        <w:rPr>
          <w:noProof/>
        </w:rPr>
      </w:pPr>
      <w:r>
        <w:rPr>
          <w:noProof/>
        </w:rPr>
        <w:t xml:space="preserve">Vodni sistemi imajo velike pomanjkljivosti v zvezi z kanalizacijskimi sistemi in sistemi čiščenja, kar se odraža v velikem številu postopkov za ugotavljanje kršitev zaradi neskladnosti številnih aglomeracij v državi s pravom Unije. </w:t>
      </w:r>
    </w:p>
    <w:p w14:paraId="36FBB147" w14:textId="77777777" w:rsidR="00154E32" w:rsidRDefault="00A43E04">
      <w:pPr>
        <w:tabs>
          <w:tab w:val="left" w:pos="720"/>
        </w:tabs>
        <w:spacing w:before="120" w:after="120"/>
        <w:jc w:val="both"/>
        <w:rPr>
          <w:noProof/>
        </w:rPr>
      </w:pPr>
      <w:r>
        <w:rPr>
          <w:noProof/>
        </w:rPr>
        <w:t>Cilj tega ukrepa je izvesti naložbe za učinkovitejše čiščenje odpadne vode, ki se odvaja v morske in celinske vode, ter, kjer je to mogoče, pretvarjati čistilne naprave v „zelene tovarne“ za ponovno uporabo prečiščene odpadne vode za namakanje in industrijske namene. Te naložbe naj bi prispevale k zmanjšanju števila aglomeracij s šibkimi kanalizacijskimi sistemi in sistemi čiščenja.</w:t>
      </w:r>
    </w:p>
    <w:p w14:paraId="70CCB32D" w14:textId="77777777" w:rsidR="00154E32" w:rsidRDefault="00154E32">
      <w:pPr>
        <w:tabs>
          <w:tab w:val="left" w:pos="720"/>
        </w:tabs>
        <w:spacing w:before="120" w:after="120"/>
        <w:jc w:val="both"/>
        <w:rPr>
          <w:noProof/>
        </w:rPr>
      </w:pPr>
    </w:p>
    <w:p w14:paraId="7802C300" w14:textId="77777777" w:rsidR="00154E32" w:rsidRDefault="00A43E04">
      <w:pPr>
        <w:pStyle w:val="Heading3"/>
        <w:numPr>
          <w:ilvl w:val="0"/>
          <w:numId w:val="0"/>
        </w:numPr>
        <w:ind w:left="850" w:hanging="850"/>
        <w:rPr>
          <w:rStyle w:val="SubtleEmphasis"/>
          <w:b/>
          <w:i/>
          <w:noProof/>
          <w:u w:val="single"/>
        </w:rPr>
      </w:pPr>
      <w:r>
        <w:rPr>
          <w:rStyle w:val="SubtleEmphasis"/>
          <w:b/>
          <w:noProof/>
          <w:u w:val="single"/>
        </w:rPr>
        <w:t xml:space="preserve">G.4. </w:t>
      </w:r>
      <w:r>
        <w:rPr>
          <w:noProof/>
        </w:rPr>
        <w:tab/>
      </w:r>
      <w:r>
        <w:rPr>
          <w:rStyle w:val="SubtleEmphasis"/>
          <w:b/>
          <w:noProof/>
          <w:u w:val="single"/>
        </w:rPr>
        <w:t xml:space="preserve">Mejniki, cilji, kazalniki in časovni razpored za spremljanje in izvajanje posojila </w:t>
      </w:r>
    </w:p>
    <w:p w14:paraId="1CFFC85E" w14:textId="77777777" w:rsidR="00154E32" w:rsidRDefault="00154E32">
      <w:pPr>
        <w:spacing w:before="120" w:after="120"/>
        <w:ind w:left="709"/>
        <w:contextualSpacing/>
        <w:jc w:val="both"/>
        <w:rPr>
          <w:noProof/>
        </w:rPr>
        <w:sectPr w:rsidR="00154E32" w:rsidSect="001354D1">
          <w:headerReference w:type="even" r:id="rId176"/>
          <w:headerReference w:type="default" r:id="rId177"/>
          <w:footerReference w:type="even" r:id="rId178"/>
          <w:footerReference w:type="default" r:id="rId179"/>
          <w:headerReference w:type="first" r:id="rId180"/>
          <w:footerReference w:type="first" r:id="rId181"/>
          <w:pgSz w:w="11907" w:h="16839"/>
          <w:pgMar w:top="1134" w:right="1134" w:bottom="1134" w:left="1134" w:header="567" w:footer="567" w:gutter="0"/>
          <w:cols w:space="720"/>
          <w:docGrid w:linePitch="360"/>
        </w:sectPr>
      </w:pPr>
    </w:p>
    <w:tbl>
      <w:tblPr>
        <w:tblW w:w="5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560"/>
        <w:gridCol w:w="1134"/>
        <w:gridCol w:w="1559"/>
        <w:gridCol w:w="1520"/>
        <w:gridCol w:w="1094"/>
        <w:gridCol w:w="1290"/>
        <w:gridCol w:w="1265"/>
        <w:gridCol w:w="1255"/>
        <w:gridCol w:w="638"/>
        <w:gridCol w:w="4116"/>
      </w:tblGrid>
      <w:tr w:rsidR="00154E32" w14:paraId="7BEA3FF8" w14:textId="77777777">
        <w:trPr>
          <w:trHeight w:val="591"/>
          <w:tblHeader/>
          <w:jc w:val="center"/>
        </w:trPr>
        <w:tc>
          <w:tcPr>
            <w:tcW w:w="1130" w:type="dxa"/>
            <w:vMerge w:val="restart"/>
            <w:shd w:val="clear" w:color="auto" w:fill="B8CCE4" w:themeFill="accent1" w:themeFillTint="66"/>
            <w:noWrap/>
            <w:vAlign w:val="center"/>
          </w:tcPr>
          <w:p w14:paraId="1BB6913F" w14:textId="77777777" w:rsidR="00154E32" w:rsidRDefault="00A43E04">
            <w:pPr>
              <w:pStyle w:val="P68B1DB1-Normal9"/>
              <w:jc w:val="center"/>
              <w:rPr>
                <w:noProof/>
              </w:rPr>
            </w:pPr>
            <w:r>
              <w:rPr>
                <w:noProof/>
              </w:rPr>
              <w:t>Zaporedna številka</w:t>
            </w:r>
          </w:p>
        </w:tc>
        <w:tc>
          <w:tcPr>
            <w:tcW w:w="1560" w:type="dxa"/>
            <w:vMerge w:val="restart"/>
            <w:shd w:val="clear" w:color="auto" w:fill="B8CCE4" w:themeFill="accent1" w:themeFillTint="66"/>
            <w:noWrap/>
            <w:vAlign w:val="center"/>
          </w:tcPr>
          <w:p w14:paraId="45EEE239" w14:textId="77777777" w:rsidR="00154E32" w:rsidRDefault="00A43E04">
            <w:pPr>
              <w:pStyle w:val="P68B1DB1-Normal9"/>
              <w:jc w:val="center"/>
              <w:rPr>
                <w:noProof/>
              </w:rPr>
            </w:pPr>
            <w:r>
              <w:rPr>
                <w:noProof/>
              </w:rPr>
              <w:t>Povezani ukrep (reforma ali naložba)</w:t>
            </w:r>
          </w:p>
        </w:tc>
        <w:tc>
          <w:tcPr>
            <w:tcW w:w="1134" w:type="dxa"/>
            <w:vMerge w:val="restart"/>
            <w:shd w:val="clear" w:color="auto" w:fill="B8CCE4" w:themeFill="accent1" w:themeFillTint="66"/>
            <w:noWrap/>
            <w:vAlign w:val="center"/>
          </w:tcPr>
          <w:p w14:paraId="7869715B" w14:textId="77777777" w:rsidR="00154E32" w:rsidRDefault="00A43E04">
            <w:pPr>
              <w:pStyle w:val="P68B1DB1-Normal9"/>
              <w:jc w:val="center"/>
              <w:rPr>
                <w:noProof/>
              </w:rPr>
            </w:pPr>
            <w:r>
              <w:rPr>
                <w:noProof/>
              </w:rPr>
              <w:t>Mejnik/cilj</w:t>
            </w:r>
          </w:p>
        </w:tc>
        <w:tc>
          <w:tcPr>
            <w:tcW w:w="1559" w:type="dxa"/>
            <w:vMerge w:val="restart"/>
            <w:shd w:val="clear" w:color="auto" w:fill="B8CCE4" w:themeFill="accent1" w:themeFillTint="66"/>
            <w:noWrap/>
            <w:vAlign w:val="center"/>
          </w:tcPr>
          <w:p w14:paraId="002EA94C" w14:textId="77777777" w:rsidR="00154E32" w:rsidRDefault="00A43E04">
            <w:pPr>
              <w:pStyle w:val="P68B1DB1-Normal9"/>
              <w:jc w:val="center"/>
              <w:rPr>
                <w:noProof/>
              </w:rPr>
            </w:pPr>
            <w:r>
              <w:rPr>
                <w:noProof/>
              </w:rPr>
              <w:t>Ime</w:t>
            </w:r>
          </w:p>
        </w:tc>
        <w:tc>
          <w:tcPr>
            <w:tcW w:w="1383" w:type="dxa"/>
            <w:vMerge w:val="restart"/>
            <w:shd w:val="clear" w:color="auto" w:fill="B8CCE4" w:themeFill="accent1" w:themeFillTint="66"/>
            <w:noWrap/>
            <w:vAlign w:val="center"/>
          </w:tcPr>
          <w:p w14:paraId="19217831" w14:textId="77777777" w:rsidR="00154E32" w:rsidRDefault="00A43E04">
            <w:pPr>
              <w:pStyle w:val="P68B1DB1-Normal10"/>
              <w:jc w:val="center"/>
              <w:rPr>
                <w:b/>
                <w:noProof/>
                <w:sz w:val="20"/>
              </w:rPr>
            </w:pPr>
            <w:r>
              <w:rPr>
                <w:b/>
                <w:noProof/>
                <w:sz w:val="20"/>
              </w:rPr>
              <w:t>Kakovostni kazalniki</w:t>
            </w:r>
            <w:r>
              <w:rPr>
                <w:noProof/>
              </w:rPr>
              <w:t xml:space="preserve"> </w:t>
            </w:r>
            <w:r>
              <w:rPr>
                <w:noProof/>
              </w:rPr>
              <w:br/>
            </w:r>
            <w:r>
              <w:rPr>
                <w:b/>
                <w:noProof/>
                <w:sz w:val="20"/>
              </w:rPr>
              <w:t>(za mejnike)</w:t>
            </w:r>
          </w:p>
        </w:tc>
        <w:tc>
          <w:tcPr>
            <w:tcW w:w="3578" w:type="dxa"/>
            <w:gridSpan w:val="3"/>
            <w:shd w:val="clear" w:color="auto" w:fill="B8CCE4" w:themeFill="accent1" w:themeFillTint="66"/>
            <w:noWrap/>
            <w:vAlign w:val="center"/>
          </w:tcPr>
          <w:p w14:paraId="340CB064" w14:textId="77777777" w:rsidR="00154E32" w:rsidRDefault="00A43E04">
            <w:pPr>
              <w:pStyle w:val="P68B1DB1-Normal10"/>
              <w:jc w:val="center"/>
              <w:rPr>
                <w:noProof/>
                <w:sz w:val="20"/>
              </w:rPr>
            </w:pPr>
            <w:r>
              <w:rPr>
                <w:b/>
                <w:noProof/>
                <w:sz w:val="20"/>
              </w:rPr>
              <w:t>Kvantitativni kazalniki</w:t>
            </w:r>
            <w:r>
              <w:rPr>
                <w:noProof/>
              </w:rPr>
              <w:t xml:space="preserve"> </w:t>
            </w:r>
            <w:r>
              <w:rPr>
                <w:noProof/>
              </w:rPr>
              <w:br/>
            </w:r>
            <w:r>
              <w:rPr>
                <w:b/>
                <w:noProof/>
                <w:sz w:val="20"/>
              </w:rPr>
              <w:t>(za ciljne vrednosti)</w:t>
            </w:r>
          </w:p>
        </w:tc>
        <w:tc>
          <w:tcPr>
            <w:tcW w:w="1554" w:type="dxa"/>
            <w:gridSpan w:val="2"/>
            <w:shd w:val="clear" w:color="auto" w:fill="B8CCE4" w:themeFill="accent1" w:themeFillTint="66"/>
            <w:noWrap/>
            <w:vAlign w:val="center"/>
          </w:tcPr>
          <w:p w14:paraId="65D7C433" w14:textId="77777777" w:rsidR="00154E32" w:rsidRDefault="00A43E04">
            <w:pPr>
              <w:pStyle w:val="P68B1DB1-Normal9"/>
              <w:jc w:val="center"/>
              <w:rPr>
                <w:noProof/>
              </w:rPr>
            </w:pPr>
            <w:r>
              <w:rPr>
                <w:noProof/>
              </w:rPr>
              <w:t>Okvirni časovni razpored za dokončanje</w:t>
            </w:r>
          </w:p>
        </w:tc>
        <w:tc>
          <w:tcPr>
            <w:tcW w:w="4116" w:type="dxa"/>
            <w:vMerge w:val="restart"/>
            <w:shd w:val="clear" w:color="auto" w:fill="B8CCE4" w:themeFill="accent1" w:themeFillTint="66"/>
            <w:noWrap/>
            <w:vAlign w:val="center"/>
          </w:tcPr>
          <w:p w14:paraId="218EBCB5" w14:textId="77777777" w:rsidR="00154E32" w:rsidRDefault="00A43E04">
            <w:pPr>
              <w:pStyle w:val="P68B1DB1-Normal9"/>
              <w:jc w:val="center"/>
              <w:rPr>
                <w:noProof/>
              </w:rPr>
            </w:pPr>
            <w:r>
              <w:rPr>
                <w:noProof/>
              </w:rPr>
              <w:t>Opis vsakega mejnika in cilja</w:t>
            </w:r>
          </w:p>
        </w:tc>
      </w:tr>
      <w:tr w:rsidR="00154E32" w14:paraId="213CAAFE" w14:textId="77777777">
        <w:trPr>
          <w:trHeight w:val="591"/>
          <w:tblHeader/>
          <w:jc w:val="center"/>
        </w:trPr>
        <w:tc>
          <w:tcPr>
            <w:tcW w:w="1130" w:type="dxa"/>
            <w:vMerge/>
            <w:noWrap/>
            <w:vAlign w:val="center"/>
          </w:tcPr>
          <w:p w14:paraId="64A51397" w14:textId="77777777" w:rsidR="00154E32" w:rsidRDefault="00154E32">
            <w:pPr>
              <w:jc w:val="center"/>
              <w:rPr>
                <w:rFonts w:ascii="Arial Narrow" w:hAnsi="Arial Narrow"/>
                <w:b/>
                <w:noProof/>
                <w:sz w:val="20"/>
              </w:rPr>
            </w:pPr>
          </w:p>
        </w:tc>
        <w:tc>
          <w:tcPr>
            <w:tcW w:w="1560" w:type="dxa"/>
            <w:vMerge/>
            <w:noWrap/>
            <w:vAlign w:val="center"/>
          </w:tcPr>
          <w:p w14:paraId="2BED637F" w14:textId="77777777" w:rsidR="00154E32" w:rsidRDefault="00154E32">
            <w:pPr>
              <w:jc w:val="center"/>
              <w:rPr>
                <w:rFonts w:ascii="Arial Narrow" w:hAnsi="Arial Narrow"/>
                <w:b/>
                <w:noProof/>
                <w:sz w:val="20"/>
              </w:rPr>
            </w:pPr>
          </w:p>
        </w:tc>
        <w:tc>
          <w:tcPr>
            <w:tcW w:w="1134" w:type="dxa"/>
            <w:vMerge/>
            <w:noWrap/>
            <w:vAlign w:val="center"/>
          </w:tcPr>
          <w:p w14:paraId="4D0EB83B" w14:textId="77777777" w:rsidR="00154E32" w:rsidRDefault="00154E32">
            <w:pPr>
              <w:jc w:val="center"/>
              <w:rPr>
                <w:rFonts w:ascii="Arial Narrow" w:hAnsi="Arial Narrow"/>
                <w:b/>
                <w:noProof/>
                <w:sz w:val="20"/>
              </w:rPr>
            </w:pPr>
          </w:p>
        </w:tc>
        <w:tc>
          <w:tcPr>
            <w:tcW w:w="1559" w:type="dxa"/>
            <w:vMerge/>
            <w:noWrap/>
            <w:vAlign w:val="center"/>
          </w:tcPr>
          <w:p w14:paraId="48BE9902" w14:textId="77777777" w:rsidR="00154E32" w:rsidRDefault="00154E32">
            <w:pPr>
              <w:jc w:val="center"/>
              <w:rPr>
                <w:rFonts w:ascii="Arial Narrow" w:hAnsi="Arial Narrow"/>
                <w:b/>
                <w:noProof/>
                <w:sz w:val="20"/>
              </w:rPr>
            </w:pPr>
          </w:p>
        </w:tc>
        <w:tc>
          <w:tcPr>
            <w:tcW w:w="1383" w:type="dxa"/>
            <w:vMerge/>
            <w:noWrap/>
            <w:vAlign w:val="center"/>
          </w:tcPr>
          <w:p w14:paraId="5300B8F1" w14:textId="77777777" w:rsidR="00154E32" w:rsidRDefault="00154E32">
            <w:pPr>
              <w:jc w:val="center"/>
              <w:rPr>
                <w:rFonts w:ascii="Arial Narrow" w:hAnsi="Arial Narrow"/>
                <w:b/>
                <w:noProof/>
                <w:sz w:val="20"/>
              </w:rPr>
            </w:pPr>
          </w:p>
        </w:tc>
        <w:tc>
          <w:tcPr>
            <w:tcW w:w="1094" w:type="dxa"/>
            <w:shd w:val="clear" w:color="auto" w:fill="B8CCE4" w:themeFill="accent1" w:themeFillTint="66"/>
            <w:noWrap/>
            <w:vAlign w:val="center"/>
          </w:tcPr>
          <w:p w14:paraId="5DC3DFDF" w14:textId="77777777" w:rsidR="00154E32" w:rsidRDefault="00A43E04">
            <w:pPr>
              <w:pStyle w:val="P68B1DB1-Normal9"/>
              <w:jc w:val="center"/>
              <w:rPr>
                <w:noProof/>
              </w:rPr>
            </w:pPr>
            <w:r>
              <w:rPr>
                <w:noProof/>
              </w:rPr>
              <w:t>Merska enota</w:t>
            </w:r>
          </w:p>
        </w:tc>
        <w:tc>
          <w:tcPr>
            <w:tcW w:w="1290" w:type="dxa"/>
            <w:shd w:val="clear" w:color="auto" w:fill="B8CCE4" w:themeFill="accent1" w:themeFillTint="66"/>
            <w:vAlign w:val="center"/>
          </w:tcPr>
          <w:p w14:paraId="3E70648C" w14:textId="77777777" w:rsidR="00154E32" w:rsidRDefault="00A43E04">
            <w:pPr>
              <w:pStyle w:val="P68B1DB1-Normal9"/>
              <w:jc w:val="center"/>
              <w:rPr>
                <w:noProof/>
              </w:rPr>
            </w:pPr>
            <w:r>
              <w:rPr>
                <w:noProof/>
              </w:rPr>
              <w:t>Izhodišče</w:t>
            </w:r>
          </w:p>
        </w:tc>
        <w:tc>
          <w:tcPr>
            <w:tcW w:w="1194" w:type="dxa"/>
            <w:shd w:val="clear" w:color="auto" w:fill="B8CCE4" w:themeFill="accent1" w:themeFillTint="66"/>
            <w:vAlign w:val="center"/>
          </w:tcPr>
          <w:p w14:paraId="78CE3655" w14:textId="77777777" w:rsidR="00154E32" w:rsidRDefault="00A43E04">
            <w:pPr>
              <w:pStyle w:val="P68B1DB1-Normal9"/>
              <w:jc w:val="center"/>
              <w:rPr>
                <w:noProof/>
              </w:rPr>
            </w:pPr>
            <w:r>
              <w:rPr>
                <w:noProof/>
              </w:rPr>
              <w:t>Cilj</w:t>
            </w:r>
          </w:p>
        </w:tc>
        <w:tc>
          <w:tcPr>
            <w:tcW w:w="916" w:type="dxa"/>
            <w:shd w:val="clear" w:color="auto" w:fill="B8CCE4" w:themeFill="accent1" w:themeFillTint="66"/>
            <w:noWrap/>
            <w:vAlign w:val="center"/>
          </w:tcPr>
          <w:p w14:paraId="1A07552A" w14:textId="77777777" w:rsidR="00154E32" w:rsidRDefault="00A43E04">
            <w:pPr>
              <w:pStyle w:val="P68B1DB1-Normal9"/>
              <w:jc w:val="center"/>
              <w:rPr>
                <w:noProof/>
              </w:rPr>
            </w:pPr>
            <w:r>
              <w:rPr>
                <w:noProof/>
              </w:rPr>
              <w:t>Četrtletje</w:t>
            </w:r>
          </w:p>
        </w:tc>
        <w:tc>
          <w:tcPr>
            <w:tcW w:w="638" w:type="dxa"/>
            <w:shd w:val="clear" w:color="auto" w:fill="B8CCE4" w:themeFill="accent1" w:themeFillTint="66"/>
            <w:vAlign w:val="center"/>
          </w:tcPr>
          <w:p w14:paraId="265AF085" w14:textId="77777777" w:rsidR="00154E32" w:rsidRDefault="00A43E04">
            <w:pPr>
              <w:pStyle w:val="P68B1DB1-Normal9"/>
              <w:jc w:val="center"/>
              <w:rPr>
                <w:noProof/>
              </w:rPr>
            </w:pPr>
            <w:r>
              <w:rPr>
                <w:noProof/>
              </w:rPr>
              <w:t>Leto</w:t>
            </w:r>
          </w:p>
        </w:tc>
        <w:tc>
          <w:tcPr>
            <w:tcW w:w="4116" w:type="dxa"/>
            <w:vMerge/>
            <w:noWrap/>
            <w:vAlign w:val="center"/>
          </w:tcPr>
          <w:p w14:paraId="09C9E401" w14:textId="77777777" w:rsidR="00154E32" w:rsidRDefault="00154E32">
            <w:pPr>
              <w:rPr>
                <w:rFonts w:ascii="Arial Narrow" w:hAnsi="Arial Narrow"/>
                <w:noProof/>
                <w:sz w:val="20"/>
              </w:rPr>
            </w:pPr>
          </w:p>
        </w:tc>
      </w:tr>
      <w:tr w:rsidR="00154E32" w14:paraId="29FF7F2F" w14:textId="77777777">
        <w:trPr>
          <w:trHeight w:val="313"/>
          <w:jc w:val="center"/>
        </w:trPr>
        <w:tc>
          <w:tcPr>
            <w:tcW w:w="1130" w:type="dxa"/>
            <w:shd w:val="clear" w:color="auto" w:fill="C6EFCE"/>
            <w:noWrap/>
            <w:vAlign w:val="center"/>
          </w:tcPr>
          <w:p w14:paraId="03127FE8" w14:textId="2EF9EA00" w:rsidR="00154E32" w:rsidRDefault="00A43E04">
            <w:pPr>
              <w:pStyle w:val="P68B1DB1-Normal11"/>
              <w:spacing w:line="276" w:lineRule="auto"/>
              <w:jc w:val="center"/>
              <w:rPr>
                <w:noProof/>
              </w:rPr>
            </w:pPr>
            <w:r>
              <w:rPr>
                <w:noProof/>
              </w:rPr>
              <w:t>M2C4–6</w:t>
            </w:r>
          </w:p>
        </w:tc>
        <w:tc>
          <w:tcPr>
            <w:tcW w:w="1560" w:type="dxa"/>
            <w:shd w:val="clear" w:color="auto" w:fill="C6EFCE"/>
            <w:noWrap/>
            <w:vAlign w:val="center"/>
          </w:tcPr>
          <w:p w14:paraId="77C1A77E" w14:textId="4492BB52" w:rsidR="00154E32" w:rsidRDefault="00A43E04">
            <w:pPr>
              <w:pStyle w:val="P68B1DB1-Normal11"/>
              <w:spacing w:line="276" w:lineRule="auto"/>
              <w:jc w:val="center"/>
              <w:rPr>
                <w:noProof/>
              </w:rPr>
            </w:pPr>
            <w:r>
              <w:rPr>
                <w:noProof/>
              </w:rPr>
              <w:t>Naložba 3.2: Digitalizacija nacionalnih parkov</w:t>
            </w:r>
          </w:p>
        </w:tc>
        <w:tc>
          <w:tcPr>
            <w:tcW w:w="1134" w:type="dxa"/>
            <w:shd w:val="clear" w:color="auto" w:fill="C6EFCE"/>
            <w:noWrap/>
            <w:vAlign w:val="center"/>
          </w:tcPr>
          <w:p w14:paraId="5B43802A" w14:textId="4C2910E8" w:rsidR="00154E32" w:rsidRDefault="00A43E04">
            <w:pPr>
              <w:pStyle w:val="P68B1DB1-Normal11"/>
              <w:spacing w:line="276" w:lineRule="auto"/>
              <w:jc w:val="center"/>
              <w:rPr>
                <w:noProof/>
              </w:rPr>
            </w:pPr>
            <w:r>
              <w:rPr>
                <w:noProof/>
              </w:rPr>
              <w:t>Tarča</w:t>
            </w:r>
          </w:p>
        </w:tc>
        <w:tc>
          <w:tcPr>
            <w:tcW w:w="1559" w:type="dxa"/>
            <w:shd w:val="clear" w:color="auto" w:fill="C6EFCE"/>
            <w:noWrap/>
            <w:vAlign w:val="center"/>
          </w:tcPr>
          <w:p w14:paraId="4798B1AF" w14:textId="78BB387C" w:rsidR="00154E32" w:rsidRDefault="00A43E04">
            <w:pPr>
              <w:pStyle w:val="P68B1DB1-Normal11"/>
              <w:spacing w:line="276" w:lineRule="auto"/>
              <w:jc w:val="center"/>
              <w:rPr>
                <w:noProof/>
              </w:rPr>
            </w:pPr>
            <w:r>
              <w:rPr>
                <w:noProof/>
              </w:rPr>
              <w:t>Upravna poenostavitev in razvoj digitalnih storitev za obiskovalce nacionalnih parkov in zaščitenih morskih območij</w:t>
            </w:r>
          </w:p>
        </w:tc>
        <w:tc>
          <w:tcPr>
            <w:tcW w:w="1383" w:type="dxa"/>
            <w:shd w:val="clear" w:color="auto" w:fill="C6EFCE"/>
            <w:noWrap/>
            <w:vAlign w:val="center"/>
          </w:tcPr>
          <w:p w14:paraId="47E56C07" w14:textId="17A086CD" w:rsidR="00154E32" w:rsidRDefault="00A43E04">
            <w:pPr>
              <w:pStyle w:val="P68B1DB1-Normal11"/>
              <w:spacing w:line="276" w:lineRule="auto"/>
              <w:jc w:val="center"/>
              <w:rPr>
                <w:noProof/>
              </w:rPr>
            </w:pPr>
            <w:r>
              <w:rPr>
                <w:noProof/>
              </w:rPr>
              <w:t>JIH NI</w:t>
            </w:r>
          </w:p>
        </w:tc>
        <w:tc>
          <w:tcPr>
            <w:tcW w:w="1094" w:type="dxa"/>
            <w:shd w:val="clear" w:color="auto" w:fill="C6EFCE"/>
            <w:noWrap/>
            <w:vAlign w:val="center"/>
          </w:tcPr>
          <w:p w14:paraId="476E2022" w14:textId="04602C16" w:rsidR="00154E32" w:rsidRDefault="00A43E04">
            <w:pPr>
              <w:pStyle w:val="P68B1DB1-Normal11"/>
              <w:spacing w:line="276" w:lineRule="auto"/>
              <w:jc w:val="center"/>
              <w:rPr>
                <w:noProof/>
              </w:rPr>
            </w:pPr>
            <w:r>
              <w:rPr>
                <w:noProof/>
              </w:rPr>
              <w:t>Delež</w:t>
            </w:r>
          </w:p>
        </w:tc>
        <w:tc>
          <w:tcPr>
            <w:tcW w:w="1290" w:type="dxa"/>
            <w:shd w:val="clear" w:color="auto" w:fill="C6EFCE"/>
            <w:noWrap/>
            <w:vAlign w:val="center"/>
          </w:tcPr>
          <w:p w14:paraId="66D39F27" w14:textId="7887F1A6" w:rsidR="00154E32" w:rsidRDefault="00A43E04">
            <w:pPr>
              <w:pStyle w:val="P68B1DB1-Normal11"/>
              <w:spacing w:line="276" w:lineRule="auto"/>
              <w:jc w:val="center"/>
              <w:rPr>
                <w:noProof/>
              </w:rPr>
            </w:pPr>
            <w:r>
              <w:rPr>
                <w:noProof/>
              </w:rPr>
              <w:t>0</w:t>
            </w:r>
          </w:p>
        </w:tc>
        <w:tc>
          <w:tcPr>
            <w:tcW w:w="1194" w:type="dxa"/>
            <w:shd w:val="clear" w:color="auto" w:fill="C6EFCE"/>
            <w:noWrap/>
            <w:vAlign w:val="center"/>
          </w:tcPr>
          <w:p w14:paraId="5F8D7D19" w14:textId="124E6D36" w:rsidR="00154E32" w:rsidRDefault="00A43E04">
            <w:pPr>
              <w:pStyle w:val="P68B1DB1-Normal11"/>
              <w:spacing w:line="276" w:lineRule="auto"/>
              <w:jc w:val="center"/>
              <w:rPr>
                <w:noProof/>
              </w:rPr>
            </w:pPr>
            <w:r>
              <w:rPr>
                <w:noProof/>
              </w:rPr>
              <w:t>70</w:t>
            </w:r>
          </w:p>
        </w:tc>
        <w:tc>
          <w:tcPr>
            <w:tcW w:w="916" w:type="dxa"/>
            <w:shd w:val="clear" w:color="auto" w:fill="C6EFCE"/>
            <w:noWrap/>
            <w:vAlign w:val="center"/>
          </w:tcPr>
          <w:p w14:paraId="5205116E" w14:textId="65C0667D" w:rsidR="00154E32" w:rsidRDefault="00A43E04">
            <w:pPr>
              <w:pStyle w:val="P68B1DB1-Normal11"/>
              <w:spacing w:line="276" w:lineRule="auto"/>
              <w:jc w:val="center"/>
              <w:rPr>
                <w:noProof/>
              </w:rPr>
            </w:pPr>
            <w:r>
              <w:rPr>
                <w:noProof/>
              </w:rPr>
              <w:t>Q2</w:t>
            </w:r>
          </w:p>
        </w:tc>
        <w:tc>
          <w:tcPr>
            <w:tcW w:w="638" w:type="dxa"/>
            <w:shd w:val="clear" w:color="auto" w:fill="C6EFCE"/>
            <w:noWrap/>
            <w:vAlign w:val="center"/>
          </w:tcPr>
          <w:p w14:paraId="277A91A3" w14:textId="2128BA41" w:rsidR="00154E32" w:rsidRDefault="00A43E04">
            <w:pPr>
              <w:pStyle w:val="P68B1DB1-Normal11"/>
              <w:spacing w:line="276" w:lineRule="auto"/>
              <w:jc w:val="center"/>
              <w:rPr>
                <w:noProof/>
              </w:rPr>
            </w:pPr>
            <w:r>
              <w:rPr>
                <w:noProof/>
              </w:rPr>
              <w:t>2024</w:t>
            </w:r>
          </w:p>
        </w:tc>
        <w:tc>
          <w:tcPr>
            <w:tcW w:w="4116" w:type="dxa"/>
            <w:shd w:val="clear" w:color="auto" w:fill="C6EFCE"/>
            <w:noWrap/>
            <w:vAlign w:val="center"/>
          </w:tcPr>
          <w:p w14:paraId="2431EA8A" w14:textId="4172F6D7" w:rsidR="00154E32" w:rsidRDefault="00A43E04">
            <w:pPr>
              <w:pStyle w:val="P68B1DB1-Normal11"/>
              <w:spacing w:line="276" w:lineRule="auto"/>
              <w:rPr>
                <w:noProof/>
              </w:rPr>
            </w:pPr>
            <w:r>
              <w:rPr>
                <w:noProof/>
              </w:rPr>
              <w:t>Vsaj 70 % nacionalnih parkov in zaščitenih morskih območij je razvilo digitalne storitve za obiskovalce nacionalnih parkov in zaščitenih morskih območij (vsaj dva med: povezava s portalom Naturitalia.IT; vloga za upravne postopke ali aplikacija za trajnostno mobilnost).</w:t>
            </w:r>
          </w:p>
        </w:tc>
      </w:tr>
      <w:tr w:rsidR="00154E32" w14:paraId="19098CD3" w14:textId="77777777">
        <w:trPr>
          <w:trHeight w:val="313"/>
          <w:jc w:val="center"/>
        </w:trPr>
        <w:tc>
          <w:tcPr>
            <w:tcW w:w="1130" w:type="dxa"/>
            <w:shd w:val="clear" w:color="auto" w:fill="C6EFCE"/>
            <w:noWrap/>
            <w:vAlign w:val="center"/>
            <w:hideMark/>
          </w:tcPr>
          <w:p w14:paraId="2F78A7B1" w14:textId="77777777" w:rsidR="00154E32" w:rsidRDefault="00A43E04">
            <w:pPr>
              <w:pStyle w:val="P68B1DB1-Normal11"/>
              <w:spacing w:line="276" w:lineRule="auto"/>
              <w:jc w:val="center"/>
              <w:rPr>
                <w:noProof/>
              </w:rPr>
            </w:pPr>
            <w:r>
              <w:rPr>
                <w:noProof/>
              </w:rPr>
              <w:t>M2C4–7</w:t>
            </w:r>
          </w:p>
        </w:tc>
        <w:tc>
          <w:tcPr>
            <w:tcW w:w="1560" w:type="dxa"/>
            <w:shd w:val="clear" w:color="auto" w:fill="C6EFCE"/>
            <w:noWrap/>
            <w:vAlign w:val="center"/>
          </w:tcPr>
          <w:p w14:paraId="42C60DD6" w14:textId="77777777" w:rsidR="00154E32" w:rsidRDefault="00A43E04">
            <w:pPr>
              <w:pStyle w:val="P68B1DB1-Normal11"/>
              <w:spacing w:line="276" w:lineRule="auto"/>
              <w:jc w:val="center"/>
              <w:rPr>
                <w:noProof/>
              </w:rPr>
            </w:pPr>
            <w:r>
              <w:rPr>
                <w:noProof/>
              </w:rPr>
              <w:t>Reforma 3.1: Sprejetje nacionalnih programov za nadzor nad onesnaževanjem zraka</w:t>
            </w:r>
          </w:p>
        </w:tc>
        <w:tc>
          <w:tcPr>
            <w:tcW w:w="1134" w:type="dxa"/>
            <w:shd w:val="clear" w:color="auto" w:fill="C6EFCE"/>
            <w:noWrap/>
            <w:vAlign w:val="center"/>
            <w:hideMark/>
          </w:tcPr>
          <w:p w14:paraId="430DB118" w14:textId="77777777" w:rsidR="00154E32" w:rsidRDefault="00A43E04">
            <w:pPr>
              <w:pStyle w:val="P68B1DB1-Normal11"/>
              <w:spacing w:line="276" w:lineRule="auto"/>
              <w:jc w:val="center"/>
              <w:rPr>
                <w:noProof/>
              </w:rPr>
            </w:pPr>
            <w:r>
              <w:rPr>
                <w:noProof/>
              </w:rPr>
              <w:t>Mejnik</w:t>
            </w:r>
          </w:p>
        </w:tc>
        <w:tc>
          <w:tcPr>
            <w:tcW w:w="1559" w:type="dxa"/>
            <w:shd w:val="clear" w:color="auto" w:fill="C6EFCE"/>
            <w:noWrap/>
            <w:vAlign w:val="center"/>
          </w:tcPr>
          <w:p w14:paraId="7F4FC433" w14:textId="77777777" w:rsidR="00154E32" w:rsidRDefault="00A43E04">
            <w:pPr>
              <w:pStyle w:val="P68B1DB1-Normal11"/>
              <w:spacing w:line="276" w:lineRule="auto"/>
              <w:jc w:val="center"/>
              <w:rPr>
                <w:noProof/>
              </w:rPr>
            </w:pPr>
            <w:r>
              <w:rPr>
                <w:noProof/>
              </w:rPr>
              <w:t>Začetek veljavnosti nacionalnega programa nadzora nad onesnaževanjem zraka</w:t>
            </w:r>
          </w:p>
        </w:tc>
        <w:tc>
          <w:tcPr>
            <w:tcW w:w="1383" w:type="dxa"/>
            <w:shd w:val="clear" w:color="auto" w:fill="C6EFCE"/>
            <w:noWrap/>
            <w:vAlign w:val="center"/>
            <w:hideMark/>
          </w:tcPr>
          <w:p w14:paraId="3226DA9B" w14:textId="77777777" w:rsidR="00154E32" w:rsidRDefault="00A43E04">
            <w:pPr>
              <w:pStyle w:val="P68B1DB1-Normal11"/>
              <w:spacing w:line="276" w:lineRule="auto"/>
              <w:jc w:val="center"/>
              <w:rPr>
                <w:noProof/>
              </w:rPr>
            </w:pPr>
            <w:r>
              <w:rPr>
                <w:noProof/>
              </w:rPr>
              <w:t>Določba v DPCM, ki označuje začetek veljavnosti</w:t>
            </w:r>
          </w:p>
        </w:tc>
        <w:tc>
          <w:tcPr>
            <w:tcW w:w="1094" w:type="dxa"/>
            <w:shd w:val="clear" w:color="auto" w:fill="C6EFCE"/>
            <w:noWrap/>
            <w:vAlign w:val="center"/>
            <w:hideMark/>
          </w:tcPr>
          <w:p w14:paraId="179D2C60" w14:textId="77777777" w:rsidR="00154E32" w:rsidRDefault="00A43E04">
            <w:pPr>
              <w:pStyle w:val="P68B1DB1-Normal11"/>
              <w:spacing w:line="276" w:lineRule="auto"/>
              <w:jc w:val="center"/>
              <w:rPr>
                <w:noProof/>
              </w:rPr>
            </w:pPr>
            <w:r>
              <w:rPr>
                <w:noProof/>
              </w:rPr>
              <w:t>JIH NI</w:t>
            </w:r>
          </w:p>
        </w:tc>
        <w:tc>
          <w:tcPr>
            <w:tcW w:w="1290" w:type="dxa"/>
            <w:shd w:val="clear" w:color="auto" w:fill="C6EFCE"/>
            <w:noWrap/>
            <w:vAlign w:val="center"/>
          </w:tcPr>
          <w:p w14:paraId="03BC1DF8" w14:textId="77777777" w:rsidR="00154E32" w:rsidRDefault="00A43E04">
            <w:pPr>
              <w:pStyle w:val="P68B1DB1-Normal11"/>
              <w:spacing w:line="276" w:lineRule="auto"/>
              <w:jc w:val="center"/>
              <w:rPr>
                <w:noProof/>
              </w:rPr>
            </w:pPr>
            <w:r>
              <w:rPr>
                <w:noProof/>
              </w:rPr>
              <w:t>OPOMBA:</w:t>
            </w:r>
          </w:p>
        </w:tc>
        <w:tc>
          <w:tcPr>
            <w:tcW w:w="1194" w:type="dxa"/>
            <w:shd w:val="clear" w:color="auto" w:fill="C6EFCE"/>
            <w:noWrap/>
            <w:vAlign w:val="center"/>
          </w:tcPr>
          <w:p w14:paraId="62D66452" w14:textId="77777777" w:rsidR="00154E32" w:rsidRDefault="00A43E04">
            <w:pPr>
              <w:pStyle w:val="P68B1DB1-Normal11"/>
              <w:spacing w:line="276" w:lineRule="auto"/>
              <w:jc w:val="center"/>
              <w:rPr>
                <w:noProof/>
              </w:rPr>
            </w:pPr>
            <w:r>
              <w:rPr>
                <w:noProof/>
              </w:rPr>
              <w:t>JIH NI</w:t>
            </w:r>
          </w:p>
        </w:tc>
        <w:tc>
          <w:tcPr>
            <w:tcW w:w="916" w:type="dxa"/>
            <w:shd w:val="clear" w:color="auto" w:fill="C6EFCE"/>
            <w:noWrap/>
            <w:vAlign w:val="center"/>
            <w:hideMark/>
          </w:tcPr>
          <w:p w14:paraId="55D38497" w14:textId="77777777" w:rsidR="00154E32" w:rsidRDefault="00A43E04">
            <w:pPr>
              <w:pStyle w:val="P68B1DB1-Normal11"/>
              <w:spacing w:line="276" w:lineRule="auto"/>
              <w:jc w:val="center"/>
              <w:rPr>
                <w:noProof/>
              </w:rPr>
            </w:pPr>
            <w:r>
              <w:rPr>
                <w:noProof/>
              </w:rPr>
              <w:t>Q4</w:t>
            </w:r>
          </w:p>
        </w:tc>
        <w:tc>
          <w:tcPr>
            <w:tcW w:w="638" w:type="dxa"/>
            <w:shd w:val="clear" w:color="auto" w:fill="C6EFCE"/>
            <w:noWrap/>
            <w:vAlign w:val="center"/>
            <w:hideMark/>
          </w:tcPr>
          <w:p w14:paraId="2E9276CA" w14:textId="77777777" w:rsidR="00154E32" w:rsidRDefault="00A43E04">
            <w:pPr>
              <w:pStyle w:val="P68B1DB1-Normal11"/>
              <w:spacing w:line="276" w:lineRule="auto"/>
              <w:jc w:val="center"/>
              <w:rPr>
                <w:noProof/>
              </w:rPr>
            </w:pPr>
            <w:r>
              <w:rPr>
                <w:noProof/>
              </w:rPr>
              <w:t>2021</w:t>
            </w:r>
          </w:p>
        </w:tc>
        <w:tc>
          <w:tcPr>
            <w:tcW w:w="4116" w:type="dxa"/>
            <w:shd w:val="clear" w:color="auto" w:fill="C6EFCE"/>
            <w:noWrap/>
            <w:vAlign w:val="center"/>
            <w:hideMark/>
          </w:tcPr>
          <w:p w14:paraId="43E3E65E" w14:textId="72747171" w:rsidR="00154E32" w:rsidRDefault="00A43E04">
            <w:pPr>
              <w:pStyle w:val="P68B1DB1-Normal11"/>
              <w:spacing w:line="276" w:lineRule="auto"/>
              <w:rPr>
                <w:noProof/>
              </w:rPr>
            </w:pPr>
            <w:r>
              <w:rPr>
                <w:noProof/>
              </w:rPr>
              <w:t>Z odlokom predsednika sveta ministrov (DPCM) se določi nacionalni program nadzora nad onesnaževanjem zraka, ki uvaja ustrezne ukrepe za zmanjšanje onesnaženosti zraka v skladu z Direktivo EU 2016/2284 in zakonsko uredbo št. 81 z dne 30. maja 2018, s katero je bila ta direktiva prenesena.</w:t>
            </w:r>
          </w:p>
        </w:tc>
      </w:tr>
      <w:tr w:rsidR="00154E32" w14:paraId="20C0C50E" w14:textId="77777777">
        <w:trPr>
          <w:trHeight w:val="313"/>
          <w:jc w:val="center"/>
        </w:trPr>
        <w:tc>
          <w:tcPr>
            <w:tcW w:w="1130" w:type="dxa"/>
            <w:shd w:val="clear" w:color="auto" w:fill="C6EFCE"/>
            <w:noWrap/>
            <w:vAlign w:val="center"/>
            <w:hideMark/>
          </w:tcPr>
          <w:p w14:paraId="1E6C4AFA" w14:textId="77777777" w:rsidR="00154E32" w:rsidRDefault="00A43E04">
            <w:pPr>
              <w:pStyle w:val="P68B1DB1-Normal11"/>
              <w:spacing w:line="276" w:lineRule="auto"/>
              <w:jc w:val="center"/>
              <w:rPr>
                <w:noProof/>
              </w:rPr>
            </w:pPr>
            <w:r>
              <w:rPr>
                <w:noProof/>
              </w:rPr>
              <w:t>M2C4–8</w:t>
            </w:r>
          </w:p>
        </w:tc>
        <w:tc>
          <w:tcPr>
            <w:tcW w:w="1560" w:type="dxa"/>
            <w:shd w:val="clear" w:color="auto" w:fill="C6EFCE"/>
            <w:noWrap/>
            <w:vAlign w:val="center"/>
          </w:tcPr>
          <w:p w14:paraId="3B8527DF" w14:textId="77777777" w:rsidR="00154E32" w:rsidRDefault="00A43E04">
            <w:pPr>
              <w:pStyle w:val="P68B1DB1-Normal11"/>
              <w:spacing w:line="276" w:lineRule="auto"/>
              <w:jc w:val="center"/>
              <w:rPr>
                <w:noProof/>
              </w:rPr>
            </w:pPr>
            <w:r>
              <w:rPr>
                <w:noProof/>
              </w:rPr>
              <w:t>Naložba 1.1. Izvajanje naprednega in integriranega sistema spremljanja in napovedovanja</w:t>
            </w:r>
          </w:p>
        </w:tc>
        <w:tc>
          <w:tcPr>
            <w:tcW w:w="1134" w:type="dxa"/>
            <w:shd w:val="clear" w:color="auto" w:fill="C6EFCE"/>
            <w:noWrap/>
            <w:vAlign w:val="center"/>
            <w:hideMark/>
          </w:tcPr>
          <w:p w14:paraId="7E5761B0" w14:textId="77777777" w:rsidR="00154E32" w:rsidRDefault="00A43E04">
            <w:pPr>
              <w:pStyle w:val="P68B1DB1-Normal11"/>
              <w:spacing w:line="276" w:lineRule="auto"/>
              <w:jc w:val="center"/>
              <w:rPr>
                <w:noProof/>
              </w:rPr>
            </w:pPr>
            <w:r>
              <w:rPr>
                <w:noProof/>
              </w:rPr>
              <w:t>Mejnik</w:t>
            </w:r>
          </w:p>
        </w:tc>
        <w:tc>
          <w:tcPr>
            <w:tcW w:w="1559" w:type="dxa"/>
            <w:shd w:val="clear" w:color="auto" w:fill="C6EFCE"/>
            <w:noWrap/>
            <w:vAlign w:val="center"/>
          </w:tcPr>
          <w:p w14:paraId="61B923C7" w14:textId="20246E9E" w:rsidR="00154E32" w:rsidRDefault="00A43E04">
            <w:pPr>
              <w:pStyle w:val="P68B1DB1-Normal11"/>
              <w:spacing w:line="276" w:lineRule="auto"/>
              <w:jc w:val="center"/>
              <w:rPr>
                <w:noProof/>
              </w:rPr>
            </w:pPr>
            <w:r>
              <w:rPr>
                <w:noProof/>
              </w:rPr>
              <w:t>Operativni načrt za napredni in integriran sistem spremljanja in napovedovanja za opredelitev hidroloških tveganj</w:t>
            </w:r>
          </w:p>
        </w:tc>
        <w:tc>
          <w:tcPr>
            <w:tcW w:w="1383" w:type="dxa"/>
            <w:shd w:val="clear" w:color="auto" w:fill="C6EFCE"/>
            <w:noWrap/>
            <w:vAlign w:val="center"/>
            <w:hideMark/>
          </w:tcPr>
          <w:p w14:paraId="169E647C" w14:textId="77777777" w:rsidR="00154E32" w:rsidRDefault="00A43E04">
            <w:pPr>
              <w:pStyle w:val="P68B1DB1-Normal11"/>
              <w:spacing w:line="276" w:lineRule="auto"/>
              <w:jc w:val="center"/>
              <w:rPr>
                <w:noProof/>
              </w:rPr>
            </w:pPr>
            <w:r>
              <w:rPr>
                <w:noProof/>
              </w:rPr>
              <w:t>Določba ministrskega odloka o začetku veljavnosti</w:t>
            </w:r>
          </w:p>
        </w:tc>
        <w:tc>
          <w:tcPr>
            <w:tcW w:w="1094" w:type="dxa"/>
            <w:shd w:val="clear" w:color="auto" w:fill="C6EFCE"/>
            <w:noWrap/>
            <w:vAlign w:val="center"/>
            <w:hideMark/>
          </w:tcPr>
          <w:p w14:paraId="55819EB2" w14:textId="77777777" w:rsidR="00154E32" w:rsidRDefault="00A43E04">
            <w:pPr>
              <w:pStyle w:val="P68B1DB1-Normal11"/>
              <w:spacing w:line="276" w:lineRule="auto"/>
              <w:jc w:val="center"/>
              <w:rPr>
                <w:noProof/>
              </w:rPr>
            </w:pPr>
            <w:r>
              <w:rPr>
                <w:noProof/>
              </w:rPr>
              <w:t>JIH NI</w:t>
            </w:r>
          </w:p>
        </w:tc>
        <w:tc>
          <w:tcPr>
            <w:tcW w:w="1290" w:type="dxa"/>
            <w:shd w:val="clear" w:color="auto" w:fill="C6EFCE"/>
            <w:noWrap/>
            <w:vAlign w:val="center"/>
          </w:tcPr>
          <w:p w14:paraId="68B1EE99" w14:textId="77777777" w:rsidR="00154E32" w:rsidRDefault="00A43E04">
            <w:pPr>
              <w:pStyle w:val="P68B1DB1-Normal11"/>
              <w:spacing w:line="276" w:lineRule="auto"/>
              <w:jc w:val="center"/>
              <w:rPr>
                <w:noProof/>
              </w:rPr>
            </w:pPr>
            <w:r>
              <w:rPr>
                <w:noProof/>
              </w:rPr>
              <w:t>JIH NI</w:t>
            </w:r>
          </w:p>
        </w:tc>
        <w:tc>
          <w:tcPr>
            <w:tcW w:w="1194" w:type="dxa"/>
            <w:shd w:val="clear" w:color="auto" w:fill="C6EFCE"/>
            <w:noWrap/>
            <w:vAlign w:val="center"/>
          </w:tcPr>
          <w:p w14:paraId="0D1B5EEB" w14:textId="77777777" w:rsidR="00154E32" w:rsidRDefault="00A43E04">
            <w:pPr>
              <w:pStyle w:val="P68B1DB1-Normal11"/>
              <w:spacing w:line="276" w:lineRule="auto"/>
              <w:jc w:val="center"/>
              <w:rPr>
                <w:noProof/>
              </w:rPr>
            </w:pPr>
            <w:r>
              <w:rPr>
                <w:noProof/>
              </w:rPr>
              <w:t>JIH NI</w:t>
            </w:r>
          </w:p>
        </w:tc>
        <w:tc>
          <w:tcPr>
            <w:tcW w:w="916" w:type="dxa"/>
            <w:shd w:val="clear" w:color="auto" w:fill="C6EFCE"/>
            <w:noWrap/>
            <w:vAlign w:val="center"/>
            <w:hideMark/>
          </w:tcPr>
          <w:p w14:paraId="6E151018" w14:textId="77777777" w:rsidR="00154E32" w:rsidRDefault="00A43E04">
            <w:pPr>
              <w:pStyle w:val="P68B1DB1-Normal11"/>
              <w:spacing w:line="276" w:lineRule="auto"/>
              <w:jc w:val="center"/>
              <w:rPr>
                <w:noProof/>
              </w:rPr>
            </w:pPr>
            <w:r>
              <w:rPr>
                <w:noProof/>
              </w:rPr>
              <w:t>Q3</w:t>
            </w:r>
          </w:p>
        </w:tc>
        <w:tc>
          <w:tcPr>
            <w:tcW w:w="638" w:type="dxa"/>
            <w:shd w:val="clear" w:color="auto" w:fill="C6EFCE"/>
            <w:noWrap/>
            <w:vAlign w:val="center"/>
            <w:hideMark/>
          </w:tcPr>
          <w:p w14:paraId="391767CC" w14:textId="77777777" w:rsidR="00154E32" w:rsidRDefault="00A43E04">
            <w:pPr>
              <w:pStyle w:val="P68B1DB1-Normal11"/>
              <w:spacing w:line="276" w:lineRule="auto"/>
              <w:jc w:val="center"/>
              <w:rPr>
                <w:noProof/>
              </w:rPr>
            </w:pPr>
            <w:r>
              <w:rPr>
                <w:noProof/>
              </w:rPr>
              <w:t>2021</w:t>
            </w:r>
          </w:p>
        </w:tc>
        <w:tc>
          <w:tcPr>
            <w:tcW w:w="4116" w:type="dxa"/>
            <w:shd w:val="clear" w:color="auto" w:fill="C6EFCE"/>
            <w:noWrap/>
            <w:vAlign w:val="center"/>
            <w:hideMark/>
          </w:tcPr>
          <w:p w14:paraId="51F5D958" w14:textId="77777777" w:rsidR="00154E32" w:rsidRDefault="00A43E04">
            <w:pPr>
              <w:pStyle w:val="P68B1DB1-Normal11"/>
              <w:spacing w:line="276" w:lineRule="auto"/>
              <w:rPr>
                <w:noProof/>
              </w:rPr>
            </w:pPr>
            <w:r>
              <w:rPr>
                <w:noProof/>
              </w:rPr>
              <w:t>Z ministrsko uredbo se odobri operativni načrt za izvajanje naprednega in celovitega sistema spremljanja in napovedovanja za opredelitev hidroloških tveganj. Vključuje najmanj:</w:t>
            </w:r>
          </w:p>
          <w:p w14:paraId="5F9FF5CF" w14:textId="77777777" w:rsidR="00154E32" w:rsidRDefault="00A43E04">
            <w:pPr>
              <w:pStyle w:val="P68B1DB1-ListParagraph13"/>
              <w:numPr>
                <w:ilvl w:val="0"/>
                <w:numId w:val="69"/>
              </w:numPr>
              <w:spacing w:line="276" w:lineRule="auto"/>
              <w:ind w:left="424"/>
              <w:rPr>
                <w:noProof/>
              </w:rPr>
            </w:pPr>
            <w:r>
              <w:rPr>
                <w:noProof/>
              </w:rPr>
              <w:t>Predvideti aplikacije za daljinsko zaznavanje in senzorje podatkovnega polja;</w:t>
            </w:r>
          </w:p>
          <w:p w14:paraId="16A5F52C" w14:textId="77777777" w:rsidR="00154E32" w:rsidRDefault="00A43E04">
            <w:pPr>
              <w:pStyle w:val="P68B1DB1-ListParagraph13"/>
              <w:numPr>
                <w:ilvl w:val="0"/>
                <w:numId w:val="69"/>
              </w:numPr>
              <w:spacing w:line="276" w:lineRule="auto"/>
              <w:ind w:left="424"/>
              <w:rPr>
                <w:noProof/>
              </w:rPr>
            </w:pPr>
            <w:r>
              <w:rPr>
                <w:noProof/>
              </w:rPr>
              <w:t>Razvoj komunikacijskega sistema, ki omogoča usklajevanje in interoperabilnost med različnimi upravljavci v kontrolnih sobah</w:t>
            </w:r>
          </w:p>
          <w:p w14:paraId="77BB4CD5" w14:textId="77777777" w:rsidR="00154E32" w:rsidRDefault="00A43E04">
            <w:pPr>
              <w:pStyle w:val="P68B1DB1-ListParagraph13"/>
              <w:numPr>
                <w:ilvl w:val="0"/>
                <w:numId w:val="69"/>
              </w:numPr>
              <w:spacing w:line="276" w:lineRule="auto"/>
              <w:ind w:left="424"/>
              <w:rPr>
                <w:noProof/>
              </w:rPr>
            </w:pPr>
            <w:r>
              <w:rPr>
                <w:noProof/>
              </w:rPr>
              <w:t>Vzpostavitev osrednjih in regionalnih kontrolnih sob</w:t>
            </w:r>
          </w:p>
          <w:p w14:paraId="677F7BE4" w14:textId="77777777" w:rsidR="00154E32" w:rsidRDefault="00A43E04">
            <w:pPr>
              <w:pStyle w:val="P68B1DB1-ListParagraph13"/>
              <w:numPr>
                <w:ilvl w:val="0"/>
                <w:numId w:val="69"/>
              </w:numPr>
              <w:spacing w:line="276" w:lineRule="auto"/>
              <w:ind w:left="424"/>
              <w:rPr>
                <w:noProof/>
              </w:rPr>
            </w:pPr>
            <w:r>
              <w:rPr>
                <w:noProof/>
              </w:rPr>
              <w:t>Razvoj sistemov in storitev kibernetske varnosti</w:t>
            </w:r>
          </w:p>
        </w:tc>
      </w:tr>
      <w:tr w:rsidR="00154E32" w14:paraId="77752F5A" w14:textId="77777777">
        <w:trPr>
          <w:trHeight w:val="313"/>
          <w:jc w:val="center"/>
        </w:trPr>
        <w:tc>
          <w:tcPr>
            <w:tcW w:w="1130" w:type="dxa"/>
            <w:shd w:val="clear" w:color="auto" w:fill="C6EFCE"/>
            <w:noWrap/>
            <w:vAlign w:val="center"/>
            <w:hideMark/>
          </w:tcPr>
          <w:p w14:paraId="1E545ACB" w14:textId="77777777" w:rsidR="00154E32" w:rsidRDefault="00A43E04">
            <w:pPr>
              <w:pStyle w:val="P68B1DB1-Normal11"/>
              <w:spacing w:line="276" w:lineRule="auto"/>
              <w:jc w:val="center"/>
              <w:rPr>
                <w:noProof/>
              </w:rPr>
            </w:pPr>
            <w:r>
              <w:rPr>
                <w:noProof/>
              </w:rPr>
              <w:t>M2C4–9</w:t>
            </w:r>
          </w:p>
        </w:tc>
        <w:tc>
          <w:tcPr>
            <w:tcW w:w="1560" w:type="dxa"/>
            <w:shd w:val="clear" w:color="auto" w:fill="C6EFCE"/>
            <w:noWrap/>
            <w:vAlign w:val="center"/>
          </w:tcPr>
          <w:p w14:paraId="252BD3C5" w14:textId="77777777" w:rsidR="00154E32" w:rsidRDefault="00A43E04">
            <w:pPr>
              <w:pStyle w:val="P68B1DB1-Normal11"/>
              <w:spacing w:line="276" w:lineRule="auto"/>
              <w:jc w:val="center"/>
              <w:rPr>
                <w:noProof/>
              </w:rPr>
            </w:pPr>
            <w:r>
              <w:rPr>
                <w:noProof/>
              </w:rPr>
              <w:t>Naložba 1.1. Izvajanje naprednega in integriranega sistema spremljanja in napovedovanja</w:t>
            </w:r>
          </w:p>
        </w:tc>
        <w:tc>
          <w:tcPr>
            <w:tcW w:w="1134" w:type="dxa"/>
            <w:shd w:val="clear" w:color="auto" w:fill="C6EFCE"/>
            <w:noWrap/>
            <w:vAlign w:val="center"/>
            <w:hideMark/>
          </w:tcPr>
          <w:p w14:paraId="1D6804FC" w14:textId="77777777" w:rsidR="00154E32" w:rsidRDefault="00A43E04">
            <w:pPr>
              <w:pStyle w:val="P68B1DB1-Normal11"/>
              <w:spacing w:line="276" w:lineRule="auto"/>
              <w:jc w:val="center"/>
              <w:rPr>
                <w:noProof/>
              </w:rPr>
            </w:pPr>
            <w:r>
              <w:rPr>
                <w:noProof/>
              </w:rPr>
              <w:t>Tarča</w:t>
            </w:r>
          </w:p>
        </w:tc>
        <w:tc>
          <w:tcPr>
            <w:tcW w:w="1559" w:type="dxa"/>
            <w:shd w:val="clear" w:color="auto" w:fill="C6EFCE"/>
            <w:noWrap/>
            <w:vAlign w:val="center"/>
          </w:tcPr>
          <w:p w14:paraId="599A809B" w14:textId="253A3B1F" w:rsidR="00154E32" w:rsidRDefault="00A43E04">
            <w:pPr>
              <w:pStyle w:val="P68B1DB1-Normal11"/>
              <w:spacing w:line="276" w:lineRule="auto"/>
              <w:jc w:val="center"/>
              <w:rPr>
                <w:noProof/>
              </w:rPr>
            </w:pPr>
            <w:r>
              <w:rPr>
                <w:noProof/>
              </w:rPr>
              <w:t>Uvedba naprednega in integriranega sistema spremljanja in napovedovanja za opredelitev hidroloških tveganj</w:t>
            </w:r>
          </w:p>
        </w:tc>
        <w:tc>
          <w:tcPr>
            <w:tcW w:w="1383" w:type="dxa"/>
            <w:shd w:val="clear" w:color="auto" w:fill="C6EFCE"/>
            <w:noWrap/>
            <w:vAlign w:val="center"/>
            <w:hideMark/>
          </w:tcPr>
          <w:p w14:paraId="1744A7C8" w14:textId="77777777" w:rsidR="00154E32" w:rsidRDefault="00A43E04">
            <w:pPr>
              <w:pStyle w:val="P68B1DB1-Normal11"/>
              <w:spacing w:line="276" w:lineRule="auto"/>
              <w:jc w:val="center"/>
              <w:rPr>
                <w:noProof/>
              </w:rPr>
            </w:pPr>
            <w:r>
              <w:rPr>
                <w:noProof/>
              </w:rPr>
              <w:t>JIH NI</w:t>
            </w:r>
          </w:p>
        </w:tc>
        <w:tc>
          <w:tcPr>
            <w:tcW w:w="1094" w:type="dxa"/>
            <w:shd w:val="clear" w:color="auto" w:fill="C6EFCE"/>
            <w:noWrap/>
            <w:vAlign w:val="center"/>
            <w:hideMark/>
          </w:tcPr>
          <w:p w14:paraId="3FE56598" w14:textId="77777777" w:rsidR="00154E32" w:rsidRDefault="00A43E04">
            <w:pPr>
              <w:pStyle w:val="P68B1DB1-Normal11"/>
              <w:spacing w:line="276" w:lineRule="auto"/>
              <w:jc w:val="center"/>
              <w:rPr>
                <w:noProof/>
              </w:rPr>
            </w:pPr>
            <w:r>
              <w:rPr>
                <w:noProof/>
              </w:rPr>
              <w:t>Delež</w:t>
            </w:r>
          </w:p>
        </w:tc>
        <w:tc>
          <w:tcPr>
            <w:tcW w:w="1290" w:type="dxa"/>
            <w:shd w:val="clear" w:color="auto" w:fill="C6EFCE"/>
            <w:noWrap/>
            <w:vAlign w:val="center"/>
          </w:tcPr>
          <w:p w14:paraId="5E774C10" w14:textId="77777777" w:rsidR="00154E32" w:rsidRDefault="00A43E04">
            <w:pPr>
              <w:pStyle w:val="P68B1DB1-Normal11"/>
              <w:spacing w:line="276" w:lineRule="auto"/>
              <w:jc w:val="center"/>
              <w:rPr>
                <w:noProof/>
              </w:rPr>
            </w:pPr>
            <w:r>
              <w:rPr>
                <w:noProof/>
              </w:rPr>
              <w:t>0</w:t>
            </w:r>
          </w:p>
        </w:tc>
        <w:tc>
          <w:tcPr>
            <w:tcW w:w="1194" w:type="dxa"/>
            <w:shd w:val="clear" w:color="auto" w:fill="C6EFCE"/>
            <w:noWrap/>
            <w:vAlign w:val="center"/>
          </w:tcPr>
          <w:p w14:paraId="21ADE578" w14:textId="77777777" w:rsidR="00154E32" w:rsidRDefault="00A43E04">
            <w:pPr>
              <w:pStyle w:val="P68B1DB1-Normal11"/>
              <w:spacing w:line="276" w:lineRule="auto"/>
              <w:jc w:val="center"/>
              <w:rPr>
                <w:noProof/>
              </w:rPr>
            </w:pPr>
            <w:r>
              <w:rPr>
                <w:noProof/>
              </w:rPr>
              <w:t>90</w:t>
            </w:r>
          </w:p>
        </w:tc>
        <w:tc>
          <w:tcPr>
            <w:tcW w:w="916" w:type="dxa"/>
            <w:shd w:val="clear" w:color="auto" w:fill="C6EFCE"/>
            <w:noWrap/>
            <w:vAlign w:val="center"/>
            <w:hideMark/>
          </w:tcPr>
          <w:p w14:paraId="2748F666" w14:textId="77777777" w:rsidR="00154E32" w:rsidRDefault="00A43E04">
            <w:pPr>
              <w:pStyle w:val="P68B1DB1-Normal11"/>
              <w:spacing w:line="276" w:lineRule="auto"/>
              <w:jc w:val="center"/>
              <w:rPr>
                <w:noProof/>
              </w:rPr>
            </w:pPr>
            <w:r>
              <w:rPr>
                <w:noProof/>
              </w:rPr>
              <w:t>Q2</w:t>
            </w:r>
          </w:p>
        </w:tc>
        <w:tc>
          <w:tcPr>
            <w:tcW w:w="638" w:type="dxa"/>
            <w:shd w:val="clear" w:color="auto" w:fill="C6EFCE"/>
            <w:noWrap/>
            <w:vAlign w:val="center"/>
            <w:hideMark/>
          </w:tcPr>
          <w:p w14:paraId="35217DAC" w14:textId="77777777" w:rsidR="00154E32" w:rsidRDefault="00A43E04">
            <w:pPr>
              <w:pStyle w:val="P68B1DB1-Normal11"/>
              <w:spacing w:line="276" w:lineRule="auto"/>
              <w:jc w:val="center"/>
              <w:rPr>
                <w:noProof/>
              </w:rPr>
            </w:pPr>
            <w:r>
              <w:rPr>
                <w:noProof/>
              </w:rPr>
              <w:t>2025</w:t>
            </w:r>
          </w:p>
        </w:tc>
        <w:tc>
          <w:tcPr>
            <w:tcW w:w="4116" w:type="dxa"/>
            <w:shd w:val="clear" w:color="auto" w:fill="C6EFCE"/>
            <w:noWrap/>
            <w:vAlign w:val="center"/>
            <w:hideMark/>
          </w:tcPr>
          <w:p w14:paraId="67530860" w14:textId="508F6E99" w:rsidR="00154E32" w:rsidRDefault="00A43E04">
            <w:pPr>
              <w:pStyle w:val="P68B1DB1-Normal11"/>
              <w:spacing w:line="276" w:lineRule="auto"/>
              <w:rPr>
                <w:noProof/>
              </w:rPr>
            </w:pPr>
            <w:r>
              <w:rPr>
                <w:noProof/>
              </w:rPr>
              <w:t>Napredni in integriran sistem spremljanja in napovedovanja za opredelitev hidroloških tveganj zajema 90 % površine južnih regij.</w:t>
            </w:r>
          </w:p>
        </w:tc>
      </w:tr>
      <w:tr w:rsidR="00154E32" w14:paraId="58144661" w14:textId="77777777">
        <w:trPr>
          <w:trHeight w:val="313"/>
          <w:jc w:val="center"/>
        </w:trPr>
        <w:tc>
          <w:tcPr>
            <w:tcW w:w="1130" w:type="dxa"/>
            <w:shd w:val="clear" w:color="auto" w:fill="C6EFCE"/>
            <w:noWrap/>
            <w:vAlign w:val="center"/>
          </w:tcPr>
          <w:p w14:paraId="65A67FC9" w14:textId="77777777" w:rsidR="00154E32" w:rsidRDefault="00A43E04">
            <w:pPr>
              <w:pStyle w:val="P68B1DB1-Normal11"/>
              <w:spacing w:line="276" w:lineRule="auto"/>
              <w:jc w:val="center"/>
              <w:rPr>
                <w:noProof/>
              </w:rPr>
            </w:pPr>
            <w:r>
              <w:rPr>
                <w:noProof/>
              </w:rPr>
              <w:t>M2C4–11</w:t>
            </w:r>
          </w:p>
        </w:tc>
        <w:tc>
          <w:tcPr>
            <w:tcW w:w="1560" w:type="dxa"/>
            <w:shd w:val="clear" w:color="auto" w:fill="C6EFCE"/>
            <w:noWrap/>
            <w:vAlign w:val="center"/>
          </w:tcPr>
          <w:p w14:paraId="3F813808" w14:textId="77777777" w:rsidR="00154E32" w:rsidRDefault="00A43E04">
            <w:pPr>
              <w:pStyle w:val="P68B1DB1-Normal11"/>
              <w:spacing w:line="276" w:lineRule="auto"/>
              <w:jc w:val="center"/>
              <w:rPr>
                <w:noProof/>
              </w:rPr>
            </w:pPr>
            <w:r>
              <w:rPr>
                <w:noProof/>
              </w:rPr>
              <w:t>Naložba 2.1.a Ukrepi za zmanjšanje tveganja poplav in hidrogeološkega tveganja – intervencije v Emiliji-Romanja, Toskani in Marke</w:t>
            </w:r>
          </w:p>
        </w:tc>
        <w:tc>
          <w:tcPr>
            <w:tcW w:w="1134" w:type="dxa"/>
            <w:shd w:val="clear" w:color="auto" w:fill="C6EFCE"/>
            <w:noWrap/>
            <w:vAlign w:val="center"/>
          </w:tcPr>
          <w:p w14:paraId="5B4F67F7" w14:textId="77777777" w:rsidR="00154E32" w:rsidRDefault="00A43E04">
            <w:pPr>
              <w:pStyle w:val="P68B1DB1-Normal11"/>
              <w:spacing w:line="276" w:lineRule="auto"/>
              <w:jc w:val="center"/>
              <w:rPr>
                <w:noProof/>
              </w:rPr>
            </w:pPr>
            <w:r>
              <w:rPr>
                <w:noProof/>
              </w:rPr>
              <w:t>Mejnik</w:t>
            </w:r>
          </w:p>
        </w:tc>
        <w:tc>
          <w:tcPr>
            <w:tcW w:w="1559" w:type="dxa"/>
            <w:shd w:val="clear" w:color="auto" w:fill="C6EFCE"/>
            <w:noWrap/>
            <w:vAlign w:val="center"/>
          </w:tcPr>
          <w:p w14:paraId="10545F80" w14:textId="77777777" w:rsidR="00154E32" w:rsidRDefault="00A43E04">
            <w:pPr>
              <w:pStyle w:val="P68B1DB1-Normal11"/>
              <w:spacing w:line="276" w:lineRule="auto"/>
              <w:jc w:val="center"/>
              <w:rPr>
                <w:noProof/>
              </w:rPr>
            </w:pPr>
            <w:r>
              <w:rPr>
                <w:noProof/>
              </w:rPr>
              <w:t>Opredelitev intervencij s sklepom(-i) komisarja za izredne razmere</w:t>
            </w:r>
          </w:p>
        </w:tc>
        <w:tc>
          <w:tcPr>
            <w:tcW w:w="1383" w:type="dxa"/>
            <w:shd w:val="clear" w:color="auto" w:fill="C6EFCE"/>
            <w:noWrap/>
            <w:vAlign w:val="center"/>
          </w:tcPr>
          <w:p w14:paraId="0FE07324" w14:textId="4512F282" w:rsidR="00154E32" w:rsidRDefault="00A43E04">
            <w:pPr>
              <w:pStyle w:val="P68B1DB1-Normal11"/>
              <w:spacing w:line="276" w:lineRule="auto"/>
              <w:jc w:val="center"/>
              <w:rPr>
                <w:noProof/>
              </w:rPr>
            </w:pPr>
            <w:r>
              <w:rPr>
                <w:noProof/>
              </w:rPr>
              <w:t>Odlok(-i) komisarja za izredne razmere</w:t>
            </w:r>
          </w:p>
        </w:tc>
        <w:tc>
          <w:tcPr>
            <w:tcW w:w="1094" w:type="dxa"/>
            <w:shd w:val="clear" w:color="auto" w:fill="C6EFCE"/>
            <w:noWrap/>
            <w:vAlign w:val="center"/>
          </w:tcPr>
          <w:p w14:paraId="30ADE40D" w14:textId="77777777" w:rsidR="00154E32" w:rsidRDefault="00154E32">
            <w:pPr>
              <w:spacing w:line="276" w:lineRule="auto"/>
              <w:jc w:val="center"/>
              <w:rPr>
                <w:rFonts w:ascii="Arial Narrow" w:hAnsi="Arial Narrow"/>
                <w:noProof/>
                <w:color w:val="006100"/>
                <w:sz w:val="20"/>
              </w:rPr>
            </w:pPr>
          </w:p>
        </w:tc>
        <w:tc>
          <w:tcPr>
            <w:tcW w:w="1290" w:type="dxa"/>
            <w:shd w:val="clear" w:color="auto" w:fill="C6EFCE"/>
            <w:noWrap/>
            <w:vAlign w:val="center"/>
          </w:tcPr>
          <w:p w14:paraId="1A129480" w14:textId="77777777" w:rsidR="00154E32" w:rsidRDefault="00154E32">
            <w:pPr>
              <w:spacing w:line="276" w:lineRule="auto"/>
              <w:jc w:val="center"/>
              <w:rPr>
                <w:rFonts w:ascii="Arial Narrow" w:hAnsi="Arial Narrow"/>
                <w:noProof/>
                <w:color w:val="006100"/>
                <w:sz w:val="20"/>
              </w:rPr>
            </w:pPr>
          </w:p>
        </w:tc>
        <w:tc>
          <w:tcPr>
            <w:tcW w:w="1194" w:type="dxa"/>
            <w:shd w:val="clear" w:color="auto" w:fill="C6EFCE"/>
            <w:noWrap/>
            <w:vAlign w:val="center"/>
          </w:tcPr>
          <w:p w14:paraId="55D7BACE" w14:textId="77777777" w:rsidR="00154E32" w:rsidRDefault="00154E32">
            <w:pPr>
              <w:spacing w:line="276" w:lineRule="auto"/>
              <w:jc w:val="center"/>
              <w:rPr>
                <w:rFonts w:ascii="Arial Narrow" w:hAnsi="Arial Narrow"/>
                <w:noProof/>
                <w:color w:val="006100"/>
                <w:sz w:val="20"/>
              </w:rPr>
            </w:pPr>
          </w:p>
        </w:tc>
        <w:tc>
          <w:tcPr>
            <w:tcW w:w="916" w:type="dxa"/>
            <w:shd w:val="clear" w:color="auto" w:fill="C6EFCE"/>
            <w:noWrap/>
            <w:vAlign w:val="center"/>
          </w:tcPr>
          <w:p w14:paraId="5026558A" w14:textId="77777777" w:rsidR="00154E32" w:rsidRDefault="00A43E04">
            <w:pPr>
              <w:pStyle w:val="P68B1DB1-Normal11"/>
              <w:spacing w:line="276" w:lineRule="auto"/>
              <w:jc w:val="center"/>
              <w:rPr>
                <w:noProof/>
              </w:rPr>
            </w:pPr>
            <w:r>
              <w:rPr>
                <w:noProof/>
              </w:rPr>
              <w:t>Q3</w:t>
            </w:r>
          </w:p>
        </w:tc>
        <w:tc>
          <w:tcPr>
            <w:tcW w:w="638" w:type="dxa"/>
            <w:shd w:val="clear" w:color="auto" w:fill="C6EFCE"/>
            <w:noWrap/>
            <w:vAlign w:val="center"/>
          </w:tcPr>
          <w:p w14:paraId="69AC6DC4" w14:textId="77777777" w:rsidR="00154E32" w:rsidRDefault="00A43E04">
            <w:pPr>
              <w:pStyle w:val="P68B1DB1-Normal11"/>
              <w:spacing w:line="276" w:lineRule="auto"/>
              <w:jc w:val="center"/>
              <w:rPr>
                <w:noProof/>
              </w:rPr>
            </w:pPr>
            <w:r>
              <w:rPr>
                <w:noProof/>
              </w:rPr>
              <w:t>2024</w:t>
            </w:r>
          </w:p>
        </w:tc>
        <w:tc>
          <w:tcPr>
            <w:tcW w:w="4116" w:type="dxa"/>
            <w:shd w:val="clear" w:color="auto" w:fill="C6EFCE"/>
            <w:noWrap/>
            <w:vAlign w:val="center"/>
          </w:tcPr>
          <w:p w14:paraId="16FBE1DB" w14:textId="2C5B2AC5" w:rsidR="00154E32" w:rsidRDefault="00A43E04">
            <w:pPr>
              <w:pStyle w:val="P68B1DB1-Normal11"/>
              <w:spacing w:line="276" w:lineRule="auto"/>
              <w:rPr>
                <w:noProof/>
              </w:rPr>
            </w:pPr>
            <w:r>
              <w:rPr>
                <w:noProof/>
              </w:rPr>
              <w:t>V enem ali več odlokih komisarja za izredne razmere se opredelijo natančen seznam intervencij za obnovo plovnih poti in povečanje zaščite pred poplavami, posegi za obnovo javnih stavb, vključno z javnimi hišami in zdravstvenimi domovi, ter skupno število kilometrov cest, ki jih je treba sanirati. Vrednost skupnega števila intervencij znaša vsaj 1,2 milijarde EUR.</w:t>
            </w:r>
          </w:p>
        </w:tc>
      </w:tr>
      <w:tr w:rsidR="00154E32" w14:paraId="2DE50768" w14:textId="77777777">
        <w:trPr>
          <w:trHeight w:val="313"/>
          <w:jc w:val="center"/>
        </w:trPr>
        <w:tc>
          <w:tcPr>
            <w:tcW w:w="1130" w:type="dxa"/>
            <w:shd w:val="clear" w:color="auto" w:fill="C6EFCE"/>
            <w:noWrap/>
            <w:vAlign w:val="center"/>
          </w:tcPr>
          <w:p w14:paraId="1CDCDD71" w14:textId="77777777" w:rsidR="00154E32" w:rsidRDefault="00A43E04">
            <w:pPr>
              <w:pStyle w:val="P68B1DB1-Normal11"/>
              <w:spacing w:line="276" w:lineRule="auto"/>
              <w:jc w:val="center"/>
              <w:rPr>
                <w:noProof/>
              </w:rPr>
            </w:pPr>
            <w:r>
              <w:rPr>
                <w:noProof/>
              </w:rPr>
              <w:t>M2C4–11a</w:t>
            </w:r>
          </w:p>
        </w:tc>
        <w:tc>
          <w:tcPr>
            <w:tcW w:w="1560" w:type="dxa"/>
            <w:shd w:val="clear" w:color="auto" w:fill="C6EFCE"/>
            <w:noWrap/>
            <w:vAlign w:val="center"/>
          </w:tcPr>
          <w:p w14:paraId="60280899" w14:textId="77777777" w:rsidR="00154E32" w:rsidRDefault="00A43E04">
            <w:pPr>
              <w:pStyle w:val="P68B1DB1-Normal11"/>
              <w:spacing w:line="276" w:lineRule="auto"/>
              <w:jc w:val="center"/>
              <w:rPr>
                <w:noProof/>
              </w:rPr>
            </w:pPr>
            <w:r>
              <w:rPr>
                <w:noProof/>
              </w:rPr>
              <w:t>Naložba 2.1.a Ukrepi za zmanjšanje tveganja poplav in hidrogeološkega tveganja – intervencije v Emiliji-Romanja, Toskani in Marke</w:t>
            </w:r>
          </w:p>
        </w:tc>
        <w:tc>
          <w:tcPr>
            <w:tcW w:w="1134" w:type="dxa"/>
            <w:shd w:val="clear" w:color="auto" w:fill="C6EFCE"/>
            <w:noWrap/>
            <w:vAlign w:val="center"/>
          </w:tcPr>
          <w:p w14:paraId="7ADEB988" w14:textId="77777777" w:rsidR="00154E32" w:rsidRDefault="00A43E04">
            <w:pPr>
              <w:pStyle w:val="P68B1DB1-Normal11"/>
              <w:spacing w:line="276" w:lineRule="auto"/>
              <w:jc w:val="center"/>
              <w:rPr>
                <w:noProof/>
              </w:rPr>
            </w:pPr>
            <w:r>
              <w:rPr>
                <w:noProof/>
              </w:rPr>
              <w:t>Mejnik</w:t>
            </w:r>
          </w:p>
        </w:tc>
        <w:tc>
          <w:tcPr>
            <w:tcW w:w="1559" w:type="dxa"/>
            <w:shd w:val="clear" w:color="auto" w:fill="C6EFCE"/>
            <w:noWrap/>
            <w:vAlign w:val="center"/>
          </w:tcPr>
          <w:p w14:paraId="4D80A272" w14:textId="77777777" w:rsidR="00154E32" w:rsidRDefault="00A43E04">
            <w:pPr>
              <w:pStyle w:val="P68B1DB1-Normal11"/>
              <w:jc w:val="center"/>
              <w:rPr>
                <w:noProof/>
              </w:rPr>
            </w:pPr>
            <w:r>
              <w:rPr>
                <w:noProof/>
              </w:rPr>
              <w:t>Oddaja vseh javnih naročil za intervencije v Emiliji-Romanja, Toskani in Markeju</w:t>
            </w:r>
          </w:p>
        </w:tc>
        <w:tc>
          <w:tcPr>
            <w:tcW w:w="1383" w:type="dxa"/>
            <w:shd w:val="clear" w:color="auto" w:fill="C6EFCE"/>
            <w:noWrap/>
            <w:vAlign w:val="center"/>
          </w:tcPr>
          <w:p w14:paraId="5AE4DBFC" w14:textId="77777777" w:rsidR="00154E32" w:rsidRDefault="00A43E04">
            <w:pPr>
              <w:pStyle w:val="P68B1DB1-Normal11"/>
              <w:jc w:val="center"/>
              <w:rPr>
                <w:noProof/>
              </w:rPr>
            </w:pPr>
            <w:r>
              <w:rPr>
                <w:noProof/>
              </w:rPr>
              <w:t>Obvestilo o oddaji vseh javnih naročil</w:t>
            </w:r>
          </w:p>
        </w:tc>
        <w:tc>
          <w:tcPr>
            <w:tcW w:w="1094" w:type="dxa"/>
            <w:shd w:val="clear" w:color="auto" w:fill="C6EFCE"/>
            <w:noWrap/>
            <w:vAlign w:val="center"/>
          </w:tcPr>
          <w:p w14:paraId="18D833F5" w14:textId="77777777" w:rsidR="00154E32" w:rsidRDefault="00A43E04">
            <w:pPr>
              <w:pStyle w:val="P68B1DB1-Normal11"/>
              <w:jc w:val="center"/>
              <w:rPr>
                <w:noProof/>
              </w:rPr>
            </w:pPr>
            <w:r>
              <w:rPr>
                <w:noProof/>
              </w:rPr>
              <w:t>JIH NI</w:t>
            </w:r>
          </w:p>
        </w:tc>
        <w:tc>
          <w:tcPr>
            <w:tcW w:w="1290" w:type="dxa"/>
            <w:shd w:val="clear" w:color="auto" w:fill="C6EFCE"/>
            <w:noWrap/>
            <w:vAlign w:val="center"/>
          </w:tcPr>
          <w:p w14:paraId="394DF693" w14:textId="77777777" w:rsidR="00154E32" w:rsidRDefault="00A43E04">
            <w:pPr>
              <w:pStyle w:val="P68B1DB1-Normal11"/>
              <w:jc w:val="center"/>
              <w:rPr>
                <w:noProof/>
              </w:rPr>
            </w:pPr>
            <w:r>
              <w:rPr>
                <w:noProof/>
              </w:rPr>
              <w:t>JIH NI</w:t>
            </w:r>
          </w:p>
        </w:tc>
        <w:tc>
          <w:tcPr>
            <w:tcW w:w="1194" w:type="dxa"/>
            <w:shd w:val="clear" w:color="auto" w:fill="C6EFCE"/>
            <w:noWrap/>
            <w:vAlign w:val="center"/>
          </w:tcPr>
          <w:p w14:paraId="7EF9448F" w14:textId="77777777" w:rsidR="00154E32" w:rsidRDefault="00A43E04">
            <w:pPr>
              <w:pStyle w:val="P68B1DB1-Normal11"/>
              <w:jc w:val="center"/>
              <w:rPr>
                <w:noProof/>
              </w:rPr>
            </w:pPr>
            <w:r>
              <w:rPr>
                <w:noProof/>
              </w:rPr>
              <w:t>JIH NI</w:t>
            </w:r>
          </w:p>
        </w:tc>
        <w:tc>
          <w:tcPr>
            <w:tcW w:w="916" w:type="dxa"/>
            <w:shd w:val="clear" w:color="auto" w:fill="C6EFCE"/>
            <w:noWrap/>
            <w:vAlign w:val="center"/>
          </w:tcPr>
          <w:p w14:paraId="3BC81604" w14:textId="77777777" w:rsidR="00154E32" w:rsidRDefault="00A43E04">
            <w:pPr>
              <w:pStyle w:val="P68B1DB1-Normal11"/>
              <w:jc w:val="center"/>
              <w:rPr>
                <w:noProof/>
              </w:rPr>
            </w:pPr>
            <w:r>
              <w:rPr>
                <w:noProof/>
              </w:rPr>
              <w:t>Q2</w:t>
            </w:r>
          </w:p>
        </w:tc>
        <w:tc>
          <w:tcPr>
            <w:tcW w:w="638" w:type="dxa"/>
            <w:shd w:val="clear" w:color="auto" w:fill="C6EFCE"/>
            <w:noWrap/>
            <w:vAlign w:val="center"/>
          </w:tcPr>
          <w:p w14:paraId="060158DF" w14:textId="77777777" w:rsidR="00154E32" w:rsidRDefault="00A43E04">
            <w:pPr>
              <w:pStyle w:val="P68B1DB1-Normal11"/>
              <w:jc w:val="center"/>
              <w:rPr>
                <w:noProof/>
              </w:rPr>
            </w:pPr>
            <w:r>
              <w:rPr>
                <w:noProof/>
              </w:rPr>
              <w:t>2025</w:t>
            </w:r>
          </w:p>
        </w:tc>
        <w:tc>
          <w:tcPr>
            <w:tcW w:w="4116" w:type="dxa"/>
            <w:shd w:val="clear" w:color="auto" w:fill="C6EFCE"/>
            <w:noWrap/>
            <w:vAlign w:val="center"/>
          </w:tcPr>
          <w:p w14:paraId="7CBB0613" w14:textId="77777777" w:rsidR="00154E32" w:rsidRDefault="00A43E04">
            <w:pPr>
              <w:pStyle w:val="P68B1DB1-Normal11"/>
              <w:rPr>
                <w:noProof/>
              </w:rPr>
            </w:pPr>
            <w:r>
              <w:rPr>
                <w:noProof/>
              </w:rPr>
              <w:t>Obvestilo o oddaji vseh javnih naročil za posege v obvladovanje tveganja in zmanjšanje hidrogeoloških tveganj. Skupna vrednost razpisov, iz katerih izhajajo te dodelitve, znaša najmanj 1,2 milijarde EUR.</w:t>
            </w:r>
          </w:p>
        </w:tc>
      </w:tr>
      <w:tr w:rsidR="00154E32" w14:paraId="1BC9B1A0" w14:textId="77777777">
        <w:trPr>
          <w:trHeight w:val="313"/>
          <w:jc w:val="center"/>
        </w:trPr>
        <w:tc>
          <w:tcPr>
            <w:tcW w:w="1130" w:type="dxa"/>
            <w:shd w:val="clear" w:color="auto" w:fill="C6EFCE"/>
            <w:noWrap/>
            <w:vAlign w:val="center"/>
          </w:tcPr>
          <w:p w14:paraId="4659E80A" w14:textId="584549DB" w:rsidR="00154E32" w:rsidRDefault="00A43E04">
            <w:pPr>
              <w:pStyle w:val="P68B1DB1-Normal11"/>
              <w:spacing w:after="120"/>
              <w:jc w:val="center"/>
              <w:rPr>
                <w:noProof/>
              </w:rPr>
            </w:pPr>
            <w:r>
              <w:rPr>
                <w:noProof/>
              </w:rPr>
              <w:t>M2C4–11b</w:t>
            </w:r>
          </w:p>
        </w:tc>
        <w:tc>
          <w:tcPr>
            <w:tcW w:w="1560" w:type="dxa"/>
            <w:shd w:val="clear" w:color="auto" w:fill="C6EFCE"/>
            <w:noWrap/>
            <w:vAlign w:val="center"/>
          </w:tcPr>
          <w:p w14:paraId="02279783" w14:textId="77777777" w:rsidR="00154E32" w:rsidRDefault="00A43E04">
            <w:pPr>
              <w:pStyle w:val="P68B1DB1-Normal11"/>
              <w:spacing w:after="120"/>
              <w:jc w:val="center"/>
              <w:rPr>
                <w:noProof/>
              </w:rPr>
            </w:pPr>
            <w:r>
              <w:rPr>
                <w:noProof/>
              </w:rPr>
              <w:t>Naložba 2.1.a Ukrepi za zmanjšanje tveganja poplav in hidrogeološkega tveganja – intervencije v Emiliji-Romanja, Toskani in Marke</w:t>
            </w:r>
          </w:p>
        </w:tc>
        <w:tc>
          <w:tcPr>
            <w:tcW w:w="1134" w:type="dxa"/>
            <w:shd w:val="clear" w:color="auto" w:fill="C6EFCE"/>
            <w:noWrap/>
            <w:vAlign w:val="center"/>
          </w:tcPr>
          <w:p w14:paraId="43EC21D4" w14:textId="77777777" w:rsidR="00154E32" w:rsidRDefault="00A43E04">
            <w:pPr>
              <w:pStyle w:val="P68B1DB1-Normal11"/>
              <w:spacing w:after="120"/>
              <w:jc w:val="center"/>
              <w:rPr>
                <w:noProof/>
              </w:rPr>
            </w:pPr>
            <w:r>
              <w:rPr>
                <w:noProof/>
              </w:rPr>
              <w:t>Mejnik</w:t>
            </w:r>
          </w:p>
        </w:tc>
        <w:tc>
          <w:tcPr>
            <w:tcW w:w="1559" w:type="dxa"/>
            <w:shd w:val="clear" w:color="auto" w:fill="C6EFCE"/>
            <w:noWrap/>
            <w:vAlign w:val="center"/>
          </w:tcPr>
          <w:p w14:paraId="54DAA66C" w14:textId="11BCA8BF" w:rsidR="00154E32" w:rsidRDefault="00A43E04">
            <w:pPr>
              <w:pStyle w:val="P68B1DB1-Normal11"/>
              <w:spacing w:after="120"/>
              <w:jc w:val="center"/>
              <w:rPr>
                <w:noProof/>
              </w:rPr>
            </w:pPr>
            <w:r>
              <w:rPr>
                <w:noProof/>
              </w:rPr>
              <w:t>Zaključek projektov</w:t>
            </w:r>
          </w:p>
        </w:tc>
        <w:tc>
          <w:tcPr>
            <w:tcW w:w="1383" w:type="dxa"/>
            <w:shd w:val="clear" w:color="auto" w:fill="C6EFCE"/>
            <w:noWrap/>
            <w:vAlign w:val="center"/>
          </w:tcPr>
          <w:p w14:paraId="632F56FF" w14:textId="77777777" w:rsidR="00154E32" w:rsidRDefault="00A43E04">
            <w:pPr>
              <w:pStyle w:val="P68B1DB1-Normal11"/>
              <w:spacing w:after="120"/>
              <w:jc w:val="center"/>
              <w:rPr>
                <w:noProof/>
              </w:rPr>
            </w:pPr>
            <w:r>
              <w:rPr>
                <w:noProof/>
              </w:rPr>
              <w:t>Potrjevanje dokončanja projektov</w:t>
            </w:r>
          </w:p>
        </w:tc>
        <w:tc>
          <w:tcPr>
            <w:tcW w:w="1094" w:type="dxa"/>
            <w:shd w:val="clear" w:color="auto" w:fill="C6EFCE"/>
            <w:noWrap/>
            <w:vAlign w:val="center"/>
          </w:tcPr>
          <w:p w14:paraId="2A2965B5" w14:textId="77777777" w:rsidR="00154E32" w:rsidRDefault="00154E32">
            <w:pPr>
              <w:spacing w:after="120"/>
              <w:jc w:val="center"/>
              <w:rPr>
                <w:rFonts w:ascii="Arial Narrow" w:hAnsi="Arial Narrow"/>
                <w:noProof/>
                <w:color w:val="006100"/>
                <w:sz w:val="20"/>
              </w:rPr>
            </w:pPr>
          </w:p>
        </w:tc>
        <w:tc>
          <w:tcPr>
            <w:tcW w:w="1290" w:type="dxa"/>
            <w:shd w:val="clear" w:color="auto" w:fill="C6EFCE"/>
            <w:noWrap/>
            <w:vAlign w:val="center"/>
          </w:tcPr>
          <w:p w14:paraId="112F87E8" w14:textId="77777777" w:rsidR="00154E32" w:rsidRDefault="00154E32">
            <w:pPr>
              <w:spacing w:after="120"/>
              <w:jc w:val="center"/>
              <w:rPr>
                <w:rFonts w:ascii="Arial Narrow" w:hAnsi="Arial Narrow"/>
                <w:noProof/>
                <w:color w:val="006100"/>
                <w:sz w:val="20"/>
              </w:rPr>
            </w:pPr>
          </w:p>
        </w:tc>
        <w:tc>
          <w:tcPr>
            <w:tcW w:w="1194" w:type="dxa"/>
            <w:shd w:val="clear" w:color="auto" w:fill="C6EFCE"/>
            <w:noWrap/>
            <w:vAlign w:val="center"/>
          </w:tcPr>
          <w:p w14:paraId="677D76C4" w14:textId="77777777" w:rsidR="00154E32" w:rsidRDefault="00154E32">
            <w:pPr>
              <w:spacing w:after="120"/>
              <w:jc w:val="center"/>
              <w:rPr>
                <w:rFonts w:ascii="Arial Narrow" w:hAnsi="Arial Narrow"/>
                <w:noProof/>
                <w:color w:val="006100"/>
                <w:sz w:val="20"/>
              </w:rPr>
            </w:pPr>
          </w:p>
        </w:tc>
        <w:tc>
          <w:tcPr>
            <w:tcW w:w="916" w:type="dxa"/>
            <w:shd w:val="clear" w:color="auto" w:fill="C6EFCE"/>
            <w:noWrap/>
            <w:vAlign w:val="center"/>
          </w:tcPr>
          <w:p w14:paraId="534232D7" w14:textId="77777777" w:rsidR="00154E32" w:rsidRDefault="00A43E04">
            <w:pPr>
              <w:pStyle w:val="P68B1DB1-Normal11"/>
              <w:spacing w:after="120"/>
              <w:jc w:val="center"/>
              <w:rPr>
                <w:noProof/>
              </w:rPr>
            </w:pPr>
            <w:r>
              <w:rPr>
                <w:noProof/>
              </w:rPr>
              <w:t>Q2</w:t>
            </w:r>
          </w:p>
        </w:tc>
        <w:tc>
          <w:tcPr>
            <w:tcW w:w="638" w:type="dxa"/>
            <w:shd w:val="clear" w:color="auto" w:fill="C6EFCE"/>
            <w:noWrap/>
            <w:vAlign w:val="center"/>
          </w:tcPr>
          <w:p w14:paraId="2DA542B1" w14:textId="77777777" w:rsidR="00154E32" w:rsidRDefault="00A43E04">
            <w:pPr>
              <w:pStyle w:val="P68B1DB1-Normal11"/>
              <w:spacing w:after="120"/>
              <w:jc w:val="center"/>
              <w:rPr>
                <w:noProof/>
              </w:rPr>
            </w:pPr>
            <w:r>
              <w:rPr>
                <w:noProof/>
              </w:rPr>
              <w:t>2026</w:t>
            </w:r>
          </w:p>
        </w:tc>
        <w:tc>
          <w:tcPr>
            <w:tcW w:w="4116" w:type="dxa"/>
            <w:shd w:val="clear" w:color="auto" w:fill="C6EFCE"/>
            <w:noWrap/>
            <w:vAlign w:val="center"/>
          </w:tcPr>
          <w:p w14:paraId="37FC38F3" w14:textId="77777777" w:rsidR="00154E32" w:rsidRDefault="00A43E04">
            <w:pPr>
              <w:pStyle w:val="P68B1DB1-Normal11"/>
              <w:spacing w:after="120"/>
              <w:rPr>
                <w:noProof/>
              </w:rPr>
            </w:pPr>
            <w:r>
              <w:rPr>
                <w:noProof/>
              </w:rPr>
              <w:t>Dokončanje:</w:t>
            </w:r>
          </w:p>
          <w:p w14:paraId="6221820A" w14:textId="77777777" w:rsidR="00154E32" w:rsidRDefault="00A43E04">
            <w:pPr>
              <w:pStyle w:val="P68B1DB1-ListParagraph13"/>
              <w:numPr>
                <w:ilvl w:val="0"/>
                <w:numId w:val="97"/>
              </w:numPr>
              <w:spacing w:before="0"/>
              <w:contextualSpacing w:val="0"/>
              <w:jc w:val="left"/>
              <w:rPr>
                <w:noProof/>
              </w:rPr>
            </w:pPr>
            <w:r>
              <w:rPr>
                <w:noProof/>
              </w:rPr>
              <w:t>vsaj 90 % ukrepov za obnovo plovnih poti in povečanje varstva pred poplavami, kot je opredeljeno v odlokih komisarja za izredne razmere,</w:t>
            </w:r>
          </w:p>
          <w:p w14:paraId="3A86A994" w14:textId="77777777" w:rsidR="00154E32" w:rsidRDefault="00A43E04">
            <w:pPr>
              <w:pStyle w:val="P68B1DB1-ListParagraph13"/>
              <w:numPr>
                <w:ilvl w:val="0"/>
                <w:numId w:val="97"/>
              </w:numPr>
              <w:spacing w:before="0"/>
              <w:contextualSpacing w:val="0"/>
              <w:jc w:val="left"/>
              <w:rPr>
                <w:noProof/>
              </w:rPr>
            </w:pPr>
            <w:r>
              <w:rPr>
                <w:noProof/>
              </w:rPr>
              <w:t>Rehabilitacije lokalnega in pokrajinskega cestnega omrežja za določeno število kilometrov, kot je opredeljeno v odlokih komisarja za izredne razmere,</w:t>
            </w:r>
          </w:p>
          <w:p w14:paraId="5B24547A" w14:textId="68EC3DE3" w:rsidR="00154E32" w:rsidRDefault="00A43E04">
            <w:pPr>
              <w:pStyle w:val="P68B1DB1-ListParagraph13"/>
              <w:numPr>
                <w:ilvl w:val="0"/>
                <w:numId w:val="97"/>
              </w:numPr>
              <w:spacing w:before="0"/>
              <w:jc w:val="left"/>
              <w:rPr>
                <w:noProof/>
              </w:rPr>
            </w:pPr>
            <w:r>
              <w:rPr>
                <w:noProof/>
              </w:rPr>
              <w:t>Vsaj 90 % ukrepov za obnovo javnih stavb, vključno z javnimi hišami in zdravstvenimi domovi, kot so opredeljeni v odlokih komisarja za izredne razmere.</w:t>
            </w:r>
          </w:p>
        </w:tc>
      </w:tr>
      <w:tr w:rsidR="00154E32" w14:paraId="331DDF85" w14:textId="77777777">
        <w:trPr>
          <w:trHeight w:val="313"/>
          <w:jc w:val="center"/>
        </w:trPr>
        <w:tc>
          <w:tcPr>
            <w:tcW w:w="1130" w:type="dxa"/>
            <w:shd w:val="clear" w:color="auto" w:fill="C6EFCE"/>
            <w:noWrap/>
            <w:vAlign w:val="center"/>
          </w:tcPr>
          <w:p w14:paraId="23B010C8" w14:textId="77777777" w:rsidR="00154E32" w:rsidRDefault="00A43E04">
            <w:pPr>
              <w:pStyle w:val="P68B1DB1-Normal11"/>
              <w:spacing w:after="120"/>
              <w:jc w:val="center"/>
              <w:rPr>
                <w:noProof/>
              </w:rPr>
            </w:pPr>
            <w:r>
              <w:rPr>
                <w:noProof/>
              </w:rPr>
              <w:t>M2C4–12</w:t>
            </w:r>
          </w:p>
        </w:tc>
        <w:tc>
          <w:tcPr>
            <w:tcW w:w="1560" w:type="dxa"/>
            <w:shd w:val="clear" w:color="auto" w:fill="C6EFCE"/>
            <w:noWrap/>
            <w:vAlign w:val="center"/>
          </w:tcPr>
          <w:p w14:paraId="34809156" w14:textId="77777777" w:rsidR="00154E32" w:rsidRDefault="00A43E04">
            <w:pPr>
              <w:pStyle w:val="P68B1DB1-Normal11"/>
              <w:spacing w:after="120"/>
              <w:jc w:val="center"/>
              <w:rPr>
                <w:noProof/>
              </w:rPr>
            </w:pPr>
            <w:r>
              <w:rPr>
                <w:noProof/>
              </w:rPr>
              <w:t>Naložba 2.1.b Ukrepi za zmanjšanje tveganja poplav in hidrogeološkega tveganja</w:t>
            </w:r>
          </w:p>
        </w:tc>
        <w:tc>
          <w:tcPr>
            <w:tcW w:w="1134" w:type="dxa"/>
            <w:shd w:val="clear" w:color="auto" w:fill="C6EFCE"/>
            <w:noWrap/>
            <w:vAlign w:val="center"/>
          </w:tcPr>
          <w:p w14:paraId="4354716D" w14:textId="77777777" w:rsidR="00154E32" w:rsidRDefault="00A43E04">
            <w:pPr>
              <w:pStyle w:val="P68B1DB1-Normal11"/>
              <w:spacing w:after="120"/>
              <w:jc w:val="center"/>
              <w:rPr>
                <w:noProof/>
              </w:rPr>
            </w:pPr>
            <w:r>
              <w:rPr>
                <w:noProof/>
              </w:rPr>
              <w:t>Mejnik</w:t>
            </w:r>
          </w:p>
        </w:tc>
        <w:tc>
          <w:tcPr>
            <w:tcW w:w="1559" w:type="dxa"/>
            <w:shd w:val="clear" w:color="auto" w:fill="C6EFCE"/>
            <w:noWrap/>
            <w:vAlign w:val="center"/>
          </w:tcPr>
          <w:p w14:paraId="19902CA1" w14:textId="77777777" w:rsidR="00154E32" w:rsidRDefault="00A43E04">
            <w:pPr>
              <w:pStyle w:val="P68B1DB1-Normal11"/>
              <w:spacing w:after="120"/>
              <w:jc w:val="center"/>
              <w:rPr>
                <w:noProof/>
              </w:rPr>
            </w:pPr>
            <w:r>
              <w:rPr>
                <w:noProof/>
              </w:rPr>
              <w:t>Začetek veljavnosti revidiranega pravnega okvira za intervencije proti poplavnim in hidrogeološkim tveganjem</w:t>
            </w:r>
          </w:p>
        </w:tc>
        <w:tc>
          <w:tcPr>
            <w:tcW w:w="1383" w:type="dxa"/>
            <w:shd w:val="clear" w:color="auto" w:fill="C6EFCE"/>
            <w:noWrap/>
            <w:vAlign w:val="center"/>
          </w:tcPr>
          <w:p w14:paraId="4B0CE1A6" w14:textId="73D0775D" w:rsidR="00154E32" w:rsidRDefault="00A43E04">
            <w:pPr>
              <w:pStyle w:val="P68B1DB1-Normal11"/>
              <w:spacing w:after="120"/>
              <w:jc w:val="center"/>
              <w:rPr>
                <w:noProof/>
              </w:rPr>
            </w:pPr>
            <w:r>
              <w:rPr>
                <w:noProof/>
              </w:rPr>
              <w:t>Določbe v odlokih o začetku veljavnosti</w:t>
            </w:r>
          </w:p>
        </w:tc>
        <w:tc>
          <w:tcPr>
            <w:tcW w:w="1094" w:type="dxa"/>
            <w:shd w:val="clear" w:color="auto" w:fill="C6EFCE"/>
            <w:noWrap/>
            <w:vAlign w:val="center"/>
          </w:tcPr>
          <w:p w14:paraId="483969E2" w14:textId="77777777" w:rsidR="00154E32" w:rsidRDefault="00A43E04">
            <w:pPr>
              <w:pStyle w:val="P68B1DB1-Normal11"/>
              <w:spacing w:after="120"/>
              <w:jc w:val="center"/>
              <w:rPr>
                <w:noProof/>
              </w:rPr>
            </w:pPr>
            <w:r>
              <w:rPr>
                <w:noProof/>
              </w:rPr>
              <w:t>JIH NI</w:t>
            </w:r>
          </w:p>
        </w:tc>
        <w:tc>
          <w:tcPr>
            <w:tcW w:w="1290" w:type="dxa"/>
            <w:shd w:val="clear" w:color="auto" w:fill="C6EFCE"/>
            <w:noWrap/>
            <w:vAlign w:val="center"/>
          </w:tcPr>
          <w:p w14:paraId="5D9FCF01" w14:textId="77777777" w:rsidR="00154E32" w:rsidRDefault="00A43E04">
            <w:pPr>
              <w:pStyle w:val="P68B1DB1-Normal11"/>
              <w:spacing w:after="120"/>
              <w:jc w:val="center"/>
              <w:rPr>
                <w:noProof/>
              </w:rPr>
            </w:pPr>
            <w:r>
              <w:rPr>
                <w:noProof/>
              </w:rPr>
              <w:t>JIH NI</w:t>
            </w:r>
          </w:p>
        </w:tc>
        <w:tc>
          <w:tcPr>
            <w:tcW w:w="1194" w:type="dxa"/>
            <w:shd w:val="clear" w:color="auto" w:fill="C6EFCE"/>
            <w:noWrap/>
            <w:vAlign w:val="center"/>
          </w:tcPr>
          <w:p w14:paraId="56D53347" w14:textId="77777777" w:rsidR="00154E32" w:rsidRDefault="00A43E04">
            <w:pPr>
              <w:pStyle w:val="P68B1DB1-Normal11"/>
              <w:spacing w:after="120"/>
              <w:jc w:val="center"/>
              <w:rPr>
                <w:noProof/>
              </w:rPr>
            </w:pPr>
            <w:r>
              <w:rPr>
                <w:noProof/>
              </w:rPr>
              <w:t>JIH NI</w:t>
            </w:r>
          </w:p>
        </w:tc>
        <w:tc>
          <w:tcPr>
            <w:tcW w:w="916" w:type="dxa"/>
            <w:shd w:val="clear" w:color="auto" w:fill="C6EFCE"/>
            <w:noWrap/>
            <w:vAlign w:val="center"/>
          </w:tcPr>
          <w:p w14:paraId="4C1D036F" w14:textId="77777777" w:rsidR="00154E32" w:rsidRDefault="00A43E04">
            <w:pPr>
              <w:pStyle w:val="P68B1DB1-Normal11"/>
              <w:spacing w:after="120"/>
              <w:jc w:val="center"/>
              <w:rPr>
                <w:noProof/>
              </w:rPr>
            </w:pPr>
            <w:r>
              <w:rPr>
                <w:noProof/>
              </w:rPr>
              <w:t>Q4</w:t>
            </w:r>
          </w:p>
        </w:tc>
        <w:tc>
          <w:tcPr>
            <w:tcW w:w="638" w:type="dxa"/>
            <w:shd w:val="clear" w:color="auto" w:fill="C6EFCE"/>
            <w:noWrap/>
            <w:vAlign w:val="center"/>
          </w:tcPr>
          <w:p w14:paraId="10198E99" w14:textId="77777777" w:rsidR="00154E32" w:rsidRDefault="00A43E04">
            <w:pPr>
              <w:pStyle w:val="P68B1DB1-Normal11"/>
              <w:spacing w:after="120"/>
              <w:jc w:val="center"/>
              <w:rPr>
                <w:noProof/>
              </w:rPr>
            </w:pPr>
            <w:r>
              <w:rPr>
                <w:noProof/>
              </w:rPr>
              <w:t>2021</w:t>
            </w:r>
          </w:p>
        </w:tc>
        <w:tc>
          <w:tcPr>
            <w:tcW w:w="4116" w:type="dxa"/>
            <w:shd w:val="clear" w:color="auto" w:fill="C6EFCE"/>
            <w:noWrap/>
            <w:vAlign w:val="center"/>
          </w:tcPr>
          <w:p w14:paraId="3F802BD2" w14:textId="5FBC8943" w:rsidR="00154E32" w:rsidRDefault="00A43E04">
            <w:pPr>
              <w:pStyle w:val="P68B1DB1-Normal11"/>
              <w:spacing w:after="120"/>
              <w:rPr>
                <w:noProof/>
              </w:rPr>
            </w:pPr>
            <w:r>
              <w:rPr>
                <w:noProof/>
              </w:rPr>
              <w:t>Namen odlokov nacionalne službe za civilno zaščito o odobritvi prvega intervencijskega in naložbenega načrta za zmanjšanje tveganja poplav in hidrogeološkega tveganja je ponovno vzpostaviti prvotne pogoje in zagotoviti odpornost ozemelj na naravne nesreče.</w:t>
            </w:r>
          </w:p>
        </w:tc>
      </w:tr>
      <w:tr w:rsidR="00154E32" w14:paraId="6C7BB271" w14:textId="77777777">
        <w:trPr>
          <w:trHeight w:val="313"/>
          <w:jc w:val="center"/>
        </w:trPr>
        <w:tc>
          <w:tcPr>
            <w:tcW w:w="1130" w:type="dxa"/>
            <w:shd w:val="clear" w:color="auto" w:fill="C6EFCE"/>
            <w:noWrap/>
            <w:vAlign w:val="center"/>
          </w:tcPr>
          <w:p w14:paraId="1C14CF0E" w14:textId="77777777" w:rsidR="00154E32" w:rsidRDefault="00A43E04">
            <w:pPr>
              <w:pStyle w:val="P68B1DB1-Normal11"/>
              <w:spacing w:after="120"/>
              <w:jc w:val="center"/>
              <w:rPr>
                <w:noProof/>
              </w:rPr>
            </w:pPr>
            <w:r>
              <w:rPr>
                <w:noProof/>
              </w:rPr>
              <w:t>M2C4–13</w:t>
            </w:r>
          </w:p>
        </w:tc>
        <w:tc>
          <w:tcPr>
            <w:tcW w:w="1560" w:type="dxa"/>
            <w:shd w:val="clear" w:color="auto" w:fill="C6EFCE"/>
            <w:noWrap/>
            <w:vAlign w:val="center"/>
          </w:tcPr>
          <w:p w14:paraId="6558087A" w14:textId="77777777" w:rsidR="00154E32" w:rsidRDefault="00A43E04">
            <w:pPr>
              <w:pStyle w:val="P68B1DB1-Normal11"/>
              <w:spacing w:after="120"/>
              <w:jc w:val="center"/>
              <w:rPr>
                <w:noProof/>
              </w:rPr>
            </w:pPr>
            <w:r>
              <w:rPr>
                <w:noProof/>
              </w:rPr>
              <w:t>Naložba 2.1b – Ukrepi za zmanjšanje tveganja poplav in hidrogeološkega tveganja</w:t>
            </w:r>
          </w:p>
        </w:tc>
        <w:tc>
          <w:tcPr>
            <w:tcW w:w="1134" w:type="dxa"/>
            <w:shd w:val="clear" w:color="auto" w:fill="C6EFCE"/>
            <w:noWrap/>
            <w:vAlign w:val="center"/>
          </w:tcPr>
          <w:p w14:paraId="7D4A1997" w14:textId="77777777" w:rsidR="00154E32" w:rsidRDefault="00A43E04">
            <w:pPr>
              <w:pStyle w:val="P68B1DB1-Normal11"/>
              <w:spacing w:after="120"/>
              <w:jc w:val="center"/>
              <w:rPr>
                <w:noProof/>
              </w:rPr>
            </w:pPr>
            <w:r>
              <w:rPr>
                <w:noProof/>
              </w:rPr>
              <w:t>Tarča</w:t>
            </w:r>
          </w:p>
        </w:tc>
        <w:tc>
          <w:tcPr>
            <w:tcW w:w="1559" w:type="dxa"/>
            <w:shd w:val="clear" w:color="auto" w:fill="C6EFCE"/>
            <w:noWrap/>
            <w:vAlign w:val="center"/>
          </w:tcPr>
          <w:p w14:paraId="1EC4BDED" w14:textId="000E2619" w:rsidR="00154E32" w:rsidRDefault="00A43E04">
            <w:pPr>
              <w:pStyle w:val="P68B1DB1-Normal11"/>
              <w:spacing w:after="120"/>
              <w:jc w:val="center"/>
              <w:rPr>
                <w:noProof/>
              </w:rPr>
            </w:pPr>
            <w:r>
              <w:rPr>
                <w:noProof/>
              </w:rPr>
              <w:t>Zaključek intervencij tipa D in vrste E</w:t>
            </w:r>
          </w:p>
        </w:tc>
        <w:tc>
          <w:tcPr>
            <w:tcW w:w="1383" w:type="dxa"/>
            <w:shd w:val="clear" w:color="auto" w:fill="C6EFCE"/>
            <w:noWrap/>
            <w:vAlign w:val="center"/>
          </w:tcPr>
          <w:p w14:paraId="7CB7018A" w14:textId="77777777" w:rsidR="00154E32" w:rsidRDefault="00A43E04">
            <w:pPr>
              <w:pStyle w:val="P68B1DB1-Normal11"/>
              <w:spacing w:after="120"/>
              <w:jc w:val="center"/>
              <w:rPr>
                <w:noProof/>
              </w:rPr>
            </w:pPr>
            <w:r>
              <w:rPr>
                <w:noProof/>
              </w:rPr>
              <w:t>JIH NI</w:t>
            </w:r>
          </w:p>
        </w:tc>
        <w:tc>
          <w:tcPr>
            <w:tcW w:w="1094" w:type="dxa"/>
            <w:shd w:val="clear" w:color="auto" w:fill="C6EFCE"/>
            <w:noWrap/>
            <w:vAlign w:val="center"/>
          </w:tcPr>
          <w:p w14:paraId="13C3002D" w14:textId="77777777" w:rsidR="00154E32" w:rsidRDefault="00A43E04">
            <w:pPr>
              <w:pStyle w:val="P68B1DB1-Normal11"/>
              <w:spacing w:after="120"/>
              <w:jc w:val="center"/>
              <w:rPr>
                <w:noProof/>
              </w:rPr>
            </w:pPr>
            <w:r>
              <w:rPr>
                <w:noProof/>
              </w:rPr>
              <w:t>Delež</w:t>
            </w:r>
          </w:p>
        </w:tc>
        <w:tc>
          <w:tcPr>
            <w:tcW w:w="1290" w:type="dxa"/>
            <w:shd w:val="clear" w:color="auto" w:fill="C6EFCE"/>
            <w:noWrap/>
            <w:vAlign w:val="center"/>
          </w:tcPr>
          <w:p w14:paraId="3AEA6756" w14:textId="77777777" w:rsidR="00154E32" w:rsidRDefault="00A43E04">
            <w:pPr>
              <w:pStyle w:val="P68B1DB1-Normal11"/>
              <w:spacing w:after="120"/>
              <w:jc w:val="center"/>
              <w:rPr>
                <w:noProof/>
              </w:rPr>
            </w:pPr>
            <w:r>
              <w:rPr>
                <w:noProof/>
              </w:rPr>
              <w:t>0</w:t>
            </w:r>
          </w:p>
        </w:tc>
        <w:tc>
          <w:tcPr>
            <w:tcW w:w="1194" w:type="dxa"/>
            <w:shd w:val="clear" w:color="auto" w:fill="C6EFCE"/>
            <w:noWrap/>
            <w:vAlign w:val="center"/>
          </w:tcPr>
          <w:p w14:paraId="4D8B0F6E" w14:textId="77777777" w:rsidR="00154E32" w:rsidRDefault="00A43E04">
            <w:pPr>
              <w:pStyle w:val="P68B1DB1-Normal11"/>
              <w:spacing w:after="120"/>
              <w:jc w:val="center"/>
              <w:rPr>
                <w:noProof/>
              </w:rPr>
            </w:pPr>
            <w:r>
              <w:rPr>
                <w:noProof/>
              </w:rPr>
              <w:t>90</w:t>
            </w:r>
          </w:p>
        </w:tc>
        <w:tc>
          <w:tcPr>
            <w:tcW w:w="916" w:type="dxa"/>
            <w:shd w:val="clear" w:color="auto" w:fill="C6EFCE"/>
            <w:noWrap/>
            <w:vAlign w:val="center"/>
          </w:tcPr>
          <w:p w14:paraId="6ADBC9D9" w14:textId="36E8ABE9" w:rsidR="00154E32" w:rsidRDefault="00A43E04">
            <w:pPr>
              <w:pStyle w:val="P68B1DB1-Normal11"/>
              <w:spacing w:after="120"/>
              <w:jc w:val="center"/>
              <w:rPr>
                <w:noProof/>
              </w:rPr>
            </w:pPr>
            <w:r>
              <w:rPr>
                <w:noProof/>
              </w:rPr>
              <w:t>Q2</w:t>
            </w:r>
          </w:p>
        </w:tc>
        <w:tc>
          <w:tcPr>
            <w:tcW w:w="638" w:type="dxa"/>
            <w:shd w:val="clear" w:color="auto" w:fill="C6EFCE"/>
            <w:noWrap/>
            <w:vAlign w:val="center"/>
          </w:tcPr>
          <w:p w14:paraId="0CDB7056" w14:textId="3E4979F3" w:rsidR="00154E32" w:rsidRDefault="00A43E04">
            <w:pPr>
              <w:pStyle w:val="P68B1DB1-Normal11"/>
              <w:spacing w:after="120"/>
              <w:jc w:val="center"/>
              <w:rPr>
                <w:noProof/>
              </w:rPr>
            </w:pPr>
            <w:r>
              <w:rPr>
                <w:noProof/>
              </w:rPr>
              <w:t>2026</w:t>
            </w:r>
          </w:p>
        </w:tc>
        <w:tc>
          <w:tcPr>
            <w:tcW w:w="4116" w:type="dxa"/>
            <w:shd w:val="clear" w:color="auto" w:fill="C6EFCE"/>
            <w:noWrap/>
            <w:vAlign w:val="center"/>
          </w:tcPr>
          <w:p w14:paraId="5971594D" w14:textId="096F4883" w:rsidR="00154E32" w:rsidRDefault="00A43E04">
            <w:pPr>
              <w:pStyle w:val="P68B1DB1-Normal11"/>
              <w:spacing w:after="120"/>
              <w:rPr>
                <w:noProof/>
              </w:rPr>
            </w:pPr>
            <w:r>
              <w:rPr>
                <w:noProof/>
              </w:rPr>
              <w:t>Dokončanje 90 % posegov tipa E in tipa D za obnovo poškodovanih javnih struktur, kot so opredeljene v odlokih nacionalne službe za civilno zaščito.</w:t>
            </w:r>
          </w:p>
        </w:tc>
      </w:tr>
      <w:tr w:rsidR="00154E32" w14:paraId="1EC5960F" w14:textId="77777777">
        <w:trPr>
          <w:trHeight w:val="313"/>
          <w:jc w:val="center"/>
        </w:trPr>
        <w:tc>
          <w:tcPr>
            <w:tcW w:w="1130" w:type="dxa"/>
            <w:shd w:val="clear" w:color="auto" w:fill="C6EFCE"/>
            <w:noWrap/>
            <w:vAlign w:val="center"/>
            <w:hideMark/>
          </w:tcPr>
          <w:p w14:paraId="6079803A" w14:textId="77777777" w:rsidR="00154E32" w:rsidRDefault="00A43E04">
            <w:pPr>
              <w:pStyle w:val="P68B1DB1-Normal11"/>
              <w:spacing w:line="276" w:lineRule="auto"/>
              <w:jc w:val="center"/>
              <w:rPr>
                <w:noProof/>
              </w:rPr>
            </w:pPr>
            <w:r>
              <w:rPr>
                <w:noProof/>
              </w:rPr>
              <w:t>M2C4–18</w:t>
            </w:r>
          </w:p>
        </w:tc>
        <w:tc>
          <w:tcPr>
            <w:tcW w:w="1560" w:type="dxa"/>
            <w:shd w:val="clear" w:color="auto" w:fill="C6EFCE"/>
            <w:noWrap/>
            <w:vAlign w:val="center"/>
            <w:hideMark/>
          </w:tcPr>
          <w:p w14:paraId="30390F8E" w14:textId="77777777" w:rsidR="00154E32" w:rsidRDefault="00A43E04">
            <w:pPr>
              <w:pStyle w:val="P68B1DB1-Normal11"/>
              <w:spacing w:line="276" w:lineRule="auto"/>
              <w:jc w:val="center"/>
              <w:rPr>
                <w:noProof/>
              </w:rPr>
            </w:pPr>
            <w:r>
              <w:rPr>
                <w:noProof/>
              </w:rPr>
              <w:t>Naložbe. 3.1: Varstvo in krepitev mestnih in primestnih gozdov</w:t>
            </w:r>
          </w:p>
        </w:tc>
        <w:tc>
          <w:tcPr>
            <w:tcW w:w="1134" w:type="dxa"/>
            <w:shd w:val="clear" w:color="auto" w:fill="C6EFCE"/>
            <w:noWrap/>
            <w:vAlign w:val="center"/>
            <w:hideMark/>
          </w:tcPr>
          <w:p w14:paraId="1816964D" w14:textId="77777777" w:rsidR="00154E32" w:rsidRDefault="00A43E04">
            <w:pPr>
              <w:pStyle w:val="P68B1DB1-Normal11"/>
              <w:spacing w:line="276" w:lineRule="auto"/>
              <w:jc w:val="center"/>
              <w:rPr>
                <w:noProof/>
              </w:rPr>
            </w:pPr>
            <w:r>
              <w:rPr>
                <w:noProof/>
              </w:rPr>
              <w:t>Mejnik</w:t>
            </w:r>
          </w:p>
        </w:tc>
        <w:tc>
          <w:tcPr>
            <w:tcW w:w="1559" w:type="dxa"/>
            <w:shd w:val="clear" w:color="auto" w:fill="C6EFCE"/>
            <w:noWrap/>
            <w:vAlign w:val="center"/>
            <w:hideMark/>
          </w:tcPr>
          <w:p w14:paraId="0E56E6BA" w14:textId="685A7F32" w:rsidR="00154E32" w:rsidRDefault="00A43E04">
            <w:pPr>
              <w:pStyle w:val="P68B1DB1-Normal11"/>
              <w:spacing w:line="276" w:lineRule="auto"/>
              <w:jc w:val="center"/>
              <w:rPr>
                <w:noProof/>
              </w:rPr>
            </w:pPr>
            <w:r>
              <w:rPr>
                <w:noProof/>
              </w:rPr>
              <w:t>Začetek veljavnosti revidiranih pravnih sprememb za zaščito in valorizacijo mestnih in primestnih zelenih območij</w:t>
            </w:r>
          </w:p>
        </w:tc>
        <w:tc>
          <w:tcPr>
            <w:tcW w:w="1383" w:type="dxa"/>
            <w:shd w:val="clear" w:color="auto" w:fill="C6EFCE"/>
            <w:noWrap/>
            <w:vAlign w:val="center"/>
            <w:hideMark/>
          </w:tcPr>
          <w:p w14:paraId="36DE1ECD" w14:textId="77777777" w:rsidR="00154E32" w:rsidRDefault="00A43E04">
            <w:pPr>
              <w:pStyle w:val="P68B1DB1-Normal11"/>
              <w:spacing w:line="276" w:lineRule="auto"/>
              <w:jc w:val="center"/>
              <w:rPr>
                <w:noProof/>
              </w:rPr>
            </w:pPr>
            <w:r>
              <w:rPr>
                <w:noProof/>
              </w:rPr>
              <w:t>Določba v ustreznih zakonodajnih aktih, ki navaja sprejetje načrta za pogozdovanje v mestih</w:t>
            </w:r>
          </w:p>
        </w:tc>
        <w:tc>
          <w:tcPr>
            <w:tcW w:w="1094" w:type="dxa"/>
            <w:shd w:val="clear" w:color="auto" w:fill="C6EFCE"/>
            <w:noWrap/>
            <w:vAlign w:val="center"/>
            <w:hideMark/>
          </w:tcPr>
          <w:p w14:paraId="02505EEA" w14:textId="77777777" w:rsidR="00154E32" w:rsidRDefault="00A43E04">
            <w:pPr>
              <w:pStyle w:val="P68B1DB1-Normal11"/>
              <w:spacing w:line="276" w:lineRule="auto"/>
              <w:jc w:val="center"/>
              <w:rPr>
                <w:noProof/>
              </w:rPr>
            </w:pPr>
            <w:r>
              <w:rPr>
                <w:noProof/>
              </w:rPr>
              <w:t>JIH NI</w:t>
            </w:r>
          </w:p>
        </w:tc>
        <w:tc>
          <w:tcPr>
            <w:tcW w:w="1290" w:type="dxa"/>
            <w:shd w:val="clear" w:color="auto" w:fill="C6EFCE"/>
            <w:noWrap/>
            <w:vAlign w:val="center"/>
            <w:hideMark/>
          </w:tcPr>
          <w:p w14:paraId="6055F293" w14:textId="77777777" w:rsidR="00154E32" w:rsidRDefault="00A43E04">
            <w:pPr>
              <w:pStyle w:val="P68B1DB1-Normal11"/>
              <w:spacing w:line="276" w:lineRule="auto"/>
              <w:jc w:val="center"/>
              <w:rPr>
                <w:noProof/>
              </w:rPr>
            </w:pPr>
            <w:r>
              <w:rPr>
                <w:noProof/>
              </w:rPr>
              <w:t>JIH NI</w:t>
            </w:r>
          </w:p>
        </w:tc>
        <w:tc>
          <w:tcPr>
            <w:tcW w:w="1194" w:type="dxa"/>
            <w:shd w:val="clear" w:color="auto" w:fill="C6EFCE"/>
            <w:noWrap/>
            <w:vAlign w:val="center"/>
            <w:hideMark/>
          </w:tcPr>
          <w:p w14:paraId="5C47DAC1" w14:textId="77777777" w:rsidR="00154E32" w:rsidRDefault="00A43E04">
            <w:pPr>
              <w:pStyle w:val="P68B1DB1-Normal11"/>
              <w:spacing w:line="276" w:lineRule="auto"/>
              <w:jc w:val="center"/>
              <w:rPr>
                <w:noProof/>
              </w:rPr>
            </w:pPr>
            <w:r>
              <w:rPr>
                <w:noProof/>
              </w:rPr>
              <w:t>JIH NI</w:t>
            </w:r>
          </w:p>
        </w:tc>
        <w:tc>
          <w:tcPr>
            <w:tcW w:w="916" w:type="dxa"/>
            <w:shd w:val="clear" w:color="auto" w:fill="C6EFCE"/>
            <w:noWrap/>
            <w:vAlign w:val="center"/>
            <w:hideMark/>
          </w:tcPr>
          <w:p w14:paraId="4B9FF76D" w14:textId="77777777" w:rsidR="00154E32" w:rsidRDefault="00A43E04">
            <w:pPr>
              <w:pStyle w:val="P68B1DB1-Normal11"/>
              <w:spacing w:line="276" w:lineRule="auto"/>
              <w:jc w:val="center"/>
              <w:rPr>
                <w:noProof/>
              </w:rPr>
            </w:pPr>
            <w:r>
              <w:rPr>
                <w:noProof/>
              </w:rPr>
              <w:t>Q4</w:t>
            </w:r>
          </w:p>
        </w:tc>
        <w:tc>
          <w:tcPr>
            <w:tcW w:w="638" w:type="dxa"/>
            <w:shd w:val="clear" w:color="auto" w:fill="C6EFCE"/>
            <w:noWrap/>
            <w:vAlign w:val="center"/>
            <w:hideMark/>
          </w:tcPr>
          <w:p w14:paraId="52E3FE38" w14:textId="77777777" w:rsidR="00154E32" w:rsidRDefault="00A43E04">
            <w:pPr>
              <w:pStyle w:val="P68B1DB1-Normal11"/>
              <w:spacing w:line="276" w:lineRule="auto"/>
              <w:jc w:val="center"/>
              <w:rPr>
                <w:noProof/>
              </w:rPr>
            </w:pPr>
            <w:r>
              <w:rPr>
                <w:noProof/>
              </w:rPr>
              <w:t>2021</w:t>
            </w:r>
          </w:p>
        </w:tc>
        <w:tc>
          <w:tcPr>
            <w:tcW w:w="4116" w:type="dxa"/>
            <w:shd w:val="clear" w:color="auto" w:fill="C6EFCE"/>
            <w:noWrap/>
            <w:vAlign w:val="center"/>
            <w:hideMark/>
          </w:tcPr>
          <w:p w14:paraId="0F9C7A38" w14:textId="77777777" w:rsidR="00154E32" w:rsidRDefault="00A43E04">
            <w:pPr>
              <w:pStyle w:val="P68B1DB1-Normal11"/>
              <w:spacing w:line="276" w:lineRule="auto"/>
              <w:rPr>
                <w:noProof/>
              </w:rPr>
            </w:pPr>
            <w:r>
              <w:rPr>
                <w:noProof/>
              </w:rPr>
              <w:t>Načrt za pogozdovanje v mestih je v skladu s cilji zakona z dne 12. decembra 2019, 141 (v nadaljnjem besedilu: podnebna zakonodaja), in sledi fazi načrtovanja, ki jo izvedejo metropolitanska mesta. Načrt bi moral določati vsaj naslednje cilje:</w:t>
            </w:r>
          </w:p>
          <w:p w14:paraId="010981F3" w14:textId="77777777" w:rsidR="00154E32" w:rsidRDefault="00A43E04">
            <w:pPr>
              <w:pStyle w:val="P68B1DB1-ListParagraph13"/>
              <w:numPr>
                <w:ilvl w:val="0"/>
                <w:numId w:val="69"/>
              </w:numPr>
              <w:spacing w:before="0" w:after="0" w:line="276" w:lineRule="auto"/>
              <w:ind w:left="446"/>
              <w:jc w:val="left"/>
              <w:rPr>
                <w:noProof/>
              </w:rPr>
            </w:pPr>
            <w:r>
              <w:rPr>
                <w:noProof/>
              </w:rPr>
              <w:t>Ohranjanje in krepitev razpršene biotske raznovrstnosti v skladu z evropsko strategijo za biotsko raznovrstnost,</w:t>
            </w:r>
          </w:p>
          <w:p w14:paraId="64CB0551" w14:textId="77777777" w:rsidR="00154E32" w:rsidRDefault="00A43E04">
            <w:pPr>
              <w:pStyle w:val="P68B1DB1-ListParagraph13"/>
              <w:numPr>
                <w:ilvl w:val="0"/>
                <w:numId w:val="69"/>
              </w:numPr>
              <w:spacing w:before="0" w:after="0" w:line="276" w:lineRule="auto"/>
              <w:ind w:left="446"/>
              <w:jc w:val="left"/>
              <w:rPr>
                <w:noProof/>
              </w:rPr>
            </w:pPr>
            <w:r>
              <w:rPr>
                <w:noProof/>
              </w:rPr>
              <w:t>Prispevati k zmanjšanju onesnaženosti zraka na metropolitanskih območjih,</w:t>
            </w:r>
          </w:p>
          <w:p w14:paraId="5B97DD8D" w14:textId="77777777" w:rsidR="00154E32" w:rsidRDefault="00A43E04">
            <w:pPr>
              <w:pStyle w:val="P68B1DB1-ListParagraph13"/>
              <w:numPr>
                <w:ilvl w:val="0"/>
                <w:numId w:val="69"/>
              </w:numPr>
              <w:spacing w:before="0" w:after="0" w:line="276" w:lineRule="auto"/>
              <w:ind w:left="446"/>
              <w:jc w:val="left"/>
              <w:rPr>
                <w:noProof/>
              </w:rPr>
            </w:pPr>
            <w:r>
              <w:rPr>
                <w:noProof/>
              </w:rPr>
              <w:t>Zmanjšanje postopkov za ugotavljanje kršitev v zvezi s kakovostjo zraka;</w:t>
            </w:r>
          </w:p>
          <w:p w14:paraId="6C1B4974" w14:textId="77777777" w:rsidR="00154E32" w:rsidRDefault="00A43E04">
            <w:pPr>
              <w:pStyle w:val="P68B1DB1-ListParagraph13"/>
              <w:numPr>
                <w:ilvl w:val="0"/>
                <w:numId w:val="69"/>
              </w:numPr>
              <w:spacing w:before="0" w:after="0" w:line="276" w:lineRule="auto"/>
              <w:ind w:left="446"/>
              <w:jc w:val="left"/>
              <w:rPr>
                <w:noProof/>
              </w:rPr>
            </w:pPr>
            <w:r>
              <w:rPr>
                <w:noProof/>
              </w:rPr>
              <w:t>Obnova umetnih krajin in izboljšanje zavarovanih območij, prisotnih v neposredni bližini metropolitanskih območij;</w:t>
            </w:r>
          </w:p>
          <w:p w14:paraId="6DDDE22C" w14:textId="77777777" w:rsidR="00154E32" w:rsidRDefault="00154E32">
            <w:pPr>
              <w:spacing w:line="276" w:lineRule="auto"/>
              <w:rPr>
                <w:rFonts w:ascii="Arial Narrow" w:hAnsi="Arial Narrow"/>
                <w:noProof/>
                <w:color w:val="006100"/>
                <w:sz w:val="20"/>
              </w:rPr>
            </w:pPr>
          </w:p>
          <w:p w14:paraId="068E5E55" w14:textId="230D98FC" w:rsidR="00154E32" w:rsidRDefault="00A43E04">
            <w:pPr>
              <w:pStyle w:val="P68B1DB1-Normal11"/>
              <w:spacing w:line="276" w:lineRule="auto"/>
              <w:rPr>
                <w:noProof/>
              </w:rPr>
            </w:pPr>
            <w:r>
              <w:rPr>
                <w:noProof/>
              </w:rPr>
              <w:t>Omejiti porabo tal in obnoviti uporabna tla.</w:t>
            </w:r>
          </w:p>
        </w:tc>
      </w:tr>
      <w:tr w:rsidR="00154E32" w14:paraId="06F1E9AE" w14:textId="77777777">
        <w:trPr>
          <w:trHeight w:val="313"/>
          <w:jc w:val="center"/>
        </w:trPr>
        <w:tc>
          <w:tcPr>
            <w:tcW w:w="1130" w:type="dxa"/>
            <w:shd w:val="clear" w:color="auto" w:fill="C6EFCE"/>
            <w:noWrap/>
            <w:vAlign w:val="center"/>
            <w:hideMark/>
          </w:tcPr>
          <w:p w14:paraId="1D1A7340" w14:textId="77777777" w:rsidR="00154E32" w:rsidRDefault="00A43E04">
            <w:pPr>
              <w:pStyle w:val="P68B1DB1-Normal11"/>
              <w:spacing w:line="276" w:lineRule="auto"/>
              <w:jc w:val="center"/>
              <w:rPr>
                <w:noProof/>
              </w:rPr>
            </w:pPr>
            <w:r>
              <w:rPr>
                <w:noProof/>
              </w:rPr>
              <w:t>M2C4–19</w:t>
            </w:r>
          </w:p>
        </w:tc>
        <w:tc>
          <w:tcPr>
            <w:tcW w:w="1560" w:type="dxa"/>
            <w:shd w:val="clear" w:color="auto" w:fill="C6EFCE"/>
            <w:noWrap/>
            <w:vAlign w:val="center"/>
            <w:hideMark/>
          </w:tcPr>
          <w:p w14:paraId="1AC421C3" w14:textId="77777777" w:rsidR="00154E32" w:rsidRDefault="00A43E04">
            <w:pPr>
              <w:pStyle w:val="P68B1DB1-Normal11"/>
              <w:spacing w:line="276" w:lineRule="auto"/>
              <w:jc w:val="center"/>
              <w:rPr>
                <w:noProof/>
              </w:rPr>
            </w:pPr>
            <w:r>
              <w:rPr>
                <w:noProof/>
              </w:rPr>
              <w:t>Naložbe. 3.1: Varstvo in krepitev mestnih in primestnih gozdov</w:t>
            </w:r>
          </w:p>
        </w:tc>
        <w:tc>
          <w:tcPr>
            <w:tcW w:w="1134" w:type="dxa"/>
            <w:shd w:val="clear" w:color="auto" w:fill="C6EFCE"/>
            <w:noWrap/>
            <w:vAlign w:val="center"/>
            <w:hideMark/>
          </w:tcPr>
          <w:p w14:paraId="71500290" w14:textId="77777777" w:rsidR="00154E32" w:rsidRDefault="00A43E04">
            <w:pPr>
              <w:pStyle w:val="P68B1DB1-Normal11"/>
              <w:spacing w:line="276" w:lineRule="auto"/>
              <w:jc w:val="center"/>
              <w:rPr>
                <w:noProof/>
              </w:rPr>
            </w:pPr>
            <w:r>
              <w:rPr>
                <w:noProof/>
              </w:rPr>
              <w:t>Tarča</w:t>
            </w:r>
          </w:p>
        </w:tc>
        <w:tc>
          <w:tcPr>
            <w:tcW w:w="1559" w:type="dxa"/>
            <w:shd w:val="clear" w:color="auto" w:fill="C6EFCE"/>
            <w:noWrap/>
            <w:vAlign w:val="center"/>
            <w:hideMark/>
          </w:tcPr>
          <w:p w14:paraId="257F4E84" w14:textId="77777777" w:rsidR="00154E32" w:rsidRDefault="00A43E04">
            <w:pPr>
              <w:pStyle w:val="P68B1DB1-Normal11"/>
              <w:spacing w:line="276" w:lineRule="auto"/>
              <w:jc w:val="center"/>
              <w:rPr>
                <w:noProof/>
              </w:rPr>
            </w:pPr>
            <w:r>
              <w:rPr>
                <w:noProof/>
              </w:rPr>
              <w:t>Rastlinska drevesa za varstvo in valorizacijo mestnih in primestnih zelenih površin T1</w:t>
            </w:r>
          </w:p>
        </w:tc>
        <w:tc>
          <w:tcPr>
            <w:tcW w:w="1383" w:type="dxa"/>
            <w:shd w:val="clear" w:color="auto" w:fill="C6EFCE"/>
            <w:noWrap/>
            <w:vAlign w:val="center"/>
            <w:hideMark/>
          </w:tcPr>
          <w:p w14:paraId="1FF3EFB4" w14:textId="77777777" w:rsidR="00154E32" w:rsidRDefault="00A43E04">
            <w:pPr>
              <w:pStyle w:val="P68B1DB1-Normal11"/>
              <w:spacing w:line="276" w:lineRule="auto"/>
              <w:jc w:val="center"/>
              <w:rPr>
                <w:noProof/>
              </w:rPr>
            </w:pPr>
            <w:r>
              <w:rPr>
                <w:noProof/>
              </w:rPr>
              <w:t>JIH NI</w:t>
            </w:r>
          </w:p>
        </w:tc>
        <w:tc>
          <w:tcPr>
            <w:tcW w:w="1094" w:type="dxa"/>
            <w:shd w:val="clear" w:color="auto" w:fill="C6EFCE"/>
            <w:noWrap/>
            <w:vAlign w:val="center"/>
            <w:hideMark/>
          </w:tcPr>
          <w:p w14:paraId="6C3F8662" w14:textId="77777777" w:rsidR="00154E32" w:rsidRDefault="00A43E04">
            <w:pPr>
              <w:pStyle w:val="P68B1DB1-Normal11"/>
              <w:spacing w:line="276" w:lineRule="auto"/>
              <w:jc w:val="center"/>
              <w:rPr>
                <w:noProof/>
              </w:rPr>
            </w:pPr>
            <w:r>
              <w:rPr>
                <w:noProof/>
              </w:rPr>
              <w:t>Število</w:t>
            </w:r>
          </w:p>
        </w:tc>
        <w:tc>
          <w:tcPr>
            <w:tcW w:w="1290" w:type="dxa"/>
            <w:shd w:val="clear" w:color="auto" w:fill="C6EFCE"/>
            <w:noWrap/>
            <w:vAlign w:val="center"/>
            <w:hideMark/>
          </w:tcPr>
          <w:p w14:paraId="5C134E11" w14:textId="77777777" w:rsidR="00154E32" w:rsidRDefault="00A43E04">
            <w:pPr>
              <w:pStyle w:val="P68B1DB1-Normal11"/>
              <w:spacing w:line="276" w:lineRule="auto"/>
              <w:jc w:val="center"/>
              <w:rPr>
                <w:noProof/>
              </w:rPr>
            </w:pPr>
            <w:r>
              <w:rPr>
                <w:noProof/>
              </w:rPr>
              <w:t>0</w:t>
            </w:r>
          </w:p>
        </w:tc>
        <w:tc>
          <w:tcPr>
            <w:tcW w:w="1194" w:type="dxa"/>
            <w:shd w:val="clear" w:color="auto" w:fill="C6EFCE"/>
            <w:noWrap/>
            <w:vAlign w:val="center"/>
            <w:hideMark/>
          </w:tcPr>
          <w:p w14:paraId="6BA6D4BD" w14:textId="76BEFE81" w:rsidR="00154E32" w:rsidRDefault="00A43E04">
            <w:pPr>
              <w:pStyle w:val="P68B1DB1-Normal12"/>
              <w:spacing w:line="276" w:lineRule="auto"/>
              <w:jc w:val="center"/>
              <w:rPr>
                <w:rFonts w:ascii="Arial Narrow" w:hAnsi="Arial Narrow"/>
                <w:noProof/>
              </w:rPr>
            </w:pPr>
            <w:r>
              <w:rPr>
                <w:rFonts w:ascii="Arial Narrow" w:hAnsi="Arial Narrow"/>
                <w:noProof/>
              </w:rPr>
              <w:t>1</w:t>
            </w:r>
            <w:r>
              <w:rPr>
                <w:noProof/>
              </w:rPr>
              <w:t xml:space="preserve"> </w:t>
            </w:r>
            <w:r>
              <w:rPr>
                <w:rFonts w:ascii="Arial Narrow" w:hAnsi="Arial Narrow"/>
                <w:noProof/>
              </w:rPr>
              <w:t>650</w:t>
            </w:r>
            <w:r>
              <w:rPr>
                <w:noProof/>
              </w:rPr>
              <w:t xml:space="preserve"> </w:t>
            </w:r>
            <w:r>
              <w:rPr>
                <w:rFonts w:ascii="Arial Narrow" w:hAnsi="Arial Narrow"/>
                <w:noProof/>
              </w:rPr>
              <w:t>000</w:t>
            </w:r>
          </w:p>
        </w:tc>
        <w:tc>
          <w:tcPr>
            <w:tcW w:w="916" w:type="dxa"/>
            <w:shd w:val="clear" w:color="auto" w:fill="C6EFCE"/>
            <w:noWrap/>
            <w:vAlign w:val="center"/>
            <w:hideMark/>
          </w:tcPr>
          <w:p w14:paraId="7A3C4C72" w14:textId="77777777" w:rsidR="00154E32" w:rsidRDefault="00A43E04">
            <w:pPr>
              <w:pStyle w:val="P68B1DB1-Normal11"/>
              <w:spacing w:line="276" w:lineRule="auto"/>
              <w:jc w:val="center"/>
              <w:rPr>
                <w:noProof/>
              </w:rPr>
            </w:pPr>
            <w:r>
              <w:rPr>
                <w:noProof/>
              </w:rPr>
              <w:t>Q4</w:t>
            </w:r>
          </w:p>
        </w:tc>
        <w:tc>
          <w:tcPr>
            <w:tcW w:w="638" w:type="dxa"/>
            <w:shd w:val="clear" w:color="auto" w:fill="C6EFCE"/>
            <w:noWrap/>
            <w:vAlign w:val="center"/>
            <w:hideMark/>
          </w:tcPr>
          <w:p w14:paraId="764D9FEE" w14:textId="77777777" w:rsidR="00154E32" w:rsidRDefault="00A43E04">
            <w:pPr>
              <w:pStyle w:val="P68B1DB1-Normal11"/>
              <w:spacing w:line="276" w:lineRule="auto"/>
              <w:jc w:val="center"/>
              <w:rPr>
                <w:noProof/>
              </w:rPr>
            </w:pPr>
            <w:r>
              <w:rPr>
                <w:noProof/>
              </w:rPr>
              <w:t>2022</w:t>
            </w:r>
          </w:p>
        </w:tc>
        <w:tc>
          <w:tcPr>
            <w:tcW w:w="4116" w:type="dxa"/>
            <w:shd w:val="clear" w:color="auto" w:fill="C6EFCE"/>
            <w:noWrap/>
            <w:vAlign w:val="center"/>
            <w:hideMark/>
          </w:tcPr>
          <w:p w14:paraId="1AFD6AAB" w14:textId="1EEB3221" w:rsidR="00154E32" w:rsidRDefault="00A43E04">
            <w:pPr>
              <w:pStyle w:val="P68B1DB1-Normal12"/>
              <w:spacing w:line="276" w:lineRule="auto"/>
              <w:rPr>
                <w:rFonts w:ascii="Arial Narrow" w:hAnsi="Arial Narrow"/>
                <w:noProof/>
              </w:rPr>
            </w:pPr>
            <w:r>
              <w:rPr>
                <w:rFonts w:ascii="Arial Narrow" w:hAnsi="Arial Narrow"/>
                <w:noProof/>
              </w:rPr>
              <w:t>Zasaditi najmanj 1650000</w:t>
            </w:r>
            <w:r>
              <w:rPr>
                <w:noProof/>
              </w:rPr>
              <w:t xml:space="preserve"> </w:t>
            </w:r>
            <w:r>
              <w:rPr>
                <w:rFonts w:ascii="Arial Narrow" w:hAnsi="Arial Narrow"/>
                <w:noProof/>
              </w:rPr>
              <w:t>dreves</w:t>
            </w:r>
            <w:r>
              <w:rPr>
                <w:noProof/>
              </w:rPr>
              <w:t xml:space="preserve"> </w:t>
            </w:r>
            <w:r>
              <w:rPr>
                <w:rFonts w:ascii="Arial Narrow" w:hAnsi="Arial Narrow"/>
                <w:noProof/>
              </w:rPr>
              <w:t>za ponovno pogozdovanje mestnih in primestnih območij v skladu s členom 4 zakona z dne 12. decembra 2019, 141 (t. i. podnebna pravila).</w:t>
            </w:r>
          </w:p>
        </w:tc>
      </w:tr>
      <w:tr w:rsidR="00154E32" w14:paraId="77ED1231" w14:textId="77777777">
        <w:trPr>
          <w:trHeight w:val="313"/>
          <w:jc w:val="center"/>
        </w:trPr>
        <w:tc>
          <w:tcPr>
            <w:tcW w:w="1130" w:type="dxa"/>
            <w:shd w:val="clear" w:color="auto" w:fill="C6EFCE"/>
            <w:noWrap/>
            <w:vAlign w:val="center"/>
            <w:hideMark/>
          </w:tcPr>
          <w:p w14:paraId="099E7D99" w14:textId="77777777" w:rsidR="00154E32" w:rsidRDefault="00A43E04">
            <w:pPr>
              <w:pStyle w:val="P68B1DB1-Normal11"/>
              <w:spacing w:line="276" w:lineRule="auto"/>
              <w:jc w:val="center"/>
              <w:rPr>
                <w:noProof/>
              </w:rPr>
            </w:pPr>
            <w:r>
              <w:rPr>
                <w:noProof/>
              </w:rPr>
              <w:t>M2C4–20</w:t>
            </w:r>
          </w:p>
        </w:tc>
        <w:tc>
          <w:tcPr>
            <w:tcW w:w="1560" w:type="dxa"/>
            <w:shd w:val="clear" w:color="auto" w:fill="C6EFCE"/>
            <w:noWrap/>
            <w:vAlign w:val="center"/>
            <w:hideMark/>
          </w:tcPr>
          <w:p w14:paraId="204511B4" w14:textId="77777777" w:rsidR="00154E32" w:rsidRDefault="00A43E04">
            <w:pPr>
              <w:pStyle w:val="P68B1DB1-Normal11"/>
              <w:spacing w:line="276" w:lineRule="auto"/>
              <w:jc w:val="center"/>
              <w:rPr>
                <w:noProof/>
              </w:rPr>
            </w:pPr>
            <w:r>
              <w:rPr>
                <w:noProof/>
              </w:rPr>
              <w:t>Naložbe. 3.1: Varstvo in krepitev mestnih in primestnih gozdov</w:t>
            </w:r>
          </w:p>
        </w:tc>
        <w:tc>
          <w:tcPr>
            <w:tcW w:w="1134" w:type="dxa"/>
            <w:shd w:val="clear" w:color="auto" w:fill="C6EFCE"/>
            <w:noWrap/>
            <w:vAlign w:val="center"/>
            <w:hideMark/>
          </w:tcPr>
          <w:p w14:paraId="14C4E5EF" w14:textId="77777777" w:rsidR="00154E32" w:rsidRDefault="00A43E04">
            <w:pPr>
              <w:pStyle w:val="P68B1DB1-Normal11"/>
              <w:spacing w:line="276" w:lineRule="auto"/>
              <w:jc w:val="center"/>
              <w:rPr>
                <w:noProof/>
              </w:rPr>
            </w:pPr>
            <w:r>
              <w:rPr>
                <w:noProof/>
              </w:rPr>
              <w:t>Tarča</w:t>
            </w:r>
          </w:p>
        </w:tc>
        <w:tc>
          <w:tcPr>
            <w:tcW w:w="1559" w:type="dxa"/>
            <w:shd w:val="clear" w:color="auto" w:fill="C6EFCE"/>
            <w:noWrap/>
            <w:vAlign w:val="center"/>
            <w:hideMark/>
          </w:tcPr>
          <w:p w14:paraId="36271A94" w14:textId="749DB606" w:rsidR="00154E32" w:rsidRDefault="00A43E04">
            <w:pPr>
              <w:pStyle w:val="P68B1DB1-Normal11"/>
              <w:spacing w:line="276" w:lineRule="auto"/>
              <w:jc w:val="center"/>
              <w:rPr>
                <w:noProof/>
              </w:rPr>
            </w:pPr>
            <w:r>
              <w:rPr>
                <w:noProof/>
              </w:rPr>
              <w:t>Rastlinska drevesa za varstvo in valorizacijo mestnih in primestnih zelenih površin T2</w:t>
            </w:r>
          </w:p>
        </w:tc>
        <w:tc>
          <w:tcPr>
            <w:tcW w:w="1383" w:type="dxa"/>
            <w:shd w:val="clear" w:color="auto" w:fill="C6EFCE"/>
            <w:noWrap/>
            <w:vAlign w:val="center"/>
            <w:hideMark/>
          </w:tcPr>
          <w:p w14:paraId="15335D96" w14:textId="77777777" w:rsidR="00154E32" w:rsidRDefault="00A43E04">
            <w:pPr>
              <w:pStyle w:val="P68B1DB1-Normal11"/>
              <w:spacing w:line="276" w:lineRule="auto"/>
              <w:jc w:val="center"/>
              <w:rPr>
                <w:noProof/>
              </w:rPr>
            </w:pPr>
            <w:r>
              <w:rPr>
                <w:noProof/>
              </w:rPr>
              <w:t>JIH NI</w:t>
            </w:r>
          </w:p>
        </w:tc>
        <w:tc>
          <w:tcPr>
            <w:tcW w:w="1094" w:type="dxa"/>
            <w:shd w:val="clear" w:color="auto" w:fill="C6EFCE"/>
            <w:noWrap/>
            <w:vAlign w:val="center"/>
            <w:hideMark/>
          </w:tcPr>
          <w:p w14:paraId="6E99F159" w14:textId="77777777" w:rsidR="00154E32" w:rsidRDefault="00A43E04">
            <w:pPr>
              <w:pStyle w:val="P68B1DB1-Normal11"/>
              <w:spacing w:line="276" w:lineRule="auto"/>
              <w:jc w:val="center"/>
              <w:rPr>
                <w:noProof/>
              </w:rPr>
            </w:pPr>
            <w:r>
              <w:rPr>
                <w:noProof/>
              </w:rPr>
              <w:t>Število</w:t>
            </w:r>
          </w:p>
        </w:tc>
        <w:tc>
          <w:tcPr>
            <w:tcW w:w="1290" w:type="dxa"/>
            <w:shd w:val="clear" w:color="auto" w:fill="C6EFCE"/>
            <w:noWrap/>
            <w:vAlign w:val="center"/>
            <w:hideMark/>
          </w:tcPr>
          <w:p w14:paraId="22CCC378" w14:textId="0CD4DE17" w:rsidR="00154E32" w:rsidRDefault="00A43E04">
            <w:pPr>
              <w:pStyle w:val="P68B1DB1-Normal12"/>
              <w:spacing w:line="276" w:lineRule="auto"/>
              <w:jc w:val="center"/>
              <w:rPr>
                <w:rFonts w:ascii="Arial Narrow" w:hAnsi="Arial Narrow"/>
                <w:noProof/>
              </w:rPr>
            </w:pPr>
            <w:r>
              <w:rPr>
                <w:rFonts w:ascii="Arial Narrow" w:hAnsi="Arial Narrow"/>
                <w:noProof/>
              </w:rPr>
              <w:t>1</w:t>
            </w:r>
            <w:r>
              <w:rPr>
                <w:noProof/>
              </w:rPr>
              <w:t xml:space="preserve"> </w:t>
            </w:r>
            <w:r>
              <w:rPr>
                <w:rFonts w:ascii="Arial Narrow" w:hAnsi="Arial Narrow"/>
                <w:noProof/>
              </w:rPr>
              <w:t>650</w:t>
            </w:r>
            <w:r>
              <w:rPr>
                <w:noProof/>
              </w:rPr>
              <w:t xml:space="preserve"> </w:t>
            </w:r>
            <w:r>
              <w:rPr>
                <w:rFonts w:ascii="Arial Narrow" w:hAnsi="Arial Narrow"/>
                <w:noProof/>
              </w:rPr>
              <w:t>000</w:t>
            </w:r>
          </w:p>
        </w:tc>
        <w:tc>
          <w:tcPr>
            <w:tcW w:w="1194" w:type="dxa"/>
            <w:shd w:val="clear" w:color="auto" w:fill="C6EFCE"/>
            <w:noWrap/>
            <w:vAlign w:val="center"/>
            <w:hideMark/>
          </w:tcPr>
          <w:p w14:paraId="247387DF" w14:textId="00CA16A7" w:rsidR="00154E32" w:rsidRDefault="00A43E04">
            <w:pPr>
              <w:pStyle w:val="P68B1DB1-Normal12"/>
              <w:spacing w:line="276" w:lineRule="auto"/>
              <w:jc w:val="center"/>
              <w:rPr>
                <w:rFonts w:ascii="Arial Narrow" w:hAnsi="Arial Narrow"/>
                <w:noProof/>
              </w:rPr>
            </w:pPr>
            <w:r>
              <w:rPr>
                <w:rFonts w:ascii="Arial Narrow" w:hAnsi="Arial Narrow"/>
                <w:noProof/>
              </w:rPr>
              <w:t>4</w:t>
            </w:r>
            <w:r>
              <w:rPr>
                <w:noProof/>
              </w:rPr>
              <w:t xml:space="preserve"> </w:t>
            </w:r>
            <w:r>
              <w:rPr>
                <w:rFonts w:ascii="Arial Narrow" w:hAnsi="Arial Narrow"/>
                <w:noProof/>
              </w:rPr>
              <w:t>500</w:t>
            </w:r>
            <w:r>
              <w:rPr>
                <w:noProof/>
              </w:rPr>
              <w:t xml:space="preserve"> </w:t>
            </w:r>
            <w:r>
              <w:rPr>
                <w:rFonts w:ascii="Arial Narrow" w:hAnsi="Arial Narrow"/>
                <w:noProof/>
              </w:rPr>
              <w:t>000</w:t>
            </w:r>
          </w:p>
        </w:tc>
        <w:tc>
          <w:tcPr>
            <w:tcW w:w="916" w:type="dxa"/>
            <w:shd w:val="clear" w:color="auto" w:fill="C6EFCE"/>
            <w:noWrap/>
            <w:vAlign w:val="center"/>
            <w:hideMark/>
          </w:tcPr>
          <w:p w14:paraId="7F302F1B" w14:textId="77777777" w:rsidR="00154E32" w:rsidRDefault="00A43E04">
            <w:pPr>
              <w:pStyle w:val="P68B1DB1-Normal11"/>
              <w:spacing w:line="276" w:lineRule="auto"/>
              <w:jc w:val="center"/>
              <w:rPr>
                <w:noProof/>
              </w:rPr>
            </w:pPr>
            <w:r>
              <w:rPr>
                <w:noProof/>
              </w:rPr>
              <w:t>Q2</w:t>
            </w:r>
          </w:p>
        </w:tc>
        <w:tc>
          <w:tcPr>
            <w:tcW w:w="638" w:type="dxa"/>
            <w:shd w:val="clear" w:color="auto" w:fill="C6EFCE"/>
            <w:noWrap/>
            <w:vAlign w:val="center"/>
            <w:hideMark/>
          </w:tcPr>
          <w:p w14:paraId="768C0861" w14:textId="77777777" w:rsidR="00154E32" w:rsidRDefault="00A43E04">
            <w:pPr>
              <w:pStyle w:val="P68B1DB1-Normal11"/>
              <w:spacing w:line="276" w:lineRule="auto"/>
              <w:jc w:val="center"/>
              <w:rPr>
                <w:noProof/>
              </w:rPr>
            </w:pPr>
            <w:r>
              <w:rPr>
                <w:noProof/>
              </w:rPr>
              <w:t>2024</w:t>
            </w:r>
          </w:p>
        </w:tc>
        <w:tc>
          <w:tcPr>
            <w:tcW w:w="4116" w:type="dxa"/>
            <w:shd w:val="clear" w:color="auto" w:fill="C6EFCE"/>
            <w:noWrap/>
            <w:vAlign w:val="center"/>
            <w:hideMark/>
          </w:tcPr>
          <w:p w14:paraId="752A6EE4" w14:textId="37E4682B" w:rsidR="00154E32" w:rsidRDefault="00A43E04">
            <w:pPr>
              <w:pStyle w:val="P68B1DB1-Normal12"/>
              <w:spacing w:line="276" w:lineRule="auto"/>
              <w:rPr>
                <w:rFonts w:ascii="Arial Narrow" w:hAnsi="Arial Narrow"/>
                <w:noProof/>
              </w:rPr>
            </w:pPr>
            <w:r>
              <w:rPr>
                <w:rFonts w:ascii="Arial Narrow" w:hAnsi="Arial Narrow"/>
                <w:noProof/>
              </w:rPr>
              <w:t>Sajenje gozdnega reprodukcijskega materiala (semen ali rastlin) za najmanj 4500000</w:t>
            </w:r>
            <w:r>
              <w:rPr>
                <w:noProof/>
              </w:rPr>
              <w:t xml:space="preserve"> </w:t>
            </w:r>
            <w:r>
              <w:rPr>
                <w:rFonts w:ascii="Arial Narrow" w:hAnsi="Arial Narrow"/>
                <w:noProof/>
              </w:rPr>
              <w:t>dreves</w:t>
            </w:r>
            <w:r>
              <w:rPr>
                <w:noProof/>
              </w:rPr>
              <w:t xml:space="preserve"> </w:t>
            </w:r>
            <w:r>
              <w:rPr>
                <w:rFonts w:ascii="Arial Narrow" w:hAnsi="Arial Narrow"/>
                <w:noProof/>
              </w:rPr>
              <w:t>in grmičevja za ponovno pogozdovanje mestnih in primestnih območij v skladu s členom 4 zakona z dne 12. decembra 2019, 141 (t. i. podnebna pravila).</w:t>
            </w:r>
          </w:p>
        </w:tc>
      </w:tr>
      <w:tr w:rsidR="00154E32" w14:paraId="284FAA43" w14:textId="77777777">
        <w:trPr>
          <w:trHeight w:val="313"/>
          <w:jc w:val="center"/>
        </w:trPr>
        <w:tc>
          <w:tcPr>
            <w:tcW w:w="113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DFDB42" w14:textId="77777777" w:rsidR="00154E32" w:rsidRDefault="00A43E04">
            <w:pPr>
              <w:pStyle w:val="P68B1DB1-Normal11"/>
              <w:spacing w:line="276" w:lineRule="auto"/>
              <w:jc w:val="center"/>
              <w:rPr>
                <w:noProof/>
              </w:rPr>
            </w:pPr>
            <w:r>
              <w:rPr>
                <w:noProof/>
              </w:rPr>
              <w:t>M2C4–20a</w:t>
            </w:r>
          </w:p>
        </w:tc>
        <w:tc>
          <w:tcPr>
            <w:tcW w:w="156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2EB5DC1" w14:textId="77777777" w:rsidR="00154E32" w:rsidRDefault="00A43E04">
            <w:pPr>
              <w:pStyle w:val="P68B1DB1-Normal11"/>
              <w:spacing w:line="276" w:lineRule="auto"/>
              <w:jc w:val="center"/>
              <w:rPr>
                <w:noProof/>
              </w:rPr>
            </w:pPr>
            <w:r>
              <w:rPr>
                <w:noProof/>
              </w:rPr>
              <w:t>Naložbe. 3.1: Varstvo in krepitev mestnih in primestnih gozdov</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78625E" w14:textId="77777777" w:rsidR="00154E32" w:rsidRDefault="00A43E04">
            <w:pPr>
              <w:pStyle w:val="P68B1DB1-Normal11"/>
              <w:spacing w:line="276" w:lineRule="auto"/>
              <w:jc w:val="center"/>
              <w:rPr>
                <w:noProof/>
              </w:rPr>
            </w:pPr>
            <w:r>
              <w:rPr>
                <w:noProof/>
              </w:rPr>
              <w:t>Tarča</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E6AD183" w14:textId="5415BEF3" w:rsidR="00154E32" w:rsidRDefault="00A43E04">
            <w:pPr>
              <w:pStyle w:val="P68B1DB1-Normal11"/>
              <w:spacing w:line="276" w:lineRule="auto"/>
              <w:jc w:val="center"/>
              <w:rPr>
                <w:noProof/>
              </w:rPr>
            </w:pPr>
            <w:r>
              <w:rPr>
                <w:noProof/>
              </w:rPr>
              <w:t>Rastlinska drevesa za varstvo in valorizacijo mestnih in primestnih zelenih površin T3</w:t>
            </w:r>
          </w:p>
        </w:tc>
        <w:tc>
          <w:tcPr>
            <w:tcW w:w="138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F43DB9" w14:textId="77777777" w:rsidR="00154E32" w:rsidRDefault="00A43E04">
            <w:pPr>
              <w:pStyle w:val="P68B1DB1-Normal11"/>
              <w:spacing w:line="276" w:lineRule="auto"/>
              <w:jc w:val="center"/>
              <w:rPr>
                <w:noProof/>
              </w:rPr>
            </w:pPr>
            <w:r>
              <w:rPr>
                <w:noProof/>
              </w:rPr>
              <w:t>JIH NI</w:t>
            </w:r>
          </w:p>
        </w:tc>
        <w:tc>
          <w:tcPr>
            <w:tcW w:w="109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EF09F59" w14:textId="77777777" w:rsidR="00154E32" w:rsidRDefault="00A43E04">
            <w:pPr>
              <w:pStyle w:val="P68B1DB1-Normal11"/>
              <w:spacing w:line="276" w:lineRule="auto"/>
              <w:jc w:val="center"/>
              <w:rPr>
                <w:noProof/>
              </w:rPr>
            </w:pPr>
            <w:r>
              <w:rPr>
                <w:noProof/>
              </w:rPr>
              <w:t>Število</w:t>
            </w:r>
          </w:p>
        </w:tc>
        <w:tc>
          <w:tcPr>
            <w:tcW w:w="129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1DFB90" w14:textId="77777777" w:rsidR="00154E32" w:rsidRDefault="00A43E04">
            <w:pPr>
              <w:pStyle w:val="P68B1DB1-Normal11"/>
              <w:spacing w:line="276" w:lineRule="auto"/>
              <w:jc w:val="center"/>
              <w:rPr>
                <w:noProof/>
              </w:rPr>
            </w:pPr>
            <w:r>
              <w:rPr>
                <w:noProof/>
              </w:rPr>
              <w:t>0</w:t>
            </w:r>
          </w:p>
        </w:tc>
        <w:tc>
          <w:tcPr>
            <w:tcW w:w="119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948A22C" w14:textId="624D1021" w:rsidR="00154E32" w:rsidRDefault="00A43E04">
            <w:pPr>
              <w:pStyle w:val="P68B1DB1-Normal12"/>
              <w:spacing w:line="276" w:lineRule="auto"/>
              <w:jc w:val="center"/>
              <w:rPr>
                <w:rFonts w:ascii="Arial Narrow" w:hAnsi="Arial Narrow"/>
                <w:noProof/>
              </w:rPr>
            </w:pPr>
            <w:r>
              <w:rPr>
                <w:rFonts w:ascii="Arial Narrow" w:hAnsi="Arial Narrow"/>
                <w:noProof/>
              </w:rPr>
              <w:t>3</w:t>
            </w:r>
            <w:r>
              <w:rPr>
                <w:noProof/>
              </w:rPr>
              <w:t xml:space="preserve"> </w:t>
            </w:r>
            <w:r>
              <w:rPr>
                <w:rFonts w:ascii="Arial Narrow" w:hAnsi="Arial Narrow"/>
                <w:noProof/>
              </w:rPr>
              <w:t>500</w:t>
            </w:r>
            <w:r>
              <w:rPr>
                <w:noProof/>
              </w:rPr>
              <w:t xml:space="preserve"> </w:t>
            </w:r>
            <w:r>
              <w:rPr>
                <w:rFonts w:ascii="Arial Narrow" w:hAnsi="Arial Narrow"/>
                <w:noProof/>
              </w:rPr>
              <w:t>000</w:t>
            </w:r>
          </w:p>
        </w:tc>
        <w:tc>
          <w:tcPr>
            <w:tcW w:w="91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7EAEBE" w14:textId="523830D2" w:rsidR="00154E32" w:rsidRDefault="00A43E04">
            <w:pPr>
              <w:pStyle w:val="P68B1DB1-Normal11"/>
              <w:spacing w:line="276" w:lineRule="auto"/>
              <w:jc w:val="center"/>
              <w:rPr>
                <w:noProof/>
              </w:rPr>
            </w:pPr>
            <w:r>
              <w:rPr>
                <w:noProof/>
              </w:rPr>
              <w:t>Q2</w:t>
            </w:r>
          </w:p>
        </w:tc>
        <w:tc>
          <w:tcPr>
            <w:tcW w:w="638" w:type="dxa"/>
            <w:tcBorders>
              <w:top w:val="single" w:sz="4" w:space="0" w:color="auto"/>
              <w:left w:val="single" w:sz="4" w:space="0" w:color="auto"/>
              <w:bottom w:val="single" w:sz="4" w:space="0" w:color="auto"/>
              <w:right w:val="single" w:sz="4" w:space="0" w:color="auto"/>
            </w:tcBorders>
            <w:shd w:val="clear" w:color="auto" w:fill="C6EFCE"/>
            <w:vAlign w:val="center"/>
          </w:tcPr>
          <w:p w14:paraId="3B64722C" w14:textId="03B2F2F2" w:rsidR="00154E32" w:rsidRDefault="00A43E04">
            <w:pPr>
              <w:pStyle w:val="P68B1DB1-Normal11"/>
              <w:spacing w:line="276" w:lineRule="auto"/>
              <w:jc w:val="center"/>
              <w:rPr>
                <w:noProof/>
              </w:rPr>
            </w:pPr>
            <w:r>
              <w:rPr>
                <w:noProof/>
              </w:rPr>
              <w:t>2026</w:t>
            </w:r>
          </w:p>
        </w:tc>
        <w:tc>
          <w:tcPr>
            <w:tcW w:w="411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77CC2F3" w14:textId="3558A1EE" w:rsidR="00154E32" w:rsidRDefault="00A43E04">
            <w:pPr>
              <w:pStyle w:val="P68B1DB1-Normal12"/>
              <w:spacing w:line="276" w:lineRule="auto"/>
              <w:rPr>
                <w:rFonts w:ascii="Arial Narrow" w:hAnsi="Arial Narrow"/>
                <w:noProof/>
              </w:rPr>
            </w:pPr>
            <w:r>
              <w:rPr>
                <w:rFonts w:ascii="Arial Narrow" w:hAnsi="Arial Narrow"/>
                <w:noProof/>
              </w:rPr>
              <w:t>Presaditev gozdnega reprodukcijskega materiala (semen ali rastlin) za najmanj 3500000</w:t>
            </w:r>
            <w:r>
              <w:rPr>
                <w:noProof/>
              </w:rPr>
              <w:t xml:space="preserve"> </w:t>
            </w:r>
            <w:r>
              <w:rPr>
                <w:rFonts w:ascii="Arial Narrow" w:hAnsi="Arial Narrow"/>
                <w:noProof/>
              </w:rPr>
              <w:t>dreves</w:t>
            </w:r>
            <w:r>
              <w:rPr>
                <w:noProof/>
              </w:rPr>
              <w:t xml:space="preserve"> </w:t>
            </w:r>
            <w:r>
              <w:rPr>
                <w:rFonts w:ascii="Arial Narrow" w:hAnsi="Arial Narrow"/>
                <w:noProof/>
              </w:rPr>
              <w:t>in grmičevja za ponovno pogozdovanje mestnih in primestnih območij v skladu s členom 4 zakona z dne 12. decembra 2019, 141 (t. i. podnebna pravila).</w:t>
            </w:r>
          </w:p>
        </w:tc>
      </w:tr>
      <w:tr w:rsidR="00154E32" w14:paraId="366EAA78" w14:textId="77777777">
        <w:trPr>
          <w:trHeight w:val="313"/>
          <w:jc w:val="center"/>
        </w:trPr>
        <w:tc>
          <w:tcPr>
            <w:tcW w:w="1130" w:type="dxa"/>
            <w:shd w:val="clear" w:color="auto" w:fill="C6EFCE"/>
            <w:noWrap/>
            <w:vAlign w:val="center"/>
            <w:hideMark/>
          </w:tcPr>
          <w:p w14:paraId="134398D8" w14:textId="77777777" w:rsidR="00154E32" w:rsidRDefault="00A43E04">
            <w:pPr>
              <w:pStyle w:val="P68B1DB1-Normal11"/>
              <w:spacing w:line="276" w:lineRule="auto"/>
              <w:jc w:val="center"/>
              <w:rPr>
                <w:noProof/>
              </w:rPr>
            </w:pPr>
            <w:r>
              <w:rPr>
                <w:noProof/>
              </w:rPr>
              <w:t>M2C4–21</w:t>
            </w:r>
          </w:p>
        </w:tc>
        <w:tc>
          <w:tcPr>
            <w:tcW w:w="1560" w:type="dxa"/>
            <w:shd w:val="clear" w:color="auto" w:fill="C6EFCE"/>
            <w:noWrap/>
            <w:vAlign w:val="center"/>
            <w:hideMark/>
          </w:tcPr>
          <w:p w14:paraId="234B5B68" w14:textId="77777777" w:rsidR="00154E32" w:rsidRDefault="00A43E04">
            <w:pPr>
              <w:pStyle w:val="P68B1DB1-Normal11"/>
              <w:spacing w:line="276" w:lineRule="auto"/>
              <w:jc w:val="center"/>
              <w:rPr>
                <w:noProof/>
              </w:rPr>
            </w:pPr>
            <w:r>
              <w:rPr>
                <w:noProof/>
              </w:rPr>
              <w:t>Naložba 3.3 Renaturifikacija območja Po</w:t>
            </w:r>
          </w:p>
        </w:tc>
        <w:tc>
          <w:tcPr>
            <w:tcW w:w="1134" w:type="dxa"/>
            <w:shd w:val="clear" w:color="auto" w:fill="C6EFCE"/>
            <w:noWrap/>
            <w:vAlign w:val="center"/>
            <w:hideMark/>
          </w:tcPr>
          <w:p w14:paraId="1CFE5C75" w14:textId="77777777" w:rsidR="00154E32" w:rsidRDefault="00A43E04">
            <w:pPr>
              <w:pStyle w:val="P68B1DB1-Normal11"/>
              <w:spacing w:line="276" w:lineRule="auto"/>
              <w:jc w:val="center"/>
              <w:rPr>
                <w:noProof/>
              </w:rPr>
            </w:pPr>
            <w:r>
              <w:rPr>
                <w:noProof/>
              </w:rPr>
              <w:t>Mejnik</w:t>
            </w:r>
          </w:p>
        </w:tc>
        <w:tc>
          <w:tcPr>
            <w:tcW w:w="1559" w:type="dxa"/>
            <w:shd w:val="clear" w:color="auto" w:fill="C6EFCE"/>
            <w:noWrap/>
            <w:vAlign w:val="center"/>
            <w:hideMark/>
          </w:tcPr>
          <w:p w14:paraId="2355BC93" w14:textId="60117F62" w:rsidR="00154E32" w:rsidRDefault="00A43E04">
            <w:pPr>
              <w:pStyle w:val="P68B1DB1-Normal11"/>
              <w:spacing w:line="276" w:lineRule="auto"/>
              <w:jc w:val="center"/>
              <w:rPr>
                <w:noProof/>
              </w:rPr>
            </w:pPr>
            <w:r>
              <w:rPr>
                <w:noProof/>
              </w:rPr>
              <w:t>Revizija pravnega okvira za intervencije za ponovno nastavitev območja Pad</w:t>
            </w:r>
          </w:p>
        </w:tc>
        <w:tc>
          <w:tcPr>
            <w:tcW w:w="1383" w:type="dxa"/>
            <w:shd w:val="clear" w:color="auto" w:fill="C6EFCE"/>
            <w:noWrap/>
            <w:vAlign w:val="center"/>
            <w:hideMark/>
          </w:tcPr>
          <w:p w14:paraId="2B30103F" w14:textId="77777777" w:rsidR="00154E32" w:rsidRDefault="00A43E04">
            <w:pPr>
              <w:pStyle w:val="P68B1DB1-Normal11"/>
              <w:spacing w:line="276" w:lineRule="auto"/>
              <w:jc w:val="center"/>
              <w:rPr>
                <w:noProof/>
              </w:rPr>
            </w:pPr>
            <w:r>
              <w:rPr>
                <w:noProof/>
              </w:rPr>
              <w:t>Določba v ustreznem zakonodajnem aktu, ki navaja začetek veljavnosti</w:t>
            </w:r>
          </w:p>
        </w:tc>
        <w:tc>
          <w:tcPr>
            <w:tcW w:w="1094" w:type="dxa"/>
            <w:shd w:val="clear" w:color="auto" w:fill="C6EFCE"/>
            <w:noWrap/>
            <w:vAlign w:val="center"/>
            <w:hideMark/>
          </w:tcPr>
          <w:p w14:paraId="6DEC073E" w14:textId="77777777" w:rsidR="00154E32" w:rsidRDefault="00A43E04">
            <w:pPr>
              <w:pStyle w:val="P68B1DB1-Normal11"/>
              <w:spacing w:line="276" w:lineRule="auto"/>
              <w:jc w:val="center"/>
              <w:rPr>
                <w:noProof/>
              </w:rPr>
            </w:pPr>
            <w:r>
              <w:rPr>
                <w:noProof/>
              </w:rPr>
              <w:t>JIH NI</w:t>
            </w:r>
          </w:p>
        </w:tc>
        <w:tc>
          <w:tcPr>
            <w:tcW w:w="1290" w:type="dxa"/>
            <w:shd w:val="clear" w:color="auto" w:fill="C6EFCE"/>
            <w:noWrap/>
            <w:vAlign w:val="center"/>
            <w:hideMark/>
          </w:tcPr>
          <w:p w14:paraId="12DEC4DF" w14:textId="77777777" w:rsidR="00154E32" w:rsidRDefault="00A43E04">
            <w:pPr>
              <w:pStyle w:val="P68B1DB1-Normal11"/>
              <w:spacing w:line="276" w:lineRule="auto"/>
              <w:jc w:val="center"/>
              <w:rPr>
                <w:noProof/>
              </w:rPr>
            </w:pPr>
            <w:r>
              <w:rPr>
                <w:noProof/>
              </w:rPr>
              <w:t>JIH NI</w:t>
            </w:r>
          </w:p>
        </w:tc>
        <w:tc>
          <w:tcPr>
            <w:tcW w:w="1194" w:type="dxa"/>
            <w:shd w:val="clear" w:color="auto" w:fill="C6EFCE"/>
            <w:noWrap/>
            <w:vAlign w:val="center"/>
            <w:hideMark/>
          </w:tcPr>
          <w:p w14:paraId="07334F7E" w14:textId="77777777" w:rsidR="00154E32" w:rsidRDefault="00A43E04">
            <w:pPr>
              <w:pStyle w:val="P68B1DB1-Normal11"/>
              <w:spacing w:line="276" w:lineRule="auto"/>
              <w:jc w:val="center"/>
              <w:rPr>
                <w:noProof/>
              </w:rPr>
            </w:pPr>
            <w:r>
              <w:rPr>
                <w:noProof/>
              </w:rPr>
              <w:t>JIH NI</w:t>
            </w:r>
          </w:p>
        </w:tc>
        <w:tc>
          <w:tcPr>
            <w:tcW w:w="916" w:type="dxa"/>
            <w:shd w:val="clear" w:color="auto" w:fill="C6EFCE"/>
            <w:noWrap/>
            <w:vAlign w:val="center"/>
            <w:hideMark/>
          </w:tcPr>
          <w:p w14:paraId="567D5C41" w14:textId="77777777" w:rsidR="00154E32" w:rsidRDefault="00A43E04">
            <w:pPr>
              <w:pStyle w:val="P68B1DB1-Normal11"/>
              <w:spacing w:line="276" w:lineRule="auto"/>
              <w:jc w:val="center"/>
              <w:rPr>
                <w:noProof/>
              </w:rPr>
            </w:pPr>
            <w:r>
              <w:rPr>
                <w:noProof/>
              </w:rPr>
              <w:t>Q2</w:t>
            </w:r>
          </w:p>
        </w:tc>
        <w:tc>
          <w:tcPr>
            <w:tcW w:w="638" w:type="dxa"/>
            <w:shd w:val="clear" w:color="auto" w:fill="C6EFCE"/>
            <w:noWrap/>
            <w:vAlign w:val="center"/>
            <w:hideMark/>
          </w:tcPr>
          <w:p w14:paraId="22490E65" w14:textId="77777777" w:rsidR="00154E32" w:rsidRDefault="00A43E04">
            <w:pPr>
              <w:pStyle w:val="P68B1DB1-Normal11"/>
              <w:spacing w:line="276" w:lineRule="auto"/>
              <w:jc w:val="center"/>
              <w:rPr>
                <w:noProof/>
              </w:rPr>
            </w:pPr>
            <w:r>
              <w:rPr>
                <w:noProof/>
              </w:rPr>
              <w:t>2023</w:t>
            </w:r>
          </w:p>
        </w:tc>
        <w:tc>
          <w:tcPr>
            <w:tcW w:w="4116" w:type="dxa"/>
            <w:shd w:val="clear" w:color="auto" w:fill="C6EFCE"/>
            <w:noWrap/>
            <w:vAlign w:val="center"/>
            <w:hideMark/>
          </w:tcPr>
          <w:p w14:paraId="64694AFD" w14:textId="4C800D1B" w:rsidR="00154E32" w:rsidRDefault="00A43E04">
            <w:pPr>
              <w:pStyle w:val="P68B1DB1-Normal11"/>
              <w:spacing w:line="276" w:lineRule="auto"/>
              <w:rPr>
                <w:noProof/>
              </w:rPr>
            </w:pPr>
            <w:r>
              <w:rPr>
                <w:noProof/>
              </w:rPr>
              <w:t>Začetek veljavnosti ustrezne zakonodaje s ciljem obnove ekološkega koridorja, ki ga predstavlja rečna struga, vključno z naravnim pogozdovanjem in posegi za obnovo in reaktivacijo stranskih vej in oksbrik.</w:t>
            </w:r>
          </w:p>
        </w:tc>
      </w:tr>
      <w:tr w:rsidR="00154E32" w14:paraId="07DC042E" w14:textId="77777777">
        <w:trPr>
          <w:trHeight w:val="313"/>
          <w:jc w:val="center"/>
        </w:trPr>
        <w:tc>
          <w:tcPr>
            <w:tcW w:w="1130" w:type="dxa"/>
            <w:shd w:val="clear" w:color="auto" w:fill="C6EFCE"/>
            <w:noWrap/>
            <w:vAlign w:val="center"/>
            <w:hideMark/>
          </w:tcPr>
          <w:p w14:paraId="4E8EA046" w14:textId="77777777" w:rsidR="00154E32" w:rsidRDefault="00A43E04">
            <w:pPr>
              <w:pStyle w:val="P68B1DB1-Normal11"/>
              <w:spacing w:line="276" w:lineRule="auto"/>
              <w:jc w:val="center"/>
              <w:rPr>
                <w:noProof/>
              </w:rPr>
            </w:pPr>
            <w:r>
              <w:rPr>
                <w:noProof/>
              </w:rPr>
              <w:t>M2C4–22</w:t>
            </w:r>
          </w:p>
        </w:tc>
        <w:tc>
          <w:tcPr>
            <w:tcW w:w="1560" w:type="dxa"/>
            <w:shd w:val="clear" w:color="auto" w:fill="C6EFCE"/>
            <w:noWrap/>
            <w:vAlign w:val="center"/>
            <w:hideMark/>
          </w:tcPr>
          <w:p w14:paraId="50A77FBC" w14:textId="77777777" w:rsidR="00154E32" w:rsidRDefault="00A43E04">
            <w:pPr>
              <w:pStyle w:val="P68B1DB1-Normal11"/>
              <w:spacing w:line="276" w:lineRule="auto"/>
              <w:jc w:val="center"/>
              <w:rPr>
                <w:noProof/>
              </w:rPr>
            </w:pPr>
            <w:r>
              <w:rPr>
                <w:noProof/>
              </w:rPr>
              <w:t>Naložba 3.3 Renaturifikacija območja Po</w:t>
            </w:r>
          </w:p>
        </w:tc>
        <w:tc>
          <w:tcPr>
            <w:tcW w:w="1134" w:type="dxa"/>
            <w:shd w:val="clear" w:color="auto" w:fill="C6EFCE"/>
            <w:noWrap/>
            <w:vAlign w:val="center"/>
            <w:hideMark/>
          </w:tcPr>
          <w:p w14:paraId="44DC3520" w14:textId="77777777" w:rsidR="00154E32" w:rsidRDefault="00A43E04">
            <w:pPr>
              <w:pStyle w:val="P68B1DB1-Normal11"/>
              <w:spacing w:line="276" w:lineRule="auto"/>
              <w:jc w:val="center"/>
              <w:rPr>
                <w:noProof/>
              </w:rPr>
            </w:pPr>
            <w:r>
              <w:rPr>
                <w:noProof/>
              </w:rPr>
              <w:t>Tarča</w:t>
            </w:r>
          </w:p>
        </w:tc>
        <w:tc>
          <w:tcPr>
            <w:tcW w:w="1559" w:type="dxa"/>
            <w:shd w:val="clear" w:color="auto" w:fill="C6EFCE"/>
            <w:noWrap/>
            <w:vAlign w:val="center"/>
            <w:hideMark/>
          </w:tcPr>
          <w:p w14:paraId="3D2EDEDC" w14:textId="26EA0755" w:rsidR="00154E32" w:rsidRDefault="00A43E04">
            <w:pPr>
              <w:pStyle w:val="P68B1DB1-Normal11"/>
              <w:spacing w:line="276" w:lineRule="auto"/>
              <w:jc w:val="center"/>
              <w:rPr>
                <w:noProof/>
              </w:rPr>
            </w:pPr>
            <w:r>
              <w:rPr>
                <w:noProof/>
              </w:rPr>
              <w:t>Zmanjšanje umetnega rečnega dna za ponovno naturifikacijo območja Pad T1</w:t>
            </w:r>
          </w:p>
        </w:tc>
        <w:tc>
          <w:tcPr>
            <w:tcW w:w="1383" w:type="dxa"/>
            <w:shd w:val="clear" w:color="auto" w:fill="C6EFCE"/>
            <w:noWrap/>
            <w:vAlign w:val="center"/>
            <w:hideMark/>
          </w:tcPr>
          <w:p w14:paraId="4A2881BA" w14:textId="77777777" w:rsidR="00154E32" w:rsidRDefault="00A43E04">
            <w:pPr>
              <w:pStyle w:val="P68B1DB1-Normal11"/>
              <w:spacing w:line="276" w:lineRule="auto"/>
              <w:jc w:val="center"/>
              <w:rPr>
                <w:noProof/>
              </w:rPr>
            </w:pPr>
            <w:r>
              <w:rPr>
                <w:noProof/>
              </w:rPr>
              <w:t>JIH NI</w:t>
            </w:r>
          </w:p>
        </w:tc>
        <w:tc>
          <w:tcPr>
            <w:tcW w:w="1094" w:type="dxa"/>
            <w:shd w:val="clear" w:color="auto" w:fill="C6EFCE"/>
            <w:noWrap/>
            <w:vAlign w:val="center"/>
            <w:hideMark/>
          </w:tcPr>
          <w:p w14:paraId="0F059451" w14:textId="77777777" w:rsidR="00154E32" w:rsidRDefault="00A43E04">
            <w:pPr>
              <w:pStyle w:val="P68B1DB1-Normal11"/>
              <w:spacing w:line="276" w:lineRule="auto"/>
              <w:jc w:val="center"/>
              <w:rPr>
                <w:noProof/>
              </w:rPr>
            </w:pPr>
            <w:r>
              <w:rPr>
                <w:noProof/>
              </w:rPr>
              <w:t>Število</w:t>
            </w:r>
          </w:p>
        </w:tc>
        <w:tc>
          <w:tcPr>
            <w:tcW w:w="1290" w:type="dxa"/>
            <w:shd w:val="clear" w:color="auto" w:fill="C6EFCE"/>
            <w:noWrap/>
            <w:vAlign w:val="center"/>
            <w:hideMark/>
          </w:tcPr>
          <w:p w14:paraId="64178F70" w14:textId="77777777" w:rsidR="00154E32" w:rsidRDefault="00A43E04">
            <w:pPr>
              <w:pStyle w:val="P68B1DB1-Normal11"/>
              <w:spacing w:line="276" w:lineRule="auto"/>
              <w:jc w:val="center"/>
              <w:rPr>
                <w:noProof/>
              </w:rPr>
            </w:pPr>
            <w:r>
              <w:rPr>
                <w:noProof/>
              </w:rPr>
              <w:t>0</w:t>
            </w:r>
          </w:p>
        </w:tc>
        <w:tc>
          <w:tcPr>
            <w:tcW w:w="1194" w:type="dxa"/>
            <w:shd w:val="clear" w:color="auto" w:fill="C6EFCE"/>
            <w:noWrap/>
            <w:vAlign w:val="center"/>
            <w:hideMark/>
          </w:tcPr>
          <w:p w14:paraId="76E69560" w14:textId="77777777" w:rsidR="00154E32" w:rsidRDefault="00A43E04">
            <w:pPr>
              <w:pStyle w:val="P68B1DB1-Normal11"/>
              <w:spacing w:line="276" w:lineRule="auto"/>
              <w:jc w:val="center"/>
              <w:rPr>
                <w:noProof/>
              </w:rPr>
            </w:pPr>
            <w:r>
              <w:rPr>
                <w:noProof/>
              </w:rPr>
              <w:t>13</w:t>
            </w:r>
          </w:p>
        </w:tc>
        <w:tc>
          <w:tcPr>
            <w:tcW w:w="916" w:type="dxa"/>
            <w:shd w:val="clear" w:color="auto" w:fill="C6EFCE"/>
            <w:noWrap/>
            <w:vAlign w:val="center"/>
            <w:hideMark/>
          </w:tcPr>
          <w:p w14:paraId="06FD6DFA" w14:textId="77777777" w:rsidR="00154E32" w:rsidRDefault="00A43E04">
            <w:pPr>
              <w:pStyle w:val="P68B1DB1-Normal11"/>
              <w:spacing w:line="276" w:lineRule="auto"/>
              <w:jc w:val="center"/>
              <w:rPr>
                <w:noProof/>
              </w:rPr>
            </w:pPr>
            <w:r>
              <w:rPr>
                <w:noProof/>
              </w:rPr>
              <w:t>Q4</w:t>
            </w:r>
          </w:p>
        </w:tc>
        <w:tc>
          <w:tcPr>
            <w:tcW w:w="638" w:type="dxa"/>
            <w:shd w:val="clear" w:color="auto" w:fill="C6EFCE"/>
            <w:noWrap/>
            <w:vAlign w:val="center"/>
            <w:hideMark/>
          </w:tcPr>
          <w:p w14:paraId="4370CB17" w14:textId="77777777" w:rsidR="00154E32" w:rsidRDefault="00A43E04">
            <w:pPr>
              <w:pStyle w:val="P68B1DB1-Normal11"/>
              <w:spacing w:line="276" w:lineRule="auto"/>
              <w:jc w:val="center"/>
              <w:rPr>
                <w:noProof/>
              </w:rPr>
            </w:pPr>
            <w:r>
              <w:rPr>
                <w:noProof/>
              </w:rPr>
              <w:t>2024</w:t>
            </w:r>
          </w:p>
        </w:tc>
        <w:tc>
          <w:tcPr>
            <w:tcW w:w="4116" w:type="dxa"/>
            <w:shd w:val="clear" w:color="auto" w:fill="C6EFCE"/>
            <w:noWrap/>
            <w:vAlign w:val="center"/>
            <w:hideMark/>
          </w:tcPr>
          <w:p w14:paraId="592BFED5" w14:textId="77777777" w:rsidR="00154E32" w:rsidRDefault="00A43E04">
            <w:pPr>
              <w:pStyle w:val="P68B1DB1-Normal11"/>
              <w:spacing w:line="276" w:lineRule="auto"/>
              <w:rPr>
                <w:noProof/>
              </w:rPr>
            </w:pPr>
            <w:r>
              <w:rPr>
                <w:noProof/>
              </w:rPr>
              <w:t>Zmanjšati umetnost rečne struge za vsaj 13 km nazaj na os Pa.</w:t>
            </w:r>
          </w:p>
        </w:tc>
      </w:tr>
      <w:tr w:rsidR="00154E32" w14:paraId="7603C326" w14:textId="77777777">
        <w:trPr>
          <w:trHeight w:val="313"/>
          <w:jc w:val="center"/>
        </w:trPr>
        <w:tc>
          <w:tcPr>
            <w:tcW w:w="1130" w:type="dxa"/>
            <w:shd w:val="clear" w:color="auto" w:fill="C6EFCE"/>
            <w:noWrap/>
            <w:vAlign w:val="center"/>
            <w:hideMark/>
          </w:tcPr>
          <w:p w14:paraId="1E99012D" w14:textId="77777777" w:rsidR="00154E32" w:rsidRDefault="00A43E04">
            <w:pPr>
              <w:pStyle w:val="P68B1DB1-Normal11"/>
              <w:spacing w:line="276" w:lineRule="auto"/>
              <w:jc w:val="center"/>
              <w:rPr>
                <w:noProof/>
              </w:rPr>
            </w:pPr>
            <w:r>
              <w:rPr>
                <w:noProof/>
              </w:rPr>
              <w:t>M2C4–23</w:t>
            </w:r>
          </w:p>
        </w:tc>
        <w:tc>
          <w:tcPr>
            <w:tcW w:w="1560" w:type="dxa"/>
            <w:shd w:val="clear" w:color="auto" w:fill="C6EFCE"/>
            <w:noWrap/>
            <w:vAlign w:val="center"/>
            <w:hideMark/>
          </w:tcPr>
          <w:p w14:paraId="6ECED21E" w14:textId="77777777" w:rsidR="00154E32" w:rsidRDefault="00A43E04">
            <w:pPr>
              <w:pStyle w:val="P68B1DB1-Normal11"/>
              <w:spacing w:line="276" w:lineRule="auto"/>
              <w:jc w:val="center"/>
              <w:rPr>
                <w:noProof/>
              </w:rPr>
            </w:pPr>
            <w:r>
              <w:rPr>
                <w:noProof/>
              </w:rPr>
              <w:t>Naložba 3.3 Renaturifikacija območja Po</w:t>
            </w:r>
          </w:p>
        </w:tc>
        <w:tc>
          <w:tcPr>
            <w:tcW w:w="1134" w:type="dxa"/>
            <w:shd w:val="clear" w:color="auto" w:fill="C6EFCE"/>
            <w:noWrap/>
            <w:vAlign w:val="center"/>
            <w:hideMark/>
          </w:tcPr>
          <w:p w14:paraId="0F5FC0A3" w14:textId="77777777" w:rsidR="00154E32" w:rsidRDefault="00A43E04">
            <w:pPr>
              <w:pStyle w:val="P68B1DB1-Normal11"/>
              <w:spacing w:line="276" w:lineRule="auto"/>
              <w:jc w:val="center"/>
              <w:rPr>
                <w:noProof/>
              </w:rPr>
            </w:pPr>
            <w:r>
              <w:rPr>
                <w:noProof/>
              </w:rPr>
              <w:t>Tarča</w:t>
            </w:r>
          </w:p>
        </w:tc>
        <w:tc>
          <w:tcPr>
            <w:tcW w:w="1559" w:type="dxa"/>
            <w:shd w:val="clear" w:color="auto" w:fill="C6EFCE"/>
            <w:noWrap/>
            <w:vAlign w:val="center"/>
            <w:hideMark/>
          </w:tcPr>
          <w:p w14:paraId="676DEAE1" w14:textId="77777777" w:rsidR="00154E32" w:rsidRDefault="00A43E04">
            <w:pPr>
              <w:pStyle w:val="P68B1DB1-Normal11"/>
              <w:spacing w:line="276" w:lineRule="auto"/>
              <w:jc w:val="center"/>
              <w:rPr>
                <w:noProof/>
              </w:rPr>
            </w:pPr>
            <w:r>
              <w:rPr>
                <w:noProof/>
              </w:rPr>
              <w:t>Zmanjšanje umetnega rečnega dna za ponovno naturifikacijo območja Pad T2</w:t>
            </w:r>
          </w:p>
        </w:tc>
        <w:tc>
          <w:tcPr>
            <w:tcW w:w="1383" w:type="dxa"/>
            <w:shd w:val="clear" w:color="auto" w:fill="C6EFCE"/>
            <w:noWrap/>
            <w:vAlign w:val="center"/>
            <w:hideMark/>
          </w:tcPr>
          <w:p w14:paraId="7ED8A661" w14:textId="77777777" w:rsidR="00154E32" w:rsidRDefault="00A43E04">
            <w:pPr>
              <w:pStyle w:val="P68B1DB1-Normal11"/>
              <w:spacing w:line="276" w:lineRule="auto"/>
              <w:jc w:val="center"/>
              <w:rPr>
                <w:noProof/>
              </w:rPr>
            </w:pPr>
            <w:r>
              <w:rPr>
                <w:noProof/>
              </w:rPr>
              <w:t>JIH NI</w:t>
            </w:r>
          </w:p>
        </w:tc>
        <w:tc>
          <w:tcPr>
            <w:tcW w:w="1094" w:type="dxa"/>
            <w:shd w:val="clear" w:color="auto" w:fill="C6EFCE"/>
            <w:noWrap/>
            <w:vAlign w:val="center"/>
            <w:hideMark/>
          </w:tcPr>
          <w:p w14:paraId="5873E5FA" w14:textId="77777777" w:rsidR="00154E32" w:rsidRDefault="00A43E04">
            <w:pPr>
              <w:pStyle w:val="P68B1DB1-Normal11"/>
              <w:spacing w:line="276" w:lineRule="auto"/>
              <w:jc w:val="center"/>
              <w:rPr>
                <w:noProof/>
              </w:rPr>
            </w:pPr>
            <w:r>
              <w:rPr>
                <w:noProof/>
              </w:rPr>
              <w:t>Število</w:t>
            </w:r>
          </w:p>
        </w:tc>
        <w:tc>
          <w:tcPr>
            <w:tcW w:w="1290" w:type="dxa"/>
            <w:shd w:val="clear" w:color="auto" w:fill="C6EFCE"/>
            <w:noWrap/>
            <w:vAlign w:val="center"/>
            <w:hideMark/>
          </w:tcPr>
          <w:p w14:paraId="714A82B5" w14:textId="77777777" w:rsidR="00154E32" w:rsidRDefault="00A43E04">
            <w:pPr>
              <w:pStyle w:val="P68B1DB1-Normal11"/>
              <w:spacing w:line="276" w:lineRule="auto"/>
              <w:jc w:val="center"/>
              <w:rPr>
                <w:noProof/>
              </w:rPr>
            </w:pPr>
            <w:r>
              <w:rPr>
                <w:noProof/>
              </w:rPr>
              <w:t>13</w:t>
            </w:r>
          </w:p>
        </w:tc>
        <w:tc>
          <w:tcPr>
            <w:tcW w:w="1194" w:type="dxa"/>
            <w:shd w:val="clear" w:color="auto" w:fill="C6EFCE"/>
            <w:noWrap/>
            <w:vAlign w:val="center"/>
            <w:hideMark/>
          </w:tcPr>
          <w:p w14:paraId="52854041" w14:textId="77777777" w:rsidR="00154E32" w:rsidRDefault="00A43E04">
            <w:pPr>
              <w:pStyle w:val="P68B1DB1-Normal11"/>
              <w:spacing w:line="276" w:lineRule="auto"/>
              <w:jc w:val="center"/>
              <w:rPr>
                <w:noProof/>
              </w:rPr>
            </w:pPr>
            <w:r>
              <w:rPr>
                <w:noProof/>
              </w:rPr>
              <w:t>37</w:t>
            </w:r>
          </w:p>
        </w:tc>
        <w:tc>
          <w:tcPr>
            <w:tcW w:w="916" w:type="dxa"/>
            <w:shd w:val="clear" w:color="auto" w:fill="C6EFCE"/>
            <w:noWrap/>
            <w:vAlign w:val="center"/>
            <w:hideMark/>
          </w:tcPr>
          <w:p w14:paraId="5CFEEA08" w14:textId="77777777" w:rsidR="00154E32" w:rsidRDefault="00A43E04">
            <w:pPr>
              <w:pStyle w:val="P68B1DB1-Normal11"/>
              <w:spacing w:line="276" w:lineRule="auto"/>
              <w:jc w:val="center"/>
              <w:rPr>
                <w:noProof/>
              </w:rPr>
            </w:pPr>
            <w:r>
              <w:rPr>
                <w:noProof/>
              </w:rPr>
              <w:t>ČETRTLETJE 1</w:t>
            </w:r>
          </w:p>
        </w:tc>
        <w:tc>
          <w:tcPr>
            <w:tcW w:w="638" w:type="dxa"/>
            <w:shd w:val="clear" w:color="auto" w:fill="C6EFCE"/>
            <w:noWrap/>
            <w:vAlign w:val="center"/>
            <w:hideMark/>
          </w:tcPr>
          <w:p w14:paraId="3A652EBE" w14:textId="77777777" w:rsidR="00154E32" w:rsidRDefault="00A43E04">
            <w:pPr>
              <w:pStyle w:val="P68B1DB1-Normal11"/>
              <w:spacing w:line="276" w:lineRule="auto"/>
              <w:jc w:val="center"/>
              <w:rPr>
                <w:noProof/>
              </w:rPr>
            </w:pPr>
            <w:r>
              <w:rPr>
                <w:noProof/>
              </w:rPr>
              <w:t>2026</w:t>
            </w:r>
          </w:p>
        </w:tc>
        <w:tc>
          <w:tcPr>
            <w:tcW w:w="4116" w:type="dxa"/>
            <w:shd w:val="clear" w:color="auto" w:fill="C6EFCE"/>
            <w:noWrap/>
            <w:vAlign w:val="center"/>
            <w:hideMark/>
          </w:tcPr>
          <w:p w14:paraId="56BEEFD6" w14:textId="77777777" w:rsidR="00154E32" w:rsidRDefault="00A43E04">
            <w:pPr>
              <w:pStyle w:val="P68B1DB1-Normal11"/>
              <w:spacing w:line="276" w:lineRule="auto"/>
              <w:rPr>
                <w:noProof/>
              </w:rPr>
            </w:pPr>
            <w:r>
              <w:rPr>
                <w:noProof/>
              </w:rPr>
              <w:t>Zmanjšati umetnost rečne struge za vsaj 37 km nazaj na os Pa.</w:t>
            </w:r>
          </w:p>
        </w:tc>
      </w:tr>
      <w:tr w:rsidR="00154E32" w14:paraId="5D4A6183" w14:textId="77777777">
        <w:trPr>
          <w:trHeight w:val="313"/>
          <w:jc w:val="center"/>
        </w:trPr>
        <w:tc>
          <w:tcPr>
            <w:tcW w:w="1130" w:type="dxa"/>
            <w:shd w:val="clear" w:color="auto" w:fill="C6EFCE"/>
            <w:noWrap/>
            <w:vAlign w:val="center"/>
            <w:hideMark/>
          </w:tcPr>
          <w:p w14:paraId="096283EA" w14:textId="77777777" w:rsidR="00154E32" w:rsidRDefault="00A43E04">
            <w:pPr>
              <w:pStyle w:val="P68B1DB1-Normal11"/>
              <w:spacing w:line="276" w:lineRule="auto"/>
              <w:jc w:val="center"/>
              <w:rPr>
                <w:noProof/>
              </w:rPr>
            </w:pPr>
            <w:r>
              <w:rPr>
                <w:noProof/>
              </w:rPr>
              <w:t>M2C4–24</w:t>
            </w:r>
          </w:p>
        </w:tc>
        <w:tc>
          <w:tcPr>
            <w:tcW w:w="1560" w:type="dxa"/>
            <w:shd w:val="clear" w:color="auto" w:fill="C6EFCE"/>
            <w:noWrap/>
            <w:vAlign w:val="center"/>
            <w:hideMark/>
          </w:tcPr>
          <w:p w14:paraId="236B6C45" w14:textId="77777777" w:rsidR="00154E32" w:rsidRDefault="00A43E04">
            <w:pPr>
              <w:pStyle w:val="P68B1DB1-Normal11"/>
              <w:spacing w:line="276" w:lineRule="auto"/>
              <w:jc w:val="center"/>
              <w:rPr>
                <w:noProof/>
              </w:rPr>
            </w:pPr>
            <w:r>
              <w:rPr>
                <w:noProof/>
              </w:rPr>
              <w:t>Naložba 3.4. Sanacija tal na območjih sirote</w:t>
            </w:r>
          </w:p>
        </w:tc>
        <w:tc>
          <w:tcPr>
            <w:tcW w:w="1134" w:type="dxa"/>
            <w:shd w:val="clear" w:color="auto" w:fill="C6EFCE"/>
            <w:noWrap/>
            <w:vAlign w:val="center"/>
            <w:hideMark/>
          </w:tcPr>
          <w:p w14:paraId="6B2558BF" w14:textId="77777777" w:rsidR="00154E32" w:rsidRDefault="00A43E04">
            <w:pPr>
              <w:pStyle w:val="P68B1DB1-Normal11"/>
              <w:spacing w:line="276" w:lineRule="auto"/>
              <w:jc w:val="center"/>
              <w:rPr>
                <w:noProof/>
              </w:rPr>
            </w:pPr>
            <w:r>
              <w:rPr>
                <w:noProof/>
              </w:rPr>
              <w:t>Mejnik</w:t>
            </w:r>
          </w:p>
        </w:tc>
        <w:tc>
          <w:tcPr>
            <w:tcW w:w="1559" w:type="dxa"/>
            <w:shd w:val="clear" w:color="auto" w:fill="C6EFCE"/>
            <w:noWrap/>
            <w:vAlign w:val="center"/>
            <w:hideMark/>
          </w:tcPr>
          <w:p w14:paraId="12CA94BF" w14:textId="77777777" w:rsidR="00154E32" w:rsidRDefault="00A43E04">
            <w:pPr>
              <w:pStyle w:val="P68B1DB1-Normal11"/>
              <w:spacing w:line="276" w:lineRule="auto"/>
              <w:jc w:val="center"/>
              <w:rPr>
                <w:noProof/>
              </w:rPr>
            </w:pPr>
            <w:r>
              <w:rPr>
                <w:noProof/>
              </w:rPr>
              <w:t>Pravni okvir za sanacijo območij neznanega porekla</w:t>
            </w:r>
          </w:p>
        </w:tc>
        <w:tc>
          <w:tcPr>
            <w:tcW w:w="1383" w:type="dxa"/>
            <w:shd w:val="clear" w:color="auto" w:fill="C6EFCE"/>
            <w:noWrap/>
            <w:vAlign w:val="center"/>
            <w:hideMark/>
          </w:tcPr>
          <w:p w14:paraId="00B91285" w14:textId="77777777" w:rsidR="00154E32" w:rsidRDefault="00A43E04">
            <w:pPr>
              <w:pStyle w:val="P68B1DB1-Normal11"/>
              <w:spacing w:line="276" w:lineRule="auto"/>
              <w:jc w:val="center"/>
              <w:rPr>
                <w:noProof/>
              </w:rPr>
            </w:pPr>
            <w:r>
              <w:rPr>
                <w:noProof/>
              </w:rPr>
              <w:t>Določba v ustreznem zakonodajnem aktu, ki navaja sprejetje akcijskega načrta</w:t>
            </w:r>
          </w:p>
        </w:tc>
        <w:tc>
          <w:tcPr>
            <w:tcW w:w="1094" w:type="dxa"/>
            <w:shd w:val="clear" w:color="auto" w:fill="C6EFCE"/>
            <w:noWrap/>
            <w:vAlign w:val="center"/>
            <w:hideMark/>
          </w:tcPr>
          <w:p w14:paraId="57083575" w14:textId="77777777" w:rsidR="00154E32" w:rsidRDefault="00A43E04">
            <w:pPr>
              <w:pStyle w:val="P68B1DB1-Normal11"/>
              <w:spacing w:line="276" w:lineRule="auto"/>
              <w:jc w:val="center"/>
              <w:rPr>
                <w:noProof/>
              </w:rPr>
            </w:pPr>
            <w:r>
              <w:rPr>
                <w:noProof/>
              </w:rPr>
              <w:t>JIH NI</w:t>
            </w:r>
          </w:p>
        </w:tc>
        <w:tc>
          <w:tcPr>
            <w:tcW w:w="1290" w:type="dxa"/>
            <w:shd w:val="clear" w:color="auto" w:fill="C6EFCE"/>
            <w:noWrap/>
            <w:vAlign w:val="center"/>
            <w:hideMark/>
          </w:tcPr>
          <w:p w14:paraId="70F7ABBC" w14:textId="77777777" w:rsidR="00154E32" w:rsidRDefault="00A43E04">
            <w:pPr>
              <w:pStyle w:val="P68B1DB1-Normal11"/>
              <w:spacing w:line="276" w:lineRule="auto"/>
              <w:jc w:val="center"/>
              <w:rPr>
                <w:noProof/>
              </w:rPr>
            </w:pPr>
            <w:r>
              <w:rPr>
                <w:noProof/>
              </w:rPr>
              <w:t>JIH NI</w:t>
            </w:r>
          </w:p>
        </w:tc>
        <w:tc>
          <w:tcPr>
            <w:tcW w:w="1194" w:type="dxa"/>
            <w:shd w:val="clear" w:color="auto" w:fill="C6EFCE"/>
            <w:noWrap/>
            <w:vAlign w:val="center"/>
            <w:hideMark/>
          </w:tcPr>
          <w:p w14:paraId="6884359E" w14:textId="77777777" w:rsidR="00154E32" w:rsidRDefault="00A43E04">
            <w:pPr>
              <w:pStyle w:val="P68B1DB1-Normal11"/>
              <w:spacing w:line="276" w:lineRule="auto"/>
              <w:jc w:val="center"/>
              <w:rPr>
                <w:noProof/>
              </w:rPr>
            </w:pPr>
            <w:r>
              <w:rPr>
                <w:noProof/>
              </w:rPr>
              <w:t>JIH NI</w:t>
            </w:r>
          </w:p>
        </w:tc>
        <w:tc>
          <w:tcPr>
            <w:tcW w:w="916" w:type="dxa"/>
            <w:shd w:val="clear" w:color="auto" w:fill="C6EFCE"/>
            <w:noWrap/>
            <w:vAlign w:val="center"/>
            <w:hideMark/>
          </w:tcPr>
          <w:p w14:paraId="3309E503" w14:textId="77777777" w:rsidR="00154E32" w:rsidRDefault="00A43E04">
            <w:pPr>
              <w:pStyle w:val="P68B1DB1-Normal11"/>
              <w:spacing w:line="276" w:lineRule="auto"/>
              <w:jc w:val="center"/>
              <w:rPr>
                <w:noProof/>
              </w:rPr>
            </w:pPr>
            <w:r>
              <w:rPr>
                <w:noProof/>
              </w:rPr>
              <w:t>Q4</w:t>
            </w:r>
          </w:p>
        </w:tc>
        <w:tc>
          <w:tcPr>
            <w:tcW w:w="638" w:type="dxa"/>
            <w:shd w:val="clear" w:color="auto" w:fill="C6EFCE"/>
            <w:noWrap/>
            <w:vAlign w:val="center"/>
            <w:hideMark/>
          </w:tcPr>
          <w:p w14:paraId="1DA36C2C" w14:textId="77777777" w:rsidR="00154E32" w:rsidRDefault="00A43E04">
            <w:pPr>
              <w:pStyle w:val="P68B1DB1-Normal11"/>
              <w:spacing w:line="276" w:lineRule="auto"/>
              <w:jc w:val="center"/>
              <w:rPr>
                <w:noProof/>
              </w:rPr>
            </w:pPr>
            <w:r>
              <w:rPr>
                <w:noProof/>
              </w:rPr>
              <w:t>2022</w:t>
            </w:r>
          </w:p>
        </w:tc>
        <w:tc>
          <w:tcPr>
            <w:tcW w:w="4116" w:type="dxa"/>
            <w:shd w:val="clear" w:color="auto" w:fill="C6EFCE"/>
            <w:noWrap/>
            <w:vAlign w:val="center"/>
            <w:hideMark/>
          </w:tcPr>
          <w:p w14:paraId="2179A3C9" w14:textId="77777777" w:rsidR="00154E32" w:rsidRDefault="00A43E04">
            <w:pPr>
              <w:pStyle w:val="P68B1DB1-Normal11"/>
              <w:spacing w:line="276" w:lineRule="auto"/>
              <w:rPr>
                <w:noProof/>
              </w:rPr>
            </w:pPr>
            <w:r>
              <w:rPr>
                <w:noProof/>
              </w:rPr>
              <w:t>Akcijski načrt za oživitev območij neznanega porekla bo zmanjšal izkoriščanje zemljišč in okrepil oživljanje mest. Pismo vključuje najmanj:</w:t>
            </w:r>
          </w:p>
          <w:p w14:paraId="528D1AA7" w14:textId="77777777" w:rsidR="00154E32" w:rsidRDefault="00A43E04">
            <w:pPr>
              <w:pStyle w:val="P68B1DB1-ListParagraph13"/>
              <w:numPr>
                <w:ilvl w:val="0"/>
                <w:numId w:val="69"/>
              </w:numPr>
              <w:spacing w:before="0" w:after="0" w:line="276" w:lineRule="auto"/>
              <w:ind w:left="305"/>
              <w:jc w:val="left"/>
              <w:rPr>
                <w:noProof/>
              </w:rPr>
            </w:pPr>
            <w:r>
              <w:rPr>
                <w:noProof/>
              </w:rPr>
              <w:t>Opredelitev območij sirot v vseh 21 regijah in/ali avtonomnih pokrajinah</w:t>
            </w:r>
          </w:p>
          <w:p w14:paraId="0A446132" w14:textId="77777777" w:rsidR="00154E32" w:rsidRDefault="00A43E04">
            <w:pPr>
              <w:pStyle w:val="P68B1DB1-ListParagraph13"/>
              <w:numPr>
                <w:ilvl w:val="0"/>
                <w:numId w:val="69"/>
              </w:numPr>
              <w:spacing w:before="0" w:after="0" w:line="276" w:lineRule="auto"/>
              <w:ind w:left="305"/>
              <w:jc w:val="left"/>
              <w:rPr>
                <w:noProof/>
              </w:rPr>
            </w:pPr>
            <w:r>
              <w:rPr>
                <w:noProof/>
              </w:rPr>
              <w:t>Posebni posegi, ki jih je treba izvesti na vsakem območju osirotelih območij, da se zmanjša izkoriščanje zemljišč in izboljša oživljanje mest</w:t>
            </w:r>
          </w:p>
          <w:p w14:paraId="7C517D8C" w14:textId="77777777" w:rsidR="00154E32" w:rsidRDefault="00154E32">
            <w:pPr>
              <w:spacing w:line="276" w:lineRule="auto"/>
              <w:rPr>
                <w:rFonts w:ascii="Arial Narrow" w:hAnsi="Arial Narrow"/>
                <w:noProof/>
                <w:color w:val="006100"/>
                <w:sz w:val="20"/>
              </w:rPr>
            </w:pPr>
          </w:p>
        </w:tc>
      </w:tr>
      <w:tr w:rsidR="00154E32" w14:paraId="4BFA96E7" w14:textId="77777777">
        <w:trPr>
          <w:trHeight w:val="313"/>
          <w:jc w:val="center"/>
        </w:trPr>
        <w:tc>
          <w:tcPr>
            <w:tcW w:w="1130" w:type="dxa"/>
            <w:shd w:val="clear" w:color="auto" w:fill="C6EFCE"/>
            <w:noWrap/>
            <w:vAlign w:val="center"/>
            <w:hideMark/>
          </w:tcPr>
          <w:p w14:paraId="098BCFF6" w14:textId="77777777" w:rsidR="00154E32" w:rsidRDefault="00A43E04">
            <w:pPr>
              <w:pStyle w:val="P68B1DB1-Normal11"/>
              <w:spacing w:line="276" w:lineRule="auto"/>
              <w:jc w:val="center"/>
              <w:rPr>
                <w:noProof/>
              </w:rPr>
            </w:pPr>
            <w:r>
              <w:rPr>
                <w:noProof/>
              </w:rPr>
              <w:t>M2C4–25</w:t>
            </w:r>
          </w:p>
        </w:tc>
        <w:tc>
          <w:tcPr>
            <w:tcW w:w="1560" w:type="dxa"/>
            <w:shd w:val="clear" w:color="auto" w:fill="C6EFCE"/>
            <w:noWrap/>
            <w:vAlign w:val="center"/>
            <w:hideMark/>
          </w:tcPr>
          <w:p w14:paraId="53B5BD06" w14:textId="77777777" w:rsidR="00154E32" w:rsidRDefault="00A43E04">
            <w:pPr>
              <w:pStyle w:val="P68B1DB1-Normal11"/>
              <w:spacing w:line="276" w:lineRule="auto"/>
              <w:jc w:val="center"/>
              <w:rPr>
                <w:noProof/>
              </w:rPr>
            </w:pPr>
            <w:r>
              <w:rPr>
                <w:noProof/>
              </w:rPr>
              <w:t>Naložba 3.4. Sanacija tal na območjih sirote</w:t>
            </w:r>
          </w:p>
        </w:tc>
        <w:tc>
          <w:tcPr>
            <w:tcW w:w="1134" w:type="dxa"/>
            <w:shd w:val="clear" w:color="auto" w:fill="C6EFCE"/>
            <w:noWrap/>
            <w:vAlign w:val="center"/>
            <w:hideMark/>
          </w:tcPr>
          <w:p w14:paraId="7E2172E8" w14:textId="77777777" w:rsidR="00154E32" w:rsidRDefault="00A43E04">
            <w:pPr>
              <w:pStyle w:val="P68B1DB1-Normal11"/>
              <w:spacing w:line="276" w:lineRule="auto"/>
              <w:jc w:val="center"/>
              <w:rPr>
                <w:noProof/>
              </w:rPr>
            </w:pPr>
            <w:r>
              <w:rPr>
                <w:noProof/>
              </w:rPr>
              <w:t>Tarča</w:t>
            </w:r>
          </w:p>
        </w:tc>
        <w:tc>
          <w:tcPr>
            <w:tcW w:w="1559" w:type="dxa"/>
            <w:shd w:val="clear" w:color="auto" w:fill="C6EFCE"/>
            <w:noWrap/>
            <w:vAlign w:val="center"/>
            <w:hideMark/>
          </w:tcPr>
          <w:p w14:paraId="58A24C84" w14:textId="10416210" w:rsidR="00154E32" w:rsidRDefault="00A43E04">
            <w:pPr>
              <w:pStyle w:val="P68B1DB1-Normal11"/>
              <w:spacing w:line="276" w:lineRule="auto"/>
              <w:jc w:val="center"/>
              <w:rPr>
                <w:noProof/>
              </w:rPr>
            </w:pPr>
            <w:r>
              <w:rPr>
                <w:noProof/>
              </w:rPr>
              <w:t>Oživitev območij sirot</w:t>
            </w:r>
          </w:p>
        </w:tc>
        <w:tc>
          <w:tcPr>
            <w:tcW w:w="1383" w:type="dxa"/>
            <w:shd w:val="clear" w:color="auto" w:fill="C6EFCE"/>
            <w:noWrap/>
            <w:vAlign w:val="center"/>
            <w:hideMark/>
          </w:tcPr>
          <w:p w14:paraId="655E4B34" w14:textId="77777777" w:rsidR="00154E32" w:rsidRDefault="00A43E04">
            <w:pPr>
              <w:pStyle w:val="P68B1DB1-Normal11"/>
              <w:spacing w:line="276" w:lineRule="auto"/>
              <w:jc w:val="center"/>
              <w:rPr>
                <w:noProof/>
              </w:rPr>
            </w:pPr>
            <w:r>
              <w:rPr>
                <w:noProof/>
              </w:rPr>
              <w:t>JIH NI</w:t>
            </w:r>
          </w:p>
        </w:tc>
        <w:tc>
          <w:tcPr>
            <w:tcW w:w="1094" w:type="dxa"/>
            <w:shd w:val="clear" w:color="auto" w:fill="C6EFCE"/>
            <w:noWrap/>
            <w:vAlign w:val="center"/>
            <w:hideMark/>
          </w:tcPr>
          <w:p w14:paraId="6D77EF44" w14:textId="77777777" w:rsidR="00154E32" w:rsidRDefault="00A43E04">
            <w:pPr>
              <w:pStyle w:val="P68B1DB1-Normal11"/>
              <w:spacing w:line="276" w:lineRule="auto"/>
              <w:jc w:val="center"/>
              <w:rPr>
                <w:noProof/>
              </w:rPr>
            </w:pPr>
            <w:r>
              <w:rPr>
                <w:noProof/>
              </w:rPr>
              <w:t>Delež</w:t>
            </w:r>
          </w:p>
        </w:tc>
        <w:tc>
          <w:tcPr>
            <w:tcW w:w="1290" w:type="dxa"/>
            <w:shd w:val="clear" w:color="auto" w:fill="C6EFCE"/>
            <w:noWrap/>
            <w:vAlign w:val="center"/>
            <w:hideMark/>
          </w:tcPr>
          <w:p w14:paraId="2D22FAB1" w14:textId="77777777" w:rsidR="00154E32" w:rsidRDefault="00A43E04">
            <w:pPr>
              <w:pStyle w:val="P68B1DB1-Normal11"/>
              <w:spacing w:line="276" w:lineRule="auto"/>
              <w:jc w:val="center"/>
              <w:rPr>
                <w:noProof/>
              </w:rPr>
            </w:pPr>
            <w:r>
              <w:rPr>
                <w:noProof/>
              </w:rPr>
              <w:t>0</w:t>
            </w:r>
          </w:p>
        </w:tc>
        <w:tc>
          <w:tcPr>
            <w:tcW w:w="1194" w:type="dxa"/>
            <w:shd w:val="clear" w:color="auto" w:fill="C6EFCE"/>
            <w:noWrap/>
            <w:vAlign w:val="center"/>
            <w:hideMark/>
          </w:tcPr>
          <w:p w14:paraId="31F81CDD" w14:textId="77777777" w:rsidR="00154E32" w:rsidRDefault="00A43E04">
            <w:pPr>
              <w:pStyle w:val="P68B1DB1-Normal11"/>
              <w:spacing w:line="276" w:lineRule="auto"/>
              <w:jc w:val="center"/>
              <w:rPr>
                <w:noProof/>
              </w:rPr>
            </w:pPr>
            <w:r>
              <w:rPr>
                <w:noProof/>
              </w:rPr>
              <w:t>70</w:t>
            </w:r>
          </w:p>
        </w:tc>
        <w:tc>
          <w:tcPr>
            <w:tcW w:w="916" w:type="dxa"/>
            <w:shd w:val="clear" w:color="auto" w:fill="C6EFCE"/>
            <w:noWrap/>
            <w:vAlign w:val="center"/>
            <w:hideMark/>
          </w:tcPr>
          <w:p w14:paraId="1678057B" w14:textId="77777777" w:rsidR="00154E32" w:rsidRDefault="00A43E04">
            <w:pPr>
              <w:pStyle w:val="P68B1DB1-Normal11"/>
              <w:spacing w:line="276" w:lineRule="auto"/>
              <w:jc w:val="center"/>
              <w:rPr>
                <w:noProof/>
              </w:rPr>
            </w:pPr>
            <w:r>
              <w:rPr>
                <w:noProof/>
              </w:rPr>
              <w:t>ČETRTLETJE 1</w:t>
            </w:r>
          </w:p>
        </w:tc>
        <w:tc>
          <w:tcPr>
            <w:tcW w:w="638" w:type="dxa"/>
            <w:shd w:val="clear" w:color="auto" w:fill="C6EFCE"/>
            <w:noWrap/>
            <w:vAlign w:val="center"/>
            <w:hideMark/>
          </w:tcPr>
          <w:p w14:paraId="15770632" w14:textId="77777777" w:rsidR="00154E32" w:rsidRDefault="00A43E04">
            <w:pPr>
              <w:pStyle w:val="P68B1DB1-Normal11"/>
              <w:spacing w:line="276" w:lineRule="auto"/>
              <w:jc w:val="center"/>
              <w:rPr>
                <w:noProof/>
              </w:rPr>
            </w:pPr>
            <w:r>
              <w:rPr>
                <w:noProof/>
              </w:rPr>
              <w:t>2026</w:t>
            </w:r>
          </w:p>
        </w:tc>
        <w:tc>
          <w:tcPr>
            <w:tcW w:w="4116" w:type="dxa"/>
            <w:shd w:val="clear" w:color="auto" w:fill="C6EFCE"/>
            <w:noWrap/>
            <w:vAlign w:val="center"/>
            <w:hideMark/>
          </w:tcPr>
          <w:p w14:paraId="2432CD4C" w14:textId="6977C314" w:rsidR="00154E32" w:rsidRDefault="00A43E04">
            <w:pPr>
              <w:pStyle w:val="P68B1DB1-Normal11"/>
              <w:spacing w:line="276" w:lineRule="auto"/>
              <w:rPr>
                <w:noProof/>
              </w:rPr>
            </w:pPr>
            <w:r>
              <w:rPr>
                <w:noProof/>
              </w:rPr>
              <w:t>Oživiti vsaj 70 % površine tal „sirotega območja“, da se zmanjša izkoriščanje zemljišč in izboljša oživljanje mest.</w:t>
            </w:r>
          </w:p>
        </w:tc>
      </w:tr>
      <w:tr w:rsidR="00154E32" w14:paraId="6E09D3C3" w14:textId="77777777">
        <w:trPr>
          <w:trHeight w:val="313"/>
          <w:jc w:val="center"/>
        </w:trPr>
        <w:tc>
          <w:tcPr>
            <w:tcW w:w="1130" w:type="dxa"/>
            <w:shd w:val="clear" w:color="auto" w:fill="C6EFCE"/>
            <w:noWrap/>
            <w:vAlign w:val="center"/>
            <w:hideMark/>
          </w:tcPr>
          <w:p w14:paraId="677C01E5" w14:textId="77777777" w:rsidR="00154E32" w:rsidRDefault="00A43E04">
            <w:pPr>
              <w:pStyle w:val="P68B1DB1-Normal11"/>
              <w:spacing w:line="276" w:lineRule="auto"/>
              <w:jc w:val="center"/>
              <w:rPr>
                <w:noProof/>
              </w:rPr>
            </w:pPr>
            <w:r>
              <w:rPr>
                <w:noProof/>
              </w:rPr>
              <w:t>M2C4–26</w:t>
            </w:r>
          </w:p>
        </w:tc>
        <w:tc>
          <w:tcPr>
            <w:tcW w:w="1560" w:type="dxa"/>
            <w:shd w:val="clear" w:color="auto" w:fill="C6EFCE"/>
            <w:noWrap/>
            <w:vAlign w:val="center"/>
            <w:hideMark/>
          </w:tcPr>
          <w:p w14:paraId="1B619033" w14:textId="77777777" w:rsidR="00154E32" w:rsidRDefault="00A43E04">
            <w:pPr>
              <w:pStyle w:val="P68B1DB1-Normal11"/>
              <w:spacing w:line="276" w:lineRule="auto"/>
              <w:jc w:val="center"/>
              <w:rPr>
                <w:noProof/>
              </w:rPr>
            </w:pPr>
            <w:r>
              <w:rPr>
                <w:noProof/>
              </w:rPr>
              <w:t>Naložba 3.5. Obnova in varstvo morskega dna in morskih habitatov</w:t>
            </w:r>
          </w:p>
        </w:tc>
        <w:tc>
          <w:tcPr>
            <w:tcW w:w="1134" w:type="dxa"/>
            <w:shd w:val="clear" w:color="auto" w:fill="C6EFCE"/>
            <w:noWrap/>
            <w:vAlign w:val="center"/>
            <w:hideMark/>
          </w:tcPr>
          <w:p w14:paraId="08E5BE7C" w14:textId="77777777" w:rsidR="00154E32" w:rsidRDefault="00A43E04">
            <w:pPr>
              <w:pStyle w:val="P68B1DB1-Normal11"/>
              <w:spacing w:line="276" w:lineRule="auto"/>
              <w:jc w:val="center"/>
              <w:rPr>
                <w:noProof/>
              </w:rPr>
            </w:pPr>
            <w:r>
              <w:rPr>
                <w:noProof/>
              </w:rPr>
              <w:t>Tarča</w:t>
            </w:r>
          </w:p>
        </w:tc>
        <w:tc>
          <w:tcPr>
            <w:tcW w:w="1559" w:type="dxa"/>
            <w:shd w:val="clear" w:color="auto" w:fill="C6EFCE"/>
            <w:noWrap/>
            <w:vAlign w:val="center"/>
            <w:hideMark/>
          </w:tcPr>
          <w:p w14:paraId="777149DB" w14:textId="3BFD8310" w:rsidR="00154E32" w:rsidRDefault="00A43E04">
            <w:pPr>
              <w:pStyle w:val="P68B1DB1-Normal11"/>
              <w:spacing w:line="276" w:lineRule="auto"/>
              <w:jc w:val="center"/>
              <w:rPr>
                <w:noProof/>
              </w:rPr>
            </w:pPr>
            <w:r>
              <w:rPr>
                <w:noProof/>
              </w:rPr>
              <w:t>Obnova in varstvo morskega dna in morskih habitatov</w:t>
            </w:r>
          </w:p>
        </w:tc>
        <w:tc>
          <w:tcPr>
            <w:tcW w:w="1383" w:type="dxa"/>
            <w:shd w:val="clear" w:color="auto" w:fill="C6EFCE"/>
            <w:noWrap/>
            <w:vAlign w:val="center"/>
            <w:hideMark/>
          </w:tcPr>
          <w:p w14:paraId="502B4886" w14:textId="77777777" w:rsidR="00154E32" w:rsidRDefault="00A43E04">
            <w:pPr>
              <w:pStyle w:val="P68B1DB1-Normal11"/>
              <w:spacing w:line="276" w:lineRule="auto"/>
              <w:jc w:val="center"/>
              <w:rPr>
                <w:noProof/>
              </w:rPr>
            </w:pPr>
            <w:r>
              <w:rPr>
                <w:noProof/>
              </w:rPr>
              <w:t>JIH NI</w:t>
            </w:r>
          </w:p>
        </w:tc>
        <w:tc>
          <w:tcPr>
            <w:tcW w:w="1094" w:type="dxa"/>
            <w:shd w:val="clear" w:color="auto" w:fill="C6EFCE"/>
            <w:noWrap/>
            <w:vAlign w:val="center"/>
            <w:hideMark/>
          </w:tcPr>
          <w:p w14:paraId="278A2129" w14:textId="77777777" w:rsidR="00154E32" w:rsidRDefault="00A43E04">
            <w:pPr>
              <w:pStyle w:val="P68B1DB1-Normal11"/>
              <w:spacing w:line="276" w:lineRule="auto"/>
              <w:jc w:val="center"/>
              <w:rPr>
                <w:noProof/>
              </w:rPr>
            </w:pPr>
            <w:r>
              <w:rPr>
                <w:noProof/>
              </w:rPr>
              <w:t>Število</w:t>
            </w:r>
          </w:p>
        </w:tc>
        <w:tc>
          <w:tcPr>
            <w:tcW w:w="1290" w:type="dxa"/>
            <w:shd w:val="clear" w:color="auto" w:fill="C6EFCE"/>
            <w:noWrap/>
            <w:vAlign w:val="center"/>
            <w:hideMark/>
          </w:tcPr>
          <w:p w14:paraId="7926EB9F" w14:textId="77777777" w:rsidR="00154E32" w:rsidRDefault="00A43E04">
            <w:pPr>
              <w:pStyle w:val="P68B1DB1-Normal11"/>
              <w:spacing w:line="276" w:lineRule="auto"/>
              <w:jc w:val="center"/>
              <w:rPr>
                <w:noProof/>
              </w:rPr>
            </w:pPr>
            <w:r>
              <w:rPr>
                <w:noProof/>
              </w:rPr>
              <w:t>0</w:t>
            </w:r>
          </w:p>
        </w:tc>
        <w:tc>
          <w:tcPr>
            <w:tcW w:w="1194" w:type="dxa"/>
            <w:shd w:val="clear" w:color="auto" w:fill="C6EFCE"/>
            <w:noWrap/>
            <w:vAlign w:val="center"/>
            <w:hideMark/>
          </w:tcPr>
          <w:p w14:paraId="652A28C6" w14:textId="77777777" w:rsidR="00154E32" w:rsidRDefault="00A43E04">
            <w:pPr>
              <w:pStyle w:val="P68B1DB1-Normal11"/>
              <w:spacing w:line="276" w:lineRule="auto"/>
              <w:jc w:val="center"/>
              <w:rPr>
                <w:noProof/>
              </w:rPr>
            </w:pPr>
            <w:r>
              <w:rPr>
                <w:noProof/>
              </w:rPr>
              <w:t>22</w:t>
            </w:r>
          </w:p>
        </w:tc>
        <w:tc>
          <w:tcPr>
            <w:tcW w:w="916" w:type="dxa"/>
            <w:shd w:val="clear" w:color="auto" w:fill="C6EFCE"/>
            <w:noWrap/>
            <w:vAlign w:val="center"/>
            <w:hideMark/>
          </w:tcPr>
          <w:p w14:paraId="1D6B1111" w14:textId="77777777" w:rsidR="00154E32" w:rsidRDefault="00A43E04">
            <w:pPr>
              <w:pStyle w:val="P68B1DB1-Normal11"/>
              <w:spacing w:line="276" w:lineRule="auto"/>
              <w:jc w:val="center"/>
              <w:rPr>
                <w:noProof/>
              </w:rPr>
            </w:pPr>
            <w:r>
              <w:rPr>
                <w:noProof/>
              </w:rPr>
              <w:t>Q2</w:t>
            </w:r>
          </w:p>
        </w:tc>
        <w:tc>
          <w:tcPr>
            <w:tcW w:w="638" w:type="dxa"/>
            <w:shd w:val="clear" w:color="auto" w:fill="C6EFCE"/>
            <w:noWrap/>
            <w:vAlign w:val="center"/>
            <w:hideMark/>
          </w:tcPr>
          <w:p w14:paraId="2F7A8A8D" w14:textId="77777777" w:rsidR="00154E32" w:rsidRDefault="00A43E04">
            <w:pPr>
              <w:pStyle w:val="P68B1DB1-Normal11"/>
              <w:spacing w:line="276" w:lineRule="auto"/>
              <w:jc w:val="center"/>
              <w:rPr>
                <w:noProof/>
              </w:rPr>
            </w:pPr>
            <w:r>
              <w:rPr>
                <w:noProof/>
              </w:rPr>
              <w:t>2025</w:t>
            </w:r>
          </w:p>
        </w:tc>
        <w:tc>
          <w:tcPr>
            <w:tcW w:w="4116" w:type="dxa"/>
            <w:shd w:val="clear" w:color="auto" w:fill="C6EFCE"/>
            <w:noWrap/>
            <w:vAlign w:val="center"/>
            <w:hideMark/>
          </w:tcPr>
          <w:p w14:paraId="3283315F" w14:textId="690523B0" w:rsidR="00154E32" w:rsidRDefault="00A43E04">
            <w:pPr>
              <w:pStyle w:val="P68B1DB1-Normal11"/>
              <w:spacing w:line="276" w:lineRule="auto"/>
              <w:rPr>
                <w:noProof/>
              </w:rPr>
            </w:pPr>
            <w:r>
              <w:rPr>
                <w:noProof/>
              </w:rPr>
              <w:t>Dokončati vsaj 22 obsežnih intervencij za obnovo in zaščito morskega dna in morskih habitatov ter sistemov za opazovanje obalnih območij.</w:t>
            </w:r>
          </w:p>
        </w:tc>
      </w:tr>
      <w:tr w:rsidR="00154E32" w14:paraId="3B5D6AE9" w14:textId="77777777">
        <w:trPr>
          <w:trHeight w:val="313"/>
          <w:jc w:val="center"/>
        </w:trPr>
        <w:tc>
          <w:tcPr>
            <w:tcW w:w="1130" w:type="dxa"/>
            <w:shd w:val="clear" w:color="auto" w:fill="C6EFCE"/>
            <w:noWrap/>
            <w:vAlign w:val="center"/>
            <w:hideMark/>
          </w:tcPr>
          <w:p w14:paraId="0A0DE045" w14:textId="77777777" w:rsidR="00154E32" w:rsidRDefault="00A43E04">
            <w:pPr>
              <w:pStyle w:val="P68B1DB1-Normal11"/>
              <w:spacing w:line="276" w:lineRule="auto"/>
              <w:jc w:val="center"/>
              <w:rPr>
                <w:noProof/>
              </w:rPr>
            </w:pPr>
            <w:r>
              <w:rPr>
                <w:noProof/>
              </w:rPr>
              <w:t>M2C4–27</w:t>
            </w:r>
          </w:p>
        </w:tc>
        <w:tc>
          <w:tcPr>
            <w:tcW w:w="1560" w:type="dxa"/>
            <w:shd w:val="clear" w:color="auto" w:fill="C6EFCE"/>
            <w:noWrap/>
            <w:vAlign w:val="center"/>
            <w:hideMark/>
          </w:tcPr>
          <w:p w14:paraId="5161776E" w14:textId="77777777" w:rsidR="00154E32" w:rsidRDefault="00A43E04">
            <w:pPr>
              <w:pStyle w:val="P68B1DB1-Normal11"/>
              <w:spacing w:line="276" w:lineRule="auto"/>
              <w:jc w:val="center"/>
              <w:rPr>
                <w:noProof/>
              </w:rPr>
            </w:pPr>
            <w:r>
              <w:rPr>
                <w:noProof/>
              </w:rPr>
              <w:t>Reforma 4.1. Poenostavitev zakonodaje in krepitev upravljanja za izvajanje naložb v infrastrukturo za oskrbo z vodo</w:t>
            </w:r>
          </w:p>
        </w:tc>
        <w:tc>
          <w:tcPr>
            <w:tcW w:w="1134" w:type="dxa"/>
            <w:shd w:val="clear" w:color="auto" w:fill="C6EFCE"/>
            <w:noWrap/>
            <w:vAlign w:val="center"/>
            <w:hideMark/>
          </w:tcPr>
          <w:p w14:paraId="232F91ED" w14:textId="77777777" w:rsidR="00154E32" w:rsidRDefault="00A43E04">
            <w:pPr>
              <w:pStyle w:val="P68B1DB1-Normal11"/>
              <w:spacing w:line="276" w:lineRule="auto"/>
              <w:jc w:val="center"/>
              <w:rPr>
                <w:noProof/>
              </w:rPr>
            </w:pPr>
            <w:r>
              <w:rPr>
                <w:noProof/>
              </w:rPr>
              <w:t>Mejnik</w:t>
            </w:r>
          </w:p>
        </w:tc>
        <w:tc>
          <w:tcPr>
            <w:tcW w:w="1559" w:type="dxa"/>
            <w:shd w:val="clear" w:color="auto" w:fill="C6EFCE"/>
            <w:noWrap/>
            <w:vAlign w:val="center"/>
            <w:hideMark/>
          </w:tcPr>
          <w:p w14:paraId="1427CB32" w14:textId="08527F55" w:rsidR="00154E32" w:rsidRDefault="00A43E04">
            <w:pPr>
              <w:pStyle w:val="P68B1DB1-Normal11"/>
              <w:spacing w:line="276" w:lineRule="auto"/>
              <w:jc w:val="center"/>
              <w:rPr>
                <w:noProof/>
              </w:rPr>
            </w:pPr>
            <w:r>
              <w:rPr>
                <w:noProof/>
              </w:rPr>
              <w:t>Začetek veljavnosti poenostavitve zakonodaje za posege v primarno vodno infrastrukturo za zanesljivost oskrbe z vodo</w:t>
            </w:r>
          </w:p>
        </w:tc>
        <w:tc>
          <w:tcPr>
            <w:tcW w:w="1383" w:type="dxa"/>
            <w:shd w:val="clear" w:color="auto" w:fill="C6EFCE"/>
            <w:noWrap/>
            <w:vAlign w:val="center"/>
            <w:hideMark/>
          </w:tcPr>
          <w:p w14:paraId="55AAEAA5" w14:textId="77777777" w:rsidR="00154E32" w:rsidRDefault="00A43E04">
            <w:pPr>
              <w:pStyle w:val="P68B1DB1-Normal11"/>
              <w:spacing w:line="276" w:lineRule="auto"/>
              <w:jc w:val="center"/>
              <w:rPr>
                <w:noProof/>
              </w:rPr>
            </w:pPr>
            <w:r>
              <w:rPr>
                <w:noProof/>
              </w:rPr>
              <w:t>Določba(-e) v ustreznem(-ih) delu(-ih) zakonodaje, ki navaja(-jo) začetek veljavnosti</w:t>
            </w:r>
          </w:p>
        </w:tc>
        <w:tc>
          <w:tcPr>
            <w:tcW w:w="1094" w:type="dxa"/>
            <w:shd w:val="clear" w:color="auto" w:fill="C6EFCE"/>
            <w:noWrap/>
            <w:vAlign w:val="center"/>
            <w:hideMark/>
          </w:tcPr>
          <w:p w14:paraId="18F89F99" w14:textId="77777777" w:rsidR="00154E32" w:rsidRDefault="00A43E04">
            <w:pPr>
              <w:pStyle w:val="P68B1DB1-Normal11"/>
              <w:spacing w:line="276" w:lineRule="auto"/>
              <w:jc w:val="center"/>
              <w:rPr>
                <w:noProof/>
              </w:rPr>
            </w:pPr>
            <w:r>
              <w:rPr>
                <w:noProof/>
              </w:rPr>
              <w:t>JIH NI</w:t>
            </w:r>
          </w:p>
        </w:tc>
        <w:tc>
          <w:tcPr>
            <w:tcW w:w="1290" w:type="dxa"/>
            <w:shd w:val="clear" w:color="auto" w:fill="C6EFCE"/>
            <w:noWrap/>
            <w:vAlign w:val="center"/>
            <w:hideMark/>
          </w:tcPr>
          <w:p w14:paraId="150F7A64" w14:textId="77777777" w:rsidR="00154E32" w:rsidRDefault="00A43E04">
            <w:pPr>
              <w:pStyle w:val="P68B1DB1-Normal11"/>
              <w:spacing w:line="276" w:lineRule="auto"/>
              <w:jc w:val="center"/>
              <w:rPr>
                <w:noProof/>
              </w:rPr>
            </w:pPr>
            <w:r>
              <w:rPr>
                <w:noProof/>
              </w:rPr>
              <w:t>JIH NI</w:t>
            </w:r>
          </w:p>
        </w:tc>
        <w:tc>
          <w:tcPr>
            <w:tcW w:w="1194" w:type="dxa"/>
            <w:shd w:val="clear" w:color="auto" w:fill="C6EFCE"/>
            <w:noWrap/>
            <w:vAlign w:val="center"/>
            <w:hideMark/>
          </w:tcPr>
          <w:p w14:paraId="0DD6FE96" w14:textId="77777777" w:rsidR="00154E32" w:rsidRDefault="00A43E04">
            <w:pPr>
              <w:pStyle w:val="P68B1DB1-Normal11"/>
              <w:spacing w:line="276" w:lineRule="auto"/>
              <w:jc w:val="center"/>
              <w:rPr>
                <w:noProof/>
              </w:rPr>
            </w:pPr>
            <w:r>
              <w:rPr>
                <w:noProof/>
              </w:rPr>
              <w:t>JIH NI</w:t>
            </w:r>
          </w:p>
        </w:tc>
        <w:tc>
          <w:tcPr>
            <w:tcW w:w="916" w:type="dxa"/>
            <w:shd w:val="clear" w:color="auto" w:fill="C6EFCE"/>
            <w:noWrap/>
            <w:vAlign w:val="center"/>
            <w:hideMark/>
          </w:tcPr>
          <w:p w14:paraId="0BF17313" w14:textId="77777777" w:rsidR="00154E32" w:rsidRDefault="00A43E04">
            <w:pPr>
              <w:pStyle w:val="P68B1DB1-Normal11"/>
              <w:spacing w:line="276" w:lineRule="auto"/>
              <w:jc w:val="center"/>
              <w:rPr>
                <w:noProof/>
              </w:rPr>
            </w:pPr>
            <w:r>
              <w:rPr>
                <w:noProof/>
              </w:rPr>
              <w:t>ČETRTLETJE 1</w:t>
            </w:r>
          </w:p>
        </w:tc>
        <w:tc>
          <w:tcPr>
            <w:tcW w:w="638" w:type="dxa"/>
            <w:shd w:val="clear" w:color="auto" w:fill="C6EFCE"/>
            <w:noWrap/>
            <w:vAlign w:val="center"/>
            <w:hideMark/>
          </w:tcPr>
          <w:p w14:paraId="48D84451" w14:textId="77777777" w:rsidR="00154E32" w:rsidRDefault="00A43E04">
            <w:pPr>
              <w:pStyle w:val="P68B1DB1-Normal11"/>
              <w:spacing w:line="276" w:lineRule="auto"/>
              <w:jc w:val="center"/>
              <w:rPr>
                <w:noProof/>
              </w:rPr>
            </w:pPr>
            <w:r>
              <w:rPr>
                <w:noProof/>
              </w:rPr>
              <w:t>2022</w:t>
            </w:r>
          </w:p>
        </w:tc>
        <w:tc>
          <w:tcPr>
            <w:tcW w:w="4116" w:type="dxa"/>
            <w:shd w:val="clear" w:color="auto" w:fill="C6EFCE"/>
            <w:noWrap/>
            <w:vAlign w:val="center"/>
            <w:hideMark/>
          </w:tcPr>
          <w:p w14:paraId="2BC1BBE8" w14:textId="77777777" w:rsidR="00154E32" w:rsidRDefault="00A43E04">
            <w:pPr>
              <w:pStyle w:val="P68B1DB1-Normal11"/>
              <w:spacing w:line="276" w:lineRule="auto"/>
              <w:rPr>
                <w:noProof/>
              </w:rPr>
            </w:pPr>
            <w:r>
              <w:rPr>
                <w:noProof/>
              </w:rPr>
              <w:t>Revidirana zakonodaja bo okrepila upravljanje in poenostavila izvajanje naložb v infrastrukturo za oskrbo z vodo. Novi pravni okvir bi moral biti vsaj —</w:t>
            </w:r>
          </w:p>
          <w:p w14:paraId="42527D03" w14:textId="77777777" w:rsidR="00154E32" w:rsidRDefault="00154E32">
            <w:pPr>
              <w:spacing w:line="276" w:lineRule="auto"/>
              <w:rPr>
                <w:rFonts w:ascii="Arial Narrow" w:hAnsi="Arial Narrow"/>
                <w:noProof/>
                <w:color w:val="006100"/>
                <w:sz w:val="20"/>
              </w:rPr>
            </w:pPr>
          </w:p>
          <w:p w14:paraId="7192ABBC" w14:textId="1CB3A85C" w:rsidR="00154E32" w:rsidRDefault="00A43E04">
            <w:pPr>
              <w:pStyle w:val="P68B1DB1-ListParagraph13"/>
              <w:spacing w:before="0" w:after="0" w:line="276" w:lineRule="auto"/>
              <w:ind w:left="0"/>
              <w:jc w:val="left"/>
              <w:rPr>
                <w:noProof/>
              </w:rPr>
            </w:pPr>
            <w:r>
              <w:rPr>
                <w:noProof/>
              </w:rPr>
              <w:t>— Naj nacionalni načrt za intervencije v vodnem sektorju postane osrednji instrument financiranja naložb v vodni sektor.</w:t>
            </w:r>
          </w:p>
          <w:p w14:paraId="1F7FD9C3" w14:textId="1653452B" w:rsidR="00154E32" w:rsidRDefault="00A43E04">
            <w:pPr>
              <w:pStyle w:val="P68B1DB1-ListParagraph13"/>
              <w:spacing w:before="0" w:after="0" w:line="276" w:lineRule="auto"/>
              <w:ind w:left="0"/>
              <w:jc w:val="left"/>
              <w:rPr>
                <w:noProof/>
              </w:rPr>
            </w:pPr>
            <w:r>
              <w:rPr>
                <w:noProof/>
              </w:rPr>
              <w:t>— Zaprosi za mnenje in pri vsaki spremembi ali posodobitvi načrta dejavno vključi Regulator („Autorità di Regolazione per Energia Reti e Ambiente“).</w:t>
            </w:r>
          </w:p>
          <w:p w14:paraId="06D1DD6B" w14:textId="77777777" w:rsidR="00154E32" w:rsidRDefault="00154E32">
            <w:pPr>
              <w:spacing w:line="276" w:lineRule="auto"/>
              <w:ind w:left="-29" w:firstLine="29"/>
              <w:rPr>
                <w:rFonts w:ascii="Arial Narrow" w:hAnsi="Arial Narrow"/>
                <w:noProof/>
                <w:color w:val="006100"/>
                <w:sz w:val="20"/>
              </w:rPr>
            </w:pPr>
          </w:p>
          <w:p w14:paraId="3C28019A" w14:textId="1391398C" w:rsidR="00154E32" w:rsidRDefault="00A43E04">
            <w:pPr>
              <w:pStyle w:val="P68B1DB1-ListParagraph13"/>
              <w:spacing w:before="0" w:after="0" w:line="276" w:lineRule="auto"/>
              <w:ind w:left="0"/>
              <w:jc w:val="left"/>
              <w:rPr>
                <w:noProof/>
              </w:rPr>
            </w:pPr>
            <w:r>
              <w:rPr>
                <w:noProof/>
              </w:rPr>
              <w:t>— Zagotovi podporo in spremljevalne ukrepe za izvajalske organe, ki v predvidenem časovnem okviru ne morejo izvesti naložb v zvezi s primarnimi naročili.</w:t>
            </w:r>
          </w:p>
          <w:p w14:paraId="65D23F78" w14:textId="77777777" w:rsidR="00154E32" w:rsidRDefault="00154E32">
            <w:pPr>
              <w:pStyle w:val="ListParagraph"/>
              <w:spacing w:before="0" w:after="0" w:line="276" w:lineRule="auto"/>
              <w:ind w:left="-29" w:firstLine="29"/>
              <w:jc w:val="left"/>
              <w:rPr>
                <w:rFonts w:ascii="Arial Narrow" w:hAnsi="Arial Narrow"/>
                <w:noProof/>
                <w:color w:val="006100"/>
                <w:sz w:val="20"/>
              </w:rPr>
            </w:pPr>
          </w:p>
          <w:p w14:paraId="4DD9C638" w14:textId="455968CE" w:rsidR="00154E32" w:rsidRDefault="00A43E04">
            <w:pPr>
              <w:pStyle w:val="P68B1DB1-ListParagraph13"/>
              <w:spacing w:before="0" w:after="0" w:line="276" w:lineRule="auto"/>
              <w:ind w:left="0"/>
              <w:jc w:val="left"/>
              <w:rPr>
                <w:noProof/>
              </w:rPr>
            </w:pPr>
            <w:r>
              <w:rPr>
                <w:noProof/>
              </w:rPr>
              <w:t>Poenostavitev postopkov za poročanje in spremljanje naložb, financiranih v vodnem sektorju.</w:t>
            </w:r>
          </w:p>
          <w:p w14:paraId="36963433" w14:textId="77777777" w:rsidR="00154E32" w:rsidRDefault="00154E32">
            <w:pPr>
              <w:spacing w:line="276" w:lineRule="auto"/>
              <w:rPr>
                <w:rFonts w:ascii="Arial Narrow" w:hAnsi="Arial Narrow"/>
                <w:noProof/>
                <w:color w:val="006100"/>
                <w:sz w:val="20"/>
              </w:rPr>
            </w:pPr>
          </w:p>
        </w:tc>
      </w:tr>
      <w:tr w:rsidR="00154E32" w14:paraId="76F501A3" w14:textId="77777777">
        <w:trPr>
          <w:trHeight w:val="313"/>
          <w:jc w:val="center"/>
        </w:trPr>
        <w:tc>
          <w:tcPr>
            <w:tcW w:w="1130" w:type="dxa"/>
            <w:shd w:val="clear" w:color="auto" w:fill="C6EFCE"/>
            <w:noWrap/>
            <w:vAlign w:val="center"/>
            <w:hideMark/>
          </w:tcPr>
          <w:p w14:paraId="09DB3315" w14:textId="77777777" w:rsidR="00154E32" w:rsidRDefault="00A43E04">
            <w:pPr>
              <w:pStyle w:val="P68B1DB1-Normal11"/>
              <w:spacing w:line="276" w:lineRule="auto"/>
              <w:jc w:val="center"/>
              <w:rPr>
                <w:noProof/>
              </w:rPr>
            </w:pPr>
            <w:r>
              <w:rPr>
                <w:noProof/>
              </w:rPr>
              <w:t>M2C4–28</w:t>
            </w:r>
          </w:p>
        </w:tc>
        <w:tc>
          <w:tcPr>
            <w:tcW w:w="1560" w:type="dxa"/>
            <w:shd w:val="clear" w:color="auto" w:fill="C6EFCE"/>
            <w:noWrap/>
            <w:vAlign w:val="center"/>
            <w:hideMark/>
          </w:tcPr>
          <w:p w14:paraId="39435637" w14:textId="77777777" w:rsidR="00154E32" w:rsidRDefault="00A43E04">
            <w:pPr>
              <w:pStyle w:val="P68B1DB1-Normal11"/>
              <w:spacing w:line="276" w:lineRule="auto"/>
              <w:jc w:val="center"/>
              <w:rPr>
                <w:noProof/>
              </w:rPr>
            </w:pPr>
            <w:r>
              <w:rPr>
                <w:noProof/>
              </w:rPr>
              <w:t>Naložba 4.1. Naložbe v primarno vodno infrastrukturo za zanesljivost oskrbe z vodo</w:t>
            </w:r>
          </w:p>
        </w:tc>
        <w:tc>
          <w:tcPr>
            <w:tcW w:w="1134" w:type="dxa"/>
            <w:shd w:val="clear" w:color="auto" w:fill="C6EFCE"/>
            <w:noWrap/>
            <w:vAlign w:val="center"/>
            <w:hideMark/>
          </w:tcPr>
          <w:p w14:paraId="674F4E8D" w14:textId="77777777" w:rsidR="00154E32" w:rsidRDefault="00A43E04">
            <w:pPr>
              <w:pStyle w:val="P68B1DB1-Normal11"/>
              <w:spacing w:line="276" w:lineRule="auto"/>
              <w:jc w:val="center"/>
              <w:rPr>
                <w:noProof/>
              </w:rPr>
            </w:pPr>
            <w:r>
              <w:rPr>
                <w:noProof/>
              </w:rPr>
              <w:t>Mejnik</w:t>
            </w:r>
          </w:p>
        </w:tc>
        <w:tc>
          <w:tcPr>
            <w:tcW w:w="1559" w:type="dxa"/>
            <w:shd w:val="clear" w:color="auto" w:fill="C6EFCE"/>
            <w:noWrap/>
            <w:vAlign w:val="center"/>
            <w:hideMark/>
          </w:tcPr>
          <w:p w14:paraId="5E7AD95C" w14:textId="08699133" w:rsidR="00154E32" w:rsidRDefault="00A43E04">
            <w:pPr>
              <w:pStyle w:val="P68B1DB1-Normal11"/>
              <w:spacing w:line="276" w:lineRule="auto"/>
              <w:jc w:val="center"/>
              <w:rPr>
                <w:noProof/>
              </w:rPr>
            </w:pPr>
            <w:r>
              <w:rPr>
                <w:noProof/>
              </w:rPr>
              <w:t>Oddaja (vseh) javnih naročil za naložbe v primarno vodno infrastrukturo in za zanesljivost oskrbe z vodo</w:t>
            </w:r>
          </w:p>
        </w:tc>
        <w:tc>
          <w:tcPr>
            <w:tcW w:w="1383" w:type="dxa"/>
            <w:shd w:val="clear" w:color="auto" w:fill="C6EFCE"/>
            <w:noWrap/>
            <w:vAlign w:val="center"/>
            <w:hideMark/>
          </w:tcPr>
          <w:p w14:paraId="29F19509" w14:textId="77777777" w:rsidR="00154E32" w:rsidRDefault="00A43E04">
            <w:pPr>
              <w:pStyle w:val="P68B1DB1-Normal11"/>
              <w:spacing w:line="276" w:lineRule="auto"/>
              <w:jc w:val="center"/>
              <w:rPr>
                <w:noProof/>
              </w:rPr>
            </w:pPr>
            <w:r>
              <w:rPr>
                <w:noProof/>
              </w:rPr>
              <w:t>Obvestilo o oddaji (vseh) javnih naročil za naložbe v primarno vodno infrastrukturo in zanesljivost oskrbe z vodo</w:t>
            </w:r>
          </w:p>
        </w:tc>
        <w:tc>
          <w:tcPr>
            <w:tcW w:w="1094" w:type="dxa"/>
            <w:shd w:val="clear" w:color="auto" w:fill="C6EFCE"/>
            <w:noWrap/>
            <w:vAlign w:val="center"/>
            <w:hideMark/>
          </w:tcPr>
          <w:p w14:paraId="33EF425A" w14:textId="77777777" w:rsidR="00154E32" w:rsidRDefault="00A43E04">
            <w:pPr>
              <w:pStyle w:val="P68B1DB1-Normal11"/>
              <w:spacing w:line="276" w:lineRule="auto"/>
              <w:jc w:val="center"/>
              <w:rPr>
                <w:noProof/>
              </w:rPr>
            </w:pPr>
            <w:r>
              <w:rPr>
                <w:noProof/>
              </w:rPr>
              <w:t>Število</w:t>
            </w:r>
          </w:p>
        </w:tc>
        <w:tc>
          <w:tcPr>
            <w:tcW w:w="1290" w:type="dxa"/>
            <w:shd w:val="clear" w:color="auto" w:fill="C6EFCE"/>
            <w:noWrap/>
            <w:vAlign w:val="center"/>
            <w:hideMark/>
          </w:tcPr>
          <w:p w14:paraId="7CD1467E" w14:textId="77777777" w:rsidR="00154E32" w:rsidRDefault="00A43E04">
            <w:pPr>
              <w:pStyle w:val="P68B1DB1-Normal11"/>
              <w:spacing w:line="276" w:lineRule="auto"/>
              <w:jc w:val="center"/>
              <w:rPr>
                <w:noProof/>
              </w:rPr>
            </w:pPr>
            <w:r>
              <w:rPr>
                <w:noProof/>
              </w:rPr>
              <w:t>0</w:t>
            </w:r>
          </w:p>
        </w:tc>
        <w:tc>
          <w:tcPr>
            <w:tcW w:w="1194" w:type="dxa"/>
            <w:shd w:val="clear" w:color="auto" w:fill="C6EFCE"/>
            <w:noWrap/>
            <w:vAlign w:val="center"/>
            <w:hideMark/>
          </w:tcPr>
          <w:p w14:paraId="038A3AC6" w14:textId="2F4F6075" w:rsidR="00154E32" w:rsidRDefault="00A43E04">
            <w:pPr>
              <w:pStyle w:val="P68B1DB1-Normal11"/>
              <w:spacing w:line="276" w:lineRule="auto"/>
              <w:jc w:val="center"/>
              <w:rPr>
                <w:noProof/>
              </w:rPr>
            </w:pPr>
            <w:r>
              <w:rPr>
                <w:noProof/>
              </w:rPr>
              <w:t>2 000 000 000</w:t>
            </w:r>
          </w:p>
        </w:tc>
        <w:tc>
          <w:tcPr>
            <w:tcW w:w="916" w:type="dxa"/>
            <w:shd w:val="clear" w:color="auto" w:fill="C6EFCE"/>
            <w:noWrap/>
            <w:vAlign w:val="center"/>
            <w:hideMark/>
          </w:tcPr>
          <w:p w14:paraId="68FD8017" w14:textId="77777777" w:rsidR="00154E32" w:rsidRDefault="00A43E04">
            <w:pPr>
              <w:pStyle w:val="P68B1DB1-Normal11"/>
              <w:spacing w:line="276" w:lineRule="auto"/>
              <w:jc w:val="center"/>
              <w:rPr>
                <w:noProof/>
              </w:rPr>
            </w:pPr>
            <w:r>
              <w:rPr>
                <w:noProof/>
              </w:rPr>
              <w:t>Q3</w:t>
            </w:r>
          </w:p>
        </w:tc>
        <w:tc>
          <w:tcPr>
            <w:tcW w:w="638" w:type="dxa"/>
            <w:shd w:val="clear" w:color="auto" w:fill="C6EFCE"/>
            <w:noWrap/>
            <w:vAlign w:val="center"/>
            <w:hideMark/>
          </w:tcPr>
          <w:p w14:paraId="6027DB1B" w14:textId="77777777" w:rsidR="00154E32" w:rsidRDefault="00A43E04">
            <w:pPr>
              <w:pStyle w:val="P68B1DB1-Normal11"/>
              <w:spacing w:line="276" w:lineRule="auto"/>
              <w:jc w:val="center"/>
              <w:rPr>
                <w:noProof/>
              </w:rPr>
            </w:pPr>
            <w:r>
              <w:rPr>
                <w:noProof/>
              </w:rPr>
              <w:t>2023</w:t>
            </w:r>
          </w:p>
        </w:tc>
        <w:tc>
          <w:tcPr>
            <w:tcW w:w="4116" w:type="dxa"/>
            <w:shd w:val="clear" w:color="auto" w:fill="C6EFCE"/>
            <w:noWrap/>
            <w:vAlign w:val="center"/>
            <w:hideMark/>
          </w:tcPr>
          <w:p w14:paraId="740D7219" w14:textId="5C7654C0" w:rsidR="00154E32" w:rsidRDefault="00A43E04">
            <w:pPr>
              <w:pStyle w:val="P68B1DB1-Normal11"/>
              <w:suppressAutoHyphens/>
              <w:spacing w:line="276" w:lineRule="auto"/>
              <w:rPr>
                <w:noProof/>
              </w:rPr>
            </w:pPr>
            <w:r>
              <w:rPr>
                <w:noProof/>
              </w:rPr>
              <w:t>Obvestilo o oddaji vseh javnih naročil v skupnem znesku 2 000 000 000 EUR za naložbe v primarno vodno infrastrukturo in zanesljivost oskrbe z vodo.</w:t>
            </w:r>
          </w:p>
          <w:p w14:paraId="42DF1A60" w14:textId="77777777" w:rsidR="00154E32" w:rsidRDefault="00A43E04">
            <w:pPr>
              <w:pStyle w:val="P68B1DB1-Normal11"/>
              <w:suppressAutoHyphens/>
              <w:spacing w:line="276" w:lineRule="auto"/>
              <w:rPr>
                <w:noProof/>
              </w:rPr>
            </w:pPr>
            <w:r>
              <w:rPr>
                <w:noProof/>
              </w:rPr>
              <w:t>Področje uporabe pogodb je naslednje:</w:t>
            </w:r>
          </w:p>
          <w:p w14:paraId="0403A0EE" w14:textId="77777777" w:rsidR="00154E32" w:rsidRDefault="00154E32">
            <w:pPr>
              <w:suppressAutoHyphens/>
              <w:spacing w:line="276" w:lineRule="auto"/>
              <w:rPr>
                <w:rFonts w:ascii="Arial Narrow" w:hAnsi="Arial Narrow"/>
                <w:noProof/>
                <w:color w:val="006100"/>
                <w:sz w:val="20"/>
              </w:rPr>
            </w:pPr>
          </w:p>
          <w:p w14:paraId="1A418BF3" w14:textId="77777777" w:rsidR="00154E32" w:rsidRDefault="00A43E04">
            <w:pPr>
              <w:pStyle w:val="P68B1DB1-ListParagraph13"/>
              <w:numPr>
                <w:ilvl w:val="0"/>
                <w:numId w:val="69"/>
              </w:numPr>
              <w:suppressAutoHyphens/>
              <w:spacing w:before="0" w:after="0" w:line="276" w:lineRule="auto"/>
              <w:ind w:left="305"/>
              <w:jc w:val="left"/>
              <w:rPr>
                <w:noProof/>
              </w:rPr>
            </w:pPr>
            <w:r>
              <w:rPr>
                <w:noProof/>
              </w:rPr>
              <w:t>Zanesljivost oskrbe z vodo na pomembnih mestnih območjih;</w:t>
            </w:r>
          </w:p>
          <w:p w14:paraId="5FA2B9AC" w14:textId="77777777" w:rsidR="00154E32" w:rsidRDefault="00A43E04">
            <w:pPr>
              <w:pStyle w:val="P68B1DB1-ListParagraph13"/>
              <w:numPr>
                <w:ilvl w:val="0"/>
                <w:numId w:val="69"/>
              </w:numPr>
              <w:suppressAutoHyphens/>
              <w:spacing w:before="0" w:after="0" w:line="276" w:lineRule="auto"/>
              <w:ind w:left="305"/>
              <w:jc w:val="left"/>
              <w:rPr>
                <w:noProof/>
              </w:rPr>
            </w:pPr>
            <w:r>
              <w:rPr>
                <w:noProof/>
              </w:rPr>
              <w:t>Strukturna prizadevanja za povečanje varnosti in odpornosti omrežja, vključno s prilagajanjem podnebnim spremembam (brez jezov);</w:t>
            </w:r>
          </w:p>
          <w:p w14:paraId="00B9F7DF" w14:textId="77777777" w:rsidR="00154E32" w:rsidRDefault="00A43E04">
            <w:pPr>
              <w:pStyle w:val="P68B1DB1-ListParagraph13"/>
              <w:numPr>
                <w:ilvl w:val="0"/>
                <w:numId w:val="69"/>
              </w:numPr>
              <w:spacing w:before="0" w:after="0" w:line="276" w:lineRule="auto"/>
              <w:ind w:left="305"/>
              <w:jc w:val="left"/>
              <w:rPr>
                <w:noProof/>
              </w:rPr>
            </w:pPr>
            <w:r>
              <w:rPr>
                <w:noProof/>
              </w:rPr>
              <w:t>Povečanje transportne zmogljivosti vode.</w:t>
            </w:r>
          </w:p>
          <w:p w14:paraId="7966C734" w14:textId="77777777" w:rsidR="00154E32" w:rsidRDefault="00A43E04">
            <w:pPr>
              <w:pStyle w:val="P68B1DB1-Normal11"/>
              <w:spacing w:line="276" w:lineRule="auto"/>
              <w:ind w:left="-55"/>
              <w:rPr>
                <w:noProof/>
              </w:rPr>
            </w:pPr>
            <w:r>
              <w:rPr>
                <w:noProof/>
              </w:rPr>
              <w:t>Merila za izbor zagotavljajo, da naložba v celoti prispeva k ciljem na področju podnebnih sprememb s 40-odstotnim podnebnim koeficientom v skladu s Prilogo VI k Uredbi (EU) 2021/241 o mehanizmu za okrevanje in odpornost.</w:t>
            </w:r>
          </w:p>
        </w:tc>
      </w:tr>
      <w:tr w:rsidR="00154E32" w14:paraId="4BFF3F85" w14:textId="77777777">
        <w:trPr>
          <w:trHeight w:val="313"/>
          <w:jc w:val="center"/>
        </w:trPr>
        <w:tc>
          <w:tcPr>
            <w:tcW w:w="113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04CB73D" w14:textId="77777777" w:rsidR="00154E32" w:rsidRDefault="00A43E04">
            <w:pPr>
              <w:pStyle w:val="P68B1DB1-Normal11"/>
              <w:spacing w:line="276" w:lineRule="auto"/>
              <w:jc w:val="center"/>
              <w:rPr>
                <w:noProof/>
              </w:rPr>
            </w:pPr>
            <w:r>
              <w:rPr>
                <w:noProof/>
              </w:rPr>
              <w:t>M2C4–28a</w:t>
            </w:r>
          </w:p>
        </w:tc>
        <w:tc>
          <w:tcPr>
            <w:tcW w:w="156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1E5DBB" w14:textId="77777777" w:rsidR="00154E32" w:rsidRDefault="00A43E04">
            <w:pPr>
              <w:pStyle w:val="P68B1DB1-Normal11"/>
              <w:spacing w:line="276" w:lineRule="auto"/>
              <w:jc w:val="center"/>
              <w:rPr>
                <w:noProof/>
              </w:rPr>
            </w:pPr>
            <w:r>
              <w:rPr>
                <w:noProof/>
              </w:rPr>
              <w:t>Naložba 4.1. Naložbe v primarno vodno infrastrukturo za zanesljivost oskrbe z vodo</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FE75BF" w14:textId="77777777" w:rsidR="00154E32" w:rsidRDefault="00A43E04">
            <w:pPr>
              <w:pStyle w:val="P68B1DB1-Normal11"/>
              <w:spacing w:line="276" w:lineRule="auto"/>
              <w:jc w:val="center"/>
              <w:rPr>
                <w:noProof/>
              </w:rPr>
            </w:pPr>
            <w:r>
              <w:rPr>
                <w:noProof/>
              </w:rPr>
              <w:t>Mejnik</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CB8ECB" w14:textId="4A00B1C7" w:rsidR="00154E32" w:rsidRDefault="00A43E04">
            <w:pPr>
              <w:pStyle w:val="P68B1DB1-Normal11"/>
              <w:spacing w:line="276" w:lineRule="auto"/>
              <w:jc w:val="center"/>
              <w:rPr>
                <w:noProof/>
              </w:rPr>
            </w:pPr>
            <w:r>
              <w:rPr>
                <w:noProof/>
              </w:rPr>
              <w:t>Oddaja (vseh) javnih naročil za naložbe v primarno vodno infrastrukturo in za zanesljivost oskrbe z vodo</w:t>
            </w:r>
          </w:p>
        </w:tc>
        <w:tc>
          <w:tcPr>
            <w:tcW w:w="138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31DD62" w14:textId="77777777" w:rsidR="00154E32" w:rsidRDefault="00A43E04">
            <w:pPr>
              <w:pStyle w:val="P68B1DB1-Normal11"/>
              <w:spacing w:line="276" w:lineRule="auto"/>
              <w:jc w:val="center"/>
              <w:rPr>
                <w:noProof/>
              </w:rPr>
            </w:pPr>
            <w:r>
              <w:rPr>
                <w:noProof/>
              </w:rPr>
              <w:t>Obvestilo o oddaji (vseh) javnih naročil za naložbe v primarno vodno infrastrukturo in zanesljivost oskrbe z vodo</w:t>
            </w:r>
          </w:p>
        </w:tc>
        <w:tc>
          <w:tcPr>
            <w:tcW w:w="109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906D80F" w14:textId="77777777" w:rsidR="00154E32" w:rsidRDefault="00A43E04">
            <w:pPr>
              <w:pStyle w:val="P68B1DB1-Normal11"/>
              <w:spacing w:line="276" w:lineRule="auto"/>
              <w:jc w:val="center"/>
              <w:rPr>
                <w:noProof/>
              </w:rPr>
            </w:pPr>
            <w:r>
              <w:rPr>
                <w:noProof/>
              </w:rPr>
              <w:t>Število</w:t>
            </w:r>
          </w:p>
        </w:tc>
        <w:tc>
          <w:tcPr>
            <w:tcW w:w="129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9BA106" w14:textId="73B2DF54" w:rsidR="00154E32" w:rsidRDefault="00A43E04">
            <w:pPr>
              <w:pStyle w:val="P68B1DB1-Normal11"/>
              <w:spacing w:line="276" w:lineRule="auto"/>
              <w:jc w:val="center"/>
              <w:rPr>
                <w:noProof/>
              </w:rPr>
            </w:pPr>
            <w:r>
              <w:rPr>
                <w:noProof/>
              </w:rPr>
              <w:t>2 000 000 000</w:t>
            </w:r>
          </w:p>
        </w:tc>
        <w:tc>
          <w:tcPr>
            <w:tcW w:w="119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7D3A65" w14:textId="1F13BBA8" w:rsidR="00154E32" w:rsidRDefault="00A43E04">
            <w:pPr>
              <w:pStyle w:val="P68B1DB1-Normal11"/>
              <w:spacing w:line="276" w:lineRule="auto"/>
              <w:jc w:val="center"/>
              <w:rPr>
                <w:noProof/>
              </w:rPr>
            </w:pPr>
            <w:r>
              <w:rPr>
                <w:noProof/>
              </w:rPr>
              <w:t>2 500 000 000</w:t>
            </w:r>
          </w:p>
        </w:tc>
        <w:tc>
          <w:tcPr>
            <w:tcW w:w="91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E361F03" w14:textId="77777777" w:rsidR="00154E32" w:rsidRDefault="00A43E04">
            <w:pPr>
              <w:pStyle w:val="P68B1DB1-Normal11"/>
              <w:spacing w:line="276" w:lineRule="auto"/>
              <w:jc w:val="center"/>
              <w:rPr>
                <w:noProof/>
              </w:rPr>
            </w:pPr>
            <w:r>
              <w:rPr>
                <w:noProof/>
              </w:rPr>
              <w:t>Q4</w:t>
            </w:r>
          </w:p>
        </w:tc>
        <w:tc>
          <w:tcPr>
            <w:tcW w:w="63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50ACA1" w14:textId="77777777" w:rsidR="00154E32" w:rsidRDefault="00A43E04">
            <w:pPr>
              <w:pStyle w:val="P68B1DB1-Normal11"/>
              <w:spacing w:line="276" w:lineRule="auto"/>
              <w:jc w:val="center"/>
              <w:rPr>
                <w:noProof/>
              </w:rPr>
            </w:pPr>
            <w:r>
              <w:rPr>
                <w:noProof/>
              </w:rPr>
              <w:t>2024</w:t>
            </w:r>
          </w:p>
        </w:tc>
        <w:tc>
          <w:tcPr>
            <w:tcW w:w="411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AFB5DC1" w14:textId="715CD5E6" w:rsidR="00154E32" w:rsidRDefault="00A43E04">
            <w:pPr>
              <w:pStyle w:val="P68B1DB1-Normal11"/>
              <w:suppressAutoHyphens/>
              <w:spacing w:line="276" w:lineRule="auto"/>
              <w:rPr>
                <w:noProof/>
              </w:rPr>
            </w:pPr>
            <w:r>
              <w:rPr>
                <w:noProof/>
              </w:rPr>
              <w:t>Obvestilo o oddaji javnih naročil v skupnem znesku 500 000 000 EUR za naložbe v primarno vodno infrastrukturo in zanesljivost oskrbe z vodo.</w:t>
            </w:r>
          </w:p>
          <w:p w14:paraId="6848709B" w14:textId="77777777" w:rsidR="00154E32" w:rsidRDefault="00A43E04">
            <w:pPr>
              <w:pStyle w:val="P68B1DB1-Normal11"/>
              <w:suppressAutoHyphens/>
              <w:spacing w:line="276" w:lineRule="auto"/>
              <w:rPr>
                <w:noProof/>
              </w:rPr>
            </w:pPr>
            <w:r>
              <w:rPr>
                <w:noProof/>
              </w:rPr>
              <w:t>Področje uporabe pogodb je naslednje:</w:t>
            </w:r>
          </w:p>
          <w:p w14:paraId="3E14CCB1" w14:textId="77777777" w:rsidR="00154E32" w:rsidRDefault="00154E32">
            <w:pPr>
              <w:suppressAutoHyphens/>
              <w:spacing w:line="276" w:lineRule="auto"/>
              <w:rPr>
                <w:rFonts w:ascii="Arial Narrow" w:hAnsi="Arial Narrow"/>
                <w:noProof/>
                <w:color w:val="006100"/>
                <w:sz w:val="20"/>
              </w:rPr>
            </w:pPr>
          </w:p>
          <w:p w14:paraId="3EFD68BC" w14:textId="77777777" w:rsidR="00154E32" w:rsidRDefault="00A43E04">
            <w:pPr>
              <w:pStyle w:val="P68B1DB1-ListParagraph13"/>
              <w:numPr>
                <w:ilvl w:val="0"/>
                <w:numId w:val="69"/>
              </w:numPr>
              <w:suppressAutoHyphens/>
              <w:spacing w:before="0" w:after="0" w:line="276" w:lineRule="auto"/>
              <w:ind w:left="305"/>
              <w:jc w:val="left"/>
              <w:rPr>
                <w:noProof/>
              </w:rPr>
            </w:pPr>
            <w:r>
              <w:rPr>
                <w:noProof/>
              </w:rPr>
              <w:t>Zanesljivost oskrbe z vodo na pomembnih mestnih območjih;</w:t>
            </w:r>
          </w:p>
          <w:p w14:paraId="1AA7C43F" w14:textId="77777777" w:rsidR="00154E32" w:rsidRDefault="00A43E04">
            <w:pPr>
              <w:pStyle w:val="P68B1DB1-ListParagraph13"/>
              <w:numPr>
                <w:ilvl w:val="0"/>
                <w:numId w:val="69"/>
              </w:numPr>
              <w:suppressAutoHyphens/>
              <w:spacing w:before="0" w:after="0" w:line="276" w:lineRule="auto"/>
              <w:ind w:left="305"/>
              <w:jc w:val="left"/>
              <w:rPr>
                <w:noProof/>
              </w:rPr>
            </w:pPr>
            <w:r>
              <w:rPr>
                <w:noProof/>
              </w:rPr>
              <w:t>Strukturna prizadevanja za povečanje varnosti in odpornosti omrežja, vključno s prilagajanjem podnebnim spremembam (brez jezov);</w:t>
            </w:r>
          </w:p>
          <w:p w14:paraId="31207775" w14:textId="77777777" w:rsidR="00154E32" w:rsidRDefault="00A43E04">
            <w:pPr>
              <w:pStyle w:val="P68B1DB1-ListParagraph13"/>
              <w:numPr>
                <w:ilvl w:val="0"/>
                <w:numId w:val="69"/>
              </w:numPr>
              <w:spacing w:before="0" w:after="0" w:line="276" w:lineRule="auto"/>
              <w:ind w:left="305"/>
              <w:jc w:val="left"/>
              <w:rPr>
                <w:noProof/>
              </w:rPr>
            </w:pPr>
            <w:r>
              <w:rPr>
                <w:noProof/>
              </w:rPr>
              <w:t>Povečanje transportne zmogljivosti vode.</w:t>
            </w:r>
          </w:p>
          <w:p w14:paraId="4593A3C9" w14:textId="77777777" w:rsidR="00154E32" w:rsidRDefault="00A43E04">
            <w:pPr>
              <w:pStyle w:val="P68B1DB1-Normal11"/>
              <w:suppressAutoHyphens/>
              <w:spacing w:line="276" w:lineRule="auto"/>
              <w:rPr>
                <w:noProof/>
              </w:rPr>
            </w:pPr>
            <w:r>
              <w:rPr>
                <w:noProof/>
              </w:rPr>
              <w:t>Merila za izbor zagotavljajo, da naložba v celoti prispeva k ciljem na področju podnebnih sprememb s 40-odstotnim podnebnim koeficientom v skladu s Prilogo VI k Uredbi (EU) 2021/241 o mehanizmu za okrevanje in odpornost.</w:t>
            </w:r>
          </w:p>
        </w:tc>
      </w:tr>
      <w:tr w:rsidR="00154E32" w14:paraId="1ADEEB75" w14:textId="77777777">
        <w:trPr>
          <w:trHeight w:val="313"/>
          <w:jc w:val="center"/>
        </w:trPr>
        <w:tc>
          <w:tcPr>
            <w:tcW w:w="1130" w:type="dxa"/>
            <w:shd w:val="clear" w:color="auto" w:fill="C6EFCE"/>
            <w:noWrap/>
            <w:vAlign w:val="center"/>
            <w:hideMark/>
          </w:tcPr>
          <w:p w14:paraId="1A34A191" w14:textId="77777777" w:rsidR="00154E32" w:rsidRDefault="00A43E04">
            <w:pPr>
              <w:pStyle w:val="P68B1DB1-Normal11"/>
              <w:spacing w:line="276" w:lineRule="auto"/>
              <w:jc w:val="center"/>
              <w:rPr>
                <w:noProof/>
              </w:rPr>
            </w:pPr>
            <w:r>
              <w:rPr>
                <w:noProof/>
              </w:rPr>
              <w:t>M2C4–29</w:t>
            </w:r>
          </w:p>
        </w:tc>
        <w:tc>
          <w:tcPr>
            <w:tcW w:w="1560" w:type="dxa"/>
            <w:shd w:val="clear" w:color="auto" w:fill="C6EFCE"/>
            <w:noWrap/>
            <w:vAlign w:val="center"/>
            <w:hideMark/>
          </w:tcPr>
          <w:p w14:paraId="7026FFC1" w14:textId="77777777" w:rsidR="00154E32" w:rsidRDefault="00A43E04">
            <w:pPr>
              <w:pStyle w:val="P68B1DB1-Normal11"/>
              <w:spacing w:line="276" w:lineRule="auto"/>
              <w:jc w:val="center"/>
              <w:rPr>
                <w:noProof/>
              </w:rPr>
            </w:pPr>
            <w:r>
              <w:rPr>
                <w:noProof/>
              </w:rPr>
              <w:t>Naložba 4.1. Naložbe v primarno vodno infrastrukturo za zanesljivost oskrbe z vodo</w:t>
            </w:r>
          </w:p>
        </w:tc>
        <w:tc>
          <w:tcPr>
            <w:tcW w:w="1134" w:type="dxa"/>
            <w:shd w:val="clear" w:color="auto" w:fill="C6EFCE"/>
            <w:noWrap/>
            <w:vAlign w:val="center"/>
            <w:hideMark/>
          </w:tcPr>
          <w:p w14:paraId="232E8547" w14:textId="77777777" w:rsidR="00154E32" w:rsidRDefault="00A43E04">
            <w:pPr>
              <w:pStyle w:val="P68B1DB1-Normal11"/>
              <w:spacing w:line="276" w:lineRule="auto"/>
              <w:jc w:val="center"/>
              <w:rPr>
                <w:noProof/>
              </w:rPr>
            </w:pPr>
            <w:r>
              <w:rPr>
                <w:noProof/>
              </w:rPr>
              <w:t>Tarča</w:t>
            </w:r>
          </w:p>
        </w:tc>
        <w:tc>
          <w:tcPr>
            <w:tcW w:w="1559" w:type="dxa"/>
            <w:shd w:val="clear" w:color="auto" w:fill="C6EFCE"/>
            <w:noWrap/>
            <w:vAlign w:val="center"/>
            <w:hideMark/>
          </w:tcPr>
          <w:p w14:paraId="1EC852FF" w14:textId="7C7BF812" w:rsidR="00154E32" w:rsidRDefault="00A43E04">
            <w:pPr>
              <w:pStyle w:val="P68B1DB1-Normal11"/>
              <w:spacing w:line="276" w:lineRule="auto"/>
              <w:jc w:val="center"/>
              <w:rPr>
                <w:noProof/>
              </w:rPr>
            </w:pPr>
            <w:r>
              <w:rPr>
                <w:noProof/>
              </w:rPr>
              <w:t>Naložbe v primarno vodno infrastrukturo za zanesljivost oskrbe z vodo</w:t>
            </w:r>
          </w:p>
        </w:tc>
        <w:tc>
          <w:tcPr>
            <w:tcW w:w="1383" w:type="dxa"/>
            <w:shd w:val="clear" w:color="auto" w:fill="C6EFCE"/>
            <w:noWrap/>
            <w:vAlign w:val="center"/>
            <w:hideMark/>
          </w:tcPr>
          <w:p w14:paraId="0624BEE8" w14:textId="77777777" w:rsidR="00154E32" w:rsidRDefault="00A43E04">
            <w:pPr>
              <w:pStyle w:val="P68B1DB1-Normal11"/>
              <w:spacing w:line="276" w:lineRule="auto"/>
              <w:jc w:val="center"/>
              <w:rPr>
                <w:noProof/>
              </w:rPr>
            </w:pPr>
            <w:r>
              <w:rPr>
                <w:noProof/>
              </w:rPr>
              <w:t>JIH NI</w:t>
            </w:r>
          </w:p>
        </w:tc>
        <w:tc>
          <w:tcPr>
            <w:tcW w:w="1094" w:type="dxa"/>
            <w:shd w:val="clear" w:color="auto" w:fill="C6EFCE"/>
            <w:noWrap/>
            <w:vAlign w:val="center"/>
            <w:hideMark/>
          </w:tcPr>
          <w:p w14:paraId="4ABC7B95" w14:textId="77777777" w:rsidR="00154E32" w:rsidRDefault="00A43E04">
            <w:pPr>
              <w:pStyle w:val="P68B1DB1-Normal11"/>
              <w:spacing w:line="276" w:lineRule="auto"/>
              <w:jc w:val="center"/>
              <w:rPr>
                <w:noProof/>
              </w:rPr>
            </w:pPr>
            <w:r>
              <w:rPr>
                <w:noProof/>
              </w:rPr>
              <w:t>Število</w:t>
            </w:r>
          </w:p>
        </w:tc>
        <w:tc>
          <w:tcPr>
            <w:tcW w:w="1290" w:type="dxa"/>
            <w:shd w:val="clear" w:color="auto" w:fill="C6EFCE"/>
            <w:noWrap/>
            <w:vAlign w:val="center"/>
            <w:hideMark/>
          </w:tcPr>
          <w:p w14:paraId="3BDDF0E6" w14:textId="77777777" w:rsidR="00154E32" w:rsidRDefault="00A43E04">
            <w:pPr>
              <w:pStyle w:val="P68B1DB1-Normal11"/>
              <w:spacing w:line="276" w:lineRule="auto"/>
              <w:jc w:val="center"/>
              <w:rPr>
                <w:noProof/>
              </w:rPr>
            </w:pPr>
            <w:r>
              <w:rPr>
                <w:noProof/>
              </w:rPr>
              <w:t>0</w:t>
            </w:r>
          </w:p>
        </w:tc>
        <w:tc>
          <w:tcPr>
            <w:tcW w:w="1194" w:type="dxa"/>
            <w:shd w:val="clear" w:color="auto" w:fill="C6EFCE"/>
            <w:noWrap/>
            <w:vAlign w:val="center"/>
            <w:hideMark/>
          </w:tcPr>
          <w:p w14:paraId="4C6F855D" w14:textId="77777777" w:rsidR="00154E32" w:rsidRDefault="00A43E04">
            <w:pPr>
              <w:pStyle w:val="P68B1DB1-Normal11"/>
              <w:spacing w:line="276" w:lineRule="auto"/>
              <w:jc w:val="center"/>
              <w:rPr>
                <w:noProof/>
              </w:rPr>
            </w:pPr>
            <w:r>
              <w:rPr>
                <w:noProof/>
              </w:rPr>
              <w:t>25</w:t>
            </w:r>
          </w:p>
        </w:tc>
        <w:tc>
          <w:tcPr>
            <w:tcW w:w="916" w:type="dxa"/>
            <w:shd w:val="clear" w:color="auto" w:fill="C6EFCE"/>
            <w:noWrap/>
            <w:vAlign w:val="center"/>
            <w:hideMark/>
          </w:tcPr>
          <w:p w14:paraId="6D5C2A82" w14:textId="77777777" w:rsidR="00154E32" w:rsidRDefault="00A43E04">
            <w:pPr>
              <w:pStyle w:val="P68B1DB1-Normal11"/>
              <w:spacing w:line="276" w:lineRule="auto"/>
              <w:jc w:val="center"/>
              <w:rPr>
                <w:noProof/>
              </w:rPr>
            </w:pPr>
            <w:r>
              <w:rPr>
                <w:noProof/>
              </w:rPr>
              <w:t>ČETRTLETJE 1</w:t>
            </w:r>
          </w:p>
        </w:tc>
        <w:tc>
          <w:tcPr>
            <w:tcW w:w="638" w:type="dxa"/>
            <w:shd w:val="clear" w:color="auto" w:fill="C6EFCE"/>
            <w:noWrap/>
            <w:vAlign w:val="center"/>
            <w:hideMark/>
          </w:tcPr>
          <w:p w14:paraId="03D7A262" w14:textId="77777777" w:rsidR="00154E32" w:rsidRDefault="00A43E04">
            <w:pPr>
              <w:pStyle w:val="P68B1DB1-Normal11"/>
              <w:spacing w:line="276" w:lineRule="auto"/>
              <w:jc w:val="center"/>
              <w:rPr>
                <w:noProof/>
              </w:rPr>
            </w:pPr>
            <w:r>
              <w:rPr>
                <w:noProof/>
              </w:rPr>
              <w:t>2026</w:t>
            </w:r>
          </w:p>
        </w:tc>
        <w:tc>
          <w:tcPr>
            <w:tcW w:w="4116" w:type="dxa"/>
            <w:shd w:val="clear" w:color="auto" w:fill="C6EFCE"/>
            <w:noWrap/>
            <w:vAlign w:val="center"/>
            <w:hideMark/>
          </w:tcPr>
          <w:p w14:paraId="027D4579" w14:textId="77777777" w:rsidR="00154E32" w:rsidRDefault="00A43E04">
            <w:pPr>
              <w:pStyle w:val="P68B1DB1-Normal11"/>
              <w:spacing w:line="276" w:lineRule="auto"/>
              <w:rPr>
                <w:noProof/>
              </w:rPr>
            </w:pPr>
            <w:r>
              <w:rPr>
                <w:noProof/>
              </w:rPr>
              <w:t>Povečanje zanesljivosti oskrbe z vodo in odpornosti vodne infrastrukture v vsaj 25 kompleksnih vodnih sistemih</w:t>
            </w:r>
          </w:p>
        </w:tc>
      </w:tr>
      <w:tr w:rsidR="00154E32" w14:paraId="39705B99" w14:textId="77777777">
        <w:trPr>
          <w:trHeight w:val="313"/>
          <w:jc w:val="center"/>
        </w:trPr>
        <w:tc>
          <w:tcPr>
            <w:tcW w:w="1130" w:type="dxa"/>
            <w:shd w:val="clear" w:color="auto" w:fill="C6EFCE"/>
            <w:noWrap/>
            <w:vAlign w:val="center"/>
            <w:hideMark/>
          </w:tcPr>
          <w:p w14:paraId="74FB9955" w14:textId="77777777" w:rsidR="00154E32" w:rsidRDefault="00A43E04">
            <w:pPr>
              <w:pStyle w:val="P68B1DB1-Normal11"/>
              <w:spacing w:line="276" w:lineRule="auto"/>
              <w:jc w:val="center"/>
              <w:rPr>
                <w:noProof/>
              </w:rPr>
            </w:pPr>
            <w:r>
              <w:rPr>
                <w:noProof/>
              </w:rPr>
              <w:t>M2C4–30</w:t>
            </w:r>
          </w:p>
        </w:tc>
        <w:tc>
          <w:tcPr>
            <w:tcW w:w="1560" w:type="dxa"/>
            <w:shd w:val="clear" w:color="auto" w:fill="C6EFCE"/>
            <w:noWrap/>
            <w:vAlign w:val="center"/>
            <w:hideMark/>
          </w:tcPr>
          <w:p w14:paraId="73363AB3" w14:textId="77777777" w:rsidR="00154E32" w:rsidRDefault="00A43E04">
            <w:pPr>
              <w:pStyle w:val="P68B1DB1-Normal11"/>
              <w:spacing w:line="276" w:lineRule="auto"/>
              <w:jc w:val="center"/>
              <w:rPr>
                <w:noProof/>
              </w:rPr>
            </w:pPr>
            <w:r>
              <w:rPr>
                <w:noProof/>
              </w:rPr>
              <w:t>Naložba 4.2. Zmanjšanje izgub v vodovodnih omrežjih, vključno z digitalizacijo in spremljanjem omrežij</w:t>
            </w:r>
          </w:p>
        </w:tc>
        <w:tc>
          <w:tcPr>
            <w:tcW w:w="1134" w:type="dxa"/>
            <w:shd w:val="clear" w:color="auto" w:fill="C6EFCE"/>
            <w:noWrap/>
            <w:vAlign w:val="center"/>
            <w:hideMark/>
          </w:tcPr>
          <w:p w14:paraId="0276E9BB" w14:textId="77777777" w:rsidR="00154E32" w:rsidRDefault="00A43E04">
            <w:pPr>
              <w:pStyle w:val="P68B1DB1-Normal11"/>
              <w:spacing w:line="276" w:lineRule="auto"/>
              <w:jc w:val="center"/>
              <w:rPr>
                <w:noProof/>
              </w:rPr>
            </w:pPr>
            <w:r>
              <w:rPr>
                <w:noProof/>
              </w:rPr>
              <w:t>Mejnik</w:t>
            </w:r>
          </w:p>
        </w:tc>
        <w:tc>
          <w:tcPr>
            <w:tcW w:w="1559" w:type="dxa"/>
            <w:shd w:val="clear" w:color="auto" w:fill="C6EFCE"/>
            <w:noWrap/>
            <w:vAlign w:val="center"/>
            <w:hideMark/>
          </w:tcPr>
          <w:p w14:paraId="26F1526C" w14:textId="77777777" w:rsidR="00154E32" w:rsidRDefault="00A43E04">
            <w:pPr>
              <w:pStyle w:val="P68B1DB1-Normal11"/>
              <w:spacing w:line="276" w:lineRule="auto"/>
              <w:jc w:val="center"/>
              <w:rPr>
                <w:noProof/>
              </w:rPr>
            </w:pPr>
            <w:r>
              <w:rPr>
                <w:noProof/>
              </w:rPr>
              <w:t>Oddaja vseh javnih naročil za intervencije v vodovodnih omrežjih, vključno z digitalizacijo in spremljanjem omrežij</w:t>
            </w:r>
          </w:p>
        </w:tc>
        <w:tc>
          <w:tcPr>
            <w:tcW w:w="1383" w:type="dxa"/>
            <w:shd w:val="clear" w:color="auto" w:fill="C6EFCE"/>
            <w:noWrap/>
            <w:vAlign w:val="center"/>
            <w:hideMark/>
          </w:tcPr>
          <w:p w14:paraId="12F3C884" w14:textId="77777777" w:rsidR="00154E32" w:rsidRDefault="00A43E04">
            <w:pPr>
              <w:pStyle w:val="P68B1DB1-Normal11"/>
              <w:spacing w:line="276" w:lineRule="auto"/>
              <w:jc w:val="center"/>
              <w:rPr>
                <w:noProof/>
              </w:rPr>
            </w:pPr>
            <w:r>
              <w:rPr>
                <w:noProof/>
              </w:rPr>
              <w:t>Obvestilo o oddaji vseh javnih naročil za intervencije v vodovodnih omrežjih, vključno z digitalizacijo in spremljanjem omrežij</w:t>
            </w:r>
          </w:p>
        </w:tc>
        <w:tc>
          <w:tcPr>
            <w:tcW w:w="1094" w:type="dxa"/>
            <w:shd w:val="clear" w:color="auto" w:fill="C6EFCE"/>
            <w:noWrap/>
            <w:vAlign w:val="center"/>
            <w:hideMark/>
          </w:tcPr>
          <w:p w14:paraId="2D601AD0" w14:textId="77777777" w:rsidR="00154E32" w:rsidRDefault="00A43E04">
            <w:pPr>
              <w:pStyle w:val="P68B1DB1-Normal11"/>
              <w:spacing w:line="276" w:lineRule="auto"/>
              <w:jc w:val="center"/>
              <w:rPr>
                <w:noProof/>
              </w:rPr>
            </w:pPr>
            <w:r>
              <w:rPr>
                <w:noProof/>
              </w:rPr>
              <w:t>JIH NI</w:t>
            </w:r>
          </w:p>
        </w:tc>
        <w:tc>
          <w:tcPr>
            <w:tcW w:w="1290" w:type="dxa"/>
            <w:shd w:val="clear" w:color="auto" w:fill="C6EFCE"/>
            <w:noWrap/>
            <w:vAlign w:val="center"/>
            <w:hideMark/>
          </w:tcPr>
          <w:p w14:paraId="5AF17381" w14:textId="77777777" w:rsidR="00154E32" w:rsidRDefault="00A43E04">
            <w:pPr>
              <w:pStyle w:val="P68B1DB1-Normal11"/>
              <w:spacing w:line="276" w:lineRule="auto"/>
              <w:jc w:val="center"/>
              <w:rPr>
                <w:noProof/>
              </w:rPr>
            </w:pPr>
            <w:r>
              <w:rPr>
                <w:noProof/>
              </w:rPr>
              <w:t>JIH NI</w:t>
            </w:r>
          </w:p>
        </w:tc>
        <w:tc>
          <w:tcPr>
            <w:tcW w:w="1194" w:type="dxa"/>
            <w:shd w:val="clear" w:color="auto" w:fill="C6EFCE"/>
            <w:noWrap/>
            <w:vAlign w:val="center"/>
            <w:hideMark/>
          </w:tcPr>
          <w:p w14:paraId="7BE902D0" w14:textId="77777777" w:rsidR="00154E32" w:rsidRDefault="00A43E04">
            <w:pPr>
              <w:pStyle w:val="P68B1DB1-Normal11"/>
              <w:spacing w:line="276" w:lineRule="auto"/>
              <w:jc w:val="center"/>
              <w:rPr>
                <w:noProof/>
              </w:rPr>
            </w:pPr>
            <w:r>
              <w:rPr>
                <w:noProof/>
              </w:rPr>
              <w:t>JIH NI</w:t>
            </w:r>
          </w:p>
        </w:tc>
        <w:tc>
          <w:tcPr>
            <w:tcW w:w="916" w:type="dxa"/>
            <w:shd w:val="clear" w:color="auto" w:fill="C6EFCE"/>
            <w:noWrap/>
            <w:vAlign w:val="center"/>
            <w:hideMark/>
          </w:tcPr>
          <w:p w14:paraId="351DD56E" w14:textId="77777777" w:rsidR="00154E32" w:rsidRDefault="00A43E04">
            <w:pPr>
              <w:pStyle w:val="P68B1DB1-Normal11"/>
              <w:spacing w:line="276" w:lineRule="auto"/>
              <w:jc w:val="center"/>
              <w:rPr>
                <w:noProof/>
              </w:rPr>
            </w:pPr>
            <w:r>
              <w:rPr>
                <w:noProof/>
              </w:rPr>
              <w:t>Q3</w:t>
            </w:r>
          </w:p>
        </w:tc>
        <w:tc>
          <w:tcPr>
            <w:tcW w:w="638" w:type="dxa"/>
            <w:shd w:val="clear" w:color="auto" w:fill="C6EFCE"/>
            <w:noWrap/>
            <w:vAlign w:val="center"/>
            <w:hideMark/>
          </w:tcPr>
          <w:p w14:paraId="5491BE24" w14:textId="77777777" w:rsidR="00154E32" w:rsidRDefault="00A43E04">
            <w:pPr>
              <w:pStyle w:val="P68B1DB1-Normal11"/>
              <w:spacing w:line="276" w:lineRule="auto"/>
              <w:jc w:val="center"/>
              <w:rPr>
                <w:noProof/>
              </w:rPr>
            </w:pPr>
            <w:r>
              <w:rPr>
                <w:noProof/>
              </w:rPr>
              <w:t>2023</w:t>
            </w:r>
          </w:p>
        </w:tc>
        <w:tc>
          <w:tcPr>
            <w:tcW w:w="4116" w:type="dxa"/>
            <w:shd w:val="clear" w:color="auto" w:fill="C6EFCE"/>
            <w:noWrap/>
            <w:vAlign w:val="center"/>
            <w:hideMark/>
          </w:tcPr>
          <w:p w14:paraId="76385B78" w14:textId="7B4D12F7" w:rsidR="00154E32" w:rsidRDefault="00A43E04">
            <w:pPr>
              <w:pStyle w:val="P68B1DB1-Normal11"/>
              <w:spacing w:line="276" w:lineRule="auto"/>
              <w:rPr>
                <w:noProof/>
              </w:rPr>
            </w:pPr>
            <w:r>
              <w:rPr>
                <w:noProof/>
              </w:rPr>
              <w:t>Obvestilo o oddaji vseh naročil v skupnem znesku 900 000 000 EUR za intervencije za posodobitev in učinkovitost vodovodnih omrežij.</w:t>
            </w:r>
          </w:p>
          <w:p w14:paraId="6B19F61D" w14:textId="77777777" w:rsidR="00154E32" w:rsidRDefault="00154E32">
            <w:pPr>
              <w:spacing w:line="276" w:lineRule="auto"/>
              <w:rPr>
                <w:rFonts w:ascii="Arial Narrow" w:hAnsi="Arial Narrow"/>
                <w:noProof/>
                <w:color w:val="006100"/>
                <w:sz w:val="20"/>
              </w:rPr>
            </w:pPr>
          </w:p>
          <w:p w14:paraId="4D8C592B" w14:textId="24391B19" w:rsidR="00154E32" w:rsidRDefault="00A43E04">
            <w:pPr>
              <w:pStyle w:val="P68B1DB1-Normal11"/>
              <w:spacing w:line="276" w:lineRule="auto"/>
              <w:rPr>
                <w:noProof/>
              </w:rPr>
            </w:pPr>
            <w:r>
              <w:rPr>
                <w:noProof/>
              </w:rPr>
              <w:t>Področje uporabe pogodb je naslednje:</w:t>
            </w:r>
          </w:p>
          <w:p w14:paraId="3699BB7F" w14:textId="5E02CB1A" w:rsidR="00154E32" w:rsidRDefault="00A43E04">
            <w:pPr>
              <w:pStyle w:val="P68B1DB1-ListParagraph13"/>
              <w:numPr>
                <w:ilvl w:val="0"/>
                <w:numId w:val="69"/>
              </w:numPr>
              <w:spacing w:before="0" w:after="0" w:line="276" w:lineRule="auto"/>
              <w:ind w:left="305"/>
              <w:jc w:val="left"/>
              <w:textAlignment w:val="baseline"/>
              <w:rPr>
                <w:noProof/>
              </w:rPr>
            </w:pPr>
            <w:r>
              <w:rPr>
                <w:noProof/>
              </w:rPr>
              <w:t>Posegi za zmanjšanje izgub v omrežjih za pitno vodo;</w:t>
            </w:r>
          </w:p>
          <w:p w14:paraId="12C7C5D1" w14:textId="340C69C1" w:rsidR="00154E32" w:rsidRDefault="00A43E04">
            <w:pPr>
              <w:pStyle w:val="P68B1DB1-ListParagraph13"/>
              <w:numPr>
                <w:ilvl w:val="0"/>
                <w:numId w:val="69"/>
              </w:numPr>
              <w:spacing w:before="0" w:after="0" w:line="276" w:lineRule="auto"/>
              <w:ind w:left="305"/>
              <w:jc w:val="left"/>
              <w:textAlignment w:val="baseline"/>
              <w:rPr>
                <w:noProof/>
              </w:rPr>
            </w:pPr>
            <w:r>
              <w:rPr>
                <w:noProof/>
              </w:rPr>
              <w:t>Povečanje odpornosti vodnih sistemov na podnebne spremembe;</w:t>
            </w:r>
          </w:p>
          <w:p w14:paraId="14FC986D" w14:textId="77777777" w:rsidR="00154E32" w:rsidRDefault="00A43E04">
            <w:pPr>
              <w:pStyle w:val="P68B1DB1-ListParagraph13"/>
              <w:numPr>
                <w:ilvl w:val="0"/>
                <w:numId w:val="69"/>
              </w:numPr>
              <w:spacing w:before="0" w:after="0" w:line="276" w:lineRule="auto"/>
              <w:ind w:left="305"/>
              <w:jc w:val="left"/>
              <w:textAlignment w:val="baseline"/>
              <w:rPr>
                <w:noProof/>
              </w:rPr>
            </w:pPr>
            <w:r>
              <w:rPr>
                <w:noProof/>
              </w:rPr>
              <w:t>Okrepitev digitalizacije omrežij za optimalno upravljanje vodnih virov, zmanjšanje odpadkov in omejitev neučinkovitosti</w:t>
            </w:r>
          </w:p>
        </w:tc>
      </w:tr>
      <w:tr w:rsidR="00154E32" w14:paraId="6535A03C" w14:textId="77777777">
        <w:trPr>
          <w:trHeight w:val="313"/>
          <w:jc w:val="center"/>
        </w:trPr>
        <w:tc>
          <w:tcPr>
            <w:tcW w:w="1130" w:type="dxa"/>
            <w:shd w:val="clear" w:color="auto" w:fill="C6EFCE"/>
            <w:noWrap/>
            <w:vAlign w:val="center"/>
            <w:hideMark/>
          </w:tcPr>
          <w:p w14:paraId="2676D9CB" w14:textId="77777777" w:rsidR="00154E32" w:rsidRDefault="00A43E04">
            <w:pPr>
              <w:pStyle w:val="P68B1DB1-Normal11"/>
              <w:spacing w:line="276" w:lineRule="auto"/>
              <w:jc w:val="center"/>
              <w:rPr>
                <w:noProof/>
              </w:rPr>
            </w:pPr>
            <w:r>
              <w:rPr>
                <w:noProof/>
              </w:rPr>
              <w:t>M2C4–31</w:t>
            </w:r>
          </w:p>
        </w:tc>
        <w:tc>
          <w:tcPr>
            <w:tcW w:w="1560" w:type="dxa"/>
            <w:shd w:val="clear" w:color="auto" w:fill="C6EFCE"/>
            <w:noWrap/>
            <w:vAlign w:val="center"/>
            <w:hideMark/>
          </w:tcPr>
          <w:p w14:paraId="388E1916" w14:textId="77777777" w:rsidR="00154E32" w:rsidRDefault="00A43E04">
            <w:pPr>
              <w:pStyle w:val="P68B1DB1-Normal11"/>
              <w:spacing w:line="276" w:lineRule="auto"/>
              <w:jc w:val="center"/>
              <w:rPr>
                <w:noProof/>
              </w:rPr>
            </w:pPr>
            <w:r>
              <w:rPr>
                <w:noProof/>
              </w:rPr>
              <w:t>Naložba 4.2. Zmanjšanje izgub v vodovodnih omrežjih, vključno z digitalizacijo in spremljanjem omrežij</w:t>
            </w:r>
          </w:p>
        </w:tc>
        <w:tc>
          <w:tcPr>
            <w:tcW w:w="1134" w:type="dxa"/>
            <w:shd w:val="clear" w:color="auto" w:fill="C6EFCE"/>
            <w:noWrap/>
            <w:vAlign w:val="center"/>
            <w:hideMark/>
          </w:tcPr>
          <w:p w14:paraId="3E6540C0" w14:textId="77777777" w:rsidR="00154E32" w:rsidRDefault="00A43E04">
            <w:pPr>
              <w:pStyle w:val="P68B1DB1-Normal11"/>
              <w:spacing w:line="276" w:lineRule="auto"/>
              <w:jc w:val="center"/>
              <w:rPr>
                <w:noProof/>
              </w:rPr>
            </w:pPr>
            <w:r>
              <w:rPr>
                <w:noProof/>
              </w:rPr>
              <w:t>Tarča</w:t>
            </w:r>
          </w:p>
        </w:tc>
        <w:tc>
          <w:tcPr>
            <w:tcW w:w="1559" w:type="dxa"/>
            <w:shd w:val="clear" w:color="auto" w:fill="C6EFCE"/>
            <w:noWrap/>
            <w:vAlign w:val="center"/>
            <w:hideMark/>
          </w:tcPr>
          <w:p w14:paraId="4D71E4D5" w14:textId="77777777" w:rsidR="00154E32" w:rsidRDefault="00A43E04">
            <w:pPr>
              <w:pStyle w:val="P68B1DB1-Normal11"/>
              <w:spacing w:line="276" w:lineRule="auto"/>
              <w:jc w:val="center"/>
              <w:rPr>
                <w:noProof/>
              </w:rPr>
            </w:pPr>
            <w:r>
              <w:rPr>
                <w:noProof/>
              </w:rPr>
              <w:t>Posegi v vodovodnih omrežjih, vključno z digitalizacijo in spremljanjem omrežij T1</w:t>
            </w:r>
          </w:p>
        </w:tc>
        <w:tc>
          <w:tcPr>
            <w:tcW w:w="1383" w:type="dxa"/>
            <w:shd w:val="clear" w:color="auto" w:fill="C6EFCE"/>
            <w:noWrap/>
            <w:vAlign w:val="center"/>
            <w:hideMark/>
          </w:tcPr>
          <w:p w14:paraId="2564AC7A" w14:textId="77777777" w:rsidR="00154E32" w:rsidRDefault="00A43E04">
            <w:pPr>
              <w:pStyle w:val="P68B1DB1-Normal11"/>
              <w:spacing w:line="276" w:lineRule="auto"/>
              <w:jc w:val="center"/>
              <w:rPr>
                <w:noProof/>
              </w:rPr>
            </w:pPr>
            <w:r>
              <w:rPr>
                <w:noProof/>
              </w:rPr>
              <w:t>JIH NI</w:t>
            </w:r>
          </w:p>
        </w:tc>
        <w:tc>
          <w:tcPr>
            <w:tcW w:w="1094" w:type="dxa"/>
            <w:shd w:val="clear" w:color="auto" w:fill="C6EFCE"/>
            <w:noWrap/>
            <w:vAlign w:val="center"/>
            <w:hideMark/>
          </w:tcPr>
          <w:p w14:paraId="223989C8" w14:textId="77777777" w:rsidR="00154E32" w:rsidRDefault="00A43E04">
            <w:pPr>
              <w:pStyle w:val="P68B1DB1-Normal11"/>
              <w:spacing w:line="276" w:lineRule="auto"/>
              <w:jc w:val="center"/>
              <w:rPr>
                <w:noProof/>
              </w:rPr>
            </w:pPr>
            <w:r>
              <w:rPr>
                <w:noProof/>
              </w:rPr>
              <w:t>Število</w:t>
            </w:r>
          </w:p>
        </w:tc>
        <w:tc>
          <w:tcPr>
            <w:tcW w:w="1290" w:type="dxa"/>
            <w:shd w:val="clear" w:color="auto" w:fill="C6EFCE"/>
            <w:noWrap/>
            <w:vAlign w:val="center"/>
            <w:hideMark/>
          </w:tcPr>
          <w:p w14:paraId="14677FBF" w14:textId="77777777" w:rsidR="00154E32" w:rsidRDefault="00A43E04">
            <w:pPr>
              <w:pStyle w:val="P68B1DB1-Normal11"/>
              <w:spacing w:line="276" w:lineRule="auto"/>
              <w:jc w:val="center"/>
              <w:rPr>
                <w:noProof/>
              </w:rPr>
            </w:pPr>
            <w:r>
              <w:rPr>
                <w:noProof/>
              </w:rPr>
              <w:t>0</w:t>
            </w:r>
          </w:p>
        </w:tc>
        <w:tc>
          <w:tcPr>
            <w:tcW w:w="1194" w:type="dxa"/>
            <w:shd w:val="clear" w:color="auto" w:fill="C6EFCE"/>
            <w:noWrap/>
            <w:vAlign w:val="center"/>
            <w:hideMark/>
          </w:tcPr>
          <w:p w14:paraId="619C7DCE" w14:textId="0D0256EB" w:rsidR="00154E32" w:rsidRDefault="00A43E04">
            <w:pPr>
              <w:pStyle w:val="P68B1DB1-Normal11"/>
              <w:spacing w:line="276" w:lineRule="auto"/>
              <w:jc w:val="center"/>
              <w:rPr>
                <w:noProof/>
              </w:rPr>
            </w:pPr>
            <w:r>
              <w:rPr>
                <w:noProof/>
              </w:rPr>
              <w:t>14 000</w:t>
            </w:r>
          </w:p>
        </w:tc>
        <w:tc>
          <w:tcPr>
            <w:tcW w:w="916" w:type="dxa"/>
            <w:shd w:val="clear" w:color="auto" w:fill="C6EFCE"/>
            <w:noWrap/>
            <w:vAlign w:val="center"/>
            <w:hideMark/>
          </w:tcPr>
          <w:p w14:paraId="4B932340" w14:textId="77777777" w:rsidR="00154E32" w:rsidRDefault="00A43E04">
            <w:pPr>
              <w:pStyle w:val="P68B1DB1-Normal11"/>
              <w:spacing w:line="276" w:lineRule="auto"/>
              <w:jc w:val="center"/>
              <w:rPr>
                <w:noProof/>
              </w:rPr>
            </w:pPr>
            <w:r>
              <w:rPr>
                <w:noProof/>
              </w:rPr>
              <w:t>Q4</w:t>
            </w:r>
          </w:p>
        </w:tc>
        <w:tc>
          <w:tcPr>
            <w:tcW w:w="638" w:type="dxa"/>
            <w:shd w:val="clear" w:color="auto" w:fill="C6EFCE"/>
            <w:noWrap/>
            <w:vAlign w:val="center"/>
            <w:hideMark/>
          </w:tcPr>
          <w:p w14:paraId="66BC18CD" w14:textId="77777777" w:rsidR="00154E32" w:rsidRDefault="00A43E04">
            <w:pPr>
              <w:pStyle w:val="P68B1DB1-Normal11"/>
              <w:spacing w:line="276" w:lineRule="auto"/>
              <w:jc w:val="center"/>
              <w:rPr>
                <w:noProof/>
              </w:rPr>
            </w:pPr>
            <w:r>
              <w:rPr>
                <w:noProof/>
              </w:rPr>
              <w:t>2024</w:t>
            </w:r>
          </w:p>
        </w:tc>
        <w:tc>
          <w:tcPr>
            <w:tcW w:w="4116" w:type="dxa"/>
            <w:shd w:val="clear" w:color="auto" w:fill="C6EFCE"/>
            <w:noWrap/>
            <w:vAlign w:val="center"/>
            <w:hideMark/>
          </w:tcPr>
          <w:p w14:paraId="59106669" w14:textId="34626A76" w:rsidR="00154E32" w:rsidRDefault="00A43E04">
            <w:pPr>
              <w:pStyle w:val="P68B1DB1-Normal11"/>
              <w:spacing w:line="276" w:lineRule="auto"/>
              <w:rPr>
                <w:noProof/>
              </w:rPr>
            </w:pPr>
            <w:r>
              <w:rPr>
                <w:noProof/>
              </w:rPr>
              <w:t>Naselitev vsaj 14000 dodatnih kilometrov vodnega omrežja</w:t>
            </w:r>
          </w:p>
        </w:tc>
      </w:tr>
      <w:tr w:rsidR="00154E32" w14:paraId="5CDD7271" w14:textId="77777777">
        <w:trPr>
          <w:trHeight w:val="313"/>
          <w:jc w:val="center"/>
        </w:trPr>
        <w:tc>
          <w:tcPr>
            <w:tcW w:w="1130" w:type="dxa"/>
            <w:shd w:val="clear" w:color="auto" w:fill="C6EFCE"/>
            <w:noWrap/>
            <w:vAlign w:val="center"/>
            <w:hideMark/>
          </w:tcPr>
          <w:p w14:paraId="555112AF" w14:textId="77777777" w:rsidR="00154E32" w:rsidRDefault="00A43E04">
            <w:pPr>
              <w:pStyle w:val="P68B1DB1-Normal11"/>
              <w:spacing w:line="276" w:lineRule="auto"/>
              <w:jc w:val="center"/>
              <w:rPr>
                <w:noProof/>
              </w:rPr>
            </w:pPr>
            <w:r>
              <w:rPr>
                <w:noProof/>
              </w:rPr>
              <w:t>M2C4–32</w:t>
            </w:r>
          </w:p>
        </w:tc>
        <w:tc>
          <w:tcPr>
            <w:tcW w:w="1560" w:type="dxa"/>
            <w:shd w:val="clear" w:color="auto" w:fill="C6EFCE"/>
            <w:noWrap/>
            <w:vAlign w:val="center"/>
            <w:hideMark/>
          </w:tcPr>
          <w:p w14:paraId="2246AB34" w14:textId="77777777" w:rsidR="00154E32" w:rsidRDefault="00A43E04">
            <w:pPr>
              <w:pStyle w:val="P68B1DB1-Normal11"/>
              <w:spacing w:line="276" w:lineRule="auto"/>
              <w:jc w:val="center"/>
              <w:rPr>
                <w:noProof/>
              </w:rPr>
            </w:pPr>
            <w:r>
              <w:rPr>
                <w:noProof/>
              </w:rPr>
              <w:t>Naložba 4.2. Zmanjšanje izgub v vodovodnih omrežjih, vključno z digitalizacijo in spremljanjem omrežij</w:t>
            </w:r>
          </w:p>
        </w:tc>
        <w:tc>
          <w:tcPr>
            <w:tcW w:w="1134" w:type="dxa"/>
            <w:shd w:val="clear" w:color="auto" w:fill="C6EFCE"/>
            <w:noWrap/>
            <w:vAlign w:val="center"/>
            <w:hideMark/>
          </w:tcPr>
          <w:p w14:paraId="0C22A563" w14:textId="77777777" w:rsidR="00154E32" w:rsidRDefault="00A43E04">
            <w:pPr>
              <w:pStyle w:val="P68B1DB1-Normal11"/>
              <w:spacing w:line="276" w:lineRule="auto"/>
              <w:jc w:val="center"/>
              <w:rPr>
                <w:noProof/>
              </w:rPr>
            </w:pPr>
            <w:r>
              <w:rPr>
                <w:noProof/>
              </w:rPr>
              <w:t>Tarča</w:t>
            </w:r>
          </w:p>
        </w:tc>
        <w:tc>
          <w:tcPr>
            <w:tcW w:w="1559" w:type="dxa"/>
            <w:shd w:val="clear" w:color="auto" w:fill="C6EFCE"/>
            <w:noWrap/>
            <w:vAlign w:val="center"/>
            <w:hideMark/>
          </w:tcPr>
          <w:p w14:paraId="282F82FC" w14:textId="77777777" w:rsidR="00154E32" w:rsidRDefault="00A43E04">
            <w:pPr>
              <w:pStyle w:val="P68B1DB1-Normal11"/>
              <w:spacing w:line="276" w:lineRule="auto"/>
              <w:jc w:val="center"/>
              <w:rPr>
                <w:noProof/>
              </w:rPr>
            </w:pPr>
            <w:r>
              <w:rPr>
                <w:noProof/>
              </w:rPr>
              <w:t>Posegi v vodovodnih omrežjih, vključno z digitalizacijo in spremljanjem omrežij T2</w:t>
            </w:r>
          </w:p>
        </w:tc>
        <w:tc>
          <w:tcPr>
            <w:tcW w:w="1383" w:type="dxa"/>
            <w:shd w:val="clear" w:color="auto" w:fill="C6EFCE"/>
            <w:noWrap/>
            <w:vAlign w:val="center"/>
            <w:hideMark/>
          </w:tcPr>
          <w:p w14:paraId="41C0C3FB" w14:textId="77777777" w:rsidR="00154E32" w:rsidRDefault="00A43E04">
            <w:pPr>
              <w:pStyle w:val="P68B1DB1-Normal11"/>
              <w:spacing w:line="276" w:lineRule="auto"/>
              <w:jc w:val="center"/>
              <w:rPr>
                <w:noProof/>
              </w:rPr>
            </w:pPr>
            <w:r>
              <w:rPr>
                <w:noProof/>
              </w:rPr>
              <w:t>JIH NI</w:t>
            </w:r>
          </w:p>
        </w:tc>
        <w:tc>
          <w:tcPr>
            <w:tcW w:w="1094" w:type="dxa"/>
            <w:shd w:val="clear" w:color="auto" w:fill="C6EFCE"/>
            <w:noWrap/>
            <w:vAlign w:val="center"/>
            <w:hideMark/>
          </w:tcPr>
          <w:p w14:paraId="1B2B4422" w14:textId="77777777" w:rsidR="00154E32" w:rsidRDefault="00A43E04">
            <w:pPr>
              <w:pStyle w:val="P68B1DB1-Normal11"/>
              <w:spacing w:line="276" w:lineRule="auto"/>
              <w:jc w:val="center"/>
              <w:rPr>
                <w:noProof/>
              </w:rPr>
            </w:pPr>
            <w:r>
              <w:rPr>
                <w:noProof/>
              </w:rPr>
              <w:t>Število</w:t>
            </w:r>
          </w:p>
        </w:tc>
        <w:tc>
          <w:tcPr>
            <w:tcW w:w="1290" w:type="dxa"/>
            <w:shd w:val="clear" w:color="auto" w:fill="C6EFCE"/>
            <w:noWrap/>
            <w:vAlign w:val="center"/>
            <w:hideMark/>
          </w:tcPr>
          <w:p w14:paraId="65E19EEC" w14:textId="59281F44" w:rsidR="00154E32" w:rsidRDefault="00A43E04">
            <w:pPr>
              <w:pStyle w:val="P68B1DB1-Normal11"/>
              <w:spacing w:line="276" w:lineRule="auto"/>
              <w:jc w:val="center"/>
              <w:rPr>
                <w:noProof/>
              </w:rPr>
            </w:pPr>
            <w:r>
              <w:rPr>
                <w:noProof/>
              </w:rPr>
              <w:t>14 000</w:t>
            </w:r>
          </w:p>
        </w:tc>
        <w:tc>
          <w:tcPr>
            <w:tcW w:w="1194" w:type="dxa"/>
            <w:shd w:val="clear" w:color="auto" w:fill="C6EFCE"/>
            <w:noWrap/>
            <w:vAlign w:val="center"/>
            <w:hideMark/>
          </w:tcPr>
          <w:p w14:paraId="1B9AA405" w14:textId="20B2A466" w:rsidR="00154E32" w:rsidRDefault="00A43E04">
            <w:pPr>
              <w:pStyle w:val="P68B1DB1-Normal11"/>
              <w:spacing w:line="276" w:lineRule="auto"/>
              <w:jc w:val="center"/>
              <w:rPr>
                <w:noProof/>
              </w:rPr>
            </w:pPr>
            <w:r>
              <w:rPr>
                <w:noProof/>
              </w:rPr>
              <w:t>45 000</w:t>
            </w:r>
          </w:p>
        </w:tc>
        <w:tc>
          <w:tcPr>
            <w:tcW w:w="916" w:type="dxa"/>
            <w:shd w:val="clear" w:color="auto" w:fill="C6EFCE"/>
            <w:noWrap/>
            <w:vAlign w:val="center"/>
            <w:hideMark/>
          </w:tcPr>
          <w:p w14:paraId="169316F4" w14:textId="77777777" w:rsidR="00154E32" w:rsidRDefault="00A43E04">
            <w:pPr>
              <w:pStyle w:val="P68B1DB1-Normal11"/>
              <w:spacing w:line="276" w:lineRule="auto"/>
              <w:jc w:val="center"/>
              <w:rPr>
                <w:noProof/>
              </w:rPr>
            </w:pPr>
            <w:r>
              <w:rPr>
                <w:noProof/>
              </w:rPr>
              <w:t>ČETRTLETJE 1</w:t>
            </w:r>
          </w:p>
        </w:tc>
        <w:tc>
          <w:tcPr>
            <w:tcW w:w="638" w:type="dxa"/>
            <w:shd w:val="clear" w:color="auto" w:fill="C6EFCE"/>
            <w:noWrap/>
            <w:vAlign w:val="center"/>
            <w:hideMark/>
          </w:tcPr>
          <w:p w14:paraId="23E45EE4" w14:textId="77777777" w:rsidR="00154E32" w:rsidRDefault="00A43E04">
            <w:pPr>
              <w:pStyle w:val="P68B1DB1-Normal11"/>
              <w:spacing w:line="276" w:lineRule="auto"/>
              <w:jc w:val="center"/>
              <w:rPr>
                <w:noProof/>
              </w:rPr>
            </w:pPr>
            <w:r>
              <w:rPr>
                <w:noProof/>
              </w:rPr>
              <w:t>2026</w:t>
            </w:r>
          </w:p>
        </w:tc>
        <w:tc>
          <w:tcPr>
            <w:tcW w:w="4116" w:type="dxa"/>
            <w:shd w:val="clear" w:color="auto" w:fill="C6EFCE"/>
            <w:noWrap/>
            <w:vAlign w:val="center"/>
            <w:hideMark/>
          </w:tcPr>
          <w:p w14:paraId="0B1918EA" w14:textId="0B601129" w:rsidR="00154E32" w:rsidRDefault="00A43E04">
            <w:pPr>
              <w:pStyle w:val="P68B1DB1-Normal11"/>
              <w:spacing w:line="276" w:lineRule="auto"/>
              <w:rPr>
                <w:noProof/>
              </w:rPr>
            </w:pPr>
            <w:r>
              <w:rPr>
                <w:noProof/>
              </w:rPr>
              <w:t>Naselitev vsaj 45000 dodatnih kilometrov vodnega omrežja</w:t>
            </w:r>
          </w:p>
        </w:tc>
      </w:tr>
      <w:tr w:rsidR="00154E32" w14:paraId="7A6C15AF" w14:textId="77777777">
        <w:trPr>
          <w:trHeight w:val="313"/>
          <w:jc w:val="center"/>
        </w:trPr>
        <w:tc>
          <w:tcPr>
            <w:tcW w:w="1130" w:type="dxa"/>
            <w:shd w:val="clear" w:color="auto" w:fill="C6EFCE"/>
            <w:noWrap/>
            <w:vAlign w:val="center"/>
            <w:hideMark/>
          </w:tcPr>
          <w:p w14:paraId="367C440D" w14:textId="77777777" w:rsidR="00154E32" w:rsidRDefault="00A43E04">
            <w:pPr>
              <w:pStyle w:val="P68B1DB1-Normal11"/>
              <w:spacing w:line="276" w:lineRule="auto"/>
              <w:jc w:val="center"/>
              <w:rPr>
                <w:noProof/>
              </w:rPr>
            </w:pPr>
            <w:r>
              <w:rPr>
                <w:noProof/>
              </w:rPr>
              <w:t>M2C4–33</w:t>
            </w:r>
          </w:p>
        </w:tc>
        <w:tc>
          <w:tcPr>
            <w:tcW w:w="1560" w:type="dxa"/>
            <w:shd w:val="clear" w:color="auto" w:fill="C6EFCE"/>
            <w:noWrap/>
            <w:vAlign w:val="center"/>
            <w:hideMark/>
          </w:tcPr>
          <w:p w14:paraId="584B68E2" w14:textId="77777777" w:rsidR="00154E32" w:rsidRDefault="00A43E04">
            <w:pPr>
              <w:pStyle w:val="P68B1DB1-Normal11"/>
              <w:spacing w:line="276" w:lineRule="auto"/>
              <w:jc w:val="center"/>
              <w:rPr>
                <w:noProof/>
              </w:rPr>
            </w:pPr>
            <w:r>
              <w:rPr>
                <w:noProof/>
              </w:rPr>
              <w:t>Naložba 4.3 Naložbe v odpornost namakalnega kmetijskega sistema za boljše upravljanje vodnih virov</w:t>
            </w:r>
          </w:p>
        </w:tc>
        <w:tc>
          <w:tcPr>
            <w:tcW w:w="1134" w:type="dxa"/>
            <w:shd w:val="clear" w:color="auto" w:fill="C6EFCE"/>
            <w:noWrap/>
            <w:vAlign w:val="center"/>
            <w:hideMark/>
          </w:tcPr>
          <w:p w14:paraId="60038EDA" w14:textId="77777777" w:rsidR="00154E32" w:rsidRDefault="00A43E04">
            <w:pPr>
              <w:pStyle w:val="P68B1DB1-Normal11"/>
              <w:spacing w:line="276" w:lineRule="auto"/>
              <w:jc w:val="center"/>
              <w:rPr>
                <w:noProof/>
              </w:rPr>
            </w:pPr>
            <w:r>
              <w:rPr>
                <w:noProof/>
              </w:rPr>
              <w:t>Mejnik</w:t>
            </w:r>
          </w:p>
        </w:tc>
        <w:tc>
          <w:tcPr>
            <w:tcW w:w="1559" w:type="dxa"/>
            <w:shd w:val="clear" w:color="auto" w:fill="C6EFCE"/>
            <w:noWrap/>
            <w:vAlign w:val="center"/>
            <w:hideMark/>
          </w:tcPr>
          <w:p w14:paraId="038C187E" w14:textId="77777777" w:rsidR="00154E32" w:rsidRDefault="00A43E04">
            <w:pPr>
              <w:pStyle w:val="P68B1DB1-Normal11"/>
              <w:spacing w:line="276" w:lineRule="auto"/>
              <w:jc w:val="center"/>
              <w:rPr>
                <w:noProof/>
              </w:rPr>
            </w:pPr>
            <w:r>
              <w:rPr>
                <w:noProof/>
              </w:rPr>
              <w:t>Oddaja vseh javnih naročil za odpornost namakalnega kmetijskega sistema za boljše upravljanje vodnih virov</w:t>
            </w:r>
          </w:p>
        </w:tc>
        <w:tc>
          <w:tcPr>
            <w:tcW w:w="1383" w:type="dxa"/>
            <w:shd w:val="clear" w:color="auto" w:fill="C6EFCE"/>
            <w:noWrap/>
            <w:vAlign w:val="center"/>
            <w:hideMark/>
          </w:tcPr>
          <w:p w14:paraId="30943E57" w14:textId="08A40AD3" w:rsidR="00154E32" w:rsidRDefault="00A43E04">
            <w:pPr>
              <w:pStyle w:val="P68B1DB1-Normal11"/>
              <w:spacing w:line="276" w:lineRule="auto"/>
              <w:jc w:val="center"/>
              <w:rPr>
                <w:noProof/>
              </w:rPr>
            </w:pPr>
            <w:r>
              <w:rPr>
                <w:noProof/>
              </w:rPr>
              <w:t>Obvestilo o oddaji vseh javnih naročil v skupnem znesku 880 000 000 EUR za intervencije na omrežjih in namakalnih sistemih ter s tem povezanem sistemu digitalizacije in spremljanja.</w:t>
            </w:r>
          </w:p>
        </w:tc>
        <w:tc>
          <w:tcPr>
            <w:tcW w:w="1094" w:type="dxa"/>
            <w:shd w:val="clear" w:color="auto" w:fill="C6EFCE"/>
            <w:noWrap/>
            <w:vAlign w:val="center"/>
            <w:hideMark/>
          </w:tcPr>
          <w:p w14:paraId="42285BA8" w14:textId="77777777" w:rsidR="00154E32" w:rsidRDefault="00A43E04">
            <w:pPr>
              <w:pStyle w:val="P68B1DB1-Normal11"/>
              <w:spacing w:line="276" w:lineRule="auto"/>
              <w:jc w:val="center"/>
              <w:rPr>
                <w:noProof/>
              </w:rPr>
            </w:pPr>
            <w:r>
              <w:rPr>
                <w:noProof/>
              </w:rPr>
              <w:t>JIH NI</w:t>
            </w:r>
          </w:p>
        </w:tc>
        <w:tc>
          <w:tcPr>
            <w:tcW w:w="1290" w:type="dxa"/>
            <w:shd w:val="clear" w:color="auto" w:fill="C6EFCE"/>
            <w:noWrap/>
            <w:vAlign w:val="center"/>
            <w:hideMark/>
          </w:tcPr>
          <w:p w14:paraId="215123E2" w14:textId="77777777" w:rsidR="00154E32" w:rsidRDefault="00A43E04">
            <w:pPr>
              <w:pStyle w:val="P68B1DB1-Normal11"/>
              <w:spacing w:line="276" w:lineRule="auto"/>
              <w:jc w:val="center"/>
              <w:rPr>
                <w:noProof/>
              </w:rPr>
            </w:pPr>
            <w:r>
              <w:rPr>
                <w:noProof/>
              </w:rPr>
              <w:t>JIH NI</w:t>
            </w:r>
          </w:p>
        </w:tc>
        <w:tc>
          <w:tcPr>
            <w:tcW w:w="1194" w:type="dxa"/>
            <w:shd w:val="clear" w:color="auto" w:fill="C6EFCE"/>
            <w:noWrap/>
            <w:vAlign w:val="center"/>
            <w:hideMark/>
          </w:tcPr>
          <w:p w14:paraId="40DA6580" w14:textId="77777777" w:rsidR="00154E32" w:rsidRDefault="00A43E04">
            <w:pPr>
              <w:pStyle w:val="P68B1DB1-Normal11"/>
              <w:spacing w:line="276" w:lineRule="auto"/>
              <w:jc w:val="center"/>
              <w:rPr>
                <w:noProof/>
              </w:rPr>
            </w:pPr>
            <w:r>
              <w:rPr>
                <w:noProof/>
              </w:rPr>
              <w:t>JIH NI</w:t>
            </w:r>
          </w:p>
        </w:tc>
        <w:tc>
          <w:tcPr>
            <w:tcW w:w="916" w:type="dxa"/>
            <w:shd w:val="clear" w:color="auto" w:fill="C6EFCE"/>
            <w:noWrap/>
            <w:vAlign w:val="center"/>
            <w:hideMark/>
          </w:tcPr>
          <w:p w14:paraId="1574B585" w14:textId="77777777" w:rsidR="00154E32" w:rsidRDefault="00A43E04">
            <w:pPr>
              <w:pStyle w:val="P68B1DB1-Normal11"/>
              <w:spacing w:line="276" w:lineRule="auto"/>
              <w:jc w:val="center"/>
              <w:rPr>
                <w:noProof/>
              </w:rPr>
            </w:pPr>
            <w:r>
              <w:rPr>
                <w:noProof/>
              </w:rPr>
              <w:t>Q4</w:t>
            </w:r>
          </w:p>
        </w:tc>
        <w:tc>
          <w:tcPr>
            <w:tcW w:w="638" w:type="dxa"/>
            <w:shd w:val="clear" w:color="auto" w:fill="C6EFCE"/>
            <w:noWrap/>
            <w:vAlign w:val="center"/>
            <w:hideMark/>
          </w:tcPr>
          <w:p w14:paraId="396476E0" w14:textId="77777777" w:rsidR="00154E32" w:rsidRDefault="00A43E04">
            <w:pPr>
              <w:pStyle w:val="P68B1DB1-Normal11"/>
              <w:spacing w:line="276" w:lineRule="auto"/>
              <w:jc w:val="center"/>
              <w:rPr>
                <w:noProof/>
              </w:rPr>
            </w:pPr>
            <w:r>
              <w:rPr>
                <w:noProof/>
              </w:rPr>
              <w:t>2023</w:t>
            </w:r>
          </w:p>
        </w:tc>
        <w:tc>
          <w:tcPr>
            <w:tcW w:w="4116" w:type="dxa"/>
            <w:shd w:val="clear" w:color="auto" w:fill="C6EFCE"/>
            <w:noWrap/>
            <w:vAlign w:val="center"/>
            <w:hideMark/>
          </w:tcPr>
          <w:p w14:paraId="20C1D7F6" w14:textId="6BAF2B22" w:rsidR="00154E32" w:rsidRDefault="00A43E04">
            <w:pPr>
              <w:pStyle w:val="P68B1DB1-Normal11"/>
              <w:autoSpaceDE w:val="0"/>
              <w:autoSpaceDN w:val="0"/>
              <w:spacing w:line="276" w:lineRule="auto"/>
              <w:rPr>
                <w:noProof/>
              </w:rPr>
            </w:pPr>
            <w:r>
              <w:rPr>
                <w:noProof/>
              </w:rPr>
              <w:t>Obvestilo o oddaji vseh javnih naročil v skupnem znesku 880 000 000 EUR za izpolnitev končnih ciljev ukrepov, za intervencije na omrežjih in namakalnih sistemih ter za s tem povezano digitalizacijo in sistem spremljanja.</w:t>
            </w:r>
          </w:p>
          <w:p w14:paraId="4786B7E8" w14:textId="77777777" w:rsidR="00154E32" w:rsidRDefault="00A43E04">
            <w:pPr>
              <w:pStyle w:val="P68B1DB1-Normal11"/>
              <w:autoSpaceDE w:val="0"/>
              <w:autoSpaceDN w:val="0"/>
              <w:spacing w:line="276" w:lineRule="auto"/>
              <w:rPr>
                <w:noProof/>
              </w:rPr>
            </w:pPr>
            <w:r>
              <w:rPr>
                <w:noProof/>
              </w:rPr>
              <w:t>Področje uporabe pogodb je naslednje:</w:t>
            </w:r>
          </w:p>
          <w:p w14:paraId="164A1A52" w14:textId="617C7912" w:rsidR="00154E32" w:rsidRDefault="00A43E04">
            <w:pPr>
              <w:pStyle w:val="P68B1DB1-ListParagraph31"/>
              <w:numPr>
                <w:ilvl w:val="0"/>
                <w:numId w:val="95"/>
              </w:numPr>
              <w:autoSpaceDE w:val="0"/>
              <w:autoSpaceDN w:val="0"/>
              <w:spacing w:before="0" w:after="0" w:line="276" w:lineRule="auto"/>
              <w:rPr>
                <w:noProof/>
                <w:color w:val="006100"/>
              </w:rPr>
            </w:pPr>
            <w:r>
              <w:rPr>
                <w:noProof/>
                <w:color w:val="006100"/>
              </w:rPr>
              <w:t>Spodbujajo merjenje in spremljanje uporabe v kolektivnih omrežjih (z namestitvijo števcev in sistemov daljinskega nadzora),</w:t>
            </w:r>
            <w:r>
              <w:rPr>
                <w:noProof/>
              </w:rPr>
              <w:t xml:space="preserve"> </w:t>
            </w:r>
            <w:r>
              <w:rPr>
                <w:noProof/>
                <w:color w:val="006100"/>
              </w:rPr>
              <w:t>vključno s prehodom z samooskrbe na kolektivno rabo kot predpogoj za dokončanje uvedbe politike določanja cen vode, ki temelji na količini vode, za učinkovito rabo vodnih virov v kmetijstvu in posledično za spodbujanje zmanjševanja nezakonitih odvzemov vode na podeželskih območjih.</w:t>
            </w:r>
          </w:p>
          <w:p w14:paraId="33E089DE" w14:textId="77777777" w:rsidR="00154E32" w:rsidRDefault="00A43E04">
            <w:pPr>
              <w:pStyle w:val="P68B1DB1-Normal11"/>
              <w:autoSpaceDE w:val="0"/>
              <w:autoSpaceDN w:val="0"/>
              <w:spacing w:line="276" w:lineRule="auto"/>
              <w:rPr>
                <w:noProof/>
              </w:rPr>
            </w:pPr>
            <w:r>
              <w:rPr>
                <w:noProof/>
              </w:rPr>
              <w:t xml:space="preserve"> </w:t>
            </w:r>
          </w:p>
          <w:p w14:paraId="4815C777" w14:textId="77777777" w:rsidR="00154E32" w:rsidRDefault="00A43E04">
            <w:pPr>
              <w:pStyle w:val="P68B1DB1-ListParagraph13"/>
              <w:numPr>
                <w:ilvl w:val="0"/>
                <w:numId w:val="95"/>
              </w:numPr>
              <w:autoSpaceDE w:val="0"/>
              <w:autoSpaceDN w:val="0"/>
              <w:spacing w:before="0" w:after="0" w:line="276" w:lineRule="auto"/>
              <w:rPr>
                <w:noProof/>
              </w:rPr>
            </w:pPr>
            <w:r>
              <w:rPr>
                <w:noProof/>
              </w:rPr>
              <w:t xml:space="preserve">Naložbe v namakanje bi morale biti usmerjene v povečanje učinkovitosti obstoječega namakanja, tudi če je zadevno vodno telo v dobrem stanju. </w:t>
            </w:r>
          </w:p>
          <w:p w14:paraId="0691F474" w14:textId="77777777" w:rsidR="00154E32" w:rsidRDefault="00A43E04">
            <w:pPr>
              <w:pStyle w:val="P68B1DB1-Normal11"/>
              <w:autoSpaceDE w:val="0"/>
              <w:autoSpaceDN w:val="0"/>
              <w:spacing w:line="276" w:lineRule="auto"/>
              <w:rPr>
                <w:noProof/>
              </w:rPr>
            </w:pPr>
            <w:r>
              <w:rPr>
                <w:noProof/>
              </w:rPr>
              <w:t xml:space="preserve"> </w:t>
            </w:r>
          </w:p>
          <w:p w14:paraId="285BBFEA" w14:textId="77777777" w:rsidR="00154E32" w:rsidRDefault="00A43E04">
            <w:pPr>
              <w:pStyle w:val="P68B1DB1-Normal11"/>
              <w:autoSpaceDE w:val="0"/>
              <w:autoSpaceDN w:val="0"/>
              <w:spacing w:line="276" w:lineRule="auto"/>
              <w:rPr>
                <w:noProof/>
              </w:rPr>
            </w:pPr>
            <w:r>
              <w:rPr>
                <w:noProof/>
              </w:rPr>
              <w:t>Pričakuje se, da ta ukrep ne bo bistveno škodoval okoljskim ciljem v smislu člena 17 Uredbe (EU) 2020/852, ob upoštevanju opisa ukrepa in blažilnih ukrepov iz načrta za okrevanje in odpornost v skladu s tehničnimi smernicami, da se ne škoduje bistveno.</w:t>
            </w:r>
          </w:p>
          <w:p w14:paraId="62DE2935" w14:textId="77777777" w:rsidR="00154E32" w:rsidRDefault="00A43E04">
            <w:pPr>
              <w:pStyle w:val="P68B1DB1-Normal11"/>
              <w:autoSpaceDE w:val="0"/>
              <w:autoSpaceDN w:val="0"/>
              <w:spacing w:line="276" w:lineRule="auto"/>
              <w:rPr>
                <w:noProof/>
              </w:rPr>
            </w:pPr>
            <w:r>
              <w:rPr>
                <w:noProof/>
              </w:rPr>
              <w:t xml:space="preserve">(2021/C58/01). Zlasti se za vsako podnaložbo zagotovi popolna skladnost z zahtevami prava EU, vključno z okvirno direktivo o vodah, pred in med začetkom gradbenih del ter po njem. </w:t>
            </w:r>
          </w:p>
          <w:p w14:paraId="7FDFAEBE" w14:textId="77777777" w:rsidR="00154E32" w:rsidRDefault="00A43E04">
            <w:pPr>
              <w:pStyle w:val="P68B1DB1-Normal11"/>
              <w:autoSpaceDE w:val="0"/>
              <w:autoSpaceDN w:val="0"/>
              <w:spacing w:line="276" w:lineRule="auto"/>
              <w:rPr>
                <w:noProof/>
              </w:rPr>
            </w:pPr>
            <w:r>
              <w:rPr>
                <w:noProof/>
              </w:rPr>
              <w:t xml:space="preserve"> </w:t>
            </w:r>
          </w:p>
          <w:p w14:paraId="433F9CB8" w14:textId="097D5E15" w:rsidR="00154E32" w:rsidRDefault="00A43E04">
            <w:pPr>
              <w:pStyle w:val="P68B1DB1-Normal11"/>
              <w:autoSpaceDE w:val="0"/>
              <w:autoSpaceDN w:val="0"/>
              <w:spacing w:line="276" w:lineRule="auto"/>
              <w:rPr>
                <w:noProof/>
              </w:rPr>
            </w:pPr>
            <w:r>
              <w:rPr>
                <w:noProof/>
              </w:rPr>
              <w:t>Poleg tega so intervencije, kadar je to ustrezno v skladu z nacionalnim pravom, predmet presoje vplivov na okolje v skladu z Direktivo 2011/92/EU ter ustreznih presoj v okviru Direktive 2000/60/ES in Direktive 92/43/EGS, vključno z izvajanjem zahtevanih blažilnih ukrepov.</w:t>
            </w:r>
          </w:p>
        </w:tc>
      </w:tr>
      <w:tr w:rsidR="00154E32" w14:paraId="5717CDEE" w14:textId="77777777">
        <w:trPr>
          <w:trHeight w:val="313"/>
          <w:jc w:val="center"/>
        </w:trPr>
        <w:tc>
          <w:tcPr>
            <w:tcW w:w="1130" w:type="dxa"/>
            <w:shd w:val="clear" w:color="auto" w:fill="C6EFCE"/>
            <w:noWrap/>
            <w:vAlign w:val="center"/>
            <w:hideMark/>
          </w:tcPr>
          <w:p w14:paraId="1F88C86C" w14:textId="77777777" w:rsidR="00154E32" w:rsidRDefault="00A43E04">
            <w:pPr>
              <w:pStyle w:val="P68B1DB1-Normal11"/>
              <w:spacing w:line="276" w:lineRule="auto"/>
              <w:jc w:val="center"/>
              <w:rPr>
                <w:noProof/>
              </w:rPr>
            </w:pPr>
            <w:r>
              <w:rPr>
                <w:noProof/>
              </w:rPr>
              <w:t>M2C4–34</w:t>
            </w:r>
          </w:p>
        </w:tc>
        <w:tc>
          <w:tcPr>
            <w:tcW w:w="1560" w:type="dxa"/>
            <w:shd w:val="clear" w:color="auto" w:fill="C6EFCE"/>
            <w:noWrap/>
            <w:vAlign w:val="center"/>
            <w:hideMark/>
          </w:tcPr>
          <w:p w14:paraId="5D7D95CC" w14:textId="77777777" w:rsidR="00154E32" w:rsidRDefault="00A43E04">
            <w:pPr>
              <w:pStyle w:val="P68B1DB1-Normal11"/>
              <w:spacing w:line="276" w:lineRule="auto"/>
              <w:jc w:val="center"/>
              <w:rPr>
                <w:noProof/>
              </w:rPr>
            </w:pPr>
            <w:r>
              <w:rPr>
                <w:noProof/>
              </w:rPr>
              <w:t>Naložba 4.3 Naložbe v odpornost namakalnega kmetijskega sistema za boljše upravljanje vodnih virov</w:t>
            </w:r>
          </w:p>
        </w:tc>
        <w:tc>
          <w:tcPr>
            <w:tcW w:w="1134" w:type="dxa"/>
            <w:shd w:val="clear" w:color="auto" w:fill="C6EFCE"/>
            <w:noWrap/>
            <w:vAlign w:val="center"/>
            <w:hideMark/>
          </w:tcPr>
          <w:p w14:paraId="35E8A6A6" w14:textId="77777777" w:rsidR="00154E32" w:rsidRDefault="00A43E04">
            <w:pPr>
              <w:pStyle w:val="P68B1DB1-Normal11"/>
              <w:spacing w:line="276" w:lineRule="auto"/>
              <w:jc w:val="center"/>
              <w:rPr>
                <w:noProof/>
              </w:rPr>
            </w:pPr>
            <w:r>
              <w:rPr>
                <w:noProof/>
              </w:rPr>
              <w:t>Tarča</w:t>
            </w:r>
          </w:p>
        </w:tc>
        <w:tc>
          <w:tcPr>
            <w:tcW w:w="1559" w:type="dxa"/>
            <w:shd w:val="clear" w:color="auto" w:fill="C6EFCE"/>
            <w:noWrap/>
            <w:vAlign w:val="center"/>
            <w:hideMark/>
          </w:tcPr>
          <w:p w14:paraId="394E0B97" w14:textId="77777777" w:rsidR="00154E32" w:rsidRDefault="00A43E04">
            <w:pPr>
              <w:pStyle w:val="P68B1DB1-Normal11"/>
              <w:spacing w:line="276" w:lineRule="auto"/>
              <w:jc w:val="center"/>
              <w:rPr>
                <w:noProof/>
              </w:rPr>
            </w:pPr>
            <w:r>
              <w:rPr>
                <w:noProof/>
              </w:rPr>
              <w:t>Intervencije za odpornost namakalnega kmetijskega sistema za boljše upravljanje vodnih virov T1</w:t>
            </w:r>
          </w:p>
        </w:tc>
        <w:tc>
          <w:tcPr>
            <w:tcW w:w="1383" w:type="dxa"/>
            <w:shd w:val="clear" w:color="auto" w:fill="C6EFCE"/>
            <w:noWrap/>
            <w:vAlign w:val="center"/>
            <w:hideMark/>
          </w:tcPr>
          <w:p w14:paraId="021F7F2B" w14:textId="77777777" w:rsidR="00154E32" w:rsidRDefault="00A43E04">
            <w:pPr>
              <w:pStyle w:val="P68B1DB1-Normal11"/>
              <w:spacing w:line="276" w:lineRule="auto"/>
              <w:jc w:val="center"/>
              <w:rPr>
                <w:noProof/>
              </w:rPr>
            </w:pPr>
            <w:r>
              <w:rPr>
                <w:noProof/>
              </w:rPr>
              <w:t>JIH NI</w:t>
            </w:r>
          </w:p>
        </w:tc>
        <w:tc>
          <w:tcPr>
            <w:tcW w:w="1094" w:type="dxa"/>
            <w:shd w:val="clear" w:color="auto" w:fill="C6EFCE"/>
            <w:noWrap/>
            <w:vAlign w:val="center"/>
            <w:hideMark/>
          </w:tcPr>
          <w:p w14:paraId="0D5E49E6" w14:textId="77777777" w:rsidR="00154E32" w:rsidRDefault="00A43E04">
            <w:pPr>
              <w:pStyle w:val="P68B1DB1-Normal11"/>
              <w:spacing w:line="276" w:lineRule="auto"/>
              <w:jc w:val="center"/>
              <w:rPr>
                <w:noProof/>
              </w:rPr>
            </w:pPr>
            <w:r>
              <w:rPr>
                <w:noProof/>
              </w:rPr>
              <w:t>Delež</w:t>
            </w:r>
          </w:p>
        </w:tc>
        <w:tc>
          <w:tcPr>
            <w:tcW w:w="1290" w:type="dxa"/>
            <w:shd w:val="clear" w:color="auto" w:fill="C6EFCE"/>
            <w:noWrap/>
            <w:vAlign w:val="center"/>
            <w:hideMark/>
          </w:tcPr>
          <w:p w14:paraId="7545B5A6" w14:textId="77777777" w:rsidR="00154E32" w:rsidRDefault="00A43E04">
            <w:pPr>
              <w:pStyle w:val="P68B1DB1-Normal11"/>
              <w:spacing w:line="276" w:lineRule="auto"/>
              <w:jc w:val="center"/>
              <w:rPr>
                <w:noProof/>
              </w:rPr>
            </w:pPr>
            <w:r>
              <w:rPr>
                <w:noProof/>
              </w:rPr>
              <w:t>24</w:t>
            </w:r>
          </w:p>
        </w:tc>
        <w:tc>
          <w:tcPr>
            <w:tcW w:w="1194" w:type="dxa"/>
            <w:shd w:val="clear" w:color="auto" w:fill="C6EFCE"/>
            <w:noWrap/>
            <w:vAlign w:val="center"/>
            <w:hideMark/>
          </w:tcPr>
          <w:p w14:paraId="0E56A1E3" w14:textId="77777777" w:rsidR="00154E32" w:rsidRDefault="00A43E04">
            <w:pPr>
              <w:pStyle w:val="P68B1DB1-Normal11"/>
              <w:spacing w:line="276" w:lineRule="auto"/>
              <w:jc w:val="center"/>
              <w:rPr>
                <w:noProof/>
              </w:rPr>
            </w:pPr>
            <w:r>
              <w:rPr>
                <w:noProof/>
              </w:rPr>
              <w:t>26</w:t>
            </w:r>
          </w:p>
        </w:tc>
        <w:tc>
          <w:tcPr>
            <w:tcW w:w="916" w:type="dxa"/>
            <w:shd w:val="clear" w:color="auto" w:fill="C6EFCE"/>
            <w:noWrap/>
            <w:vAlign w:val="center"/>
            <w:hideMark/>
          </w:tcPr>
          <w:p w14:paraId="2C8D2941" w14:textId="77777777" w:rsidR="00154E32" w:rsidRDefault="00A43E04">
            <w:pPr>
              <w:pStyle w:val="P68B1DB1-Normal11"/>
              <w:spacing w:line="276" w:lineRule="auto"/>
              <w:jc w:val="center"/>
              <w:rPr>
                <w:noProof/>
              </w:rPr>
            </w:pPr>
            <w:r>
              <w:rPr>
                <w:noProof/>
              </w:rPr>
              <w:t>Q4</w:t>
            </w:r>
          </w:p>
        </w:tc>
        <w:tc>
          <w:tcPr>
            <w:tcW w:w="638" w:type="dxa"/>
            <w:shd w:val="clear" w:color="auto" w:fill="C6EFCE"/>
            <w:noWrap/>
            <w:vAlign w:val="center"/>
            <w:hideMark/>
          </w:tcPr>
          <w:p w14:paraId="3E746766" w14:textId="77777777" w:rsidR="00154E32" w:rsidRDefault="00A43E04">
            <w:pPr>
              <w:pStyle w:val="P68B1DB1-Normal11"/>
              <w:spacing w:line="276" w:lineRule="auto"/>
              <w:jc w:val="center"/>
              <w:rPr>
                <w:noProof/>
              </w:rPr>
            </w:pPr>
            <w:r>
              <w:rPr>
                <w:noProof/>
              </w:rPr>
              <w:t>2024</w:t>
            </w:r>
          </w:p>
        </w:tc>
        <w:tc>
          <w:tcPr>
            <w:tcW w:w="4116" w:type="dxa"/>
            <w:shd w:val="clear" w:color="auto" w:fill="C6EFCE"/>
            <w:noWrap/>
            <w:vAlign w:val="center"/>
            <w:hideMark/>
          </w:tcPr>
          <w:p w14:paraId="12AF8428" w14:textId="77777777" w:rsidR="00154E32" w:rsidRDefault="00A43E04">
            <w:pPr>
              <w:pStyle w:val="P68B1DB1-Normal11"/>
              <w:spacing w:line="276" w:lineRule="auto"/>
              <w:rPr>
                <w:noProof/>
              </w:rPr>
            </w:pPr>
            <w:r>
              <w:rPr>
                <w:noProof/>
              </w:rPr>
              <w:t>Povečati odstotek odjemnih virov, opremljenih s števci, na vsaj 26 %.</w:t>
            </w:r>
          </w:p>
          <w:p w14:paraId="726DACAC" w14:textId="77777777" w:rsidR="00154E32" w:rsidRDefault="00A43E04">
            <w:pPr>
              <w:pStyle w:val="P68B1DB1-Normal11"/>
              <w:spacing w:line="276" w:lineRule="auto"/>
              <w:rPr>
                <w:noProof/>
              </w:rPr>
            </w:pPr>
            <w:r>
              <w:rPr>
                <w:noProof/>
              </w:rPr>
              <w:t>Ukrepi za splošno učinkovitost omrežja vključujejo tudi namestitev:</w:t>
            </w:r>
          </w:p>
          <w:p w14:paraId="748640E3" w14:textId="77777777" w:rsidR="00154E32" w:rsidRDefault="00A43E04">
            <w:pPr>
              <w:pStyle w:val="P68B1DB1-ListParagraph13"/>
              <w:numPr>
                <w:ilvl w:val="0"/>
                <w:numId w:val="94"/>
              </w:numPr>
              <w:spacing w:before="0" w:after="0" w:line="276" w:lineRule="auto"/>
              <w:rPr>
                <w:noProof/>
              </w:rPr>
            </w:pPr>
            <w:r>
              <w:rPr>
                <w:noProof/>
              </w:rPr>
              <w:t>150 števcev na tretji ravni;</w:t>
            </w:r>
          </w:p>
          <w:p w14:paraId="5D742EC9" w14:textId="6A6B31CD" w:rsidR="00154E32" w:rsidRDefault="00A43E04">
            <w:pPr>
              <w:pStyle w:val="P68B1DB1-ListParagraph13"/>
              <w:numPr>
                <w:ilvl w:val="0"/>
                <w:numId w:val="94"/>
              </w:numPr>
              <w:spacing w:before="0" w:after="0" w:line="276" w:lineRule="auto"/>
              <w:rPr>
                <w:noProof/>
              </w:rPr>
            </w:pPr>
            <w:r>
              <w:rPr>
                <w:noProof/>
              </w:rPr>
              <w:t>7500 četrti nivojski števci;</w:t>
            </w:r>
          </w:p>
          <w:p w14:paraId="4D33CBA1" w14:textId="77777777" w:rsidR="00154E32" w:rsidRDefault="00A43E04">
            <w:pPr>
              <w:pStyle w:val="P68B1DB1-ListParagraph13"/>
              <w:numPr>
                <w:ilvl w:val="0"/>
                <w:numId w:val="94"/>
              </w:numPr>
              <w:spacing w:before="0" w:after="0" w:line="276" w:lineRule="auto"/>
              <w:rPr>
                <w:noProof/>
              </w:rPr>
            </w:pPr>
            <w:r>
              <w:rPr>
                <w:noProof/>
              </w:rPr>
              <w:t>Digitalizacija in izboljšanje omrežja.</w:t>
            </w:r>
          </w:p>
        </w:tc>
      </w:tr>
      <w:tr w:rsidR="00154E32" w14:paraId="3FB36B7D" w14:textId="77777777">
        <w:trPr>
          <w:trHeight w:val="313"/>
          <w:jc w:val="center"/>
        </w:trPr>
        <w:tc>
          <w:tcPr>
            <w:tcW w:w="1130" w:type="dxa"/>
            <w:shd w:val="clear" w:color="auto" w:fill="C6EFCE"/>
            <w:noWrap/>
            <w:vAlign w:val="center"/>
            <w:hideMark/>
          </w:tcPr>
          <w:p w14:paraId="4744199F" w14:textId="77777777" w:rsidR="00154E32" w:rsidRDefault="00A43E04">
            <w:pPr>
              <w:pStyle w:val="P68B1DB1-Normal11"/>
              <w:spacing w:line="276" w:lineRule="auto"/>
              <w:jc w:val="center"/>
              <w:rPr>
                <w:noProof/>
              </w:rPr>
            </w:pPr>
            <w:r>
              <w:rPr>
                <w:noProof/>
              </w:rPr>
              <w:t>M2C4–34a</w:t>
            </w:r>
          </w:p>
        </w:tc>
        <w:tc>
          <w:tcPr>
            <w:tcW w:w="1560" w:type="dxa"/>
            <w:shd w:val="clear" w:color="auto" w:fill="C6EFCE"/>
            <w:noWrap/>
            <w:vAlign w:val="center"/>
            <w:hideMark/>
          </w:tcPr>
          <w:p w14:paraId="1A97D3C3" w14:textId="77777777" w:rsidR="00154E32" w:rsidRDefault="00A43E04">
            <w:pPr>
              <w:pStyle w:val="P68B1DB1-Normal11"/>
              <w:spacing w:line="276" w:lineRule="auto"/>
              <w:jc w:val="center"/>
              <w:rPr>
                <w:noProof/>
              </w:rPr>
            </w:pPr>
            <w:r>
              <w:rPr>
                <w:noProof/>
              </w:rPr>
              <w:t>Naložba 4.3 Naložbe v odpornost namakalnega kmetijskega sistema za boljše upravljanje vodnih virov</w:t>
            </w:r>
          </w:p>
        </w:tc>
        <w:tc>
          <w:tcPr>
            <w:tcW w:w="1134" w:type="dxa"/>
            <w:shd w:val="clear" w:color="auto" w:fill="C6EFCE"/>
            <w:noWrap/>
            <w:vAlign w:val="center"/>
            <w:hideMark/>
          </w:tcPr>
          <w:p w14:paraId="4DA3A200" w14:textId="77777777" w:rsidR="00154E32" w:rsidRDefault="00A43E04">
            <w:pPr>
              <w:pStyle w:val="P68B1DB1-Normal11"/>
              <w:spacing w:line="276" w:lineRule="auto"/>
              <w:jc w:val="center"/>
              <w:rPr>
                <w:noProof/>
              </w:rPr>
            </w:pPr>
            <w:r>
              <w:rPr>
                <w:noProof/>
              </w:rPr>
              <w:t>Tarča</w:t>
            </w:r>
          </w:p>
        </w:tc>
        <w:tc>
          <w:tcPr>
            <w:tcW w:w="1559" w:type="dxa"/>
            <w:shd w:val="clear" w:color="auto" w:fill="C6EFCE"/>
            <w:noWrap/>
            <w:vAlign w:val="center"/>
            <w:hideMark/>
          </w:tcPr>
          <w:p w14:paraId="198AC2C1" w14:textId="77777777" w:rsidR="00154E32" w:rsidRDefault="00A43E04">
            <w:pPr>
              <w:pStyle w:val="P68B1DB1-Normal11"/>
              <w:spacing w:line="276" w:lineRule="auto"/>
              <w:jc w:val="center"/>
              <w:rPr>
                <w:noProof/>
              </w:rPr>
            </w:pPr>
            <w:r>
              <w:rPr>
                <w:noProof/>
              </w:rPr>
              <w:t>Intervencije za odpornost namakalnega kmetijskega sistema za boljše upravljanje vodnih virov T1</w:t>
            </w:r>
          </w:p>
        </w:tc>
        <w:tc>
          <w:tcPr>
            <w:tcW w:w="1383" w:type="dxa"/>
            <w:shd w:val="clear" w:color="auto" w:fill="C6EFCE"/>
            <w:noWrap/>
            <w:vAlign w:val="center"/>
            <w:hideMark/>
          </w:tcPr>
          <w:p w14:paraId="7B5E170A" w14:textId="77777777" w:rsidR="00154E32" w:rsidRDefault="00A43E04">
            <w:pPr>
              <w:pStyle w:val="P68B1DB1-Normal11"/>
              <w:spacing w:line="276" w:lineRule="auto"/>
              <w:jc w:val="center"/>
              <w:rPr>
                <w:noProof/>
              </w:rPr>
            </w:pPr>
            <w:r>
              <w:rPr>
                <w:noProof/>
              </w:rPr>
              <w:t>JIH NI</w:t>
            </w:r>
          </w:p>
        </w:tc>
        <w:tc>
          <w:tcPr>
            <w:tcW w:w="1094" w:type="dxa"/>
            <w:shd w:val="clear" w:color="auto" w:fill="C6EFCE"/>
            <w:noWrap/>
            <w:vAlign w:val="center"/>
            <w:hideMark/>
          </w:tcPr>
          <w:p w14:paraId="63A6CBEC" w14:textId="77777777" w:rsidR="00154E32" w:rsidRDefault="00A43E04">
            <w:pPr>
              <w:pStyle w:val="P68B1DB1-Normal11"/>
              <w:spacing w:line="276" w:lineRule="auto"/>
              <w:jc w:val="center"/>
              <w:rPr>
                <w:noProof/>
              </w:rPr>
            </w:pPr>
            <w:r>
              <w:rPr>
                <w:noProof/>
              </w:rPr>
              <w:t>Delež</w:t>
            </w:r>
          </w:p>
        </w:tc>
        <w:tc>
          <w:tcPr>
            <w:tcW w:w="1290" w:type="dxa"/>
            <w:shd w:val="clear" w:color="auto" w:fill="C6EFCE"/>
            <w:noWrap/>
            <w:vAlign w:val="center"/>
            <w:hideMark/>
          </w:tcPr>
          <w:p w14:paraId="10EA0F27" w14:textId="77777777" w:rsidR="00154E32" w:rsidRDefault="00A43E04">
            <w:pPr>
              <w:pStyle w:val="P68B1DB1-Normal11"/>
              <w:spacing w:line="276" w:lineRule="auto"/>
              <w:jc w:val="center"/>
              <w:rPr>
                <w:noProof/>
              </w:rPr>
            </w:pPr>
            <w:r>
              <w:rPr>
                <w:noProof/>
              </w:rPr>
              <w:t>26</w:t>
            </w:r>
          </w:p>
        </w:tc>
        <w:tc>
          <w:tcPr>
            <w:tcW w:w="1194" w:type="dxa"/>
            <w:shd w:val="clear" w:color="auto" w:fill="C6EFCE"/>
            <w:noWrap/>
            <w:vAlign w:val="center"/>
            <w:hideMark/>
          </w:tcPr>
          <w:p w14:paraId="7E540CA7" w14:textId="77777777" w:rsidR="00154E32" w:rsidRDefault="00A43E04">
            <w:pPr>
              <w:pStyle w:val="P68B1DB1-Normal11"/>
              <w:spacing w:line="276" w:lineRule="auto"/>
              <w:jc w:val="center"/>
              <w:rPr>
                <w:noProof/>
              </w:rPr>
            </w:pPr>
            <w:r>
              <w:rPr>
                <w:noProof/>
              </w:rPr>
              <w:t>29</w:t>
            </w:r>
          </w:p>
        </w:tc>
        <w:tc>
          <w:tcPr>
            <w:tcW w:w="916" w:type="dxa"/>
            <w:shd w:val="clear" w:color="auto" w:fill="C6EFCE"/>
            <w:noWrap/>
            <w:vAlign w:val="center"/>
            <w:hideMark/>
          </w:tcPr>
          <w:p w14:paraId="7976596D" w14:textId="77777777" w:rsidR="00154E32" w:rsidRDefault="00A43E04">
            <w:pPr>
              <w:pStyle w:val="P68B1DB1-Normal11"/>
              <w:spacing w:line="276" w:lineRule="auto"/>
              <w:jc w:val="center"/>
              <w:rPr>
                <w:noProof/>
              </w:rPr>
            </w:pPr>
            <w:r>
              <w:rPr>
                <w:noProof/>
              </w:rPr>
              <w:t>Q2</w:t>
            </w:r>
          </w:p>
        </w:tc>
        <w:tc>
          <w:tcPr>
            <w:tcW w:w="638" w:type="dxa"/>
            <w:shd w:val="clear" w:color="auto" w:fill="C6EFCE"/>
            <w:noWrap/>
            <w:vAlign w:val="center"/>
            <w:hideMark/>
          </w:tcPr>
          <w:p w14:paraId="4C51A70E" w14:textId="77777777" w:rsidR="00154E32" w:rsidRDefault="00A43E04">
            <w:pPr>
              <w:pStyle w:val="P68B1DB1-Normal11"/>
              <w:spacing w:line="276" w:lineRule="auto"/>
              <w:jc w:val="center"/>
              <w:rPr>
                <w:noProof/>
              </w:rPr>
            </w:pPr>
            <w:r>
              <w:rPr>
                <w:noProof/>
              </w:rPr>
              <w:t>2026</w:t>
            </w:r>
          </w:p>
        </w:tc>
        <w:tc>
          <w:tcPr>
            <w:tcW w:w="4116" w:type="dxa"/>
            <w:shd w:val="clear" w:color="auto" w:fill="C6EFCE"/>
            <w:noWrap/>
            <w:vAlign w:val="center"/>
            <w:hideMark/>
          </w:tcPr>
          <w:p w14:paraId="738292AF" w14:textId="77777777" w:rsidR="00154E32" w:rsidRDefault="00A43E04">
            <w:pPr>
              <w:pStyle w:val="P68B1DB1-Normal11"/>
              <w:spacing w:line="276" w:lineRule="auto"/>
              <w:rPr>
                <w:noProof/>
              </w:rPr>
            </w:pPr>
            <w:r>
              <w:rPr>
                <w:noProof/>
              </w:rPr>
              <w:t>Povečati odstotek odjemnih virov, opremljenih s števci, na vsaj 29 %.</w:t>
            </w:r>
          </w:p>
          <w:p w14:paraId="7342322A" w14:textId="77777777" w:rsidR="00154E32" w:rsidRDefault="00A43E04">
            <w:pPr>
              <w:pStyle w:val="P68B1DB1-Normal11"/>
              <w:spacing w:line="276" w:lineRule="auto"/>
              <w:rPr>
                <w:noProof/>
              </w:rPr>
            </w:pPr>
            <w:r>
              <w:rPr>
                <w:noProof/>
              </w:rPr>
              <w:t>Ukrepi za splošno učinkovitost omrežja vključujejo tudi namestitev:</w:t>
            </w:r>
          </w:p>
          <w:p w14:paraId="4D8B795B" w14:textId="77777777" w:rsidR="00154E32" w:rsidRDefault="00A43E04">
            <w:pPr>
              <w:pStyle w:val="P68B1DB1-ListParagraph13"/>
              <w:numPr>
                <w:ilvl w:val="0"/>
                <w:numId w:val="93"/>
              </w:numPr>
              <w:spacing w:before="0" w:after="0" w:line="276" w:lineRule="auto"/>
              <w:rPr>
                <w:noProof/>
              </w:rPr>
            </w:pPr>
            <w:r>
              <w:rPr>
                <w:noProof/>
              </w:rPr>
              <w:t>500 števcev na tretji ravni;</w:t>
            </w:r>
          </w:p>
          <w:p w14:paraId="7ABB7AE3" w14:textId="36BABA83" w:rsidR="00154E32" w:rsidRDefault="00A43E04">
            <w:pPr>
              <w:pStyle w:val="P68B1DB1-ListParagraph13"/>
              <w:numPr>
                <w:ilvl w:val="0"/>
                <w:numId w:val="93"/>
              </w:numPr>
              <w:spacing w:before="0" w:after="0" w:line="276" w:lineRule="auto"/>
              <w:rPr>
                <w:noProof/>
              </w:rPr>
            </w:pPr>
            <w:r>
              <w:rPr>
                <w:noProof/>
              </w:rPr>
              <w:t>20000 števcev na četrti ravni;</w:t>
            </w:r>
          </w:p>
          <w:p w14:paraId="056646B6" w14:textId="77777777" w:rsidR="00154E32" w:rsidRDefault="00A43E04">
            <w:pPr>
              <w:pStyle w:val="P68B1DB1-ListParagraph13"/>
              <w:numPr>
                <w:ilvl w:val="0"/>
                <w:numId w:val="93"/>
              </w:numPr>
              <w:spacing w:before="0" w:after="0" w:line="276" w:lineRule="auto"/>
              <w:rPr>
                <w:noProof/>
              </w:rPr>
            </w:pPr>
            <w:r>
              <w:rPr>
                <w:noProof/>
              </w:rPr>
              <w:t>Digitalizacija in izboljšanje omrežja.</w:t>
            </w:r>
          </w:p>
        </w:tc>
      </w:tr>
      <w:tr w:rsidR="00154E32" w14:paraId="64419A47" w14:textId="77777777">
        <w:trPr>
          <w:trHeight w:val="313"/>
          <w:jc w:val="center"/>
        </w:trPr>
        <w:tc>
          <w:tcPr>
            <w:tcW w:w="1130" w:type="dxa"/>
            <w:shd w:val="clear" w:color="auto" w:fill="C6EFCE"/>
            <w:noWrap/>
            <w:vAlign w:val="center"/>
          </w:tcPr>
          <w:p w14:paraId="612F7D2A" w14:textId="77777777" w:rsidR="00154E32" w:rsidRDefault="00A43E04">
            <w:pPr>
              <w:pStyle w:val="P68B1DB1-Normal11"/>
              <w:spacing w:line="276" w:lineRule="auto"/>
              <w:jc w:val="center"/>
              <w:rPr>
                <w:noProof/>
              </w:rPr>
            </w:pPr>
            <w:r>
              <w:rPr>
                <w:noProof/>
              </w:rPr>
              <w:t>M2C4–35</w:t>
            </w:r>
          </w:p>
        </w:tc>
        <w:tc>
          <w:tcPr>
            <w:tcW w:w="1560" w:type="dxa"/>
            <w:shd w:val="clear" w:color="auto" w:fill="C6EFCE"/>
            <w:noWrap/>
            <w:vAlign w:val="center"/>
          </w:tcPr>
          <w:p w14:paraId="75E19D87" w14:textId="77777777" w:rsidR="00154E32" w:rsidRDefault="00A43E04">
            <w:pPr>
              <w:pStyle w:val="P68B1DB1-Normal11"/>
              <w:spacing w:line="276" w:lineRule="auto"/>
              <w:jc w:val="center"/>
              <w:rPr>
                <w:noProof/>
              </w:rPr>
            </w:pPr>
            <w:r>
              <w:rPr>
                <w:noProof/>
              </w:rPr>
              <w:t>Naložba 4.3 Naložbe v odpornost namakalnega kmetijskega sistema za boljše upravljanje vodnih virov</w:t>
            </w:r>
          </w:p>
        </w:tc>
        <w:tc>
          <w:tcPr>
            <w:tcW w:w="1134" w:type="dxa"/>
            <w:shd w:val="clear" w:color="auto" w:fill="C6EFCE"/>
            <w:noWrap/>
            <w:vAlign w:val="center"/>
          </w:tcPr>
          <w:p w14:paraId="6B654C1C" w14:textId="77777777" w:rsidR="00154E32" w:rsidRDefault="00A43E04">
            <w:pPr>
              <w:pStyle w:val="P68B1DB1-Normal11"/>
              <w:spacing w:line="276" w:lineRule="auto"/>
              <w:jc w:val="center"/>
              <w:rPr>
                <w:noProof/>
              </w:rPr>
            </w:pPr>
            <w:r>
              <w:rPr>
                <w:noProof/>
              </w:rPr>
              <w:t>Tarča</w:t>
            </w:r>
          </w:p>
        </w:tc>
        <w:tc>
          <w:tcPr>
            <w:tcW w:w="1559" w:type="dxa"/>
            <w:shd w:val="clear" w:color="auto" w:fill="C6EFCE"/>
            <w:noWrap/>
            <w:vAlign w:val="center"/>
          </w:tcPr>
          <w:p w14:paraId="2825C8FB" w14:textId="77777777" w:rsidR="00154E32" w:rsidRDefault="00A43E04">
            <w:pPr>
              <w:pStyle w:val="P68B1DB1-Normal11"/>
              <w:spacing w:line="276" w:lineRule="auto"/>
              <w:jc w:val="center"/>
              <w:rPr>
                <w:noProof/>
              </w:rPr>
            </w:pPr>
            <w:r>
              <w:rPr>
                <w:noProof/>
              </w:rPr>
              <w:t>Intervencije za odpornost namakalnega kmetijskega sistema za boljše upravljanje vodnih virov T1</w:t>
            </w:r>
          </w:p>
        </w:tc>
        <w:tc>
          <w:tcPr>
            <w:tcW w:w="1383" w:type="dxa"/>
            <w:shd w:val="clear" w:color="auto" w:fill="C6EFCE"/>
            <w:noWrap/>
            <w:vAlign w:val="center"/>
          </w:tcPr>
          <w:p w14:paraId="4C9C13EF" w14:textId="77777777" w:rsidR="00154E32" w:rsidRDefault="00A43E04">
            <w:pPr>
              <w:pStyle w:val="P68B1DB1-Normal11"/>
              <w:spacing w:line="276" w:lineRule="auto"/>
              <w:jc w:val="center"/>
              <w:rPr>
                <w:noProof/>
              </w:rPr>
            </w:pPr>
            <w:r>
              <w:rPr>
                <w:noProof/>
              </w:rPr>
              <w:t>JIH NI</w:t>
            </w:r>
          </w:p>
        </w:tc>
        <w:tc>
          <w:tcPr>
            <w:tcW w:w="1094" w:type="dxa"/>
            <w:shd w:val="clear" w:color="auto" w:fill="C6EFCE"/>
            <w:noWrap/>
            <w:vAlign w:val="center"/>
          </w:tcPr>
          <w:p w14:paraId="1AB58DFF" w14:textId="77777777" w:rsidR="00154E32" w:rsidRDefault="00A43E04">
            <w:pPr>
              <w:pStyle w:val="P68B1DB1-Normal11"/>
              <w:spacing w:line="276" w:lineRule="auto"/>
              <w:jc w:val="center"/>
              <w:rPr>
                <w:noProof/>
              </w:rPr>
            </w:pPr>
            <w:r>
              <w:rPr>
                <w:noProof/>
              </w:rPr>
              <w:t>Delež</w:t>
            </w:r>
          </w:p>
        </w:tc>
        <w:tc>
          <w:tcPr>
            <w:tcW w:w="1290" w:type="dxa"/>
            <w:shd w:val="clear" w:color="auto" w:fill="C6EFCE"/>
            <w:noWrap/>
            <w:vAlign w:val="center"/>
          </w:tcPr>
          <w:p w14:paraId="42151EC4" w14:textId="77777777" w:rsidR="00154E32" w:rsidRDefault="00A43E04">
            <w:pPr>
              <w:pStyle w:val="P68B1DB1-Normal11"/>
              <w:spacing w:line="276" w:lineRule="auto"/>
              <w:jc w:val="center"/>
              <w:rPr>
                <w:noProof/>
              </w:rPr>
            </w:pPr>
            <w:r>
              <w:rPr>
                <w:noProof/>
              </w:rPr>
              <w:t>8</w:t>
            </w:r>
          </w:p>
        </w:tc>
        <w:tc>
          <w:tcPr>
            <w:tcW w:w="1194" w:type="dxa"/>
            <w:shd w:val="clear" w:color="auto" w:fill="C6EFCE"/>
            <w:noWrap/>
            <w:vAlign w:val="center"/>
          </w:tcPr>
          <w:p w14:paraId="3F4A28B5" w14:textId="77777777" w:rsidR="00154E32" w:rsidRDefault="00A43E04">
            <w:pPr>
              <w:pStyle w:val="P68B1DB1-Normal11"/>
              <w:spacing w:line="276" w:lineRule="auto"/>
              <w:jc w:val="center"/>
              <w:rPr>
                <w:noProof/>
              </w:rPr>
            </w:pPr>
            <w:r>
              <w:rPr>
                <w:noProof/>
              </w:rPr>
              <w:t>12</w:t>
            </w:r>
          </w:p>
        </w:tc>
        <w:tc>
          <w:tcPr>
            <w:tcW w:w="916" w:type="dxa"/>
            <w:shd w:val="clear" w:color="auto" w:fill="C6EFCE"/>
            <w:noWrap/>
            <w:vAlign w:val="center"/>
          </w:tcPr>
          <w:p w14:paraId="1B0889FD" w14:textId="77777777" w:rsidR="00154E32" w:rsidRDefault="00A43E04">
            <w:pPr>
              <w:pStyle w:val="P68B1DB1-Normal11"/>
              <w:spacing w:line="276" w:lineRule="auto"/>
              <w:jc w:val="center"/>
              <w:rPr>
                <w:noProof/>
              </w:rPr>
            </w:pPr>
            <w:r>
              <w:rPr>
                <w:noProof/>
              </w:rPr>
              <w:t>Q4</w:t>
            </w:r>
          </w:p>
        </w:tc>
        <w:tc>
          <w:tcPr>
            <w:tcW w:w="638" w:type="dxa"/>
            <w:shd w:val="clear" w:color="auto" w:fill="C6EFCE"/>
            <w:noWrap/>
            <w:vAlign w:val="center"/>
          </w:tcPr>
          <w:p w14:paraId="31A26768" w14:textId="77777777" w:rsidR="00154E32" w:rsidRDefault="00A43E04">
            <w:pPr>
              <w:pStyle w:val="P68B1DB1-Normal11"/>
              <w:spacing w:line="276" w:lineRule="auto"/>
              <w:jc w:val="center"/>
              <w:rPr>
                <w:noProof/>
              </w:rPr>
            </w:pPr>
            <w:r>
              <w:rPr>
                <w:noProof/>
              </w:rPr>
              <w:t>2024</w:t>
            </w:r>
          </w:p>
        </w:tc>
        <w:tc>
          <w:tcPr>
            <w:tcW w:w="4116" w:type="dxa"/>
            <w:shd w:val="clear" w:color="auto" w:fill="C6EFCE"/>
            <w:noWrap/>
            <w:vAlign w:val="center"/>
          </w:tcPr>
          <w:p w14:paraId="3E65D8F9" w14:textId="432B8D4B" w:rsidR="00154E32" w:rsidRDefault="00A43E04">
            <w:pPr>
              <w:pStyle w:val="P68B1DB1-Normal11"/>
              <w:spacing w:line="276" w:lineRule="auto"/>
              <w:rPr>
                <w:noProof/>
              </w:rPr>
            </w:pPr>
            <w:r>
              <w:rPr>
                <w:noProof/>
              </w:rPr>
              <w:t>Vsaj 12 % je delež namakanih površin upravičen do učinkovite uporabe namakalnih virov.</w:t>
            </w:r>
          </w:p>
        </w:tc>
      </w:tr>
      <w:tr w:rsidR="00154E32" w14:paraId="338CEEAC" w14:textId="77777777">
        <w:trPr>
          <w:trHeight w:val="313"/>
          <w:jc w:val="center"/>
        </w:trPr>
        <w:tc>
          <w:tcPr>
            <w:tcW w:w="1130" w:type="dxa"/>
            <w:shd w:val="clear" w:color="auto" w:fill="C6EFCE"/>
            <w:noWrap/>
            <w:vAlign w:val="center"/>
          </w:tcPr>
          <w:p w14:paraId="43C87D1F" w14:textId="77777777" w:rsidR="00154E32" w:rsidRDefault="00A43E04">
            <w:pPr>
              <w:pStyle w:val="P68B1DB1-Normal11"/>
              <w:spacing w:line="276" w:lineRule="auto"/>
              <w:jc w:val="center"/>
              <w:rPr>
                <w:noProof/>
              </w:rPr>
            </w:pPr>
            <w:r>
              <w:rPr>
                <w:noProof/>
              </w:rPr>
              <w:t>M2C4–35a</w:t>
            </w:r>
          </w:p>
        </w:tc>
        <w:tc>
          <w:tcPr>
            <w:tcW w:w="1560" w:type="dxa"/>
            <w:shd w:val="clear" w:color="auto" w:fill="C6EFCE"/>
            <w:noWrap/>
            <w:vAlign w:val="center"/>
          </w:tcPr>
          <w:p w14:paraId="7D74D43E" w14:textId="77777777" w:rsidR="00154E32" w:rsidRDefault="00A43E04">
            <w:pPr>
              <w:pStyle w:val="P68B1DB1-Normal11"/>
              <w:spacing w:line="276" w:lineRule="auto"/>
              <w:jc w:val="center"/>
              <w:rPr>
                <w:noProof/>
              </w:rPr>
            </w:pPr>
            <w:r>
              <w:rPr>
                <w:noProof/>
              </w:rPr>
              <w:t>Naložba 4.3 Naložbe v odpornost namakalnega kmetijskega sistema za boljše upravljanje vodnih virov</w:t>
            </w:r>
          </w:p>
        </w:tc>
        <w:tc>
          <w:tcPr>
            <w:tcW w:w="1134" w:type="dxa"/>
            <w:shd w:val="clear" w:color="auto" w:fill="C6EFCE"/>
            <w:noWrap/>
            <w:vAlign w:val="center"/>
          </w:tcPr>
          <w:p w14:paraId="05FF4164" w14:textId="77777777" w:rsidR="00154E32" w:rsidRDefault="00A43E04">
            <w:pPr>
              <w:pStyle w:val="P68B1DB1-Normal11"/>
              <w:spacing w:line="276" w:lineRule="auto"/>
              <w:jc w:val="center"/>
              <w:rPr>
                <w:noProof/>
              </w:rPr>
            </w:pPr>
            <w:r>
              <w:rPr>
                <w:noProof/>
              </w:rPr>
              <w:t>Tarča</w:t>
            </w:r>
          </w:p>
        </w:tc>
        <w:tc>
          <w:tcPr>
            <w:tcW w:w="1559" w:type="dxa"/>
            <w:shd w:val="clear" w:color="auto" w:fill="C6EFCE"/>
            <w:noWrap/>
            <w:vAlign w:val="center"/>
          </w:tcPr>
          <w:p w14:paraId="2C7C5E57" w14:textId="77777777" w:rsidR="00154E32" w:rsidRDefault="00A43E04">
            <w:pPr>
              <w:pStyle w:val="P68B1DB1-Normal11"/>
              <w:spacing w:line="276" w:lineRule="auto"/>
              <w:jc w:val="center"/>
              <w:rPr>
                <w:noProof/>
              </w:rPr>
            </w:pPr>
            <w:r>
              <w:rPr>
                <w:noProof/>
              </w:rPr>
              <w:t>Intervencije za odpornost namakalnega kmetijskega sistema za boljše upravljanje vodnih virov T2</w:t>
            </w:r>
          </w:p>
        </w:tc>
        <w:tc>
          <w:tcPr>
            <w:tcW w:w="1383" w:type="dxa"/>
            <w:shd w:val="clear" w:color="auto" w:fill="C6EFCE"/>
            <w:noWrap/>
            <w:vAlign w:val="center"/>
          </w:tcPr>
          <w:p w14:paraId="3A3BEE3F" w14:textId="77777777" w:rsidR="00154E32" w:rsidRDefault="00A43E04">
            <w:pPr>
              <w:pStyle w:val="P68B1DB1-Normal11"/>
              <w:spacing w:line="276" w:lineRule="auto"/>
              <w:jc w:val="center"/>
              <w:rPr>
                <w:noProof/>
              </w:rPr>
            </w:pPr>
            <w:r>
              <w:rPr>
                <w:noProof/>
              </w:rPr>
              <w:t>JIH NI</w:t>
            </w:r>
          </w:p>
        </w:tc>
        <w:tc>
          <w:tcPr>
            <w:tcW w:w="1094" w:type="dxa"/>
            <w:shd w:val="clear" w:color="auto" w:fill="C6EFCE"/>
            <w:noWrap/>
            <w:vAlign w:val="center"/>
          </w:tcPr>
          <w:p w14:paraId="282FBB08" w14:textId="77777777" w:rsidR="00154E32" w:rsidRDefault="00A43E04">
            <w:pPr>
              <w:pStyle w:val="P68B1DB1-Normal11"/>
              <w:spacing w:line="276" w:lineRule="auto"/>
              <w:jc w:val="center"/>
              <w:rPr>
                <w:noProof/>
              </w:rPr>
            </w:pPr>
            <w:r>
              <w:rPr>
                <w:noProof/>
              </w:rPr>
              <w:t>Delež</w:t>
            </w:r>
          </w:p>
        </w:tc>
        <w:tc>
          <w:tcPr>
            <w:tcW w:w="1290" w:type="dxa"/>
            <w:shd w:val="clear" w:color="auto" w:fill="C6EFCE"/>
            <w:noWrap/>
            <w:vAlign w:val="center"/>
          </w:tcPr>
          <w:p w14:paraId="4A26FB12" w14:textId="77777777" w:rsidR="00154E32" w:rsidRDefault="00A43E04">
            <w:pPr>
              <w:pStyle w:val="P68B1DB1-Normal11"/>
              <w:spacing w:line="276" w:lineRule="auto"/>
              <w:jc w:val="center"/>
              <w:rPr>
                <w:noProof/>
              </w:rPr>
            </w:pPr>
            <w:r>
              <w:rPr>
                <w:noProof/>
              </w:rPr>
              <w:t>12</w:t>
            </w:r>
          </w:p>
        </w:tc>
        <w:tc>
          <w:tcPr>
            <w:tcW w:w="1194" w:type="dxa"/>
            <w:shd w:val="clear" w:color="auto" w:fill="C6EFCE"/>
            <w:noWrap/>
            <w:vAlign w:val="center"/>
          </w:tcPr>
          <w:p w14:paraId="547AC139" w14:textId="77777777" w:rsidR="00154E32" w:rsidRDefault="00A43E04">
            <w:pPr>
              <w:pStyle w:val="P68B1DB1-Normal11"/>
              <w:spacing w:line="276" w:lineRule="auto"/>
              <w:jc w:val="center"/>
              <w:rPr>
                <w:noProof/>
              </w:rPr>
            </w:pPr>
            <w:r>
              <w:rPr>
                <w:noProof/>
              </w:rPr>
              <w:t>24</w:t>
            </w:r>
          </w:p>
        </w:tc>
        <w:tc>
          <w:tcPr>
            <w:tcW w:w="916" w:type="dxa"/>
            <w:shd w:val="clear" w:color="auto" w:fill="C6EFCE"/>
            <w:noWrap/>
            <w:vAlign w:val="center"/>
          </w:tcPr>
          <w:p w14:paraId="04537FD4" w14:textId="77777777" w:rsidR="00154E32" w:rsidRDefault="00A43E04">
            <w:pPr>
              <w:pStyle w:val="P68B1DB1-Normal11"/>
              <w:spacing w:line="276" w:lineRule="auto"/>
              <w:jc w:val="center"/>
              <w:rPr>
                <w:noProof/>
              </w:rPr>
            </w:pPr>
            <w:r>
              <w:rPr>
                <w:noProof/>
              </w:rPr>
              <w:t>ČETRTLETJE 1</w:t>
            </w:r>
          </w:p>
        </w:tc>
        <w:tc>
          <w:tcPr>
            <w:tcW w:w="638" w:type="dxa"/>
            <w:shd w:val="clear" w:color="auto" w:fill="C6EFCE"/>
            <w:noWrap/>
            <w:vAlign w:val="center"/>
          </w:tcPr>
          <w:p w14:paraId="125B8C82" w14:textId="77777777" w:rsidR="00154E32" w:rsidRDefault="00A43E04">
            <w:pPr>
              <w:pStyle w:val="P68B1DB1-Normal11"/>
              <w:spacing w:line="276" w:lineRule="auto"/>
              <w:jc w:val="center"/>
              <w:rPr>
                <w:noProof/>
              </w:rPr>
            </w:pPr>
            <w:r>
              <w:rPr>
                <w:noProof/>
              </w:rPr>
              <w:t>2026</w:t>
            </w:r>
          </w:p>
        </w:tc>
        <w:tc>
          <w:tcPr>
            <w:tcW w:w="4116" w:type="dxa"/>
            <w:shd w:val="clear" w:color="auto" w:fill="C6EFCE"/>
            <w:noWrap/>
            <w:vAlign w:val="center"/>
          </w:tcPr>
          <w:p w14:paraId="5D2A1C4F" w14:textId="5B21B077" w:rsidR="00154E32" w:rsidRDefault="00A43E04">
            <w:pPr>
              <w:pStyle w:val="P68B1DB1-Normal11"/>
              <w:spacing w:line="276" w:lineRule="auto"/>
              <w:rPr>
                <w:noProof/>
              </w:rPr>
            </w:pPr>
            <w:r>
              <w:rPr>
                <w:noProof/>
              </w:rPr>
              <w:t>Vsaj 24 % deleža namakanih površin, ki imajo koristi od učinkovite rabe namakalnih virov.</w:t>
            </w:r>
          </w:p>
        </w:tc>
      </w:tr>
      <w:tr w:rsidR="00154E32" w14:paraId="6854DDC3" w14:textId="77777777">
        <w:trPr>
          <w:trHeight w:val="313"/>
          <w:jc w:val="center"/>
        </w:trPr>
        <w:tc>
          <w:tcPr>
            <w:tcW w:w="1130" w:type="dxa"/>
            <w:shd w:val="clear" w:color="auto" w:fill="C6EFCE"/>
            <w:noWrap/>
            <w:vAlign w:val="center"/>
            <w:hideMark/>
          </w:tcPr>
          <w:p w14:paraId="40AD0C82" w14:textId="77777777" w:rsidR="00154E32" w:rsidRDefault="00A43E04">
            <w:pPr>
              <w:pStyle w:val="P68B1DB1-Normal11"/>
              <w:spacing w:line="276" w:lineRule="auto"/>
              <w:jc w:val="center"/>
              <w:rPr>
                <w:noProof/>
              </w:rPr>
            </w:pPr>
            <w:r>
              <w:rPr>
                <w:noProof/>
              </w:rPr>
              <w:t>M2C4–36</w:t>
            </w:r>
          </w:p>
        </w:tc>
        <w:tc>
          <w:tcPr>
            <w:tcW w:w="1560" w:type="dxa"/>
            <w:shd w:val="clear" w:color="auto" w:fill="C6EFCE"/>
            <w:noWrap/>
            <w:vAlign w:val="center"/>
            <w:hideMark/>
          </w:tcPr>
          <w:p w14:paraId="49C5B0C4" w14:textId="77777777" w:rsidR="00154E32" w:rsidRDefault="00A43E04">
            <w:pPr>
              <w:pStyle w:val="P68B1DB1-Normal11"/>
              <w:spacing w:line="276" w:lineRule="auto"/>
              <w:jc w:val="center"/>
              <w:rPr>
                <w:noProof/>
              </w:rPr>
            </w:pPr>
            <w:r>
              <w:rPr>
                <w:noProof/>
              </w:rPr>
              <w:t>Naložba 4.4 Naložbe v kanalizacijo in čiščenje odpadnih voda</w:t>
            </w:r>
          </w:p>
        </w:tc>
        <w:tc>
          <w:tcPr>
            <w:tcW w:w="1134" w:type="dxa"/>
            <w:shd w:val="clear" w:color="auto" w:fill="C6EFCE"/>
            <w:noWrap/>
            <w:vAlign w:val="center"/>
            <w:hideMark/>
          </w:tcPr>
          <w:p w14:paraId="401B2B5E" w14:textId="77777777" w:rsidR="00154E32" w:rsidRDefault="00A43E04">
            <w:pPr>
              <w:pStyle w:val="P68B1DB1-Normal11"/>
              <w:spacing w:line="276" w:lineRule="auto"/>
              <w:jc w:val="center"/>
              <w:rPr>
                <w:noProof/>
              </w:rPr>
            </w:pPr>
            <w:r>
              <w:rPr>
                <w:noProof/>
              </w:rPr>
              <w:t>Mejnik</w:t>
            </w:r>
          </w:p>
        </w:tc>
        <w:tc>
          <w:tcPr>
            <w:tcW w:w="1559" w:type="dxa"/>
            <w:shd w:val="clear" w:color="auto" w:fill="C6EFCE"/>
            <w:noWrap/>
            <w:vAlign w:val="center"/>
            <w:hideMark/>
          </w:tcPr>
          <w:p w14:paraId="6D5B78A8" w14:textId="77777777" w:rsidR="00154E32" w:rsidRDefault="00A43E04">
            <w:pPr>
              <w:pStyle w:val="P68B1DB1-Normal11"/>
              <w:spacing w:line="276" w:lineRule="auto"/>
              <w:jc w:val="center"/>
              <w:rPr>
                <w:noProof/>
              </w:rPr>
            </w:pPr>
            <w:r>
              <w:rPr>
                <w:noProof/>
              </w:rPr>
              <w:t>Oddaja vseh javnih naročil za kanalizacijo in čiščenje</w:t>
            </w:r>
          </w:p>
        </w:tc>
        <w:tc>
          <w:tcPr>
            <w:tcW w:w="1383" w:type="dxa"/>
            <w:shd w:val="clear" w:color="auto" w:fill="C6EFCE"/>
            <w:noWrap/>
            <w:vAlign w:val="center"/>
            <w:hideMark/>
          </w:tcPr>
          <w:p w14:paraId="6930B81E" w14:textId="77777777" w:rsidR="00154E32" w:rsidRDefault="00A43E04">
            <w:pPr>
              <w:pStyle w:val="P68B1DB1-Normal11"/>
              <w:spacing w:line="276" w:lineRule="auto"/>
              <w:jc w:val="center"/>
              <w:rPr>
                <w:noProof/>
              </w:rPr>
            </w:pPr>
            <w:r>
              <w:rPr>
                <w:noProof/>
              </w:rPr>
              <w:t>priglasitev vseh javnih naročil za kanalizacijo in čiščenje odpadnih voda</w:t>
            </w:r>
          </w:p>
        </w:tc>
        <w:tc>
          <w:tcPr>
            <w:tcW w:w="1094" w:type="dxa"/>
            <w:shd w:val="clear" w:color="auto" w:fill="C6EFCE"/>
            <w:noWrap/>
            <w:vAlign w:val="center"/>
            <w:hideMark/>
          </w:tcPr>
          <w:p w14:paraId="0D14571B" w14:textId="77777777" w:rsidR="00154E32" w:rsidRDefault="00A43E04">
            <w:pPr>
              <w:pStyle w:val="P68B1DB1-Normal11"/>
              <w:spacing w:line="276" w:lineRule="auto"/>
              <w:jc w:val="center"/>
              <w:rPr>
                <w:noProof/>
              </w:rPr>
            </w:pPr>
            <w:r>
              <w:rPr>
                <w:noProof/>
              </w:rPr>
              <w:t>JIH NI</w:t>
            </w:r>
          </w:p>
        </w:tc>
        <w:tc>
          <w:tcPr>
            <w:tcW w:w="1290" w:type="dxa"/>
            <w:shd w:val="clear" w:color="auto" w:fill="C6EFCE"/>
            <w:noWrap/>
            <w:vAlign w:val="center"/>
            <w:hideMark/>
          </w:tcPr>
          <w:p w14:paraId="605E521E" w14:textId="77777777" w:rsidR="00154E32" w:rsidRDefault="00A43E04">
            <w:pPr>
              <w:pStyle w:val="P68B1DB1-Normal11"/>
              <w:spacing w:line="276" w:lineRule="auto"/>
              <w:jc w:val="center"/>
              <w:rPr>
                <w:noProof/>
              </w:rPr>
            </w:pPr>
            <w:r>
              <w:rPr>
                <w:noProof/>
              </w:rPr>
              <w:t xml:space="preserve">JIH NI </w:t>
            </w:r>
          </w:p>
          <w:p w14:paraId="1D81224A" w14:textId="77777777" w:rsidR="00154E32" w:rsidRDefault="00154E32">
            <w:pPr>
              <w:spacing w:line="276" w:lineRule="auto"/>
              <w:jc w:val="center"/>
              <w:rPr>
                <w:rFonts w:ascii="Arial Narrow" w:hAnsi="Arial Narrow"/>
                <w:noProof/>
                <w:color w:val="006100"/>
                <w:sz w:val="20"/>
              </w:rPr>
            </w:pPr>
          </w:p>
        </w:tc>
        <w:tc>
          <w:tcPr>
            <w:tcW w:w="1194" w:type="dxa"/>
            <w:shd w:val="clear" w:color="auto" w:fill="C6EFCE"/>
            <w:noWrap/>
            <w:vAlign w:val="center"/>
            <w:hideMark/>
          </w:tcPr>
          <w:p w14:paraId="7E0D3F1B" w14:textId="701FB616" w:rsidR="00154E32" w:rsidRDefault="00A43E04">
            <w:pPr>
              <w:pStyle w:val="P68B1DB1-Normal11"/>
              <w:spacing w:line="276" w:lineRule="auto"/>
              <w:jc w:val="center"/>
              <w:rPr>
                <w:noProof/>
              </w:rPr>
            </w:pPr>
            <w:r>
              <w:rPr>
                <w:noProof/>
              </w:rPr>
              <w:t>JIH NI</w:t>
            </w:r>
          </w:p>
          <w:p w14:paraId="5D3AE0EC" w14:textId="77777777" w:rsidR="00154E32" w:rsidRDefault="00154E32">
            <w:pPr>
              <w:spacing w:line="276" w:lineRule="auto"/>
              <w:jc w:val="center"/>
              <w:rPr>
                <w:rFonts w:ascii="Arial Narrow" w:hAnsi="Arial Narrow"/>
                <w:noProof/>
                <w:color w:val="006100"/>
                <w:sz w:val="20"/>
              </w:rPr>
            </w:pPr>
          </w:p>
        </w:tc>
        <w:tc>
          <w:tcPr>
            <w:tcW w:w="916" w:type="dxa"/>
            <w:shd w:val="clear" w:color="auto" w:fill="C6EFCE"/>
            <w:noWrap/>
            <w:vAlign w:val="center"/>
            <w:hideMark/>
          </w:tcPr>
          <w:p w14:paraId="36D3B027" w14:textId="77777777" w:rsidR="00154E32" w:rsidRDefault="00A43E04">
            <w:pPr>
              <w:pStyle w:val="P68B1DB1-Normal11"/>
              <w:spacing w:line="276" w:lineRule="auto"/>
              <w:jc w:val="center"/>
              <w:rPr>
                <w:noProof/>
              </w:rPr>
            </w:pPr>
            <w:r>
              <w:rPr>
                <w:noProof/>
              </w:rPr>
              <w:t>Q4</w:t>
            </w:r>
          </w:p>
        </w:tc>
        <w:tc>
          <w:tcPr>
            <w:tcW w:w="638" w:type="dxa"/>
            <w:shd w:val="clear" w:color="auto" w:fill="C6EFCE"/>
            <w:noWrap/>
            <w:vAlign w:val="center"/>
            <w:hideMark/>
          </w:tcPr>
          <w:p w14:paraId="721989A7" w14:textId="77777777" w:rsidR="00154E32" w:rsidRDefault="00A43E04">
            <w:pPr>
              <w:pStyle w:val="P68B1DB1-Normal11"/>
              <w:spacing w:line="276" w:lineRule="auto"/>
              <w:jc w:val="center"/>
              <w:rPr>
                <w:noProof/>
              </w:rPr>
            </w:pPr>
            <w:r>
              <w:rPr>
                <w:noProof/>
              </w:rPr>
              <w:t>2023</w:t>
            </w:r>
          </w:p>
        </w:tc>
        <w:tc>
          <w:tcPr>
            <w:tcW w:w="4116" w:type="dxa"/>
            <w:shd w:val="clear" w:color="auto" w:fill="C6EFCE"/>
            <w:noWrap/>
            <w:vAlign w:val="center"/>
            <w:hideMark/>
          </w:tcPr>
          <w:p w14:paraId="58C2C26E" w14:textId="77777777" w:rsidR="00154E32" w:rsidRDefault="00A43E04">
            <w:pPr>
              <w:pStyle w:val="P68B1DB1-Normal11"/>
              <w:spacing w:line="276" w:lineRule="auto"/>
              <w:rPr>
                <w:noProof/>
              </w:rPr>
            </w:pPr>
            <w:r>
              <w:rPr>
                <w:noProof/>
              </w:rPr>
              <w:t xml:space="preserve">Objava odloka o sprejemu z dodelitvijo (dodelitvijo) financiranja predlogom projekta.  </w:t>
            </w:r>
          </w:p>
          <w:p w14:paraId="42A9CC0E" w14:textId="77777777" w:rsidR="00154E32" w:rsidRDefault="00154E32">
            <w:pPr>
              <w:spacing w:line="276" w:lineRule="auto"/>
              <w:rPr>
                <w:rFonts w:ascii="Arial Narrow" w:hAnsi="Arial Narrow"/>
                <w:noProof/>
                <w:color w:val="006100"/>
                <w:sz w:val="20"/>
              </w:rPr>
            </w:pPr>
          </w:p>
          <w:p w14:paraId="0706039D" w14:textId="77777777" w:rsidR="00154E32" w:rsidRDefault="00A43E04">
            <w:pPr>
              <w:pStyle w:val="P68B1DB1-Normal11"/>
              <w:spacing w:line="276" w:lineRule="auto"/>
              <w:rPr>
                <w:noProof/>
              </w:rPr>
            </w:pPr>
            <w:r>
              <w:rPr>
                <w:noProof/>
              </w:rPr>
              <w:t>Intervencije:</w:t>
            </w:r>
          </w:p>
          <w:p w14:paraId="0CC55F4D" w14:textId="77777777" w:rsidR="00154E32" w:rsidRDefault="00154E32">
            <w:pPr>
              <w:spacing w:line="276" w:lineRule="auto"/>
              <w:rPr>
                <w:rFonts w:ascii="Arial Narrow" w:hAnsi="Arial Narrow"/>
                <w:noProof/>
                <w:color w:val="006100"/>
                <w:sz w:val="20"/>
              </w:rPr>
            </w:pPr>
          </w:p>
          <w:p w14:paraId="0AE5C878" w14:textId="77777777" w:rsidR="00154E32" w:rsidRDefault="00A43E04">
            <w:pPr>
              <w:pStyle w:val="P68B1DB1-ListParagraph13"/>
              <w:numPr>
                <w:ilvl w:val="0"/>
                <w:numId w:val="69"/>
              </w:numPr>
              <w:spacing w:before="0" w:after="0" w:line="276" w:lineRule="auto"/>
              <w:ind w:left="468"/>
              <w:jc w:val="left"/>
              <w:rPr>
                <w:noProof/>
              </w:rPr>
            </w:pPr>
            <w:r>
              <w:rPr>
                <w:noProof/>
              </w:rPr>
              <w:t>Povečati učinkovitost čiščenja odpadne vode, ki se odvaja v morske in celinske vode, tudi s tehnološkimi inovacijami;</w:t>
            </w:r>
          </w:p>
          <w:p w14:paraId="2C485F9D" w14:textId="77777777" w:rsidR="00154E32" w:rsidRDefault="00154E32">
            <w:pPr>
              <w:spacing w:line="276" w:lineRule="auto"/>
              <w:ind w:left="468"/>
              <w:rPr>
                <w:rFonts w:ascii="Arial Narrow" w:hAnsi="Arial Narrow"/>
                <w:noProof/>
                <w:color w:val="006100"/>
                <w:sz w:val="20"/>
              </w:rPr>
            </w:pPr>
          </w:p>
          <w:p w14:paraId="6F88D077" w14:textId="77777777" w:rsidR="00154E32" w:rsidRDefault="00A43E04">
            <w:pPr>
              <w:pStyle w:val="P68B1DB1-ListParagraph13"/>
              <w:numPr>
                <w:ilvl w:val="0"/>
                <w:numId w:val="69"/>
              </w:numPr>
              <w:spacing w:before="0" w:after="0" w:line="276" w:lineRule="auto"/>
              <w:ind w:left="468"/>
              <w:jc w:val="left"/>
              <w:rPr>
                <w:noProof/>
              </w:rPr>
            </w:pPr>
            <w:r>
              <w:rPr>
                <w:noProof/>
              </w:rPr>
              <w:t>Preoblikovanje nekaterih čistilnih naprav, kjer je to mogoče, v „zelene tovarne“, v katerih se prečiščena odpadna voda ponovno uporablja za namakanje in industrijske namene.</w:t>
            </w:r>
          </w:p>
          <w:p w14:paraId="6EB25B8A" w14:textId="77777777" w:rsidR="00154E32" w:rsidRDefault="00154E32">
            <w:pPr>
              <w:rPr>
                <w:rFonts w:ascii="Arial Narrow" w:hAnsi="Arial Narrow"/>
                <w:noProof/>
                <w:color w:val="006100"/>
                <w:sz w:val="20"/>
              </w:rPr>
            </w:pPr>
          </w:p>
          <w:p w14:paraId="4B6EB624" w14:textId="381E829E" w:rsidR="00154E32" w:rsidRDefault="00A43E04">
            <w:pPr>
              <w:pStyle w:val="P68B1DB1-Normal11"/>
              <w:rPr>
                <w:noProof/>
              </w:rPr>
            </w:pPr>
            <w:r>
              <w:rPr>
                <w:noProof/>
              </w:rPr>
              <w:t>Ta ukrep ne škoduje bistveno okoljskim ciljem v smislu člena 17 Uredbe (EU) 2020/852, ob upoštevanju opisa ukrepa in blažilnih ukrepov iz načrta za okrevanje in odpornost v skladu s tehničnimi smernicami za načelo, da se ne škoduje bistveno (2021/C58/01). Zlasti sežiganje blata ni upravičeno.</w:t>
            </w:r>
          </w:p>
          <w:p w14:paraId="714E6A67" w14:textId="77777777" w:rsidR="00154E32" w:rsidRDefault="00154E32">
            <w:pPr>
              <w:spacing w:line="276" w:lineRule="auto"/>
              <w:rPr>
                <w:rFonts w:ascii="Arial Narrow" w:hAnsi="Arial Narrow"/>
                <w:noProof/>
                <w:color w:val="006100"/>
                <w:sz w:val="20"/>
              </w:rPr>
            </w:pPr>
          </w:p>
        </w:tc>
      </w:tr>
      <w:tr w:rsidR="00154E32" w14:paraId="39E1D81A" w14:textId="77777777">
        <w:trPr>
          <w:trHeight w:val="313"/>
          <w:jc w:val="center"/>
        </w:trPr>
        <w:tc>
          <w:tcPr>
            <w:tcW w:w="1130" w:type="dxa"/>
            <w:shd w:val="clear" w:color="auto" w:fill="C6EFCE"/>
            <w:noWrap/>
            <w:vAlign w:val="center"/>
            <w:hideMark/>
          </w:tcPr>
          <w:p w14:paraId="1ACC74DB" w14:textId="77777777" w:rsidR="00154E32" w:rsidRDefault="00A43E04">
            <w:pPr>
              <w:pStyle w:val="P68B1DB1-Normal11"/>
              <w:spacing w:line="276" w:lineRule="auto"/>
              <w:jc w:val="center"/>
              <w:rPr>
                <w:noProof/>
              </w:rPr>
            </w:pPr>
            <w:r>
              <w:rPr>
                <w:noProof/>
              </w:rPr>
              <w:t>M2C4–37</w:t>
            </w:r>
          </w:p>
        </w:tc>
        <w:tc>
          <w:tcPr>
            <w:tcW w:w="1560" w:type="dxa"/>
            <w:shd w:val="clear" w:color="auto" w:fill="C6EFCE"/>
            <w:noWrap/>
            <w:vAlign w:val="center"/>
            <w:hideMark/>
          </w:tcPr>
          <w:p w14:paraId="30ABC86E" w14:textId="77777777" w:rsidR="00154E32" w:rsidRDefault="00A43E04">
            <w:pPr>
              <w:pStyle w:val="P68B1DB1-Normal11"/>
              <w:spacing w:line="276" w:lineRule="auto"/>
              <w:jc w:val="center"/>
              <w:rPr>
                <w:noProof/>
              </w:rPr>
            </w:pPr>
            <w:r>
              <w:rPr>
                <w:noProof/>
              </w:rPr>
              <w:t>Naložba 4.4 Naložbe v kanalizacijo in čiščenje odpadnih voda</w:t>
            </w:r>
          </w:p>
        </w:tc>
        <w:tc>
          <w:tcPr>
            <w:tcW w:w="1134" w:type="dxa"/>
            <w:shd w:val="clear" w:color="auto" w:fill="C6EFCE"/>
            <w:noWrap/>
            <w:vAlign w:val="center"/>
            <w:hideMark/>
          </w:tcPr>
          <w:p w14:paraId="4934F9C1" w14:textId="77777777" w:rsidR="00154E32" w:rsidRDefault="00A43E04">
            <w:pPr>
              <w:pStyle w:val="P68B1DB1-Normal11"/>
              <w:spacing w:line="276" w:lineRule="auto"/>
              <w:jc w:val="center"/>
              <w:rPr>
                <w:noProof/>
              </w:rPr>
            </w:pPr>
            <w:r>
              <w:rPr>
                <w:noProof/>
              </w:rPr>
              <w:t>Tarča</w:t>
            </w:r>
          </w:p>
        </w:tc>
        <w:tc>
          <w:tcPr>
            <w:tcW w:w="1559" w:type="dxa"/>
            <w:shd w:val="clear" w:color="auto" w:fill="C6EFCE"/>
            <w:noWrap/>
            <w:vAlign w:val="center"/>
            <w:hideMark/>
          </w:tcPr>
          <w:p w14:paraId="105E3A22" w14:textId="77777777" w:rsidR="00154E32" w:rsidRDefault="00A43E04">
            <w:pPr>
              <w:pStyle w:val="P68B1DB1-Normal11"/>
              <w:spacing w:line="276" w:lineRule="auto"/>
              <w:jc w:val="center"/>
              <w:rPr>
                <w:noProof/>
              </w:rPr>
            </w:pPr>
            <w:r>
              <w:rPr>
                <w:noProof/>
              </w:rPr>
              <w:t>Posegi v kanalizacijo in čiščenje T1</w:t>
            </w:r>
          </w:p>
        </w:tc>
        <w:tc>
          <w:tcPr>
            <w:tcW w:w="1383" w:type="dxa"/>
            <w:shd w:val="clear" w:color="auto" w:fill="C6EFCE"/>
            <w:noWrap/>
            <w:vAlign w:val="center"/>
            <w:hideMark/>
          </w:tcPr>
          <w:p w14:paraId="09E8D5BD" w14:textId="77777777" w:rsidR="00154E32" w:rsidRDefault="00A43E04">
            <w:pPr>
              <w:pStyle w:val="P68B1DB1-Normal11"/>
              <w:spacing w:line="276" w:lineRule="auto"/>
              <w:jc w:val="center"/>
              <w:rPr>
                <w:noProof/>
              </w:rPr>
            </w:pPr>
            <w:r>
              <w:rPr>
                <w:noProof/>
              </w:rPr>
              <w:t>JIH NI</w:t>
            </w:r>
          </w:p>
        </w:tc>
        <w:tc>
          <w:tcPr>
            <w:tcW w:w="1094" w:type="dxa"/>
            <w:shd w:val="clear" w:color="auto" w:fill="C6EFCE"/>
            <w:noWrap/>
            <w:vAlign w:val="center"/>
            <w:hideMark/>
          </w:tcPr>
          <w:p w14:paraId="445C6DA8" w14:textId="77777777" w:rsidR="00154E32" w:rsidRDefault="00A43E04">
            <w:pPr>
              <w:pStyle w:val="P68B1DB1-Normal11"/>
              <w:spacing w:line="276" w:lineRule="auto"/>
              <w:jc w:val="center"/>
              <w:rPr>
                <w:noProof/>
              </w:rPr>
            </w:pPr>
            <w:r>
              <w:rPr>
                <w:noProof/>
              </w:rPr>
              <w:t>Število</w:t>
            </w:r>
          </w:p>
        </w:tc>
        <w:tc>
          <w:tcPr>
            <w:tcW w:w="1290" w:type="dxa"/>
            <w:shd w:val="clear" w:color="auto" w:fill="C6EFCE"/>
            <w:noWrap/>
            <w:vAlign w:val="center"/>
            <w:hideMark/>
          </w:tcPr>
          <w:p w14:paraId="28E79023" w14:textId="77777777" w:rsidR="00154E32" w:rsidRDefault="00A43E04">
            <w:pPr>
              <w:pStyle w:val="P68B1DB1-Normal11"/>
              <w:spacing w:line="276" w:lineRule="auto"/>
              <w:jc w:val="center"/>
              <w:rPr>
                <w:noProof/>
              </w:rPr>
            </w:pPr>
            <w:r>
              <w:rPr>
                <w:noProof/>
              </w:rPr>
              <w:t>0</w:t>
            </w:r>
          </w:p>
        </w:tc>
        <w:tc>
          <w:tcPr>
            <w:tcW w:w="1194" w:type="dxa"/>
            <w:shd w:val="clear" w:color="auto" w:fill="C6EFCE"/>
            <w:noWrap/>
            <w:vAlign w:val="center"/>
            <w:hideMark/>
          </w:tcPr>
          <w:p w14:paraId="56915AD7" w14:textId="4104CC55" w:rsidR="00154E32" w:rsidRDefault="00A43E04">
            <w:pPr>
              <w:pStyle w:val="P68B1DB1-Normal11"/>
              <w:spacing w:line="276" w:lineRule="auto"/>
              <w:jc w:val="center"/>
              <w:rPr>
                <w:noProof/>
              </w:rPr>
            </w:pPr>
            <w:r>
              <w:rPr>
                <w:noProof/>
              </w:rPr>
              <w:t>500 000</w:t>
            </w:r>
          </w:p>
        </w:tc>
        <w:tc>
          <w:tcPr>
            <w:tcW w:w="916" w:type="dxa"/>
            <w:shd w:val="clear" w:color="auto" w:fill="C6EFCE"/>
            <w:noWrap/>
            <w:vAlign w:val="center"/>
            <w:hideMark/>
          </w:tcPr>
          <w:p w14:paraId="2156D8ED" w14:textId="77777777" w:rsidR="00154E32" w:rsidRDefault="00A43E04">
            <w:pPr>
              <w:pStyle w:val="P68B1DB1-Normal11"/>
              <w:spacing w:line="276" w:lineRule="auto"/>
              <w:jc w:val="center"/>
              <w:rPr>
                <w:noProof/>
              </w:rPr>
            </w:pPr>
            <w:r>
              <w:rPr>
                <w:noProof/>
              </w:rPr>
              <w:t>Q4</w:t>
            </w:r>
          </w:p>
        </w:tc>
        <w:tc>
          <w:tcPr>
            <w:tcW w:w="638" w:type="dxa"/>
            <w:shd w:val="clear" w:color="auto" w:fill="C6EFCE"/>
            <w:noWrap/>
            <w:vAlign w:val="center"/>
            <w:hideMark/>
          </w:tcPr>
          <w:p w14:paraId="1BCCC861" w14:textId="77777777" w:rsidR="00154E32" w:rsidRDefault="00A43E04">
            <w:pPr>
              <w:pStyle w:val="P68B1DB1-Normal11"/>
              <w:spacing w:line="276" w:lineRule="auto"/>
              <w:jc w:val="center"/>
              <w:rPr>
                <w:noProof/>
              </w:rPr>
            </w:pPr>
            <w:r>
              <w:rPr>
                <w:noProof/>
              </w:rPr>
              <w:t>2024</w:t>
            </w:r>
          </w:p>
        </w:tc>
        <w:tc>
          <w:tcPr>
            <w:tcW w:w="4116" w:type="dxa"/>
            <w:shd w:val="clear" w:color="auto" w:fill="C6EFCE"/>
            <w:noWrap/>
            <w:vAlign w:val="center"/>
            <w:hideMark/>
          </w:tcPr>
          <w:p w14:paraId="1A2FE145" w14:textId="62C95EBE" w:rsidR="00154E32" w:rsidRDefault="00A43E04">
            <w:pPr>
              <w:pStyle w:val="P68B1DB1-Normal11"/>
              <w:spacing w:line="276" w:lineRule="auto"/>
              <w:rPr>
                <w:noProof/>
              </w:rPr>
            </w:pPr>
            <w:r>
              <w:rPr>
                <w:noProof/>
              </w:rPr>
              <w:t>Zmanjšanje števila enakovrednih prebivalcev, ki prebivajo v aglomeracijah, ki niso skladne z Direktivo Sveta 91/271/EGS zaradi neustreznega zbiranja in čiščenja komunalne odpadne vode, za vsaj 500000</w:t>
            </w:r>
          </w:p>
        </w:tc>
      </w:tr>
      <w:tr w:rsidR="00154E32" w14:paraId="50BF13D9" w14:textId="77777777">
        <w:trPr>
          <w:trHeight w:val="313"/>
          <w:jc w:val="center"/>
        </w:trPr>
        <w:tc>
          <w:tcPr>
            <w:tcW w:w="1130" w:type="dxa"/>
            <w:shd w:val="clear" w:color="auto" w:fill="C6EFCE"/>
            <w:noWrap/>
            <w:vAlign w:val="center"/>
            <w:hideMark/>
          </w:tcPr>
          <w:p w14:paraId="282C3497" w14:textId="77777777" w:rsidR="00154E32" w:rsidRDefault="00A43E04">
            <w:pPr>
              <w:pStyle w:val="P68B1DB1-Normal11"/>
              <w:spacing w:line="276" w:lineRule="auto"/>
              <w:jc w:val="center"/>
              <w:rPr>
                <w:noProof/>
              </w:rPr>
            </w:pPr>
            <w:r>
              <w:rPr>
                <w:noProof/>
              </w:rPr>
              <w:t>M2C4–38</w:t>
            </w:r>
          </w:p>
        </w:tc>
        <w:tc>
          <w:tcPr>
            <w:tcW w:w="1560" w:type="dxa"/>
            <w:shd w:val="clear" w:color="auto" w:fill="C6EFCE"/>
            <w:noWrap/>
            <w:vAlign w:val="center"/>
            <w:hideMark/>
          </w:tcPr>
          <w:p w14:paraId="42EA41D9" w14:textId="77777777" w:rsidR="00154E32" w:rsidRDefault="00A43E04">
            <w:pPr>
              <w:pStyle w:val="P68B1DB1-Normal11"/>
              <w:spacing w:line="276" w:lineRule="auto"/>
              <w:jc w:val="center"/>
              <w:rPr>
                <w:noProof/>
              </w:rPr>
            </w:pPr>
            <w:r>
              <w:rPr>
                <w:noProof/>
              </w:rPr>
              <w:t>Naložba 4.4 Naložbe v kanalizacijo in čiščenje odpadnih voda</w:t>
            </w:r>
          </w:p>
        </w:tc>
        <w:tc>
          <w:tcPr>
            <w:tcW w:w="1134" w:type="dxa"/>
            <w:shd w:val="clear" w:color="auto" w:fill="C6EFCE"/>
            <w:noWrap/>
            <w:vAlign w:val="center"/>
            <w:hideMark/>
          </w:tcPr>
          <w:p w14:paraId="2FECF621" w14:textId="77777777" w:rsidR="00154E32" w:rsidRDefault="00A43E04">
            <w:pPr>
              <w:pStyle w:val="P68B1DB1-Normal11"/>
              <w:spacing w:line="276" w:lineRule="auto"/>
              <w:jc w:val="center"/>
              <w:rPr>
                <w:noProof/>
              </w:rPr>
            </w:pPr>
            <w:r>
              <w:rPr>
                <w:noProof/>
              </w:rPr>
              <w:t>Tarča</w:t>
            </w:r>
          </w:p>
        </w:tc>
        <w:tc>
          <w:tcPr>
            <w:tcW w:w="1559" w:type="dxa"/>
            <w:shd w:val="clear" w:color="auto" w:fill="C6EFCE"/>
            <w:noWrap/>
            <w:vAlign w:val="center"/>
            <w:hideMark/>
          </w:tcPr>
          <w:p w14:paraId="30AB10BA" w14:textId="77777777" w:rsidR="00154E32" w:rsidRDefault="00A43E04">
            <w:pPr>
              <w:pStyle w:val="P68B1DB1-Normal11"/>
              <w:spacing w:line="276" w:lineRule="auto"/>
              <w:jc w:val="center"/>
              <w:rPr>
                <w:noProof/>
              </w:rPr>
            </w:pPr>
            <w:r>
              <w:rPr>
                <w:noProof/>
              </w:rPr>
              <w:t>Posegi v kanalizacijo in čiščenje T2</w:t>
            </w:r>
          </w:p>
        </w:tc>
        <w:tc>
          <w:tcPr>
            <w:tcW w:w="1383" w:type="dxa"/>
            <w:shd w:val="clear" w:color="auto" w:fill="C6EFCE"/>
            <w:noWrap/>
            <w:vAlign w:val="center"/>
            <w:hideMark/>
          </w:tcPr>
          <w:p w14:paraId="2DAD8703" w14:textId="77777777" w:rsidR="00154E32" w:rsidRDefault="00A43E04">
            <w:pPr>
              <w:pStyle w:val="P68B1DB1-Normal11"/>
              <w:spacing w:line="276" w:lineRule="auto"/>
              <w:jc w:val="center"/>
              <w:rPr>
                <w:noProof/>
              </w:rPr>
            </w:pPr>
            <w:r>
              <w:rPr>
                <w:noProof/>
              </w:rPr>
              <w:t>JIH NI</w:t>
            </w:r>
          </w:p>
        </w:tc>
        <w:tc>
          <w:tcPr>
            <w:tcW w:w="1094" w:type="dxa"/>
            <w:shd w:val="clear" w:color="auto" w:fill="C6EFCE"/>
            <w:noWrap/>
            <w:vAlign w:val="center"/>
            <w:hideMark/>
          </w:tcPr>
          <w:p w14:paraId="752156F4" w14:textId="77777777" w:rsidR="00154E32" w:rsidRDefault="00A43E04">
            <w:pPr>
              <w:pStyle w:val="P68B1DB1-Normal11"/>
              <w:spacing w:line="276" w:lineRule="auto"/>
              <w:jc w:val="center"/>
              <w:rPr>
                <w:noProof/>
              </w:rPr>
            </w:pPr>
            <w:r>
              <w:rPr>
                <w:noProof/>
              </w:rPr>
              <w:t>Število</w:t>
            </w:r>
          </w:p>
        </w:tc>
        <w:tc>
          <w:tcPr>
            <w:tcW w:w="1290" w:type="dxa"/>
            <w:shd w:val="clear" w:color="auto" w:fill="C6EFCE"/>
            <w:noWrap/>
            <w:vAlign w:val="center"/>
            <w:hideMark/>
          </w:tcPr>
          <w:p w14:paraId="1B11B8D1" w14:textId="7A5E8B1D" w:rsidR="00154E32" w:rsidRDefault="00A43E04">
            <w:pPr>
              <w:pStyle w:val="P68B1DB1-Normal11"/>
              <w:spacing w:line="276" w:lineRule="auto"/>
              <w:jc w:val="center"/>
              <w:rPr>
                <w:noProof/>
              </w:rPr>
            </w:pPr>
            <w:r>
              <w:rPr>
                <w:noProof/>
              </w:rPr>
              <w:t>500 000</w:t>
            </w:r>
          </w:p>
        </w:tc>
        <w:tc>
          <w:tcPr>
            <w:tcW w:w="1194" w:type="dxa"/>
            <w:shd w:val="clear" w:color="auto" w:fill="C6EFCE"/>
            <w:noWrap/>
            <w:vAlign w:val="center"/>
            <w:hideMark/>
          </w:tcPr>
          <w:p w14:paraId="11EBEC3E" w14:textId="534EF601" w:rsidR="00154E32" w:rsidRDefault="00A43E04">
            <w:pPr>
              <w:pStyle w:val="P68B1DB1-Normal11"/>
              <w:spacing w:line="276" w:lineRule="auto"/>
              <w:jc w:val="center"/>
              <w:rPr>
                <w:noProof/>
              </w:rPr>
            </w:pPr>
            <w:r>
              <w:rPr>
                <w:noProof/>
              </w:rPr>
              <w:t>2 250 000</w:t>
            </w:r>
          </w:p>
        </w:tc>
        <w:tc>
          <w:tcPr>
            <w:tcW w:w="916" w:type="dxa"/>
            <w:shd w:val="clear" w:color="auto" w:fill="C6EFCE"/>
            <w:noWrap/>
            <w:vAlign w:val="center"/>
            <w:hideMark/>
          </w:tcPr>
          <w:p w14:paraId="22D2B07C" w14:textId="77777777" w:rsidR="00154E32" w:rsidRDefault="00A43E04">
            <w:pPr>
              <w:pStyle w:val="P68B1DB1-Normal11"/>
              <w:spacing w:line="276" w:lineRule="auto"/>
              <w:jc w:val="center"/>
              <w:rPr>
                <w:noProof/>
              </w:rPr>
            </w:pPr>
            <w:r>
              <w:rPr>
                <w:noProof/>
              </w:rPr>
              <w:t>ČETRTLETJE 1</w:t>
            </w:r>
          </w:p>
        </w:tc>
        <w:tc>
          <w:tcPr>
            <w:tcW w:w="638" w:type="dxa"/>
            <w:shd w:val="clear" w:color="auto" w:fill="C6EFCE"/>
            <w:noWrap/>
            <w:vAlign w:val="center"/>
            <w:hideMark/>
          </w:tcPr>
          <w:p w14:paraId="07C9541A" w14:textId="77777777" w:rsidR="00154E32" w:rsidRDefault="00A43E04">
            <w:pPr>
              <w:pStyle w:val="P68B1DB1-Normal11"/>
              <w:spacing w:line="276" w:lineRule="auto"/>
              <w:jc w:val="center"/>
              <w:rPr>
                <w:noProof/>
              </w:rPr>
            </w:pPr>
            <w:r>
              <w:rPr>
                <w:noProof/>
              </w:rPr>
              <w:t>2026</w:t>
            </w:r>
          </w:p>
        </w:tc>
        <w:tc>
          <w:tcPr>
            <w:tcW w:w="4116" w:type="dxa"/>
            <w:shd w:val="clear" w:color="auto" w:fill="C6EFCE"/>
            <w:noWrap/>
            <w:vAlign w:val="center"/>
            <w:hideMark/>
          </w:tcPr>
          <w:p w14:paraId="51AC0EC2" w14:textId="73CC6DBC" w:rsidR="00154E32" w:rsidRDefault="00A43E04">
            <w:pPr>
              <w:pStyle w:val="P68B1DB1-Normal11"/>
              <w:spacing w:line="276" w:lineRule="auto"/>
              <w:rPr>
                <w:noProof/>
              </w:rPr>
            </w:pPr>
            <w:r>
              <w:rPr>
                <w:noProof/>
              </w:rPr>
              <w:t>Zmanjšanje števila enakovrednih prebivalcev, ki prebivajo v aglomeracijah, ki niso skladne z Direktivo Sveta 91/271/EGS zaradi neustreznega zbiranja in čiščenja komunalne odpadne vode, za vsaj 2250000</w:t>
            </w:r>
          </w:p>
        </w:tc>
      </w:tr>
    </w:tbl>
    <w:p w14:paraId="4D6950D6" w14:textId="77777777" w:rsidR="00154E32" w:rsidRDefault="00154E32">
      <w:pPr>
        <w:tabs>
          <w:tab w:val="left" w:pos="4252"/>
        </w:tabs>
        <w:rPr>
          <w:i/>
          <w:noProof/>
        </w:rPr>
        <w:sectPr w:rsidR="00154E32">
          <w:headerReference w:type="even" r:id="rId182"/>
          <w:headerReference w:type="default" r:id="rId183"/>
          <w:footerReference w:type="even" r:id="rId184"/>
          <w:footerReference w:type="default" r:id="rId185"/>
          <w:headerReference w:type="first" r:id="rId186"/>
          <w:footerReference w:type="first" r:id="rId187"/>
          <w:pgSz w:w="16839" w:h="11907" w:orient="landscape"/>
          <w:pgMar w:top="1134" w:right="1134" w:bottom="1134" w:left="1134" w:header="567" w:footer="567" w:gutter="0"/>
          <w:cols w:space="720"/>
          <w:docGrid w:linePitch="360"/>
        </w:sectPr>
      </w:pPr>
    </w:p>
    <w:p w14:paraId="57329DDB" w14:textId="50C69B98" w:rsidR="00154E32" w:rsidRDefault="00A43E04">
      <w:pPr>
        <w:pStyle w:val="Heading2"/>
        <w:numPr>
          <w:ilvl w:val="0"/>
          <w:numId w:val="0"/>
        </w:numPr>
        <w:rPr>
          <w:noProof/>
        </w:rPr>
      </w:pPr>
      <w:r>
        <w:rPr>
          <w:noProof/>
        </w:rPr>
        <w:t>H. MISIJA ŠT. 3, KOMPONENTA 1: Trajnostna prometna infrastruktura</w:t>
      </w:r>
    </w:p>
    <w:p w14:paraId="4BDECF12" w14:textId="77777777" w:rsidR="00154E32" w:rsidRDefault="00154E32">
      <w:pPr>
        <w:spacing w:before="120" w:after="120"/>
        <w:jc w:val="both"/>
        <w:rPr>
          <w:noProof/>
        </w:rPr>
      </w:pPr>
    </w:p>
    <w:p w14:paraId="3DBAD0B0" w14:textId="77777777" w:rsidR="00154E32" w:rsidRDefault="00A43E04">
      <w:pPr>
        <w:pStyle w:val="Heading3"/>
        <w:numPr>
          <w:ilvl w:val="0"/>
          <w:numId w:val="0"/>
        </w:numPr>
        <w:ind w:left="850" w:hanging="850"/>
        <w:rPr>
          <w:b/>
          <w:i w:val="0"/>
          <w:noProof/>
          <w:color w:val="4F81BD" w:themeColor="accent1"/>
          <w:u w:val="single"/>
        </w:rPr>
      </w:pPr>
      <w:r>
        <w:rPr>
          <w:b/>
          <w:i w:val="0"/>
          <w:noProof/>
          <w:u w:val="single"/>
        </w:rPr>
        <w:t xml:space="preserve">H.1. </w:t>
      </w:r>
      <w:r>
        <w:rPr>
          <w:noProof/>
        </w:rPr>
        <w:tab/>
      </w:r>
      <w:r>
        <w:rPr>
          <w:b/>
          <w:i w:val="0"/>
          <w:noProof/>
          <w:u w:val="single"/>
        </w:rPr>
        <w:t>Opis reform in naložb za nepovratno finančno podporo</w:t>
      </w:r>
    </w:p>
    <w:p w14:paraId="42E4C009" w14:textId="77777777" w:rsidR="00154E32" w:rsidRDefault="00A43E04">
      <w:pPr>
        <w:pStyle w:val="P68B1DB1-Normal17"/>
        <w:spacing w:before="120" w:after="120"/>
        <w:jc w:val="both"/>
        <w:rPr>
          <w:noProof/>
        </w:rPr>
      </w:pPr>
      <w:r>
        <w:rPr>
          <w:noProof/>
        </w:rPr>
        <w:t>JIH NI</w:t>
      </w:r>
    </w:p>
    <w:p w14:paraId="5CA7F9C7" w14:textId="77777777" w:rsidR="00154E32" w:rsidRDefault="00A43E04">
      <w:pPr>
        <w:pStyle w:val="Heading3"/>
        <w:numPr>
          <w:ilvl w:val="0"/>
          <w:numId w:val="0"/>
        </w:numPr>
        <w:ind w:left="850" w:hanging="850"/>
        <w:rPr>
          <w:b/>
          <w:i w:val="0"/>
          <w:noProof/>
          <w:u w:val="single"/>
        </w:rPr>
      </w:pPr>
      <w:r>
        <w:rPr>
          <w:b/>
          <w:i w:val="0"/>
          <w:noProof/>
          <w:u w:val="single"/>
        </w:rPr>
        <w:t xml:space="preserve">H.2. </w:t>
      </w:r>
      <w:r>
        <w:rPr>
          <w:noProof/>
        </w:rPr>
        <w:tab/>
      </w:r>
      <w:r>
        <w:rPr>
          <w:b/>
          <w:i w:val="0"/>
          <w:noProof/>
          <w:u w:val="single"/>
        </w:rPr>
        <w:t>Mejniki, cilji, kazalniki in časovni razpored za spremljanje in izvajanje nepovratne finančne podpore Naslednje;</w:t>
      </w:r>
    </w:p>
    <w:p w14:paraId="33261F56" w14:textId="77777777" w:rsidR="00154E32" w:rsidRDefault="00A43E04">
      <w:pPr>
        <w:pStyle w:val="P68B1DB1-Normal15"/>
        <w:spacing w:before="120" w:after="120"/>
        <w:jc w:val="both"/>
        <w:rPr>
          <w:noProof/>
        </w:rPr>
      </w:pPr>
      <w:r>
        <w:rPr>
          <w:noProof/>
        </w:rPr>
        <w:t>JIH NI</w:t>
      </w:r>
    </w:p>
    <w:p w14:paraId="588CEA20" w14:textId="77777777" w:rsidR="00154E32" w:rsidRDefault="00154E32">
      <w:pPr>
        <w:spacing w:before="120" w:after="120"/>
        <w:ind w:left="709"/>
        <w:jc w:val="both"/>
        <w:rPr>
          <w:noProof/>
        </w:rPr>
        <w:sectPr w:rsidR="00154E32">
          <w:headerReference w:type="even" r:id="rId188"/>
          <w:headerReference w:type="default" r:id="rId189"/>
          <w:footerReference w:type="even" r:id="rId190"/>
          <w:footerReference w:type="default" r:id="rId191"/>
          <w:headerReference w:type="first" r:id="rId192"/>
          <w:footerReference w:type="first" r:id="rId193"/>
          <w:pgSz w:w="11907" w:h="16839"/>
          <w:pgMar w:top="1440" w:right="1440" w:bottom="1440" w:left="1440" w:header="567" w:footer="567" w:gutter="0"/>
          <w:cols w:space="720"/>
          <w:docGrid w:linePitch="360"/>
        </w:sectPr>
      </w:pPr>
    </w:p>
    <w:p w14:paraId="30FEBD32" w14:textId="77777777" w:rsidR="00154E32" w:rsidRDefault="00A43E04">
      <w:pPr>
        <w:pStyle w:val="Heading3"/>
        <w:numPr>
          <w:ilvl w:val="0"/>
          <w:numId w:val="0"/>
        </w:numPr>
        <w:ind w:left="850" w:hanging="850"/>
        <w:rPr>
          <w:b/>
          <w:i w:val="0"/>
          <w:noProof/>
          <w:color w:val="4F81BD" w:themeColor="accent1"/>
          <w:u w:val="single"/>
        </w:rPr>
      </w:pPr>
      <w:r>
        <w:rPr>
          <w:b/>
          <w:i w:val="0"/>
          <w:noProof/>
          <w:u w:val="single"/>
        </w:rPr>
        <w:t xml:space="preserve">H.3. </w:t>
      </w:r>
      <w:r>
        <w:rPr>
          <w:noProof/>
        </w:rPr>
        <w:tab/>
      </w:r>
      <w:r>
        <w:rPr>
          <w:b/>
          <w:i w:val="0"/>
          <w:noProof/>
          <w:u w:val="single"/>
        </w:rPr>
        <w:t xml:space="preserve">Opis reform in naložb za posojilo </w:t>
      </w:r>
    </w:p>
    <w:p w14:paraId="37ACEC66" w14:textId="77777777" w:rsidR="00154E32" w:rsidRDefault="00A43E04">
      <w:pPr>
        <w:spacing w:before="120" w:after="120"/>
        <w:jc w:val="both"/>
        <w:rPr>
          <w:noProof/>
        </w:rPr>
      </w:pPr>
      <w:r>
        <w:rPr>
          <w:noProof/>
        </w:rPr>
        <w:t>Naložbe v to komponento podpirajo vzpostavitev železniške infrastrukture (hitri, tovorni promet, regionalne železnice, evropski sistem za upravljanje železniškega prometa). Spremljajo jih reforme za pospešitev naložb v železniško infrastrukturo in izboljšanje kakovosti cestne infrastrukture. Element reforme poslovnega okolja vsebuje ukrep, ki ustvarja dodatne spodbude za regije, da oddajo svoje pogodbe o izvajanju javne službe v železniškem prometu. Ta komponenta vsebuje ukrepe za razvoj uporabe vodika v železnicah.</w:t>
      </w:r>
    </w:p>
    <w:p w14:paraId="7FF5D899" w14:textId="77777777" w:rsidR="00154E32" w:rsidRDefault="00A43E04">
      <w:pPr>
        <w:spacing w:before="120" w:after="120"/>
        <w:jc w:val="both"/>
        <w:rPr>
          <w:noProof/>
        </w:rPr>
      </w:pPr>
      <w:r>
        <w:rPr>
          <w:noProof/>
        </w:rPr>
        <w:t>Ta komponenta podpira obravnavanje priporočila 3 za posamezno državo iz leta 2019, v katerem je bila Italija pozvana, naj „gospodarsko politiko, povezano z naložbami, usmeri na [...] kakovost infrastrukture ob upoštevanju regionalnih razlik“, priporočilo 3 za državo za leto 2020 o „zrelih javnih naložbenih projektih“ in „usmerjene naložbe v zeleni in digitalni prehod, zlasti na čisto in učinkovito proizvodnjo in uporabo energije, raziskave in inovacije, trajnostni javni prevoz, ravnanje z odpadki in gospodarjenje z vodami ter okrepljeno digitalno infrastrukturo, da se zagotovi zagotavljanje bistvenih storitev“.</w:t>
      </w:r>
    </w:p>
    <w:p w14:paraId="158353BB" w14:textId="77777777" w:rsidR="00154E32" w:rsidRDefault="00A43E04">
      <w:pPr>
        <w:spacing w:before="120" w:after="120"/>
        <w:jc w:val="both"/>
        <w:rPr>
          <w:noProof/>
        </w:rPr>
      </w:pPr>
      <w:r>
        <w:rPr>
          <w:noProof/>
        </w:rPr>
        <w:t xml:space="preserve">Glede na opis ukrepov in blažilne ukrepe, določene v načrtu za okrevanje in odpornost v skladu s tehničnimi smernicami za uporabo načela, da se ne škoduje bistveno (2021/C58/01), noben ukrep v tej komponenti naj ne bi bistveno škodoval okoljskim ciljem v smislu člena 17 Uredbe (EU) 2020/852.  </w:t>
      </w:r>
    </w:p>
    <w:p w14:paraId="6A2FE102" w14:textId="77777777" w:rsidR="00154E32" w:rsidRDefault="00A43E04">
      <w:pPr>
        <w:pStyle w:val="P68B1DB1-Normal2"/>
        <w:spacing w:before="120" w:after="120"/>
        <w:jc w:val="both"/>
        <w:rPr>
          <w:noProof/>
        </w:rPr>
      </w:pPr>
      <w:r>
        <w:rPr>
          <w:noProof/>
        </w:rPr>
        <w:t xml:space="preserve">Reforma 1.1 – Pospešitev postopka odobritve pogodbe med ministrstvom za infrastrukturo in promet (MIT) in upravljavcem železniške infrastrukture </w:t>
      </w:r>
      <w:r>
        <w:rPr>
          <w:i/>
          <w:noProof/>
        </w:rPr>
        <w:t>Rete Ferroviaria Italiana</w:t>
      </w:r>
    </w:p>
    <w:p w14:paraId="49D7ECC8" w14:textId="77777777" w:rsidR="00154E32" w:rsidRDefault="00A43E04">
      <w:pPr>
        <w:spacing w:before="120" w:after="120"/>
        <w:jc w:val="both"/>
        <w:rPr>
          <w:noProof/>
        </w:rPr>
      </w:pPr>
      <w:r>
        <w:rPr>
          <w:noProof/>
        </w:rPr>
        <w:t xml:space="preserve">S to reformo se črta zahteva, da parlamentarne komisije izrazijo mnenje o seznamu naložb </w:t>
      </w:r>
      <w:r>
        <w:rPr>
          <w:i/>
          <w:noProof/>
        </w:rPr>
        <w:t>Contratti di Programma (CdP)</w:t>
      </w:r>
      <w:r>
        <w:rPr>
          <w:noProof/>
        </w:rPr>
        <w:t xml:space="preserve"> upravljavca železniške infrastrukture </w:t>
      </w:r>
      <w:r>
        <w:rPr>
          <w:i/>
          <w:noProof/>
        </w:rPr>
        <w:t>Rete Ferroviaria Italiana</w:t>
      </w:r>
      <w:r>
        <w:rPr>
          <w:noProof/>
        </w:rPr>
        <w:t>. Parlamentarne komisije izrazijo mnenje o strateškem programu naložb.</w:t>
      </w:r>
    </w:p>
    <w:p w14:paraId="7BA39370" w14:textId="77777777" w:rsidR="00154E32" w:rsidRDefault="00A43E04">
      <w:pPr>
        <w:pStyle w:val="P68B1DB1-Normal2"/>
        <w:spacing w:before="120" w:after="120"/>
        <w:jc w:val="both"/>
        <w:rPr>
          <w:noProof/>
        </w:rPr>
      </w:pPr>
      <w:r>
        <w:rPr>
          <w:noProof/>
        </w:rPr>
        <w:t>Reforma 1.2 – Pospešitev postopka odobritve projektov</w:t>
      </w:r>
    </w:p>
    <w:p w14:paraId="4D5C2746" w14:textId="77777777" w:rsidR="00154E32" w:rsidRDefault="00A43E04">
      <w:pPr>
        <w:spacing w:before="120" w:after="120"/>
        <w:jc w:val="both"/>
        <w:rPr>
          <w:noProof/>
        </w:rPr>
      </w:pPr>
      <w:r>
        <w:rPr>
          <w:noProof/>
        </w:rPr>
        <w:t>Ta reforma vključuje sprejetje zakonodaje, ki omogoča, da se predvidi kraj del v času „projekta ekonomske tehnične izvedljivosti“ (PFTE), namesto da bi čakali na dokončno fazo zasnove projekta. Dodatna dovoljenja, ki jih ni mogoče pridobiti na PFTE, bi se pridobila v poznejših fazah projektiranja, ne da bi bila sklicana „Conferenza dei Servizi“ kot izjema od zakona št. 241/1990. Te spremembe skrajšajo čas odobritve projektov z 11 na 6 mesecev.</w:t>
      </w:r>
    </w:p>
    <w:p w14:paraId="635B7E5F" w14:textId="77777777" w:rsidR="00154E32" w:rsidRDefault="00A43E04">
      <w:pPr>
        <w:pStyle w:val="P68B1DB1-Normal2"/>
        <w:spacing w:before="120" w:after="120"/>
        <w:jc w:val="both"/>
        <w:rPr>
          <w:noProof/>
        </w:rPr>
      </w:pPr>
      <w:r>
        <w:rPr>
          <w:noProof/>
        </w:rPr>
        <w:t>Naložba 1.1 – Železniške povezave z jugom za potnike in tovor</w:t>
      </w:r>
    </w:p>
    <w:p w14:paraId="480BE977" w14:textId="7E438F29" w:rsidR="00154E32" w:rsidRDefault="00A43E04">
      <w:pPr>
        <w:spacing w:before="120" w:after="120"/>
        <w:jc w:val="both"/>
        <w:rPr>
          <w:noProof/>
        </w:rPr>
      </w:pPr>
      <w:r>
        <w:rPr>
          <w:noProof/>
        </w:rPr>
        <w:t xml:space="preserve">Ta naložba zajema izgradnjo 119 km hitre železniške infrastrukture za potniški in tovorni promet na progah Napoli-Bari, Salerno-Reggio in Palermo-Catania. </w:t>
      </w:r>
    </w:p>
    <w:p w14:paraId="0C0843BD" w14:textId="77777777" w:rsidR="00154E32" w:rsidRDefault="00A43E04">
      <w:pPr>
        <w:spacing w:before="120" w:after="120"/>
        <w:jc w:val="both"/>
        <w:rPr>
          <w:noProof/>
        </w:rPr>
      </w:pPr>
      <w:r>
        <w:rPr>
          <w:noProof/>
        </w:rPr>
        <w:t>Pri oceni in odobritvi vsakega zadevnega projekta ali/naložbe se upoštevajo vsa pravila in postopki iz členov 6(3) in 6.4 Direktive EU 92/43/EGS ter upoštevajo nacionalne smernice za presojo vplivov, objavljene v uradni gazzette Italijanski republiki št. 303 z dne 28. decembra 2019.</w:t>
      </w:r>
    </w:p>
    <w:p w14:paraId="341B6468" w14:textId="77777777" w:rsidR="00154E32" w:rsidRDefault="00A43E04">
      <w:pPr>
        <w:spacing w:before="120" w:after="120"/>
        <w:jc w:val="both"/>
        <w:rPr>
          <w:noProof/>
        </w:rPr>
      </w:pPr>
      <w:r>
        <w:rPr>
          <w:noProof/>
        </w:rPr>
        <w:t>Pričakuje se, da ta ukrep ne bo bistveno škodoval okoljskim ciljem v smislu člena 17 Uredbe (EU) 2020/852, ob upoštevanju opisa ukrepa in blažilnih ukrepov iz načrta za okrevanje in odpornost v skladu s tehničnimi smernicami, da se ne škoduje bistveno (2021/C58/01).</w:t>
      </w:r>
    </w:p>
    <w:p w14:paraId="19E7ACD8" w14:textId="77777777" w:rsidR="00154E32" w:rsidRDefault="00A43E04">
      <w:pPr>
        <w:pStyle w:val="P68B1DB1-Normal2"/>
        <w:spacing w:before="120" w:after="120"/>
        <w:jc w:val="both"/>
        <w:rPr>
          <w:noProof/>
        </w:rPr>
      </w:pPr>
      <w:r>
        <w:rPr>
          <w:noProof/>
        </w:rPr>
        <w:t>Naložba 1.2 – proge za visoke hitrosti na severu, ki povezujejo s preostalo Evropo</w:t>
      </w:r>
    </w:p>
    <w:p w14:paraId="67DEA3BF" w14:textId="7DE8ABCE" w:rsidR="00154E32" w:rsidRDefault="00A43E04">
      <w:pPr>
        <w:spacing w:before="120" w:after="120"/>
        <w:jc w:val="both"/>
        <w:rPr>
          <w:noProof/>
        </w:rPr>
      </w:pPr>
      <w:r>
        <w:rPr>
          <w:noProof/>
        </w:rPr>
        <w:t>Ta naložba zajema izgradnjo 165 km hitre železniške infrastrukture za potnike in tovor na progah Brescia-Verona-Vicenza-Padova, Ligurija-Alpi. Pri oceni in odobritvi vsakega zadevnega projekta/naložbe se upoštevajo vsa pravila in postopki iz členov 6(3) in 6.4 Direktive EU 92/43/EGS ter upoštevajo nacionalne smernice za presojo vplivov, objavljene v uradni gazzette Italijanski republiki št. 303 z dne 28. decembra 2019.</w:t>
      </w:r>
    </w:p>
    <w:p w14:paraId="633CC8F3" w14:textId="77777777" w:rsidR="00154E32" w:rsidRDefault="00A43E04">
      <w:pPr>
        <w:spacing w:before="120" w:after="120"/>
        <w:jc w:val="both"/>
        <w:rPr>
          <w:noProof/>
        </w:rPr>
      </w:pPr>
      <w:r>
        <w:rPr>
          <w:noProof/>
        </w:rPr>
        <w:t>Pričakuje se, da ta ukrep ne bo bistveno škodoval okoljskim ciljem v smislu člena 17 Uredbe (EU) 2020/852, ob upoštevanju opisa ukrepa in blažilnih ukrepov, določenih v načrtu za okrevanje in odpornost v skladu s tehničnimi smernicami za načelo, da se ne škoduje bistveno (2021/C58/01), ter mejnikov in ciljev, ki jih mora Italija izpolniti.</w:t>
      </w:r>
    </w:p>
    <w:p w14:paraId="2DF60811" w14:textId="77777777" w:rsidR="00154E32" w:rsidRDefault="00A43E04">
      <w:pPr>
        <w:spacing w:before="120" w:after="120"/>
        <w:jc w:val="both"/>
        <w:rPr>
          <w:noProof/>
        </w:rPr>
      </w:pPr>
      <w:r>
        <w:rPr>
          <w:noProof/>
        </w:rPr>
        <w:t>Za segment Rho-Parabiago bo pogojena s pozitivno presojo vplivov na okolje, ki je v celoti in vsebinsko skladna s pravnimi merili ter v celoti vključevala vse rezultate in pogoje iz presoje vplivov na okolje, če je to potrebno za doseganje skladnosti s tehničnimi smernicami za nebistveno škodovanje (2021/C58/01). Presoja vplivov na okolje se objavi in zaključi v skladu z Direktivo 2011/92/EU ter ustrezne presoje v okviru Direktive 2000/60/ES in Direktive 92/43/EGS, vključno z izvajanjem zahtevanih blažilnih ukrepov. Vsi ukrepi, ki so v okviru presoje vplivov na okolje opredeljeni kot potrebni za zagotovitev skladnosti s tehničnimi smernicami za nebistveno škodovanje (2021/C58/01), se vključijo v projekt in upoštevajo v fazah gradnje, delovanja in razgradnje infrastrukture.</w:t>
      </w:r>
    </w:p>
    <w:p w14:paraId="52A03C55" w14:textId="77777777" w:rsidR="00154E32" w:rsidRDefault="00A43E04">
      <w:pPr>
        <w:pStyle w:val="P68B1DB1-Normal2"/>
        <w:spacing w:before="120" w:after="120"/>
        <w:jc w:val="both"/>
        <w:rPr>
          <w:noProof/>
        </w:rPr>
      </w:pPr>
      <w:r>
        <w:rPr>
          <w:noProof/>
        </w:rPr>
        <w:t>Naložba 1.3 – Diagonalne povezave</w:t>
      </w:r>
    </w:p>
    <w:p w14:paraId="68375FA5" w14:textId="73EA0093" w:rsidR="00154E32" w:rsidRDefault="00A43E04">
      <w:pPr>
        <w:spacing w:before="120" w:after="120"/>
        <w:jc w:val="both"/>
        <w:rPr>
          <w:noProof/>
        </w:rPr>
      </w:pPr>
      <w:r>
        <w:rPr>
          <w:noProof/>
        </w:rPr>
        <w:t>Ta naložba zajema izgradnjo 27 km hitrih železniških prog za potniški in tovorni promet na progah Orte-Falconara e Taranto -Metaponto-Potenza-Battipaglia. Pri oceni in odobritvi vsakega zadevnega projekta/naložbe se upoštevajo vsa pravila in postopki iz členov 6(3) in 6.4 Direktive EU 92/43/EGS ter upoštevajo nacionalne smernice za presojo vplivov, objavljene v uradni gazzette Italijanski republiki št. 303 z dne 28. decembra 2019.</w:t>
      </w:r>
    </w:p>
    <w:p w14:paraId="2F5D23D2" w14:textId="77777777" w:rsidR="00154E32" w:rsidRDefault="00A43E04">
      <w:pPr>
        <w:pStyle w:val="P68B1DB1-Normal2"/>
        <w:spacing w:before="120" w:after="120"/>
        <w:jc w:val="both"/>
        <w:rPr>
          <w:noProof/>
        </w:rPr>
      </w:pPr>
      <w:r>
        <w:rPr>
          <w:noProof/>
        </w:rPr>
        <w:t>Naložba 1.4 – Evropski sistem za upravljanje železniškega prometa (ERTMS)</w:t>
      </w:r>
    </w:p>
    <w:p w14:paraId="2333F1D4" w14:textId="77777777" w:rsidR="00154E32" w:rsidRDefault="00A43E04">
      <w:pPr>
        <w:spacing w:before="120" w:after="120"/>
        <w:jc w:val="both"/>
        <w:rPr>
          <w:noProof/>
        </w:rPr>
      </w:pPr>
      <w:r>
        <w:rPr>
          <w:noProof/>
        </w:rPr>
        <w:t xml:space="preserve">Ta naložba vključuje opremljanje 2,785 km železniških prog z evropskim sistemom za upravljanje železniškega prometa (ERTMS) v skladu z evropskim načrtom za uvedbo ERTMS.  </w:t>
      </w:r>
    </w:p>
    <w:p w14:paraId="1AD110E2" w14:textId="77777777" w:rsidR="00154E32" w:rsidRDefault="00A43E04">
      <w:pPr>
        <w:pStyle w:val="P68B1DB1-Normal2"/>
        <w:spacing w:before="120" w:after="120"/>
        <w:jc w:val="both"/>
        <w:rPr>
          <w:noProof/>
        </w:rPr>
      </w:pPr>
      <w:r>
        <w:rPr>
          <w:noProof/>
        </w:rPr>
        <w:t>Naložba 1.5 – Krepitev metropolitanskih vozlišč in ključnih nacionalnih povezav</w:t>
      </w:r>
    </w:p>
    <w:p w14:paraId="618170C9" w14:textId="01D2B5D2" w:rsidR="00154E32" w:rsidRDefault="00A43E04">
      <w:pPr>
        <w:spacing w:before="120" w:after="120"/>
        <w:jc w:val="both"/>
        <w:rPr>
          <w:noProof/>
        </w:rPr>
      </w:pPr>
      <w:r>
        <w:rPr>
          <w:noProof/>
        </w:rPr>
        <w:t>Ta naložba zajema nadgradnjo vsaj 1 280 km odsekov železniških prog, zgrajenih na 12 mestnih vozliščih, in ključnih nacionalnih povezav (Ligurija-Alpe, Bologna-Benice-Trieste/Udine, Bologna-Milano, Bologna-Verona-Brennero, osrednje in severnoTirenske povezave, jadransko-jonska povezava, urbana vozlišča in regionalne proge; Tovorni terminali). Pri oceni in odobritvi vsakega zadevnega projekta ali naložbe se upoštevajo vsa pravila in postopki iz členov 6(3) in 6.4 Direktive EU 92/43/EGS ter upoštevajo nacionalne smernice za presojo vplivov, objavljene v uradni gazzette Italijanske republike št. 303 z dne 28. decembra 2019.</w:t>
      </w:r>
    </w:p>
    <w:p w14:paraId="3DD0C22F" w14:textId="77777777" w:rsidR="00154E32" w:rsidRDefault="00A43E04">
      <w:pPr>
        <w:pStyle w:val="P68B1DB1-Normal2"/>
        <w:spacing w:before="120" w:after="120"/>
        <w:jc w:val="both"/>
        <w:rPr>
          <w:noProof/>
        </w:rPr>
      </w:pPr>
      <w:r>
        <w:rPr>
          <w:noProof/>
        </w:rPr>
        <w:t>Naložba 1.6 – Krepitev regionalnih prog – nadgradnja regionalnih železnic (upravljanje RFI)</w:t>
      </w:r>
    </w:p>
    <w:p w14:paraId="0CB665E3" w14:textId="08519029" w:rsidR="00154E32" w:rsidRDefault="00A43E04">
      <w:pPr>
        <w:spacing w:before="120" w:after="120"/>
        <w:jc w:val="both"/>
        <w:rPr>
          <w:noProof/>
        </w:rPr>
      </w:pPr>
      <w:r>
        <w:rPr>
          <w:noProof/>
        </w:rPr>
        <w:t xml:space="preserve">Ta naložba zajema nadgradnjo 646 km regionalnih prog, katerih lastništvo je bilo preneseno na </w:t>
      </w:r>
      <w:r>
        <w:rPr>
          <w:i/>
          <w:noProof/>
        </w:rPr>
        <w:t>Rete Ferroviaria Italiana (RFI)</w:t>
      </w:r>
      <w:r>
        <w:rPr>
          <w:noProof/>
        </w:rPr>
        <w:t xml:space="preserve"> ali se postopoma prenese na slednjo. Pri oceni in odobritvi vsakega zadevnega projekta ali naložbe se upoštevajo vsa pravila in postopki iz členov 6(3) in 6.4 Direktive EU 92/43/EGS ter upoštevajo nacionalne smernice za presojo vplivov, objavljene v uradni gazzette Italijanske republike št. 303 z dne 28. decembra 2019.</w:t>
      </w:r>
    </w:p>
    <w:p w14:paraId="4C6F5CA7" w14:textId="77777777" w:rsidR="00154E32" w:rsidRDefault="00A43E04">
      <w:pPr>
        <w:spacing w:before="120" w:after="120"/>
        <w:jc w:val="both"/>
        <w:rPr>
          <w:noProof/>
        </w:rPr>
      </w:pPr>
      <w:r>
        <w:rPr>
          <w:noProof/>
        </w:rPr>
        <w:t>Intervencije so načrtovane v naslednjih vrsticah:</w:t>
      </w:r>
    </w:p>
    <w:p w14:paraId="67424C6E" w14:textId="77777777" w:rsidR="00154E32" w:rsidRDefault="00A43E04">
      <w:pPr>
        <w:numPr>
          <w:ilvl w:val="0"/>
          <w:numId w:val="48"/>
        </w:numPr>
        <w:spacing w:before="120" w:after="120" w:line="259" w:lineRule="auto"/>
        <w:ind w:left="360"/>
        <w:contextualSpacing/>
        <w:jc w:val="both"/>
        <w:rPr>
          <w:noProof/>
        </w:rPr>
      </w:pPr>
      <w:r>
        <w:rPr>
          <w:noProof/>
        </w:rPr>
        <w:t>Piemont: nadgradnja in posodobitev Torino Cerese-Canavesana: izboljšanje pravilnosti prometnih tokov;</w:t>
      </w:r>
    </w:p>
    <w:p w14:paraId="757B0906" w14:textId="77777777" w:rsidR="00154E32" w:rsidRDefault="00A43E04">
      <w:pPr>
        <w:numPr>
          <w:ilvl w:val="0"/>
          <w:numId w:val="48"/>
        </w:numPr>
        <w:spacing w:before="120" w:after="120" w:line="259" w:lineRule="auto"/>
        <w:ind w:left="360"/>
        <w:contextualSpacing/>
        <w:jc w:val="both"/>
        <w:rPr>
          <w:noProof/>
        </w:rPr>
      </w:pPr>
      <w:r>
        <w:rPr>
          <w:noProof/>
        </w:rPr>
        <w:t>Furlanija – Julijska krajina: Železnica FuC: infrastrukturna in tehnološka dela na liniji Vidine-Cividale: izboljšanje pravilnosti prometnih tokov;</w:t>
      </w:r>
    </w:p>
    <w:p w14:paraId="0C162F0F" w14:textId="77777777" w:rsidR="00154E32" w:rsidRDefault="00A43E04">
      <w:pPr>
        <w:numPr>
          <w:ilvl w:val="0"/>
          <w:numId w:val="48"/>
        </w:numPr>
        <w:spacing w:before="120" w:after="120" w:line="259" w:lineRule="auto"/>
        <w:ind w:left="360"/>
        <w:contextualSpacing/>
        <w:jc w:val="both"/>
        <w:rPr>
          <w:noProof/>
        </w:rPr>
      </w:pPr>
      <w:r>
        <w:rPr>
          <w:noProof/>
        </w:rPr>
        <w:t>Umbrija: Osrednja železnica Umbrija (FCU): infrastrukturni in tehnološki posegi;</w:t>
      </w:r>
    </w:p>
    <w:p w14:paraId="4A17F9F0" w14:textId="77777777" w:rsidR="00154E32" w:rsidRDefault="00A43E04">
      <w:pPr>
        <w:numPr>
          <w:ilvl w:val="0"/>
          <w:numId w:val="48"/>
        </w:numPr>
        <w:spacing w:before="120" w:after="120" w:line="259" w:lineRule="auto"/>
        <w:ind w:left="360"/>
        <w:contextualSpacing/>
        <w:jc w:val="both"/>
        <w:rPr>
          <w:noProof/>
        </w:rPr>
      </w:pPr>
      <w:r>
        <w:rPr>
          <w:noProof/>
        </w:rPr>
        <w:t>Kampanija (EAV): Krepitev in posodobitev linije Cancello-Benevento: izboljšanje varnostnih standardov za obratovanje železnic;</w:t>
      </w:r>
    </w:p>
    <w:p w14:paraId="14DC3B77" w14:textId="77777777" w:rsidR="00154E32" w:rsidRDefault="00A43E04">
      <w:pPr>
        <w:numPr>
          <w:ilvl w:val="0"/>
          <w:numId w:val="48"/>
        </w:numPr>
        <w:spacing w:before="120" w:after="120" w:line="259" w:lineRule="auto"/>
        <w:ind w:left="360"/>
        <w:contextualSpacing/>
        <w:jc w:val="both"/>
        <w:rPr>
          <w:noProof/>
        </w:rPr>
      </w:pPr>
      <w:r>
        <w:rPr>
          <w:noProof/>
        </w:rPr>
        <w:t>Apulija: Črta Bari-Bitritto: nadgradnja infrastrukture: skladnost s tehničnimi/regulativnimi standardi nacionalne železniške infrastrukture; Ferrovie del Sud Est (FSE): infrastrukturna nadgradnja proge Bari-Taranto: intervencija omogoča prilagoditev standardom zmogljivosti RFI in tehničnim specifikacijam interoperabilnosti; FSE: Dokončanje opreme SCMT/ERTMS v omrežju: izboljšanje učinkovitosti prometa, optimizacija zmogljivosti, izboljšanje varnostnih standardov; FSE: Vzpostavitev intermodalnih vozlišč in posodobitev 20 postaj: cilj ukrepa je izboljšati dostopnost postaj in ustvariti območja za izmenjavo železniških avtobusov, železniških in zasebnih avtomobilov ter železniških koles;</w:t>
      </w:r>
    </w:p>
    <w:p w14:paraId="5FE1FE73" w14:textId="77777777" w:rsidR="00154E32" w:rsidRDefault="00A43E04">
      <w:pPr>
        <w:numPr>
          <w:ilvl w:val="0"/>
          <w:numId w:val="48"/>
        </w:numPr>
        <w:spacing w:before="120" w:after="120" w:line="259" w:lineRule="auto"/>
        <w:ind w:left="360"/>
        <w:contextualSpacing/>
        <w:jc w:val="both"/>
        <w:rPr>
          <w:noProof/>
        </w:rPr>
      </w:pPr>
      <w:r>
        <w:rPr>
          <w:noProof/>
        </w:rPr>
        <w:t>Kalabrija: Linija Rosarno-S. Ferdinando: nadgradnja opreme prog Rosarno in San Ferdinando za povezavo z Gioio Tauro.</w:t>
      </w:r>
    </w:p>
    <w:p w14:paraId="7BEB60C8" w14:textId="77777777" w:rsidR="00154E32" w:rsidRDefault="00A43E04">
      <w:pPr>
        <w:pStyle w:val="P68B1DB1-Normal2"/>
        <w:spacing w:before="120" w:after="120"/>
        <w:jc w:val="both"/>
        <w:rPr>
          <w:noProof/>
        </w:rPr>
      </w:pPr>
      <w:r>
        <w:rPr>
          <w:noProof/>
        </w:rPr>
        <w:t>Naložba 1.7 – Izpopolnitev, elektrifikacija in odpornost železnic na jugu</w:t>
      </w:r>
    </w:p>
    <w:p w14:paraId="0FECE526" w14:textId="56AE2D8B" w:rsidR="00154E32" w:rsidRDefault="00A43E04">
      <w:pPr>
        <w:spacing w:before="120" w:after="120"/>
        <w:jc w:val="both"/>
        <w:rPr>
          <w:noProof/>
        </w:rPr>
      </w:pPr>
      <w:r>
        <w:rPr>
          <w:noProof/>
        </w:rPr>
        <w:t>Ta naložba vključuje nadgradnjo, elektrifikacijo in odpornost 650 km železnic na jugu. Pogodbe o tej naložbi med drugim zajemajo letališko povezavo Olbia, pristaniško povezavo Augusta, podvojitev proge Decimomannu-Villamassargia, nadgradnjo povezave Potenza-Foggia in intermodalno povezavo Brindisi. Pri oceni in odobritvi vsakega zadevnega projekta ali naložbe se upoštevajo vsa pravila in postopki iz členov 6(3) in 6.4 Direktive EU 92/43/EGS ter upoštevajo nacionalne smernice za presojo vplivov, objavljene v uradni gazzette Italijanske republike št. 303 z dne 28. decembra 2019.</w:t>
      </w:r>
    </w:p>
    <w:p w14:paraId="0E1FAC76" w14:textId="77777777" w:rsidR="00154E32" w:rsidRDefault="00A43E04">
      <w:pPr>
        <w:pStyle w:val="P68B1DB1-Normal2"/>
        <w:spacing w:before="120" w:after="120"/>
        <w:jc w:val="both"/>
        <w:rPr>
          <w:noProof/>
        </w:rPr>
      </w:pPr>
      <w:r>
        <w:rPr>
          <w:noProof/>
        </w:rPr>
        <w:t>Naložba 1.8 – Posodobitev železniških postaj (upravljanje</w:t>
      </w:r>
      <w:r>
        <w:rPr>
          <w:i/>
          <w:noProof/>
        </w:rPr>
        <w:t>Rete Ferroviaria Italiana (RFI)</w:t>
      </w:r>
      <w:r>
        <w:rPr>
          <w:noProof/>
        </w:rPr>
        <w:t>; na jugu)</w:t>
      </w:r>
    </w:p>
    <w:p w14:paraId="7027F38C" w14:textId="77777777" w:rsidR="00154E32" w:rsidRDefault="00A43E04">
      <w:pPr>
        <w:spacing w:before="120" w:after="120"/>
        <w:jc w:val="both"/>
        <w:rPr>
          <w:noProof/>
        </w:rPr>
      </w:pPr>
      <w:r>
        <w:rPr>
          <w:noProof/>
        </w:rPr>
        <w:t>Ta naložba vključuje nadgradnjo 38 železniških postaj in njihovo dostopnost v skladu z Uredbo Komisije št. 1300/2014 in predpisi EU o varnosti v železniškem prometu. Pri oceni in odobritvi vsakega zadevnega projekta ali naložbe se upoštevajo vsa pravila in postopki iz členov 6(3) in 6.4 Direktive EU 92/43/EGS ter upoštevajo nacionalne smernice za presojo vplivov, objavljene v uradni gazzette Italijanske republike št. 303 z dne 28. decembra 2019.</w:t>
      </w:r>
    </w:p>
    <w:p w14:paraId="47B7230B" w14:textId="77777777" w:rsidR="00154E32" w:rsidRDefault="00A43E04">
      <w:pPr>
        <w:pStyle w:val="P68B1DB1-Normal2"/>
        <w:spacing w:before="120" w:after="120"/>
        <w:jc w:val="both"/>
        <w:rPr>
          <w:noProof/>
        </w:rPr>
      </w:pPr>
      <w:r>
        <w:rPr>
          <w:noProof/>
        </w:rPr>
        <w:t xml:space="preserve">Naložba 1.9 – Medregionalne povezave </w:t>
      </w:r>
    </w:p>
    <w:p w14:paraId="57C82719" w14:textId="77777777" w:rsidR="00154E32" w:rsidRDefault="00A43E04">
      <w:pPr>
        <w:spacing w:before="120" w:after="120"/>
        <w:jc w:val="both"/>
        <w:rPr>
          <w:noProof/>
        </w:rPr>
      </w:pPr>
      <w:r>
        <w:rPr>
          <w:noProof/>
        </w:rPr>
        <w:t>Ta naložba zajema pospešitev intervencij na 221 km od naslednjih prog:</w:t>
      </w:r>
    </w:p>
    <w:p w14:paraId="3490DC93" w14:textId="77777777" w:rsidR="00154E32" w:rsidRDefault="00A43E04">
      <w:pPr>
        <w:pStyle w:val="ListParagraph"/>
        <w:numPr>
          <w:ilvl w:val="0"/>
          <w:numId w:val="91"/>
        </w:numPr>
        <w:rPr>
          <w:noProof/>
        </w:rPr>
      </w:pPr>
      <w:r>
        <w:rPr>
          <w:noProof/>
        </w:rPr>
        <w:t>Milano – Genova</w:t>
      </w:r>
    </w:p>
    <w:p w14:paraId="346ABBDC" w14:textId="77777777" w:rsidR="00154E32" w:rsidRDefault="00A43E04">
      <w:pPr>
        <w:pStyle w:val="ListParagraph"/>
        <w:numPr>
          <w:ilvl w:val="0"/>
          <w:numId w:val="91"/>
        </w:numPr>
        <w:rPr>
          <w:noProof/>
        </w:rPr>
      </w:pPr>
      <w:r>
        <w:rPr>
          <w:noProof/>
        </w:rPr>
        <w:t>Palermo – Catania (linea zgodba)</w:t>
      </w:r>
    </w:p>
    <w:p w14:paraId="7DB5B332" w14:textId="77777777" w:rsidR="00154E32" w:rsidRDefault="00A43E04">
      <w:pPr>
        <w:pStyle w:val="ListParagraph"/>
        <w:numPr>
          <w:ilvl w:val="0"/>
          <w:numId w:val="91"/>
        </w:numPr>
        <w:rPr>
          <w:noProof/>
        </w:rPr>
      </w:pPr>
      <w:r>
        <w:rPr>
          <w:noProof/>
        </w:rPr>
        <w:t>Battipaglia-Potenza</w:t>
      </w:r>
    </w:p>
    <w:p w14:paraId="3EA881EC" w14:textId="77777777" w:rsidR="00154E32" w:rsidRDefault="00A43E04">
      <w:pPr>
        <w:pStyle w:val="ListParagraph"/>
        <w:numPr>
          <w:ilvl w:val="0"/>
          <w:numId w:val="91"/>
        </w:numPr>
        <w:rPr>
          <w:noProof/>
        </w:rPr>
      </w:pPr>
      <w:r>
        <w:rPr>
          <w:noProof/>
        </w:rPr>
        <w:t>Orte – Falconara.</w:t>
      </w:r>
    </w:p>
    <w:p w14:paraId="618CFED8" w14:textId="77777777" w:rsidR="00154E32" w:rsidRDefault="00A43E04">
      <w:pPr>
        <w:rPr>
          <w:noProof/>
        </w:rPr>
      </w:pPr>
      <w:r>
        <w:rPr>
          <w:noProof/>
        </w:rPr>
        <w:t>Cilj naložbe je povečati uspešnost sedanje infrastrukture z intervencijami, ki bi lahko vključevale:</w:t>
      </w:r>
    </w:p>
    <w:p w14:paraId="79198293" w14:textId="77777777" w:rsidR="00154E32" w:rsidRDefault="00A43E04">
      <w:pPr>
        <w:pStyle w:val="ListParagraph"/>
        <w:numPr>
          <w:ilvl w:val="0"/>
          <w:numId w:val="92"/>
        </w:numPr>
        <w:rPr>
          <w:noProof/>
        </w:rPr>
      </w:pPr>
      <w:r>
        <w:rPr>
          <w:noProof/>
        </w:rPr>
        <w:t xml:space="preserve">spremembe načrtov za odtis postaj (PRG – Piano Regolatore Generale); </w:t>
      </w:r>
    </w:p>
    <w:p w14:paraId="62B346FF" w14:textId="77777777" w:rsidR="00154E32" w:rsidRDefault="00A43E04">
      <w:pPr>
        <w:pStyle w:val="ListParagraph"/>
        <w:numPr>
          <w:ilvl w:val="0"/>
          <w:numId w:val="92"/>
        </w:numPr>
        <w:rPr>
          <w:noProof/>
        </w:rPr>
      </w:pPr>
      <w:r>
        <w:rPr>
          <w:noProof/>
        </w:rPr>
        <w:t>ERTMS;</w:t>
      </w:r>
    </w:p>
    <w:p w14:paraId="12B79FBF" w14:textId="77777777" w:rsidR="00154E32" w:rsidRDefault="00A43E04">
      <w:pPr>
        <w:pStyle w:val="ListParagraph"/>
        <w:numPr>
          <w:ilvl w:val="0"/>
          <w:numId w:val="92"/>
        </w:numPr>
        <w:rPr>
          <w:noProof/>
        </w:rPr>
      </w:pPr>
      <w:r>
        <w:rPr>
          <w:noProof/>
        </w:rPr>
        <w:t>konfiguracija in/ali sprememba sistema za nadzor prometa, kot sta ACC (apparato Centrale Computerizzato) in ACCM (apparato Centrale a calcolatore Multistazione)</w:t>
      </w:r>
    </w:p>
    <w:p w14:paraId="29782693" w14:textId="7215F67E" w:rsidR="00154E32" w:rsidRDefault="00A43E04">
      <w:pPr>
        <w:pStyle w:val="ListParagraph"/>
        <w:numPr>
          <w:ilvl w:val="0"/>
          <w:numId w:val="92"/>
        </w:numPr>
        <w:rPr>
          <w:noProof/>
        </w:rPr>
      </w:pPr>
      <w:r>
        <w:rPr>
          <w:noProof/>
        </w:rPr>
        <w:t>druge izboljšave fizične infrastrukture, ki lahko vključujejo železniške postelje, opremo in druge posege, povezane z infrastrukturo.</w:t>
      </w:r>
    </w:p>
    <w:p w14:paraId="016C941F" w14:textId="77777777" w:rsidR="00154E32" w:rsidRDefault="00A43E04">
      <w:pPr>
        <w:pStyle w:val="P68B1DB1-Normal2"/>
        <w:spacing w:before="120" w:after="120"/>
        <w:jc w:val="both"/>
        <w:rPr>
          <w:noProof/>
        </w:rPr>
      </w:pPr>
      <w:r>
        <w:rPr>
          <w:noProof/>
        </w:rPr>
        <w:t>Reforma 2.1 – Sprejetje „Smernic za razvrščanje in obvladovanje tveganj, oceno varnosti in spremljanje obstoječih mostov“</w:t>
      </w:r>
    </w:p>
    <w:p w14:paraId="3D7B1E03" w14:textId="77777777" w:rsidR="00154E32" w:rsidRDefault="00A43E04">
      <w:pPr>
        <w:spacing w:before="120" w:after="120"/>
        <w:jc w:val="both"/>
        <w:rPr>
          <w:noProof/>
        </w:rPr>
      </w:pPr>
      <w:r>
        <w:rPr>
          <w:noProof/>
        </w:rPr>
        <w:t>Ta reforma vključuje sprejetje smernic za razvrščanje in obvladovanje tveganj, oceno varnosti in spremljanje obstoječih mostov. Sprejetje „smernic“, ki omogočajo uporabo skupnih standardov in metodologij na celotnem nacionalnem cestnem omrežju.</w:t>
      </w:r>
    </w:p>
    <w:p w14:paraId="373B2E23" w14:textId="77777777" w:rsidR="00154E32" w:rsidRDefault="00A43E04">
      <w:pPr>
        <w:pStyle w:val="P68B1DB1-Normal2"/>
        <w:spacing w:before="120" w:after="120"/>
        <w:jc w:val="both"/>
        <w:rPr>
          <w:noProof/>
        </w:rPr>
      </w:pPr>
      <w:r>
        <w:rPr>
          <w:noProof/>
        </w:rPr>
        <w:t>Reforma 2.2 – Prenos lastništva mostov in viaduktov s cest nižje stopnje na ceste višje stopnje</w:t>
      </w:r>
    </w:p>
    <w:p w14:paraId="7465B9DF" w14:textId="77777777" w:rsidR="00154E32" w:rsidRDefault="00A43E04">
      <w:pPr>
        <w:spacing w:before="120" w:after="120" w:line="300" w:lineRule="atLeast"/>
        <w:jc w:val="both"/>
        <w:rPr>
          <w:noProof/>
        </w:rPr>
      </w:pPr>
      <w:r>
        <w:rPr>
          <w:noProof/>
        </w:rPr>
        <w:t>Ta reforma vključuje prenos lastništva nad mostovi, viadukti in nadvozi z nižjih cest na ceste višjega tipa (avtoceste in glavne primestne ceste), kar omogoča povečanje splošne varnosti cestnega omrežja, saj mostove, viadukte in prehodne prehode vzdržujejo ANAS in/ali koncesionarji za avtoceste, ki imajo boljše zmogljivosti načrtovanja in vzdrževanja kot posamezne občine ali province.</w:t>
      </w:r>
    </w:p>
    <w:p w14:paraId="7D9892F3" w14:textId="77777777" w:rsidR="00154E32" w:rsidRDefault="00A43E04">
      <w:pPr>
        <w:pStyle w:val="Heading3"/>
        <w:numPr>
          <w:ilvl w:val="0"/>
          <w:numId w:val="0"/>
        </w:numPr>
        <w:ind w:left="850" w:hanging="850"/>
        <w:rPr>
          <w:b/>
          <w:i w:val="0"/>
          <w:noProof/>
          <w:u w:val="single"/>
        </w:rPr>
      </w:pPr>
      <w:r>
        <w:rPr>
          <w:b/>
          <w:i w:val="0"/>
          <w:noProof/>
          <w:u w:val="single"/>
        </w:rPr>
        <w:t xml:space="preserve">H.4. </w:t>
      </w:r>
      <w:r>
        <w:rPr>
          <w:noProof/>
        </w:rPr>
        <w:tab/>
      </w:r>
      <w:r>
        <w:rPr>
          <w:b/>
          <w:i w:val="0"/>
          <w:noProof/>
          <w:u w:val="single"/>
        </w:rPr>
        <w:t xml:space="preserve">Mejniki, cilji, kazalniki in časovni razpored za spremljanje in izvajanje posojila </w:t>
      </w:r>
    </w:p>
    <w:p w14:paraId="614A66B1" w14:textId="77777777" w:rsidR="00154E32" w:rsidRDefault="00154E32">
      <w:pPr>
        <w:spacing w:before="120" w:after="120"/>
        <w:ind w:left="709"/>
        <w:contextualSpacing/>
        <w:jc w:val="both"/>
        <w:rPr>
          <w:noProof/>
        </w:rPr>
      </w:pPr>
    </w:p>
    <w:p w14:paraId="7E527C39" w14:textId="77777777" w:rsidR="00154E32" w:rsidRDefault="00154E32">
      <w:pPr>
        <w:spacing w:before="120" w:after="120"/>
        <w:ind w:left="709"/>
        <w:contextualSpacing/>
        <w:jc w:val="both"/>
        <w:rPr>
          <w:noProof/>
        </w:rPr>
        <w:sectPr w:rsidR="00154E32" w:rsidSect="000D3774">
          <w:headerReference w:type="even" r:id="rId194"/>
          <w:headerReference w:type="default" r:id="rId195"/>
          <w:footerReference w:type="even" r:id="rId196"/>
          <w:footerReference w:type="default" r:id="rId197"/>
          <w:headerReference w:type="first" r:id="rId198"/>
          <w:footerReference w:type="first" r:id="rId199"/>
          <w:pgSz w:w="11907" w:h="16839"/>
          <w:pgMar w:top="1134" w:right="1134" w:bottom="1134" w:left="1134" w:header="567" w:footer="567" w:gutter="0"/>
          <w:cols w:space="720"/>
          <w:docGrid w:linePitch="360"/>
        </w:sectPr>
      </w:pPr>
    </w:p>
    <w:tbl>
      <w:tblPr>
        <w:tblW w:w="5247"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562"/>
        <w:gridCol w:w="1274"/>
        <w:gridCol w:w="1418"/>
        <w:gridCol w:w="1555"/>
        <w:gridCol w:w="993"/>
        <w:gridCol w:w="1134"/>
        <w:gridCol w:w="853"/>
        <w:gridCol w:w="850"/>
        <w:gridCol w:w="850"/>
        <w:gridCol w:w="3661"/>
      </w:tblGrid>
      <w:tr w:rsidR="00154E32" w14:paraId="13D8FF7B" w14:textId="77777777">
        <w:trPr>
          <w:trHeight w:val="939"/>
          <w:tblHeader/>
          <w:jc w:val="right"/>
        </w:trPr>
        <w:tc>
          <w:tcPr>
            <w:tcW w:w="369" w:type="pct"/>
            <w:vMerge w:val="restart"/>
            <w:shd w:val="clear" w:color="auto" w:fill="C6D9F1" w:themeFill="text2" w:themeFillTint="33"/>
            <w:vAlign w:val="center"/>
            <w:hideMark/>
          </w:tcPr>
          <w:p w14:paraId="3D749470" w14:textId="3637DCA1" w:rsidR="00154E32" w:rsidRDefault="00A43E04">
            <w:pPr>
              <w:pStyle w:val="P68B1DB1-Normal9"/>
              <w:jc w:val="center"/>
              <w:rPr>
                <w:noProof/>
              </w:rPr>
            </w:pPr>
            <w:r>
              <w:rPr>
                <w:noProof/>
              </w:rPr>
              <w:t>Zaporedna številka</w:t>
            </w:r>
          </w:p>
        </w:tc>
        <w:tc>
          <w:tcPr>
            <w:tcW w:w="511" w:type="pct"/>
            <w:vMerge w:val="restart"/>
            <w:shd w:val="clear" w:color="auto" w:fill="C6D9F1" w:themeFill="text2" w:themeFillTint="33"/>
            <w:vAlign w:val="center"/>
            <w:hideMark/>
          </w:tcPr>
          <w:p w14:paraId="3C6F5EBC" w14:textId="77777777" w:rsidR="00154E32" w:rsidRDefault="00A43E04">
            <w:pPr>
              <w:pStyle w:val="P68B1DB1-Normal9"/>
              <w:jc w:val="center"/>
              <w:rPr>
                <w:noProof/>
              </w:rPr>
            </w:pPr>
            <w:r>
              <w:rPr>
                <w:noProof/>
              </w:rPr>
              <w:t>Povezani ukrep (reforma ali naložba)</w:t>
            </w:r>
          </w:p>
        </w:tc>
        <w:tc>
          <w:tcPr>
            <w:tcW w:w="417" w:type="pct"/>
            <w:vMerge w:val="restart"/>
            <w:shd w:val="clear" w:color="auto" w:fill="C6D9F1" w:themeFill="text2" w:themeFillTint="33"/>
            <w:vAlign w:val="center"/>
            <w:hideMark/>
          </w:tcPr>
          <w:p w14:paraId="1792282B" w14:textId="77777777" w:rsidR="00154E32" w:rsidRDefault="00A43E04">
            <w:pPr>
              <w:pStyle w:val="P68B1DB1-Normal9"/>
              <w:jc w:val="center"/>
              <w:rPr>
                <w:noProof/>
              </w:rPr>
            </w:pPr>
            <w:r>
              <w:rPr>
                <w:noProof/>
              </w:rPr>
              <w:t>Mejnik/cilj</w:t>
            </w:r>
          </w:p>
        </w:tc>
        <w:tc>
          <w:tcPr>
            <w:tcW w:w="464" w:type="pct"/>
            <w:vMerge w:val="restart"/>
            <w:shd w:val="clear" w:color="auto" w:fill="C6D9F1" w:themeFill="text2" w:themeFillTint="33"/>
            <w:vAlign w:val="center"/>
            <w:hideMark/>
          </w:tcPr>
          <w:p w14:paraId="5D1BB33D" w14:textId="77777777" w:rsidR="00154E32" w:rsidRDefault="00A43E04">
            <w:pPr>
              <w:pStyle w:val="P68B1DB1-Normal9"/>
              <w:jc w:val="center"/>
              <w:rPr>
                <w:noProof/>
              </w:rPr>
            </w:pPr>
            <w:r>
              <w:rPr>
                <w:noProof/>
              </w:rPr>
              <w:t>Ime</w:t>
            </w:r>
          </w:p>
        </w:tc>
        <w:tc>
          <w:tcPr>
            <w:tcW w:w="509" w:type="pct"/>
            <w:vMerge w:val="restart"/>
            <w:shd w:val="clear" w:color="auto" w:fill="C6D9F1" w:themeFill="text2" w:themeFillTint="33"/>
            <w:vAlign w:val="center"/>
            <w:hideMark/>
          </w:tcPr>
          <w:p w14:paraId="0AB81F27" w14:textId="77777777" w:rsidR="00154E32" w:rsidRDefault="00A43E04">
            <w:pPr>
              <w:pStyle w:val="P68B1DB1-Normal10"/>
              <w:jc w:val="center"/>
              <w:rPr>
                <w:b/>
                <w:noProof/>
                <w:sz w:val="20"/>
              </w:rPr>
            </w:pPr>
            <w:r>
              <w:rPr>
                <w:b/>
                <w:noProof/>
                <w:sz w:val="20"/>
              </w:rPr>
              <w:t>Kakovostni kazalniki</w:t>
            </w:r>
            <w:r>
              <w:rPr>
                <w:noProof/>
              </w:rPr>
              <w:t xml:space="preserve"> </w:t>
            </w:r>
            <w:r>
              <w:rPr>
                <w:noProof/>
              </w:rPr>
              <w:br/>
            </w:r>
            <w:r>
              <w:rPr>
                <w:b/>
                <w:noProof/>
                <w:sz w:val="20"/>
              </w:rPr>
              <w:t>(za mejnike)</w:t>
            </w:r>
          </w:p>
        </w:tc>
        <w:tc>
          <w:tcPr>
            <w:tcW w:w="975" w:type="pct"/>
            <w:gridSpan w:val="3"/>
            <w:shd w:val="clear" w:color="auto" w:fill="C6D9F1" w:themeFill="text2" w:themeFillTint="33"/>
            <w:vAlign w:val="center"/>
            <w:hideMark/>
          </w:tcPr>
          <w:p w14:paraId="548FD589" w14:textId="77777777" w:rsidR="00154E32" w:rsidRDefault="00A43E04">
            <w:pPr>
              <w:pStyle w:val="P68B1DB1-Normal10"/>
              <w:jc w:val="center"/>
              <w:rPr>
                <w:b/>
                <w:noProof/>
                <w:sz w:val="20"/>
              </w:rPr>
            </w:pPr>
            <w:r>
              <w:rPr>
                <w:b/>
                <w:noProof/>
                <w:sz w:val="20"/>
              </w:rPr>
              <w:t>Kvantitativni kazalniki</w:t>
            </w:r>
            <w:r>
              <w:rPr>
                <w:noProof/>
              </w:rPr>
              <w:t xml:space="preserve"> </w:t>
            </w:r>
            <w:r>
              <w:rPr>
                <w:noProof/>
              </w:rPr>
              <w:br/>
            </w:r>
            <w:r>
              <w:rPr>
                <w:b/>
                <w:noProof/>
                <w:sz w:val="20"/>
              </w:rPr>
              <w:t>(za ciljne vrednosti)</w:t>
            </w:r>
          </w:p>
        </w:tc>
        <w:tc>
          <w:tcPr>
            <w:tcW w:w="556" w:type="pct"/>
            <w:gridSpan w:val="2"/>
            <w:shd w:val="clear" w:color="auto" w:fill="C6D9F1" w:themeFill="text2" w:themeFillTint="33"/>
            <w:vAlign w:val="center"/>
            <w:hideMark/>
          </w:tcPr>
          <w:p w14:paraId="2CFFD5B7" w14:textId="77777777" w:rsidR="00154E32" w:rsidRDefault="00A43E04">
            <w:pPr>
              <w:pStyle w:val="P68B1DB1-Normal9"/>
              <w:jc w:val="center"/>
              <w:rPr>
                <w:noProof/>
              </w:rPr>
            </w:pPr>
            <w:r>
              <w:rPr>
                <w:noProof/>
              </w:rPr>
              <w:t>Okvirni časovni razpored za dokončanje</w:t>
            </w:r>
          </w:p>
        </w:tc>
        <w:tc>
          <w:tcPr>
            <w:tcW w:w="1198" w:type="pct"/>
            <w:vMerge w:val="restart"/>
            <w:shd w:val="clear" w:color="auto" w:fill="C6D9F1" w:themeFill="text2" w:themeFillTint="33"/>
            <w:vAlign w:val="center"/>
            <w:hideMark/>
          </w:tcPr>
          <w:p w14:paraId="6DB6AB5D" w14:textId="77777777" w:rsidR="00154E32" w:rsidRDefault="00A43E04">
            <w:pPr>
              <w:pStyle w:val="P68B1DB1-Normal9"/>
              <w:jc w:val="center"/>
              <w:rPr>
                <w:noProof/>
              </w:rPr>
            </w:pPr>
            <w:r>
              <w:rPr>
                <w:noProof/>
              </w:rPr>
              <w:t>Opis vsakega mejnika in cilja</w:t>
            </w:r>
          </w:p>
        </w:tc>
      </w:tr>
      <w:tr w:rsidR="00154E32" w14:paraId="24260B7A" w14:textId="77777777">
        <w:trPr>
          <w:trHeight w:val="1027"/>
          <w:tblHeader/>
          <w:jc w:val="right"/>
        </w:trPr>
        <w:tc>
          <w:tcPr>
            <w:tcW w:w="369" w:type="pct"/>
            <w:vMerge/>
            <w:vAlign w:val="center"/>
            <w:hideMark/>
          </w:tcPr>
          <w:p w14:paraId="06CDCC5B" w14:textId="77777777" w:rsidR="00154E32" w:rsidRDefault="00154E32">
            <w:pPr>
              <w:jc w:val="center"/>
              <w:rPr>
                <w:rFonts w:ascii="Arial Narrow" w:hAnsi="Arial Narrow"/>
                <w:b/>
                <w:noProof/>
                <w:sz w:val="20"/>
              </w:rPr>
            </w:pPr>
          </w:p>
        </w:tc>
        <w:tc>
          <w:tcPr>
            <w:tcW w:w="511" w:type="pct"/>
            <w:vMerge/>
            <w:vAlign w:val="center"/>
            <w:hideMark/>
          </w:tcPr>
          <w:p w14:paraId="20257B27" w14:textId="77777777" w:rsidR="00154E32" w:rsidRDefault="00154E32">
            <w:pPr>
              <w:jc w:val="center"/>
              <w:rPr>
                <w:rFonts w:ascii="Arial Narrow" w:hAnsi="Arial Narrow"/>
                <w:b/>
                <w:noProof/>
                <w:sz w:val="20"/>
              </w:rPr>
            </w:pPr>
          </w:p>
        </w:tc>
        <w:tc>
          <w:tcPr>
            <w:tcW w:w="417" w:type="pct"/>
            <w:vMerge/>
            <w:vAlign w:val="center"/>
            <w:hideMark/>
          </w:tcPr>
          <w:p w14:paraId="58F25491" w14:textId="77777777" w:rsidR="00154E32" w:rsidRDefault="00154E32">
            <w:pPr>
              <w:jc w:val="center"/>
              <w:rPr>
                <w:rFonts w:ascii="Arial Narrow" w:hAnsi="Arial Narrow"/>
                <w:b/>
                <w:noProof/>
                <w:sz w:val="20"/>
              </w:rPr>
            </w:pPr>
          </w:p>
        </w:tc>
        <w:tc>
          <w:tcPr>
            <w:tcW w:w="464" w:type="pct"/>
            <w:vMerge/>
            <w:vAlign w:val="center"/>
            <w:hideMark/>
          </w:tcPr>
          <w:p w14:paraId="63A330DD" w14:textId="77777777" w:rsidR="00154E32" w:rsidRDefault="00154E32">
            <w:pPr>
              <w:jc w:val="center"/>
              <w:rPr>
                <w:rFonts w:ascii="Arial Narrow" w:hAnsi="Arial Narrow"/>
                <w:b/>
                <w:noProof/>
                <w:sz w:val="20"/>
              </w:rPr>
            </w:pPr>
          </w:p>
        </w:tc>
        <w:tc>
          <w:tcPr>
            <w:tcW w:w="509" w:type="pct"/>
            <w:vMerge/>
            <w:vAlign w:val="center"/>
            <w:hideMark/>
          </w:tcPr>
          <w:p w14:paraId="06968799" w14:textId="77777777" w:rsidR="00154E32" w:rsidRDefault="00154E32">
            <w:pPr>
              <w:jc w:val="center"/>
              <w:rPr>
                <w:rFonts w:ascii="Arial Narrow" w:hAnsi="Arial Narrow"/>
                <w:b/>
                <w:noProof/>
                <w:sz w:val="20"/>
              </w:rPr>
            </w:pPr>
          </w:p>
        </w:tc>
        <w:tc>
          <w:tcPr>
            <w:tcW w:w="325" w:type="pct"/>
            <w:shd w:val="clear" w:color="auto" w:fill="C6D9F1" w:themeFill="text2" w:themeFillTint="33"/>
            <w:vAlign w:val="center"/>
            <w:hideMark/>
          </w:tcPr>
          <w:p w14:paraId="57DCAEFB" w14:textId="77777777" w:rsidR="00154E32" w:rsidRDefault="00A43E04">
            <w:pPr>
              <w:pStyle w:val="P68B1DB1-Normal9"/>
              <w:jc w:val="center"/>
              <w:rPr>
                <w:noProof/>
              </w:rPr>
            </w:pPr>
            <w:r>
              <w:rPr>
                <w:noProof/>
              </w:rPr>
              <w:t>Merska enota</w:t>
            </w:r>
          </w:p>
        </w:tc>
        <w:tc>
          <w:tcPr>
            <w:tcW w:w="371" w:type="pct"/>
            <w:shd w:val="clear" w:color="auto" w:fill="C6D9F1" w:themeFill="text2" w:themeFillTint="33"/>
            <w:vAlign w:val="center"/>
            <w:hideMark/>
          </w:tcPr>
          <w:p w14:paraId="4831A814" w14:textId="77777777" w:rsidR="00154E32" w:rsidRDefault="00A43E04">
            <w:pPr>
              <w:pStyle w:val="P68B1DB1-Normal9"/>
              <w:jc w:val="center"/>
              <w:rPr>
                <w:noProof/>
              </w:rPr>
            </w:pPr>
            <w:r>
              <w:rPr>
                <w:noProof/>
              </w:rPr>
              <w:t>Izhodišče</w:t>
            </w:r>
          </w:p>
        </w:tc>
        <w:tc>
          <w:tcPr>
            <w:tcW w:w="279" w:type="pct"/>
            <w:shd w:val="clear" w:color="auto" w:fill="C6D9F1" w:themeFill="text2" w:themeFillTint="33"/>
            <w:vAlign w:val="center"/>
            <w:hideMark/>
          </w:tcPr>
          <w:p w14:paraId="3409D963" w14:textId="77777777" w:rsidR="00154E32" w:rsidRDefault="00A43E04">
            <w:pPr>
              <w:pStyle w:val="P68B1DB1-Normal9"/>
              <w:jc w:val="center"/>
              <w:rPr>
                <w:noProof/>
              </w:rPr>
            </w:pPr>
            <w:r>
              <w:rPr>
                <w:noProof/>
              </w:rPr>
              <w:t>Cilj</w:t>
            </w:r>
          </w:p>
        </w:tc>
        <w:tc>
          <w:tcPr>
            <w:tcW w:w="278" w:type="pct"/>
            <w:shd w:val="clear" w:color="auto" w:fill="C6D9F1" w:themeFill="text2" w:themeFillTint="33"/>
            <w:vAlign w:val="center"/>
            <w:hideMark/>
          </w:tcPr>
          <w:p w14:paraId="78E587CC" w14:textId="77777777" w:rsidR="00154E32" w:rsidRDefault="00A43E04">
            <w:pPr>
              <w:pStyle w:val="P68B1DB1-Normal9"/>
              <w:jc w:val="center"/>
              <w:rPr>
                <w:noProof/>
              </w:rPr>
            </w:pPr>
            <w:r>
              <w:rPr>
                <w:noProof/>
              </w:rPr>
              <w:t>Četrtletje</w:t>
            </w:r>
          </w:p>
        </w:tc>
        <w:tc>
          <w:tcPr>
            <w:tcW w:w="278" w:type="pct"/>
            <w:shd w:val="clear" w:color="auto" w:fill="C6D9F1" w:themeFill="text2" w:themeFillTint="33"/>
            <w:vAlign w:val="center"/>
            <w:hideMark/>
          </w:tcPr>
          <w:p w14:paraId="18979F56" w14:textId="77777777" w:rsidR="00154E32" w:rsidRDefault="00A43E04">
            <w:pPr>
              <w:pStyle w:val="P68B1DB1-Normal9"/>
              <w:jc w:val="center"/>
              <w:rPr>
                <w:noProof/>
              </w:rPr>
            </w:pPr>
            <w:r>
              <w:rPr>
                <w:noProof/>
              </w:rPr>
              <w:t>Leto</w:t>
            </w:r>
          </w:p>
        </w:tc>
        <w:tc>
          <w:tcPr>
            <w:tcW w:w="1198" w:type="pct"/>
            <w:vMerge/>
            <w:vAlign w:val="center"/>
            <w:hideMark/>
          </w:tcPr>
          <w:p w14:paraId="0BC87465" w14:textId="77777777" w:rsidR="00154E32" w:rsidRDefault="00154E32">
            <w:pPr>
              <w:jc w:val="center"/>
              <w:rPr>
                <w:rFonts w:ascii="Arial Narrow" w:hAnsi="Arial Narrow"/>
                <w:b/>
                <w:noProof/>
                <w:sz w:val="20"/>
              </w:rPr>
            </w:pPr>
          </w:p>
        </w:tc>
      </w:tr>
      <w:tr w:rsidR="00154E32" w14:paraId="1B7C6295" w14:textId="77777777">
        <w:trPr>
          <w:trHeight w:val="2818"/>
          <w:jc w:val="right"/>
        </w:trPr>
        <w:tc>
          <w:tcPr>
            <w:tcW w:w="369" w:type="pct"/>
            <w:shd w:val="clear" w:color="auto" w:fill="C6EFCE"/>
            <w:noWrap/>
            <w:vAlign w:val="center"/>
            <w:hideMark/>
          </w:tcPr>
          <w:p w14:paraId="6293176B" w14:textId="77777777" w:rsidR="00154E32" w:rsidRDefault="00A43E04">
            <w:pPr>
              <w:pStyle w:val="P68B1DB1-Normal11"/>
              <w:jc w:val="center"/>
              <w:rPr>
                <w:noProof/>
              </w:rPr>
            </w:pPr>
            <w:r>
              <w:rPr>
                <w:noProof/>
              </w:rPr>
              <w:t>M3C1–1</w:t>
            </w:r>
          </w:p>
        </w:tc>
        <w:tc>
          <w:tcPr>
            <w:tcW w:w="511" w:type="pct"/>
            <w:shd w:val="clear" w:color="auto" w:fill="C6EFCE"/>
            <w:noWrap/>
            <w:vAlign w:val="center"/>
          </w:tcPr>
          <w:p w14:paraId="3FF64461" w14:textId="77777777" w:rsidR="00154E32" w:rsidRDefault="00A43E04">
            <w:pPr>
              <w:pStyle w:val="P68B1DB1-Normal11"/>
              <w:jc w:val="center"/>
              <w:rPr>
                <w:noProof/>
              </w:rPr>
            </w:pPr>
            <w:r>
              <w:rPr>
                <w:noProof/>
              </w:rPr>
              <w:t>Reforma 1.1 – Pospešitev postopka odobritve pogodbe med MIT in RFI</w:t>
            </w:r>
          </w:p>
        </w:tc>
        <w:tc>
          <w:tcPr>
            <w:tcW w:w="417" w:type="pct"/>
            <w:shd w:val="clear" w:color="auto" w:fill="C6EFCE"/>
            <w:noWrap/>
            <w:vAlign w:val="center"/>
            <w:hideMark/>
          </w:tcPr>
          <w:p w14:paraId="65AA1547" w14:textId="77777777" w:rsidR="00154E32" w:rsidRDefault="00A43E04">
            <w:pPr>
              <w:pStyle w:val="P68B1DB1-Normal11"/>
              <w:jc w:val="center"/>
              <w:rPr>
                <w:noProof/>
              </w:rPr>
            </w:pPr>
            <w:r>
              <w:rPr>
                <w:noProof/>
              </w:rPr>
              <w:t>Mejnik</w:t>
            </w:r>
          </w:p>
        </w:tc>
        <w:tc>
          <w:tcPr>
            <w:tcW w:w="464" w:type="pct"/>
            <w:shd w:val="clear" w:color="auto" w:fill="C6EFCE"/>
            <w:noWrap/>
            <w:vAlign w:val="center"/>
          </w:tcPr>
          <w:p w14:paraId="48FF2F0B" w14:textId="77777777" w:rsidR="00154E32" w:rsidRDefault="00A43E04">
            <w:pPr>
              <w:pStyle w:val="P68B1DB1-Normal11"/>
              <w:jc w:val="center"/>
              <w:rPr>
                <w:noProof/>
              </w:rPr>
            </w:pPr>
            <w:r>
              <w:rPr>
                <w:noProof/>
              </w:rPr>
              <w:t>Začetek veljavnosti zakonodajne spremembe o postopku odobritve Contratti di Programma (CdP)</w:t>
            </w:r>
          </w:p>
        </w:tc>
        <w:tc>
          <w:tcPr>
            <w:tcW w:w="509" w:type="pct"/>
            <w:shd w:val="clear" w:color="auto" w:fill="C6EFCE"/>
            <w:noWrap/>
            <w:vAlign w:val="center"/>
            <w:hideMark/>
          </w:tcPr>
          <w:p w14:paraId="00BC8235" w14:textId="77777777" w:rsidR="00154E32" w:rsidRDefault="00A43E04">
            <w:pPr>
              <w:pStyle w:val="P68B1DB1-Normal11"/>
              <w:jc w:val="center"/>
              <w:rPr>
                <w:noProof/>
              </w:rPr>
            </w:pPr>
            <w:r>
              <w:rPr>
                <w:noProof/>
              </w:rPr>
              <w:t>Določba zakona o začetku veljavnosti zakonodajne spremembe o postopku odobritve Contratti di Programma</w:t>
            </w:r>
          </w:p>
        </w:tc>
        <w:tc>
          <w:tcPr>
            <w:tcW w:w="325" w:type="pct"/>
            <w:shd w:val="clear" w:color="auto" w:fill="C6EFCE"/>
            <w:noWrap/>
            <w:vAlign w:val="center"/>
            <w:hideMark/>
          </w:tcPr>
          <w:p w14:paraId="5ADBCA20" w14:textId="77777777" w:rsidR="00154E32" w:rsidRDefault="00A43E04">
            <w:pPr>
              <w:pStyle w:val="P68B1DB1-Normal11"/>
              <w:jc w:val="center"/>
              <w:rPr>
                <w:noProof/>
              </w:rPr>
            </w:pPr>
            <w:r>
              <w:rPr>
                <w:noProof/>
              </w:rPr>
              <w:t>JIH NI</w:t>
            </w:r>
          </w:p>
        </w:tc>
        <w:tc>
          <w:tcPr>
            <w:tcW w:w="371" w:type="pct"/>
            <w:shd w:val="clear" w:color="auto" w:fill="C6EFCE"/>
            <w:noWrap/>
            <w:vAlign w:val="center"/>
          </w:tcPr>
          <w:p w14:paraId="3CE6012C" w14:textId="77777777" w:rsidR="00154E32" w:rsidRDefault="00A43E04">
            <w:pPr>
              <w:pStyle w:val="P68B1DB1-Normal11"/>
              <w:jc w:val="center"/>
              <w:rPr>
                <w:noProof/>
              </w:rPr>
            </w:pPr>
            <w:r>
              <w:rPr>
                <w:noProof/>
              </w:rPr>
              <w:t>JIH NI</w:t>
            </w:r>
          </w:p>
        </w:tc>
        <w:tc>
          <w:tcPr>
            <w:tcW w:w="279" w:type="pct"/>
            <w:shd w:val="clear" w:color="auto" w:fill="C6EFCE"/>
            <w:noWrap/>
            <w:vAlign w:val="center"/>
          </w:tcPr>
          <w:p w14:paraId="5EC7C83A" w14:textId="77777777" w:rsidR="00154E32" w:rsidRDefault="00A43E04">
            <w:pPr>
              <w:pStyle w:val="P68B1DB1-Normal11"/>
              <w:jc w:val="center"/>
              <w:rPr>
                <w:noProof/>
              </w:rPr>
            </w:pPr>
            <w:r>
              <w:rPr>
                <w:noProof/>
              </w:rPr>
              <w:t>JIH NI</w:t>
            </w:r>
          </w:p>
        </w:tc>
        <w:tc>
          <w:tcPr>
            <w:tcW w:w="278" w:type="pct"/>
            <w:shd w:val="clear" w:color="auto" w:fill="C6EFCE"/>
            <w:noWrap/>
            <w:vAlign w:val="center"/>
            <w:hideMark/>
          </w:tcPr>
          <w:p w14:paraId="315951B5" w14:textId="77777777" w:rsidR="00154E32" w:rsidRDefault="00A43E04">
            <w:pPr>
              <w:pStyle w:val="P68B1DB1-Normal11"/>
              <w:jc w:val="center"/>
              <w:rPr>
                <w:noProof/>
              </w:rPr>
            </w:pPr>
            <w:r>
              <w:rPr>
                <w:noProof/>
              </w:rPr>
              <w:t>Q4</w:t>
            </w:r>
          </w:p>
        </w:tc>
        <w:tc>
          <w:tcPr>
            <w:tcW w:w="278" w:type="pct"/>
            <w:shd w:val="clear" w:color="auto" w:fill="C6EFCE"/>
            <w:noWrap/>
            <w:vAlign w:val="center"/>
            <w:hideMark/>
          </w:tcPr>
          <w:p w14:paraId="4AA0512A" w14:textId="77777777" w:rsidR="00154E32" w:rsidRDefault="00A43E04">
            <w:pPr>
              <w:pStyle w:val="P68B1DB1-Normal11"/>
              <w:jc w:val="center"/>
              <w:rPr>
                <w:noProof/>
              </w:rPr>
            </w:pPr>
            <w:r>
              <w:rPr>
                <w:noProof/>
              </w:rPr>
              <w:t>2021</w:t>
            </w:r>
          </w:p>
        </w:tc>
        <w:tc>
          <w:tcPr>
            <w:tcW w:w="1198" w:type="pct"/>
            <w:shd w:val="clear" w:color="auto" w:fill="C6EFCE"/>
            <w:noWrap/>
            <w:vAlign w:val="center"/>
            <w:hideMark/>
          </w:tcPr>
          <w:p w14:paraId="03568BE2" w14:textId="77777777" w:rsidR="00154E32" w:rsidRDefault="00A43E04">
            <w:pPr>
              <w:pStyle w:val="P68B1DB1-ListParagraph13"/>
              <w:ind w:left="40"/>
              <w:jc w:val="left"/>
              <w:rPr>
                <w:noProof/>
              </w:rPr>
            </w:pPr>
            <w:r>
              <w:rPr>
                <w:noProof/>
              </w:rPr>
              <w:t xml:space="preserve">Zakonodajna sprememba skrajša čas za postopek odobritve Contratti di Programma (CdP) upravljavca železniške infrastrukture </w:t>
            </w:r>
            <w:r>
              <w:rPr>
                <w:i/>
                <w:noProof/>
              </w:rPr>
              <w:t>Rete Ferroviaria Italiana</w:t>
            </w:r>
            <w:r>
              <w:rPr>
                <w:noProof/>
              </w:rPr>
              <w:t>.</w:t>
            </w:r>
          </w:p>
          <w:p w14:paraId="2A41057D" w14:textId="77777777" w:rsidR="00154E32" w:rsidRDefault="00154E32">
            <w:pPr>
              <w:rPr>
                <w:rFonts w:ascii="Arial Narrow" w:hAnsi="Arial Narrow"/>
                <w:noProof/>
                <w:color w:val="006100"/>
                <w:sz w:val="20"/>
              </w:rPr>
            </w:pPr>
          </w:p>
        </w:tc>
      </w:tr>
      <w:tr w:rsidR="00154E32" w14:paraId="20DBF3BC" w14:textId="77777777">
        <w:trPr>
          <w:trHeight w:val="3100"/>
          <w:jc w:val="right"/>
        </w:trPr>
        <w:tc>
          <w:tcPr>
            <w:tcW w:w="369" w:type="pct"/>
            <w:shd w:val="clear" w:color="auto" w:fill="C6EFCE"/>
            <w:noWrap/>
            <w:vAlign w:val="center"/>
            <w:hideMark/>
          </w:tcPr>
          <w:p w14:paraId="0DDE9D43" w14:textId="77777777" w:rsidR="00154E32" w:rsidRDefault="00A43E04">
            <w:pPr>
              <w:pStyle w:val="P68B1DB1-Normal11"/>
              <w:jc w:val="center"/>
              <w:rPr>
                <w:noProof/>
              </w:rPr>
            </w:pPr>
            <w:r>
              <w:rPr>
                <w:noProof/>
              </w:rPr>
              <w:t>M3C1–2</w:t>
            </w:r>
          </w:p>
        </w:tc>
        <w:tc>
          <w:tcPr>
            <w:tcW w:w="511" w:type="pct"/>
            <w:shd w:val="clear" w:color="auto" w:fill="C6EFCE"/>
            <w:noWrap/>
            <w:vAlign w:val="center"/>
          </w:tcPr>
          <w:p w14:paraId="3043D07C" w14:textId="77777777" w:rsidR="00154E32" w:rsidRDefault="00A43E04">
            <w:pPr>
              <w:pStyle w:val="P68B1DB1-Normal11"/>
              <w:jc w:val="center"/>
              <w:rPr>
                <w:noProof/>
              </w:rPr>
            </w:pPr>
            <w:r>
              <w:rPr>
                <w:noProof/>
              </w:rPr>
              <w:t>Reforma 1.2 – Pospešitev postopka odobritve projektov</w:t>
            </w:r>
          </w:p>
        </w:tc>
        <w:tc>
          <w:tcPr>
            <w:tcW w:w="417" w:type="pct"/>
            <w:shd w:val="clear" w:color="auto" w:fill="C6EFCE"/>
            <w:noWrap/>
            <w:vAlign w:val="center"/>
            <w:hideMark/>
          </w:tcPr>
          <w:p w14:paraId="34A1E0EA" w14:textId="77777777" w:rsidR="00154E32" w:rsidRDefault="00A43E04">
            <w:pPr>
              <w:pStyle w:val="P68B1DB1-Normal11"/>
              <w:jc w:val="center"/>
              <w:rPr>
                <w:noProof/>
              </w:rPr>
            </w:pPr>
            <w:r>
              <w:rPr>
                <w:noProof/>
              </w:rPr>
              <w:t>Mejnik</w:t>
            </w:r>
          </w:p>
        </w:tc>
        <w:tc>
          <w:tcPr>
            <w:tcW w:w="464" w:type="pct"/>
            <w:shd w:val="clear" w:color="auto" w:fill="C6EFCE"/>
            <w:noWrap/>
            <w:vAlign w:val="center"/>
          </w:tcPr>
          <w:p w14:paraId="413E4FDE" w14:textId="77777777" w:rsidR="00154E32" w:rsidRDefault="00A43E04">
            <w:pPr>
              <w:pStyle w:val="P68B1DB1-Normal11"/>
              <w:jc w:val="center"/>
              <w:rPr>
                <w:noProof/>
              </w:rPr>
            </w:pPr>
            <w:r>
              <w:rPr>
                <w:noProof/>
              </w:rPr>
              <w:t>Začetek veljavnosti regulativne spremembe, s katero se čas odobritve projektov skrajša z 11 na šest mesecev</w:t>
            </w:r>
          </w:p>
        </w:tc>
        <w:tc>
          <w:tcPr>
            <w:tcW w:w="509" w:type="pct"/>
            <w:shd w:val="clear" w:color="auto" w:fill="C6EFCE"/>
            <w:noWrap/>
            <w:vAlign w:val="center"/>
            <w:hideMark/>
          </w:tcPr>
          <w:p w14:paraId="0E8ACFD8" w14:textId="77777777" w:rsidR="00154E32" w:rsidRDefault="00A43E04">
            <w:pPr>
              <w:pStyle w:val="P68B1DB1-Normal11"/>
              <w:jc w:val="center"/>
              <w:rPr>
                <w:noProof/>
              </w:rPr>
            </w:pPr>
            <w:r>
              <w:rPr>
                <w:noProof/>
              </w:rPr>
              <w:t>Določba zakona o začetku veljavnosti regulativne spremembe, s katero se čas odobritve skrajša z 11 na šest mesecev.</w:t>
            </w:r>
          </w:p>
        </w:tc>
        <w:tc>
          <w:tcPr>
            <w:tcW w:w="325" w:type="pct"/>
            <w:shd w:val="clear" w:color="auto" w:fill="C6EFCE"/>
            <w:noWrap/>
            <w:vAlign w:val="center"/>
            <w:hideMark/>
          </w:tcPr>
          <w:p w14:paraId="7E543CEC" w14:textId="77777777" w:rsidR="00154E32" w:rsidRDefault="00A43E04">
            <w:pPr>
              <w:pStyle w:val="P68B1DB1-Normal11"/>
              <w:jc w:val="center"/>
              <w:rPr>
                <w:noProof/>
              </w:rPr>
            </w:pPr>
            <w:r>
              <w:rPr>
                <w:noProof/>
              </w:rPr>
              <w:t>JIH NI</w:t>
            </w:r>
          </w:p>
        </w:tc>
        <w:tc>
          <w:tcPr>
            <w:tcW w:w="371" w:type="pct"/>
            <w:shd w:val="clear" w:color="auto" w:fill="C6EFCE"/>
            <w:noWrap/>
            <w:vAlign w:val="center"/>
          </w:tcPr>
          <w:p w14:paraId="00B2376E" w14:textId="77777777" w:rsidR="00154E32" w:rsidRDefault="00A43E04">
            <w:pPr>
              <w:pStyle w:val="P68B1DB1-Normal11"/>
              <w:jc w:val="center"/>
              <w:rPr>
                <w:noProof/>
              </w:rPr>
            </w:pPr>
            <w:r>
              <w:rPr>
                <w:noProof/>
              </w:rPr>
              <w:t>JIH NI</w:t>
            </w:r>
          </w:p>
        </w:tc>
        <w:tc>
          <w:tcPr>
            <w:tcW w:w="279" w:type="pct"/>
            <w:shd w:val="clear" w:color="auto" w:fill="C6EFCE"/>
            <w:noWrap/>
            <w:vAlign w:val="center"/>
          </w:tcPr>
          <w:p w14:paraId="500516A8" w14:textId="77777777" w:rsidR="00154E32" w:rsidRDefault="00A43E04">
            <w:pPr>
              <w:pStyle w:val="P68B1DB1-Normal11"/>
              <w:jc w:val="center"/>
              <w:rPr>
                <w:noProof/>
              </w:rPr>
            </w:pPr>
            <w:r>
              <w:rPr>
                <w:noProof/>
              </w:rPr>
              <w:t>JIH NI</w:t>
            </w:r>
          </w:p>
        </w:tc>
        <w:tc>
          <w:tcPr>
            <w:tcW w:w="278" w:type="pct"/>
            <w:shd w:val="clear" w:color="auto" w:fill="C6EFCE"/>
            <w:noWrap/>
            <w:vAlign w:val="center"/>
            <w:hideMark/>
          </w:tcPr>
          <w:p w14:paraId="6E42FE80" w14:textId="77777777" w:rsidR="00154E32" w:rsidRDefault="00A43E04">
            <w:pPr>
              <w:pStyle w:val="P68B1DB1-Normal11"/>
              <w:jc w:val="center"/>
              <w:rPr>
                <w:noProof/>
              </w:rPr>
            </w:pPr>
            <w:r>
              <w:rPr>
                <w:noProof/>
              </w:rPr>
              <w:t>Q4</w:t>
            </w:r>
          </w:p>
        </w:tc>
        <w:tc>
          <w:tcPr>
            <w:tcW w:w="278" w:type="pct"/>
            <w:shd w:val="clear" w:color="auto" w:fill="C6EFCE"/>
            <w:noWrap/>
            <w:vAlign w:val="center"/>
            <w:hideMark/>
          </w:tcPr>
          <w:p w14:paraId="1B2A6725" w14:textId="77777777" w:rsidR="00154E32" w:rsidRDefault="00A43E04">
            <w:pPr>
              <w:pStyle w:val="P68B1DB1-Normal11"/>
              <w:jc w:val="center"/>
              <w:rPr>
                <w:noProof/>
              </w:rPr>
            </w:pPr>
            <w:r>
              <w:rPr>
                <w:noProof/>
              </w:rPr>
              <w:t>2021</w:t>
            </w:r>
          </w:p>
        </w:tc>
        <w:tc>
          <w:tcPr>
            <w:tcW w:w="1198" w:type="pct"/>
            <w:shd w:val="clear" w:color="auto" w:fill="C6EFCE"/>
            <w:noWrap/>
            <w:vAlign w:val="center"/>
            <w:hideMark/>
          </w:tcPr>
          <w:p w14:paraId="44C3A69F" w14:textId="77777777" w:rsidR="00154E32" w:rsidRDefault="00A43E04">
            <w:pPr>
              <w:pStyle w:val="P68B1DB1-Normal11"/>
              <w:spacing w:before="100" w:beforeAutospacing="1" w:after="165"/>
              <w:rPr>
                <w:noProof/>
              </w:rPr>
            </w:pPr>
            <w:r>
              <w:rPr>
                <w:noProof/>
              </w:rPr>
              <w:t>Regulativna sprememba skrajša čas odobritve projektov z 11 na šest mesecev.</w:t>
            </w:r>
          </w:p>
        </w:tc>
      </w:tr>
      <w:tr w:rsidR="00154E32" w14:paraId="2B8B5520" w14:textId="77777777">
        <w:trPr>
          <w:trHeight w:val="313"/>
          <w:jc w:val="right"/>
        </w:trPr>
        <w:tc>
          <w:tcPr>
            <w:tcW w:w="369" w:type="pct"/>
            <w:shd w:val="clear" w:color="auto" w:fill="C6EFCE"/>
            <w:noWrap/>
            <w:vAlign w:val="center"/>
            <w:hideMark/>
          </w:tcPr>
          <w:p w14:paraId="31224233" w14:textId="77777777" w:rsidR="00154E32" w:rsidRDefault="00A43E04">
            <w:pPr>
              <w:pStyle w:val="P68B1DB1-Normal11"/>
              <w:jc w:val="center"/>
              <w:rPr>
                <w:noProof/>
              </w:rPr>
            </w:pPr>
            <w:r>
              <w:rPr>
                <w:noProof/>
              </w:rPr>
              <w:t>M3C1–3</w:t>
            </w:r>
          </w:p>
        </w:tc>
        <w:tc>
          <w:tcPr>
            <w:tcW w:w="511" w:type="pct"/>
            <w:shd w:val="clear" w:color="auto" w:fill="C6EFCE"/>
            <w:noWrap/>
            <w:vAlign w:val="center"/>
            <w:hideMark/>
          </w:tcPr>
          <w:p w14:paraId="0A525C46" w14:textId="77777777" w:rsidR="00154E32" w:rsidRDefault="00A43E04">
            <w:pPr>
              <w:pStyle w:val="P68B1DB1-Normal11"/>
              <w:jc w:val="center"/>
              <w:rPr>
                <w:noProof/>
              </w:rPr>
            </w:pPr>
            <w:r>
              <w:rPr>
                <w:noProof/>
              </w:rPr>
              <w:t>Naložba 1.1 – Železniške povezave z jugom za potnike in tovor</w:t>
            </w:r>
          </w:p>
        </w:tc>
        <w:tc>
          <w:tcPr>
            <w:tcW w:w="417" w:type="pct"/>
            <w:shd w:val="clear" w:color="auto" w:fill="C6EFCE"/>
            <w:noWrap/>
            <w:vAlign w:val="center"/>
            <w:hideMark/>
          </w:tcPr>
          <w:p w14:paraId="14AA9052" w14:textId="77777777" w:rsidR="00154E32" w:rsidRDefault="00A43E04">
            <w:pPr>
              <w:pStyle w:val="P68B1DB1-Normal11"/>
              <w:jc w:val="center"/>
              <w:rPr>
                <w:noProof/>
              </w:rPr>
            </w:pPr>
            <w:r>
              <w:rPr>
                <w:noProof/>
              </w:rPr>
              <w:t>Mejnik</w:t>
            </w:r>
          </w:p>
        </w:tc>
        <w:tc>
          <w:tcPr>
            <w:tcW w:w="464" w:type="pct"/>
            <w:shd w:val="clear" w:color="auto" w:fill="C6EFCE"/>
            <w:noWrap/>
            <w:vAlign w:val="center"/>
            <w:hideMark/>
          </w:tcPr>
          <w:p w14:paraId="6E6F57AD" w14:textId="77777777" w:rsidR="00154E32" w:rsidRDefault="00A43E04">
            <w:pPr>
              <w:pStyle w:val="P68B1DB1-Normal11"/>
              <w:jc w:val="center"/>
              <w:rPr>
                <w:noProof/>
              </w:rPr>
            </w:pPr>
            <w:r>
              <w:rPr>
                <w:noProof/>
              </w:rPr>
              <w:t>Oddaja naročila za gradnjo železniške proge za visoke hitrosti na progah Napoli-Bari in Palermo-Catania</w:t>
            </w:r>
          </w:p>
        </w:tc>
        <w:tc>
          <w:tcPr>
            <w:tcW w:w="509" w:type="pct"/>
            <w:shd w:val="clear" w:color="auto" w:fill="C6EFCE"/>
            <w:noWrap/>
            <w:vAlign w:val="center"/>
            <w:hideMark/>
          </w:tcPr>
          <w:p w14:paraId="40838966" w14:textId="77777777" w:rsidR="00154E32" w:rsidRDefault="00A43E04">
            <w:pPr>
              <w:pStyle w:val="P68B1DB1-Normal11"/>
              <w:jc w:val="center"/>
              <w:rPr>
                <w:noProof/>
              </w:rPr>
            </w:pPr>
            <w:r>
              <w:rPr>
                <w:noProof/>
              </w:rPr>
              <w:t>Obvestilo o oddaji vseh javnih naročil za gradnjo železniških prog za visoke hitrosti na progah Napoli-Bari in Palermo-Catania</w:t>
            </w:r>
          </w:p>
        </w:tc>
        <w:tc>
          <w:tcPr>
            <w:tcW w:w="325" w:type="pct"/>
            <w:shd w:val="clear" w:color="auto" w:fill="C6EFCE"/>
            <w:noWrap/>
            <w:vAlign w:val="center"/>
            <w:hideMark/>
          </w:tcPr>
          <w:p w14:paraId="113AEA25" w14:textId="77777777" w:rsidR="00154E32" w:rsidRDefault="00A43E04">
            <w:pPr>
              <w:pStyle w:val="P68B1DB1-Normal11"/>
              <w:jc w:val="center"/>
              <w:rPr>
                <w:noProof/>
              </w:rPr>
            </w:pPr>
            <w:r>
              <w:rPr>
                <w:noProof/>
              </w:rPr>
              <w:t>JIH NI</w:t>
            </w:r>
          </w:p>
        </w:tc>
        <w:tc>
          <w:tcPr>
            <w:tcW w:w="371" w:type="pct"/>
            <w:shd w:val="clear" w:color="auto" w:fill="C6EFCE"/>
            <w:noWrap/>
            <w:vAlign w:val="center"/>
            <w:hideMark/>
          </w:tcPr>
          <w:p w14:paraId="1C3549FC" w14:textId="77777777" w:rsidR="00154E32" w:rsidRDefault="00A43E04">
            <w:pPr>
              <w:pStyle w:val="P68B1DB1-Normal11"/>
              <w:jc w:val="center"/>
              <w:rPr>
                <w:noProof/>
              </w:rPr>
            </w:pPr>
            <w:r>
              <w:rPr>
                <w:noProof/>
              </w:rPr>
              <w:t>JIH NI</w:t>
            </w:r>
          </w:p>
        </w:tc>
        <w:tc>
          <w:tcPr>
            <w:tcW w:w="279" w:type="pct"/>
            <w:shd w:val="clear" w:color="auto" w:fill="C6EFCE"/>
            <w:noWrap/>
            <w:vAlign w:val="center"/>
            <w:hideMark/>
          </w:tcPr>
          <w:p w14:paraId="43641965" w14:textId="77777777" w:rsidR="00154E32" w:rsidRDefault="00A43E04">
            <w:pPr>
              <w:pStyle w:val="P68B1DB1-Normal11"/>
              <w:jc w:val="center"/>
              <w:rPr>
                <w:noProof/>
              </w:rPr>
            </w:pPr>
            <w:r>
              <w:rPr>
                <w:noProof/>
              </w:rPr>
              <w:t>JIH NI</w:t>
            </w:r>
          </w:p>
        </w:tc>
        <w:tc>
          <w:tcPr>
            <w:tcW w:w="278" w:type="pct"/>
            <w:shd w:val="clear" w:color="auto" w:fill="C6EFCE"/>
            <w:noWrap/>
            <w:vAlign w:val="center"/>
            <w:hideMark/>
          </w:tcPr>
          <w:p w14:paraId="722F1127" w14:textId="77777777" w:rsidR="00154E32" w:rsidRDefault="00A43E04">
            <w:pPr>
              <w:pStyle w:val="P68B1DB1-Normal11"/>
              <w:jc w:val="center"/>
              <w:rPr>
                <w:noProof/>
              </w:rPr>
            </w:pPr>
            <w:r>
              <w:rPr>
                <w:noProof/>
              </w:rPr>
              <w:t>Q4</w:t>
            </w:r>
          </w:p>
        </w:tc>
        <w:tc>
          <w:tcPr>
            <w:tcW w:w="278" w:type="pct"/>
            <w:shd w:val="clear" w:color="auto" w:fill="C6EFCE"/>
            <w:noWrap/>
            <w:vAlign w:val="center"/>
            <w:hideMark/>
          </w:tcPr>
          <w:p w14:paraId="12B200BA" w14:textId="77777777" w:rsidR="00154E32" w:rsidRDefault="00A43E04">
            <w:pPr>
              <w:pStyle w:val="P68B1DB1-Normal11"/>
              <w:jc w:val="center"/>
              <w:rPr>
                <w:noProof/>
              </w:rPr>
            </w:pPr>
            <w:r>
              <w:rPr>
                <w:noProof/>
              </w:rPr>
              <w:t>2022</w:t>
            </w:r>
          </w:p>
        </w:tc>
        <w:tc>
          <w:tcPr>
            <w:tcW w:w="1198" w:type="pct"/>
            <w:shd w:val="clear" w:color="auto" w:fill="C6EFCE"/>
            <w:noWrap/>
            <w:vAlign w:val="center"/>
            <w:hideMark/>
          </w:tcPr>
          <w:p w14:paraId="51D2A747" w14:textId="77777777" w:rsidR="00154E32" w:rsidRDefault="00A43E04">
            <w:pPr>
              <w:pStyle w:val="P68B1DB1-Normal11"/>
              <w:spacing w:before="120" w:after="120"/>
              <w:rPr>
                <w:noProof/>
              </w:rPr>
            </w:pPr>
            <w:r>
              <w:rPr>
                <w:noProof/>
              </w:rPr>
              <w:t>Obvestilo o oddaji vseh javnih naročil za gradnjo železniških prog za visoke hitrosti na progah Napoli-Bari in Palermo-Catania ob popolnem upoštevanju pravil o javnem naročanju</w:t>
            </w:r>
          </w:p>
          <w:p w14:paraId="1968221E" w14:textId="77777777" w:rsidR="00154E32" w:rsidRDefault="00A43E04">
            <w:pPr>
              <w:pStyle w:val="P68B1DB1-Normal11"/>
              <w:spacing w:before="120" w:after="120"/>
              <w:rPr>
                <w:noProof/>
              </w:rPr>
            </w:pPr>
            <w:r>
              <w:rPr>
                <w:noProof/>
              </w:rPr>
              <w:t>Pogodba(-e) se nanaša(-jo) na naslednje dele teh vrstic:</w:t>
            </w:r>
          </w:p>
          <w:p w14:paraId="4AF18BC6" w14:textId="77777777" w:rsidR="00154E32" w:rsidRDefault="00A43E04">
            <w:pPr>
              <w:pStyle w:val="P68B1DB1-Normal11"/>
              <w:spacing w:before="120" w:after="120"/>
              <w:rPr>
                <w:noProof/>
              </w:rPr>
            </w:pPr>
            <w:r>
              <w:rPr>
                <w:noProof/>
              </w:rPr>
              <w:t>Proga Napoli-Bari: Orsara-Bovino</w:t>
            </w:r>
          </w:p>
          <w:p w14:paraId="2F8C1195" w14:textId="4AF652BD" w:rsidR="00154E32" w:rsidRDefault="00A43E04">
            <w:pPr>
              <w:pStyle w:val="P68B1DB1-Normal11"/>
              <w:spacing w:before="120" w:after="120"/>
              <w:rPr>
                <w:noProof/>
              </w:rPr>
            </w:pPr>
            <w:r>
              <w:rPr>
                <w:noProof/>
              </w:rPr>
              <w:t>Linija Palermo-Catania:  Catenanuova – Dittaino in Dittaino – Enna</w:t>
            </w:r>
          </w:p>
        </w:tc>
      </w:tr>
      <w:tr w:rsidR="00154E32" w14:paraId="1F16674D" w14:textId="77777777">
        <w:trPr>
          <w:trHeight w:val="313"/>
          <w:jc w:val="right"/>
        </w:trPr>
        <w:tc>
          <w:tcPr>
            <w:tcW w:w="369" w:type="pct"/>
            <w:shd w:val="clear" w:color="auto" w:fill="C6EFCE"/>
            <w:noWrap/>
            <w:vAlign w:val="center"/>
            <w:hideMark/>
          </w:tcPr>
          <w:p w14:paraId="1B4D77DB" w14:textId="77777777" w:rsidR="00154E32" w:rsidRDefault="00A43E04">
            <w:pPr>
              <w:pStyle w:val="P68B1DB1-Normal11"/>
              <w:jc w:val="center"/>
              <w:rPr>
                <w:noProof/>
              </w:rPr>
            </w:pPr>
            <w:r>
              <w:rPr>
                <w:noProof/>
              </w:rPr>
              <w:t>M3C1–4</w:t>
            </w:r>
          </w:p>
        </w:tc>
        <w:tc>
          <w:tcPr>
            <w:tcW w:w="511" w:type="pct"/>
            <w:shd w:val="clear" w:color="auto" w:fill="C6EFCE"/>
            <w:noWrap/>
            <w:vAlign w:val="center"/>
            <w:hideMark/>
          </w:tcPr>
          <w:p w14:paraId="05FBCE20" w14:textId="77777777" w:rsidR="00154E32" w:rsidRDefault="00A43E04">
            <w:pPr>
              <w:pStyle w:val="P68B1DB1-Normal11"/>
              <w:jc w:val="center"/>
              <w:rPr>
                <w:noProof/>
              </w:rPr>
            </w:pPr>
            <w:r>
              <w:rPr>
                <w:noProof/>
              </w:rPr>
              <w:t>Naložba 1.1 – Železniške povezave z jugom za potnike in tovor</w:t>
            </w:r>
          </w:p>
        </w:tc>
        <w:tc>
          <w:tcPr>
            <w:tcW w:w="417" w:type="pct"/>
            <w:shd w:val="clear" w:color="auto" w:fill="C6EFCE"/>
            <w:noWrap/>
            <w:vAlign w:val="center"/>
            <w:hideMark/>
          </w:tcPr>
          <w:p w14:paraId="281F52A1" w14:textId="77777777" w:rsidR="00154E32" w:rsidRDefault="00A43E04">
            <w:pPr>
              <w:pStyle w:val="P68B1DB1-Normal11"/>
              <w:jc w:val="center"/>
              <w:rPr>
                <w:noProof/>
              </w:rPr>
            </w:pPr>
            <w:r>
              <w:rPr>
                <w:noProof/>
              </w:rPr>
              <w:t>Mejnik</w:t>
            </w:r>
          </w:p>
        </w:tc>
        <w:tc>
          <w:tcPr>
            <w:tcW w:w="464" w:type="pct"/>
            <w:shd w:val="clear" w:color="auto" w:fill="C6EFCE"/>
            <w:noWrap/>
            <w:vAlign w:val="center"/>
            <w:hideMark/>
          </w:tcPr>
          <w:p w14:paraId="54B1BC62" w14:textId="77777777" w:rsidR="00154E32" w:rsidRDefault="00A43E04">
            <w:pPr>
              <w:pStyle w:val="P68B1DB1-Normal11"/>
              <w:jc w:val="center"/>
              <w:rPr>
                <w:noProof/>
              </w:rPr>
            </w:pPr>
            <w:r>
              <w:rPr>
                <w:noProof/>
              </w:rPr>
              <w:t>Oddaja naročila za gradnjo železniške proge za visoke hitrosti na progah Salerno Reggio Calabria</w:t>
            </w:r>
          </w:p>
        </w:tc>
        <w:tc>
          <w:tcPr>
            <w:tcW w:w="509" w:type="pct"/>
            <w:shd w:val="clear" w:color="auto" w:fill="C6EFCE"/>
            <w:noWrap/>
            <w:vAlign w:val="center"/>
            <w:hideMark/>
          </w:tcPr>
          <w:p w14:paraId="4194E9E5" w14:textId="77777777" w:rsidR="00154E32" w:rsidRDefault="00A43E04">
            <w:pPr>
              <w:pStyle w:val="P68B1DB1-Normal19"/>
              <w:jc w:val="center"/>
              <w:rPr>
                <w:noProof/>
                <w:color w:val="006100"/>
              </w:rPr>
            </w:pPr>
            <w:r>
              <w:rPr>
                <w:noProof/>
                <w:color w:val="006100"/>
              </w:rPr>
              <w:t>Obvestilo o oddaji  multidisciplinarne pogodbe za izgradnjo železniške proge za visoke hitrosti na progi Salerno-Reggio Calabria</w:t>
            </w:r>
          </w:p>
        </w:tc>
        <w:tc>
          <w:tcPr>
            <w:tcW w:w="325" w:type="pct"/>
            <w:shd w:val="clear" w:color="auto" w:fill="C6EFCE"/>
            <w:noWrap/>
            <w:vAlign w:val="center"/>
            <w:hideMark/>
          </w:tcPr>
          <w:p w14:paraId="08DDDE6C" w14:textId="77777777" w:rsidR="00154E32" w:rsidRDefault="00A43E04">
            <w:pPr>
              <w:pStyle w:val="P68B1DB1-Normal11"/>
              <w:jc w:val="center"/>
              <w:rPr>
                <w:noProof/>
              </w:rPr>
            </w:pPr>
            <w:r>
              <w:rPr>
                <w:noProof/>
              </w:rPr>
              <w:t>JIH NI</w:t>
            </w:r>
          </w:p>
        </w:tc>
        <w:tc>
          <w:tcPr>
            <w:tcW w:w="371" w:type="pct"/>
            <w:shd w:val="clear" w:color="auto" w:fill="C6EFCE"/>
            <w:noWrap/>
            <w:vAlign w:val="center"/>
            <w:hideMark/>
          </w:tcPr>
          <w:p w14:paraId="42AA7BBF" w14:textId="77777777" w:rsidR="00154E32" w:rsidRDefault="00A43E04">
            <w:pPr>
              <w:pStyle w:val="P68B1DB1-Normal11"/>
              <w:jc w:val="center"/>
              <w:rPr>
                <w:noProof/>
              </w:rPr>
            </w:pPr>
            <w:r>
              <w:rPr>
                <w:noProof/>
              </w:rPr>
              <w:t>JIH NI</w:t>
            </w:r>
          </w:p>
        </w:tc>
        <w:tc>
          <w:tcPr>
            <w:tcW w:w="279" w:type="pct"/>
            <w:shd w:val="clear" w:color="auto" w:fill="C6EFCE"/>
            <w:noWrap/>
            <w:vAlign w:val="center"/>
            <w:hideMark/>
          </w:tcPr>
          <w:p w14:paraId="215A362A" w14:textId="77777777" w:rsidR="00154E32" w:rsidRDefault="00A43E04">
            <w:pPr>
              <w:pStyle w:val="P68B1DB1-Normal11"/>
              <w:jc w:val="center"/>
              <w:rPr>
                <w:noProof/>
              </w:rPr>
            </w:pPr>
            <w:r>
              <w:rPr>
                <w:noProof/>
              </w:rPr>
              <w:t>JIH NI</w:t>
            </w:r>
          </w:p>
        </w:tc>
        <w:tc>
          <w:tcPr>
            <w:tcW w:w="278" w:type="pct"/>
            <w:shd w:val="clear" w:color="auto" w:fill="C6EFCE"/>
            <w:noWrap/>
            <w:vAlign w:val="center"/>
            <w:hideMark/>
          </w:tcPr>
          <w:p w14:paraId="1CDCB2B1" w14:textId="6BC256D1" w:rsidR="00154E32" w:rsidRDefault="00A43E04">
            <w:pPr>
              <w:pStyle w:val="P68B1DB1-Normal11"/>
              <w:jc w:val="center"/>
              <w:rPr>
                <w:noProof/>
              </w:rPr>
            </w:pPr>
            <w:r>
              <w:rPr>
                <w:noProof/>
              </w:rPr>
              <w:t>Q4</w:t>
            </w:r>
          </w:p>
        </w:tc>
        <w:tc>
          <w:tcPr>
            <w:tcW w:w="278" w:type="pct"/>
            <w:shd w:val="clear" w:color="auto" w:fill="C6EFCE"/>
            <w:noWrap/>
            <w:vAlign w:val="center"/>
            <w:hideMark/>
          </w:tcPr>
          <w:p w14:paraId="59BFE413" w14:textId="4A78EC8B" w:rsidR="00154E32" w:rsidRDefault="00A43E04">
            <w:pPr>
              <w:pStyle w:val="P68B1DB1-Normal11"/>
              <w:jc w:val="center"/>
              <w:rPr>
                <w:noProof/>
              </w:rPr>
            </w:pPr>
            <w:r>
              <w:rPr>
                <w:noProof/>
              </w:rPr>
              <w:t>2023</w:t>
            </w:r>
          </w:p>
        </w:tc>
        <w:tc>
          <w:tcPr>
            <w:tcW w:w="1198" w:type="pct"/>
            <w:shd w:val="clear" w:color="auto" w:fill="C6EFCE"/>
            <w:noWrap/>
            <w:vAlign w:val="center"/>
            <w:hideMark/>
          </w:tcPr>
          <w:p w14:paraId="319D9A73" w14:textId="77777777" w:rsidR="00154E32" w:rsidRDefault="00A43E04">
            <w:pPr>
              <w:pStyle w:val="P68B1DB1-Normal11"/>
              <w:spacing w:before="120" w:after="120"/>
              <w:rPr>
                <w:noProof/>
              </w:rPr>
            </w:pPr>
            <w:r>
              <w:rPr>
                <w:noProof/>
              </w:rPr>
              <w:t>Obvestilo o oddaji multidisciplinarne pogodbe za izgradnjo železniške proge za visoke hitrosti na progi Salerno Reggio Calabria.</w:t>
            </w:r>
          </w:p>
          <w:p w14:paraId="063AF6B0" w14:textId="77777777" w:rsidR="00154E32" w:rsidRDefault="00A43E04">
            <w:pPr>
              <w:pStyle w:val="P68B1DB1-Normal11"/>
              <w:spacing w:before="120" w:after="120"/>
              <w:rPr>
                <w:noProof/>
              </w:rPr>
            </w:pPr>
            <w:r>
              <w:rPr>
                <w:noProof/>
              </w:rPr>
              <w:t>Pogodba se nanaša na naslednje dele te vrstice: Battipaglia – Romagnano</w:t>
            </w:r>
          </w:p>
        </w:tc>
      </w:tr>
      <w:tr w:rsidR="00154E32" w14:paraId="57ACAA29" w14:textId="77777777">
        <w:trPr>
          <w:trHeight w:val="309"/>
          <w:jc w:val="right"/>
        </w:trPr>
        <w:tc>
          <w:tcPr>
            <w:tcW w:w="369" w:type="pct"/>
            <w:shd w:val="clear" w:color="auto" w:fill="C6EFCE"/>
            <w:noWrap/>
            <w:vAlign w:val="center"/>
          </w:tcPr>
          <w:p w14:paraId="3985B2A4" w14:textId="77777777" w:rsidR="00154E32" w:rsidRDefault="00A43E04">
            <w:pPr>
              <w:pStyle w:val="P68B1DB1-Normal11"/>
              <w:jc w:val="center"/>
              <w:rPr>
                <w:noProof/>
              </w:rPr>
            </w:pPr>
            <w:r>
              <w:rPr>
                <w:noProof/>
              </w:rPr>
              <w:t>M3C1–6</w:t>
            </w:r>
          </w:p>
        </w:tc>
        <w:tc>
          <w:tcPr>
            <w:tcW w:w="511" w:type="pct"/>
            <w:shd w:val="clear" w:color="auto" w:fill="C6EFCE"/>
            <w:noWrap/>
            <w:vAlign w:val="center"/>
          </w:tcPr>
          <w:p w14:paraId="592303DC" w14:textId="77777777" w:rsidR="00154E32" w:rsidRDefault="00A43E04">
            <w:pPr>
              <w:pStyle w:val="P68B1DB1-Normal11"/>
              <w:jc w:val="center"/>
              <w:rPr>
                <w:noProof/>
              </w:rPr>
            </w:pPr>
            <w:r>
              <w:rPr>
                <w:noProof/>
              </w:rPr>
              <w:t>Naložba 1.1 – Železniške povezave z jugom za potnike in tovor</w:t>
            </w:r>
          </w:p>
        </w:tc>
        <w:tc>
          <w:tcPr>
            <w:tcW w:w="417" w:type="pct"/>
            <w:shd w:val="clear" w:color="auto" w:fill="C6EFCE"/>
            <w:noWrap/>
            <w:vAlign w:val="center"/>
          </w:tcPr>
          <w:p w14:paraId="2F57F74C" w14:textId="77777777" w:rsidR="00154E32" w:rsidRDefault="00A43E04">
            <w:pPr>
              <w:pStyle w:val="P68B1DB1-Normal11"/>
              <w:jc w:val="center"/>
              <w:rPr>
                <w:noProof/>
              </w:rPr>
            </w:pPr>
            <w:r>
              <w:rPr>
                <w:noProof/>
              </w:rPr>
              <w:t>Tarča</w:t>
            </w:r>
          </w:p>
        </w:tc>
        <w:tc>
          <w:tcPr>
            <w:tcW w:w="464" w:type="pct"/>
            <w:shd w:val="clear" w:color="auto" w:fill="C6EFCE"/>
            <w:noWrap/>
            <w:vAlign w:val="center"/>
          </w:tcPr>
          <w:p w14:paraId="5CB6F96C" w14:textId="77777777" w:rsidR="00154E32" w:rsidRDefault="00A43E04">
            <w:pPr>
              <w:pStyle w:val="P68B1DB1-Normal11"/>
              <w:jc w:val="center"/>
              <w:rPr>
                <w:noProof/>
              </w:rPr>
            </w:pPr>
            <w:r>
              <w:rPr>
                <w:noProof/>
              </w:rPr>
              <w:t>Železnica za visoke hitrosti za potniški in tovorni promet na progah Napoli-Bari, Salerno-Reggio Calabria, Palermo-Catania</w:t>
            </w:r>
          </w:p>
        </w:tc>
        <w:tc>
          <w:tcPr>
            <w:tcW w:w="509" w:type="pct"/>
            <w:shd w:val="clear" w:color="auto" w:fill="C6EFCE"/>
            <w:noWrap/>
            <w:vAlign w:val="center"/>
          </w:tcPr>
          <w:p w14:paraId="728B83C4" w14:textId="77777777" w:rsidR="00154E32" w:rsidRDefault="00A43E04">
            <w:pPr>
              <w:pStyle w:val="P68B1DB1-Normal11"/>
              <w:jc w:val="center"/>
              <w:rPr>
                <w:noProof/>
              </w:rPr>
            </w:pPr>
            <w:r>
              <w:rPr>
                <w:noProof/>
              </w:rPr>
              <w:t>JIH NI</w:t>
            </w:r>
          </w:p>
        </w:tc>
        <w:tc>
          <w:tcPr>
            <w:tcW w:w="325" w:type="pct"/>
            <w:shd w:val="clear" w:color="auto" w:fill="C6EFCE"/>
            <w:noWrap/>
            <w:vAlign w:val="center"/>
          </w:tcPr>
          <w:p w14:paraId="6D4AE6BE" w14:textId="77777777" w:rsidR="00154E32" w:rsidRDefault="00A43E04">
            <w:pPr>
              <w:pStyle w:val="P68B1DB1-Normal11"/>
              <w:jc w:val="center"/>
              <w:rPr>
                <w:noProof/>
              </w:rPr>
            </w:pPr>
            <w:r>
              <w:rPr>
                <w:noProof/>
              </w:rPr>
              <w:t>Število</w:t>
            </w:r>
          </w:p>
        </w:tc>
        <w:tc>
          <w:tcPr>
            <w:tcW w:w="371" w:type="pct"/>
            <w:shd w:val="clear" w:color="auto" w:fill="C6EFCE"/>
            <w:noWrap/>
            <w:vAlign w:val="center"/>
          </w:tcPr>
          <w:p w14:paraId="6D8300A1" w14:textId="77777777" w:rsidR="00154E32" w:rsidRDefault="00A43E04">
            <w:pPr>
              <w:pStyle w:val="P68B1DB1-Normal11"/>
              <w:jc w:val="center"/>
              <w:rPr>
                <w:noProof/>
              </w:rPr>
            </w:pPr>
            <w:r>
              <w:rPr>
                <w:noProof/>
              </w:rPr>
              <w:t>37</w:t>
            </w:r>
          </w:p>
        </w:tc>
        <w:tc>
          <w:tcPr>
            <w:tcW w:w="279" w:type="pct"/>
            <w:shd w:val="clear" w:color="auto" w:fill="C6EFCE"/>
            <w:noWrap/>
            <w:vAlign w:val="center"/>
          </w:tcPr>
          <w:p w14:paraId="2C1F84FB" w14:textId="310EDAF0" w:rsidR="00154E32" w:rsidRDefault="00A43E04">
            <w:pPr>
              <w:pStyle w:val="P68B1DB1-Normal11"/>
              <w:jc w:val="center"/>
              <w:rPr>
                <w:noProof/>
              </w:rPr>
            </w:pPr>
            <w:r>
              <w:rPr>
                <w:noProof/>
              </w:rPr>
              <w:t>119</w:t>
            </w:r>
          </w:p>
        </w:tc>
        <w:tc>
          <w:tcPr>
            <w:tcW w:w="278" w:type="pct"/>
            <w:shd w:val="clear" w:color="auto" w:fill="C6EFCE"/>
            <w:noWrap/>
            <w:vAlign w:val="center"/>
          </w:tcPr>
          <w:p w14:paraId="503D67A6" w14:textId="77777777" w:rsidR="00154E32" w:rsidRDefault="00A43E04">
            <w:pPr>
              <w:pStyle w:val="P68B1DB1-Normal11"/>
              <w:jc w:val="center"/>
              <w:rPr>
                <w:noProof/>
              </w:rPr>
            </w:pPr>
            <w:r>
              <w:rPr>
                <w:noProof/>
              </w:rPr>
              <w:t>Q2</w:t>
            </w:r>
          </w:p>
        </w:tc>
        <w:tc>
          <w:tcPr>
            <w:tcW w:w="278" w:type="pct"/>
            <w:shd w:val="clear" w:color="auto" w:fill="C6EFCE"/>
            <w:noWrap/>
            <w:vAlign w:val="center"/>
          </w:tcPr>
          <w:p w14:paraId="5EBE3CAB" w14:textId="77777777" w:rsidR="00154E32" w:rsidRDefault="00A43E04">
            <w:pPr>
              <w:pStyle w:val="P68B1DB1-Normal11"/>
              <w:jc w:val="center"/>
              <w:rPr>
                <w:noProof/>
              </w:rPr>
            </w:pPr>
            <w:r>
              <w:rPr>
                <w:noProof/>
              </w:rPr>
              <w:t>2026</w:t>
            </w:r>
          </w:p>
        </w:tc>
        <w:tc>
          <w:tcPr>
            <w:tcW w:w="1198" w:type="pct"/>
            <w:shd w:val="clear" w:color="auto" w:fill="C6EFCE"/>
            <w:noWrap/>
            <w:vAlign w:val="center"/>
          </w:tcPr>
          <w:p w14:paraId="432A6581" w14:textId="77777777" w:rsidR="00154E32" w:rsidRDefault="00A43E04">
            <w:pPr>
              <w:pStyle w:val="P68B1DB1-Normal11"/>
              <w:spacing w:before="120" w:after="120"/>
              <w:rPr>
                <w:noProof/>
              </w:rPr>
            </w:pPr>
            <w:r>
              <w:rPr>
                <w:noProof/>
              </w:rPr>
              <w:t>119 km železniških prog za visoke hitrosti za potnike in tovor na progah Napoli-Bari, Salerno-Reggio Calabria, Palermo-Catania zgrajenih, pripravljenih za pridobitev dovoljenja in obratovanja.</w:t>
            </w:r>
          </w:p>
          <w:p w14:paraId="4C84E998" w14:textId="77777777" w:rsidR="00154E32" w:rsidRDefault="00A43E04">
            <w:pPr>
              <w:pStyle w:val="P68B1DB1-Normal11"/>
              <w:rPr>
                <w:noProof/>
              </w:rPr>
            </w:pPr>
            <w:r>
              <w:rPr>
                <w:noProof/>
              </w:rPr>
              <w:t>Okvirna razčlenitev je naslednja:</w:t>
            </w:r>
          </w:p>
          <w:p w14:paraId="22023CFE" w14:textId="77777777" w:rsidR="00154E32" w:rsidRDefault="00154E32">
            <w:pPr>
              <w:rPr>
                <w:rFonts w:ascii="Arial Narrow" w:hAnsi="Arial Narrow"/>
                <w:noProof/>
                <w:color w:val="006100"/>
                <w:sz w:val="20"/>
              </w:rPr>
            </w:pPr>
          </w:p>
          <w:p w14:paraId="4AEAAEC5" w14:textId="77777777" w:rsidR="00154E32" w:rsidRDefault="00A43E04">
            <w:pPr>
              <w:pStyle w:val="P68B1DB1-Normal19"/>
              <w:rPr>
                <w:noProof/>
              </w:rPr>
            </w:pPr>
            <w:r>
              <w:rPr>
                <w:noProof/>
                <w:color w:val="006100"/>
              </w:rPr>
              <w:t>Proga Napoli-Bari 49 km;</w:t>
            </w:r>
            <w:r>
              <w:rPr>
                <w:noProof/>
              </w:rPr>
              <w:t xml:space="preserve"> </w:t>
            </w:r>
          </w:p>
          <w:p w14:paraId="11DD4392" w14:textId="77777777" w:rsidR="00154E32" w:rsidRDefault="00A43E04">
            <w:pPr>
              <w:pStyle w:val="P68B1DB1-Normal11"/>
              <w:rPr>
                <w:noProof/>
              </w:rPr>
            </w:pPr>
            <w:r>
              <w:rPr>
                <w:noProof/>
              </w:rPr>
              <w:t>izmed katerih:</w:t>
            </w:r>
          </w:p>
          <w:p w14:paraId="283F94E2" w14:textId="1B3F0768" w:rsidR="00154E32" w:rsidRDefault="00A43E04">
            <w:pPr>
              <w:pStyle w:val="P68B1DB1-Normal11"/>
              <w:rPr>
                <w:noProof/>
              </w:rPr>
            </w:pPr>
            <w:r>
              <w:rPr>
                <w:noProof/>
              </w:rPr>
              <w:t>Frasso – Telese 11</w:t>
            </w:r>
          </w:p>
          <w:p w14:paraId="2A3F695C" w14:textId="75612744" w:rsidR="00154E32" w:rsidRDefault="00A43E04">
            <w:pPr>
              <w:pStyle w:val="P68B1DB1-Normal11"/>
              <w:rPr>
                <w:noProof/>
              </w:rPr>
            </w:pPr>
            <w:r>
              <w:rPr>
                <w:noProof/>
              </w:rPr>
              <w:t>Telese – Vitulano 19 km</w:t>
            </w:r>
          </w:p>
          <w:p w14:paraId="5DB9BE4B" w14:textId="38128373" w:rsidR="00154E32" w:rsidRDefault="00A43E04">
            <w:pPr>
              <w:pStyle w:val="P68B1DB1-Normal11"/>
              <w:rPr>
                <w:noProof/>
              </w:rPr>
            </w:pPr>
            <w:r>
              <w:rPr>
                <w:noProof/>
              </w:rPr>
              <w:t>Apice – Hirpinija 19 km</w:t>
            </w:r>
          </w:p>
          <w:p w14:paraId="39C63536" w14:textId="77777777" w:rsidR="00154E32" w:rsidRDefault="00154E32">
            <w:pPr>
              <w:rPr>
                <w:rFonts w:ascii="Arial Narrow" w:hAnsi="Arial Narrow"/>
                <w:noProof/>
                <w:sz w:val="20"/>
              </w:rPr>
            </w:pPr>
          </w:p>
          <w:p w14:paraId="03F43D06" w14:textId="21F2044D" w:rsidR="00154E32" w:rsidRDefault="00A43E04">
            <w:pPr>
              <w:pStyle w:val="P68B1DB1-Normal11"/>
              <w:rPr>
                <w:noProof/>
              </w:rPr>
            </w:pPr>
            <w:r>
              <w:rPr>
                <w:noProof/>
              </w:rPr>
              <w:t>Salerno – Reggio Calabria 33 km</w:t>
            </w:r>
          </w:p>
          <w:p w14:paraId="4BD5D1F1" w14:textId="4A148F13" w:rsidR="00154E32" w:rsidRDefault="00A43E04">
            <w:pPr>
              <w:pStyle w:val="P68B1DB1-Normal11"/>
              <w:rPr>
                <w:noProof/>
              </w:rPr>
            </w:pPr>
            <w:r>
              <w:rPr>
                <w:noProof/>
              </w:rPr>
              <w:t>od tega Battipaglia-Romagnano 33 km</w:t>
            </w:r>
          </w:p>
          <w:p w14:paraId="64E3DE52" w14:textId="77777777" w:rsidR="00154E32" w:rsidRDefault="00154E32">
            <w:pPr>
              <w:rPr>
                <w:rFonts w:ascii="Arial Narrow" w:hAnsi="Arial Narrow"/>
                <w:noProof/>
                <w:color w:val="006100"/>
                <w:sz w:val="20"/>
              </w:rPr>
            </w:pPr>
          </w:p>
          <w:p w14:paraId="14D4CC7A" w14:textId="5524FE2A" w:rsidR="00154E32" w:rsidRDefault="00A43E04">
            <w:pPr>
              <w:pStyle w:val="P68B1DB1-Normal11"/>
              <w:rPr>
                <w:noProof/>
              </w:rPr>
            </w:pPr>
            <w:r>
              <w:rPr>
                <w:noProof/>
              </w:rPr>
              <w:t>Proga Palermo-Catania, od tega 37 km:</w:t>
            </w:r>
          </w:p>
          <w:p w14:paraId="3C557121" w14:textId="1D1B1630" w:rsidR="00154E32" w:rsidRDefault="00A43E04">
            <w:pPr>
              <w:pStyle w:val="P68B1DB1-Normal11"/>
              <w:rPr>
                <w:noProof/>
              </w:rPr>
            </w:pPr>
            <w:r>
              <w:rPr>
                <w:noProof/>
              </w:rPr>
              <w:t>Catenanuova – Dittaino 22 km</w:t>
            </w:r>
          </w:p>
          <w:p w14:paraId="34E1DB73" w14:textId="77777777" w:rsidR="00154E32" w:rsidRDefault="00A43E04">
            <w:pPr>
              <w:pStyle w:val="P68B1DB1-Normal11"/>
              <w:rPr>
                <w:noProof/>
              </w:rPr>
            </w:pPr>
            <w:r>
              <w:rPr>
                <w:noProof/>
              </w:rPr>
              <w:t>Dittanio – Enna 15 km</w:t>
            </w:r>
          </w:p>
        </w:tc>
      </w:tr>
      <w:tr w:rsidR="00154E32" w14:paraId="3BE60C4E" w14:textId="77777777">
        <w:trPr>
          <w:trHeight w:val="309"/>
          <w:jc w:val="right"/>
        </w:trPr>
        <w:tc>
          <w:tcPr>
            <w:tcW w:w="369" w:type="pct"/>
            <w:shd w:val="clear" w:color="auto" w:fill="C6EFCE"/>
            <w:noWrap/>
            <w:vAlign w:val="center"/>
          </w:tcPr>
          <w:p w14:paraId="1608C981" w14:textId="237017B2" w:rsidR="00154E32" w:rsidRDefault="00A43E04">
            <w:pPr>
              <w:pStyle w:val="P68B1DB1-Normal11"/>
              <w:jc w:val="center"/>
              <w:rPr>
                <w:noProof/>
              </w:rPr>
            </w:pPr>
            <w:r>
              <w:rPr>
                <w:noProof/>
              </w:rPr>
              <w:t>M3C1–23</w:t>
            </w:r>
          </w:p>
        </w:tc>
        <w:tc>
          <w:tcPr>
            <w:tcW w:w="511" w:type="pct"/>
            <w:shd w:val="clear" w:color="auto" w:fill="C6EFCE"/>
            <w:noWrap/>
            <w:vAlign w:val="center"/>
          </w:tcPr>
          <w:p w14:paraId="6A270ED6" w14:textId="77777777" w:rsidR="00154E32" w:rsidRDefault="00A43E04">
            <w:pPr>
              <w:pStyle w:val="P68B1DB1-Normal11"/>
              <w:jc w:val="center"/>
              <w:rPr>
                <w:noProof/>
              </w:rPr>
            </w:pPr>
            <w:r>
              <w:rPr>
                <w:noProof/>
              </w:rPr>
              <w:t>Naložba 1.9</w:t>
            </w:r>
          </w:p>
          <w:p w14:paraId="777111B0" w14:textId="77777777" w:rsidR="00154E32" w:rsidRDefault="00A43E04">
            <w:pPr>
              <w:pStyle w:val="P68B1DB1-Normal11"/>
              <w:jc w:val="center"/>
              <w:rPr>
                <w:noProof/>
              </w:rPr>
            </w:pPr>
            <w:r>
              <w:rPr>
                <w:noProof/>
              </w:rPr>
              <w:t>Medregionalne povezave</w:t>
            </w:r>
          </w:p>
        </w:tc>
        <w:tc>
          <w:tcPr>
            <w:tcW w:w="417" w:type="pct"/>
            <w:shd w:val="clear" w:color="auto" w:fill="C6EFCE"/>
            <w:noWrap/>
            <w:vAlign w:val="center"/>
          </w:tcPr>
          <w:p w14:paraId="47C086FF" w14:textId="77777777" w:rsidR="00154E32" w:rsidRDefault="00A43E04">
            <w:pPr>
              <w:pStyle w:val="P68B1DB1-Normal11"/>
              <w:jc w:val="center"/>
              <w:rPr>
                <w:noProof/>
              </w:rPr>
            </w:pPr>
            <w:r>
              <w:rPr>
                <w:noProof/>
              </w:rPr>
              <w:t>Tarča</w:t>
            </w:r>
          </w:p>
        </w:tc>
        <w:tc>
          <w:tcPr>
            <w:tcW w:w="464" w:type="pct"/>
            <w:shd w:val="clear" w:color="auto" w:fill="C6EFCE"/>
            <w:noWrap/>
            <w:vAlign w:val="center"/>
          </w:tcPr>
          <w:p w14:paraId="4007BA6E" w14:textId="77777777" w:rsidR="00154E32" w:rsidRDefault="00A43E04">
            <w:pPr>
              <w:pStyle w:val="P68B1DB1-Normal11"/>
              <w:jc w:val="center"/>
              <w:rPr>
                <w:noProof/>
              </w:rPr>
            </w:pPr>
            <w:r>
              <w:rPr>
                <w:noProof/>
              </w:rPr>
              <w:t>Naložba 1.9</w:t>
            </w:r>
          </w:p>
          <w:p w14:paraId="0387E6FB" w14:textId="77777777" w:rsidR="00154E32" w:rsidRDefault="00A43E04">
            <w:pPr>
              <w:pStyle w:val="P68B1DB1-Normal11"/>
              <w:jc w:val="center"/>
              <w:rPr>
                <w:noProof/>
              </w:rPr>
            </w:pPr>
            <w:r>
              <w:rPr>
                <w:noProof/>
              </w:rPr>
              <w:t>Medregionalne povezave</w:t>
            </w:r>
          </w:p>
        </w:tc>
        <w:tc>
          <w:tcPr>
            <w:tcW w:w="509" w:type="pct"/>
            <w:shd w:val="clear" w:color="auto" w:fill="C6EFCE"/>
            <w:noWrap/>
            <w:vAlign w:val="center"/>
          </w:tcPr>
          <w:p w14:paraId="0FB4D692" w14:textId="77777777" w:rsidR="00154E32" w:rsidRDefault="00A43E04">
            <w:pPr>
              <w:pStyle w:val="P68B1DB1-Normal11"/>
              <w:jc w:val="center"/>
              <w:rPr>
                <w:noProof/>
              </w:rPr>
            </w:pPr>
            <w:r>
              <w:rPr>
                <w:noProof/>
              </w:rPr>
              <w:t>JIH NI</w:t>
            </w:r>
          </w:p>
        </w:tc>
        <w:tc>
          <w:tcPr>
            <w:tcW w:w="325" w:type="pct"/>
            <w:shd w:val="clear" w:color="auto" w:fill="C6EFCE"/>
            <w:noWrap/>
            <w:vAlign w:val="center"/>
          </w:tcPr>
          <w:p w14:paraId="27985909" w14:textId="77777777" w:rsidR="00154E32" w:rsidRDefault="00A43E04">
            <w:pPr>
              <w:pStyle w:val="P68B1DB1-Normal11"/>
              <w:jc w:val="center"/>
              <w:rPr>
                <w:noProof/>
              </w:rPr>
            </w:pPr>
            <w:r>
              <w:rPr>
                <w:noProof/>
              </w:rPr>
              <w:t>Število</w:t>
            </w:r>
          </w:p>
        </w:tc>
        <w:tc>
          <w:tcPr>
            <w:tcW w:w="371" w:type="pct"/>
            <w:shd w:val="clear" w:color="auto" w:fill="C6EFCE"/>
            <w:noWrap/>
            <w:vAlign w:val="center"/>
          </w:tcPr>
          <w:p w14:paraId="1A9C7860" w14:textId="77777777" w:rsidR="00154E32" w:rsidRDefault="00A43E04">
            <w:pPr>
              <w:pStyle w:val="P68B1DB1-Normal11"/>
              <w:jc w:val="center"/>
              <w:rPr>
                <w:noProof/>
              </w:rPr>
            </w:pPr>
            <w:r>
              <w:rPr>
                <w:noProof/>
              </w:rPr>
              <w:t>0</w:t>
            </w:r>
          </w:p>
        </w:tc>
        <w:tc>
          <w:tcPr>
            <w:tcW w:w="279" w:type="pct"/>
            <w:shd w:val="clear" w:color="auto" w:fill="C6EFCE"/>
            <w:noWrap/>
            <w:vAlign w:val="center"/>
          </w:tcPr>
          <w:p w14:paraId="7FC2C700" w14:textId="77777777" w:rsidR="00154E32" w:rsidRDefault="00A43E04">
            <w:pPr>
              <w:pStyle w:val="P68B1DB1-Normal11"/>
              <w:jc w:val="center"/>
              <w:rPr>
                <w:noProof/>
              </w:rPr>
            </w:pPr>
            <w:r>
              <w:rPr>
                <w:noProof/>
              </w:rPr>
              <w:t xml:space="preserve">70 </w:t>
            </w:r>
          </w:p>
        </w:tc>
        <w:tc>
          <w:tcPr>
            <w:tcW w:w="278" w:type="pct"/>
            <w:shd w:val="clear" w:color="auto" w:fill="C6EFCE"/>
            <w:noWrap/>
            <w:vAlign w:val="center"/>
          </w:tcPr>
          <w:p w14:paraId="6E5939D1" w14:textId="77777777" w:rsidR="00154E32" w:rsidRDefault="00A43E04">
            <w:pPr>
              <w:pStyle w:val="P68B1DB1-Normal11"/>
              <w:jc w:val="center"/>
              <w:rPr>
                <w:noProof/>
              </w:rPr>
            </w:pPr>
            <w:r>
              <w:rPr>
                <w:noProof/>
              </w:rPr>
              <w:t>Q4</w:t>
            </w:r>
          </w:p>
        </w:tc>
        <w:tc>
          <w:tcPr>
            <w:tcW w:w="278" w:type="pct"/>
            <w:shd w:val="clear" w:color="auto" w:fill="C6EFCE"/>
            <w:noWrap/>
            <w:vAlign w:val="center"/>
          </w:tcPr>
          <w:p w14:paraId="700BF9A3" w14:textId="77777777" w:rsidR="00154E32" w:rsidRDefault="00A43E04">
            <w:pPr>
              <w:pStyle w:val="P68B1DB1-Normal11"/>
              <w:jc w:val="center"/>
              <w:rPr>
                <w:noProof/>
              </w:rPr>
            </w:pPr>
            <w:r>
              <w:rPr>
                <w:noProof/>
              </w:rPr>
              <w:t>2025</w:t>
            </w:r>
          </w:p>
        </w:tc>
        <w:tc>
          <w:tcPr>
            <w:tcW w:w="1198" w:type="pct"/>
            <w:shd w:val="clear" w:color="auto" w:fill="C6EFCE"/>
            <w:noWrap/>
            <w:vAlign w:val="center"/>
          </w:tcPr>
          <w:p w14:paraId="1674E604" w14:textId="5C9BD304" w:rsidR="00154E32" w:rsidRDefault="00A43E04">
            <w:pPr>
              <w:pStyle w:val="P68B1DB1-Normal11"/>
              <w:rPr>
                <w:noProof/>
              </w:rPr>
            </w:pPr>
            <w:r>
              <w:rPr>
                <w:noProof/>
              </w:rPr>
              <w:t>Več kot 70 km medregionalnih povezav</w:t>
            </w:r>
          </w:p>
          <w:p w14:paraId="1DA8EE6A" w14:textId="77777777" w:rsidR="00154E32" w:rsidRDefault="00154E32">
            <w:pPr>
              <w:rPr>
                <w:rFonts w:ascii="Arial Narrow" w:hAnsi="Arial Narrow"/>
                <w:noProof/>
                <w:color w:val="006100"/>
                <w:sz w:val="20"/>
              </w:rPr>
            </w:pPr>
          </w:p>
          <w:p w14:paraId="74CF0C81" w14:textId="77777777" w:rsidR="00154E32" w:rsidRDefault="00A43E04">
            <w:pPr>
              <w:pStyle w:val="P68B1DB1-Normal11"/>
              <w:rPr>
                <w:noProof/>
              </w:rPr>
            </w:pPr>
            <w:r>
              <w:rPr>
                <w:noProof/>
              </w:rPr>
              <w:t>Proge, ki jih je treba nadgraditi, so med naslednjimi:</w:t>
            </w:r>
          </w:p>
          <w:p w14:paraId="461FB350" w14:textId="77777777" w:rsidR="00154E32" w:rsidRDefault="00154E32">
            <w:pPr>
              <w:rPr>
                <w:rFonts w:ascii="Arial Narrow" w:hAnsi="Arial Narrow"/>
                <w:noProof/>
                <w:color w:val="006100"/>
                <w:sz w:val="20"/>
              </w:rPr>
            </w:pPr>
          </w:p>
          <w:p w14:paraId="492EE70B" w14:textId="77777777" w:rsidR="00154E32" w:rsidRDefault="00A43E04">
            <w:pPr>
              <w:pStyle w:val="P68B1DB1-Normal11"/>
              <w:rPr>
                <w:noProof/>
              </w:rPr>
            </w:pPr>
            <w:r>
              <w:rPr>
                <w:noProof/>
              </w:rPr>
              <w:t xml:space="preserve">Milano Genova </w:t>
            </w:r>
          </w:p>
          <w:p w14:paraId="571A9D10" w14:textId="77777777" w:rsidR="00154E32" w:rsidRDefault="00A43E04">
            <w:pPr>
              <w:pStyle w:val="P68B1DB1-Normal11"/>
              <w:rPr>
                <w:noProof/>
              </w:rPr>
            </w:pPr>
            <w:r>
              <w:rPr>
                <w:noProof/>
              </w:rPr>
              <w:t>Palermo Catania (linea zgodba)</w:t>
            </w:r>
          </w:p>
          <w:p w14:paraId="055BC8E9" w14:textId="330848F4" w:rsidR="00154E32" w:rsidRDefault="00A43E04">
            <w:pPr>
              <w:pStyle w:val="P68B1DB1-Normal11"/>
              <w:rPr>
                <w:noProof/>
              </w:rPr>
            </w:pPr>
            <w:r>
              <w:rPr>
                <w:noProof/>
              </w:rPr>
              <w:t xml:space="preserve">Battipaglia Potenza </w:t>
            </w:r>
          </w:p>
          <w:p w14:paraId="2D3741DA" w14:textId="77777777" w:rsidR="00154E32" w:rsidRDefault="00A43E04">
            <w:pPr>
              <w:pStyle w:val="P68B1DB1-Normal11"/>
              <w:rPr>
                <w:noProof/>
              </w:rPr>
            </w:pPr>
            <w:r>
              <w:rPr>
                <w:noProof/>
              </w:rPr>
              <w:t xml:space="preserve">Orte Falconara </w:t>
            </w:r>
          </w:p>
        </w:tc>
      </w:tr>
      <w:tr w:rsidR="00154E32" w14:paraId="098FEC64" w14:textId="77777777">
        <w:trPr>
          <w:trHeight w:val="309"/>
          <w:jc w:val="right"/>
        </w:trPr>
        <w:tc>
          <w:tcPr>
            <w:tcW w:w="369" w:type="pct"/>
            <w:shd w:val="clear" w:color="auto" w:fill="C6EFCE"/>
            <w:noWrap/>
            <w:vAlign w:val="center"/>
          </w:tcPr>
          <w:p w14:paraId="0372EA73" w14:textId="3E9DF4C2" w:rsidR="00154E32" w:rsidRDefault="00A43E04">
            <w:pPr>
              <w:pStyle w:val="P68B1DB1-Normal11"/>
              <w:jc w:val="center"/>
              <w:rPr>
                <w:noProof/>
              </w:rPr>
            </w:pPr>
            <w:r>
              <w:rPr>
                <w:noProof/>
              </w:rPr>
              <w:t>M3C1–24</w:t>
            </w:r>
          </w:p>
        </w:tc>
        <w:tc>
          <w:tcPr>
            <w:tcW w:w="511" w:type="pct"/>
            <w:shd w:val="clear" w:color="auto" w:fill="C6EFCE"/>
            <w:noWrap/>
            <w:vAlign w:val="center"/>
          </w:tcPr>
          <w:p w14:paraId="6A98F6A5" w14:textId="77777777" w:rsidR="00154E32" w:rsidRDefault="00A43E04">
            <w:pPr>
              <w:pStyle w:val="P68B1DB1-Normal11"/>
              <w:jc w:val="center"/>
              <w:rPr>
                <w:noProof/>
              </w:rPr>
            </w:pPr>
            <w:r>
              <w:rPr>
                <w:noProof/>
              </w:rPr>
              <w:t>Naložba 1.9</w:t>
            </w:r>
          </w:p>
          <w:p w14:paraId="093B12FA" w14:textId="77777777" w:rsidR="00154E32" w:rsidRDefault="00A43E04">
            <w:pPr>
              <w:pStyle w:val="P68B1DB1-Normal11"/>
              <w:jc w:val="center"/>
              <w:rPr>
                <w:noProof/>
              </w:rPr>
            </w:pPr>
            <w:r>
              <w:rPr>
                <w:noProof/>
              </w:rPr>
              <w:t>Medregionalne povezave</w:t>
            </w:r>
          </w:p>
        </w:tc>
        <w:tc>
          <w:tcPr>
            <w:tcW w:w="417" w:type="pct"/>
            <w:shd w:val="clear" w:color="auto" w:fill="C6EFCE"/>
            <w:noWrap/>
            <w:vAlign w:val="center"/>
          </w:tcPr>
          <w:p w14:paraId="3A53BE0A" w14:textId="77777777" w:rsidR="00154E32" w:rsidRDefault="00A43E04">
            <w:pPr>
              <w:pStyle w:val="P68B1DB1-Normal11"/>
              <w:jc w:val="center"/>
              <w:rPr>
                <w:noProof/>
              </w:rPr>
            </w:pPr>
            <w:r>
              <w:rPr>
                <w:noProof/>
              </w:rPr>
              <w:t>Tarča</w:t>
            </w:r>
          </w:p>
        </w:tc>
        <w:tc>
          <w:tcPr>
            <w:tcW w:w="464" w:type="pct"/>
            <w:shd w:val="clear" w:color="auto" w:fill="C6EFCE"/>
            <w:noWrap/>
            <w:vAlign w:val="center"/>
          </w:tcPr>
          <w:p w14:paraId="39AE4878" w14:textId="77777777" w:rsidR="00154E32" w:rsidRDefault="00A43E04">
            <w:pPr>
              <w:pStyle w:val="P68B1DB1-Normal11"/>
              <w:jc w:val="center"/>
              <w:rPr>
                <w:noProof/>
              </w:rPr>
            </w:pPr>
            <w:r>
              <w:rPr>
                <w:noProof/>
              </w:rPr>
              <w:t>Naložba 1.9</w:t>
            </w:r>
          </w:p>
          <w:p w14:paraId="6E1EFE54" w14:textId="77777777" w:rsidR="00154E32" w:rsidRDefault="00A43E04">
            <w:pPr>
              <w:pStyle w:val="P68B1DB1-Normal11"/>
              <w:jc w:val="center"/>
              <w:rPr>
                <w:noProof/>
              </w:rPr>
            </w:pPr>
            <w:r>
              <w:rPr>
                <w:noProof/>
              </w:rPr>
              <w:t>Medregionalne povezave</w:t>
            </w:r>
          </w:p>
        </w:tc>
        <w:tc>
          <w:tcPr>
            <w:tcW w:w="509" w:type="pct"/>
            <w:shd w:val="clear" w:color="auto" w:fill="C6EFCE"/>
            <w:noWrap/>
            <w:vAlign w:val="center"/>
          </w:tcPr>
          <w:p w14:paraId="360FDB72" w14:textId="77777777" w:rsidR="00154E32" w:rsidRDefault="00A43E04">
            <w:pPr>
              <w:pStyle w:val="P68B1DB1-Normal11"/>
              <w:jc w:val="center"/>
              <w:rPr>
                <w:noProof/>
              </w:rPr>
            </w:pPr>
            <w:r>
              <w:rPr>
                <w:noProof/>
              </w:rPr>
              <w:t>JIH NI</w:t>
            </w:r>
          </w:p>
        </w:tc>
        <w:tc>
          <w:tcPr>
            <w:tcW w:w="325" w:type="pct"/>
            <w:shd w:val="clear" w:color="auto" w:fill="C6EFCE"/>
            <w:noWrap/>
            <w:vAlign w:val="center"/>
          </w:tcPr>
          <w:p w14:paraId="196272DE" w14:textId="77777777" w:rsidR="00154E32" w:rsidRDefault="00A43E04">
            <w:pPr>
              <w:pStyle w:val="P68B1DB1-Normal11"/>
              <w:jc w:val="center"/>
              <w:rPr>
                <w:noProof/>
              </w:rPr>
            </w:pPr>
            <w:r>
              <w:rPr>
                <w:noProof/>
              </w:rPr>
              <w:t>Število</w:t>
            </w:r>
          </w:p>
        </w:tc>
        <w:tc>
          <w:tcPr>
            <w:tcW w:w="371" w:type="pct"/>
            <w:shd w:val="clear" w:color="auto" w:fill="C6EFCE"/>
            <w:noWrap/>
            <w:vAlign w:val="center"/>
          </w:tcPr>
          <w:p w14:paraId="70DD68F1" w14:textId="77777777" w:rsidR="00154E32" w:rsidRDefault="00A43E04">
            <w:pPr>
              <w:pStyle w:val="P68B1DB1-Normal11"/>
              <w:jc w:val="center"/>
              <w:rPr>
                <w:noProof/>
              </w:rPr>
            </w:pPr>
            <w:r>
              <w:rPr>
                <w:noProof/>
              </w:rPr>
              <w:t>70</w:t>
            </w:r>
          </w:p>
        </w:tc>
        <w:tc>
          <w:tcPr>
            <w:tcW w:w="279" w:type="pct"/>
            <w:shd w:val="clear" w:color="auto" w:fill="C6EFCE"/>
            <w:noWrap/>
            <w:vAlign w:val="center"/>
          </w:tcPr>
          <w:p w14:paraId="790FCB86" w14:textId="77777777" w:rsidR="00154E32" w:rsidRDefault="00A43E04">
            <w:pPr>
              <w:pStyle w:val="P68B1DB1-Normal11"/>
              <w:jc w:val="center"/>
              <w:rPr>
                <w:noProof/>
              </w:rPr>
            </w:pPr>
            <w:r>
              <w:rPr>
                <w:noProof/>
              </w:rPr>
              <w:t>221</w:t>
            </w:r>
          </w:p>
        </w:tc>
        <w:tc>
          <w:tcPr>
            <w:tcW w:w="278" w:type="pct"/>
            <w:shd w:val="clear" w:color="auto" w:fill="C6EFCE"/>
            <w:noWrap/>
            <w:vAlign w:val="center"/>
          </w:tcPr>
          <w:p w14:paraId="6DFFDC1F" w14:textId="77777777" w:rsidR="00154E32" w:rsidRDefault="00A43E04">
            <w:pPr>
              <w:pStyle w:val="P68B1DB1-Normal11"/>
              <w:jc w:val="center"/>
              <w:rPr>
                <w:noProof/>
              </w:rPr>
            </w:pPr>
            <w:r>
              <w:rPr>
                <w:noProof/>
              </w:rPr>
              <w:t>Q2</w:t>
            </w:r>
          </w:p>
        </w:tc>
        <w:tc>
          <w:tcPr>
            <w:tcW w:w="278" w:type="pct"/>
            <w:shd w:val="clear" w:color="auto" w:fill="C6EFCE"/>
            <w:noWrap/>
            <w:vAlign w:val="center"/>
          </w:tcPr>
          <w:p w14:paraId="0BAC88A0" w14:textId="77777777" w:rsidR="00154E32" w:rsidRDefault="00A43E04">
            <w:pPr>
              <w:pStyle w:val="P68B1DB1-Normal11"/>
              <w:jc w:val="center"/>
              <w:rPr>
                <w:noProof/>
              </w:rPr>
            </w:pPr>
            <w:r>
              <w:rPr>
                <w:noProof/>
              </w:rPr>
              <w:t>2026</w:t>
            </w:r>
          </w:p>
        </w:tc>
        <w:tc>
          <w:tcPr>
            <w:tcW w:w="1198" w:type="pct"/>
            <w:shd w:val="clear" w:color="auto" w:fill="C6EFCE"/>
            <w:noWrap/>
            <w:vAlign w:val="center"/>
          </w:tcPr>
          <w:p w14:paraId="7502233C" w14:textId="77777777" w:rsidR="00154E32" w:rsidRDefault="00A43E04">
            <w:pPr>
              <w:pStyle w:val="P68B1DB1-Normal11"/>
              <w:rPr>
                <w:noProof/>
              </w:rPr>
            </w:pPr>
            <w:r>
              <w:rPr>
                <w:noProof/>
              </w:rPr>
              <w:t>Skupno se je povečalo število 221 km medregionalnih povezav.</w:t>
            </w:r>
          </w:p>
          <w:p w14:paraId="6E0EAF14" w14:textId="77777777" w:rsidR="00154E32" w:rsidRDefault="00154E32">
            <w:pPr>
              <w:rPr>
                <w:rFonts w:ascii="Arial Narrow" w:hAnsi="Arial Narrow"/>
                <w:noProof/>
                <w:color w:val="006100"/>
                <w:sz w:val="20"/>
              </w:rPr>
            </w:pPr>
          </w:p>
          <w:p w14:paraId="445F7CE3" w14:textId="77777777" w:rsidR="00154E32" w:rsidRDefault="00A43E04">
            <w:pPr>
              <w:pStyle w:val="P68B1DB1-Normal11"/>
              <w:rPr>
                <w:noProof/>
              </w:rPr>
            </w:pPr>
            <w:r>
              <w:rPr>
                <w:noProof/>
              </w:rPr>
              <w:t>Proge, ki jih je treba nadgraditi, so:</w:t>
            </w:r>
          </w:p>
          <w:p w14:paraId="1E46FC97" w14:textId="77777777" w:rsidR="00154E32" w:rsidRDefault="00154E32">
            <w:pPr>
              <w:rPr>
                <w:rFonts w:ascii="Arial Narrow" w:hAnsi="Arial Narrow"/>
                <w:noProof/>
                <w:color w:val="006100"/>
                <w:sz w:val="20"/>
              </w:rPr>
            </w:pPr>
          </w:p>
          <w:p w14:paraId="2454E474" w14:textId="77777777" w:rsidR="00154E32" w:rsidRDefault="00A43E04">
            <w:pPr>
              <w:pStyle w:val="P68B1DB1-Normal11"/>
              <w:rPr>
                <w:noProof/>
              </w:rPr>
            </w:pPr>
            <w:r>
              <w:rPr>
                <w:noProof/>
              </w:rPr>
              <w:t>Milano Genova (70 km)</w:t>
            </w:r>
          </w:p>
          <w:p w14:paraId="67CD0770" w14:textId="77777777" w:rsidR="00154E32" w:rsidRDefault="00A43E04">
            <w:pPr>
              <w:pStyle w:val="P68B1DB1-Normal11"/>
              <w:rPr>
                <w:noProof/>
              </w:rPr>
            </w:pPr>
            <w:r>
              <w:rPr>
                <w:noProof/>
              </w:rPr>
              <w:t>Palermo Catania (linea storica) (84 km)</w:t>
            </w:r>
          </w:p>
          <w:p w14:paraId="3FA33099" w14:textId="77777777" w:rsidR="00154E32" w:rsidRDefault="00A43E04">
            <w:pPr>
              <w:pStyle w:val="P68B1DB1-Normal11"/>
              <w:rPr>
                <w:noProof/>
              </w:rPr>
            </w:pPr>
            <w:r>
              <w:rPr>
                <w:noProof/>
              </w:rPr>
              <w:t>Battipaglia Potenza (60 km)</w:t>
            </w:r>
          </w:p>
          <w:p w14:paraId="728C4069" w14:textId="77777777" w:rsidR="00154E32" w:rsidRDefault="00A43E04">
            <w:pPr>
              <w:pStyle w:val="P68B1DB1-Normal11"/>
              <w:rPr>
                <w:noProof/>
              </w:rPr>
            </w:pPr>
            <w:r>
              <w:rPr>
                <w:noProof/>
              </w:rPr>
              <w:t>Orte Falconara (7 km)</w:t>
            </w:r>
          </w:p>
        </w:tc>
      </w:tr>
      <w:tr w:rsidR="00154E32" w14:paraId="7B4689C0" w14:textId="77777777">
        <w:trPr>
          <w:trHeight w:val="309"/>
          <w:jc w:val="right"/>
        </w:trPr>
        <w:tc>
          <w:tcPr>
            <w:tcW w:w="369" w:type="pct"/>
            <w:shd w:val="clear" w:color="auto" w:fill="C6EFCE"/>
            <w:noWrap/>
            <w:vAlign w:val="center"/>
          </w:tcPr>
          <w:p w14:paraId="716C6FB3" w14:textId="77777777" w:rsidR="00154E32" w:rsidRDefault="00A43E04">
            <w:pPr>
              <w:pStyle w:val="P68B1DB1-Normal11"/>
              <w:jc w:val="center"/>
              <w:rPr>
                <w:noProof/>
              </w:rPr>
            </w:pPr>
            <w:r>
              <w:rPr>
                <w:noProof/>
              </w:rPr>
              <w:t>M3C1–9</w:t>
            </w:r>
          </w:p>
        </w:tc>
        <w:tc>
          <w:tcPr>
            <w:tcW w:w="511" w:type="pct"/>
            <w:shd w:val="clear" w:color="auto" w:fill="C6EFCE"/>
            <w:noWrap/>
            <w:vAlign w:val="center"/>
          </w:tcPr>
          <w:p w14:paraId="680608C8" w14:textId="77777777" w:rsidR="00154E32" w:rsidRDefault="00A43E04">
            <w:pPr>
              <w:pStyle w:val="P68B1DB1-Normal11"/>
              <w:jc w:val="center"/>
              <w:rPr>
                <w:noProof/>
              </w:rPr>
            </w:pPr>
            <w:r>
              <w:rPr>
                <w:noProof/>
              </w:rPr>
              <w:t>Naložba 1.2 – proge za visoke hitrosti na severu, ki povezujejo s preostalo Evropo</w:t>
            </w:r>
          </w:p>
        </w:tc>
        <w:tc>
          <w:tcPr>
            <w:tcW w:w="417" w:type="pct"/>
            <w:shd w:val="clear" w:color="auto" w:fill="C6EFCE"/>
            <w:noWrap/>
            <w:vAlign w:val="center"/>
          </w:tcPr>
          <w:p w14:paraId="4A8BCA14" w14:textId="77777777" w:rsidR="00154E32" w:rsidRDefault="00A43E04">
            <w:pPr>
              <w:pStyle w:val="P68B1DB1-Normal11"/>
              <w:jc w:val="center"/>
              <w:rPr>
                <w:noProof/>
              </w:rPr>
            </w:pPr>
            <w:r>
              <w:rPr>
                <w:noProof/>
              </w:rPr>
              <w:t>Tarča</w:t>
            </w:r>
          </w:p>
        </w:tc>
        <w:tc>
          <w:tcPr>
            <w:tcW w:w="464" w:type="pct"/>
            <w:shd w:val="clear" w:color="auto" w:fill="C6EFCE"/>
            <w:noWrap/>
            <w:vAlign w:val="center"/>
          </w:tcPr>
          <w:p w14:paraId="6FD450E8" w14:textId="74A1794A" w:rsidR="00154E32" w:rsidRDefault="00A43E04">
            <w:pPr>
              <w:pStyle w:val="P68B1DB1-Normal11"/>
              <w:jc w:val="center"/>
              <w:rPr>
                <w:noProof/>
              </w:rPr>
            </w:pPr>
            <w:r>
              <w:rPr>
                <w:noProof/>
              </w:rPr>
              <w:t>Železnica za visoke hitrosti za potnike in tovorni promet na progah Brescia-Verona-Vicenza-Padova; Liguria-Alpi.</w:t>
            </w:r>
          </w:p>
        </w:tc>
        <w:tc>
          <w:tcPr>
            <w:tcW w:w="509" w:type="pct"/>
            <w:shd w:val="clear" w:color="auto" w:fill="C6EFCE"/>
            <w:noWrap/>
            <w:vAlign w:val="center"/>
          </w:tcPr>
          <w:p w14:paraId="3F30C6D9" w14:textId="77777777" w:rsidR="00154E32" w:rsidRDefault="00A43E04">
            <w:pPr>
              <w:pStyle w:val="P68B1DB1-Normal11"/>
              <w:jc w:val="center"/>
              <w:rPr>
                <w:noProof/>
              </w:rPr>
            </w:pPr>
            <w:r>
              <w:rPr>
                <w:noProof/>
              </w:rPr>
              <w:t>JIH NI</w:t>
            </w:r>
          </w:p>
        </w:tc>
        <w:tc>
          <w:tcPr>
            <w:tcW w:w="325" w:type="pct"/>
            <w:shd w:val="clear" w:color="auto" w:fill="C6EFCE"/>
            <w:noWrap/>
            <w:vAlign w:val="center"/>
          </w:tcPr>
          <w:p w14:paraId="4D494255" w14:textId="77777777" w:rsidR="00154E32" w:rsidRDefault="00A43E04">
            <w:pPr>
              <w:pStyle w:val="P68B1DB1-Normal11"/>
              <w:jc w:val="center"/>
              <w:rPr>
                <w:noProof/>
              </w:rPr>
            </w:pPr>
            <w:r>
              <w:rPr>
                <w:noProof/>
              </w:rPr>
              <w:t>Število</w:t>
            </w:r>
          </w:p>
        </w:tc>
        <w:tc>
          <w:tcPr>
            <w:tcW w:w="371" w:type="pct"/>
            <w:shd w:val="clear" w:color="auto" w:fill="C6EFCE"/>
            <w:noWrap/>
            <w:vAlign w:val="center"/>
          </w:tcPr>
          <w:p w14:paraId="0E828602" w14:textId="77777777" w:rsidR="00154E32" w:rsidRDefault="00A43E04">
            <w:pPr>
              <w:pStyle w:val="P68B1DB1-Normal11"/>
              <w:jc w:val="center"/>
              <w:rPr>
                <w:noProof/>
              </w:rPr>
            </w:pPr>
            <w:r>
              <w:rPr>
                <w:noProof/>
              </w:rPr>
              <w:t>0</w:t>
            </w:r>
          </w:p>
        </w:tc>
        <w:tc>
          <w:tcPr>
            <w:tcW w:w="279" w:type="pct"/>
            <w:shd w:val="clear" w:color="auto" w:fill="C6EFCE"/>
            <w:noWrap/>
            <w:vAlign w:val="center"/>
          </w:tcPr>
          <w:p w14:paraId="405BA702" w14:textId="77777777" w:rsidR="00154E32" w:rsidRDefault="00A43E04">
            <w:pPr>
              <w:pStyle w:val="P68B1DB1-Normal11"/>
              <w:jc w:val="center"/>
              <w:rPr>
                <w:noProof/>
              </w:rPr>
            </w:pPr>
            <w:r>
              <w:rPr>
                <w:noProof/>
              </w:rPr>
              <w:t>165</w:t>
            </w:r>
          </w:p>
        </w:tc>
        <w:tc>
          <w:tcPr>
            <w:tcW w:w="278" w:type="pct"/>
            <w:shd w:val="clear" w:color="auto" w:fill="C6EFCE"/>
            <w:noWrap/>
            <w:vAlign w:val="center"/>
          </w:tcPr>
          <w:p w14:paraId="1722DEFB" w14:textId="77777777" w:rsidR="00154E32" w:rsidRDefault="00A43E04">
            <w:pPr>
              <w:pStyle w:val="P68B1DB1-Normal11"/>
              <w:jc w:val="center"/>
              <w:rPr>
                <w:noProof/>
              </w:rPr>
            </w:pPr>
            <w:r>
              <w:rPr>
                <w:noProof/>
              </w:rPr>
              <w:t>Q2</w:t>
            </w:r>
          </w:p>
        </w:tc>
        <w:tc>
          <w:tcPr>
            <w:tcW w:w="278" w:type="pct"/>
            <w:shd w:val="clear" w:color="auto" w:fill="C6EFCE"/>
            <w:noWrap/>
            <w:vAlign w:val="center"/>
          </w:tcPr>
          <w:p w14:paraId="2FD10233" w14:textId="77777777" w:rsidR="00154E32" w:rsidRDefault="00A43E04">
            <w:pPr>
              <w:pStyle w:val="P68B1DB1-Normal11"/>
              <w:jc w:val="center"/>
              <w:rPr>
                <w:noProof/>
              </w:rPr>
            </w:pPr>
            <w:r>
              <w:rPr>
                <w:noProof/>
              </w:rPr>
              <w:t>2026</w:t>
            </w:r>
          </w:p>
        </w:tc>
        <w:tc>
          <w:tcPr>
            <w:tcW w:w="1198" w:type="pct"/>
            <w:shd w:val="clear" w:color="auto" w:fill="C6EFCE"/>
            <w:noWrap/>
            <w:vAlign w:val="center"/>
          </w:tcPr>
          <w:p w14:paraId="004E2F28" w14:textId="3512941C" w:rsidR="00154E32" w:rsidRDefault="00A43E04">
            <w:pPr>
              <w:pStyle w:val="P68B1DB1-Normal11"/>
              <w:rPr>
                <w:noProof/>
              </w:rPr>
            </w:pPr>
            <w:r>
              <w:rPr>
                <w:noProof/>
              </w:rPr>
              <w:t>165 km železnice za visoke hitrosti za potnike in tovor na progah Brescia-Verona-Vicenza-Padova; Liguria-Alpi je bila zgrajena, pripravljena za odobritev in obratovanje.</w:t>
            </w:r>
          </w:p>
          <w:p w14:paraId="5273AFBA" w14:textId="77777777" w:rsidR="00154E32" w:rsidRDefault="00154E32">
            <w:pPr>
              <w:rPr>
                <w:rFonts w:ascii="Arial Narrow" w:hAnsi="Arial Narrow"/>
                <w:noProof/>
                <w:color w:val="006100"/>
                <w:sz w:val="20"/>
              </w:rPr>
            </w:pPr>
          </w:p>
          <w:p w14:paraId="3B295421" w14:textId="77777777" w:rsidR="00154E32" w:rsidRDefault="00A43E04">
            <w:pPr>
              <w:pStyle w:val="P68B1DB1-Normal11"/>
              <w:rPr>
                <w:noProof/>
              </w:rPr>
            </w:pPr>
            <w:r>
              <w:rPr>
                <w:noProof/>
              </w:rPr>
              <w:t>165 km se zgradi v naslednjih segmentih:</w:t>
            </w:r>
          </w:p>
          <w:p w14:paraId="3B8D4AE2" w14:textId="77777777" w:rsidR="00154E32" w:rsidRDefault="00154E32">
            <w:pPr>
              <w:rPr>
                <w:rFonts w:ascii="Arial Narrow" w:hAnsi="Arial Narrow"/>
                <w:noProof/>
                <w:color w:val="006100"/>
                <w:sz w:val="20"/>
              </w:rPr>
            </w:pPr>
          </w:p>
          <w:p w14:paraId="367E9239" w14:textId="77777777" w:rsidR="00154E32" w:rsidRDefault="00A43E04">
            <w:pPr>
              <w:pStyle w:val="P68B1DB1-Normal11"/>
              <w:rPr>
                <w:noProof/>
              </w:rPr>
            </w:pPr>
            <w:r>
              <w:rPr>
                <w:noProof/>
              </w:rPr>
              <w:t>Brescia-Verona, 48 km</w:t>
            </w:r>
          </w:p>
          <w:p w14:paraId="30BC718B" w14:textId="77777777" w:rsidR="00154E32" w:rsidRDefault="00A43E04">
            <w:pPr>
              <w:pStyle w:val="P68B1DB1-Normal11"/>
              <w:rPr>
                <w:noProof/>
              </w:rPr>
            </w:pPr>
            <w:r>
              <w:rPr>
                <w:noProof/>
              </w:rPr>
              <w:t>Verona-Bivio-Vincenza, 44 km</w:t>
            </w:r>
          </w:p>
          <w:p w14:paraId="485CBD5C" w14:textId="77777777" w:rsidR="00154E32" w:rsidRDefault="00A43E04">
            <w:pPr>
              <w:pStyle w:val="P68B1DB1-Normal11"/>
              <w:rPr>
                <w:noProof/>
              </w:rPr>
            </w:pPr>
            <w:r>
              <w:rPr>
                <w:noProof/>
              </w:rPr>
              <w:t>Genova vozlišče in tretji prehod Giovi 53 km</w:t>
            </w:r>
          </w:p>
          <w:p w14:paraId="28D9406D" w14:textId="77777777" w:rsidR="00154E32" w:rsidRDefault="00A43E04">
            <w:pPr>
              <w:pStyle w:val="P68B1DB1-Normal11"/>
              <w:rPr>
                <w:noProof/>
              </w:rPr>
            </w:pPr>
            <w:r>
              <w:rPr>
                <w:noProof/>
              </w:rPr>
              <w:t>Rho-Parabiago 9 km</w:t>
            </w:r>
          </w:p>
          <w:p w14:paraId="31894C72" w14:textId="77777777" w:rsidR="00154E32" w:rsidRDefault="00A43E04">
            <w:pPr>
              <w:pStyle w:val="P68B1DB1-Normal11"/>
              <w:rPr>
                <w:noProof/>
              </w:rPr>
            </w:pPr>
            <w:r>
              <w:rPr>
                <w:noProof/>
              </w:rPr>
              <w:t>Pavia-Milano-Rogoredo 11 km</w:t>
            </w:r>
          </w:p>
        </w:tc>
      </w:tr>
      <w:tr w:rsidR="00154E32" w14:paraId="418BDFAD" w14:textId="77777777">
        <w:trPr>
          <w:trHeight w:val="3419"/>
          <w:jc w:val="right"/>
        </w:trPr>
        <w:tc>
          <w:tcPr>
            <w:tcW w:w="369" w:type="pct"/>
            <w:shd w:val="clear" w:color="auto" w:fill="C6EFCE"/>
            <w:noWrap/>
            <w:vAlign w:val="center"/>
          </w:tcPr>
          <w:p w14:paraId="5C1F90DF" w14:textId="77777777" w:rsidR="00154E32" w:rsidRDefault="00A43E04">
            <w:pPr>
              <w:pStyle w:val="P68B1DB1-Normal11"/>
              <w:jc w:val="center"/>
              <w:rPr>
                <w:noProof/>
              </w:rPr>
            </w:pPr>
            <w:r>
              <w:rPr>
                <w:noProof/>
              </w:rPr>
              <w:t>M3C1–10</w:t>
            </w:r>
          </w:p>
        </w:tc>
        <w:tc>
          <w:tcPr>
            <w:tcW w:w="511" w:type="pct"/>
            <w:shd w:val="clear" w:color="auto" w:fill="C6EFCE"/>
            <w:noWrap/>
            <w:vAlign w:val="center"/>
          </w:tcPr>
          <w:p w14:paraId="42059A3F" w14:textId="77777777" w:rsidR="00154E32" w:rsidRDefault="00A43E04">
            <w:pPr>
              <w:pStyle w:val="P68B1DB1-Normal11"/>
              <w:jc w:val="center"/>
              <w:rPr>
                <w:noProof/>
              </w:rPr>
            </w:pPr>
            <w:r>
              <w:rPr>
                <w:noProof/>
              </w:rPr>
              <w:t>Naložba 1.3 – Diagonalne povezave</w:t>
            </w:r>
          </w:p>
        </w:tc>
        <w:tc>
          <w:tcPr>
            <w:tcW w:w="417" w:type="pct"/>
            <w:shd w:val="clear" w:color="auto" w:fill="C6EFCE"/>
            <w:noWrap/>
            <w:vAlign w:val="center"/>
          </w:tcPr>
          <w:p w14:paraId="6BFB378E" w14:textId="77777777" w:rsidR="00154E32" w:rsidRDefault="00A43E04">
            <w:pPr>
              <w:pStyle w:val="P68B1DB1-Normal11"/>
              <w:jc w:val="center"/>
              <w:rPr>
                <w:noProof/>
              </w:rPr>
            </w:pPr>
            <w:r>
              <w:rPr>
                <w:noProof/>
              </w:rPr>
              <w:t>Mejnik</w:t>
            </w:r>
          </w:p>
        </w:tc>
        <w:tc>
          <w:tcPr>
            <w:tcW w:w="464" w:type="pct"/>
            <w:shd w:val="clear" w:color="auto" w:fill="C6EFCE"/>
            <w:noWrap/>
            <w:vAlign w:val="center"/>
          </w:tcPr>
          <w:p w14:paraId="1F8F262B" w14:textId="11AE10F9" w:rsidR="00154E32" w:rsidRDefault="00A43E04">
            <w:pPr>
              <w:pStyle w:val="P68B1DB1-Normal11"/>
              <w:jc w:val="center"/>
              <w:rPr>
                <w:noProof/>
              </w:rPr>
            </w:pPr>
            <w:r>
              <w:rPr>
                <w:noProof/>
              </w:rPr>
              <w:t>Oddaja naročila za izgradnjo povezav na progah Orte-Falconara in Taranto -Metaponto-Potenza-Battipaglia</w:t>
            </w:r>
          </w:p>
        </w:tc>
        <w:tc>
          <w:tcPr>
            <w:tcW w:w="509" w:type="pct"/>
            <w:shd w:val="clear" w:color="auto" w:fill="C6EFCE"/>
            <w:noWrap/>
            <w:vAlign w:val="center"/>
          </w:tcPr>
          <w:p w14:paraId="51B80288" w14:textId="0A4525EB" w:rsidR="00154E32" w:rsidRDefault="00A43E04">
            <w:pPr>
              <w:pStyle w:val="P68B1DB1-Normal19"/>
              <w:jc w:val="center"/>
              <w:rPr>
                <w:noProof/>
                <w:color w:val="006100"/>
              </w:rPr>
            </w:pPr>
            <w:r>
              <w:rPr>
                <w:noProof/>
                <w:color w:val="006100"/>
              </w:rPr>
              <w:t>Obvestilo o oddaji multidisciplinarne pogodbe zagradnjo železniških prog za visoke hitrosti na progah Orte-Falconara in Taranto -Metaponto-Potenza-Battipaglia</w:t>
            </w:r>
          </w:p>
        </w:tc>
        <w:tc>
          <w:tcPr>
            <w:tcW w:w="325" w:type="pct"/>
            <w:shd w:val="clear" w:color="auto" w:fill="C6EFCE"/>
            <w:noWrap/>
            <w:vAlign w:val="center"/>
          </w:tcPr>
          <w:p w14:paraId="1B45FD1E" w14:textId="77777777" w:rsidR="00154E32" w:rsidRDefault="00A43E04">
            <w:pPr>
              <w:pStyle w:val="P68B1DB1-Normal11"/>
              <w:jc w:val="center"/>
              <w:rPr>
                <w:noProof/>
              </w:rPr>
            </w:pPr>
            <w:r>
              <w:rPr>
                <w:noProof/>
              </w:rPr>
              <w:t>JIH NI</w:t>
            </w:r>
          </w:p>
        </w:tc>
        <w:tc>
          <w:tcPr>
            <w:tcW w:w="371" w:type="pct"/>
            <w:shd w:val="clear" w:color="auto" w:fill="C6EFCE"/>
            <w:noWrap/>
            <w:vAlign w:val="center"/>
          </w:tcPr>
          <w:p w14:paraId="670C15FA" w14:textId="77777777" w:rsidR="00154E32" w:rsidRDefault="00A43E04">
            <w:pPr>
              <w:pStyle w:val="P68B1DB1-Normal11"/>
              <w:jc w:val="center"/>
              <w:rPr>
                <w:noProof/>
              </w:rPr>
            </w:pPr>
            <w:r>
              <w:rPr>
                <w:noProof/>
              </w:rPr>
              <w:t>JIH NI</w:t>
            </w:r>
          </w:p>
        </w:tc>
        <w:tc>
          <w:tcPr>
            <w:tcW w:w="279" w:type="pct"/>
            <w:shd w:val="clear" w:color="auto" w:fill="C6EFCE"/>
            <w:noWrap/>
            <w:vAlign w:val="center"/>
          </w:tcPr>
          <w:p w14:paraId="55B40CDB" w14:textId="77777777" w:rsidR="00154E32" w:rsidRDefault="00A43E04">
            <w:pPr>
              <w:pStyle w:val="P68B1DB1-Normal11"/>
              <w:jc w:val="center"/>
              <w:rPr>
                <w:noProof/>
              </w:rPr>
            </w:pPr>
            <w:r>
              <w:rPr>
                <w:noProof/>
              </w:rPr>
              <w:t>JIH NI</w:t>
            </w:r>
          </w:p>
        </w:tc>
        <w:tc>
          <w:tcPr>
            <w:tcW w:w="278" w:type="pct"/>
            <w:shd w:val="clear" w:color="auto" w:fill="C6EFCE"/>
            <w:noWrap/>
            <w:vAlign w:val="center"/>
          </w:tcPr>
          <w:p w14:paraId="775E231E" w14:textId="77777777" w:rsidR="00154E32" w:rsidRDefault="00A43E04">
            <w:pPr>
              <w:pStyle w:val="P68B1DB1-Normal11"/>
              <w:jc w:val="center"/>
              <w:rPr>
                <w:noProof/>
              </w:rPr>
            </w:pPr>
            <w:r>
              <w:rPr>
                <w:noProof/>
              </w:rPr>
              <w:t>ČETRTLETJE 1</w:t>
            </w:r>
          </w:p>
        </w:tc>
        <w:tc>
          <w:tcPr>
            <w:tcW w:w="278" w:type="pct"/>
            <w:shd w:val="clear" w:color="auto" w:fill="C6EFCE"/>
            <w:noWrap/>
            <w:vAlign w:val="center"/>
          </w:tcPr>
          <w:p w14:paraId="717635E0" w14:textId="77777777" w:rsidR="00154E32" w:rsidRDefault="00A43E04">
            <w:pPr>
              <w:pStyle w:val="P68B1DB1-Normal11"/>
              <w:jc w:val="center"/>
              <w:rPr>
                <w:noProof/>
              </w:rPr>
            </w:pPr>
            <w:r>
              <w:rPr>
                <w:noProof/>
              </w:rPr>
              <w:t>2024</w:t>
            </w:r>
          </w:p>
        </w:tc>
        <w:tc>
          <w:tcPr>
            <w:tcW w:w="1198" w:type="pct"/>
            <w:shd w:val="clear" w:color="auto" w:fill="C6EFCE"/>
            <w:noWrap/>
            <w:vAlign w:val="center"/>
          </w:tcPr>
          <w:p w14:paraId="5EFDB581" w14:textId="4785C734" w:rsidR="00154E32" w:rsidRDefault="00A43E04">
            <w:pPr>
              <w:pStyle w:val="P68B1DB1-Normal11"/>
              <w:rPr>
                <w:noProof/>
              </w:rPr>
            </w:pPr>
            <w:r>
              <w:rPr>
                <w:noProof/>
              </w:rPr>
              <w:t>Obvestilo o oddaji multidisciplinarnega naročila za izgradnjo povezav na progah Orte-Falconara in Taranto -Metaponto-Potenza-Battipaglia.</w:t>
            </w:r>
          </w:p>
          <w:p w14:paraId="4628FBB1" w14:textId="77777777" w:rsidR="00154E32" w:rsidRDefault="00154E32">
            <w:pPr>
              <w:rPr>
                <w:rFonts w:ascii="Arial Narrow" w:hAnsi="Arial Narrow"/>
                <w:noProof/>
                <w:color w:val="006100"/>
                <w:sz w:val="20"/>
              </w:rPr>
            </w:pPr>
          </w:p>
          <w:p w14:paraId="2D4C895F" w14:textId="77777777" w:rsidR="00154E32" w:rsidRDefault="00A43E04">
            <w:pPr>
              <w:pStyle w:val="P68B1DB1-Normal11"/>
              <w:rPr>
                <w:noProof/>
              </w:rPr>
            </w:pPr>
            <w:r>
              <w:rPr>
                <w:noProof/>
              </w:rPr>
              <w:t xml:space="preserve">Pogodba(-e) se nanaša(-jo) na naslednje vrstice: </w:t>
            </w:r>
          </w:p>
          <w:p w14:paraId="6C3ED3B5" w14:textId="77777777" w:rsidR="00154E32" w:rsidRDefault="00154E32">
            <w:pPr>
              <w:rPr>
                <w:rFonts w:ascii="Arial Narrow" w:hAnsi="Arial Narrow"/>
                <w:noProof/>
                <w:color w:val="006100"/>
                <w:sz w:val="20"/>
              </w:rPr>
            </w:pPr>
          </w:p>
          <w:p w14:paraId="414CAA8F" w14:textId="08DBF8BA" w:rsidR="00154E32" w:rsidRDefault="00A43E04">
            <w:pPr>
              <w:pStyle w:val="P68B1DB1-Normal11"/>
              <w:rPr>
                <w:noProof/>
              </w:rPr>
            </w:pPr>
            <w:r>
              <w:rPr>
                <w:noProof/>
              </w:rPr>
              <w:t>Orte-Falconara</w:t>
            </w:r>
          </w:p>
          <w:p w14:paraId="353807B1" w14:textId="77777777" w:rsidR="00154E32" w:rsidRDefault="00A43E04">
            <w:pPr>
              <w:pStyle w:val="P68B1DB1-Normal11"/>
              <w:rPr>
                <w:noProof/>
              </w:rPr>
            </w:pPr>
            <w:r>
              <w:rPr>
                <w:noProof/>
              </w:rPr>
              <w:t>Taranto -Metaponto-Potenza-Battipaglia</w:t>
            </w:r>
          </w:p>
        </w:tc>
      </w:tr>
      <w:tr w:rsidR="00154E32" w14:paraId="6B74F548" w14:textId="77777777">
        <w:trPr>
          <w:trHeight w:val="309"/>
          <w:jc w:val="right"/>
        </w:trPr>
        <w:tc>
          <w:tcPr>
            <w:tcW w:w="369" w:type="pct"/>
            <w:shd w:val="clear" w:color="auto" w:fill="C6EFCE"/>
            <w:noWrap/>
            <w:vAlign w:val="center"/>
          </w:tcPr>
          <w:p w14:paraId="2E10C98A" w14:textId="77777777" w:rsidR="00154E32" w:rsidRDefault="00A43E04">
            <w:pPr>
              <w:pStyle w:val="P68B1DB1-Normal11"/>
              <w:jc w:val="center"/>
              <w:rPr>
                <w:noProof/>
              </w:rPr>
            </w:pPr>
            <w:r>
              <w:rPr>
                <w:noProof/>
              </w:rPr>
              <w:t>M3C1–11</w:t>
            </w:r>
          </w:p>
        </w:tc>
        <w:tc>
          <w:tcPr>
            <w:tcW w:w="511" w:type="pct"/>
            <w:shd w:val="clear" w:color="auto" w:fill="C6EFCE"/>
            <w:noWrap/>
            <w:vAlign w:val="center"/>
          </w:tcPr>
          <w:p w14:paraId="551076DE" w14:textId="77777777" w:rsidR="00154E32" w:rsidRDefault="00A43E04">
            <w:pPr>
              <w:pStyle w:val="P68B1DB1-Normal11"/>
              <w:jc w:val="center"/>
              <w:rPr>
                <w:noProof/>
              </w:rPr>
            </w:pPr>
            <w:r>
              <w:rPr>
                <w:noProof/>
              </w:rPr>
              <w:t>Naložba 1.3 – Diagonalne povezave</w:t>
            </w:r>
          </w:p>
        </w:tc>
        <w:tc>
          <w:tcPr>
            <w:tcW w:w="417" w:type="pct"/>
            <w:shd w:val="clear" w:color="auto" w:fill="C6EFCE"/>
            <w:noWrap/>
            <w:vAlign w:val="center"/>
          </w:tcPr>
          <w:p w14:paraId="73AD0447" w14:textId="77777777" w:rsidR="00154E32" w:rsidRDefault="00A43E04">
            <w:pPr>
              <w:pStyle w:val="P68B1DB1-Normal11"/>
              <w:jc w:val="center"/>
              <w:rPr>
                <w:noProof/>
              </w:rPr>
            </w:pPr>
            <w:r>
              <w:rPr>
                <w:noProof/>
              </w:rPr>
              <w:t>Tarča</w:t>
            </w:r>
          </w:p>
        </w:tc>
        <w:tc>
          <w:tcPr>
            <w:tcW w:w="464" w:type="pct"/>
            <w:shd w:val="clear" w:color="auto" w:fill="C6EFCE"/>
            <w:noWrap/>
            <w:vAlign w:val="center"/>
          </w:tcPr>
          <w:p w14:paraId="4F8A0BA2" w14:textId="77777777" w:rsidR="00154E32" w:rsidRDefault="00A43E04">
            <w:pPr>
              <w:pStyle w:val="P68B1DB1-Normal11"/>
              <w:jc w:val="center"/>
              <w:rPr>
                <w:noProof/>
              </w:rPr>
            </w:pPr>
            <w:r>
              <w:rPr>
                <w:noProof/>
              </w:rPr>
              <w:t>Železnica za visoke hitrosti za potnike in tovor na progi Orte-Falconara in Taranto -Metaponto-Potenza-Battipaglia</w:t>
            </w:r>
          </w:p>
        </w:tc>
        <w:tc>
          <w:tcPr>
            <w:tcW w:w="509" w:type="pct"/>
            <w:shd w:val="clear" w:color="auto" w:fill="C6EFCE"/>
            <w:noWrap/>
            <w:vAlign w:val="center"/>
          </w:tcPr>
          <w:p w14:paraId="7DED18CB" w14:textId="77777777" w:rsidR="00154E32" w:rsidRDefault="00A43E04">
            <w:pPr>
              <w:pStyle w:val="P68B1DB1-Normal11"/>
              <w:jc w:val="center"/>
              <w:rPr>
                <w:noProof/>
              </w:rPr>
            </w:pPr>
            <w:r>
              <w:rPr>
                <w:noProof/>
              </w:rPr>
              <w:t>JIH NI</w:t>
            </w:r>
          </w:p>
        </w:tc>
        <w:tc>
          <w:tcPr>
            <w:tcW w:w="325" w:type="pct"/>
            <w:shd w:val="clear" w:color="auto" w:fill="C6EFCE"/>
            <w:noWrap/>
            <w:vAlign w:val="center"/>
          </w:tcPr>
          <w:p w14:paraId="0BDD26E0" w14:textId="77777777" w:rsidR="00154E32" w:rsidRDefault="00A43E04">
            <w:pPr>
              <w:pStyle w:val="P68B1DB1-Normal11"/>
              <w:jc w:val="center"/>
              <w:rPr>
                <w:noProof/>
              </w:rPr>
            </w:pPr>
            <w:r>
              <w:rPr>
                <w:noProof/>
              </w:rPr>
              <w:t>Število</w:t>
            </w:r>
          </w:p>
        </w:tc>
        <w:tc>
          <w:tcPr>
            <w:tcW w:w="371" w:type="pct"/>
            <w:shd w:val="clear" w:color="auto" w:fill="C6EFCE"/>
            <w:noWrap/>
            <w:vAlign w:val="center"/>
          </w:tcPr>
          <w:p w14:paraId="3E290E0E" w14:textId="77777777" w:rsidR="00154E32" w:rsidRDefault="00A43E04">
            <w:pPr>
              <w:pStyle w:val="P68B1DB1-Normal11"/>
              <w:jc w:val="center"/>
              <w:rPr>
                <w:noProof/>
              </w:rPr>
            </w:pPr>
            <w:r>
              <w:rPr>
                <w:noProof/>
              </w:rPr>
              <w:t>0</w:t>
            </w:r>
          </w:p>
        </w:tc>
        <w:tc>
          <w:tcPr>
            <w:tcW w:w="279" w:type="pct"/>
            <w:shd w:val="clear" w:color="auto" w:fill="C6EFCE"/>
            <w:noWrap/>
            <w:vAlign w:val="center"/>
          </w:tcPr>
          <w:p w14:paraId="380AD309" w14:textId="31A81A0D" w:rsidR="00154E32" w:rsidRDefault="00A43E04">
            <w:pPr>
              <w:pStyle w:val="P68B1DB1-Normal11"/>
              <w:jc w:val="center"/>
              <w:rPr>
                <w:noProof/>
              </w:rPr>
            </w:pPr>
            <w:r>
              <w:rPr>
                <w:noProof/>
              </w:rPr>
              <w:t>27</w:t>
            </w:r>
          </w:p>
        </w:tc>
        <w:tc>
          <w:tcPr>
            <w:tcW w:w="278" w:type="pct"/>
            <w:shd w:val="clear" w:color="auto" w:fill="C6EFCE"/>
            <w:noWrap/>
            <w:vAlign w:val="center"/>
          </w:tcPr>
          <w:p w14:paraId="124EDCE2" w14:textId="77777777" w:rsidR="00154E32" w:rsidRDefault="00A43E04">
            <w:pPr>
              <w:pStyle w:val="P68B1DB1-Normal11"/>
              <w:jc w:val="center"/>
              <w:rPr>
                <w:noProof/>
              </w:rPr>
            </w:pPr>
            <w:r>
              <w:rPr>
                <w:noProof/>
              </w:rPr>
              <w:t>Q2</w:t>
            </w:r>
          </w:p>
        </w:tc>
        <w:tc>
          <w:tcPr>
            <w:tcW w:w="278" w:type="pct"/>
            <w:shd w:val="clear" w:color="auto" w:fill="C6EFCE"/>
            <w:noWrap/>
            <w:vAlign w:val="center"/>
          </w:tcPr>
          <w:p w14:paraId="767C910E" w14:textId="77777777" w:rsidR="00154E32" w:rsidRDefault="00A43E04">
            <w:pPr>
              <w:pStyle w:val="P68B1DB1-Normal11"/>
              <w:jc w:val="center"/>
              <w:rPr>
                <w:noProof/>
              </w:rPr>
            </w:pPr>
            <w:r>
              <w:rPr>
                <w:noProof/>
              </w:rPr>
              <w:t>2026</w:t>
            </w:r>
          </w:p>
        </w:tc>
        <w:tc>
          <w:tcPr>
            <w:tcW w:w="1198" w:type="pct"/>
            <w:shd w:val="clear" w:color="auto" w:fill="C6EFCE"/>
            <w:noWrap/>
            <w:vAlign w:val="center"/>
          </w:tcPr>
          <w:p w14:paraId="23D5C6D1" w14:textId="77777777" w:rsidR="00154E32" w:rsidRDefault="00A43E04">
            <w:pPr>
              <w:pStyle w:val="P68B1DB1-Normal11"/>
              <w:rPr>
                <w:noProof/>
              </w:rPr>
            </w:pPr>
            <w:r>
              <w:rPr>
                <w:noProof/>
              </w:rPr>
              <w:t>27 km železniških prog za visoke hitrosti za potnike in tovor na progah Orte-Falconara in Taranto -Metaponto-Potenza-Battipaglia zgrajenih, pripravljenih za odobritev in obratovanje.</w:t>
            </w:r>
          </w:p>
          <w:p w14:paraId="5B38F5CC" w14:textId="77777777" w:rsidR="00154E32" w:rsidRDefault="00154E32">
            <w:pPr>
              <w:rPr>
                <w:rFonts w:ascii="Arial Narrow" w:hAnsi="Arial Narrow"/>
                <w:noProof/>
                <w:color w:val="006100"/>
                <w:sz w:val="20"/>
              </w:rPr>
            </w:pPr>
          </w:p>
          <w:p w14:paraId="333A83F4" w14:textId="77777777" w:rsidR="00154E32" w:rsidRDefault="00A43E04">
            <w:pPr>
              <w:pStyle w:val="P68B1DB1-Normal11"/>
              <w:rPr>
                <w:noProof/>
              </w:rPr>
            </w:pPr>
            <w:r>
              <w:rPr>
                <w:noProof/>
              </w:rPr>
              <w:t>Razčlenitev 27 km je naslednja:</w:t>
            </w:r>
          </w:p>
          <w:p w14:paraId="77E17B19" w14:textId="77777777" w:rsidR="00154E32" w:rsidRDefault="00154E32">
            <w:pPr>
              <w:rPr>
                <w:rFonts w:ascii="Arial Narrow" w:hAnsi="Arial Narrow"/>
                <w:noProof/>
                <w:color w:val="006100"/>
                <w:sz w:val="20"/>
              </w:rPr>
            </w:pPr>
          </w:p>
          <w:p w14:paraId="203C6299" w14:textId="6EEA46A1" w:rsidR="00154E32" w:rsidRDefault="00A43E04">
            <w:pPr>
              <w:pStyle w:val="P68B1DB1-Normal11"/>
              <w:rPr>
                <w:noProof/>
              </w:rPr>
            </w:pPr>
            <w:r>
              <w:rPr>
                <w:noProof/>
              </w:rPr>
              <w:t>Orte-Falconara, 13 km</w:t>
            </w:r>
          </w:p>
          <w:p w14:paraId="4544621E" w14:textId="77777777" w:rsidR="00154E32" w:rsidRDefault="00A43E04">
            <w:pPr>
              <w:pStyle w:val="P68B1DB1-Normal11"/>
              <w:rPr>
                <w:noProof/>
              </w:rPr>
            </w:pPr>
            <w:r>
              <w:rPr>
                <w:noProof/>
              </w:rPr>
              <w:t>Taranto – Metaponto – Potenza – Battipaglia, 14 km</w:t>
            </w:r>
          </w:p>
        </w:tc>
      </w:tr>
      <w:tr w:rsidR="00154E32" w14:paraId="4C5F9F6E" w14:textId="77777777">
        <w:trPr>
          <w:trHeight w:val="309"/>
          <w:jc w:val="right"/>
        </w:trPr>
        <w:tc>
          <w:tcPr>
            <w:tcW w:w="369" w:type="pct"/>
            <w:shd w:val="clear" w:color="auto" w:fill="C6EFCE"/>
            <w:noWrap/>
            <w:vAlign w:val="center"/>
          </w:tcPr>
          <w:p w14:paraId="00F2C9F0" w14:textId="77777777" w:rsidR="00154E32" w:rsidRDefault="00A43E04">
            <w:pPr>
              <w:pStyle w:val="P68B1DB1-Normal11"/>
              <w:jc w:val="center"/>
              <w:rPr>
                <w:noProof/>
              </w:rPr>
            </w:pPr>
            <w:r>
              <w:rPr>
                <w:noProof/>
              </w:rPr>
              <w:t>M3C1–12</w:t>
            </w:r>
          </w:p>
        </w:tc>
        <w:tc>
          <w:tcPr>
            <w:tcW w:w="511" w:type="pct"/>
            <w:shd w:val="clear" w:color="auto" w:fill="C6EFCE"/>
            <w:noWrap/>
            <w:vAlign w:val="center"/>
          </w:tcPr>
          <w:p w14:paraId="7D39BC8C" w14:textId="77777777" w:rsidR="00154E32" w:rsidRDefault="00A43E04">
            <w:pPr>
              <w:pStyle w:val="P68B1DB1-Normal11"/>
              <w:jc w:val="center"/>
              <w:rPr>
                <w:noProof/>
              </w:rPr>
            </w:pPr>
            <w:r>
              <w:rPr>
                <w:noProof/>
              </w:rPr>
              <w:t>Naložba 1.4 – Vzpostavitev evropskega sistema za upravljanje železniškega prometa (ERTMS)</w:t>
            </w:r>
          </w:p>
        </w:tc>
        <w:tc>
          <w:tcPr>
            <w:tcW w:w="417" w:type="pct"/>
            <w:shd w:val="clear" w:color="auto" w:fill="C6EFCE"/>
            <w:noWrap/>
            <w:vAlign w:val="center"/>
          </w:tcPr>
          <w:p w14:paraId="2B034830" w14:textId="77777777" w:rsidR="00154E32" w:rsidRDefault="00A43E04">
            <w:pPr>
              <w:pStyle w:val="P68B1DB1-Normal11"/>
              <w:jc w:val="center"/>
              <w:rPr>
                <w:noProof/>
              </w:rPr>
            </w:pPr>
            <w:r>
              <w:rPr>
                <w:noProof/>
              </w:rPr>
              <w:t>Mejnik</w:t>
            </w:r>
          </w:p>
        </w:tc>
        <w:tc>
          <w:tcPr>
            <w:tcW w:w="464" w:type="pct"/>
            <w:shd w:val="clear" w:color="auto" w:fill="C6EFCE"/>
            <w:noWrap/>
            <w:vAlign w:val="center"/>
          </w:tcPr>
          <w:p w14:paraId="37F52C16" w14:textId="77777777" w:rsidR="00154E32" w:rsidRDefault="00A43E04">
            <w:pPr>
              <w:pStyle w:val="P68B1DB1-Normal11"/>
              <w:jc w:val="center"/>
              <w:rPr>
                <w:noProof/>
              </w:rPr>
            </w:pPr>
            <w:r>
              <w:rPr>
                <w:noProof/>
              </w:rPr>
              <w:t>Oddaja naročil za evropski sistem za upravljanje železniškega prometa</w:t>
            </w:r>
          </w:p>
        </w:tc>
        <w:tc>
          <w:tcPr>
            <w:tcW w:w="509" w:type="pct"/>
            <w:shd w:val="clear" w:color="auto" w:fill="C6EFCE"/>
            <w:noWrap/>
            <w:vAlign w:val="center"/>
          </w:tcPr>
          <w:p w14:paraId="53A908E1" w14:textId="77777777" w:rsidR="00154E32" w:rsidRDefault="00A43E04">
            <w:pPr>
              <w:pStyle w:val="P68B1DB1-Normal11"/>
              <w:jc w:val="center"/>
              <w:rPr>
                <w:noProof/>
              </w:rPr>
            </w:pPr>
            <w:r>
              <w:rPr>
                <w:noProof/>
              </w:rPr>
              <w:t>Obvestilo o oddaji vseh javnih naročil za uvedbo evropskega sistema za upravljanje železniškega prometa</w:t>
            </w:r>
          </w:p>
        </w:tc>
        <w:tc>
          <w:tcPr>
            <w:tcW w:w="325" w:type="pct"/>
            <w:shd w:val="clear" w:color="auto" w:fill="C6EFCE"/>
            <w:noWrap/>
            <w:vAlign w:val="center"/>
          </w:tcPr>
          <w:p w14:paraId="16C6851E" w14:textId="77777777" w:rsidR="00154E32" w:rsidRDefault="00A43E04">
            <w:pPr>
              <w:pStyle w:val="P68B1DB1-Normal11"/>
              <w:jc w:val="center"/>
              <w:rPr>
                <w:noProof/>
              </w:rPr>
            </w:pPr>
            <w:r>
              <w:rPr>
                <w:noProof/>
              </w:rPr>
              <w:t>JIH NI</w:t>
            </w:r>
          </w:p>
        </w:tc>
        <w:tc>
          <w:tcPr>
            <w:tcW w:w="371" w:type="pct"/>
            <w:shd w:val="clear" w:color="auto" w:fill="C6EFCE"/>
            <w:noWrap/>
            <w:vAlign w:val="center"/>
          </w:tcPr>
          <w:p w14:paraId="58EDA085" w14:textId="77777777" w:rsidR="00154E32" w:rsidRDefault="00A43E04">
            <w:pPr>
              <w:pStyle w:val="P68B1DB1-Normal11"/>
              <w:jc w:val="center"/>
              <w:rPr>
                <w:noProof/>
              </w:rPr>
            </w:pPr>
            <w:r>
              <w:rPr>
                <w:noProof/>
              </w:rPr>
              <w:t>JIH NI</w:t>
            </w:r>
          </w:p>
        </w:tc>
        <w:tc>
          <w:tcPr>
            <w:tcW w:w="279" w:type="pct"/>
            <w:shd w:val="clear" w:color="auto" w:fill="C6EFCE"/>
            <w:noWrap/>
            <w:vAlign w:val="center"/>
          </w:tcPr>
          <w:p w14:paraId="2F33F93E" w14:textId="77777777" w:rsidR="00154E32" w:rsidRDefault="00A43E04">
            <w:pPr>
              <w:pStyle w:val="P68B1DB1-Normal11"/>
              <w:jc w:val="center"/>
              <w:rPr>
                <w:noProof/>
              </w:rPr>
            </w:pPr>
            <w:r>
              <w:rPr>
                <w:noProof/>
              </w:rPr>
              <w:t>JIH NI</w:t>
            </w:r>
          </w:p>
        </w:tc>
        <w:tc>
          <w:tcPr>
            <w:tcW w:w="278" w:type="pct"/>
            <w:shd w:val="clear" w:color="auto" w:fill="C6EFCE"/>
            <w:noWrap/>
            <w:vAlign w:val="center"/>
          </w:tcPr>
          <w:p w14:paraId="77ED7AB7" w14:textId="77777777" w:rsidR="00154E32" w:rsidRDefault="00A43E04">
            <w:pPr>
              <w:pStyle w:val="P68B1DB1-Normal11"/>
              <w:jc w:val="center"/>
              <w:rPr>
                <w:noProof/>
              </w:rPr>
            </w:pPr>
            <w:r>
              <w:rPr>
                <w:noProof/>
              </w:rPr>
              <w:t>Q4</w:t>
            </w:r>
          </w:p>
        </w:tc>
        <w:tc>
          <w:tcPr>
            <w:tcW w:w="278" w:type="pct"/>
            <w:shd w:val="clear" w:color="auto" w:fill="C6EFCE"/>
            <w:noWrap/>
            <w:vAlign w:val="center"/>
          </w:tcPr>
          <w:p w14:paraId="6C89AB59" w14:textId="77777777" w:rsidR="00154E32" w:rsidRDefault="00A43E04">
            <w:pPr>
              <w:pStyle w:val="P68B1DB1-Normal11"/>
              <w:jc w:val="center"/>
              <w:rPr>
                <w:noProof/>
              </w:rPr>
            </w:pPr>
            <w:r>
              <w:rPr>
                <w:noProof/>
              </w:rPr>
              <w:t>2022</w:t>
            </w:r>
          </w:p>
        </w:tc>
        <w:tc>
          <w:tcPr>
            <w:tcW w:w="1198" w:type="pct"/>
            <w:shd w:val="clear" w:color="auto" w:fill="C6EFCE"/>
            <w:noWrap/>
            <w:vAlign w:val="center"/>
          </w:tcPr>
          <w:p w14:paraId="787F72AF" w14:textId="77777777" w:rsidR="00154E32" w:rsidRDefault="00A43E04">
            <w:pPr>
              <w:pStyle w:val="P68B1DB1-Normal11"/>
              <w:rPr>
                <w:noProof/>
              </w:rPr>
            </w:pPr>
            <w:r>
              <w:rPr>
                <w:noProof/>
              </w:rPr>
              <w:t>Obvestilo o oddaji vseh javnih naročil za uvedbo evropskega sistema za upravljanje železniškega prometa (ERTMS)</w:t>
            </w:r>
          </w:p>
        </w:tc>
      </w:tr>
      <w:tr w:rsidR="00154E32" w14:paraId="166C3B5C" w14:textId="77777777">
        <w:trPr>
          <w:trHeight w:val="309"/>
          <w:jc w:val="right"/>
        </w:trPr>
        <w:tc>
          <w:tcPr>
            <w:tcW w:w="369" w:type="pct"/>
            <w:shd w:val="clear" w:color="auto" w:fill="C6EFCE"/>
            <w:noWrap/>
            <w:vAlign w:val="center"/>
          </w:tcPr>
          <w:p w14:paraId="0B74228B" w14:textId="77777777" w:rsidR="00154E32" w:rsidRDefault="00A43E04">
            <w:pPr>
              <w:pStyle w:val="P68B1DB1-Normal11"/>
              <w:jc w:val="center"/>
              <w:rPr>
                <w:noProof/>
              </w:rPr>
            </w:pPr>
            <w:r>
              <w:rPr>
                <w:noProof/>
              </w:rPr>
              <w:t>M3C1–13</w:t>
            </w:r>
          </w:p>
        </w:tc>
        <w:tc>
          <w:tcPr>
            <w:tcW w:w="511" w:type="pct"/>
            <w:shd w:val="clear" w:color="auto" w:fill="C6EFCE"/>
            <w:noWrap/>
            <w:vAlign w:val="center"/>
          </w:tcPr>
          <w:p w14:paraId="015DF156" w14:textId="77777777" w:rsidR="00154E32" w:rsidRDefault="00A43E04">
            <w:pPr>
              <w:pStyle w:val="P68B1DB1-Normal11"/>
              <w:jc w:val="center"/>
              <w:rPr>
                <w:noProof/>
              </w:rPr>
            </w:pPr>
            <w:r>
              <w:rPr>
                <w:noProof/>
              </w:rPr>
              <w:t>Naložba 1.4 – Vzpostavitev evropskega sistema za upravljanje železniškega prometa (ERTMS)</w:t>
            </w:r>
          </w:p>
        </w:tc>
        <w:tc>
          <w:tcPr>
            <w:tcW w:w="417" w:type="pct"/>
            <w:shd w:val="clear" w:color="auto" w:fill="C6EFCE"/>
            <w:noWrap/>
            <w:vAlign w:val="center"/>
          </w:tcPr>
          <w:p w14:paraId="0C00249F" w14:textId="77777777" w:rsidR="00154E32" w:rsidRDefault="00A43E04">
            <w:pPr>
              <w:pStyle w:val="P68B1DB1-Normal11"/>
              <w:jc w:val="center"/>
              <w:rPr>
                <w:noProof/>
              </w:rPr>
            </w:pPr>
            <w:r>
              <w:rPr>
                <w:noProof/>
              </w:rPr>
              <w:t>Tarča</w:t>
            </w:r>
          </w:p>
        </w:tc>
        <w:tc>
          <w:tcPr>
            <w:tcW w:w="464" w:type="pct"/>
            <w:shd w:val="clear" w:color="auto" w:fill="C6EFCE"/>
            <w:noWrap/>
            <w:vAlign w:val="center"/>
          </w:tcPr>
          <w:p w14:paraId="7C8999F6" w14:textId="77777777" w:rsidR="00154E32" w:rsidRDefault="00A43E04">
            <w:pPr>
              <w:pStyle w:val="P68B1DB1-Normal11"/>
              <w:jc w:val="center"/>
              <w:rPr>
                <w:noProof/>
              </w:rPr>
            </w:pPr>
            <w:r>
              <w:rPr>
                <w:noProof/>
              </w:rPr>
              <w:t>1 400 km železniških prog, opremljenih z evropskim sistemom za upravljanje železniškega prometa</w:t>
            </w:r>
          </w:p>
        </w:tc>
        <w:tc>
          <w:tcPr>
            <w:tcW w:w="509" w:type="pct"/>
            <w:shd w:val="clear" w:color="auto" w:fill="C6EFCE"/>
            <w:noWrap/>
            <w:vAlign w:val="center"/>
          </w:tcPr>
          <w:p w14:paraId="45E47288" w14:textId="77777777" w:rsidR="00154E32" w:rsidRDefault="00A43E04">
            <w:pPr>
              <w:pStyle w:val="P68B1DB1-Normal11"/>
              <w:jc w:val="center"/>
              <w:rPr>
                <w:noProof/>
              </w:rPr>
            </w:pPr>
            <w:r>
              <w:rPr>
                <w:noProof/>
              </w:rPr>
              <w:t>JIH NI</w:t>
            </w:r>
          </w:p>
        </w:tc>
        <w:tc>
          <w:tcPr>
            <w:tcW w:w="325" w:type="pct"/>
            <w:shd w:val="clear" w:color="auto" w:fill="C6EFCE"/>
            <w:noWrap/>
            <w:vAlign w:val="center"/>
          </w:tcPr>
          <w:p w14:paraId="680AACE3" w14:textId="77777777" w:rsidR="00154E32" w:rsidRDefault="00A43E04">
            <w:pPr>
              <w:pStyle w:val="P68B1DB1-Normal11"/>
              <w:jc w:val="center"/>
              <w:rPr>
                <w:noProof/>
              </w:rPr>
            </w:pPr>
            <w:r>
              <w:rPr>
                <w:noProof/>
              </w:rPr>
              <w:t>Število</w:t>
            </w:r>
          </w:p>
        </w:tc>
        <w:tc>
          <w:tcPr>
            <w:tcW w:w="371" w:type="pct"/>
            <w:shd w:val="clear" w:color="auto" w:fill="C6EFCE"/>
            <w:noWrap/>
            <w:vAlign w:val="center"/>
          </w:tcPr>
          <w:p w14:paraId="7C97665D" w14:textId="77777777" w:rsidR="00154E32" w:rsidRDefault="00A43E04">
            <w:pPr>
              <w:pStyle w:val="P68B1DB1-Normal11"/>
              <w:jc w:val="center"/>
              <w:rPr>
                <w:noProof/>
              </w:rPr>
            </w:pPr>
            <w:r>
              <w:rPr>
                <w:noProof/>
              </w:rPr>
              <w:t>0</w:t>
            </w:r>
          </w:p>
        </w:tc>
        <w:tc>
          <w:tcPr>
            <w:tcW w:w="279" w:type="pct"/>
            <w:shd w:val="clear" w:color="auto" w:fill="C6EFCE"/>
            <w:noWrap/>
            <w:vAlign w:val="center"/>
          </w:tcPr>
          <w:p w14:paraId="573EFF2F" w14:textId="1DA02704" w:rsidR="00154E32" w:rsidRDefault="00A43E04">
            <w:pPr>
              <w:pStyle w:val="P68B1DB1-Normal11"/>
              <w:jc w:val="center"/>
              <w:rPr>
                <w:noProof/>
              </w:rPr>
            </w:pPr>
            <w:r>
              <w:rPr>
                <w:noProof/>
              </w:rPr>
              <w:t>1 400</w:t>
            </w:r>
          </w:p>
        </w:tc>
        <w:tc>
          <w:tcPr>
            <w:tcW w:w="278" w:type="pct"/>
            <w:shd w:val="clear" w:color="auto" w:fill="C6EFCE"/>
            <w:noWrap/>
            <w:vAlign w:val="center"/>
          </w:tcPr>
          <w:p w14:paraId="26D0A297" w14:textId="77777777" w:rsidR="00154E32" w:rsidRDefault="00A43E04">
            <w:pPr>
              <w:pStyle w:val="P68B1DB1-Normal11"/>
              <w:jc w:val="center"/>
              <w:rPr>
                <w:noProof/>
              </w:rPr>
            </w:pPr>
            <w:r>
              <w:rPr>
                <w:noProof/>
              </w:rPr>
              <w:t>Q2</w:t>
            </w:r>
          </w:p>
        </w:tc>
        <w:tc>
          <w:tcPr>
            <w:tcW w:w="278" w:type="pct"/>
            <w:shd w:val="clear" w:color="auto" w:fill="C6EFCE"/>
            <w:noWrap/>
            <w:vAlign w:val="center"/>
          </w:tcPr>
          <w:p w14:paraId="2CFA3FA4" w14:textId="77777777" w:rsidR="00154E32" w:rsidRDefault="00A43E04">
            <w:pPr>
              <w:pStyle w:val="P68B1DB1-Normal11"/>
              <w:jc w:val="center"/>
              <w:rPr>
                <w:noProof/>
              </w:rPr>
            </w:pPr>
            <w:r>
              <w:rPr>
                <w:noProof/>
              </w:rPr>
              <w:t>2025</w:t>
            </w:r>
          </w:p>
        </w:tc>
        <w:tc>
          <w:tcPr>
            <w:tcW w:w="1198" w:type="pct"/>
            <w:shd w:val="clear" w:color="auto" w:fill="C6EFCE"/>
            <w:noWrap/>
            <w:vAlign w:val="center"/>
          </w:tcPr>
          <w:p w14:paraId="176846AE" w14:textId="035D7A0A" w:rsidR="00154E32" w:rsidRDefault="00A43E04">
            <w:pPr>
              <w:pStyle w:val="P68B1DB1-Normal11"/>
              <w:rPr>
                <w:noProof/>
              </w:rPr>
            </w:pPr>
            <w:r>
              <w:rPr>
                <w:noProof/>
              </w:rPr>
              <w:t>1 400 km železnic, opremljenih z evropskim sistemom za upravljanje železniškega prometa v skladu z evropskim načrtom za uvedbo, pripravljenih za odobritev in operativno fazo.</w:t>
            </w:r>
          </w:p>
        </w:tc>
      </w:tr>
      <w:tr w:rsidR="00154E32" w14:paraId="284E6805" w14:textId="77777777">
        <w:trPr>
          <w:trHeight w:val="309"/>
          <w:jc w:val="right"/>
        </w:trPr>
        <w:tc>
          <w:tcPr>
            <w:tcW w:w="369" w:type="pct"/>
            <w:shd w:val="clear" w:color="auto" w:fill="C6EFCE"/>
            <w:noWrap/>
            <w:vAlign w:val="center"/>
          </w:tcPr>
          <w:p w14:paraId="512DEA19" w14:textId="77777777" w:rsidR="00154E32" w:rsidRDefault="00A43E04">
            <w:pPr>
              <w:pStyle w:val="P68B1DB1-Normal11"/>
              <w:jc w:val="center"/>
              <w:rPr>
                <w:noProof/>
              </w:rPr>
            </w:pPr>
            <w:r>
              <w:rPr>
                <w:noProof/>
              </w:rPr>
              <w:t>M3C1–14</w:t>
            </w:r>
          </w:p>
        </w:tc>
        <w:tc>
          <w:tcPr>
            <w:tcW w:w="511" w:type="pct"/>
            <w:shd w:val="clear" w:color="auto" w:fill="C6EFCE"/>
            <w:noWrap/>
            <w:vAlign w:val="center"/>
          </w:tcPr>
          <w:p w14:paraId="697AAB54" w14:textId="77777777" w:rsidR="00154E32" w:rsidRDefault="00A43E04">
            <w:pPr>
              <w:pStyle w:val="P68B1DB1-Normal11"/>
              <w:jc w:val="center"/>
              <w:rPr>
                <w:noProof/>
              </w:rPr>
            </w:pPr>
            <w:r>
              <w:rPr>
                <w:noProof/>
              </w:rPr>
              <w:t>Naložba 1.4 – Vzpostavitev evropskega sistema za upravljanje železniškega prometa (ERTMS)</w:t>
            </w:r>
          </w:p>
        </w:tc>
        <w:tc>
          <w:tcPr>
            <w:tcW w:w="417" w:type="pct"/>
            <w:shd w:val="clear" w:color="auto" w:fill="C6EFCE"/>
            <w:noWrap/>
            <w:vAlign w:val="center"/>
          </w:tcPr>
          <w:p w14:paraId="220BA516" w14:textId="77777777" w:rsidR="00154E32" w:rsidRDefault="00A43E04">
            <w:pPr>
              <w:pStyle w:val="P68B1DB1-Normal11"/>
              <w:jc w:val="center"/>
              <w:rPr>
                <w:noProof/>
              </w:rPr>
            </w:pPr>
            <w:r>
              <w:rPr>
                <w:noProof/>
              </w:rPr>
              <w:t>Tarča</w:t>
            </w:r>
          </w:p>
        </w:tc>
        <w:tc>
          <w:tcPr>
            <w:tcW w:w="464" w:type="pct"/>
            <w:shd w:val="clear" w:color="auto" w:fill="C6EFCE"/>
            <w:noWrap/>
            <w:vAlign w:val="center"/>
          </w:tcPr>
          <w:p w14:paraId="33C9023A" w14:textId="77777777" w:rsidR="00154E32" w:rsidRDefault="00A43E04">
            <w:pPr>
              <w:pStyle w:val="P68B1DB1-Normal11"/>
              <w:jc w:val="center"/>
              <w:rPr>
                <w:noProof/>
              </w:rPr>
            </w:pPr>
            <w:r>
              <w:rPr>
                <w:noProof/>
              </w:rPr>
              <w:t xml:space="preserve"> 2 785 km železniških prog, opremljenih z evropskim sistemom za upravljanje železniškega prometa</w:t>
            </w:r>
          </w:p>
        </w:tc>
        <w:tc>
          <w:tcPr>
            <w:tcW w:w="509" w:type="pct"/>
            <w:shd w:val="clear" w:color="auto" w:fill="C6EFCE"/>
            <w:noWrap/>
            <w:vAlign w:val="center"/>
          </w:tcPr>
          <w:p w14:paraId="41673E9E" w14:textId="77777777" w:rsidR="00154E32" w:rsidRDefault="00A43E04">
            <w:pPr>
              <w:pStyle w:val="P68B1DB1-Normal11"/>
              <w:jc w:val="center"/>
              <w:rPr>
                <w:noProof/>
              </w:rPr>
            </w:pPr>
            <w:r>
              <w:rPr>
                <w:noProof/>
              </w:rPr>
              <w:t>JIH NI</w:t>
            </w:r>
          </w:p>
        </w:tc>
        <w:tc>
          <w:tcPr>
            <w:tcW w:w="325" w:type="pct"/>
            <w:shd w:val="clear" w:color="auto" w:fill="C6EFCE"/>
            <w:noWrap/>
            <w:vAlign w:val="center"/>
          </w:tcPr>
          <w:p w14:paraId="30D9FB2E" w14:textId="77777777" w:rsidR="00154E32" w:rsidRDefault="00A43E04">
            <w:pPr>
              <w:pStyle w:val="P68B1DB1-Normal11"/>
              <w:jc w:val="center"/>
              <w:rPr>
                <w:noProof/>
              </w:rPr>
            </w:pPr>
            <w:r>
              <w:rPr>
                <w:noProof/>
              </w:rPr>
              <w:t>Število</w:t>
            </w:r>
          </w:p>
        </w:tc>
        <w:tc>
          <w:tcPr>
            <w:tcW w:w="371" w:type="pct"/>
            <w:shd w:val="clear" w:color="auto" w:fill="C6EFCE"/>
            <w:noWrap/>
            <w:vAlign w:val="center"/>
          </w:tcPr>
          <w:p w14:paraId="3585EE00" w14:textId="373700DF" w:rsidR="00154E32" w:rsidRDefault="00A43E04">
            <w:pPr>
              <w:pStyle w:val="P68B1DB1-Normal11"/>
              <w:jc w:val="center"/>
              <w:rPr>
                <w:noProof/>
              </w:rPr>
            </w:pPr>
            <w:r>
              <w:rPr>
                <w:noProof/>
              </w:rPr>
              <w:t>1 400</w:t>
            </w:r>
          </w:p>
        </w:tc>
        <w:tc>
          <w:tcPr>
            <w:tcW w:w="279" w:type="pct"/>
            <w:shd w:val="clear" w:color="auto" w:fill="C6EFCE"/>
            <w:noWrap/>
            <w:vAlign w:val="center"/>
          </w:tcPr>
          <w:p w14:paraId="6E084B1E" w14:textId="4E23924A" w:rsidR="00154E32" w:rsidRDefault="00A43E04">
            <w:pPr>
              <w:pStyle w:val="P68B1DB1-Normal11"/>
              <w:jc w:val="center"/>
              <w:rPr>
                <w:noProof/>
              </w:rPr>
            </w:pPr>
            <w:r>
              <w:rPr>
                <w:noProof/>
              </w:rPr>
              <w:t>2 785</w:t>
            </w:r>
          </w:p>
        </w:tc>
        <w:tc>
          <w:tcPr>
            <w:tcW w:w="278" w:type="pct"/>
            <w:shd w:val="clear" w:color="auto" w:fill="C6EFCE"/>
            <w:noWrap/>
            <w:vAlign w:val="center"/>
          </w:tcPr>
          <w:p w14:paraId="4F36A4ED" w14:textId="77777777" w:rsidR="00154E32" w:rsidRDefault="00A43E04">
            <w:pPr>
              <w:pStyle w:val="P68B1DB1-Normal11"/>
              <w:jc w:val="center"/>
              <w:rPr>
                <w:noProof/>
              </w:rPr>
            </w:pPr>
            <w:r>
              <w:rPr>
                <w:noProof/>
              </w:rPr>
              <w:t>Q2</w:t>
            </w:r>
          </w:p>
        </w:tc>
        <w:tc>
          <w:tcPr>
            <w:tcW w:w="278" w:type="pct"/>
            <w:shd w:val="clear" w:color="auto" w:fill="C6EFCE"/>
            <w:noWrap/>
            <w:vAlign w:val="center"/>
          </w:tcPr>
          <w:p w14:paraId="7E61E8A4" w14:textId="77777777" w:rsidR="00154E32" w:rsidRDefault="00A43E04">
            <w:pPr>
              <w:pStyle w:val="P68B1DB1-Normal11"/>
              <w:jc w:val="center"/>
              <w:rPr>
                <w:noProof/>
              </w:rPr>
            </w:pPr>
            <w:r>
              <w:rPr>
                <w:noProof/>
              </w:rPr>
              <w:t>2026</w:t>
            </w:r>
          </w:p>
        </w:tc>
        <w:tc>
          <w:tcPr>
            <w:tcW w:w="1198" w:type="pct"/>
            <w:shd w:val="clear" w:color="auto" w:fill="C6EFCE"/>
            <w:noWrap/>
            <w:vAlign w:val="center"/>
          </w:tcPr>
          <w:p w14:paraId="0D26E5E6" w14:textId="1F299FD7" w:rsidR="00154E32" w:rsidRDefault="00A43E04">
            <w:pPr>
              <w:pStyle w:val="P68B1DB1-Normal11"/>
              <w:spacing w:before="120" w:after="120"/>
              <w:rPr>
                <w:noProof/>
              </w:rPr>
            </w:pPr>
            <w:r>
              <w:rPr>
                <w:noProof/>
              </w:rPr>
              <w:t>2 785 km železnic, opremljenih z evropskim sistemom za upravljanje železniškega prometa v skladu z evropskim sistemom za upravljanje železniškega prometa v skladu z evropskim načrtom za uvedbo, pripravljenih za odobritev in operativno fazo.</w:t>
            </w:r>
          </w:p>
        </w:tc>
      </w:tr>
      <w:tr w:rsidR="00154E32" w14:paraId="47967D1C" w14:textId="77777777">
        <w:trPr>
          <w:trHeight w:val="309"/>
          <w:jc w:val="right"/>
        </w:trPr>
        <w:tc>
          <w:tcPr>
            <w:tcW w:w="369" w:type="pct"/>
            <w:shd w:val="clear" w:color="auto" w:fill="C6EFCE"/>
            <w:noWrap/>
            <w:vAlign w:val="center"/>
          </w:tcPr>
          <w:p w14:paraId="62F95BE2" w14:textId="77777777" w:rsidR="00154E32" w:rsidRDefault="00A43E04">
            <w:pPr>
              <w:pStyle w:val="P68B1DB1-Normal11"/>
              <w:jc w:val="center"/>
              <w:rPr>
                <w:noProof/>
              </w:rPr>
            </w:pPr>
            <w:r>
              <w:rPr>
                <w:noProof/>
              </w:rPr>
              <w:t>M3C1–15</w:t>
            </w:r>
          </w:p>
        </w:tc>
        <w:tc>
          <w:tcPr>
            <w:tcW w:w="511" w:type="pct"/>
            <w:shd w:val="clear" w:color="auto" w:fill="C6EFCE"/>
            <w:noWrap/>
            <w:vAlign w:val="center"/>
          </w:tcPr>
          <w:p w14:paraId="1346E5AA" w14:textId="77777777" w:rsidR="00154E32" w:rsidRDefault="00A43E04">
            <w:pPr>
              <w:pStyle w:val="P68B1DB1-Normal11"/>
              <w:jc w:val="center"/>
              <w:rPr>
                <w:noProof/>
              </w:rPr>
            </w:pPr>
            <w:r>
              <w:rPr>
                <w:noProof/>
              </w:rPr>
              <w:t>Naložba 1.5 – Krepitev metropolitanskih vozlišč in ključnih nacionalnih povezav</w:t>
            </w:r>
          </w:p>
        </w:tc>
        <w:tc>
          <w:tcPr>
            <w:tcW w:w="417" w:type="pct"/>
            <w:shd w:val="clear" w:color="auto" w:fill="C6EFCE"/>
            <w:noWrap/>
            <w:vAlign w:val="center"/>
          </w:tcPr>
          <w:p w14:paraId="21E56834" w14:textId="77777777" w:rsidR="00154E32" w:rsidRDefault="00A43E04">
            <w:pPr>
              <w:pStyle w:val="P68B1DB1-Normal11"/>
              <w:jc w:val="center"/>
              <w:rPr>
                <w:noProof/>
              </w:rPr>
            </w:pPr>
            <w:r>
              <w:rPr>
                <w:noProof/>
              </w:rPr>
              <w:t>Tarča</w:t>
            </w:r>
          </w:p>
        </w:tc>
        <w:tc>
          <w:tcPr>
            <w:tcW w:w="464" w:type="pct"/>
            <w:shd w:val="clear" w:color="auto" w:fill="C6EFCE"/>
            <w:noWrap/>
            <w:vAlign w:val="center"/>
          </w:tcPr>
          <w:p w14:paraId="78DB4444" w14:textId="77777777" w:rsidR="00154E32" w:rsidRDefault="00A43E04">
            <w:pPr>
              <w:pStyle w:val="P68B1DB1-Normal11"/>
              <w:jc w:val="center"/>
              <w:rPr>
                <w:noProof/>
              </w:rPr>
            </w:pPr>
            <w:r>
              <w:rPr>
                <w:noProof/>
              </w:rPr>
              <w:t>700 km nadgrajenih odsekov prog, zgrajenih na metropolitanskih vozliščih in ključnih nacionalnih povezavah</w:t>
            </w:r>
          </w:p>
        </w:tc>
        <w:tc>
          <w:tcPr>
            <w:tcW w:w="509" w:type="pct"/>
            <w:shd w:val="clear" w:color="auto" w:fill="C6EFCE"/>
            <w:noWrap/>
            <w:vAlign w:val="center"/>
          </w:tcPr>
          <w:p w14:paraId="0ED6D972" w14:textId="77777777" w:rsidR="00154E32" w:rsidRDefault="00A43E04">
            <w:pPr>
              <w:pStyle w:val="P68B1DB1-Normal11"/>
              <w:jc w:val="center"/>
              <w:rPr>
                <w:noProof/>
              </w:rPr>
            </w:pPr>
            <w:r>
              <w:rPr>
                <w:noProof/>
              </w:rPr>
              <w:t>JIH NI</w:t>
            </w:r>
          </w:p>
        </w:tc>
        <w:tc>
          <w:tcPr>
            <w:tcW w:w="325" w:type="pct"/>
            <w:shd w:val="clear" w:color="auto" w:fill="C6EFCE"/>
            <w:noWrap/>
            <w:vAlign w:val="center"/>
          </w:tcPr>
          <w:p w14:paraId="63609DE3" w14:textId="77777777" w:rsidR="00154E32" w:rsidRDefault="00A43E04">
            <w:pPr>
              <w:pStyle w:val="P68B1DB1-Normal11"/>
              <w:jc w:val="center"/>
              <w:rPr>
                <w:noProof/>
              </w:rPr>
            </w:pPr>
            <w:r>
              <w:rPr>
                <w:noProof/>
              </w:rPr>
              <w:t>Število</w:t>
            </w:r>
          </w:p>
        </w:tc>
        <w:tc>
          <w:tcPr>
            <w:tcW w:w="371" w:type="pct"/>
            <w:shd w:val="clear" w:color="auto" w:fill="C6EFCE"/>
            <w:noWrap/>
            <w:vAlign w:val="center"/>
          </w:tcPr>
          <w:p w14:paraId="0C960581" w14:textId="77777777" w:rsidR="00154E32" w:rsidRDefault="00A43E04">
            <w:pPr>
              <w:pStyle w:val="P68B1DB1-Normal11"/>
              <w:jc w:val="center"/>
              <w:rPr>
                <w:noProof/>
              </w:rPr>
            </w:pPr>
            <w:r>
              <w:rPr>
                <w:noProof/>
              </w:rPr>
              <w:t>0</w:t>
            </w:r>
          </w:p>
        </w:tc>
        <w:tc>
          <w:tcPr>
            <w:tcW w:w="279" w:type="pct"/>
            <w:shd w:val="clear" w:color="auto" w:fill="C6EFCE"/>
            <w:noWrap/>
            <w:vAlign w:val="center"/>
          </w:tcPr>
          <w:p w14:paraId="725DD8E3" w14:textId="77777777" w:rsidR="00154E32" w:rsidRDefault="00A43E04">
            <w:pPr>
              <w:pStyle w:val="P68B1DB1-Normal11"/>
              <w:jc w:val="center"/>
              <w:rPr>
                <w:noProof/>
              </w:rPr>
            </w:pPr>
            <w:r>
              <w:rPr>
                <w:noProof/>
              </w:rPr>
              <w:t>700</w:t>
            </w:r>
          </w:p>
        </w:tc>
        <w:tc>
          <w:tcPr>
            <w:tcW w:w="278" w:type="pct"/>
            <w:shd w:val="clear" w:color="auto" w:fill="C6EFCE"/>
            <w:noWrap/>
            <w:vAlign w:val="center"/>
          </w:tcPr>
          <w:p w14:paraId="1556710E" w14:textId="77777777" w:rsidR="00154E32" w:rsidRDefault="00A43E04">
            <w:pPr>
              <w:pStyle w:val="P68B1DB1-Normal11"/>
              <w:jc w:val="center"/>
              <w:rPr>
                <w:noProof/>
              </w:rPr>
            </w:pPr>
            <w:r>
              <w:rPr>
                <w:noProof/>
              </w:rPr>
              <w:t>Q4</w:t>
            </w:r>
          </w:p>
        </w:tc>
        <w:tc>
          <w:tcPr>
            <w:tcW w:w="278" w:type="pct"/>
            <w:shd w:val="clear" w:color="auto" w:fill="C6EFCE"/>
            <w:noWrap/>
            <w:vAlign w:val="center"/>
          </w:tcPr>
          <w:p w14:paraId="303BF1D7" w14:textId="77777777" w:rsidR="00154E32" w:rsidRDefault="00A43E04">
            <w:pPr>
              <w:pStyle w:val="P68B1DB1-Normal11"/>
              <w:jc w:val="center"/>
              <w:rPr>
                <w:noProof/>
              </w:rPr>
            </w:pPr>
            <w:r>
              <w:rPr>
                <w:noProof/>
              </w:rPr>
              <w:t>2024</w:t>
            </w:r>
          </w:p>
        </w:tc>
        <w:tc>
          <w:tcPr>
            <w:tcW w:w="1198" w:type="pct"/>
            <w:shd w:val="clear" w:color="auto" w:fill="C6EFCE"/>
            <w:noWrap/>
            <w:vAlign w:val="center"/>
          </w:tcPr>
          <w:p w14:paraId="06B99116" w14:textId="77777777" w:rsidR="00154E32" w:rsidRDefault="00A43E04">
            <w:pPr>
              <w:pStyle w:val="P68B1DB1-Normal11"/>
              <w:rPr>
                <w:noProof/>
              </w:rPr>
            </w:pPr>
            <w:r>
              <w:rPr>
                <w:noProof/>
              </w:rPr>
              <w:t>Vsaj 700 km nadgrajenih odsekov prog, zgrajenih na metropolitanskih vozliščih in ključnih nacionalnih povezavah, pripravljenih za odobritev in obratovanje.</w:t>
            </w:r>
          </w:p>
          <w:p w14:paraId="17FFB384" w14:textId="77777777" w:rsidR="00154E32" w:rsidRDefault="00154E32">
            <w:pPr>
              <w:rPr>
                <w:rFonts w:ascii="Arial Narrow" w:hAnsi="Arial Narrow"/>
                <w:noProof/>
                <w:color w:val="006100"/>
                <w:sz w:val="20"/>
              </w:rPr>
            </w:pPr>
          </w:p>
        </w:tc>
      </w:tr>
      <w:tr w:rsidR="00154E32" w14:paraId="7C3BDEBA" w14:textId="77777777">
        <w:trPr>
          <w:trHeight w:val="309"/>
          <w:jc w:val="right"/>
        </w:trPr>
        <w:tc>
          <w:tcPr>
            <w:tcW w:w="369" w:type="pct"/>
            <w:shd w:val="clear" w:color="auto" w:fill="C6EFCE"/>
            <w:noWrap/>
            <w:vAlign w:val="center"/>
          </w:tcPr>
          <w:p w14:paraId="734A70D0" w14:textId="77777777" w:rsidR="00154E32" w:rsidRDefault="00A43E04">
            <w:pPr>
              <w:pStyle w:val="P68B1DB1-Normal11"/>
              <w:jc w:val="center"/>
              <w:rPr>
                <w:noProof/>
              </w:rPr>
            </w:pPr>
            <w:r>
              <w:rPr>
                <w:noProof/>
              </w:rPr>
              <w:t>M3C1–16</w:t>
            </w:r>
          </w:p>
        </w:tc>
        <w:tc>
          <w:tcPr>
            <w:tcW w:w="511" w:type="pct"/>
            <w:shd w:val="clear" w:color="auto" w:fill="C6EFCE"/>
            <w:noWrap/>
            <w:vAlign w:val="center"/>
          </w:tcPr>
          <w:p w14:paraId="09D6CD02" w14:textId="77777777" w:rsidR="00154E32" w:rsidRDefault="00A43E04">
            <w:pPr>
              <w:pStyle w:val="P68B1DB1-Normal11"/>
              <w:jc w:val="center"/>
              <w:rPr>
                <w:noProof/>
              </w:rPr>
            </w:pPr>
            <w:r>
              <w:rPr>
                <w:noProof/>
              </w:rPr>
              <w:t>Naložba 1.5 – Krepitev metropolitanskih vozlišč in ključnih nacionalnih povezav</w:t>
            </w:r>
          </w:p>
        </w:tc>
        <w:tc>
          <w:tcPr>
            <w:tcW w:w="417" w:type="pct"/>
            <w:shd w:val="clear" w:color="auto" w:fill="C6EFCE"/>
            <w:noWrap/>
            <w:vAlign w:val="center"/>
          </w:tcPr>
          <w:p w14:paraId="10837981" w14:textId="77777777" w:rsidR="00154E32" w:rsidRDefault="00A43E04">
            <w:pPr>
              <w:pStyle w:val="P68B1DB1-Normal11"/>
              <w:jc w:val="center"/>
              <w:rPr>
                <w:noProof/>
              </w:rPr>
            </w:pPr>
            <w:r>
              <w:rPr>
                <w:noProof/>
              </w:rPr>
              <w:t>Tarča</w:t>
            </w:r>
          </w:p>
        </w:tc>
        <w:tc>
          <w:tcPr>
            <w:tcW w:w="464" w:type="pct"/>
            <w:shd w:val="clear" w:color="auto" w:fill="C6EFCE"/>
            <w:noWrap/>
            <w:vAlign w:val="center"/>
          </w:tcPr>
          <w:p w14:paraId="1ED9110C" w14:textId="77777777" w:rsidR="00154E32" w:rsidRDefault="00A43E04">
            <w:pPr>
              <w:pStyle w:val="P68B1DB1-Normal11"/>
              <w:jc w:val="center"/>
              <w:rPr>
                <w:noProof/>
              </w:rPr>
            </w:pPr>
            <w:r>
              <w:rPr>
                <w:noProof/>
              </w:rPr>
              <w:t>1 280 km nadgrajenih odsekov prog, zgrajenih na metropolitanskih vozliščih in ključnih nacionalnih povezavah</w:t>
            </w:r>
          </w:p>
        </w:tc>
        <w:tc>
          <w:tcPr>
            <w:tcW w:w="509" w:type="pct"/>
            <w:shd w:val="clear" w:color="auto" w:fill="C6EFCE"/>
            <w:noWrap/>
            <w:vAlign w:val="center"/>
          </w:tcPr>
          <w:p w14:paraId="086FC245" w14:textId="77777777" w:rsidR="00154E32" w:rsidRDefault="00A43E04">
            <w:pPr>
              <w:pStyle w:val="P68B1DB1-Normal11"/>
              <w:jc w:val="center"/>
              <w:rPr>
                <w:noProof/>
              </w:rPr>
            </w:pPr>
            <w:r>
              <w:rPr>
                <w:noProof/>
              </w:rPr>
              <w:t>JIH NI</w:t>
            </w:r>
          </w:p>
        </w:tc>
        <w:tc>
          <w:tcPr>
            <w:tcW w:w="325" w:type="pct"/>
            <w:shd w:val="clear" w:color="auto" w:fill="C6EFCE"/>
            <w:noWrap/>
            <w:vAlign w:val="center"/>
          </w:tcPr>
          <w:p w14:paraId="427C7A6D" w14:textId="77777777" w:rsidR="00154E32" w:rsidRDefault="00A43E04">
            <w:pPr>
              <w:pStyle w:val="P68B1DB1-Normal11"/>
              <w:jc w:val="center"/>
              <w:rPr>
                <w:noProof/>
              </w:rPr>
            </w:pPr>
            <w:r>
              <w:rPr>
                <w:noProof/>
              </w:rPr>
              <w:t>Število</w:t>
            </w:r>
          </w:p>
        </w:tc>
        <w:tc>
          <w:tcPr>
            <w:tcW w:w="371" w:type="pct"/>
            <w:shd w:val="clear" w:color="auto" w:fill="C6EFCE"/>
            <w:noWrap/>
            <w:vAlign w:val="center"/>
          </w:tcPr>
          <w:p w14:paraId="3C718BA1" w14:textId="77777777" w:rsidR="00154E32" w:rsidRDefault="00A43E04">
            <w:pPr>
              <w:pStyle w:val="P68B1DB1-Normal11"/>
              <w:jc w:val="center"/>
              <w:rPr>
                <w:noProof/>
              </w:rPr>
            </w:pPr>
            <w:r>
              <w:rPr>
                <w:noProof/>
              </w:rPr>
              <w:t>700</w:t>
            </w:r>
          </w:p>
        </w:tc>
        <w:tc>
          <w:tcPr>
            <w:tcW w:w="279" w:type="pct"/>
            <w:shd w:val="clear" w:color="auto" w:fill="C6EFCE"/>
            <w:noWrap/>
            <w:vAlign w:val="center"/>
          </w:tcPr>
          <w:p w14:paraId="6B0665C5" w14:textId="20F73F89" w:rsidR="00154E32" w:rsidRDefault="00A43E04">
            <w:pPr>
              <w:pStyle w:val="P68B1DB1-Normal11"/>
              <w:jc w:val="center"/>
              <w:rPr>
                <w:noProof/>
              </w:rPr>
            </w:pPr>
            <w:r>
              <w:rPr>
                <w:noProof/>
              </w:rPr>
              <w:t>1 280</w:t>
            </w:r>
          </w:p>
        </w:tc>
        <w:tc>
          <w:tcPr>
            <w:tcW w:w="278" w:type="pct"/>
            <w:shd w:val="clear" w:color="auto" w:fill="C6EFCE"/>
            <w:noWrap/>
            <w:vAlign w:val="center"/>
          </w:tcPr>
          <w:p w14:paraId="6F7B1EF0" w14:textId="77777777" w:rsidR="00154E32" w:rsidRDefault="00A43E04">
            <w:pPr>
              <w:pStyle w:val="P68B1DB1-Normal11"/>
              <w:jc w:val="center"/>
              <w:rPr>
                <w:noProof/>
              </w:rPr>
            </w:pPr>
            <w:r>
              <w:rPr>
                <w:noProof/>
              </w:rPr>
              <w:t>Q2</w:t>
            </w:r>
          </w:p>
        </w:tc>
        <w:tc>
          <w:tcPr>
            <w:tcW w:w="278" w:type="pct"/>
            <w:shd w:val="clear" w:color="auto" w:fill="C6EFCE"/>
            <w:noWrap/>
            <w:vAlign w:val="center"/>
          </w:tcPr>
          <w:p w14:paraId="615EDE70" w14:textId="77777777" w:rsidR="00154E32" w:rsidRDefault="00A43E04">
            <w:pPr>
              <w:pStyle w:val="P68B1DB1-Normal11"/>
              <w:jc w:val="center"/>
              <w:rPr>
                <w:noProof/>
              </w:rPr>
            </w:pPr>
            <w:r>
              <w:rPr>
                <w:noProof/>
              </w:rPr>
              <w:t>2026</w:t>
            </w:r>
          </w:p>
        </w:tc>
        <w:tc>
          <w:tcPr>
            <w:tcW w:w="1198" w:type="pct"/>
            <w:shd w:val="clear" w:color="auto" w:fill="C6EFCE"/>
            <w:noWrap/>
            <w:vAlign w:val="center"/>
          </w:tcPr>
          <w:p w14:paraId="0F885545" w14:textId="56AA0DB7" w:rsidR="00154E32" w:rsidRDefault="00A43E04">
            <w:pPr>
              <w:pStyle w:val="P68B1DB1-Normal11"/>
              <w:rPr>
                <w:noProof/>
              </w:rPr>
            </w:pPr>
            <w:r>
              <w:rPr>
                <w:noProof/>
              </w:rPr>
              <w:t>Vsaj 1 280 km odsekov izboljšanih/nadgrajenih prog, zgrajenih na metropolitanskih vozliščih in ključnih nacionalnih povezavah, pripravljenih za odobritev in obratovalne faze</w:t>
            </w:r>
          </w:p>
        </w:tc>
      </w:tr>
      <w:tr w:rsidR="00154E32" w14:paraId="3EF9A146" w14:textId="77777777">
        <w:trPr>
          <w:trHeight w:val="309"/>
          <w:jc w:val="right"/>
        </w:trPr>
        <w:tc>
          <w:tcPr>
            <w:tcW w:w="369" w:type="pct"/>
            <w:shd w:val="clear" w:color="auto" w:fill="C6EFCE"/>
            <w:noWrap/>
            <w:vAlign w:val="center"/>
          </w:tcPr>
          <w:p w14:paraId="1FDC7B49" w14:textId="77777777" w:rsidR="00154E32" w:rsidRDefault="00A43E04">
            <w:pPr>
              <w:pStyle w:val="P68B1DB1-Normal11"/>
              <w:jc w:val="center"/>
              <w:rPr>
                <w:noProof/>
              </w:rPr>
            </w:pPr>
            <w:r>
              <w:rPr>
                <w:noProof/>
              </w:rPr>
              <w:t>M3C1–17</w:t>
            </w:r>
          </w:p>
        </w:tc>
        <w:tc>
          <w:tcPr>
            <w:tcW w:w="511" w:type="pct"/>
            <w:shd w:val="clear" w:color="auto" w:fill="C6EFCE"/>
            <w:noWrap/>
            <w:vAlign w:val="center"/>
          </w:tcPr>
          <w:p w14:paraId="687260C8" w14:textId="77777777" w:rsidR="00154E32" w:rsidRDefault="00A43E04">
            <w:pPr>
              <w:pStyle w:val="P68B1DB1-Normal11"/>
              <w:jc w:val="center"/>
              <w:rPr>
                <w:noProof/>
              </w:rPr>
            </w:pPr>
            <w:r>
              <w:rPr>
                <w:noProof/>
              </w:rPr>
              <w:t>Naložba 1.7 – Izpopolnitev, elektrifikacija in odpornost železnic na jugu</w:t>
            </w:r>
          </w:p>
        </w:tc>
        <w:tc>
          <w:tcPr>
            <w:tcW w:w="417" w:type="pct"/>
            <w:shd w:val="clear" w:color="auto" w:fill="C6EFCE"/>
            <w:noWrap/>
            <w:vAlign w:val="center"/>
          </w:tcPr>
          <w:p w14:paraId="06F7BA84" w14:textId="77777777" w:rsidR="00154E32" w:rsidRDefault="00154E32">
            <w:pPr>
              <w:jc w:val="center"/>
              <w:rPr>
                <w:rFonts w:ascii="Arial Narrow" w:hAnsi="Arial Narrow"/>
                <w:noProof/>
                <w:color w:val="006100"/>
                <w:sz w:val="20"/>
              </w:rPr>
            </w:pPr>
          </w:p>
          <w:p w14:paraId="68BB15F8" w14:textId="77777777" w:rsidR="00154E32" w:rsidRDefault="00A43E04">
            <w:pPr>
              <w:pStyle w:val="P68B1DB1-Normal11"/>
              <w:jc w:val="center"/>
              <w:rPr>
                <w:noProof/>
              </w:rPr>
            </w:pPr>
            <w:r>
              <w:rPr>
                <w:noProof/>
              </w:rPr>
              <w:t xml:space="preserve">Tarča </w:t>
            </w:r>
          </w:p>
        </w:tc>
        <w:tc>
          <w:tcPr>
            <w:tcW w:w="464" w:type="pct"/>
            <w:shd w:val="clear" w:color="auto" w:fill="C6EFCE"/>
            <w:noWrap/>
            <w:vAlign w:val="center"/>
          </w:tcPr>
          <w:p w14:paraId="6C46B7E3" w14:textId="4ED18C18" w:rsidR="00154E32" w:rsidRDefault="00A43E04">
            <w:pPr>
              <w:pStyle w:val="P68B1DB1-Normal11"/>
              <w:jc w:val="center"/>
              <w:rPr>
                <w:noProof/>
              </w:rPr>
            </w:pPr>
            <w:r>
              <w:rPr>
                <w:noProof/>
              </w:rPr>
              <w:t>150 km končanih del v zvezi z nadgradnjo, elektrifikacijo in odpornostjo železnic na jugu, pripravljenih za faze odobritve in obratovanja.</w:t>
            </w:r>
          </w:p>
        </w:tc>
        <w:tc>
          <w:tcPr>
            <w:tcW w:w="509" w:type="pct"/>
            <w:shd w:val="clear" w:color="auto" w:fill="C6EFCE"/>
            <w:noWrap/>
            <w:vAlign w:val="center"/>
          </w:tcPr>
          <w:p w14:paraId="35F825F1" w14:textId="77777777" w:rsidR="00154E32" w:rsidRDefault="00A43E04">
            <w:pPr>
              <w:pStyle w:val="P68B1DB1-Normal11"/>
              <w:jc w:val="center"/>
              <w:rPr>
                <w:noProof/>
              </w:rPr>
            </w:pPr>
            <w:r>
              <w:rPr>
                <w:noProof/>
              </w:rPr>
              <w:t>JIH NI</w:t>
            </w:r>
          </w:p>
        </w:tc>
        <w:tc>
          <w:tcPr>
            <w:tcW w:w="325" w:type="pct"/>
            <w:shd w:val="clear" w:color="auto" w:fill="C6EFCE"/>
            <w:noWrap/>
            <w:vAlign w:val="center"/>
          </w:tcPr>
          <w:p w14:paraId="6AFB40EF" w14:textId="77777777" w:rsidR="00154E32" w:rsidRDefault="00A43E04">
            <w:pPr>
              <w:pStyle w:val="P68B1DB1-Normal11"/>
              <w:jc w:val="center"/>
              <w:rPr>
                <w:noProof/>
              </w:rPr>
            </w:pPr>
            <w:r>
              <w:rPr>
                <w:noProof/>
              </w:rPr>
              <w:t>Število</w:t>
            </w:r>
          </w:p>
        </w:tc>
        <w:tc>
          <w:tcPr>
            <w:tcW w:w="371" w:type="pct"/>
            <w:shd w:val="clear" w:color="auto" w:fill="C6EFCE"/>
            <w:noWrap/>
            <w:vAlign w:val="center"/>
          </w:tcPr>
          <w:p w14:paraId="7655624F" w14:textId="77777777" w:rsidR="00154E32" w:rsidRDefault="00A43E04">
            <w:pPr>
              <w:pStyle w:val="P68B1DB1-Normal11"/>
              <w:jc w:val="center"/>
              <w:rPr>
                <w:noProof/>
              </w:rPr>
            </w:pPr>
            <w:r>
              <w:rPr>
                <w:noProof/>
              </w:rPr>
              <w:t>0</w:t>
            </w:r>
          </w:p>
        </w:tc>
        <w:tc>
          <w:tcPr>
            <w:tcW w:w="279" w:type="pct"/>
            <w:shd w:val="clear" w:color="auto" w:fill="C6EFCE"/>
            <w:noWrap/>
            <w:vAlign w:val="center"/>
          </w:tcPr>
          <w:p w14:paraId="2F49AE89" w14:textId="77777777" w:rsidR="00154E32" w:rsidRDefault="00A43E04">
            <w:pPr>
              <w:pStyle w:val="P68B1DB1-Normal11"/>
              <w:jc w:val="center"/>
              <w:rPr>
                <w:noProof/>
              </w:rPr>
            </w:pPr>
            <w:r>
              <w:rPr>
                <w:noProof/>
              </w:rPr>
              <w:t>150</w:t>
            </w:r>
          </w:p>
        </w:tc>
        <w:tc>
          <w:tcPr>
            <w:tcW w:w="278" w:type="pct"/>
            <w:shd w:val="clear" w:color="auto" w:fill="C6EFCE"/>
            <w:noWrap/>
            <w:vAlign w:val="center"/>
          </w:tcPr>
          <w:p w14:paraId="38B996EF" w14:textId="77777777" w:rsidR="00154E32" w:rsidRDefault="00A43E04">
            <w:pPr>
              <w:pStyle w:val="P68B1DB1-Normal11"/>
              <w:jc w:val="center"/>
              <w:rPr>
                <w:noProof/>
              </w:rPr>
            </w:pPr>
            <w:r>
              <w:rPr>
                <w:noProof/>
              </w:rPr>
              <w:t>Q4</w:t>
            </w:r>
          </w:p>
        </w:tc>
        <w:tc>
          <w:tcPr>
            <w:tcW w:w="278" w:type="pct"/>
            <w:shd w:val="clear" w:color="auto" w:fill="C6EFCE"/>
            <w:noWrap/>
            <w:vAlign w:val="center"/>
          </w:tcPr>
          <w:p w14:paraId="42E02E82" w14:textId="77777777" w:rsidR="00154E32" w:rsidRDefault="00A43E04">
            <w:pPr>
              <w:pStyle w:val="P68B1DB1-Normal11"/>
              <w:jc w:val="center"/>
              <w:rPr>
                <w:noProof/>
              </w:rPr>
            </w:pPr>
            <w:r>
              <w:rPr>
                <w:noProof/>
              </w:rPr>
              <w:t>2023</w:t>
            </w:r>
          </w:p>
        </w:tc>
        <w:tc>
          <w:tcPr>
            <w:tcW w:w="1198" w:type="pct"/>
            <w:shd w:val="clear" w:color="auto" w:fill="C6EFCE"/>
            <w:noWrap/>
            <w:vAlign w:val="center"/>
          </w:tcPr>
          <w:p w14:paraId="2D650958" w14:textId="77777777" w:rsidR="00154E32" w:rsidRDefault="00A43E04">
            <w:pPr>
              <w:pStyle w:val="P68B1DB1-Normal11"/>
              <w:spacing w:before="120" w:after="120"/>
              <w:rPr>
                <w:noProof/>
              </w:rPr>
            </w:pPr>
            <w:r>
              <w:rPr>
                <w:noProof/>
              </w:rPr>
              <w:t xml:space="preserve">Zaključek del za najmanj 150 km, povezanih z nadgradnjo, elektrifikacijo in odpornostjo južnih železnic, pripravljenih za fazo odobritve in obratovanje. </w:t>
            </w:r>
          </w:p>
          <w:p w14:paraId="18243FD3" w14:textId="77777777" w:rsidR="00154E32" w:rsidRDefault="00A43E04">
            <w:pPr>
              <w:pStyle w:val="P68B1DB1-Normal11"/>
              <w:spacing w:before="120" w:after="120"/>
              <w:rPr>
                <w:noProof/>
              </w:rPr>
            </w:pPr>
            <w:r>
              <w:rPr>
                <w:noProof/>
              </w:rPr>
              <w:t>150 km se nanaša na naslednje proge:</w:t>
            </w:r>
          </w:p>
          <w:p w14:paraId="41B146BD" w14:textId="77777777" w:rsidR="00154E32" w:rsidRDefault="00A43E04">
            <w:pPr>
              <w:pStyle w:val="P68B1DB1-Normal11"/>
              <w:spacing w:before="120" w:after="120"/>
              <w:rPr>
                <w:noProof/>
              </w:rPr>
            </w:pPr>
            <w:r>
              <w:rPr>
                <w:noProof/>
              </w:rPr>
              <w:t>Dežela Molise</w:t>
            </w:r>
          </w:p>
          <w:p w14:paraId="48F38645" w14:textId="77777777" w:rsidR="00154E32" w:rsidRDefault="00A43E04">
            <w:pPr>
              <w:pStyle w:val="P68B1DB1-ListParagraph13"/>
              <w:numPr>
                <w:ilvl w:val="0"/>
                <w:numId w:val="48"/>
              </w:numPr>
              <w:ind w:left="393"/>
              <w:jc w:val="left"/>
              <w:rPr>
                <w:noProof/>
              </w:rPr>
            </w:pPr>
            <w:r>
              <w:rPr>
                <w:noProof/>
              </w:rPr>
              <w:t>Rim-Venafro-Campobasso-Termoli;</w:t>
            </w:r>
          </w:p>
          <w:p w14:paraId="4172D517" w14:textId="77777777" w:rsidR="00154E32" w:rsidRDefault="00A43E04">
            <w:pPr>
              <w:pStyle w:val="P68B1DB1-Normal11"/>
              <w:spacing w:before="120" w:after="120"/>
              <w:rPr>
                <w:noProof/>
              </w:rPr>
            </w:pPr>
            <w:r>
              <w:rPr>
                <w:noProof/>
              </w:rPr>
              <w:t>Dežela Apulija</w:t>
            </w:r>
          </w:p>
          <w:p w14:paraId="6D65ACE4" w14:textId="77777777" w:rsidR="00154E32" w:rsidRDefault="00A43E04">
            <w:pPr>
              <w:pStyle w:val="P68B1DB1-ListParagraph13"/>
              <w:numPr>
                <w:ilvl w:val="0"/>
                <w:numId w:val="48"/>
              </w:numPr>
              <w:ind w:left="535"/>
              <w:jc w:val="left"/>
              <w:rPr>
                <w:noProof/>
              </w:rPr>
            </w:pPr>
            <w:r>
              <w:rPr>
                <w:noProof/>
              </w:rPr>
              <w:t>Pescara-Foggia</w:t>
            </w:r>
          </w:p>
          <w:p w14:paraId="70A6A95A" w14:textId="77777777" w:rsidR="00154E32" w:rsidRDefault="00A43E04">
            <w:pPr>
              <w:pStyle w:val="P68B1DB1-ListParagraph13"/>
              <w:numPr>
                <w:ilvl w:val="0"/>
                <w:numId w:val="48"/>
              </w:numPr>
              <w:ind w:left="535"/>
              <w:jc w:val="left"/>
              <w:rPr>
                <w:noProof/>
              </w:rPr>
            </w:pPr>
            <w:r>
              <w:rPr>
                <w:noProof/>
              </w:rPr>
              <w:t>Potenza-Foggia</w:t>
            </w:r>
          </w:p>
          <w:p w14:paraId="44BBCBB8" w14:textId="77777777" w:rsidR="00154E32" w:rsidRDefault="00A43E04">
            <w:pPr>
              <w:pStyle w:val="P68B1DB1-ListParagraph13"/>
              <w:numPr>
                <w:ilvl w:val="0"/>
                <w:numId w:val="48"/>
              </w:numPr>
              <w:ind w:left="535"/>
              <w:jc w:val="left"/>
              <w:rPr>
                <w:noProof/>
              </w:rPr>
            </w:pPr>
            <w:r>
              <w:rPr>
                <w:noProof/>
              </w:rPr>
              <w:t>Povezava Brindisi</w:t>
            </w:r>
          </w:p>
          <w:p w14:paraId="73832C94" w14:textId="77777777" w:rsidR="00154E32" w:rsidRDefault="00A43E04">
            <w:pPr>
              <w:pStyle w:val="P68B1DB1-ListParagraph13"/>
              <w:numPr>
                <w:ilvl w:val="0"/>
                <w:numId w:val="48"/>
              </w:numPr>
              <w:ind w:left="535"/>
              <w:jc w:val="left"/>
              <w:rPr>
                <w:noProof/>
              </w:rPr>
            </w:pPr>
            <w:r>
              <w:rPr>
                <w:noProof/>
              </w:rPr>
              <w:t>Povezave Taranto</w:t>
            </w:r>
          </w:p>
          <w:p w14:paraId="0A5228B3" w14:textId="77777777" w:rsidR="00154E32" w:rsidRDefault="00A43E04">
            <w:pPr>
              <w:pStyle w:val="P68B1DB1-Normal11"/>
              <w:spacing w:before="120" w:after="120"/>
              <w:rPr>
                <w:noProof/>
              </w:rPr>
            </w:pPr>
            <w:r>
              <w:rPr>
                <w:noProof/>
              </w:rPr>
              <w:t>Dežela Kalabrija</w:t>
            </w:r>
          </w:p>
          <w:p w14:paraId="0CF0031E" w14:textId="77777777" w:rsidR="00154E32" w:rsidRDefault="00A43E04">
            <w:pPr>
              <w:pStyle w:val="P68B1DB1-ListParagraph13"/>
              <w:numPr>
                <w:ilvl w:val="0"/>
                <w:numId w:val="48"/>
              </w:numPr>
              <w:ind w:left="535"/>
              <w:jc w:val="left"/>
              <w:rPr>
                <w:noProof/>
              </w:rPr>
            </w:pPr>
            <w:r>
              <w:rPr>
                <w:noProof/>
              </w:rPr>
              <w:t>Jonski Sibari-Catanzaro Lido-/Lamezia Terme</w:t>
            </w:r>
          </w:p>
          <w:p w14:paraId="6EB45031" w14:textId="77777777" w:rsidR="00154E32" w:rsidRDefault="00A43E04">
            <w:pPr>
              <w:pStyle w:val="P68B1DB1-Normal11"/>
              <w:spacing w:before="120" w:after="120"/>
              <w:rPr>
                <w:noProof/>
              </w:rPr>
            </w:pPr>
            <w:r>
              <w:rPr>
                <w:noProof/>
              </w:rPr>
              <w:t>Dežela Bazilikata</w:t>
            </w:r>
          </w:p>
          <w:p w14:paraId="16754DC8" w14:textId="77777777" w:rsidR="00154E32" w:rsidRDefault="00A43E04">
            <w:pPr>
              <w:pStyle w:val="P68B1DB1-ListParagraph13"/>
              <w:numPr>
                <w:ilvl w:val="0"/>
                <w:numId w:val="48"/>
              </w:numPr>
              <w:ind w:left="535"/>
              <w:jc w:val="left"/>
              <w:rPr>
                <w:noProof/>
              </w:rPr>
            </w:pPr>
            <w:r>
              <w:rPr>
                <w:noProof/>
              </w:rPr>
              <w:t>Ferrandina-Matera</w:t>
            </w:r>
          </w:p>
          <w:p w14:paraId="2D35AD60" w14:textId="77777777" w:rsidR="00154E32" w:rsidRDefault="00A43E04">
            <w:pPr>
              <w:pStyle w:val="P68B1DB1-Normal11"/>
              <w:spacing w:before="120" w:after="120"/>
              <w:rPr>
                <w:noProof/>
              </w:rPr>
            </w:pPr>
            <w:r>
              <w:rPr>
                <w:noProof/>
              </w:rPr>
              <w:t>Dežela Kampanija</w:t>
            </w:r>
          </w:p>
          <w:p w14:paraId="7F490CCB" w14:textId="77777777" w:rsidR="00154E32" w:rsidRDefault="00A43E04">
            <w:pPr>
              <w:pStyle w:val="P68B1DB1-ListParagraph13"/>
              <w:numPr>
                <w:ilvl w:val="0"/>
                <w:numId w:val="48"/>
              </w:numPr>
              <w:ind w:left="535"/>
              <w:jc w:val="left"/>
              <w:rPr>
                <w:noProof/>
              </w:rPr>
            </w:pPr>
            <w:r>
              <w:rPr>
                <w:noProof/>
              </w:rPr>
              <w:t>Salerno Arechi – Aeroporto Pontecagnano</w:t>
            </w:r>
          </w:p>
          <w:p w14:paraId="307CCE8B" w14:textId="77777777" w:rsidR="00154E32" w:rsidRDefault="00A43E04">
            <w:pPr>
              <w:pStyle w:val="P68B1DB1-Normal11"/>
              <w:rPr>
                <w:noProof/>
              </w:rPr>
            </w:pPr>
            <w:r>
              <w:rPr>
                <w:noProof/>
              </w:rPr>
              <w:t>Dežela Sicilija</w:t>
            </w:r>
          </w:p>
          <w:p w14:paraId="3F0C7BA5" w14:textId="77777777" w:rsidR="00154E32" w:rsidRDefault="00154E32">
            <w:pPr>
              <w:rPr>
                <w:rFonts w:ascii="Arial Narrow" w:hAnsi="Arial Narrow"/>
                <w:noProof/>
                <w:color w:val="006100"/>
                <w:sz w:val="20"/>
              </w:rPr>
            </w:pPr>
          </w:p>
          <w:p w14:paraId="5CF037EA" w14:textId="77777777" w:rsidR="00154E32" w:rsidRDefault="00A43E04">
            <w:pPr>
              <w:pStyle w:val="P68B1DB1-ListParagraph13"/>
              <w:numPr>
                <w:ilvl w:val="0"/>
                <w:numId w:val="48"/>
              </w:numPr>
              <w:ind w:left="535"/>
              <w:jc w:val="left"/>
              <w:rPr>
                <w:noProof/>
              </w:rPr>
            </w:pPr>
            <w:r>
              <w:rPr>
                <w:noProof/>
              </w:rPr>
              <w:t>Palermo – Agrigento – Porto Empedocle</w:t>
            </w:r>
          </w:p>
          <w:p w14:paraId="069DF716" w14:textId="77777777" w:rsidR="00154E32" w:rsidRDefault="00A43E04">
            <w:pPr>
              <w:pStyle w:val="P68B1DB1-ListParagraph13"/>
              <w:numPr>
                <w:ilvl w:val="0"/>
                <w:numId w:val="48"/>
              </w:numPr>
              <w:ind w:left="535"/>
              <w:jc w:val="left"/>
              <w:rPr>
                <w:noProof/>
              </w:rPr>
            </w:pPr>
            <w:r>
              <w:rPr>
                <w:noProof/>
              </w:rPr>
              <w:t>Povezava do pristanišča Augusta</w:t>
            </w:r>
          </w:p>
          <w:p w14:paraId="751CA9C2" w14:textId="77777777" w:rsidR="00154E32" w:rsidRDefault="00A43E04">
            <w:pPr>
              <w:pStyle w:val="P68B1DB1-ListParagraph13"/>
              <w:numPr>
                <w:ilvl w:val="0"/>
                <w:numId w:val="48"/>
              </w:numPr>
              <w:ind w:left="535"/>
              <w:jc w:val="left"/>
              <w:rPr>
                <w:noProof/>
              </w:rPr>
            </w:pPr>
            <w:r>
              <w:rPr>
                <w:noProof/>
              </w:rPr>
              <w:t>Povezava z letališčem Trapani Birgi</w:t>
            </w:r>
          </w:p>
          <w:p w14:paraId="67A95C1A" w14:textId="77777777" w:rsidR="00154E32" w:rsidRDefault="00A43E04">
            <w:pPr>
              <w:pStyle w:val="P68B1DB1-Normal11"/>
              <w:rPr>
                <w:noProof/>
              </w:rPr>
            </w:pPr>
            <w:r>
              <w:rPr>
                <w:noProof/>
              </w:rPr>
              <w:t>Dežela Sardinija</w:t>
            </w:r>
          </w:p>
          <w:p w14:paraId="673F4F8C" w14:textId="77777777" w:rsidR="00154E32" w:rsidRDefault="00A43E04">
            <w:pPr>
              <w:pStyle w:val="P68B1DB1-ListParagraph13"/>
              <w:numPr>
                <w:ilvl w:val="0"/>
                <w:numId w:val="48"/>
              </w:numPr>
              <w:ind w:left="535"/>
              <w:jc w:val="left"/>
              <w:rPr>
                <w:noProof/>
              </w:rPr>
            </w:pPr>
            <w:r>
              <w:rPr>
                <w:noProof/>
              </w:rPr>
              <w:t xml:space="preserve">Železniška povezava z letališčem Obia </w:t>
            </w:r>
          </w:p>
          <w:p w14:paraId="02DBA29A" w14:textId="77777777" w:rsidR="00154E32" w:rsidRDefault="00A43E04">
            <w:pPr>
              <w:pStyle w:val="P68B1DB1-ListParagraph13"/>
              <w:numPr>
                <w:ilvl w:val="0"/>
                <w:numId w:val="48"/>
              </w:numPr>
              <w:ind w:left="535"/>
              <w:jc w:val="left"/>
              <w:rPr>
                <w:noProof/>
              </w:rPr>
            </w:pPr>
            <w:r>
              <w:rPr>
                <w:noProof/>
              </w:rPr>
              <w:t>Podvojitev proge Decimomannu-Villamassargia</w:t>
            </w:r>
          </w:p>
        </w:tc>
      </w:tr>
      <w:tr w:rsidR="00154E32" w14:paraId="108290E6" w14:textId="77777777">
        <w:trPr>
          <w:trHeight w:val="309"/>
          <w:jc w:val="right"/>
        </w:trPr>
        <w:tc>
          <w:tcPr>
            <w:tcW w:w="369" w:type="pct"/>
            <w:shd w:val="clear" w:color="auto" w:fill="C6EFCE"/>
            <w:noWrap/>
            <w:vAlign w:val="center"/>
          </w:tcPr>
          <w:p w14:paraId="09ACBE2C" w14:textId="77777777" w:rsidR="00154E32" w:rsidRDefault="00A43E04">
            <w:pPr>
              <w:pStyle w:val="P68B1DB1-Normal11"/>
              <w:jc w:val="center"/>
              <w:rPr>
                <w:noProof/>
              </w:rPr>
            </w:pPr>
            <w:r>
              <w:rPr>
                <w:noProof/>
              </w:rPr>
              <w:t>M3C1–17a</w:t>
            </w:r>
          </w:p>
        </w:tc>
        <w:tc>
          <w:tcPr>
            <w:tcW w:w="511" w:type="pct"/>
            <w:shd w:val="clear" w:color="auto" w:fill="C6EFCE"/>
            <w:noWrap/>
            <w:vAlign w:val="center"/>
          </w:tcPr>
          <w:p w14:paraId="430849E4" w14:textId="77777777" w:rsidR="00154E32" w:rsidRDefault="00A43E04">
            <w:pPr>
              <w:pStyle w:val="P68B1DB1-Normal11"/>
              <w:jc w:val="center"/>
              <w:rPr>
                <w:noProof/>
              </w:rPr>
            </w:pPr>
            <w:r>
              <w:rPr>
                <w:noProof/>
              </w:rPr>
              <w:t>Naložba 1.7 – Izpopolnitev, elektrifikacija in odpornost železnic na jugu</w:t>
            </w:r>
          </w:p>
        </w:tc>
        <w:tc>
          <w:tcPr>
            <w:tcW w:w="417" w:type="pct"/>
            <w:shd w:val="clear" w:color="auto" w:fill="C6EFCE"/>
            <w:noWrap/>
            <w:vAlign w:val="center"/>
          </w:tcPr>
          <w:p w14:paraId="30079A9A" w14:textId="77777777" w:rsidR="00154E32" w:rsidRDefault="00A43E04">
            <w:pPr>
              <w:pStyle w:val="P68B1DB1-Normal11"/>
              <w:jc w:val="center"/>
              <w:rPr>
                <w:noProof/>
              </w:rPr>
            </w:pPr>
            <w:r>
              <w:rPr>
                <w:noProof/>
              </w:rPr>
              <w:t>Tarča</w:t>
            </w:r>
          </w:p>
        </w:tc>
        <w:tc>
          <w:tcPr>
            <w:tcW w:w="464" w:type="pct"/>
            <w:shd w:val="clear" w:color="auto" w:fill="C6EFCE"/>
            <w:noWrap/>
            <w:vAlign w:val="center"/>
          </w:tcPr>
          <w:p w14:paraId="2EC2D991" w14:textId="6E743864" w:rsidR="00154E32" w:rsidRDefault="00A43E04">
            <w:pPr>
              <w:pStyle w:val="P68B1DB1-Normal11"/>
              <w:jc w:val="center"/>
              <w:rPr>
                <w:noProof/>
              </w:rPr>
            </w:pPr>
            <w:r>
              <w:rPr>
                <w:noProof/>
              </w:rPr>
              <w:t>650 km končanih del v zvezi z nadgradnjo, elektrifikacijo in odpornostjo železnic na jugu, pripravljenih za faze odobritve in obratovanja.</w:t>
            </w:r>
          </w:p>
        </w:tc>
        <w:tc>
          <w:tcPr>
            <w:tcW w:w="509" w:type="pct"/>
            <w:shd w:val="clear" w:color="auto" w:fill="C6EFCE"/>
            <w:noWrap/>
            <w:vAlign w:val="center"/>
          </w:tcPr>
          <w:p w14:paraId="04215E6E" w14:textId="77777777" w:rsidR="00154E32" w:rsidRDefault="00A43E04">
            <w:pPr>
              <w:pStyle w:val="P68B1DB1-Normal11"/>
              <w:jc w:val="center"/>
              <w:rPr>
                <w:noProof/>
              </w:rPr>
            </w:pPr>
            <w:r>
              <w:rPr>
                <w:noProof/>
              </w:rPr>
              <w:t>JIH NI</w:t>
            </w:r>
          </w:p>
        </w:tc>
        <w:tc>
          <w:tcPr>
            <w:tcW w:w="325" w:type="pct"/>
            <w:shd w:val="clear" w:color="auto" w:fill="C6EFCE"/>
            <w:noWrap/>
            <w:vAlign w:val="center"/>
          </w:tcPr>
          <w:p w14:paraId="0F3051C5" w14:textId="77777777" w:rsidR="00154E32" w:rsidRDefault="00A43E04">
            <w:pPr>
              <w:pStyle w:val="P68B1DB1-Normal11"/>
              <w:jc w:val="center"/>
              <w:rPr>
                <w:noProof/>
              </w:rPr>
            </w:pPr>
            <w:r>
              <w:rPr>
                <w:noProof/>
              </w:rPr>
              <w:t>Število</w:t>
            </w:r>
          </w:p>
        </w:tc>
        <w:tc>
          <w:tcPr>
            <w:tcW w:w="371" w:type="pct"/>
            <w:shd w:val="clear" w:color="auto" w:fill="C6EFCE"/>
            <w:noWrap/>
            <w:vAlign w:val="center"/>
          </w:tcPr>
          <w:p w14:paraId="4BBDA1B2" w14:textId="77777777" w:rsidR="00154E32" w:rsidRDefault="00A43E04">
            <w:pPr>
              <w:pStyle w:val="P68B1DB1-Normal11"/>
              <w:jc w:val="center"/>
              <w:rPr>
                <w:noProof/>
              </w:rPr>
            </w:pPr>
            <w:r>
              <w:rPr>
                <w:noProof/>
              </w:rPr>
              <w:t>150</w:t>
            </w:r>
          </w:p>
        </w:tc>
        <w:tc>
          <w:tcPr>
            <w:tcW w:w="279" w:type="pct"/>
            <w:shd w:val="clear" w:color="auto" w:fill="C6EFCE"/>
            <w:noWrap/>
            <w:vAlign w:val="center"/>
          </w:tcPr>
          <w:p w14:paraId="44F10D2B" w14:textId="77777777" w:rsidR="00154E32" w:rsidRDefault="00A43E04">
            <w:pPr>
              <w:pStyle w:val="P68B1DB1-Normal11"/>
              <w:jc w:val="center"/>
              <w:rPr>
                <w:noProof/>
              </w:rPr>
            </w:pPr>
            <w:r>
              <w:rPr>
                <w:noProof/>
              </w:rPr>
              <w:t>650</w:t>
            </w:r>
          </w:p>
        </w:tc>
        <w:tc>
          <w:tcPr>
            <w:tcW w:w="278" w:type="pct"/>
            <w:shd w:val="clear" w:color="auto" w:fill="C6EFCE"/>
            <w:noWrap/>
            <w:vAlign w:val="center"/>
          </w:tcPr>
          <w:p w14:paraId="6E930CD9" w14:textId="77777777" w:rsidR="00154E32" w:rsidRDefault="00A43E04">
            <w:pPr>
              <w:pStyle w:val="P68B1DB1-Normal11"/>
              <w:jc w:val="center"/>
              <w:rPr>
                <w:noProof/>
              </w:rPr>
            </w:pPr>
            <w:r>
              <w:rPr>
                <w:noProof/>
              </w:rPr>
              <w:t>Q2</w:t>
            </w:r>
          </w:p>
        </w:tc>
        <w:tc>
          <w:tcPr>
            <w:tcW w:w="278" w:type="pct"/>
            <w:shd w:val="clear" w:color="auto" w:fill="C6EFCE"/>
            <w:noWrap/>
            <w:vAlign w:val="center"/>
          </w:tcPr>
          <w:p w14:paraId="1A60E60F" w14:textId="77777777" w:rsidR="00154E32" w:rsidRDefault="00A43E04">
            <w:pPr>
              <w:pStyle w:val="P68B1DB1-Normal11"/>
              <w:jc w:val="center"/>
              <w:rPr>
                <w:noProof/>
              </w:rPr>
            </w:pPr>
            <w:r>
              <w:rPr>
                <w:noProof/>
              </w:rPr>
              <w:t>2026</w:t>
            </w:r>
          </w:p>
        </w:tc>
        <w:tc>
          <w:tcPr>
            <w:tcW w:w="1198" w:type="pct"/>
            <w:shd w:val="clear" w:color="auto" w:fill="C6EFCE"/>
            <w:noWrap/>
            <w:vAlign w:val="center"/>
          </w:tcPr>
          <w:p w14:paraId="12667F6E" w14:textId="77777777" w:rsidR="00154E32" w:rsidRDefault="00A43E04">
            <w:pPr>
              <w:pStyle w:val="P68B1DB1-Normal11"/>
              <w:spacing w:before="120" w:after="120"/>
              <w:rPr>
                <w:noProof/>
              </w:rPr>
            </w:pPr>
            <w:r>
              <w:rPr>
                <w:noProof/>
              </w:rPr>
              <w:t xml:space="preserve">Zaključek del za najmanj 650 km, povezanih z nadgradnjo, elektrifikacijo in odpornostjo južnih železnic, pripravljenih za fazo odobritve in obratovanje. </w:t>
            </w:r>
          </w:p>
          <w:p w14:paraId="0133585C" w14:textId="77777777" w:rsidR="00154E32" w:rsidRDefault="00A43E04">
            <w:pPr>
              <w:pStyle w:val="P68B1DB1-Normal11"/>
              <w:spacing w:before="120" w:after="120"/>
              <w:rPr>
                <w:noProof/>
              </w:rPr>
            </w:pPr>
            <w:r>
              <w:rPr>
                <w:noProof/>
              </w:rPr>
              <w:t>Intervencije se nanašajo na naslednje vrstice:</w:t>
            </w:r>
          </w:p>
          <w:p w14:paraId="29D17A25" w14:textId="77777777" w:rsidR="00154E32" w:rsidRDefault="00A43E04">
            <w:pPr>
              <w:pStyle w:val="P68B1DB1-Normal11"/>
              <w:spacing w:before="120" w:after="120"/>
              <w:rPr>
                <w:noProof/>
              </w:rPr>
            </w:pPr>
            <w:r>
              <w:rPr>
                <w:noProof/>
              </w:rPr>
              <w:t>Dežela Molise</w:t>
            </w:r>
          </w:p>
          <w:p w14:paraId="6447A42C" w14:textId="77777777" w:rsidR="00154E32" w:rsidRDefault="00A43E04">
            <w:pPr>
              <w:pStyle w:val="P68B1DB1-ListParagraph13"/>
              <w:numPr>
                <w:ilvl w:val="0"/>
                <w:numId w:val="48"/>
              </w:numPr>
              <w:ind w:left="535"/>
              <w:jc w:val="left"/>
              <w:rPr>
                <w:noProof/>
              </w:rPr>
            </w:pPr>
            <w:r>
              <w:rPr>
                <w:noProof/>
              </w:rPr>
              <w:t>Rim-Venafro-Campobasso-Termoli;</w:t>
            </w:r>
          </w:p>
          <w:p w14:paraId="2B72234F" w14:textId="77777777" w:rsidR="00154E32" w:rsidRDefault="00A43E04">
            <w:pPr>
              <w:pStyle w:val="P68B1DB1-Normal11"/>
              <w:spacing w:before="120" w:after="120"/>
              <w:rPr>
                <w:noProof/>
              </w:rPr>
            </w:pPr>
            <w:r>
              <w:rPr>
                <w:noProof/>
              </w:rPr>
              <w:t>Dežela Apulija</w:t>
            </w:r>
          </w:p>
          <w:p w14:paraId="54C15E79" w14:textId="77777777" w:rsidR="00154E32" w:rsidRDefault="00A43E04">
            <w:pPr>
              <w:pStyle w:val="P68B1DB1-ListParagraph13"/>
              <w:numPr>
                <w:ilvl w:val="0"/>
                <w:numId w:val="48"/>
              </w:numPr>
              <w:ind w:left="535"/>
              <w:jc w:val="left"/>
              <w:rPr>
                <w:noProof/>
              </w:rPr>
            </w:pPr>
            <w:r>
              <w:rPr>
                <w:noProof/>
              </w:rPr>
              <w:t>Pescara-Foggia</w:t>
            </w:r>
          </w:p>
          <w:p w14:paraId="19521A75" w14:textId="77777777" w:rsidR="00154E32" w:rsidRDefault="00A43E04">
            <w:pPr>
              <w:pStyle w:val="P68B1DB1-ListParagraph13"/>
              <w:numPr>
                <w:ilvl w:val="0"/>
                <w:numId w:val="48"/>
              </w:numPr>
              <w:ind w:left="535"/>
              <w:jc w:val="left"/>
              <w:rPr>
                <w:noProof/>
              </w:rPr>
            </w:pPr>
            <w:r>
              <w:rPr>
                <w:noProof/>
              </w:rPr>
              <w:t>Potenza-Foggia</w:t>
            </w:r>
          </w:p>
          <w:p w14:paraId="7DCDAD74" w14:textId="77777777" w:rsidR="00154E32" w:rsidRDefault="00A43E04">
            <w:pPr>
              <w:pStyle w:val="P68B1DB1-ListParagraph13"/>
              <w:numPr>
                <w:ilvl w:val="0"/>
                <w:numId w:val="48"/>
              </w:numPr>
              <w:ind w:left="535"/>
              <w:jc w:val="left"/>
              <w:rPr>
                <w:noProof/>
              </w:rPr>
            </w:pPr>
            <w:r>
              <w:rPr>
                <w:noProof/>
              </w:rPr>
              <w:t>Povezava Brindisi</w:t>
            </w:r>
          </w:p>
          <w:p w14:paraId="568428C2" w14:textId="77777777" w:rsidR="00154E32" w:rsidRDefault="00A43E04">
            <w:pPr>
              <w:pStyle w:val="P68B1DB1-ListParagraph13"/>
              <w:numPr>
                <w:ilvl w:val="0"/>
                <w:numId w:val="48"/>
              </w:numPr>
              <w:ind w:left="535"/>
              <w:jc w:val="left"/>
              <w:rPr>
                <w:noProof/>
              </w:rPr>
            </w:pPr>
            <w:r>
              <w:rPr>
                <w:noProof/>
              </w:rPr>
              <w:t>Povezave Taranto</w:t>
            </w:r>
          </w:p>
          <w:p w14:paraId="271C90CA" w14:textId="77777777" w:rsidR="00154E32" w:rsidRDefault="00A43E04">
            <w:pPr>
              <w:pStyle w:val="P68B1DB1-Normal11"/>
              <w:spacing w:before="120" w:after="120"/>
              <w:rPr>
                <w:noProof/>
              </w:rPr>
            </w:pPr>
            <w:r>
              <w:rPr>
                <w:noProof/>
              </w:rPr>
              <w:t>Dežela Kalabrija</w:t>
            </w:r>
          </w:p>
          <w:p w14:paraId="0DEB67F5" w14:textId="77777777" w:rsidR="00154E32" w:rsidRDefault="00A43E04">
            <w:pPr>
              <w:pStyle w:val="P68B1DB1-ListParagraph13"/>
              <w:numPr>
                <w:ilvl w:val="0"/>
                <w:numId w:val="48"/>
              </w:numPr>
              <w:ind w:left="535"/>
              <w:jc w:val="left"/>
              <w:rPr>
                <w:noProof/>
              </w:rPr>
            </w:pPr>
            <w:r>
              <w:rPr>
                <w:noProof/>
              </w:rPr>
              <w:t>Jonski Sibari-Catanzaro Lido-Lamezia Terme</w:t>
            </w:r>
          </w:p>
          <w:p w14:paraId="1AFFDBED" w14:textId="77777777" w:rsidR="00154E32" w:rsidRDefault="00A43E04">
            <w:pPr>
              <w:pStyle w:val="P68B1DB1-Normal11"/>
              <w:spacing w:before="120" w:after="120"/>
              <w:rPr>
                <w:noProof/>
              </w:rPr>
            </w:pPr>
            <w:r>
              <w:rPr>
                <w:noProof/>
              </w:rPr>
              <w:t>Dežela Bazilikata</w:t>
            </w:r>
          </w:p>
          <w:p w14:paraId="64A4D63B" w14:textId="77777777" w:rsidR="00154E32" w:rsidRDefault="00A43E04">
            <w:pPr>
              <w:pStyle w:val="P68B1DB1-ListParagraph13"/>
              <w:numPr>
                <w:ilvl w:val="0"/>
                <w:numId w:val="48"/>
              </w:numPr>
              <w:ind w:left="535"/>
              <w:jc w:val="left"/>
              <w:rPr>
                <w:noProof/>
              </w:rPr>
            </w:pPr>
            <w:r>
              <w:rPr>
                <w:noProof/>
              </w:rPr>
              <w:t>Ferrandina-Matera</w:t>
            </w:r>
          </w:p>
          <w:p w14:paraId="22BB8C0C" w14:textId="77777777" w:rsidR="00154E32" w:rsidRDefault="00A43E04">
            <w:pPr>
              <w:pStyle w:val="P68B1DB1-Normal11"/>
              <w:spacing w:before="120" w:after="120"/>
              <w:rPr>
                <w:noProof/>
              </w:rPr>
            </w:pPr>
            <w:r>
              <w:rPr>
                <w:noProof/>
              </w:rPr>
              <w:t>Dežela Kampanija</w:t>
            </w:r>
          </w:p>
          <w:p w14:paraId="0FF87072" w14:textId="77777777" w:rsidR="00154E32" w:rsidRDefault="00A43E04">
            <w:pPr>
              <w:pStyle w:val="P68B1DB1-ListParagraph13"/>
              <w:numPr>
                <w:ilvl w:val="0"/>
                <w:numId w:val="48"/>
              </w:numPr>
              <w:ind w:left="535"/>
              <w:jc w:val="left"/>
              <w:rPr>
                <w:noProof/>
              </w:rPr>
            </w:pPr>
            <w:r>
              <w:rPr>
                <w:noProof/>
              </w:rPr>
              <w:t>Salerno Arechi – Aeroporto Pontecagnano</w:t>
            </w:r>
          </w:p>
          <w:p w14:paraId="48FE6ED9" w14:textId="77777777" w:rsidR="00154E32" w:rsidRDefault="00A43E04">
            <w:pPr>
              <w:pStyle w:val="P68B1DB1-Normal11"/>
              <w:rPr>
                <w:noProof/>
              </w:rPr>
            </w:pPr>
            <w:r>
              <w:rPr>
                <w:noProof/>
              </w:rPr>
              <w:t>Dežela Sicilija</w:t>
            </w:r>
          </w:p>
          <w:p w14:paraId="63EF65D4" w14:textId="77777777" w:rsidR="00154E32" w:rsidRDefault="00A43E04">
            <w:pPr>
              <w:pStyle w:val="P68B1DB1-ListParagraph13"/>
              <w:numPr>
                <w:ilvl w:val="0"/>
                <w:numId w:val="48"/>
              </w:numPr>
              <w:ind w:left="535"/>
              <w:jc w:val="left"/>
              <w:rPr>
                <w:noProof/>
              </w:rPr>
            </w:pPr>
            <w:r>
              <w:rPr>
                <w:noProof/>
              </w:rPr>
              <w:t>Agrigento – Porto Empedocle</w:t>
            </w:r>
          </w:p>
          <w:p w14:paraId="72225E8A" w14:textId="77777777" w:rsidR="00154E32" w:rsidRDefault="00A43E04">
            <w:pPr>
              <w:pStyle w:val="P68B1DB1-ListParagraph13"/>
              <w:numPr>
                <w:ilvl w:val="0"/>
                <w:numId w:val="48"/>
              </w:numPr>
              <w:ind w:left="535"/>
              <w:jc w:val="left"/>
              <w:rPr>
                <w:noProof/>
              </w:rPr>
            </w:pPr>
            <w:r>
              <w:rPr>
                <w:noProof/>
              </w:rPr>
              <w:t>Povezava do pristanišča Augusta</w:t>
            </w:r>
          </w:p>
          <w:p w14:paraId="2B91BCE2" w14:textId="77777777" w:rsidR="00154E32" w:rsidRDefault="00A43E04">
            <w:pPr>
              <w:pStyle w:val="P68B1DB1-ListParagraph13"/>
              <w:numPr>
                <w:ilvl w:val="0"/>
                <w:numId w:val="48"/>
              </w:numPr>
              <w:ind w:left="535"/>
              <w:jc w:val="left"/>
              <w:rPr>
                <w:noProof/>
              </w:rPr>
            </w:pPr>
            <w:r>
              <w:rPr>
                <w:noProof/>
              </w:rPr>
              <w:t>Povezava z letališčem Trapani Birgi</w:t>
            </w:r>
          </w:p>
          <w:p w14:paraId="1108018C" w14:textId="77777777" w:rsidR="00154E32" w:rsidRDefault="00A43E04">
            <w:pPr>
              <w:pStyle w:val="P68B1DB1-Normal11"/>
              <w:rPr>
                <w:noProof/>
              </w:rPr>
            </w:pPr>
            <w:r>
              <w:rPr>
                <w:noProof/>
              </w:rPr>
              <w:t>Dežela Sardinija</w:t>
            </w:r>
          </w:p>
          <w:p w14:paraId="7B300A5C" w14:textId="77777777" w:rsidR="00154E32" w:rsidRDefault="00A43E04">
            <w:pPr>
              <w:pStyle w:val="P68B1DB1-ListParagraph13"/>
              <w:numPr>
                <w:ilvl w:val="0"/>
                <w:numId w:val="48"/>
              </w:numPr>
              <w:ind w:left="677" w:hanging="458"/>
              <w:jc w:val="left"/>
              <w:rPr>
                <w:noProof/>
              </w:rPr>
            </w:pPr>
            <w:r>
              <w:rPr>
                <w:noProof/>
              </w:rPr>
              <w:t xml:space="preserve">Železniška povezava z letališčem Olbia </w:t>
            </w:r>
          </w:p>
          <w:p w14:paraId="7D0A5598" w14:textId="77777777" w:rsidR="00154E32" w:rsidRDefault="00A43E04">
            <w:pPr>
              <w:pStyle w:val="P68B1DB1-ListParagraph13"/>
              <w:numPr>
                <w:ilvl w:val="0"/>
                <w:numId w:val="48"/>
              </w:numPr>
              <w:ind w:left="677" w:hanging="458"/>
              <w:jc w:val="left"/>
              <w:rPr>
                <w:noProof/>
              </w:rPr>
            </w:pPr>
            <w:r>
              <w:rPr>
                <w:noProof/>
              </w:rPr>
              <w:t>Podvojitev proge Decimomannu-Villamassargia</w:t>
            </w:r>
          </w:p>
        </w:tc>
      </w:tr>
      <w:tr w:rsidR="00154E32" w14:paraId="2BD62269" w14:textId="77777777">
        <w:trPr>
          <w:trHeight w:val="309"/>
          <w:jc w:val="right"/>
        </w:trPr>
        <w:tc>
          <w:tcPr>
            <w:tcW w:w="369" w:type="pct"/>
            <w:shd w:val="clear" w:color="auto" w:fill="C6EFCE"/>
            <w:noWrap/>
            <w:vAlign w:val="center"/>
          </w:tcPr>
          <w:p w14:paraId="7BFD7196" w14:textId="77777777" w:rsidR="00154E32" w:rsidRDefault="00A43E04">
            <w:pPr>
              <w:pStyle w:val="P68B1DB1-Normal11"/>
              <w:jc w:val="center"/>
              <w:rPr>
                <w:noProof/>
              </w:rPr>
            </w:pPr>
            <w:r>
              <w:rPr>
                <w:noProof/>
              </w:rPr>
              <w:t>M3C1–18</w:t>
            </w:r>
          </w:p>
        </w:tc>
        <w:tc>
          <w:tcPr>
            <w:tcW w:w="511" w:type="pct"/>
            <w:shd w:val="clear" w:color="auto" w:fill="C6EFCE"/>
            <w:noWrap/>
            <w:vAlign w:val="center"/>
          </w:tcPr>
          <w:p w14:paraId="44FB83E0" w14:textId="77777777" w:rsidR="00154E32" w:rsidRDefault="00A43E04">
            <w:pPr>
              <w:pStyle w:val="P68B1DB1-Normal11"/>
              <w:jc w:val="center"/>
              <w:rPr>
                <w:noProof/>
              </w:rPr>
            </w:pPr>
            <w:r>
              <w:rPr>
                <w:noProof/>
              </w:rPr>
              <w:t>Naložba 1.6 – Krepitev regionalnih prog – nadgradnja regionalnih železnic (upravljanje RFI)</w:t>
            </w:r>
          </w:p>
        </w:tc>
        <w:tc>
          <w:tcPr>
            <w:tcW w:w="417" w:type="pct"/>
            <w:shd w:val="clear" w:color="auto" w:fill="C6EFCE"/>
            <w:noWrap/>
            <w:vAlign w:val="center"/>
          </w:tcPr>
          <w:p w14:paraId="7FFEEFEE" w14:textId="77777777" w:rsidR="00154E32" w:rsidRDefault="00A43E04">
            <w:pPr>
              <w:pStyle w:val="P68B1DB1-Normal11"/>
              <w:jc w:val="center"/>
              <w:rPr>
                <w:noProof/>
              </w:rPr>
            </w:pPr>
            <w:r>
              <w:rPr>
                <w:noProof/>
              </w:rPr>
              <w:t>Tarča</w:t>
            </w:r>
          </w:p>
        </w:tc>
        <w:tc>
          <w:tcPr>
            <w:tcW w:w="464" w:type="pct"/>
            <w:shd w:val="clear" w:color="auto" w:fill="C6EFCE"/>
            <w:noWrap/>
            <w:vAlign w:val="center"/>
          </w:tcPr>
          <w:p w14:paraId="72476935" w14:textId="77777777" w:rsidR="00154E32" w:rsidRDefault="00A43E04">
            <w:pPr>
              <w:pStyle w:val="P68B1DB1-Normal11"/>
              <w:jc w:val="center"/>
              <w:rPr>
                <w:noProof/>
              </w:rPr>
            </w:pPr>
            <w:r>
              <w:rPr>
                <w:noProof/>
              </w:rPr>
              <w:t>Nadgrajene regionalne proge, pripravljene za odobritev in operativne faze</w:t>
            </w:r>
          </w:p>
        </w:tc>
        <w:tc>
          <w:tcPr>
            <w:tcW w:w="509" w:type="pct"/>
            <w:shd w:val="clear" w:color="auto" w:fill="C6EFCE"/>
            <w:noWrap/>
            <w:vAlign w:val="center"/>
          </w:tcPr>
          <w:p w14:paraId="389BF7E3" w14:textId="77777777" w:rsidR="00154E32" w:rsidRDefault="00A43E04">
            <w:pPr>
              <w:pStyle w:val="P68B1DB1-Normal11"/>
              <w:jc w:val="center"/>
              <w:rPr>
                <w:noProof/>
              </w:rPr>
            </w:pPr>
            <w:r>
              <w:rPr>
                <w:noProof/>
              </w:rPr>
              <w:t>JIH NI</w:t>
            </w:r>
          </w:p>
        </w:tc>
        <w:tc>
          <w:tcPr>
            <w:tcW w:w="325" w:type="pct"/>
            <w:shd w:val="clear" w:color="auto" w:fill="C6EFCE"/>
            <w:noWrap/>
            <w:vAlign w:val="center"/>
          </w:tcPr>
          <w:p w14:paraId="52818D04" w14:textId="77777777" w:rsidR="00154E32" w:rsidRDefault="00A43E04">
            <w:pPr>
              <w:pStyle w:val="P68B1DB1-Normal11"/>
              <w:jc w:val="center"/>
              <w:rPr>
                <w:noProof/>
              </w:rPr>
            </w:pPr>
            <w:r>
              <w:rPr>
                <w:noProof/>
              </w:rPr>
              <w:t>Število</w:t>
            </w:r>
          </w:p>
        </w:tc>
        <w:tc>
          <w:tcPr>
            <w:tcW w:w="371" w:type="pct"/>
            <w:shd w:val="clear" w:color="auto" w:fill="C6EFCE"/>
            <w:noWrap/>
            <w:vAlign w:val="center"/>
          </w:tcPr>
          <w:p w14:paraId="4F0BAC37" w14:textId="77777777" w:rsidR="00154E32" w:rsidRDefault="00A43E04">
            <w:pPr>
              <w:pStyle w:val="P68B1DB1-Normal11"/>
              <w:jc w:val="center"/>
              <w:rPr>
                <w:noProof/>
              </w:rPr>
            </w:pPr>
            <w:r>
              <w:rPr>
                <w:noProof/>
              </w:rPr>
              <w:t>0</w:t>
            </w:r>
          </w:p>
        </w:tc>
        <w:tc>
          <w:tcPr>
            <w:tcW w:w="279" w:type="pct"/>
            <w:shd w:val="clear" w:color="auto" w:fill="C6EFCE"/>
            <w:noWrap/>
            <w:vAlign w:val="center"/>
          </w:tcPr>
          <w:p w14:paraId="0DDAAB0D" w14:textId="77777777" w:rsidR="00154E32" w:rsidRDefault="00A43E04">
            <w:pPr>
              <w:pStyle w:val="P68B1DB1-Normal11"/>
              <w:jc w:val="center"/>
              <w:rPr>
                <w:noProof/>
              </w:rPr>
            </w:pPr>
            <w:r>
              <w:rPr>
                <w:noProof/>
              </w:rPr>
              <w:t>646</w:t>
            </w:r>
          </w:p>
        </w:tc>
        <w:tc>
          <w:tcPr>
            <w:tcW w:w="278" w:type="pct"/>
            <w:shd w:val="clear" w:color="auto" w:fill="C6EFCE"/>
            <w:noWrap/>
            <w:vAlign w:val="center"/>
          </w:tcPr>
          <w:p w14:paraId="18E0C8DF" w14:textId="77777777" w:rsidR="00154E32" w:rsidRDefault="00A43E04">
            <w:pPr>
              <w:pStyle w:val="P68B1DB1-Normal11"/>
              <w:jc w:val="center"/>
              <w:rPr>
                <w:noProof/>
              </w:rPr>
            </w:pPr>
            <w:r>
              <w:rPr>
                <w:noProof/>
              </w:rPr>
              <w:t>Q2</w:t>
            </w:r>
          </w:p>
        </w:tc>
        <w:tc>
          <w:tcPr>
            <w:tcW w:w="278" w:type="pct"/>
            <w:shd w:val="clear" w:color="auto" w:fill="C6EFCE"/>
            <w:noWrap/>
            <w:vAlign w:val="center"/>
          </w:tcPr>
          <w:p w14:paraId="0286E0DE" w14:textId="77777777" w:rsidR="00154E32" w:rsidRDefault="00A43E04">
            <w:pPr>
              <w:pStyle w:val="P68B1DB1-Normal11"/>
              <w:jc w:val="center"/>
              <w:rPr>
                <w:noProof/>
              </w:rPr>
            </w:pPr>
            <w:r>
              <w:rPr>
                <w:noProof/>
              </w:rPr>
              <w:t>2026</w:t>
            </w:r>
          </w:p>
        </w:tc>
        <w:tc>
          <w:tcPr>
            <w:tcW w:w="1198" w:type="pct"/>
            <w:shd w:val="clear" w:color="auto" w:fill="C6EFCE"/>
            <w:noWrap/>
            <w:vAlign w:val="center"/>
          </w:tcPr>
          <w:p w14:paraId="7B454788" w14:textId="7AE31069" w:rsidR="00154E32" w:rsidRDefault="00A43E04">
            <w:pPr>
              <w:pStyle w:val="P68B1DB1-Normal11"/>
              <w:rPr>
                <w:noProof/>
              </w:rPr>
            </w:pPr>
            <w:r>
              <w:rPr>
                <w:noProof/>
              </w:rPr>
              <w:t>646 km nadgrajenih regionalnih prog, pripravljenih za odobritev in obratovanje.</w:t>
            </w:r>
          </w:p>
        </w:tc>
      </w:tr>
      <w:tr w:rsidR="00154E32" w14:paraId="56F129E5" w14:textId="77777777">
        <w:trPr>
          <w:trHeight w:val="309"/>
          <w:jc w:val="right"/>
        </w:trPr>
        <w:tc>
          <w:tcPr>
            <w:tcW w:w="369" w:type="pct"/>
            <w:shd w:val="clear" w:color="auto" w:fill="C6EFCE"/>
            <w:noWrap/>
            <w:vAlign w:val="center"/>
          </w:tcPr>
          <w:p w14:paraId="50F2E3FF" w14:textId="77777777" w:rsidR="00154E32" w:rsidRDefault="00A43E04">
            <w:pPr>
              <w:pStyle w:val="P68B1DB1-Normal11"/>
              <w:jc w:val="center"/>
              <w:rPr>
                <w:noProof/>
              </w:rPr>
            </w:pPr>
            <w:r>
              <w:rPr>
                <w:noProof/>
              </w:rPr>
              <w:t>M3C1–19</w:t>
            </w:r>
          </w:p>
        </w:tc>
        <w:tc>
          <w:tcPr>
            <w:tcW w:w="511" w:type="pct"/>
            <w:shd w:val="clear" w:color="auto" w:fill="C6EFCE"/>
            <w:noWrap/>
            <w:vAlign w:val="center"/>
          </w:tcPr>
          <w:p w14:paraId="11217CEA" w14:textId="77777777" w:rsidR="00154E32" w:rsidRDefault="00A43E04">
            <w:pPr>
              <w:pStyle w:val="P68B1DB1-Normal11"/>
              <w:jc w:val="center"/>
              <w:rPr>
                <w:noProof/>
              </w:rPr>
            </w:pPr>
            <w:r>
              <w:rPr>
                <w:noProof/>
              </w:rPr>
              <w:t>Naložba 1.8 – Posodobitev železniških postaj (upravljanje RFI; na jugu)</w:t>
            </w:r>
          </w:p>
        </w:tc>
        <w:tc>
          <w:tcPr>
            <w:tcW w:w="417" w:type="pct"/>
            <w:shd w:val="clear" w:color="auto" w:fill="C6EFCE"/>
            <w:noWrap/>
            <w:vAlign w:val="center"/>
          </w:tcPr>
          <w:p w14:paraId="4CC1D73A" w14:textId="77777777" w:rsidR="00154E32" w:rsidRDefault="00A43E04">
            <w:pPr>
              <w:pStyle w:val="P68B1DB1-Normal11"/>
              <w:jc w:val="center"/>
              <w:rPr>
                <w:noProof/>
              </w:rPr>
            </w:pPr>
            <w:r>
              <w:rPr>
                <w:noProof/>
              </w:rPr>
              <w:t>Tarča</w:t>
            </w:r>
          </w:p>
        </w:tc>
        <w:tc>
          <w:tcPr>
            <w:tcW w:w="464" w:type="pct"/>
            <w:shd w:val="clear" w:color="auto" w:fill="C6EFCE"/>
            <w:noWrap/>
            <w:vAlign w:val="center"/>
          </w:tcPr>
          <w:p w14:paraId="436AAB14" w14:textId="77777777" w:rsidR="00154E32" w:rsidRDefault="00A43E04">
            <w:pPr>
              <w:pStyle w:val="P68B1DB1-Normal11"/>
              <w:jc w:val="center"/>
              <w:rPr>
                <w:noProof/>
              </w:rPr>
            </w:pPr>
            <w:r>
              <w:rPr>
                <w:noProof/>
              </w:rPr>
              <w:t>Nadgrajene in dostopne železniške postaje</w:t>
            </w:r>
          </w:p>
        </w:tc>
        <w:tc>
          <w:tcPr>
            <w:tcW w:w="509" w:type="pct"/>
            <w:shd w:val="clear" w:color="auto" w:fill="C6EFCE"/>
            <w:noWrap/>
            <w:vAlign w:val="center"/>
          </w:tcPr>
          <w:p w14:paraId="6E320464" w14:textId="77777777" w:rsidR="00154E32" w:rsidRDefault="00A43E04">
            <w:pPr>
              <w:pStyle w:val="P68B1DB1-Normal11"/>
              <w:jc w:val="center"/>
              <w:rPr>
                <w:noProof/>
              </w:rPr>
            </w:pPr>
            <w:r>
              <w:rPr>
                <w:noProof/>
              </w:rPr>
              <w:t>JIH NI</w:t>
            </w:r>
          </w:p>
        </w:tc>
        <w:tc>
          <w:tcPr>
            <w:tcW w:w="325" w:type="pct"/>
            <w:shd w:val="clear" w:color="auto" w:fill="C6EFCE"/>
            <w:noWrap/>
            <w:vAlign w:val="center"/>
          </w:tcPr>
          <w:p w14:paraId="0FDF6046" w14:textId="77777777" w:rsidR="00154E32" w:rsidRDefault="00A43E04">
            <w:pPr>
              <w:pStyle w:val="P68B1DB1-Normal11"/>
              <w:jc w:val="center"/>
              <w:rPr>
                <w:noProof/>
              </w:rPr>
            </w:pPr>
            <w:r>
              <w:rPr>
                <w:noProof/>
              </w:rPr>
              <w:t>Število</w:t>
            </w:r>
          </w:p>
        </w:tc>
        <w:tc>
          <w:tcPr>
            <w:tcW w:w="371" w:type="pct"/>
            <w:shd w:val="clear" w:color="auto" w:fill="C6EFCE"/>
            <w:noWrap/>
            <w:vAlign w:val="center"/>
          </w:tcPr>
          <w:p w14:paraId="077D1F4C" w14:textId="77777777" w:rsidR="00154E32" w:rsidRDefault="00A43E04">
            <w:pPr>
              <w:pStyle w:val="P68B1DB1-Normal11"/>
              <w:jc w:val="center"/>
              <w:rPr>
                <w:noProof/>
              </w:rPr>
            </w:pPr>
            <w:r>
              <w:rPr>
                <w:noProof/>
              </w:rPr>
              <w:t>0</w:t>
            </w:r>
          </w:p>
        </w:tc>
        <w:tc>
          <w:tcPr>
            <w:tcW w:w="279" w:type="pct"/>
            <w:shd w:val="clear" w:color="auto" w:fill="C6EFCE"/>
            <w:noWrap/>
            <w:vAlign w:val="center"/>
          </w:tcPr>
          <w:p w14:paraId="66264D1F" w14:textId="77777777" w:rsidR="00154E32" w:rsidRDefault="00A43E04">
            <w:pPr>
              <w:pStyle w:val="P68B1DB1-Normal11"/>
              <w:jc w:val="center"/>
              <w:rPr>
                <w:noProof/>
              </w:rPr>
            </w:pPr>
            <w:r>
              <w:rPr>
                <w:noProof/>
              </w:rPr>
              <w:t>10</w:t>
            </w:r>
          </w:p>
        </w:tc>
        <w:tc>
          <w:tcPr>
            <w:tcW w:w="278" w:type="pct"/>
            <w:shd w:val="clear" w:color="auto" w:fill="C6EFCE"/>
            <w:noWrap/>
            <w:vAlign w:val="center"/>
          </w:tcPr>
          <w:p w14:paraId="66698609" w14:textId="77777777" w:rsidR="00154E32" w:rsidRDefault="00A43E04">
            <w:pPr>
              <w:pStyle w:val="P68B1DB1-Normal11"/>
              <w:jc w:val="center"/>
              <w:rPr>
                <w:noProof/>
              </w:rPr>
            </w:pPr>
            <w:r>
              <w:rPr>
                <w:noProof/>
              </w:rPr>
              <w:t>Q4</w:t>
            </w:r>
          </w:p>
        </w:tc>
        <w:tc>
          <w:tcPr>
            <w:tcW w:w="278" w:type="pct"/>
            <w:shd w:val="clear" w:color="auto" w:fill="C6EFCE"/>
            <w:noWrap/>
            <w:vAlign w:val="center"/>
          </w:tcPr>
          <w:p w14:paraId="7947F70F" w14:textId="77777777" w:rsidR="00154E32" w:rsidRDefault="00A43E04">
            <w:pPr>
              <w:pStyle w:val="P68B1DB1-Normal11"/>
              <w:jc w:val="center"/>
              <w:rPr>
                <w:noProof/>
              </w:rPr>
            </w:pPr>
            <w:r>
              <w:rPr>
                <w:noProof/>
              </w:rPr>
              <w:t>2024</w:t>
            </w:r>
          </w:p>
        </w:tc>
        <w:tc>
          <w:tcPr>
            <w:tcW w:w="1198" w:type="pct"/>
            <w:shd w:val="clear" w:color="auto" w:fill="C6EFCE"/>
            <w:noWrap/>
            <w:vAlign w:val="center"/>
          </w:tcPr>
          <w:p w14:paraId="58DDFAF3" w14:textId="77777777" w:rsidR="00154E32" w:rsidRDefault="00A43E04">
            <w:pPr>
              <w:pStyle w:val="P68B1DB1-Normal11"/>
              <w:rPr>
                <w:noProof/>
              </w:rPr>
            </w:pPr>
            <w:r>
              <w:rPr>
                <w:noProof/>
              </w:rPr>
              <w:t>Deset železniških postaj je nadgrajenih in dostopnih v skladu z Uredbo Komisije št. 1300/2014 in predpisi EU o varnosti na železnici</w:t>
            </w:r>
          </w:p>
        </w:tc>
      </w:tr>
      <w:tr w:rsidR="00154E32" w14:paraId="24A9EBF8" w14:textId="77777777">
        <w:trPr>
          <w:trHeight w:val="309"/>
          <w:jc w:val="right"/>
        </w:trPr>
        <w:tc>
          <w:tcPr>
            <w:tcW w:w="369" w:type="pct"/>
            <w:shd w:val="clear" w:color="auto" w:fill="C6EFCE"/>
            <w:noWrap/>
            <w:vAlign w:val="center"/>
          </w:tcPr>
          <w:p w14:paraId="7CE12C6D" w14:textId="77777777" w:rsidR="00154E32" w:rsidRDefault="00A43E04">
            <w:pPr>
              <w:pStyle w:val="P68B1DB1-Normal11"/>
              <w:jc w:val="center"/>
              <w:rPr>
                <w:noProof/>
              </w:rPr>
            </w:pPr>
            <w:r>
              <w:rPr>
                <w:noProof/>
              </w:rPr>
              <w:t>M3C1–20</w:t>
            </w:r>
          </w:p>
        </w:tc>
        <w:tc>
          <w:tcPr>
            <w:tcW w:w="511" w:type="pct"/>
            <w:shd w:val="clear" w:color="auto" w:fill="C6EFCE"/>
            <w:noWrap/>
            <w:vAlign w:val="center"/>
          </w:tcPr>
          <w:p w14:paraId="65724390" w14:textId="77777777" w:rsidR="00154E32" w:rsidRDefault="00A43E04">
            <w:pPr>
              <w:pStyle w:val="P68B1DB1-Normal11"/>
              <w:jc w:val="center"/>
              <w:rPr>
                <w:noProof/>
              </w:rPr>
            </w:pPr>
            <w:r>
              <w:rPr>
                <w:noProof/>
              </w:rPr>
              <w:t>Naložba 1.8 – Posodobitev železniških postaj (upravljanje RFI; na jugu)</w:t>
            </w:r>
          </w:p>
        </w:tc>
        <w:tc>
          <w:tcPr>
            <w:tcW w:w="417" w:type="pct"/>
            <w:shd w:val="clear" w:color="auto" w:fill="C6EFCE"/>
            <w:noWrap/>
            <w:vAlign w:val="center"/>
          </w:tcPr>
          <w:p w14:paraId="6B96CFCA" w14:textId="77777777" w:rsidR="00154E32" w:rsidRDefault="00A43E04">
            <w:pPr>
              <w:pStyle w:val="P68B1DB1-Normal11"/>
              <w:jc w:val="center"/>
              <w:rPr>
                <w:noProof/>
              </w:rPr>
            </w:pPr>
            <w:r>
              <w:rPr>
                <w:noProof/>
              </w:rPr>
              <w:t>Tarča</w:t>
            </w:r>
          </w:p>
        </w:tc>
        <w:tc>
          <w:tcPr>
            <w:tcW w:w="464" w:type="pct"/>
            <w:shd w:val="clear" w:color="auto" w:fill="C6EFCE"/>
            <w:noWrap/>
            <w:vAlign w:val="center"/>
          </w:tcPr>
          <w:p w14:paraId="13AE687B" w14:textId="77777777" w:rsidR="00154E32" w:rsidRDefault="00A43E04">
            <w:pPr>
              <w:pStyle w:val="P68B1DB1-Normal11"/>
              <w:jc w:val="center"/>
              <w:rPr>
                <w:noProof/>
              </w:rPr>
            </w:pPr>
            <w:r>
              <w:rPr>
                <w:noProof/>
              </w:rPr>
              <w:t>Nadgrajene in dostopne železniške postaje</w:t>
            </w:r>
          </w:p>
        </w:tc>
        <w:tc>
          <w:tcPr>
            <w:tcW w:w="509" w:type="pct"/>
            <w:shd w:val="clear" w:color="auto" w:fill="C6EFCE"/>
            <w:noWrap/>
            <w:vAlign w:val="center"/>
          </w:tcPr>
          <w:p w14:paraId="24EADFF9" w14:textId="77777777" w:rsidR="00154E32" w:rsidRDefault="00A43E04">
            <w:pPr>
              <w:pStyle w:val="P68B1DB1-Normal11"/>
              <w:jc w:val="center"/>
              <w:rPr>
                <w:noProof/>
              </w:rPr>
            </w:pPr>
            <w:r>
              <w:rPr>
                <w:noProof/>
              </w:rPr>
              <w:t>JIH NI</w:t>
            </w:r>
          </w:p>
        </w:tc>
        <w:tc>
          <w:tcPr>
            <w:tcW w:w="325" w:type="pct"/>
            <w:shd w:val="clear" w:color="auto" w:fill="C6EFCE"/>
            <w:noWrap/>
            <w:vAlign w:val="center"/>
          </w:tcPr>
          <w:p w14:paraId="619F0A27" w14:textId="77777777" w:rsidR="00154E32" w:rsidRDefault="00A43E04">
            <w:pPr>
              <w:pStyle w:val="P68B1DB1-Normal11"/>
              <w:jc w:val="center"/>
              <w:rPr>
                <w:noProof/>
              </w:rPr>
            </w:pPr>
            <w:r>
              <w:rPr>
                <w:noProof/>
              </w:rPr>
              <w:t>Število</w:t>
            </w:r>
          </w:p>
        </w:tc>
        <w:tc>
          <w:tcPr>
            <w:tcW w:w="371" w:type="pct"/>
            <w:shd w:val="clear" w:color="auto" w:fill="C6EFCE"/>
            <w:noWrap/>
            <w:vAlign w:val="center"/>
          </w:tcPr>
          <w:p w14:paraId="2D556AF0" w14:textId="77777777" w:rsidR="00154E32" w:rsidRDefault="00A43E04">
            <w:pPr>
              <w:pStyle w:val="P68B1DB1-Normal11"/>
              <w:jc w:val="center"/>
              <w:rPr>
                <w:noProof/>
              </w:rPr>
            </w:pPr>
            <w:r>
              <w:rPr>
                <w:noProof/>
              </w:rPr>
              <w:t>10</w:t>
            </w:r>
          </w:p>
        </w:tc>
        <w:tc>
          <w:tcPr>
            <w:tcW w:w="279" w:type="pct"/>
            <w:shd w:val="clear" w:color="auto" w:fill="C6EFCE"/>
            <w:noWrap/>
            <w:vAlign w:val="center"/>
          </w:tcPr>
          <w:p w14:paraId="40F43AD3" w14:textId="77777777" w:rsidR="00154E32" w:rsidRDefault="00A43E04">
            <w:pPr>
              <w:pStyle w:val="P68B1DB1-Normal11"/>
              <w:jc w:val="center"/>
              <w:rPr>
                <w:noProof/>
              </w:rPr>
            </w:pPr>
            <w:r>
              <w:rPr>
                <w:noProof/>
              </w:rPr>
              <w:t>38</w:t>
            </w:r>
          </w:p>
        </w:tc>
        <w:tc>
          <w:tcPr>
            <w:tcW w:w="278" w:type="pct"/>
            <w:shd w:val="clear" w:color="auto" w:fill="C6EFCE"/>
            <w:noWrap/>
            <w:vAlign w:val="center"/>
          </w:tcPr>
          <w:p w14:paraId="74818EFC" w14:textId="77777777" w:rsidR="00154E32" w:rsidRDefault="00A43E04">
            <w:pPr>
              <w:pStyle w:val="P68B1DB1-Normal11"/>
              <w:jc w:val="center"/>
              <w:rPr>
                <w:noProof/>
              </w:rPr>
            </w:pPr>
            <w:r>
              <w:rPr>
                <w:noProof/>
              </w:rPr>
              <w:t>Q2</w:t>
            </w:r>
          </w:p>
        </w:tc>
        <w:tc>
          <w:tcPr>
            <w:tcW w:w="278" w:type="pct"/>
            <w:shd w:val="clear" w:color="auto" w:fill="C6EFCE"/>
            <w:noWrap/>
            <w:vAlign w:val="center"/>
          </w:tcPr>
          <w:p w14:paraId="29574DB0" w14:textId="77777777" w:rsidR="00154E32" w:rsidRDefault="00A43E04">
            <w:pPr>
              <w:pStyle w:val="P68B1DB1-Normal11"/>
              <w:jc w:val="center"/>
              <w:rPr>
                <w:noProof/>
              </w:rPr>
            </w:pPr>
            <w:r>
              <w:rPr>
                <w:noProof/>
              </w:rPr>
              <w:t>2026</w:t>
            </w:r>
          </w:p>
        </w:tc>
        <w:tc>
          <w:tcPr>
            <w:tcW w:w="1198" w:type="pct"/>
            <w:shd w:val="clear" w:color="auto" w:fill="C6EFCE"/>
            <w:noWrap/>
            <w:vAlign w:val="center"/>
          </w:tcPr>
          <w:p w14:paraId="154C2165" w14:textId="77777777" w:rsidR="00154E32" w:rsidRDefault="00A43E04">
            <w:pPr>
              <w:pStyle w:val="P68B1DB1-Normal11"/>
              <w:spacing w:before="120"/>
              <w:rPr>
                <w:noProof/>
              </w:rPr>
            </w:pPr>
            <w:r>
              <w:rPr>
                <w:noProof/>
              </w:rPr>
              <w:t>38 železniških postaj je nadgrajenih in dostopnih v skladu z Uredbo Komisije št. 1300/2014 in predpisi EU o varnosti na železnici.</w:t>
            </w:r>
          </w:p>
        </w:tc>
      </w:tr>
      <w:tr w:rsidR="00154E32" w14:paraId="445C368E" w14:textId="77777777">
        <w:trPr>
          <w:trHeight w:val="309"/>
          <w:jc w:val="right"/>
        </w:trPr>
        <w:tc>
          <w:tcPr>
            <w:tcW w:w="369" w:type="pct"/>
            <w:shd w:val="clear" w:color="auto" w:fill="C6EFCE"/>
            <w:noWrap/>
            <w:vAlign w:val="center"/>
          </w:tcPr>
          <w:p w14:paraId="25CE5F7D" w14:textId="77777777" w:rsidR="00154E32" w:rsidRDefault="00A43E04">
            <w:pPr>
              <w:pStyle w:val="P68B1DB1-Normal11"/>
              <w:jc w:val="center"/>
              <w:rPr>
                <w:noProof/>
              </w:rPr>
            </w:pPr>
            <w:r>
              <w:rPr>
                <w:noProof/>
              </w:rPr>
              <w:t>M3C1–21</w:t>
            </w:r>
          </w:p>
        </w:tc>
        <w:tc>
          <w:tcPr>
            <w:tcW w:w="511" w:type="pct"/>
            <w:shd w:val="clear" w:color="auto" w:fill="C6EFCE"/>
            <w:noWrap/>
            <w:vAlign w:val="center"/>
          </w:tcPr>
          <w:p w14:paraId="79320271" w14:textId="77777777" w:rsidR="00154E32" w:rsidRDefault="00A43E04">
            <w:pPr>
              <w:pStyle w:val="P68B1DB1-Normal11"/>
              <w:jc w:val="center"/>
              <w:rPr>
                <w:noProof/>
              </w:rPr>
            </w:pPr>
            <w:r>
              <w:rPr>
                <w:noProof/>
              </w:rPr>
              <w:t>Reforma 2.1 – Izvajanje nedavne uredbe o poenostavitvi (preoblikovane v zakon št. 120 z dne 11. septembra 2020) z izdajo odloka o sprejetju „Smernic za razvrščanje in obvladovanje tveganj, oceni varnosti in spremljanju obstoječih mostov“</w:t>
            </w:r>
          </w:p>
        </w:tc>
        <w:tc>
          <w:tcPr>
            <w:tcW w:w="417" w:type="pct"/>
            <w:shd w:val="clear" w:color="auto" w:fill="C6EFCE"/>
            <w:noWrap/>
            <w:vAlign w:val="center"/>
          </w:tcPr>
          <w:p w14:paraId="0E94A68F" w14:textId="77777777" w:rsidR="00154E32" w:rsidRDefault="00A43E04">
            <w:pPr>
              <w:pStyle w:val="P68B1DB1-Normal11"/>
              <w:jc w:val="center"/>
              <w:rPr>
                <w:noProof/>
              </w:rPr>
            </w:pPr>
            <w:r>
              <w:rPr>
                <w:noProof/>
              </w:rPr>
              <w:t>Mejnik</w:t>
            </w:r>
          </w:p>
        </w:tc>
        <w:tc>
          <w:tcPr>
            <w:tcW w:w="464" w:type="pct"/>
            <w:shd w:val="clear" w:color="auto" w:fill="C6EFCE"/>
            <w:noWrap/>
            <w:vAlign w:val="center"/>
          </w:tcPr>
          <w:p w14:paraId="77C67903" w14:textId="77777777" w:rsidR="00154E32" w:rsidRDefault="00A43E04">
            <w:pPr>
              <w:pStyle w:val="P68B1DB1-Normal11"/>
              <w:jc w:val="center"/>
              <w:rPr>
                <w:noProof/>
              </w:rPr>
            </w:pPr>
            <w:r>
              <w:rPr>
                <w:noProof/>
              </w:rPr>
              <w:t>Začetek veljavnosti „Smernic za razvrščanje in obvladovanje tveganj, ocenjevanje varnosti in spremljanje obstoječih mostov“</w:t>
            </w:r>
          </w:p>
        </w:tc>
        <w:tc>
          <w:tcPr>
            <w:tcW w:w="509" w:type="pct"/>
            <w:shd w:val="clear" w:color="auto" w:fill="C6EFCE"/>
            <w:noWrap/>
            <w:vAlign w:val="center"/>
          </w:tcPr>
          <w:p w14:paraId="141D69B8" w14:textId="77777777" w:rsidR="00154E32" w:rsidRDefault="00A43E04">
            <w:pPr>
              <w:pStyle w:val="P68B1DB1-Normal11"/>
              <w:jc w:val="center"/>
              <w:rPr>
                <w:noProof/>
              </w:rPr>
            </w:pPr>
            <w:r>
              <w:rPr>
                <w:noProof/>
              </w:rPr>
              <w:t>Določba odloka o začetku veljavnosti odloka o sprejetju „Smernic za razvrščanje in obvladovanje tveganj, oceno varnosti in spremljanje obstoječih mostov“</w:t>
            </w:r>
          </w:p>
        </w:tc>
        <w:tc>
          <w:tcPr>
            <w:tcW w:w="325" w:type="pct"/>
            <w:shd w:val="clear" w:color="auto" w:fill="C6EFCE"/>
            <w:noWrap/>
            <w:vAlign w:val="center"/>
          </w:tcPr>
          <w:p w14:paraId="476D749C" w14:textId="77777777" w:rsidR="00154E32" w:rsidRDefault="00A43E04">
            <w:pPr>
              <w:pStyle w:val="P68B1DB1-Normal11"/>
              <w:jc w:val="center"/>
              <w:rPr>
                <w:noProof/>
              </w:rPr>
            </w:pPr>
            <w:r>
              <w:rPr>
                <w:noProof/>
              </w:rPr>
              <w:t>JIH NI</w:t>
            </w:r>
          </w:p>
        </w:tc>
        <w:tc>
          <w:tcPr>
            <w:tcW w:w="371" w:type="pct"/>
            <w:shd w:val="clear" w:color="auto" w:fill="C6EFCE"/>
            <w:noWrap/>
            <w:vAlign w:val="center"/>
          </w:tcPr>
          <w:p w14:paraId="4D1F6A6D" w14:textId="77777777" w:rsidR="00154E32" w:rsidRDefault="00A43E04">
            <w:pPr>
              <w:pStyle w:val="P68B1DB1-Normal11"/>
              <w:jc w:val="center"/>
              <w:rPr>
                <w:noProof/>
              </w:rPr>
            </w:pPr>
            <w:r>
              <w:rPr>
                <w:noProof/>
              </w:rPr>
              <w:t>JIH NI</w:t>
            </w:r>
          </w:p>
        </w:tc>
        <w:tc>
          <w:tcPr>
            <w:tcW w:w="279" w:type="pct"/>
            <w:shd w:val="clear" w:color="auto" w:fill="C6EFCE"/>
            <w:noWrap/>
            <w:vAlign w:val="center"/>
          </w:tcPr>
          <w:p w14:paraId="4942A4B3" w14:textId="77777777" w:rsidR="00154E32" w:rsidRDefault="00A43E04">
            <w:pPr>
              <w:pStyle w:val="P68B1DB1-Normal11"/>
              <w:jc w:val="center"/>
              <w:rPr>
                <w:noProof/>
              </w:rPr>
            </w:pPr>
            <w:r>
              <w:rPr>
                <w:noProof/>
              </w:rPr>
              <w:t>JIH NI</w:t>
            </w:r>
          </w:p>
        </w:tc>
        <w:tc>
          <w:tcPr>
            <w:tcW w:w="278" w:type="pct"/>
            <w:shd w:val="clear" w:color="auto" w:fill="C6EFCE"/>
            <w:noWrap/>
            <w:vAlign w:val="center"/>
          </w:tcPr>
          <w:p w14:paraId="1CB53D59" w14:textId="77777777" w:rsidR="00154E32" w:rsidRDefault="00A43E04">
            <w:pPr>
              <w:pStyle w:val="P68B1DB1-Normal11"/>
              <w:jc w:val="center"/>
              <w:rPr>
                <w:noProof/>
              </w:rPr>
            </w:pPr>
            <w:r>
              <w:rPr>
                <w:noProof/>
              </w:rPr>
              <w:t>Q4</w:t>
            </w:r>
          </w:p>
        </w:tc>
        <w:tc>
          <w:tcPr>
            <w:tcW w:w="278" w:type="pct"/>
            <w:shd w:val="clear" w:color="auto" w:fill="C6EFCE"/>
            <w:noWrap/>
            <w:vAlign w:val="center"/>
          </w:tcPr>
          <w:p w14:paraId="6FFF3C65" w14:textId="77777777" w:rsidR="00154E32" w:rsidRDefault="00A43E04">
            <w:pPr>
              <w:pStyle w:val="P68B1DB1-Normal11"/>
              <w:jc w:val="center"/>
              <w:rPr>
                <w:noProof/>
              </w:rPr>
            </w:pPr>
            <w:r>
              <w:rPr>
                <w:noProof/>
              </w:rPr>
              <w:t>2021</w:t>
            </w:r>
          </w:p>
        </w:tc>
        <w:tc>
          <w:tcPr>
            <w:tcW w:w="1198" w:type="pct"/>
            <w:shd w:val="clear" w:color="auto" w:fill="C6EFCE"/>
            <w:noWrap/>
            <w:vAlign w:val="center"/>
          </w:tcPr>
          <w:p w14:paraId="2DBCF052" w14:textId="77777777" w:rsidR="00154E32" w:rsidRDefault="00A43E04">
            <w:pPr>
              <w:pStyle w:val="P68B1DB1-Normal19"/>
              <w:spacing w:before="120" w:after="120"/>
              <w:rPr>
                <w:noProof/>
                <w:color w:val="006100"/>
              </w:rPr>
            </w:pPr>
            <w:r>
              <w:rPr>
                <w:noProof/>
                <w:color w:val="006100"/>
              </w:rPr>
              <w:t>„Smernice“ določajo skupne standarde in metodologije na celotnem nacionalnem cestnem omrežju</w:t>
            </w:r>
            <w:r>
              <w:rPr>
                <w:noProof/>
              </w:rPr>
              <w:t xml:space="preserve"> </w:t>
            </w:r>
            <w:r>
              <w:rPr>
                <w:noProof/>
                <w:color w:val="006100"/>
              </w:rPr>
              <w:t>za klasifikacijo in obvladovanje tveganj, oceno varnosti in spremljanje obstoječih mostov.</w:t>
            </w:r>
          </w:p>
        </w:tc>
      </w:tr>
      <w:tr w:rsidR="00154E32" w14:paraId="14C1B35A" w14:textId="77777777">
        <w:trPr>
          <w:trHeight w:val="309"/>
          <w:jc w:val="right"/>
        </w:trPr>
        <w:tc>
          <w:tcPr>
            <w:tcW w:w="369" w:type="pct"/>
            <w:shd w:val="clear" w:color="auto" w:fill="C6EFCE"/>
            <w:noWrap/>
            <w:vAlign w:val="center"/>
          </w:tcPr>
          <w:p w14:paraId="20A5CB57" w14:textId="77777777" w:rsidR="00154E32" w:rsidRDefault="00A43E04">
            <w:pPr>
              <w:pStyle w:val="P68B1DB1-Normal11"/>
              <w:jc w:val="center"/>
              <w:rPr>
                <w:noProof/>
              </w:rPr>
            </w:pPr>
            <w:r>
              <w:rPr>
                <w:noProof/>
              </w:rPr>
              <w:t>M3C1–22</w:t>
            </w:r>
          </w:p>
        </w:tc>
        <w:tc>
          <w:tcPr>
            <w:tcW w:w="511" w:type="pct"/>
            <w:shd w:val="clear" w:color="auto" w:fill="C6EFCE"/>
            <w:noWrap/>
            <w:vAlign w:val="center"/>
          </w:tcPr>
          <w:p w14:paraId="137695B6" w14:textId="77777777" w:rsidR="00154E32" w:rsidRDefault="00A43E04">
            <w:pPr>
              <w:pStyle w:val="P68B1DB1-Normal11"/>
              <w:jc w:val="center"/>
              <w:rPr>
                <w:noProof/>
              </w:rPr>
            </w:pPr>
            <w:r>
              <w:rPr>
                <w:noProof/>
              </w:rPr>
              <w:t>Reforma 2.2 – Prenos lastništva mostov in viaduktov s cest nižje stopnje na ceste višje stopnje</w:t>
            </w:r>
          </w:p>
        </w:tc>
        <w:tc>
          <w:tcPr>
            <w:tcW w:w="417" w:type="pct"/>
            <w:shd w:val="clear" w:color="auto" w:fill="C6EFCE"/>
            <w:noWrap/>
            <w:vAlign w:val="center"/>
          </w:tcPr>
          <w:p w14:paraId="475A1712" w14:textId="77777777" w:rsidR="00154E32" w:rsidRDefault="00A43E04">
            <w:pPr>
              <w:pStyle w:val="P68B1DB1-Normal11"/>
              <w:jc w:val="center"/>
              <w:rPr>
                <w:noProof/>
              </w:rPr>
            </w:pPr>
            <w:r>
              <w:rPr>
                <w:noProof/>
              </w:rPr>
              <w:t>Mejnik</w:t>
            </w:r>
          </w:p>
        </w:tc>
        <w:tc>
          <w:tcPr>
            <w:tcW w:w="464" w:type="pct"/>
            <w:shd w:val="clear" w:color="auto" w:fill="C6EFCE"/>
            <w:noWrap/>
            <w:vAlign w:val="center"/>
          </w:tcPr>
          <w:p w14:paraId="6633F0F8" w14:textId="77777777" w:rsidR="00154E32" w:rsidRDefault="00A43E04">
            <w:pPr>
              <w:pStyle w:val="P68B1DB1-Normal11"/>
              <w:jc w:val="center"/>
              <w:rPr>
                <w:noProof/>
              </w:rPr>
            </w:pPr>
            <w:r>
              <w:rPr>
                <w:noProof/>
              </w:rPr>
              <w:t>Prenos lastništva nad mostovi, viadukti in nadvozi s cest nižje stopnje na ceste višjega razreda (avtoceste in glavne državne ceste)</w:t>
            </w:r>
          </w:p>
        </w:tc>
        <w:tc>
          <w:tcPr>
            <w:tcW w:w="509" w:type="pct"/>
            <w:shd w:val="clear" w:color="auto" w:fill="C6EFCE"/>
            <w:noWrap/>
            <w:vAlign w:val="center"/>
          </w:tcPr>
          <w:p w14:paraId="71B0355B" w14:textId="77777777" w:rsidR="00154E32" w:rsidRDefault="00A43E04">
            <w:pPr>
              <w:pStyle w:val="P68B1DB1-Normal11"/>
              <w:jc w:val="center"/>
              <w:rPr>
                <w:noProof/>
              </w:rPr>
            </w:pPr>
            <w:r>
              <w:rPr>
                <w:noProof/>
              </w:rPr>
              <w:t>Določba v ustreznem pravnem aktu, ki se nanaša na začetek veljavnosti prenosa lastništva mostov, viaduktov in prevozov s cest nižje stopnje na ceste višjega razreda (avtoceste in glavne državne ceste)</w:t>
            </w:r>
          </w:p>
        </w:tc>
        <w:tc>
          <w:tcPr>
            <w:tcW w:w="325" w:type="pct"/>
            <w:shd w:val="clear" w:color="auto" w:fill="C6EFCE"/>
            <w:noWrap/>
            <w:vAlign w:val="center"/>
          </w:tcPr>
          <w:p w14:paraId="0FFBC70B" w14:textId="77777777" w:rsidR="00154E32" w:rsidRDefault="00A43E04">
            <w:pPr>
              <w:pStyle w:val="P68B1DB1-Normal11"/>
              <w:jc w:val="center"/>
              <w:rPr>
                <w:noProof/>
              </w:rPr>
            </w:pPr>
            <w:r>
              <w:rPr>
                <w:noProof/>
              </w:rPr>
              <w:t>JIH NI</w:t>
            </w:r>
          </w:p>
        </w:tc>
        <w:tc>
          <w:tcPr>
            <w:tcW w:w="371" w:type="pct"/>
            <w:shd w:val="clear" w:color="auto" w:fill="C6EFCE"/>
            <w:noWrap/>
            <w:vAlign w:val="center"/>
          </w:tcPr>
          <w:p w14:paraId="490FA286" w14:textId="77777777" w:rsidR="00154E32" w:rsidRDefault="00A43E04">
            <w:pPr>
              <w:pStyle w:val="P68B1DB1-Normal11"/>
              <w:jc w:val="center"/>
              <w:rPr>
                <w:noProof/>
              </w:rPr>
            </w:pPr>
            <w:r>
              <w:rPr>
                <w:noProof/>
              </w:rPr>
              <w:t>JIH NI</w:t>
            </w:r>
          </w:p>
        </w:tc>
        <w:tc>
          <w:tcPr>
            <w:tcW w:w="279" w:type="pct"/>
            <w:shd w:val="clear" w:color="auto" w:fill="C6EFCE"/>
            <w:noWrap/>
            <w:vAlign w:val="center"/>
          </w:tcPr>
          <w:p w14:paraId="77DACAFD" w14:textId="77777777" w:rsidR="00154E32" w:rsidRDefault="00A43E04">
            <w:pPr>
              <w:pStyle w:val="P68B1DB1-Normal11"/>
              <w:jc w:val="center"/>
              <w:rPr>
                <w:noProof/>
              </w:rPr>
            </w:pPr>
            <w:r>
              <w:rPr>
                <w:noProof/>
              </w:rPr>
              <w:t>JIH NI</w:t>
            </w:r>
          </w:p>
        </w:tc>
        <w:tc>
          <w:tcPr>
            <w:tcW w:w="278" w:type="pct"/>
            <w:shd w:val="clear" w:color="auto" w:fill="C6EFCE"/>
            <w:noWrap/>
            <w:vAlign w:val="center"/>
          </w:tcPr>
          <w:p w14:paraId="1FAA43B9" w14:textId="77777777" w:rsidR="00154E32" w:rsidRDefault="00A43E04">
            <w:pPr>
              <w:pStyle w:val="P68B1DB1-Normal11"/>
              <w:jc w:val="center"/>
              <w:rPr>
                <w:noProof/>
              </w:rPr>
            </w:pPr>
            <w:r>
              <w:rPr>
                <w:noProof/>
              </w:rPr>
              <w:t>Q4</w:t>
            </w:r>
          </w:p>
        </w:tc>
        <w:tc>
          <w:tcPr>
            <w:tcW w:w="278" w:type="pct"/>
            <w:shd w:val="clear" w:color="auto" w:fill="C6EFCE"/>
            <w:noWrap/>
            <w:vAlign w:val="center"/>
          </w:tcPr>
          <w:p w14:paraId="61F4D4C4" w14:textId="77777777" w:rsidR="00154E32" w:rsidRDefault="00A43E04">
            <w:pPr>
              <w:pStyle w:val="P68B1DB1-Normal11"/>
              <w:jc w:val="center"/>
              <w:rPr>
                <w:noProof/>
              </w:rPr>
            </w:pPr>
            <w:r>
              <w:rPr>
                <w:noProof/>
              </w:rPr>
              <w:t>2021</w:t>
            </w:r>
          </w:p>
        </w:tc>
        <w:tc>
          <w:tcPr>
            <w:tcW w:w="1198" w:type="pct"/>
            <w:shd w:val="clear" w:color="auto" w:fill="C6EFCE"/>
            <w:noWrap/>
            <w:vAlign w:val="center"/>
          </w:tcPr>
          <w:p w14:paraId="089344C3" w14:textId="77777777" w:rsidR="00154E32" w:rsidRDefault="00A43E04">
            <w:pPr>
              <w:pStyle w:val="P68B1DB1-Normal11"/>
              <w:jc w:val="center"/>
              <w:rPr>
                <w:noProof/>
              </w:rPr>
            </w:pPr>
            <w:r>
              <w:rPr>
                <w:noProof/>
              </w:rPr>
              <w:t>Prenos lastništva umetniških del mora biti izveden v šestih mesecih od začetka veljavnosti zakona 120/20. Dopolnjena naj bi bila v skladu s pravili Codice della Strada (zakonska uredba 285/1992) in z njo povezanimi uredbami (uredba predsednika republike št. 495/92), ki določajo določbe o prenosu lastninske pravice med subjekti, ki so lastniki cest.</w:t>
            </w:r>
          </w:p>
        </w:tc>
      </w:tr>
    </w:tbl>
    <w:p w14:paraId="660A343F" w14:textId="77777777" w:rsidR="00154E32" w:rsidRDefault="00154E32">
      <w:pPr>
        <w:spacing w:before="120" w:after="120"/>
        <w:jc w:val="both"/>
        <w:rPr>
          <w:noProof/>
        </w:rPr>
      </w:pPr>
    </w:p>
    <w:p w14:paraId="308349B4" w14:textId="77777777" w:rsidR="00154E32" w:rsidRDefault="00154E32">
      <w:pPr>
        <w:tabs>
          <w:tab w:val="left" w:pos="4252"/>
        </w:tabs>
        <w:rPr>
          <w:i/>
          <w:noProof/>
        </w:rPr>
      </w:pPr>
    </w:p>
    <w:p w14:paraId="37AF38B0" w14:textId="77777777" w:rsidR="00154E32" w:rsidRDefault="00154E32">
      <w:pPr>
        <w:tabs>
          <w:tab w:val="left" w:pos="4252"/>
        </w:tabs>
        <w:rPr>
          <w:i/>
          <w:noProof/>
        </w:rPr>
      </w:pPr>
    </w:p>
    <w:p w14:paraId="581E778D" w14:textId="77777777" w:rsidR="00154E32" w:rsidRDefault="00154E32">
      <w:pPr>
        <w:spacing w:before="120" w:after="120"/>
        <w:jc w:val="both"/>
        <w:rPr>
          <w:b/>
          <w:noProof/>
          <w:u w:val="single"/>
        </w:rPr>
        <w:sectPr w:rsidR="00154E32" w:rsidSect="000D3774">
          <w:headerReference w:type="even" r:id="rId200"/>
          <w:headerReference w:type="default" r:id="rId201"/>
          <w:footerReference w:type="even" r:id="rId202"/>
          <w:footerReference w:type="default" r:id="rId203"/>
          <w:headerReference w:type="first" r:id="rId204"/>
          <w:footerReference w:type="first" r:id="rId205"/>
          <w:pgSz w:w="16838" w:h="11907" w:orient="landscape" w:code="9"/>
          <w:pgMar w:top="1134" w:right="1134" w:bottom="1134" w:left="1134" w:header="567" w:footer="567" w:gutter="0"/>
          <w:cols w:space="720"/>
          <w:docGrid w:linePitch="360"/>
        </w:sectPr>
      </w:pPr>
    </w:p>
    <w:p w14:paraId="23DD3E3B" w14:textId="77777777" w:rsidR="00154E32" w:rsidRDefault="00A43E04">
      <w:pPr>
        <w:pStyle w:val="Heading2"/>
        <w:numPr>
          <w:ilvl w:val="0"/>
          <w:numId w:val="0"/>
        </w:numPr>
        <w:ind w:left="850" w:hanging="850"/>
        <w:rPr>
          <w:noProof/>
        </w:rPr>
      </w:pPr>
      <w:r>
        <w:rPr>
          <w:noProof/>
        </w:rPr>
        <w:t>I. MISSION 3 COMPONENT 2 – Intermodalnost in integrirana logistika</w:t>
      </w:r>
    </w:p>
    <w:p w14:paraId="79A92762" w14:textId="77777777" w:rsidR="00154E32" w:rsidRDefault="00A43E04">
      <w:pPr>
        <w:tabs>
          <w:tab w:val="left" w:pos="1134"/>
        </w:tabs>
        <w:spacing w:before="120" w:after="120"/>
        <w:jc w:val="both"/>
        <w:rPr>
          <w:rFonts w:eastAsia="Calibri"/>
          <w:noProof/>
        </w:rPr>
      </w:pPr>
      <w:r>
        <w:rPr>
          <w:noProof/>
        </w:rPr>
        <w:t>Cilj te komponente italijanskega načrta za okrevanje in odpornost je povečati učinkovitost in konkurenčnost italijanskih pristanišč, njihovo energijsko učinkovitost in boljšo povezanost z logistično verigo. Njegov cilj je tudi digitalizirati sistem upravljanja zračnega prometa.</w:t>
      </w:r>
    </w:p>
    <w:p w14:paraId="6958E584" w14:textId="77777777" w:rsidR="00154E32" w:rsidRDefault="00A43E04">
      <w:pPr>
        <w:tabs>
          <w:tab w:val="left" w:pos="1134"/>
        </w:tabs>
        <w:spacing w:before="120" w:after="120"/>
        <w:jc w:val="both"/>
        <w:rPr>
          <w:rFonts w:eastAsia="Calibri"/>
          <w:noProof/>
        </w:rPr>
      </w:pPr>
      <w:r>
        <w:rPr>
          <w:noProof/>
        </w:rPr>
        <w:t>V ta namen po eni strani vključuje pomembne reforme za poenostavitev postopkov, posodobitev načrtovanja pristanišč in povečanje konkurenčnosti koncesij v italijanskih pristaniščih. Po drugi strani pa nekatere naložbe, namenjene zagotavljanju intermodalnosti s splošnimi smernicami evropske komunikacije za razvoj povezav s trgovino z oceani in medsredozemskimi državami, povečanje dinamike in konkurenčnosti italijanskega pristaniškega sistema, tudi z namenom zmanjšanja emisij toplogrednih plinov. Pričakuje se, da bodo naložbe, povezane s to komponento, znatno povečale obseg potniškega in tovornega prometa v italijanskih pristaniščih, kar bo pozitivno vplivalo na spodbujevalne gospodarske dejavnosti na zadevnih območjih in na celotno nacionalno gospodarstvo.</w:t>
      </w:r>
    </w:p>
    <w:p w14:paraId="1269F02B" w14:textId="77777777" w:rsidR="00154E32" w:rsidRDefault="00A43E04">
      <w:pPr>
        <w:tabs>
          <w:tab w:val="left" w:pos="1134"/>
        </w:tabs>
        <w:spacing w:before="120" w:after="120"/>
        <w:jc w:val="both"/>
        <w:rPr>
          <w:rFonts w:eastAsia="Calibri"/>
          <w:noProof/>
        </w:rPr>
      </w:pPr>
      <w:r>
        <w:rPr>
          <w:noProof/>
        </w:rPr>
        <w:t xml:space="preserve">Po drugi strani se ta komponenta nanaša na digitalizacijo logističnih sistemov, vključno z letališkimi sistemi. Pričakuje se, da bodo ti sektorji postali konkurenčnejši z uporabo inovativnih tehnoloških rešitev, da bi sistem postal učinkovitejši in da bi se zmanjšal njihov vpliv na okolje. </w:t>
      </w:r>
    </w:p>
    <w:p w14:paraId="052F54BA" w14:textId="0685E78C" w:rsidR="00154E32" w:rsidRDefault="00A43E04">
      <w:pPr>
        <w:spacing w:before="120" w:after="120"/>
        <w:jc w:val="both"/>
        <w:rPr>
          <w:noProof/>
        </w:rPr>
      </w:pPr>
      <w:r>
        <w:rPr>
          <w:noProof/>
        </w:rPr>
        <w:t>Ta komponenta obravnava priporočilo 3 za posamezno državo iz leta 2019, v katerem je bila Italija pozvana, naj ekonomsko politiko, povezano z naložbami, usmeri na kakovost infrastrukture, in priporočilo 3 za posamezno državo iz leta 2020, v katerem je priporočeno, naj se naložbe usmerijo v zeleni in digitalni prehod, zlasti na čisto in učinkovito proizvodnjo in uporabo energije, raziskave in inovacije, trajnostni javni prevoz, ravnanje z odpadki in gospodarjenje z vodami ter okrepljeno digitalno infrastrukturo, da se zagotovijo osnovne storitve.</w:t>
      </w:r>
    </w:p>
    <w:p w14:paraId="03D21268" w14:textId="77777777" w:rsidR="00154E32" w:rsidRDefault="00A43E04">
      <w:pPr>
        <w:spacing w:before="120" w:after="120"/>
        <w:jc w:val="both"/>
        <w:rPr>
          <w:noProof/>
        </w:rPr>
      </w:pPr>
      <w:r>
        <w:rPr>
          <w:noProof/>
        </w:rPr>
        <w:t>Glede na opis ukrepov in blažilne ukrepe, določene v načrtu za okrevanje in odpornost v skladu s tehničnimi smernicami za uporabo načela, da se ne škoduje bistveno (2021/C58/01), noben ukrep v tej komponenti naj ne bi bistveno škodoval okoljskim ciljem v smislu člena 17 Uredbe (EU) 2020/852.</w:t>
      </w:r>
    </w:p>
    <w:p w14:paraId="2D18C10D" w14:textId="77777777" w:rsidR="00154E32" w:rsidRDefault="00A43E04">
      <w:pPr>
        <w:pStyle w:val="Heading3"/>
        <w:numPr>
          <w:ilvl w:val="0"/>
          <w:numId w:val="0"/>
        </w:numPr>
        <w:ind w:left="850" w:hanging="850"/>
        <w:rPr>
          <w:b/>
          <w:i w:val="0"/>
          <w:noProof/>
          <w:color w:val="4F81BD" w:themeColor="accent1"/>
          <w:u w:val="single"/>
        </w:rPr>
      </w:pPr>
      <w:r>
        <w:rPr>
          <w:b/>
          <w:i w:val="0"/>
          <w:noProof/>
          <w:u w:val="single"/>
        </w:rPr>
        <w:t xml:space="preserve">I.1. </w:t>
      </w:r>
      <w:r>
        <w:rPr>
          <w:noProof/>
        </w:rPr>
        <w:tab/>
      </w:r>
      <w:r>
        <w:rPr>
          <w:b/>
          <w:i w:val="0"/>
          <w:noProof/>
          <w:u w:val="single"/>
        </w:rPr>
        <w:t>Opis reform in naložb za nepovratno finančno podporo</w:t>
      </w:r>
    </w:p>
    <w:p w14:paraId="29B2DC14" w14:textId="77777777" w:rsidR="00154E32" w:rsidRDefault="00A43E04">
      <w:pPr>
        <w:pStyle w:val="P68B1DB1-Normal2"/>
        <w:spacing w:before="120" w:after="120" w:line="257" w:lineRule="auto"/>
        <w:jc w:val="both"/>
        <w:rPr>
          <w:noProof/>
        </w:rPr>
      </w:pPr>
      <w:r>
        <w:rPr>
          <w:noProof/>
        </w:rPr>
        <w:t>Reforma 1.1 – Poenostavitev postopkov za proces strateškega načrtovanja</w:t>
      </w:r>
    </w:p>
    <w:p w14:paraId="4DB1A243" w14:textId="77777777" w:rsidR="00154E32" w:rsidRDefault="00A43E04">
      <w:pPr>
        <w:spacing w:before="120" w:after="120" w:line="257" w:lineRule="auto"/>
        <w:jc w:val="both"/>
        <w:rPr>
          <w:noProof/>
        </w:rPr>
      </w:pPr>
      <w:r>
        <w:rPr>
          <w:noProof/>
        </w:rPr>
        <w:t>Ta ukrep predvideva posodobitev načrtovanja pristanišč, da se zagotovi strateška vizija italijanskega pristaniškega sistema. Reforma ureja vsaj (i) razvojne cilje organov pristaniškega sistema; (II) opredeljena in opisana območja, namenjena izključno funkcijam pristanišč in pristanišč, (iii) infrastrukturne povezave cest in železnic v zadnjem delu poti s pristanišči, (iv) merila, ki se uporabljajo pri določanju vsebine načrtovanja, in (v) nedvoumno opredelitev smernic, pravil in postopkov za pripravo regulativnih načrtov pristanišč.</w:t>
      </w:r>
    </w:p>
    <w:p w14:paraId="32AACA9E" w14:textId="77777777" w:rsidR="00154E32" w:rsidRDefault="00A43E04">
      <w:pPr>
        <w:pStyle w:val="P68B1DB1-Normal2"/>
        <w:spacing w:before="120" w:after="120" w:line="257" w:lineRule="auto"/>
        <w:jc w:val="both"/>
        <w:rPr>
          <w:noProof/>
        </w:rPr>
      </w:pPr>
      <w:r>
        <w:rPr>
          <w:noProof/>
        </w:rPr>
        <w:t xml:space="preserve">Reforma 1.2 – Konkurenčna podelitev koncesij v italijanskih pristaniščih  </w:t>
      </w:r>
    </w:p>
    <w:p w14:paraId="5D2BE6EA" w14:textId="77777777" w:rsidR="00154E32" w:rsidRDefault="00A43E04">
      <w:pPr>
        <w:spacing w:before="120" w:after="120"/>
        <w:jc w:val="both"/>
        <w:rPr>
          <w:rFonts w:eastAsia="Calibri"/>
          <w:noProof/>
        </w:rPr>
      </w:pPr>
      <w:r>
        <w:rPr>
          <w:noProof/>
        </w:rPr>
        <w:t>Cilj tega ukrepa je opredeliti pogoje glede trajanja koncesije, nadzornih in nadzornih pooblastil organov, ki podeljujejo koncesije, postopkov podaljšanja, prenosa zmogljivosti na novega koncesionarja ob izteku koncesije in določitve najnižjih omejitev pristojbin, ki se zaračunavajo koncesionarjem.</w:t>
      </w:r>
    </w:p>
    <w:p w14:paraId="78467ED7" w14:textId="77777777" w:rsidR="00154E32" w:rsidRDefault="00154E32">
      <w:pPr>
        <w:spacing w:before="120" w:after="120"/>
        <w:jc w:val="both"/>
        <w:rPr>
          <w:rFonts w:eastAsia="Calibri"/>
          <w:noProof/>
        </w:rPr>
      </w:pPr>
    </w:p>
    <w:p w14:paraId="437CE428" w14:textId="77777777" w:rsidR="00154E32" w:rsidRDefault="00A43E04">
      <w:pPr>
        <w:pStyle w:val="P68B1DB1-Normal2"/>
        <w:spacing w:before="120" w:after="120"/>
        <w:jc w:val="both"/>
        <w:rPr>
          <w:rFonts w:eastAsia="Calibri"/>
          <w:noProof/>
        </w:rPr>
      </w:pPr>
      <w:r>
        <w:rPr>
          <w:noProof/>
        </w:rPr>
        <w:t xml:space="preserve">Reforma 1.3 – Poenostavitev dovoljenj za postopke izdaje dovoljenj za hladno likanje v italijanskih pristaniščih  </w:t>
      </w:r>
    </w:p>
    <w:p w14:paraId="2949BBA8" w14:textId="77777777" w:rsidR="00154E32" w:rsidRDefault="00A43E04">
      <w:pPr>
        <w:spacing w:before="120" w:after="120"/>
        <w:jc w:val="both"/>
        <w:rPr>
          <w:rFonts w:eastAsia="Calibri"/>
          <w:noProof/>
        </w:rPr>
      </w:pPr>
      <w:r>
        <w:rPr>
          <w:noProof/>
        </w:rPr>
        <w:t>Pričakuje se, da bo ta ukrep poenostavil in zmanjšal postopek izdaje dovoljenj v zvezi z gradnjo elektrarn nacionalnega omrežja za prenos električne energije za napajanje distribucijskih sistemov za oskrbo ladij z električno energijo (</w:t>
      </w:r>
      <w:r>
        <w:rPr>
          <w:i/>
          <w:noProof/>
        </w:rPr>
        <w:t>hladno likanje</w:t>
      </w:r>
      <w:r>
        <w:rPr>
          <w:noProof/>
        </w:rPr>
        <w:t>).</w:t>
      </w:r>
    </w:p>
    <w:p w14:paraId="0CB0EFCE" w14:textId="77777777" w:rsidR="00154E32" w:rsidRDefault="00A43E04">
      <w:pPr>
        <w:spacing w:before="120" w:after="120"/>
        <w:jc w:val="both"/>
        <w:rPr>
          <w:rFonts w:eastAsia="Calibri"/>
          <w:noProof/>
        </w:rPr>
      </w:pPr>
      <w:r>
        <w:rPr>
          <w:noProof/>
        </w:rPr>
        <w:t xml:space="preserve">Ministrstvo za infrastrukturo in promet pripravi predlog za racionalizacijo postopka izdaje dovoljenja. Zlasti se predlaga, da se projekte hladnega likaniranja ocenijo s strani teritorialnih uradov, ki poročajo ministrstvu za gospodarski razvoj, ki bi lahko v krajšem času preučili projekte in jih posledično odobrili. Poleg tega je treba predvideti regulativni poseg za opredelitev enotnega postopka odobritve za projekte z napetostjo, višjo od 132 kV, in preostalim, da se izkoristijo sinergije postopka. </w:t>
      </w:r>
    </w:p>
    <w:p w14:paraId="7AEC6828" w14:textId="77777777" w:rsidR="00154E32" w:rsidRDefault="00A43E04">
      <w:pPr>
        <w:pStyle w:val="P68B1DB1-Normal2"/>
        <w:spacing w:before="120" w:after="120"/>
        <w:jc w:val="both"/>
        <w:rPr>
          <w:rFonts w:eastAsia="Calibri"/>
          <w:noProof/>
        </w:rPr>
      </w:pPr>
      <w:r>
        <w:rPr>
          <w:noProof/>
        </w:rPr>
        <w:t>Reforma 2.1: Izvajanje enotnega carinskega okenca („Sportello Unico Doganale“)</w:t>
      </w:r>
    </w:p>
    <w:p w14:paraId="5A64BAD2" w14:textId="07129C3C" w:rsidR="00154E32" w:rsidRDefault="00A43E04">
      <w:pPr>
        <w:spacing w:before="120" w:after="120"/>
        <w:jc w:val="both"/>
        <w:rPr>
          <w:noProof/>
        </w:rPr>
      </w:pPr>
      <w:r>
        <w:rPr>
          <w:noProof/>
        </w:rPr>
        <w:t>Cilj je vzpostaviti namenski portal za enotni kontrolni center, ki bo omogočal interoperabilnost z nacionalnimi podatkovnimi zbirkami in usklajevanje nadzornih dejavnosti s strani carinskih organov.</w:t>
      </w:r>
    </w:p>
    <w:p w14:paraId="579168EA" w14:textId="77777777" w:rsidR="00154E32" w:rsidRDefault="00A43E04">
      <w:pPr>
        <w:pStyle w:val="P68B1DB1-Normal2"/>
        <w:spacing w:before="120" w:after="120"/>
        <w:jc w:val="both"/>
        <w:rPr>
          <w:noProof/>
        </w:rPr>
      </w:pPr>
      <w:r>
        <w:rPr>
          <w:noProof/>
        </w:rPr>
        <w:t>Naložba 2.1: Digitalizacija logistične verige</w:t>
      </w:r>
    </w:p>
    <w:p w14:paraId="0072B10E" w14:textId="77777777" w:rsidR="00154E32" w:rsidRDefault="00A43E04">
      <w:pPr>
        <w:spacing w:before="120" w:after="120"/>
        <w:jc w:val="both"/>
        <w:rPr>
          <w:noProof/>
        </w:rPr>
      </w:pPr>
      <w:r>
        <w:rPr>
          <w:noProof/>
        </w:rPr>
        <w:t>Pričakuje se, da bodo te naložbe povečale konkurenčnost nacionalne logistike z vzpostavitvijo interoperabilnega digitalnega sistema med javnimi in zasebnimi akterji na področju tovornega prometa in logistike, ki bo poenostavil postopke, procese in nadzor z osredotočanjem na dematerializacijo dokumentov ter izmenjavo podatkov in informacij.</w:t>
      </w:r>
    </w:p>
    <w:p w14:paraId="655FE088" w14:textId="77777777" w:rsidR="00154E32" w:rsidRDefault="00A43E04">
      <w:pPr>
        <w:pStyle w:val="P68B1DB1-Normal2"/>
        <w:spacing w:before="120" w:after="120"/>
        <w:jc w:val="both"/>
        <w:rPr>
          <w:rFonts w:eastAsia="Calibri"/>
          <w:noProof/>
        </w:rPr>
      </w:pPr>
      <w:r>
        <w:rPr>
          <w:noProof/>
        </w:rPr>
        <w:t>Naložba 2.2: Digitalizacija upravljanja zračnega prometa</w:t>
      </w:r>
    </w:p>
    <w:p w14:paraId="2A359DDF" w14:textId="77777777" w:rsidR="00154E32" w:rsidRDefault="00A43E04">
      <w:pPr>
        <w:spacing w:before="120" w:after="120"/>
        <w:jc w:val="both"/>
        <w:rPr>
          <w:rFonts w:eastAsia="Calibri"/>
          <w:noProof/>
        </w:rPr>
      </w:pPr>
      <w:r>
        <w:rPr>
          <w:noProof/>
        </w:rPr>
        <w:t xml:space="preserve">Cilj te naložbe je digitalna nadgradnja sektorja, ki bo zajemala razvoj novih orodij za digitalizacijo letalskih informacij ter uvedbo platform in storitev brezpilotnega zrakoplova. </w:t>
      </w:r>
    </w:p>
    <w:p w14:paraId="65F62D08" w14:textId="77777777" w:rsidR="00154E32" w:rsidRDefault="00A43E04">
      <w:pPr>
        <w:spacing w:before="120" w:after="120"/>
        <w:jc w:val="both"/>
        <w:rPr>
          <w:rFonts w:eastAsia="Calibri"/>
          <w:noProof/>
        </w:rPr>
      </w:pPr>
      <w:r>
        <w:rPr>
          <w:noProof/>
        </w:rPr>
        <w:t>Projekti zajemajo razvoj in povezljivost sistema za upravljanje prometa brez posadke (UTMS), digitalizacijo letalskih informacij in opredelitev novega modela vzdrževanja.</w:t>
      </w:r>
    </w:p>
    <w:p w14:paraId="302A6E83" w14:textId="77777777" w:rsidR="00154E32" w:rsidRDefault="00A43E04">
      <w:pPr>
        <w:pStyle w:val="paragraph"/>
        <w:spacing w:before="0" w:beforeAutospacing="0" w:after="0" w:afterAutospacing="0"/>
        <w:jc w:val="both"/>
        <w:textAlignment w:val="baseline"/>
        <w:rPr>
          <w:rFonts w:ascii="Segoe UI" w:hAnsi="Segoe UI" w:cs="Segoe UI"/>
          <w:noProof/>
          <w:sz w:val="18"/>
        </w:rPr>
      </w:pPr>
      <w:r>
        <w:rPr>
          <w:rStyle w:val="normaltextrun"/>
          <w:b/>
          <w:noProof/>
        </w:rPr>
        <w:t>Naložba 2.3: Hladno likanje</w:t>
      </w:r>
      <w:r>
        <w:rPr>
          <w:rStyle w:val="eop"/>
          <w:noProof/>
        </w:rPr>
        <w:t xml:space="preserve"> </w:t>
      </w:r>
    </w:p>
    <w:p w14:paraId="66DE72ED" w14:textId="77777777" w:rsidR="00154E32" w:rsidRDefault="00A43E04">
      <w:pPr>
        <w:pStyle w:val="paragraph"/>
        <w:spacing w:before="0" w:beforeAutospacing="0" w:after="0" w:afterAutospacing="0"/>
        <w:jc w:val="both"/>
        <w:textAlignment w:val="baseline"/>
        <w:rPr>
          <w:rStyle w:val="eop"/>
          <w:noProof/>
        </w:rPr>
      </w:pPr>
      <w:r>
        <w:rPr>
          <w:rStyle w:val="normaltextrun"/>
          <w:noProof/>
        </w:rPr>
        <w:t xml:space="preserve">Ta naložba zajema izgradnjo omrežja za dobavo električne energije na pristaniškem območju (doksi) in s tem povezane infrastrukture za priključitev na nacionalno prenosno omrežje. V skladu z uredbo o infrastrukturi za alternativna goriva oskrba z električno energijo z obale omogoča tudi polnjenje električnih plovil. </w:t>
      </w:r>
    </w:p>
    <w:p w14:paraId="768A5295" w14:textId="77777777" w:rsidR="00154E32" w:rsidRDefault="00154E32">
      <w:pPr>
        <w:pStyle w:val="paragraph"/>
        <w:spacing w:before="0" w:beforeAutospacing="0" w:after="0" w:afterAutospacing="0"/>
        <w:jc w:val="both"/>
        <w:textAlignment w:val="baseline"/>
        <w:rPr>
          <w:rFonts w:ascii="Segoe UI" w:hAnsi="Segoe UI" w:cs="Segoe UI"/>
          <w:noProof/>
          <w:sz w:val="18"/>
        </w:rPr>
      </w:pPr>
    </w:p>
    <w:p w14:paraId="7EEBD80B" w14:textId="77777777" w:rsidR="00154E32" w:rsidRDefault="00A43E04">
      <w:pPr>
        <w:pStyle w:val="Heading3"/>
        <w:numPr>
          <w:ilvl w:val="0"/>
          <w:numId w:val="0"/>
        </w:numPr>
        <w:ind w:left="850" w:hanging="850"/>
        <w:rPr>
          <w:b/>
          <w:i w:val="0"/>
          <w:noProof/>
          <w:u w:val="single"/>
        </w:rPr>
      </w:pPr>
      <w:r>
        <w:rPr>
          <w:b/>
          <w:i w:val="0"/>
          <w:noProof/>
          <w:u w:val="single"/>
        </w:rPr>
        <w:t xml:space="preserve">I.2. </w:t>
      </w:r>
      <w:r>
        <w:rPr>
          <w:noProof/>
        </w:rPr>
        <w:tab/>
      </w:r>
      <w:r>
        <w:rPr>
          <w:b/>
          <w:i w:val="0"/>
          <w:noProof/>
          <w:u w:val="single"/>
        </w:rPr>
        <w:t>Mejniki, cilji, kazalniki in časovni razpored za spremljanje in izvajanje nepovratne finančne podpore Naslednje;</w:t>
      </w:r>
    </w:p>
    <w:p w14:paraId="38CC180E" w14:textId="77777777" w:rsidR="00154E32" w:rsidRDefault="00154E32">
      <w:pPr>
        <w:spacing w:before="120" w:after="120"/>
        <w:ind w:left="709"/>
        <w:jc w:val="both"/>
        <w:rPr>
          <w:noProof/>
        </w:rPr>
        <w:sectPr w:rsidR="00154E32" w:rsidSect="000D3774">
          <w:headerReference w:type="even" r:id="rId206"/>
          <w:headerReference w:type="default" r:id="rId207"/>
          <w:footerReference w:type="even" r:id="rId208"/>
          <w:footerReference w:type="default" r:id="rId209"/>
          <w:headerReference w:type="first" r:id="rId210"/>
          <w:footerReference w:type="first" r:id="rId211"/>
          <w:pgSz w:w="11907" w:h="16839"/>
          <w:pgMar w:top="1134" w:right="1134" w:bottom="1134" w:left="1134" w:header="567" w:footer="567" w:gutter="0"/>
          <w:cols w:space="720"/>
          <w:docGrid w:linePitch="360"/>
        </w:sectPr>
      </w:pPr>
    </w:p>
    <w:tbl>
      <w:tblPr>
        <w:tblW w:w="5451" w:type="pct"/>
        <w:jc w:val="center"/>
        <w:tblLook w:val="04A0" w:firstRow="1" w:lastRow="0" w:firstColumn="1" w:lastColumn="0" w:noHBand="0" w:noVBand="1"/>
      </w:tblPr>
      <w:tblGrid>
        <w:gridCol w:w="1130"/>
        <w:gridCol w:w="1560"/>
        <w:gridCol w:w="1066"/>
        <w:gridCol w:w="1627"/>
        <w:gridCol w:w="1777"/>
        <w:gridCol w:w="926"/>
        <w:gridCol w:w="1096"/>
        <w:gridCol w:w="878"/>
        <w:gridCol w:w="1255"/>
        <w:gridCol w:w="666"/>
        <w:gridCol w:w="4231"/>
      </w:tblGrid>
      <w:tr w:rsidR="00154E32" w14:paraId="051DC265" w14:textId="77777777">
        <w:trPr>
          <w:trHeight w:val="927"/>
          <w:tblHeader/>
          <w:jc w:val="center"/>
        </w:trPr>
        <w:tc>
          <w:tcPr>
            <w:tcW w:w="113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8C3A6E2" w14:textId="77777777" w:rsidR="00154E32" w:rsidRDefault="00A43E04">
            <w:pPr>
              <w:pStyle w:val="P68B1DB1-Normal9"/>
              <w:jc w:val="center"/>
              <w:rPr>
                <w:noProof/>
              </w:rPr>
            </w:pPr>
            <w:r>
              <w:rPr>
                <w:noProof/>
              </w:rPr>
              <w:t>Zaporedna številka</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4E5DEC1" w14:textId="77777777" w:rsidR="00154E32" w:rsidRDefault="00A43E04">
            <w:pPr>
              <w:pStyle w:val="P68B1DB1-Normal9"/>
              <w:jc w:val="center"/>
              <w:rPr>
                <w:noProof/>
              </w:rPr>
            </w:pPr>
            <w:r>
              <w:rPr>
                <w:noProof/>
              </w:rPr>
              <w:t>Povezani ukrep (reforma ali naložba)</w:t>
            </w:r>
          </w:p>
        </w:tc>
        <w:tc>
          <w:tcPr>
            <w:tcW w:w="106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19F63DD" w14:textId="77777777" w:rsidR="00154E32" w:rsidRDefault="00A43E04">
            <w:pPr>
              <w:pStyle w:val="P68B1DB1-Normal9"/>
              <w:jc w:val="center"/>
              <w:rPr>
                <w:noProof/>
              </w:rPr>
            </w:pPr>
            <w:r>
              <w:rPr>
                <w:noProof/>
              </w:rPr>
              <w:t>Mejnik/cilj</w:t>
            </w:r>
          </w:p>
        </w:tc>
        <w:tc>
          <w:tcPr>
            <w:tcW w:w="1627" w:type="dxa"/>
            <w:vMerge w:val="restart"/>
            <w:tcBorders>
              <w:top w:val="single" w:sz="4" w:space="0" w:color="auto"/>
              <w:left w:val="nil"/>
              <w:bottom w:val="single" w:sz="4" w:space="0" w:color="auto"/>
              <w:right w:val="single" w:sz="4" w:space="0" w:color="auto"/>
            </w:tcBorders>
            <w:shd w:val="clear" w:color="auto" w:fill="BDD7EE"/>
            <w:vAlign w:val="center"/>
            <w:hideMark/>
          </w:tcPr>
          <w:p w14:paraId="2AC6CF48" w14:textId="77777777" w:rsidR="00154E32" w:rsidRDefault="00A43E04">
            <w:pPr>
              <w:pStyle w:val="P68B1DB1-Normal9"/>
              <w:jc w:val="center"/>
              <w:rPr>
                <w:noProof/>
              </w:rPr>
            </w:pPr>
            <w:r>
              <w:rPr>
                <w:noProof/>
              </w:rPr>
              <w:t>Ime</w:t>
            </w:r>
          </w:p>
        </w:tc>
        <w:tc>
          <w:tcPr>
            <w:tcW w:w="177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80AC743" w14:textId="77777777" w:rsidR="00154E32" w:rsidRDefault="00A43E04">
            <w:pPr>
              <w:pStyle w:val="P68B1DB1-Normal10"/>
              <w:jc w:val="center"/>
              <w:rPr>
                <w:b/>
                <w:noProof/>
                <w:sz w:val="20"/>
              </w:rPr>
            </w:pPr>
            <w:r>
              <w:rPr>
                <w:b/>
                <w:noProof/>
                <w:sz w:val="20"/>
              </w:rPr>
              <w:t>Kakovostni kazalniki</w:t>
            </w:r>
            <w:r>
              <w:rPr>
                <w:noProof/>
              </w:rPr>
              <w:t xml:space="preserve"> </w:t>
            </w:r>
            <w:r>
              <w:rPr>
                <w:noProof/>
              </w:rPr>
              <w:br/>
            </w:r>
            <w:r>
              <w:rPr>
                <w:b/>
                <w:noProof/>
                <w:sz w:val="20"/>
              </w:rPr>
              <w:t>(za mejnike)</w:t>
            </w:r>
          </w:p>
        </w:tc>
        <w:tc>
          <w:tcPr>
            <w:tcW w:w="2900" w:type="dxa"/>
            <w:gridSpan w:val="3"/>
            <w:tcBorders>
              <w:top w:val="single" w:sz="4" w:space="0" w:color="auto"/>
              <w:left w:val="nil"/>
              <w:bottom w:val="single" w:sz="4" w:space="0" w:color="auto"/>
              <w:right w:val="single" w:sz="4" w:space="0" w:color="auto"/>
            </w:tcBorders>
            <w:shd w:val="clear" w:color="auto" w:fill="BDD7EE"/>
            <w:vAlign w:val="center"/>
            <w:hideMark/>
          </w:tcPr>
          <w:p w14:paraId="408B2178" w14:textId="77777777" w:rsidR="00154E32" w:rsidRDefault="00A43E04">
            <w:pPr>
              <w:pStyle w:val="P68B1DB1-Normal10"/>
              <w:jc w:val="center"/>
              <w:rPr>
                <w:b/>
                <w:noProof/>
                <w:sz w:val="20"/>
              </w:rPr>
            </w:pPr>
            <w:r>
              <w:rPr>
                <w:b/>
                <w:noProof/>
                <w:sz w:val="20"/>
              </w:rPr>
              <w:t>Kvantitativni kazalniki</w:t>
            </w:r>
            <w:r>
              <w:rPr>
                <w:noProof/>
              </w:rPr>
              <w:t xml:space="preserve"> </w:t>
            </w:r>
            <w:r>
              <w:rPr>
                <w:noProof/>
              </w:rPr>
              <w:br/>
            </w:r>
            <w:r>
              <w:rPr>
                <w:b/>
                <w:noProof/>
                <w:sz w:val="20"/>
              </w:rPr>
              <w:t>(za ciljne vrednosti)</w:t>
            </w:r>
          </w:p>
        </w:tc>
        <w:tc>
          <w:tcPr>
            <w:tcW w:w="1582" w:type="dxa"/>
            <w:gridSpan w:val="2"/>
            <w:tcBorders>
              <w:top w:val="single" w:sz="4" w:space="0" w:color="auto"/>
              <w:left w:val="nil"/>
              <w:bottom w:val="single" w:sz="4" w:space="0" w:color="auto"/>
              <w:right w:val="single" w:sz="4" w:space="0" w:color="auto"/>
            </w:tcBorders>
            <w:shd w:val="clear" w:color="auto" w:fill="BDD7EE"/>
            <w:vAlign w:val="center"/>
            <w:hideMark/>
          </w:tcPr>
          <w:p w14:paraId="348FC10D" w14:textId="77777777" w:rsidR="00154E32" w:rsidRDefault="00A43E04">
            <w:pPr>
              <w:pStyle w:val="P68B1DB1-Normal9"/>
              <w:jc w:val="center"/>
              <w:rPr>
                <w:noProof/>
              </w:rPr>
            </w:pPr>
            <w:r>
              <w:rPr>
                <w:noProof/>
              </w:rPr>
              <w:t>Okvirni časovni razpored za dokončanje</w:t>
            </w:r>
          </w:p>
        </w:tc>
        <w:tc>
          <w:tcPr>
            <w:tcW w:w="423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9EDDC01" w14:textId="77777777" w:rsidR="00154E32" w:rsidRDefault="00A43E04">
            <w:pPr>
              <w:pStyle w:val="P68B1DB1-Normal9"/>
              <w:jc w:val="center"/>
              <w:rPr>
                <w:noProof/>
              </w:rPr>
            </w:pPr>
            <w:r>
              <w:rPr>
                <w:noProof/>
              </w:rPr>
              <w:t>Opis vsakega mejnika in cilja</w:t>
            </w:r>
          </w:p>
        </w:tc>
      </w:tr>
      <w:tr w:rsidR="00154E32" w14:paraId="50165DAE" w14:textId="77777777">
        <w:trPr>
          <w:trHeight w:val="1013"/>
          <w:jc w:val="center"/>
        </w:trPr>
        <w:tc>
          <w:tcPr>
            <w:tcW w:w="1130" w:type="dxa"/>
            <w:vMerge/>
            <w:tcBorders>
              <w:top w:val="single" w:sz="4" w:space="0" w:color="auto"/>
              <w:left w:val="single" w:sz="4" w:space="0" w:color="auto"/>
              <w:bottom w:val="single" w:sz="4" w:space="0" w:color="auto"/>
              <w:right w:val="single" w:sz="4" w:space="0" w:color="auto"/>
            </w:tcBorders>
            <w:vAlign w:val="center"/>
            <w:hideMark/>
          </w:tcPr>
          <w:p w14:paraId="61B760B9" w14:textId="77777777" w:rsidR="00154E32" w:rsidRDefault="00154E32">
            <w:pPr>
              <w:jc w:val="center"/>
              <w:rPr>
                <w:rFonts w:ascii="Arial Narrow" w:hAnsi="Arial Narrow"/>
                <w:b/>
                <w:noProof/>
                <w:sz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530696B6" w14:textId="77777777" w:rsidR="00154E32" w:rsidRDefault="00154E32">
            <w:pPr>
              <w:jc w:val="center"/>
              <w:rPr>
                <w:rFonts w:ascii="Arial Narrow" w:hAnsi="Arial Narrow"/>
                <w:b/>
                <w:noProof/>
                <w:sz w:val="20"/>
              </w:rPr>
            </w:pPr>
          </w:p>
        </w:tc>
        <w:tc>
          <w:tcPr>
            <w:tcW w:w="1066" w:type="dxa"/>
            <w:vMerge/>
            <w:tcBorders>
              <w:top w:val="single" w:sz="4" w:space="0" w:color="auto"/>
              <w:left w:val="single" w:sz="4" w:space="0" w:color="auto"/>
              <w:bottom w:val="single" w:sz="4" w:space="0" w:color="auto"/>
              <w:right w:val="single" w:sz="4" w:space="0" w:color="auto"/>
            </w:tcBorders>
            <w:vAlign w:val="center"/>
            <w:hideMark/>
          </w:tcPr>
          <w:p w14:paraId="3ED0A779" w14:textId="77777777" w:rsidR="00154E32" w:rsidRDefault="00154E32">
            <w:pPr>
              <w:jc w:val="center"/>
              <w:rPr>
                <w:rFonts w:ascii="Arial Narrow" w:hAnsi="Arial Narrow"/>
                <w:b/>
                <w:noProof/>
                <w:sz w:val="20"/>
              </w:rPr>
            </w:pPr>
          </w:p>
        </w:tc>
        <w:tc>
          <w:tcPr>
            <w:tcW w:w="1627" w:type="dxa"/>
            <w:vMerge/>
            <w:tcBorders>
              <w:top w:val="single" w:sz="4" w:space="0" w:color="auto"/>
              <w:left w:val="single" w:sz="4" w:space="0" w:color="auto"/>
              <w:bottom w:val="single" w:sz="4" w:space="0" w:color="auto"/>
              <w:right w:val="single" w:sz="4" w:space="0" w:color="auto"/>
            </w:tcBorders>
            <w:vAlign w:val="center"/>
            <w:hideMark/>
          </w:tcPr>
          <w:p w14:paraId="65B5A140" w14:textId="77777777" w:rsidR="00154E32" w:rsidRDefault="00154E32">
            <w:pPr>
              <w:jc w:val="center"/>
              <w:rPr>
                <w:rFonts w:ascii="Arial Narrow" w:hAnsi="Arial Narrow"/>
                <w:b/>
                <w:noProof/>
                <w:sz w:val="20"/>
              </w:rPr>
            </w:pPr>
          </w:p>
        </w:tc>
        <w:tc>
          <w:tcPr>
            <w:tcW w:w="1777" w:type="dxa"/>
            <w:vMerge/>
            <w:tcBorders>
              <w:top w:val="single" w:sz="4" w:space="0" w:color="auto"/>
              <w:left w:val="single" w:sz="4" w:space="0" w:color="auto"/>
              <w:bottom w:val="single" w:sz="4" w:space="0" w:color="auto"/>
              <w:right w:val="single" w:sz="4" w:space="0" w:color="auto"/>
            </w:tcBorders>
            <w:vAlign w:val="center"/>
            <w:hideMark/>
          </w:tcPr>
          <w:p w14:paraId="03F7FB5B" w14:textId="77777777" w:rsidR="00154E32" w:rsidRDefault="00154E32">
            <w:pPr>
              <w:jc w:val="center"/>
              <w:rPr>
                <w:rFonts w:ascii="Arial Narrow" w:hAnsi="Arial Narrow"/>
                <w:b/>
                <w:noProof/>
                <w:sz w:val="20"/>
              </w:rPr>
            </w:pPr>
          </w:p>
        </w:tc>
        <w:tc>
          <w:tcPr>
            <w:tcW w:w="92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B728323" w14:textId="77777777" w:rsidR="00154E32" w:rsidRDefault="00A43E04">
            <w:pPr>
              <w:pStyle w:val="P68B1DB1-Normal9"/>
              <w:jc w:val="center"/>
              <w:rPr>
                <w:noProof/>
              </w:rPr>
            </w:pPr>
            <w:r>
              <w:rPr>
                <w:noProof/>
              </w:rPr>
              <w:t>Merska enota</w:t>
            </w:r>
          </w:p>
        </w:tc>
        <w:tc>
          <w:tcPr>
            <w:tcW w:w="1096" w:type="dxa"/>
            <w:tcBorders>
              <w:top w:val="single" w:sz="4" w:space="0" w:color="auto"/>
              <w:left w:val="nil"/>
              <w:bottom w:val="single" w:sz="4" w:space="0" w:color="auto"/>
              <w:right w:val="single" w:sz="4" w:space="0" w:color="auto"/>
            </w:tcBorders>
            <w:shd w:val="clear" w:color="auto" w:fill="BDD7EE"/>
            <w:vAlign w:val="center"/>
            <w:hideMark/>
          </w:tcPr>
          <w:p w14:paraId="531DAE94" w14:textId="77777777" w:rsidR="00154E32" w:rsidRDefault="00A43E04">
            <w:pPr>
              <w:pStyle w:val="P68B1DB1-Normal9"/>
              <w:jc w:val="center"/>
              <w:rPr>
                <w:noProof/>
              </w:rPr>
            </w:pPr>
            <w:r>
              <w:rPr>
                <w:noProof/>
              </w:rPr>
              <w:t>Izhodišče</w:t>
            </w:r>
          </w:p>
        </w:tc>
        <w:tc>
          <w:tcPr>
            <w:tcW w:w="878" w:type="dxa"/>
            <w:tcBorders>
              <w:top w:val="single" w:sz="4" w:space="0" w:color="auto"/>
              <w:left w:val="nil"/>
              <w:bottom w:val="single" w:sz="4" w:space="0" w:color="auto"/>
              <w:right w:val="single" w:sz="4" w:space="0" w:color="auto"/>
            </w:tcBorders>
            <w:shd w:val="clear" w:color="auto" w:fill="BDD7EE"/>
            <w:vAlign w:val="center"/>
            <w:hideMark/>
          </w:tcPr>
          <w:p w14:paraId="34BF4DF1" w14:textId="77777777" w:rsidR="00154E32" w:rsidRDefault="00A43E04">
            <w:pPr>
              <w:pStyle w:val="P68B1DB1-Normal9"/>
              <w:jc w:val="center"/>
              <w:rPr>
                <w:noProof/>
              </w:rPr>
            </w:pPr>
            <w:r>
              <w:rPr>
                <w:noProof/>
              </w:rPr>
              <w:t>Cilj</w:t>
            </w:r>
          </w:p>
        </w:tc>
        <w:tc>
          <w:tcPr>
            <w:tcW w:w="916" w:type="dxa"/>
            <w:tcBorders>
              <w:top w:val="single" w:sz="4" w:space="0" w:color="auto"/>
              <w:left w:val="nil"/>
              <w:bottom w:val="single" w:sz="4" w:space="0" w:color="auto"/>
              <w:right w:val="single" w:sz="4" w:space="0" w:color="auto"/>
            </w:tcBorders>
            <w:shd w:val="clear" w:color="auto" w:fill="BDD7EE"/>
            <w:vAlign w:val="center"/>
            <w:hideMark/>
          </w:tcPr>
          <w:p w14:paraId="2A1DD8CA" w14:textId="77777777" w:rsidR="00154E32" w:rsidRDefault="00A43E04">
            <w:pPr>
              <w:pStyle w:val="P68B1DB1-Normal9"/>
              <w:jc w:val="center"/>
              <w:rPr>
                <w:noProof/>
              </w:rPr>
            </w:pPr>
            <w:r>
              <w:rPr>
                <w:noProof/>
              </w:rPr>
              <w:t>Četrtletje</w:t>
            </w:r>
          </w:p>
        </w:tc>
        <w:tc>
          <w:tcPr>
            <w:tcW w:w="666" w:type="dxa"/>
            <w:tcBorders>
              <w:top w:val="single" w:sz="4" w:space="0" w:color="auto"/>
              <w:left w:val="nil"/>
              <w:bottom w:val="single" w:sz="4" w:space="0" w:color="auto"/>
              <w:right w:val="single" w:sz="4" w:space="0" w:color="auto"/>
            </w:tcBorders>
            <w:shd w:val="clear" w:color="auto" w:fill="BDD7EE"/>
            <w:vAlign w:val="center"/>
            <w:hideMark/>
          </w:tcPr>
          <w:p w14:paraId="561286BD" w14:textId="77777777" w:rsidR="00154E32" w:rsidRDefault="00A43E04">
            <w:pPr>
              <w:pStyle w:val="P68B1DB1-Normal9"/>
              <w:jc w:val="center"/>
              <w:rPr>
                <w:noProof/>
              </w:rPr>
            </w:pPr>
            <w:r>
              <w:rPr>
                <w:noProof/>
              </w:rPr>
              <w:t>Leto</w:t>
            </w:r>
          </w:p>
        </w:tc>
        <w:tc>
          <w:tcPr>
            <w:tcW w:w="4231" w:type="dxa"/>
            <w:vMerge/>
            <w:tcBorders>
              <w:top w:val="single" w:sz="4" w:space="0" w:color="auto"/>
              <w:bottom w:val="single" w:sz="4" w:space="0" w:color="auto"/>
              <w:right w:val="single" w:sz="4" w:space="0" w:color="auto"/>
            </w:tcBorders>
            <w:vAlign w:val="center"/>
            <w:hideMark/>
          </w:tcPr>
          <w:p w14:paraId="1FC7D3D5" w14:textId="77777777" w:rsidR="00154E32" w:rsidRDefault="00154E32">
            <w:pPr>
              <w:rPr>
                <w:rFonts w:ascii="Arial Narrow" w:hAnsi="Arial Narrow"/>
                <w:b/>
                <w:noProof/>
                <w:sz w:val="20"/>
              </w:rPr>
            </w:pPr>
          </w:p>
        </w:tc>
      </w:tr>
      <w:tr w:rsidR="00154E32" w14:paraId="277A0711" w14:textId="77777777">
        <w:trPr>
          <w:trHeight w:val="309"/>
          <w:jc w:val="center"/>
        </w:trPr>
        <w:tc>
          <w:tcPr>
            <w:tcW w:w="1130"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0514CB1C" w14:textId="77777777" w:rsidR="00154E32" w:rsidRDefault="00A43E04">
            <w:pPr>
              <w:pStyle w:val="P68B1DB1-Normal11"/>
              <w:jc w:val="center"/>
              <w:rPr>
                <w:noProof/>
              </w:rPr>
            </w:pPr>
            <w:r>
              <w:rPr>
                <w:noProof/>
              </w:rPr>
              <w:t>M3C2–1</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3D7C515C" w14:textId="3EB75752" w:rsidR="00154E32" w:rsidRDefault="00A43E04">
            <w:pPr>
              <w:pStyle w:val="P68B1DB1-Normal11"/>
              <w:spacing w:line="257" w:lineRule="auto"/>
              <w:jc w:val="center"/>
              <w:rPr>
                <w:noProof/>
              </w:rPr>
            </w:pPr>
            <w:r>
              <w:rPr>
                <w:noProof/>
              </w:rPr>
              <w:t>Reforma 1.1 – Poenostavitev postopkov za proces strateškega načrtovanja</w:t>
            </w:r>
          </w:p>
        </w:tc>
        <w:tc>
          <w:tcPr>
            <w:tcW w:w="1066" w:type="dxa"/>
            <w:tcBorders>
              <w:top w:val="single" w:sz="4" w:space="0" w:color="auto"/>
              <w:left w:val="nil"/>
              <w:bottom w:val="single" w:sz="4" w:space="0" w:color="auto"/>
              <w:right w:val="single" w:sz="4" w:space="0" w:color="auto"/>
            </w:tcBorders>
            <w:shd w:val="clear" w:color="auto" w:fill="C6EFCE"/>
            <w:noWrap/>
            <w:vAlign w:val="center"/>
          </w:tcPr>
          <w:p w14:paraId="6549FAD4" w14:textId="77777777" w:rsidR="00154E32" w:rsidRDefault="00A43E04">
            <w:pPr>
              <w:pStyle w:val="P68B1DB1-Normal11"/>
              <w:jc w:val="center"/>
              <w:rPr>
                <w:noProof/>
              </w:rPr>
            </w:pPr>
            <w:r>
              <w:rPr>
                <w:noProof/>
              </w:rPr>
              <w:t>Mejnik</w:t>
            </w:r>
          </w:p>
        </w:tc>
        <w:tc>
          <w:tcPr>
            <w:tcW w:w="1627" w:type="dxa"/>
            <w:tcBorders>
              <w:top w:val="single" w:sz="4" w:space="0" w:color="auto"/>
              <w:left w:val="nil"/>
              <w:bottom w:val="single" w:sz="4" w:space="0" w:color="auto"/>
              <w:right w:val="single" w:sz="4" w:space="0" w:color="auto"/>
            </w:tcBorders>
            <w:shd w:val="clear" w:color="auto" w:fill="C6EFCE"/>
            <w:noWrap/>
            <w:vAlign w:val="center"/>
          </w:tcPr>
          <w:p w14:paraId="622890FF" w14:textId="77777777" w:rsidR="00154E32" w:rsidRDefault="00A43E04">
            <w:pPr>
              <w:pStyle w:val="P68B1DB1-Normal11"/>
              <w:jc w:val="center"/>
              <w:rPr>
                <w:noProof/>
              </w:rPr>
            </w:pPr>
            <w:r>
              <w:rPr>
                <w:noProof/>
              </w:rPr>
              <w:t>Začetek veljavnosti zakonodajnih sprememb v zvezi s poenostavitvijo postopkov za proces strateškega načrtovanja</w:t>
            </w:r>
          </w:p>
        </w:tc>
        <w:tc>
          <w:tcPr>
            <w:tcW w:w="1777" w:type="dxa"/>
            <w:tcBorders>
              <w:top w:val="single" w:sz="4" w:space="0" w:color="auto"/>
              <w:left w:val="nil"/>
              <w:bottom w:val="single" w:sz="4" w:space="0" w:color="auto"/>
              <w:right w:val="single" w:sz="4" w:space="0" w:color="auto"/>
            </w:tcBorders>
            <w:shd w:val="clear" w:color="auto" w:fill="C6EFCE"/>
            <w:noWrap/>
            <w:vAlign w:val="center"/>
          </w:tcPr>
          <w:p w14:paraId="494F7BC0" w14:textId="77777777" w:rsidR="00154E32" w:rsidRDefault="00A43E04">
            <w:pPr>
              <w:pStyle w:val="P68B1DB1-Normal11"/>
              <w:jc w:val="center"/>
              <w:rPr>
                <w:noProof/>
              </w:rPr>
            </w:pPr>
            <w:r>
              <w:rPr>
                <w:noProof/>
              </w:rPr>
              <w:t>Določba pravnega(-ih) akta(-ov), ki navaja(-jo) začetek veljavnosti zakonodajnih sprememb, povezanih s poenostavitvijo postopkov za proces strateškega načrtovanja</w:t>
            </w:r>
          </w:p>
        </w:tc>
        <w:tc>
          <w:tcPr>
            <w:tcW w:w="926" w:type="dxa"/>
            <w:tcBorders>
              <w:top w:val="single" w:sz="4" w:space="0" w:color="auto"/>
              <w:left w:val="nil"/>
              <w:bottom w:val="single" w:sz="4" w:space="0" w:color="auto"/>
              <w:right w:val="single" w:sz="4" w:space="0" w:color="auto"/>
            </w:tcBorders>
            <w:shd w:val="clear" w:color="auto" w:fill="C6EFCE"/>
            <w:noWrap/>
            <w:vAlign w:val="center"/>
          </w:tcPr>
          <w:p w14:paraId="094B4AEC" w14:textId="77777777" w:rsidR="00154E32" w:rsidRDefault="00A43E04">
            <w:pPr>
              <w:pStyle w:val="P68B1DB1-Normal11"/>
              <w:jc w:val="center"/>
              <w:rPr>
                <w:noProof/>
              </w:rPr>
            </w:pPr>
            <w:r>
              <w:rPr>
                <w:noProof/>
              </w:rPr>
              <w:t>JIH NI</w:t>
            </w:r>
          </w:p>
        </w:tc>
        <w:tc>
          <w:tcPr>
            <w:tcW w:w="1096" w:type="dxa"/>
            <w:tcBorders>
              <w:top w:val="nil"/>
              <w:left w:val="nil"/>
              <w:bottom w:val="single" w:sz="4" w:space="0" w:color="auto"/>
              <w:right w:val="single" w:sz="4" w:space="0" w:color="auto"/>
            </w:tcBorders>
            <w:shd w:val="clear" w:color="auto" w:fill="C6EFCE"/>
            <w:noWrap/>
            <w:vAlign w:val="center"/>
          </w:tcPr>
          <w:p w14:paraId="2885EEDE" w14:textId="77777777" w:rsidR="00154E32" w:rsidRDefault="00A43E04">
            <w:pPr>
              <w:pStyle w:val="P68B1DB1-Normal11"/>
              <w:jc w:val="center"/>
              <w:rPr>
                <w:noProof/>
              </w:rPr>
            </w:pPr>
            <w:r>
              <w:rPr>
                <w:noProof/>
              </w:rPr>
              <w:t>JIH NI</w:t>
            </w:r>
          </w:p>
        </w:tc>
        <w:tc>
          <w:tcPr>
            <w:tcW w:w="878" w:type="dxa"/>
            <w:tcBorders>
              <w:top w:val="nil"/>
              <w:left w:val="nil"/>
              <w:bottom w:val="single" w:sz="4" w:space="0" w:color="auto"/>
              <w:right w:val="single" w:sz="4" w:space="0" w:color="auto"/>
            </w:tcBorders>
            <w:shd w:val="clear" w:color="auto" w:fill="C6EFCE"/>
            <w:noWrap/>
            <w:vAlign w:val="center"/>
          </w:tcPr>
          <w:p w14:paraId="352977CA" w14:textId="77777777" w:rsidR="00154E32" w:rsidRDefault="00A43E04">
            <w:pPr>
              <w:pStyle w:val="P68B1DB1-Normal11"/>
              <w:jc w:val="center"/>
              <w:rPr>
                <w:noProof/>
              </w:rPr>
            </w:pPr>
            <w:r>
              <w:rPr>
                <w:noProof/>
              </w:rPr>
              <w:t>JIH NI</w:t>
            </w:r>
          </w:p>
        </w:tc>
        <w:tc>
          <w:tcPr>
            <w:tcW w:w="916" w:type="dxa"/>
            <w:tcBorders>
              <w:top w:val="nil"/>
              <w:left w:val="nil"/>
              <w:bottom w:val="single" w:sz="4" w:space="0" w:color="auto"/>
              <w:right w:val="single" w:sz="4" w:space="0" w:color="auto"/>
            </w:tcBorders>
            <w:shd w:val="clear" w:color="auto" w:fill="C6EFCE"/>
            <w:noWrap/>
            <w:vAlign w:val="center"/>
          </w:tcPr>
          <w:p w14:paraId="12E5629E" w14:textId="77777777" w:rsidR="00154E32" w:rsidRDefault="00A43E04">
            <w:pPr>
              <w:pStyle w:val="P68B1DB1-Normal11"/>
              <w:jc w:val="center"/>
              <w:rPr>
                <w:noProof/>
              </w:rPr>
            </w:pPr>
            <w:r>
              <w:rPr>
                <w:noProof/>
              </w:rPr>
              <w:t>Q4</w:t>
            </w:r>
          </w:p>
        </w:tc>
        <w:tc>
          <w:tcPr>
            <w:tcW w:w="666" w:type="dxa"/>
            <w:tcBorders>
              <w:top w:val="nil"/>
              <w:left w:val="nil"/>
              <w:bottom w:val="single" w:sz="4" w:space="0" w:color="auto"/>
              <w:right w:val="single" w:sz="4" w:space="0" w:color="auto"/>
            </w:tcBorders>
            <w:shd w:val="clear" w:color="auto" w:fill="C6EFCE"/>
            <w:noWrap/>
            <w:vAlign w:val="center"/>
          </w:tcPr>
          <w:p w14:paraId="0504FFE6" w14:textId="77777777" w:rsidR="00154E32" w:rsidRDefault="00A43E04">
            <w:pPr>
              <w:pStyle w:val="P68B1DB1-Normal11"/>
              <w:jc w:val="center"/>
              <w:rPr>
                <w:noProof/>
              </w:rPr>
            </w:pPr>
            <w:r>
              <w:rPr>
                <w:noProof/>
              </w:rPr>
              <w:t>2022</w:t>
            </w:r>
          </w:p>
        </w:tc>
        <w:tc>
          <w:tcPr>
            <w:tcW w:w="4231" w:type="dxa"/>
            <w:tcBorders>
              <w:top w:val="single" w:sz="4" w:space="0" w:color="auto"/>
              <w:left w:val="nil"/>
              <w:bottom w:val="single" w:sz="4" w:space="0" w:color="auto"/>
              <w:right w:val="single" w:sz="4" w:space="0" w:color="auto"/>
            </w:tcBorders>
            <w:shd w:val="clear" w:color="auto" w:fill="C6EFCE"/>
            <w:noWrap/>
            <w:vAlign w:val="center"/>
          </w:tcPr>
          <w:p w14:paraId="2BD9CC62" w14:textId="77777777" w:rsidR="00154E32" w:rsidRDefault="00A43E04">
            <w:pPr>
              <w:pStyle w:val="P68B1DB1-Normal11"/>
              <w:rPr>
                <w:noProof/>
              </w:rPr>
            </w:pPr>
            <w:r>
              <w:rPr>
                <w:noProof/>
              </w:rPr>
              <w:t>Spremenjeni zakonodajni okvir določa:</w:t>
            </w:r>
          </w:p>
          <w:p w14:paraId="5D829D6C" w14:textId="77777777" w:rsidR="00154E32" w:rsidRDefault="00154E32">
            <w:pPr>
              <w:rPr>
                <w:rFonts w:ascii="Arial Narrow" w:hAnsi="Arial Narrow"/>
                <w:noProof/>
                <w:color w:val="006100"/>
                <w:sz w:val="20"/>
              </w:rPr>
            </w:pPr>
          </w:p>
          <w:p w14:paraId="76DE1F8F" w14:textId="77777777" w:rsidR="00154E32" w:rsidRDefault="00A43E04">
            <w:pPr>
              <w:pStyle w:val="P68B1DB1-Normal11"/>
              <w:rPr>
                <w:noProof/>
              </w:rPr>
            </w:pPr>
            <w:r>
              <w:rPr>
                <w:noProof/>
              </w:rPr>
              <w:t>— Vsi pristaniški organi sprejmejo dokumente o sistemskem strateškem načrtovanju (DPSS) in svoje pristaniške regulativne načrte (PRP), pri čemer v celoti upoštevajo reformo italijanskih pristaniških sistemov iz leta 2016, kot je bila odobrena z zakonodajnim odlokom št. 169 z dne 4. avgusta 2016.</w:t>
            </w:r>
          </w:p>
          <w:p w14:paraId="426D9D4C" w14:textId="77777777" w:rsidR="00154E32" w:rsidRDefault="00154E32">
            <w:pPr>
              <w:rPr>
                <w:rFonts w:ascii="Arial Narrow" w:hAnsi="Arial Narrow"/>
                <w:noProof/>
                <w:color w:val="006100"/>
                <w:sz w:val="20"/>
              </w:rPr>
            </w:pPr>
          </w:p>
          <w:p w14:paraId="02383944" w14:textId="77777777" w:rsidR="00154E32" w:rsidRDefault="00A43E04">
            <w:pPr>
              <w:pStyle w:val="P68B1DB1-Normal11"/>
              <w:rPr>
                <w:noProof/>
              </w:rPr>
            </w:pPr>
            <w:r>
              <w:rPr>
                <w:noProof/>
              </w:rPr>
              <w:t>DPSS ureja vsaj naslednje elemente:</w:t>
            </w:r>
          </w:p>
          <w:p w14:paraId="41F99236" w14:textId="77777777" w:rsidR="00154E32" w:rsidRDefault="00154E32">
            <w:pPr>
              <w:rPr>
                <w:rFonts w:ascii="Arial Narrow" w:hAnsi="Arial Narrow"/>
                <w:noProof/>
                <w:color w:val="006100"/>
                <w:sz w:val="20"/>
              </w:rPr>
            </w:pPr>
          </w:p>
          <w:p w14:paraId="1E6AF76A" w14:textId="77777777" w:rsidR="00154E32" w:rsidRDefault="00A43E04">
            <w:pPr>
              <w:pStyle w:val="P68B1DB1-Normal11"/>
              <w:rPr>
                <w:noProof/>
              </w:rPr>
            </w:pPr>
            <w:r>
              <w:rPr>
                <w:noProof/>
              </w:rPr>
              <w:t>Razvoj ciljev organov pristaniškega sistema;</w:t>
            </w:r>
          </w:p>
          <w:p w14:paraId="08A2672B" w14:textId="77777777" w:rsidR="00154E32" w:rsidRDefault="00154E32">
            <w:pPr>
              <w:rPr>
                <w:rFonts w:ascii="Arial Narrow" w:hAnsi="Arial Narrow"/>
                <w:noProof/>
                <w:color w:val="006100"/>
                <w:sz w:val="20"/>
              </w:rPr>
            </w:pPr>
          </w:p>
          <w:p w14:paraId="595C7EF0" w14:textId="77777777" w:rsidR="00154E32" w:rsidRDefault="00A43E04">
            <w:pPr>
              <w:pStyle w:val="P68B1DB1-Normal11"/>
              <w:rPr>
                <w:noProof/>
              </w:rPr>
            </w:pPr>
            <w:r>
              <w:rPr>
                <w:noProof/>
              </w:rPr>
              <w:t>Opredeljena in opisana območja, namenjena izključno pristaniškim in pristaniškim funkcijam,</w:t>
            </w:r>
          </w:p>
          <w:p w14:paraId="4C7E9E5E" w14:textId="77777777" w:rsidR="00154E32" w:rsidRDefault="00154E32">
            <w:pPr>
              <w:rPr>
                <w:rFonts w:ascii="Arial Narrow" w:hAnsi="Arial Narrow"/>
                <w:noProof/>
                <w:color w:val="006100"/>
                <w:sz w:val="20"/>
              </w:rPr>
            </w:pPr>
          </w:p>
          <w:p w14:paraId="308E6C8B" w14:textId="77777777" w:rsidR="00154E32" w:rsidRDefault="00A43E04">
            <w:pPr>
              <w:pStyle w:val="P68B1DB1-Normal11"/>
              <w:rPr>
                <w:noProof/>
              </w:rPr>
            </w:pPr>
            <w:r>
              <w:rPr>
                <w:noProof/>
              </w:rPr>
              <w:t>—Infrastrukturne povezave cestnega in železniškega prometa s pristanišči v zadnjem delu poti,</w:t>
            </w:r>
          </w:p>
          <w:p w14:paraId="62E6D5A7" w14:textId="77777777" w:rsidR="00154E32" w:rsidRDefault="00154E32">
            <w:pPr>
              <w:rPr>
                <w:rFonts w:ascii="Arial Narrow" w:hAnsi="Arial Narrow"/>
                <w:noProof/>
                <w:color w:val="006100"/>
                <w:sz w:val="20"/>
              </w:rPr>
            </w:pPr>
          </w:p>
          <w:p w14:paraId="4C9F5A9C" w14:textId="77777777" w:rsidR="00154E32" w:rsidRDefault="00A43E04">
            <w:pPr>
              <w:pStyle w:val="P68B1DB1-Normal11"/>
              <w:rPr>
                <w:noProof/>
              </w:rPr>
            </w:pPr>
            <w:r>
              <w:rPr>
                <w:noProof/>
              </w:rPr>
              <w:t>Merila za opredelitev vsebine načrtovanja,</w:t>
            </w:r>
          </w:p>
          <w:p w14:paraId="1863DE94" w14:textId="77777777" w:rsidR="00154E32" w:rsidRDefault="00154E32">
            <w:pPr>
              <w:rPr>
                <w:rFonts w:ascii="Arial Narrow" w:hAnsi="Arial Narrow"/>
                <w:noProof/>
                <w:color w:val="006100"/>
                <w:sz w:val="20"/>
              </w:rPr>
            </w:pPr>
          </w:p>
          <w:p w14:paraId="4A5E8751" w14:textId="77777777" w:rsidR="00154E32" w:rsidRDefault="00A43E04">
            <w:pPr>
              <w:pStyle w:val="P68B1DB1-Normal11"/>
              <w:rPr>
                <w:noProof/>
              </w:rPr>
            </w:pPr>
            <w:r>
              <w:rPr>
                <w:noProof/>
              </w:rPr>
              <w:t>—Nedvoumna opredelitev smernic, pravil in postopkov za pripravo pristaniških regulativnih načrtov.</w:t>
            </w:r>
          </w:p>
        </w:tc>
      </w:tr>
      <w:tr w:rsidR="00154E32" w14:paraId="17E7060C" w14:textId="77777777">
        <w:trPr>
          <w:trHeight w:val="309"/>
          <w:jc w:val="center"/>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0F6DEC73" w14:textId="77777777" w:rsidR="00154E32" w:rsidRDefault="00A43E04">
            <w:pPr>
              <w:pStyle w:val="P68B1DB1-Normal11"/>
              <w:jc w:val="center"/>
              <w:rPr>
                <w:noProof/>
              </w:rPr>
            </w:pPr>
            <w:r>
              <w:rPr>
                <w:noProof/>
              </w:rPr>
              <w:t>M3C2–2</w:t>
            </w:r>
          </w:p>
        </w:tc>
        <w:tc>
          <w:tcPr>
            <w:tcW w:w="1560" w:type="dxa"/>
            <w:tcBorders>
              <w:top w:val="nil"/>
              <w:left w:val="nil"/>
              <w:bottom w:val="single" w:sz="4" w:space="0" w:color="auto"/>
              <w:right w:val="single" w:sz="4" w:space="0" w:color="auto"/>
            </w:tcBorders>
            <w:shd w:val="clear" w:color="auto" w:fill="C6EFCE"/>
            <w:noWrap/>
            <w:vAlign w:val="center"/>
          </w:tcPr>
          <w:p w14:paraId="0714A005" w14:textId="77777777" w:rsidR="00154E32" w:rsidRDefault="00A43E04">
            <w:pPr>
              <w:pStyle w:val="P68B1DB1-Normal11"/>
              <w:jc w:val="center"/>
              <w:rPr>
                <w:noProof/>
              </w:rPr>
            </w:pPr>
            <w:r>
              <w:rPr>
                <w:noProof/>
              </w:rPr>
              <w:t>Reforma 1.2 – Konkurenčna podelitev koncesij v italijanskih pristaniščih</w:t>
            </w:r>
          </w:p>
        </w:tc>
        <w:tc>
          <w:tcPr>
            <w:tcW w:w="1066" w:type="dxa"/>
            <w:tcBorders>
              <w:top w:val="nil"/>
              <w:left w:val="nil"/>
              <w:bottom w:val="single" w:sz="4" w:space="0" w:color="auto"/>
              <w:right w:val="single" w:sz="4" w:space="0" w:color="auto"/>
            </w:tcBorders>
            <w:shd w:val="clear" w:color="auto" w:fill="C6EFCE"/>
            <w:noWrap/>
            <w:vAlign w:val="center"/>
          </w:tcPr>
          <w:p w14:paraId="3D4B81AF" w14:textId="77777777" w:rsidR="00154E32" w:rsidRDefault="00A43E04">
            <w:pPr>
              <w:pStyle w:val="P68B1DB1-Normal11"/>
              <w:jc w:val="center"/>
              <w:rPr>
                <w:noProof/>
              </w:rPr>
            </w:pPr>
            <w:r>
              <w:rPr>
                <w:noProof/>
              </w:rPr>
              <w:t>Mejnik</w:t>
            </w:r>
          </w:p>
        </w:tc>
        <w:tc>
          <w:tcPr>
            <w:tcW w:w="1627" w:type="dxa"/>
            <w:tcBorders>
              <w:top w:val="nil"/>
              <w:left w:val="nil"/>
              <w:bottom w:val="single" w:sz="4" w:space="0" w:color="auto"/>
              <w:right w:val="single" w:sz="4" w:space="0" w:color="auto"/>
            </w:tcBorders>
            <w:shd w:val="clear" w:color="auto" w:fill="C6EFCE"/>
            <w:noWrap/>
            <w:vAlign w:val="center"/>
          </w:tcPr>
          <w:p w14:paraId="14BAF450" w14:textId="77777777" w:rsidR="00154E32" w:rsidRDefault="00A43E04">
            <w:pPr>
              <w:pStyle w:val="P68B1DB1-Normal11"/>
              <w:jc w:val="center"/>
              <w:rPr>
                <w:noProof/>
              </w:rPr>
            </w:pPr>
            <w:r>
              <w:rPr>
                <w:noProof/>
              </w:rPr>
              <w:t>Začetek veljavnosti uredbe o pristaniških koncesijah</w:t>
            </w:r>
          </w:p>
        </w:tc>
        <w:tc>
          <w:tcPr>
            <w:tcW w:w="1777" w:type="dxa"/>
            <w:tcBorders>
              <w:top w:val="nil"/>
              <w:left w:val="nil"/>
              <w:bottom w:val="single" w:sz="4" w:space="0" w:color="auto"/>
              <w:right w:val="single" w:sz="4" w:space="0" w:color="auto"/>
            </w:tcBorders>
            <w:shd w:val="clear" w:color="auto" w:fill="C6EFCE"/>
            <w:noWrap/>
            <w:vAlign w:val="center"/>
          </w:tcPr>
          <w:p w14:paraId="633B5D74" w14:textId="77777777" w:rsidR="00154E32" w:rsidRDefault="00A43E04">
            <w:pPr>
              <w:pStyle w:val="P68B1DB1-Normal11"/>
              <w:jc w:val="center"/>
              <w:rPr>
                <w:noProof/>
              </w:rPr>
            </w:pPr>
            <w:r>
              <w:rPr>
                <w:noProof/>
              </w:rPr>
              <w:t>Določba uredbe o začetku veljavnosti uredbe o pristaniških koncesijah</w:t>
            </w:r>
          </w:p>
        </w:tc>
        <w:tc>
          <w:tcPr>
            <w:tcW w:w="926" w:type="dxa"/>
            <w:tcBorders>
              <w:top w:val="nil"/>
              <w:left w:val="nil"/>
              <w:bottom w:val="single" w:sz="4" w:space="0" w:color="auto"/>
              <w:right w:val="single" w:sz="4" w:space="0" w:color="auto"/>
            </w:tcBorders>
            <w:shd w:val="clear" w:color="auto" w:fill="C6EFCE"/>
            <w:noWrap/>
            <w:vAlign w:val="center"/>
          </w:tcPr>
          <w:p w14:paraId="777D1469" w14:textId="77777777" w:rsidR="00154E32" w:rsidRDefault="00A43E04">
            <w:pPr>
              <w:pStyle w:val="P68B1DB1-Normal11"/>
              <w:jc w:val="center"/>
              <w:rPr>
                <w:noProof/>
              </w:rPr>
            </w:pPr>
            <w:r>
              <w:rPr>
                <w:noProof/>
              </w:rPr>
              <w:t>JIH NI</w:t>
            </w:r>
          </w:p>
        </w:tc>
        <w:tc>
          <w:tcPr>
            <w:tcW w:w="1096" w:type="dxa"/>
            <w:tcBorders>
              <w:top w:val="nil"/>
              <w:left w:val="nil"/>
              <w:bottom w:val="single" w:sz="4" w:space="0" w:color="auto"/>
              <w:right w:val="single" w:sz="4" w:space="0" w:color="auto"/>
            </w:tcBorders>
            <w:shd w:val="clear" w:color="auto" w:fill="C6EFCE"/>
            <w:noWrap/>
            <w:vAlign w:val="center"/>
          </w:tcPr>
          <w:p w14:paraId="14850838" w14:textId="77777777" w:rsidR="00154E32" w:rsidRDefault="00A43E04">
            <w:pPr>
              <w:pStyle w:val="P68B1DB1-Normal11"/>
              <w:jc w:val="center"/>
              <w:rPr>
                <w:noProof/>
              </w:rPr>
            </w:pPr>
            <w:r>
              <w:rPr>
                <w:noProof/>
              </w:rPr>
              <w:t>JIH NI</w:t>
            </w:r>
          </w:p>
        </w:tc>
        <w:tc>
          <w:tcPr>
            <w:tcW w:w="878" w:type="dxa"/>
            <w:tcBorders>
              <w:top w:val="nil"/>
              <w:left w:val="nil"/>
              <w:bottom w:val="single" w:sz="4" w:space="0" w:color="auto"/>
              <w:right w:val="single" w:sz="4" w:space="0" w:color="auto"/>
            </w:tcBorders>
            <w:shd w:val="clear" w:color="auto" w:fill="C6EFCE"/>
            <w:noWrap/>
            <w:vAlign w:val="center"/>
          </w:tcPr>
          <w:p w14:paraId="4E98FA6D" w14:textId="77777777" w:rsidR="00154E32" w:rsidRDefault="00A43E04">
            <w:pPr>
              <w:pStyle w:val="P68B1DB1-Normal11"/>
              <w:jc w:val="center"/>
              <w:rPr>
                <w:noProof/>
              </w:rPr>
            </w:pPr>
            <w:r>
              <w:rPr>
                <w:noProof/>
              </w:rPr>
              <w:t>JIH NI</w:t>
            </w:r>
          </w:p>
        </w:tc>
        <w:tc>
          <w:tcPr>
            <w:tcW w:w="916" w:type="dxa"/>
            <w:tcBorders>
              <w:top w:val="nil"/>
              <w:left w:val="nil"/>
              <w:bottom w:val="single" w:sz="4" w:space="0" w:color="auto"/>
              <w:right w:val="single" w:sz="4" w:space="0" w:color="auto"/>
            </w:tcBorders>
            <w:shd w:val="clear" w:color="auto" w:fill="C6EFCE"/>
            <w:noWrap/>
            <w:vAlign w:val="center"/>
          </w:tcPr>
          <w:p w14:paraId="5DCBF645" w14:textId="77777777" w:rsidR="00154E32" w:rsidRDefault="00A43E04">
            <w:pPr>
              <w:pStyle w:val="P68B1DB1-Normal11"/>
              <w:jc w:val="center"/>
              <w:rPr>
                <w:noProof/>
              </w:rPr>
            </w:pPr>
            <w:r>
              <w:rPr>
                <w:noProof/>
              </w:rPr>
              <w:t>Q4</w:t>
            </w:r>
          </w:p>
        </w:tc>
        <w:tc>
          <w:tcPr>
            <w:tcW w:w="666" w:type="dxa"/>
            <w:tcBorders>
              <w:top w:val="nil"/>
              <w:left w:val="nil"/>
              <w:bottom w:val="single" w:sz="4" w:space="0" w:color="auto"/>
              <w:right w:val="single" w:sz="4" w:space="0" w:color="auto"/>
            </w:tcBorders>
            <w:shd w:val="clear" w:color="auto" w:fill="C6EFCE"/>
            <w:noWrap/>
            <w:vAlign w:val="center"/>
          </w:tcPr>
          <w:p w14:paraId="74B3AAA0" w14:textId="77777777" w:rsidR="00154E32" w:rsidRDefault="00A43E04">
            <w:pPr>
              <w:pStyle w:val="P68B1DB1-Normal11"/>
              <w:jc w:val="center"/>
              <w:rPr>
                <w:noProof/>
              </w:rPr>
            </w:pPr>
            <w:r>
              <w:rPr>
                <w:noProof/>
              </w:rPr>
              <w:t>2022</w:t>
            </w:r>
          </w:p>
        </w:tc>
        <w:tc>
          <w:tcPr>
            <w:tcW w:w="4231" w:type="dxa"/>
            <w:tcBorders>
              <w:top w:val="nil"/>
              <w:left w:val="nil"/>
              <w:bottom w:val="single" w:sz="4" w:space="0" w:color="auto"/>
              <w:right w:val="single" w:sz="4" w:space="0" w:color="auto"/>
            </w:tcBorders>
            <w:shd w:val="clear" w:color="auto" w:fill="C6EFCE"/>
            <w:noWrap/>
            <w:vAlign w:val="center"/>
          </w:tcPr>
          <w:p w14:paraId="2BA5BC1B" w14:textId="77777777" w:rsidR="00154E32" w:rsidRDefault="00A43E04">
            <w:pPr>
              <w:pStyle w:val="P68B1DB1-Normal11"/>
              <w:rPr>
                <w:noProof/>
              </w:rPr>
            </w:pPr>
            <w:r>
              <w:rPr>
                <w:noProof/>
              </w:rPr>
              <w:t>Nova uredba določa okvirne pogoje za podelitev koncesij v pristaniščih. Uredba se določi kot minimum:</w:t>
            </w:r>
          </w:p>
          <w:p w14:paraId="102E1494" w14:textId="77777777" w:rsidR="00154E32" w:rsidRDefault="00154E32">
            <w:pPr>
              <w:rPr>
                <w:rFonts w:ascii="Arial Narrow" w:hAnsi="Arial Narrow"/>
                <w:noProof/>
                <w:color w:val="006100"/>
                <w:sz w:val="20"/>
              </w:rPr>
            </w:pPr>
          </w:p>
          <w:p w14:paraId="52D83127" w14:textId="77777777" w:rsidR="00154E32" w:rsidRDefault="00154E32">
            <w:pPr>
              <w:rPr>
                <w:rFonts w:ascii="Arial Narrow" w:hAnsi="Arial Narrow"/>
                <w:noProof/>
                <w:color w:val="006100"/>
                <w:sz w:val="20"/>
              </w:rPr>
            </w:pPr>
          </w:p>
          <w:p w14:paraId="4AE298A2" w14:textId="77777777" w:rsidR="00154E32" w:rsidRDefault="00A43E04">
            <w:pPr>
              <w:pStyle w:val="P68B1DB1-Normal11"/>
              <w:rPr>
                <w:noProof/>
              </w:rPr>
            </w:pPr>
            <w:r>
              <w:rPr>
                <w:noProof/>
              </w:rPr>
              <w:t>Pogoje v zvezi s trajanjem koncesije;</w:t>
            </w:r>
          </w:p>
          <w:p w14:paraId="7206552B" w14:textId="77777777" w:rsidR="00154E32" w:rsidRDefault="00154E32">
            <w:pPr>
              <w:rPr>
                <w:rFonts w:ascii="Arial Narrow" w:hAnsi="Arial Narrow"/>
                <w:noProof/>
                <w:color w:val="006100"/>
                <w:sz w:val="20"/>
              </w:rPr>
            </w:pPr>
          </w:p>
          <w:p w14:paraId="77FE360C" w14:textId="77777777" w:rsidR="00154E32" w:rsidRDefault="00A43E04">
            <w:pPr>
              <w:pStyle w:val="P68B1DB1-Normal11"/>
              <w:rPr>
                <w:noProof/>
              </w:rPr>
            </w:pPr>
            <w:r>
              <w:rPr>
                <w:noProof/>
              </w:rPr>
              <w:t>Nadzorna in kontrolna pooblastila organov, ki dodeljujejo sredstva;</w:t>
            </w:r>
          </w:p>
          <w:p w14:paraId="6E6C6C0F" w14:textId="77777777" w:rsidR="00154E32" w:rsidRDefault="00154E32">
            <w:pPr>
              <w:rPr>
                <w:rFonts w:ascii="Arial Narrow" w:hAnsi="Arial Narrow"/>
                <w:noProof/>
                <w:color w:val="006100"/>
                <w:sz w:val="20"/>
              </w:rPr>
            </w:pPr>
          </w:p>
          <w:p w14:paraId="507A6579" w14:textId="77777777" w:rsidR="00154E32" w:rsidRDefault="00A43E04">
            <w:pPr>
              <w:pStyle w:val="P68B1DB1-Normal11"/>
              <w:rPr>
                <w:noProof/>
              </w:rPr>
            </w:pPr>
            <w:r>
              <w:rPr>
                <w:noProof/>
              </w:rPr>
              <w:t>Metode obnovitve;</w:t>
            </w:r>
          </w:p>
          <w:p w14:paraId="0293ADB3" w14:textId="77777777" w:rsidR="00154E32" w:rsidRDefault="00154E32">
            <w:pPr>
              <w:rPr>
                <w:rFonts w:ascii="Arial Narrow" w:hAnsi="Arial Narrow"/>
                <w:noProof/>
                <w:color w:val="006100"/>
                <w:sz w:val="20"/>
              </w:rPr>
            </w:pPr>
          </w:p>
          <w:p w14:paraId="767B5E3A" w14:textId="77777777" w:rsidR="00154E32" w:rsidRDefault="00A43E04">
            <w:pPr>
              <w:pStyle w:val="P68B1DB1-Normal11"/>
              <w:rPr>
                <w:noProof/>
              </w:rPr>
            </w:pPr>
            <w:r>
              <w:rPr>
                <w:noProof/>
              </w:rPr>
              <w:t>Prenos obratov na novega koncesionarja ob izteku koncesije;</w:t>
            </w:r>
          </w:p>
          <w:p w14:paraId="75DACBBC" w14:textId="77777777" w:rsidR="00154E32" w:rsidRDefault="00154E32">
            <w:pPr>
              <w:rPr>
                <w:rFonts w:ascii="Arial Narrow" w:hAnsi="Arial Narrow"/>
                <w:noProof/>
                <w:color w:val="006100"/>
                <w:sz w:val="20"/>
              </w:rPr>
            </w:pPr>
          </w:p>
          <w:p w14:paraId="65C6D505" w14:textId="77777777" w:rsidR="00154E32" w:rsidRDefault="00A43E04">
            <w:pPr>
              <w:pStyle w:val="P68B1DB1-Normal11"/>
              <w:rPr>
                <w:noProof/>
              </w:rPr>
            </w:pPr>
            <w:r>
              <w:rPr>
                <w:noProof/>
              </w:rPr>
              <w:t>—Omejitve najnižjih pristojbin, ki jih morajo plačati pridobitelji licenc.</w:t>
            </w:r>
          </w:p>
        </w:tc>
      </w:tr>
      <w:tr w:rsidR="00154E32" w14:paraId="422ADD41" w14:textId="77777777">
        <w:trPr>
          <w:trHeight w:val="309"/>
          <w:jc w:val="center"/>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14DFBD0C" w14:textId="77777777" w:rsidR="00154E32" w:rsidRDefault="00A43E04">
            <w:pPr>
              <w:jc w:val="center"/>
              <w:rPr>
                <w:rFonts w:ascii="Arial Narrow" w:hAnsi="Arial Narrow"/>
                <w:noProof/>
                <w:color w:val="006100"/>
                <w:sz w:val="20"/>
              </w:rPr>
            </w:pPr>
            <w:r>
              <w:rPr>
                <w:rStyle w:val="normaltextrun"/>
                <w:rFonts w:ascii="Arial Narrow" w:hAnsi="Arial Narrow"/>
                <w:noProof/>
                <w:color w:val="006100"/>
                <w:sz w:val="20"/>
              </w:rPr>
              <w:t xml:space="preserve">M3C2–3 </w:t>
            </w:r>
          </w:p>
        </w:tc>
        <w:tc>
          <w:tcPr>
            <w:tcW w:w="1560" w:type="dxa"/>
            <w:tcBorders>
              <w:top w:val="nil"/>
              <w:left w:val="nil"/>
              <w:bottom w:val="single" w:sz="4" w:space="0" w:color="auto"/>
              <w:right w:val="single" w:sz="4" w:space="0" w:color="auto"/>
            </w:tcBorders>
            <w:shd w:val="clear" w:color="auto" w:fill="C6EFCE"/>
            <w:noWrap/>
            <w:vAlign w:val="center"/>
          </w:tcPr>
          <w:p w14:paraId="66644229" w14:textId="77777777" w:rsidR="00154E32" w:rsidRDefault="00A43E04">
            <w:pPr>
              <w:pStyle w:val="P68B1DB1-Normal11"/>
              <w:jc w:val="center"/>
              <w:rPr>
                <w:noProof/>
              </w:rPr>
            </w:pPr>
            <w:r>
              <w:rPr>
                <w:noProof/>
              </w:rPr>
              <w:t>Reforma 2.1 – Izvajanje enotnega carinskega okenca („Sportello Unico Doganale“) </w:t>
            </w:r>
          </w:p>
        </w:tc>
        <w:tc>
          <w:tcPr>
            <w:tcW w:w="1066" w:type="dxa"/>
            <w:tcBorders>
              <w:top w:val="nil"/>
              <w:left w:val="nil"/>
              <w:bottom w:val="single" w:sz="4" w:space="0" w:color="auto"/>
              <w:right w:val="single" w:sz="4" w:space="0" w:color="auto"/>
            </w:tcBorders>
            <w:shd w:val="clear" w:color="auto" w:fill="C6EFCE"/>
            <w:noWrap/>
            <w:vAlign w:val="center"/>
          </w:tcPr>
          <w:p w14:paraId="2F4AFFB4" w14:textId="77777777" w:rsidR="00154E32" w:rsidRDefault="00A43E04">
            <w:pPr>
              <w:pStyle w:val="P68B1DB1-Normal11"/>
              <w:jc w:val="center"/>
              <w:rPr>
                <w:noProof/>
              </w:rPr>
            </w:pPr>
            <w:r>
              <w:rPr>
                <w:noProof/>
              </w:rPr>
              <w:t>Mejnik </w:t>
            </w:r>
          </w:p>
        </w:tc>
        <w:tc>
          <w:tcPr>
            <w:tcW w:w="1627" w:type="dxa"/>
            <w:tcBorders>
              <w:top w:val="nil"/>
              <w:left w:val="nil"/>
              <w:bottom w:val="single" w:sz="4" w:space="0" w:color="auto"/>
              <w:right w:val="single" w:sz="4" w:space="0" w:color="auto"/>
            </w:tcBorders>
            <w:shd w:val="clear" w:color="auto" w:fill="C6EFCE"/>
            <w:noWrap/>
            <w:vAlign w:val="center"/>
          </w:tcPr>
          <w:p w14:paraId="6B4069F0" w14:textId="77777777" w:rsidR="00154E32" w:rsidRDefault="00A43E04">
            <w:pPr>
              <w:pStyle w:val="P68B1DB1-paragraph25"/>
              <w:spacing w:before="0" w:beforeAutospacing="0" w:after="0" w:afterAutospacing="0"/>
              <w:jc w:val="center"/>
              <w:textAlignment w:val="baseline"/>
              <w:divId w:val="2137526311"/>
              <w:rPr>
                <w:noProof/>
              </w:rPr>
            </w:pPr>
            <w:r>
              <w:rPr>
                <w:noProof/>
              </w:rPr>
              <w:t xml:space="preserve">Začetek veljavnosti Uredbe o enotni carini </w:t>
            </w:r>
          </w:p>
          <w:p w14:paraId="212D1C51" w14:textId="77777777" w:rsidR="00154E32" w:rsidRDefault="00A43E04">
            <w:pPr>
              <w:pStyle w:val="P68B1DB1-Normal11"/>
              <w:jc w:val="center"/>
              <w:rPr>
                <w:noProof/>
              </w:rPr>
            </w:pPr>
            <w:r>
              <w:rPr>
                <w:noProof/>
              </w:rPr>
              <w:t>Pisarna (Sportello Unico Doganale) </w:t>
            </w:r>
          </w:p>
        </w:tc>
        <w:tc>
          <w:tcPr>
            <w:tcW w:w="1777" w:type="dxa"/>
            <w:tcBorders>
              <w:top w:val="nil"/>
              <w:left w:val="nil"/>
              <w:bottom w:val="single" w:sz="4" w:space="0" w:color="auto"/>
              <w:right w:val="single" w:sz="4" w:space="0" w:color="auto"/>
            </w:tcBorders>
            <w:shd w:val="clear" w:color="auto" w:fill="C6EFCE"/>
            <w:noWrap/>
            <w:vAlign w:val="center"/>
          </w:tcPr>
          <w:p w14:paraId="5AA41A47" w14:textId="77777777" w:rsidR="00154E32" w:rsidRDefault="00A43E04">
            <w:pPr>
              <w:pStyle w:val="P68B1DB1-Normal11"/>
              <w:jc w:val="center"/>
              <w:rPr>
                <w:noProof/>
              </w:rPr>
            </w:pPr>
            <w:r>
              <w:rPr>
                <w:noProof/>
              </w:rPr>
              <w:t>Določba uredbe o začetku veljavnosti Uredbe o enotnem carinskem uradu (Sportello Unico Doganale) </w:t>
            </w:r>
          </w:p>
        </w:tc>
        <w:tc>
          <w:tcPr>
            <w:tcW w:w="926" w:type="dxa"/>
            <w:tcBorders>
              <w:top w:val="nil"/>
              <w:left w:val="nil"/>
              <w:bottom w:val="single" w:sz="4" w:space="0" w:color="auto"/>
              <w:right w:val="single" w:sz="4" w:space="0" w:color="auto"/>
            </w:tcBorders>
            <w:shd w:val="clear" w:color="auto" w:fill="C6EFCE"/>
            <w:noWrap/>
            <w:vAlign w:val="center"/>
          </w:tcPr>
          <w:p w14:paraId="6491013D" w14:textId="77777777" w:rsidR="00154E32" w:rsidRDefault="00A43E04">
            <w:pPr>
              <w:pStyle w:val="P68B1DB1-Normal11"/>
              <w:jc w:val="center"/>
              <w:rPr>
                <w:noProof/>
              </w:rPr>
            </w:pPr>
            <w:r>
              <w:rPr>
                <w:noProof/>
              </w:rPr>
              <w:t>JIH NI </w:t>
            </w:r>
          </w:p>
        </w:tc>
        <w:tc>
          <w:tcPr>
            <w:tcW w:w="1096" w:type="dxa"/>
            <w:tcBorders>
              <w:top w:val="nil"/>
              <w:left w:val="nil"/>
              <w:bottom w:val="single" w:sz="4" w:space="0" w:color="auto"/>
              <w:right w:val="single" w:sz="4" w:space="0" w:color="auto"/>
            </w:tcBorders>
            <w:shd w:val="clear" w:color="auto" w:fill="C6EFCE"/>
            <w:noWrap/>
            <w:vAlign w:val="center"/>
          </w:tcPr>
          <w:p w14:paraId="29E96D22" w14:textId="77777777" w:rsidR="00154E32" w:rsidRDefault="00A43E04">
            <w:pPr>
              <w:pStyle w:val="P68B1DB1-Normal11"/>
              <w:jc w:val="center"/>
              <w:rPr>
                <w:noProof/>
              </w:rPr>
            </w:pPr>
            <w:r>
              <w:rPr>
                <w:noProof/>
              </w:rPr>
              <w:t>JIH NI </w:t>
            </w:r>
          </w:p>
        </w:tc>
        <w:tc>
          <w:tcPr>
            <w:tcW w:w="878" w:type="dxa"/>
            <w:tcBorders>
              <w:top w:val="nil"/>
              <w:left w:val="nil"/>
              <w:bottom w:val="single" w:sz="4" w:space="0" w:color="auto"/>
              <w:right w:val="single" w:sz="4" w:space="0" w:color="auto"/>
            </w:tcBorders>
            <w:shd w:val="clear" w:color="auto" w:fill="C6EFCE"/>
            <w:noWrap/>
            <w:vAlign w:val="center"/>
          </w:tcPr>
          <w:p w14:paraId="7B0C815F" w14:textId="77777777" w:rsidR="00154E32" w:rsidRDefault="00A43E04">
            <w:pPr>
              <w:pStyle w:val="P68B1DB1-Normal11"/>
              <w:jc w:val="center"/>
              <w:rPr>
                <w:noProof/>
              </w:rPr>
            </w:pPr>
            <w:r>
              <w:rPr>
                <w:noProof/>
              </w:rPr>
              <w:t>JIH NI </w:t>
            </w:r>
          </w:p>
        </w:tc>
        <w:tc>
          <w:tcPr>
            <w:tcW w:w="916" w:type="dxa"/>
            <w:tcBorders>
              <w:top w:val="nil"/>
              <w:left w:val="nil"/>
              <w:bottom w:val="single" w:sz="4" w:space="0" w:color="auto"/>
              <w:right w:val="single" w:sz="4" w:space="0" w:color="auto"/>
            </w:tcBorders>
            <w:shd w:val="clear" w:color="auto" w:fill="C6EFCE"/>
            <w:noWrap/>
            <w:vAlign w:val="center"/>
          </w:tcPr>
          <w:p w14:paraId="29CC196A" w14:textId="77777777" w:rsidR="00154E32" w:rsidRDefault="00A43E04">
            <w:pPr>
              <w:pStyle w:val="P68B1DB1-Normal11"/>
              <w:jc w:val="center"/>
              <w:rPr>
                <w:noProof/>
              </w:rPr>
            </w:pPr>
            <w:r>
              <w:rPr>
                <w:noProof/>
              </w:rPr>
              <w:t>Q4 </w:t>
            </w:r>
          </w:p>
        </w:tc>
        <w:tc>
          <w:tcPr>
            <w:tcW w:w="666" w:type="dxa"/>
            <w:tcBorders>
              <w:top w:val="nil"/>
              <w:left w:val="nil"/>
              <w:bottom w:val="single" w:sz="4" w:space="0" w:color="auto"/>
              <w:right w:val="single" w:sz="4" w:space="0" w:color="auto"/>
            </w:tcBorders>
            <w:shd w:val="clear" w:color="auto" w:fill="C6EFCE"/>
            <w:noWrap/>
            <w:vAlign w:val="center"/>
          </w:tcPr>
          <w:p w14:paraId="15F7D3BF" w14:textId="77777777" w:rsidR="00154E32" w:rsidRDefault="00A43E04">
            <w:pPr>
              <w:pStyle w:val="P68B1DB1-Normal11"/>
              <w:jc w:val="center"/>
              <w:rPr>
                <w:noProof/>
              </w:rPr>
            </w:pPr>
            <w:r>
              <w:rPr>
                <w:noProof/>
              </w:rPr>
              <w:t>2021 </w:t>
            </w:r>
          </w:p>
        </w:tc>
        <w:tc>
          <w:tcPr>
            <w:tcW w:w="4231" w:type="dxa"/>
            <w:tcBorders>
              <w:top w:val="nil"/>
              <w:left w:val="nil"/>
              <w:bottom w:val="single" w:sz="4" w:space="0" w:color="auto"/>
              <w:right w:val="single" w:sz="4" w:space="0" w:color="auto"/>
            </w:tcBorders>
            <w:shd w:val="clear" w:color="auto" w:fill="C6EFCE"/>
            <w:noWrap/>
            <w:vAlign w:val="center"/>
          </w:tcPr>
          <w:p w14:paraId="5F8310DD" w14:textId="77777777" w:rsidR="00154E32" w:rsidRDefault="00A43E04">
            <w:pPr>
              <w:pStyle w:val="P68B1DB1-Normal11"/>
              <w:rPr>
                <w:noProof/>
              </w:rPr>
            </w:pPr>
            <w:r>
              <w:rPr>
                <w:noProof/>
              </w:rPr>
              <w:t>Uredba opredeljuje metode in specifikacije enotnega carinskega urada v skladu z Uredbo (EU) št. 1239/2019 o izvajanju evropskega enotnega okenca za pomorski sektor in Uredbo (EU) 2020/1056 Evropskega parlamenta in Sveta z dne 15. julija 2020 o elektronskih informacijah o prevozu blaga (eFTI). </w:t>
            </w:r>
          </w:p>
        </w:tc>
      </w:tr>
      <w:tr w:rsidR="00154E32" w14:paraId="42CBCDC5" w14:textId="77777777">
        <w:trPr>
          <w:trHeight w:val="309"/>
          <w:jc w:val="center"/>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0176E0D5" w14:textId="77777777" w:rsidR="00154E32" w:rsidRDefault="00A43E04">
            <w:pPr>
              <w:pStyle w:val="P68B1DB1-Normal11"/>
              <w:jc w:val="center"/>
              <w:rPr>
                <w:noProof/>
              </w:rPr>
            </w:pPr>
            <w:r>
              <w:rPr>
                <w:noProof/>
              </w:rPr>
              <w:t>M3C2–4</w:t>
            </w:r>
          </w:p>
        </w:tc>
        <w:tc>
          <w:tcPr>
            <w:tcW w:w="1560" w:type="dxa"/>
            <w:tcBorders>
              <w:top w:val="nil"/>
              <w:left w:val="nil"/>
              <w:bottom w:val="single" w:sz="4" w:space="0" w:color="auto"/>
              <w:right w:val="single" w:sz="4" w:space="0" w:color="auto"/>
            </w:tcBorders>
            <w:shd w:val="clear" w:color="auto" w:fill="C6EFCE"/>
            <w:noWrap/>
            <w:vAlign w:val="center"/>
          </w:tcPr>
          <w:p w14:paraId="489BF32A" w14:textId="77777777" w:rsidR="00154E32" w:rsidRDefault="00A43E04">
            <w:pPr>
              <w:pStyle w:val="P68B1DB1-Normal11"/>
              <w:jc w:val="center"/>
              <w:rPr>
                <w:noProof/>
              </w:rPr>
            </w:pPr>
            <w:r>
              <w:rPr>
                <w:noProof/>
              </w:rPr>
              <w:t>Reforma 1.3 – Poenostavitev postopkov za izdajo dovoljenj za obrate za hladno likanje</w:t>
            </w:r>
          </w:p>
        </w:tc>
        <w:tc>
          <w:tcPr>
            <w:tcW w:w="1066" w:type="dxa"/>
            <w:tcBorders>
              <w:top w:val="nil"/>
              <w:left w:val="nil"/>
              <w:bottom w:val="single" w:sz="4" w:space="0" w:color="auto"/>
              <w:right w:val="single" w:sz="4" w:space="0" w:color="auto"/>
            </w:tcBorders>
            <w:shd w:val="clear" w:color="auto" w:fill="C6EFCE"/>
            <w:noWrap/>
            <w:vAlign w:val="center"/>
          </w:tcPr>
          <w:p w14:paraId="21CC7D69" w14:textId="77777777" w:rsidR="00154E32" w:rsidRDefault="00A43E04">
            <w:pPr>
              <w:pStyle w:val="P68B1DB1-Normal11"/>
              <w:jc w:val="center"/>
              <w:rPr>
                <w:noProof/>
              </w:rPr>
            </w:pPr>
            <w:r>
              <w:rPr>
                <w:noProof/>
              </w:rPr>
              <w:t>Mejnik</w:t>
            </w:r>
          </w:p>
        </w:tc>
        <w:tc>
          <w:tcPr>
            <w:tcW w:w="1627" w:type="dxa"/>
            <w:tcBorders>
              <w:top w:val="nil"/>
              <w:left w:val="nil"/>
              <w:bottom w:val="single" w:sz="4" w:space="0" w:color="auto"/>
              <w:right w:val="single" w:sz="4" w:space="0" w:color="auto"/>
            </w:tcBorders>
            <w:shd w:val="clear" w:color="auto" w:fill="C6EFCE"/>
            <w:noWrap/>
            <w:vAlign w:val="center"/>
          </w:tcPr>
          <w:p w14:paraId="3CF3DA58" w14:textId="77777777" w:rsidR="00154E32" w:rsidRDefault="00A43E04">
            <w:pPr>
              <w:pStyle w:val="P68B1DB1-Normal11"/>
              <w:spacing w:line="257" w:lineRule="auto"/>
              <w:jc w:val="center"/>
              <w:rPr>
                <w:noProof/>
              </w:rPr>
            </w:pPr>
            <w:r>
              <w:rPr>
                <w:noProof/>
              </w:rPr>
              <w:t>Začetek veljavnosti poenostavitve postopkov za izdajo dovoljenj za obrate za hladno likanje</w:t>
            </w:r>
          </w:p>
        </w:tc>
        <w:tc>
          <w:tcPr>
            <w:tcW w:w="1777" w:type="dxa"/>
            <w:tcBorders>
              <w:top w:val="nil"/>
              <w:left w:val="nil"/>
              <w:bottom w:val="single" w:sz="4" w:space="0" w:color="auto"/>
              <w:right w:val="single" w:sz="4" w:space="0" w:color="auto"/>
            </w:tcBorders>
            <w:shd w:val="clear" w:color="auto" w:fill="C6EFCE"/>
            <w:noWrap/>
            <w:vAlign w:val="center"/>
          </w:tcPr>
          <w:p w14:paraId="720C3A75" w14:textId="77777777" w:rsidR="00154E32" w:rsidRDefault="00A43E04">
            <w:pPr>
              <w:pStyle w:val="P68B1DB1-Normal11"/>
              <w:jc w:val="center"/>
              <w:rPr>
                <w:noProof/>
              </w:rPr>
            </w:pPr>
            <w:r>
              <w:rPr>
                <w:noProof/>
              </w:rPr>
              <w:t>Pravna določba o začetku veljavnosti poenostavitve postopkov za izdajo dovoljenj za obrate za hladno likanje</w:t>
            </w:r>
          </w:p>
        </w:tc>
        <w:tc>
          <w:tcPr>
            <w:tcW w:w="926" w:type="dxa"/>
            <w:tcBorders>
              <w:top w:val="nil"/>
              <w:left w:val="nil"/>
              <w:bottom w:val="single" w:sz="4" w:space="0" w:color="auto"/>
              <w:right w:val="single" w:sz="4" w:space="0" w:color="auto"/>
            </w:tcBorders>
            <w:shd w:val="clear" w:color="auto" w:fill="C6EFCE"/>
            <w:noWrap/>
            <w:vAlign w:val="center"/>
          </w:tcPr>
          <w:p w14:paraId="5A2B8833" w14:textId="77777777" w:rsidR="00154E32" w:rsidRDefault="00A43E04">
            <w:pPr>
              <w:pStyle w:val="P68B1DB1-Normal11"/>
              <w:jc w:val="center"/>
              <w:rPr>
                <w:noProof/>
              </w:rPr>
            </w:pPr>
            <w:r>
              <w:rPr>
                <w:noProof/>
              </w:rPr>
              <w:t>JIH NI</w:t>
            </w:r>
          </w:p>
        </w:tc>
        <w:tc>
          <w:tcPr>
            <w:tcW w:w="1096" w:type="dxa"/>
            <w:tcBorders>
              <w:top w:val="nil"/>
              <w:left w:val="nil"/>
              <w:bottom w:val="single" w:sz="4" w:space="0" w:color="auto"/>
              <w:right w:val="single" w:sz="4" w:space="0" w:color="auto"/>
            </w:tcBorders>
            <w:shd w:val="clear" w:color="auto" w:fill="C6EFCE"/>
            <w:noWrap/>
            <w:vAlign w:val="center"/>
          </w:tcPr>
          <w:p w14:paraId="5314E35E" w14:textId="77777777" w:rsidR="00154E32" w:rsidRDefault="00A43E04">
            <w:pPr>
              <w:pStyle w:val="P68B1DB1-Normal11"/>
              <w:jc w:val="center"/>
              <w:rPr>
                <w:noProof/>
              </w:rPr>
            </w:pPr>
            <w:r>
              <w:rPr>
                <w:noProof/>
              </w:rPr>
              <w:t>JIH NI</w:t>
            </w:r>
          </w:p>
        </w:tc>
        <w:tc>
          <w:tcPr>
            <w:tcW w:w="878" w:type="dxa"/>
            <w:tcBorders>
              <w:top w:val="nil"/>
              <w:left w:val="nil"/>
              <w:bottom w:val="single" w:sz="4" w:space="0" w:color="auto"/>
              <w:right w:val="single" w:sz="4" w:space="0" w:color="auto"/>
            </w:tcBorders>
            <w:shd w:val="clear" w:color="auto" w:fill="C6EFCE"/>
            <w:noWrap/>
            <w:vAlign w:val="center"/>
          </w:tcPr>
          <w:p w14:paraId="63637AFE" w14:textId="77777777" w:rsidR="00154E32" w:rsidRDefault="00A43E04">
            <w:pPr>
              <w:pStyle w:val="P68B1DB1-Normal11"/>
              <w:jc w:val="center"/>
              <w:rPr>
                <w:noProof/>
              </w:rPr>
            </w:pPr>
            <w:r>
              <w:rPr>
                <w:noProof/>
              </w:rPr>
              <w:t>JIH NI</w:t>
            </w:r>
          </w:p>
        </w:tc>
        <w:tc>
          <w:tcPr>
            <w:tcW w:w="916" w:type="dxa"/>
            <w:tcBorders>
              <w:top w:val="nil"/>
              <w:left w:val="nil"/>
              <w:bottom w:val="single" w:sz="4" w:space="0" w:color="auto"/>
              <w:right w:val="single" w:sz="4" w:space="0" w:color="auto"/>
            </w:tcBorders>
            <w:shd w:val="clear" w:color="auto" w:fill="C6EFCE"/>
            <w:noWrap/>
            <w:vAlign w:val="center"/>
          </w:tcPr>
          <w:p w14:paraId="7A72470C" w14:textId="77777777" w:rsidR="00154E32" w:rsidRDefault="00A43E04">
            <w:pPr>
              <w:pStyle w:val="P68B1DB1-Normal11"/>
              <w:jc w:val="center"/>
              <w:rPr>
                <w:noProof/>
              </w:rPr>
            </w:pPr>
            <w:r>
              <w:rPr>
                <w:noProof/>
              </w:rPr>
              <w:t>Q4</w:t>
            </w:r>
          </w:p>
        </w:tc>
        <w:tc>
          <w:tcPr>
            <w:tcW w:w="666" w:type="dxa"/>
            <w:tcBorders>
              <w:top w:val="nil"/>
              <w:left w:val="nil"/>
              <w:bottom w:val="single" w:sz="4" w:space="0" w:color="auto"/>
              <w:right w:val="single" w:sz="4" w:space="0" w:color="auto"/>
            </w:tcBorders>
            <w:shd w:val="clear" w:color="auto" w:fill="C6EFCE"/>
            <w:noWrap/>
            <w:vAlign w:val="center"/>
          </w:tcPr>
          <w:p w14:paraId="0D1CA354" w14:textId="77777777" w:rsidR="00154E32" w:rsidRDefault="00A43E04">
            <w:pPr>
              <w:pStyle w:val="P68B1DB1-Normal11"/>
              <w:jc w:val="center"/>
              <w:rPr>
                <w:noProof/>
              </w:rPr>
            </w:pPr>
            <w:r>
              <w:rPr>
                <w:noProof/>
              </w:rPr>
              <w:t>2022</w:t>
            </w:r>
          </w:p>
        </w:tc>
        <w:tc>
          <w:tcPr>
            <w:tcW w:w="4231" w:type="dxa"/>
            <w:tcBorders>
              <w:top w:val="nil"/>
              <w:left w:val="nil"/>
              <w:bottom w:val="single" w:sz="4" w:space="0" w:color="auto"/>
              <w:right w:val="single" w:sz="4" w:space="0" w:color="auto"/>
            </w:tcBorders>
            <w:shd w:val="clear" w:color="auto" w:fill="C6EFCE"/>
            <w:noWrap/>
            <w:vAlign w:val="center"/>
          </w:tcPr>
          <w:p w14:paraId="1EB28CAF" w14:textId="77777777" w:rsidR="00154E32" w:rsidRDefault="00A43E04">
            <w:pPr>
              <w:pStyle w:val="P68B1DB1-Normal11"/>
              <w:rPr>
                <w:noProof/>
              </w:rPr>
            </w:pPr>
            <w:r>
              <w:rPr>
                <w:noProof/>
              </w:rPr>
              <w:t>Racionalizirati postopek izdaje dovoljenj za skrajšanje roka za izdajo dovoljenja na največ 12 mesecev za izgradnjo infrastrukture za prenos energije, namenjene oskrbi ladij z električne energije s kopnega med fazo priveza (v primeru posegov, za katere ni potrebna okoljska presoja);</w:t>
            </w:r>
          </w:p>
        </w:tc>
      </w:tr>
      <w:tr w:rsidR="00154E32" w14:paraId="43FE6768" w14:textId="77777777">
        <w:trPr>
          <w:trHeight w:val="309"/>
          <w:jc w:val="center"/>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1FA1E140" w14:textId="77777777" w:rsidR="00154E32" w:rsidRDefault="00A43E04">
            <w:pPr>
              <w:pStyle w:val="P68B1DB1-Normal11"/>
              <w:jc w:val="center"/>
              <w:rPr>
                <w:noProof/>
              </w:rPr>
            </w:pPr>
            <w:r>
              <w:rPr>
                <w:noProof/>
              </w:rPr>
              <w:t>M3C2–5</w:t>
            </w:r>
          </w:p>
        </w:tc>
        <w:tc>
          <w:tcPr>
            <w:tcW w:w="1560" w:type="dxa"/>
            <w:tcBorders>
              <w:top w:val="nil"/>
              <w:left w:val="nil"/>
              <w:bottom w:val="single" w:sz="4" w:space="0" w:color="auto"/>
              <w:right w:val="single" w:sz="4" w:space="0" w:color="auto"/>
            </w:tcBorders>
            <w:shd w:val="clear" w:color="auto" w:fill="C6EFCE"/>
            <w:noWrap/>
            <w:vAlign w:val="center"/>
          </w:tcPr>
          <w:p w14:paraId="204B1032" w14:textId="77777777" w:rsidR="00154E32" w:rsidRDefault="00A43E04">
            <w:pPr>
              <w:pStyle w:val="P68B1DB1-Normal11"/>
              <w:jc w:val="center"/>
              <w:rPr>
                <w:noProof/>
              </w:rPr>
            </w:pPr>
            <w:r>
              <w:rPr>
                <w:noProof/>
              </w:rPr>
              <w:t>Naložba 2.1 – Digitalizacija logistične verige</w:t>
            </w:r>
          </w:p>
        </w:tc>
        <w:tc>
          <w:tcPr>
            <w:tcW w:w="1066" w:type="dxa"/>
            <w:tcBorders>
              <w:top w:val="nil"/>
              <w:left w:val="nil"/>
              <w:bottom w:val="single" w:sz="4" w:space="0" w:color="auto"/>
              <w:right w:val="single" w:sz="4" w:space="0" w:color="auto"/>
            </w:tcBorders>
            <w:shd w:val="clear" w:color="auto" w:fill="C6EFCE"/>
            <w:noWrap/>
            <w:vAlign w:val="center"/>
          </w:tcPr>
          <w:p w14:paraId="7AB90DA0" w14:textId="77777777" w:rsidR="00154E32" w:rsidRDefault="00A43E04">
            <w:pPr>
              <w:pStyle w:val="P68B1DB1-Normal11"/>
              <w:jc w:val="center"/>
              <w:rPr>
                <w:noProof/>
              </w:rPr>
            </w:pPr>
            <w:r>
              <w:rPr>
                <w:noProof/>
              </w:rPr>
              <w:t>Tarča</w:t>
            </w:r>
          </w:p>
        </w:tc>
        <w:tc>
          <w:tcPr>
            <w:tcW w:w="1627" w:type="dxa"/>
            <w:tcBorders>
              <w:top w:val="nil"/>
              <w:left w:val="nil"/>
              <w:bottom w:val="single" w:sz="4" w:space="0" w:color="auto"/>
              <w:right w:val="single" w:sz="4" w:space="0" w:color="auto"/>
            </w:tcBorders>
            <w:shd w:val="clear" w:color="auto" w:fill="C6EFCE"/>
            <w:noWrap/>
            <w:vAlign w:val="center"/>
          </w:tcPr>
          <w:p w14:paraId="284CAD8F" w14:textId="77777777" w:rsidR="00154E32" w:rsidRDefault="00A43E04">
            <w:pPr>
              <w:pStyle w:val="P68B1DB1-Normal11"/>
              <w:spacing w:line="257" w:lineRule="auto"/>
              <w:jc w:val="center"/>
              <w:rPr>
                <w:noProof/>
              </w:rPr>
            </w:pPr>
            <w:r>
              <w:rPr>
                <w:noProof/>
              </w:rPr>
              <w:t>Digitalizacija logistične verige</w:t>
            </w:r>
          </w:p>
        </w:tc>
        <w:tc>
          <w:tcPr>
            <w:tcW w:w="1777" w:type="dxa"/>
            <w:tcBorders>
              <w:top w:val="nil"/>
              <w:left w:val="nil"/>
              <w:bottom w:val="single" w:sz="4" w:space="0" w:color="auto"/>
              <w:right w:val="single" w:sz="4" w:space="0" w:color="auto"/>
            </w:tcBorders>
            <w:shd w:val="clear" w:color="auto" w:fill="C6EFCE"/>
            <w:noWrap/>
            <w:vAlign w:val="center"/>
          </w:tcPr>
          <w:p w14:paraId="20AB194C" w14:textId="77777777" w:rsidR="00154E32" w:rsidRDefault="00A43E04">
            <w:pPr>
              <w:pStyle w:val="P68B1DB1-Normal11"/>
              <w:jc w:val="center"/>
              <w:rPr>
                <w:noProof/>
              </w:rPr>
            </w:pPr>
            <w:r>
              <w:rPr>
                <w:noProof/>
              </w:rPr>
              <w:t>JIH NI</w:t>
            </w:r>
          </w:p>
        </w:tc>
        <w:tc>
          <w:tcPr>
            <w:tcW w:w="926" w:type="dxa"/>
            <w:tcBorders>
              <w:top w:val="nil"/>
              <w:left w:val="nil"/>
              <w:bottom w:val="single" w:sz="4" w:space="0" w:color="auto"/>
              <w:right w:val="single" w:sz="4" w:space="0" w:color="auto"/>
            </w:tcBorders>
            <w:shd w:val="clear" w:color="auto" w:fill="C6EFCE"/>
            <w:noWrap/>
            <w:vAlign w:val="center"/>
          </w:tcPr>
          <w:p w14:paraId="5EF643FC" w14:textId="77777777" w:rsidR="00154E32" w:rsidRDefault="00A43E04">
            <w:pPr>
              <w:pStyle w:val="P68B1DB1-Normal11"/>
              <w:jc w:val="center"/>
              <w:rPr>
                <w:noProof/>
              </w:rPr>
            </w:pPr>
            <w:r>
              <w:rPr>
                <w:noProof/>
              </w:rPr>
              <w:t>Delež</w:t>
            </w:r>
          </w:p>
        </w:tc>
        <w:tc>
          <w:tcPr>
            <w:tcW w:w="1096" w:type="dxa"/>
            <w:tcBorders>
              <w:top w:val="nil"/>
              <w:left w:val="nil"/>
              <w:bottom w:val="single" w:sz="4" w:space="0" w:color="auto"/>
              <w:right w:val="single" w:sz="4" w:space="0" w:color="auto"/>
            </w:tcBorders>
            <w:shd w:val="clear" w:color="auto" w:fill="C6EFCE"/>
            <w:noWrap/>
            <w:vAlign w:val="center"/>
          </w:tcPr>
          <w:p w14:paraId="289B1069" w14:textId="77777777" w:rsidR="00154E32" w:rsidRDefault="00A43E04">
            <w:pPr>
              <w:pStyle w:val="P68B1DB1-Normal11"/>
              <w:jc w:val="center"/>
              <w:rPr>
                <w:noProof/>
              </w:rPr>
            </w:pPr>
            <w:r>
              <w:rPr>
                <w:noProof/>
              </w:rPr>
              <w:t>0</w:t>
            </w:r>
          </w:p>
        </w:tc>
        <w:tc>
          <w:tcPr>
            <w:tcW w:w="878" w:type="dxa"/>
            <w:tcBorders>
              <w:top w:val="nil"/>
              <w:left w:val="nil"/>
              <w:bottom w:val="single" w:sz="4" w:space="0" w:color="auto"/>
              <w:right w:val="single" w:sz="4" w:space="0" w:color="auto"/>
            </w:tcBorders>
            <w:shd w:val="clear" w:color="auto" w:fill="C6EFCE"/>
            <w:noWrap/>
            <w:vAlign w:val="center"/>
          </w:tcPr>
          <w:p w14:paraId="5FD15B44" w14:textId="77777777" w:rsidR="00154E32" w:rsidRDefault="00A43E04">
            <w:pPr>
              <w:pStyle w:val="P68B1DB1-Normal11"/>
              <w:jc w:val="center"/>
              <w:rPr>
                <w:noProof/>
              </w:rPr>
            </w:pPr>
            <w:r>
              <w:rPr>
                <w:noProof/>
              </w:rPr>
              <w:t>70</w:t>
            </w:r>
          </w:p>
        </w:tc>
        <w:tc>
          <w:tcPr>
            <w:tcW w:w="916" w:type="dxa"/>
            <w:tcBorders>
              <w:top w:val="nil"/>
              <w:left w:val="nil"/>
              <w:bottom w:val="single" w:sz="4" w:space="0" w:color="auto"/>
              <w:right w:val="single" w:sz="4" w:space="0" w:color="auto"/>
            </w:tcBorders>
            <w:shd w:val="clear" w:color="auto" w:fill="C6EFCE"/>
            <w:noWrap/>
            <w:vAlign w:val="center"/>
          </w:tcPr>
          <w:p w14:paraId="7DA738B5" w14:textId="77777777" w:rsidR="00154E32" w:rsidRDefault="00A43E04">
            <w:pPr>
              <w:pStyle w:val="P68B1DB1-Normal11"/>
              <w:jc w:val="center"/>
              <w:rPr>
                <w:noProof/>
              </w:rPr>
            </w:pPr>
            <w:r>
              <w:rPr>
                <w:noProof/>
              </w:rPr>
              <w:t>Q2</w:t>
            </w:r>
          </w:p>
        </w:tc>
        <w:tc>
          <w:tcPr>
            <w:tcW w:w="666" w:type="dxa"/>
            <w:tcBorders>
              <w:top w:val="nil"/>
              <w:left w:val="nil"/>
              <w:bottom w:val="single" w:sz="4" w:space="0" w:color="auto"/>
              <w:right w:val="single" w:sz="4" w:space="0" w:color="auto"/>
            </w:tcBorders>
            <w:shd w:val="clear" w:color="auto" w:fill="C6EFCE"/>
            <w:noWrap/>
            <w:vAlign w:val="center"/>
          </w:tcPr>
          <w:p w14:paraId="1337855F" w14:textId="77777777" w:rsidR="00154E32" w:rsidRDefault="00A43E04">
            <w:pPr>
              <w:pStyle w:val="P68B1DB1-Normal11"/>
              <w:jc w:val="center"/>
              <w:rPr>
                <w:noProof/>
              </w:rPr>
            </w:pPr>
            <w:r>
              <w:rPr>
                <w:noProof/>
              </w:rPr>
              <w:t>2024</w:t>
            </w:r>
          </w:p>
        </w:tc>
        <w:tc>
          <w:tcPr>
            <w:tcW w:w="4231" w:type="dxa"/>
            <w:tcBorders>
              <w:top w:val="nil"/>
              <w:left w:val="nil"/>
              <w:bottom w:val="single" w:sz="4" w:space="0" w:color="auto"/>
              <w:right w:val="single" w:sz="4" w:space="0" w:color="auto"/>
            </w:tcBorders>
            <w:shd w:val="clear" w:color="auto" w:fill="C6EFCE"/>
            <w:noWrap/>
            <w:vAlign w:val="center"/>
          </w:tcPr>
          <w:p w14:paraId="54044CAD" w14:textId="77777777" w:rsidR="00154E32" w:rsidRDefault="00A43E04">
            <w:pPr>
              <w:pStyle w:val="P68B1DB1-Normal11"/>
              <w:rPr>
                <w:noProof/>
              </w:rPr>
            </w:pPr>
            <w:r>
              <w:rPr>
                <w:noProof/>
              </w:rPr>
              <w:t xml:space="preserve">Vsaj 70 % organov pristaniškega sistema je opremljenih s standardnimi storitvami PCS (sistem pristaniških skupnosti), ki so interoperabilne z vključenimi javnimi upravami ter so združljive z Uredbo (EU) št. 1056/2020 in novo digitalno logistično platformo PLN (nacionalna digitalna logistična platforma). </w:t>
            </w:r>
          </w:p>
        </w:tc>
      </w:tr>
      <w:tr w:rsidR="00154E32" w14:paraId="1E60D9CF" w14:textId="77777777">
        <w:trPr>
          <w:trHeight w:val="309"/>
          <w:jc w:val="center"/>
        </w:trPr>
        <w:tc>
          <w:tcPr>
            <w:tcW w:w="1130" w:type="dxa"/>
            <w:tcBorders>
              <w:top w:val="nil"/>
              <w:left w:val="single" w:sz="4" w:space="0" w:color="auto"/>
              <w:bottom w:val="single" w:sz="4" w:space="0" w:color="auto"/>
              <w:right w:val="single" w:sz="4" w:space="0" w:color="auto"/>
            </w:tcBorders>
            <w:shd w:val="clear" w:color="auto" w:fill="C6EFCE"/>
            <w:noWrap/>
            <w:vAlign w:val="center"/>
          </w:tcPr>
          <w:p w14:paraId="11D1E377" w14:textId="77777777" w:rsidR="00154E32" w:rsidRDefault="00A43E04">
            <w:pPr>
              <w:pStyle w:val="P68B1DB1-Normal11"/>
              <w:jc w:val="center"/>
              <w:rPr>
                <w:noProof/>
              </w:rPr>
            </w:pPr>
            <w:r>
              <w:rPr>
                <w:noProof/>
              </w:rPr>
              <w:t>M3C2–6</w:t>
            </w:r>
          </w:p>
        </w:tc>
        <w:tc>
          <w:tcPr>
            <w:tcW w:w="1560" w:type="dxa"/>
            <w:tcBorders>
              <w:top w:val="nil"/>
              <w:left w:val="nil"/>
              <w:bottom w:val="single" w:sz="4" w:space="0" w:color="auto"/>
              <w:right w:val="single" w:sz="4" w:space="0" w:color="auto"/>
            </w:tcBorders>
            <w:shd w:val="clear" w:color="auto" w:fill="C6EFCE"/>
            <w:noWrap/>
            <w:vAlign w:val="center"/>
          </w:tcPr>
          <w:p w14:paraId="3C10082C" w14:textId="77777777" w:rsidR="00154E32" w:rsidRDefault="00A43E04">
            <w:pPr>
              <w:pStyle w:val="P68B1DB1-Normal11"/>
              <w:jc w:val="center"/>
              <w:rPr>
                <w:noProof/>
              </w:rPr>
            </w:pPr>
            <w:r>
              <w:rPr>
                <w:noProof/>
              </w:rPr>
              <w:t>Naložba 2.2: Digitalizacija upravljanja zračnega prometa</w:t>
            </w:r>
          </w:p>
        </w:tc>
        <w:tc>
          <w:tcPr>
            <w:tcW w:w="1066" w:type="dxa"/>
            <w:tcBorders>
              <w:top w:val="nil"/>
              <w:left w:val="nil"/>
              <w:bottom w:val="single" w:sz="4" w:space="0" w:color="auto"/>
              <w:right w:val="single" w:sz="4" w:space="0" w:color="auto"/>
            </w:tcBorders>
            <w:shd w:val="clear" w:color="auto" w:fill="C6EFCE"/>
            <w:noWrap/>
            <w:vAlign w:val="center"/>
          </w:tcPr>
          <w:p w14:paraId="4C4CB0A2" w14:textId="477E78D2" w:rsidR="00154E32" w:rsidRDefault="00A43E04">
            <w:pPr>
              <w:pStyle w:val="P68B1DB1-Normal11"/>
              <w:jc w:val="center"/>
              <w:rPr>
                <w:noProof/>
              </w:rPr>
            </w:pPr>
            <w:r>
              <w:rPr>
                <w:noProof/>
              </w:rPr>
              <w:t>Tarča</w:t>
            </w:r>
          </w:p>
        </w:tc>
        <w:tc>
          <w:tcPr>
            <w:tcW w:w="1627" w:type="dxa"/>
            <w:tcBorders>
              <w:top w:val="nil"/>
              <w:left w:val="nil"/>
              <w:bottom w:val="single" w:sz="4" w:space="0" w:color="auto"/>
              <w:right w:val="single" w:sz="4" w:space="0" w:color="auto"/>
            </w:tcBorders>
            <w:shd w:val="clear" w:color="auto" w:fill="C6EFCE"/>
            <w:noWrap/>
            <w:vAlign w:val="center"/>
          </w:tcPr>
          <w:p w14:paraId="3521090D" w14:textId="77777777" w:rsidR="00154E32" w:rsidRDefault="00A43E04">
            <w:pPr>
              <w:pStyle w:val="P68B1DB1-Normal11"/>
              <w:jc w:val="center"/>
              <w:rPr>
                <w:noProof/>
              </w:rPr>
            </w:pPr>
            <w:r>
              <w:rPr>
                <w:noProof/>
              </w:rPr>
              <w:t>Digitalizacija upravljanja zračnega prometa: začetek delovanja novih orodij</w:t>
            </w:r>
          </w:p>
        </w:tc>
        <w:tc>
          <w:tcPr>
            <w:tcW w:w="1777" w:type="dxa"/>
            <w:tcBorders>
              <w:top w:val="nil"/>
              <w:left w:val="nil"/>
              <w:bottom w:val="single" w:sz="4" w:space="0" w:color="auto"/>
              <w:right w:val="single" w:sz="4" w:space="0" w:color="auto"/>
            </w:tcBorders>
            <w:shd w:val="clear" w:color="auto" w:fill="C6EFCE"/>
            <w:noWrap/>
            <w:vAlign w:val="center"/>
          </w:tcPr>
          <w:p w14:paraId="6F1E23FF" w14:textId="2951DAFB" w:rsidR="00154E32" w:rsidRDefault="00A43E04">
            <w:pPr>
              <w:pStyle w:val="P68B1DB1-Normal11"/>
              <w:jc w:val="center"/>
              <w:rPr>
                <w:noProof/>
              </w:rPr>
            </w:pPr>
            <w:r>
              <w:rPr>
                <w:noProof/>
              </w:rPr>
              <w:t>Certifikacije TOC, digitaliziranih letalskih informacij in UTMS</w:t>
            </w:r>
          </w:p>
        </w:tc>
        <w:tc>
          <w:tcPr>
            <w:tcW w:w="926" w:type="dxa"/>
            <w:tcBorders>
              <w:top w:val="nil"/>
              <w:left w:val="nil"/>
              <w:bottom w:val="single" w:sz="4" w:space="0" w:color="auto"/>
              <w:right w:val="single" w:sz="4" w:space="0" w:color="auto"/>
            </w:tcBorders>
            <w:shd w:val="clear" w:color="auto" w:fill="C6EFCE"/>
            <w:noWrap/>
            <w:vAlign w:val="center"/>
          </w:tcPr>
          <w:p w14:paraId="7257E25F" w14:textId="77777777" w:rsidR="00154E32" w:rsidRDefault="00A43E04">
            <w:pPr>
              <w:pStyle w:val="P68B1DB1-Normal11"/>
              <w:jc w:val="center"/>
              <w:rPr>
                <w:noProof/>
              </w:rPr>
            </w:pPr>
            <w:r>
              <w:rPr>
                <w:noProof/>
              </w:rPr>
              <w:t>JIH NI</w:t>
            </w:r>
          </w:p>
        </w:tc>
        <w:tc>
          <w:tcPr>
            <w:tcW w:w="1096" w:type="dxa"/>
            <w:tcBorders>
              <w:top w:val="nil"/>
              <w:left w:val="nil"/>
              <w:bottom w:val="single" w:sz="4" w:space="0" w:color="auto"/>
              <w:right w:val="single" w:sz="4" w:space="0" w:color="auto"/>
            </w:tcBorders>
            <w:shd w:val="clear" w:color="auto" w:fill="C6EFCE"/>
            <w:noWrap/>
            <w:vAlign w:val="center"/>
          </w:tcPr>
          <w:p w14:paraId="309456B7" w14:textId="77777777" w:rsidR="00154E32" w:rsidRDefault="00A43E04">
            <w:pPr>
              <w:pStyle w:val="P68B1DB1-Normal11"/>
              <w:jc w:val="center"/>
              <w:rPr>
                <w:noProof/>
              </w:rPr>
            </w:pPr>
            <w:r>
              <w:rPr>
                <w:noProof/>
              </w:rPr>
              <w:t xml:space="preserve">JIH NI </w:t>
            </w:r>
          </w:p>
        </w:tc>
        <w:tc>
          <w:tcPr>
            <w:tcW w:w="878" w:type="dxa"/>
            <w:tcBorders>
              <w:top w:val="nil"/>
              <w:left w:val="nil"/>
              <w:bottom w:val="single" w:sz="4" w:space="0" w:color="auto"/>
              <w:right w:val="single" w:sz="4" w:space="0" w:color="auto"/>
            </w:tcBorders>
            <w:shd w:val="clear" w:color="auto" w:fill="C6EFCE"/>
            <w:noWrap/>
            <w:vAlign w:val="center"/>
          </w:tcPr>
          <w:p w14:paraId="45CF7C3A" w14:textId="77777777" w:rsidR="00154E32" w:rsidRDefault="00154E32">
            <w:pPr>
              <w:jc w:val="center"/>
              <w:rPr>
                <w:rFonts w:ascii="Arial Narrow" w:hAnsi="Arial Narrow"/>
                <w:noProof/>
                <w:color w:val="006100"/>
                <w:sz w:val="20"/>
              </w:rPr>
            </w:pPr>
          </w:p>
          <w:p w14:paraId="43DD9D6E" w14:textId="77777777" w:rsidR="00154E32" w:rsidRDefault="00A43E04">
            <w:pPr>
              <w:pStyle w:val="P68B1DB1-Normal11"/>
              <w:jc w:val="center"/>
              <w:rPr>
                <w:noProof/>
              </w:rPr>
            </w:pPr>
            <w:r>
              <w:rPr>
                <w:noProof/>
              </w:rPr>
              <w:t>3</w:t>
            </w:r>
          </w:p>
          <w:p w14:paraId="27ED4F11" w14:textId="77777777" w:rsidR="00154E32" w:rsidRDefault="00154E32">
            <w:pPr>
              <w:jc w:val="center"/>
              <w:rPr>
                <w:rFonts w:ascii="Arial Narrow" w:hAnsi="Arial Narrow"/>
                <w:noProof/>
                <w:color w:val="006100"/>
                <w:sz w:val="20"/>
              </w:rPr>
            </w:pPr>
          </w:p>
        </w:tc>
        <w:tc>
          <w:tcPr>
            <w:tcW w:w="916" w:type="dxa"/>
            <w:tcBorders>
              <w:top w:val="nil"/>
              <w:left w:val="nil"/>
              <w:bottom w:val="single" w:sz="4" w:space="0" w:color="auto"/>
              <w:right w:val="single" w:sz="4" w:space="0" w:color="auto"/>
            </w:tcBorders>
            <w:shd w:val="clear" w:color="auto" w:fill="C6EFCE"/>
            <w:noWrap/>
            <w:vAlign w:val="center"/>
          </w:tcPr>
          <w:p w14:paraId="55FF0B4D" w14:textId="77777777" w:rsidR="00154E32" w:rsidRDefault="00A43E04">
            <w:pPr>
              <w:pStyle w:val="P68B1DB1-Normal11"/>
              <w:jc w:val="center"/>
              <w:rPr>
                <w:noProof/>
              </w:rPr>
            </w:pPr>
            <w:r>
              <w:rPr>
                <w:noProof/>
              </w:rPr>
              <w:t>ČETRTLETJE 1</w:t>
            </w:r>
          </w:p>
        </w:tc>
        <w:tc>
          <w:tcPr>
            <w:tcW w:w="666" w:type="dxa"/>
            <w:tcBorders>
              <w:top w:val="nil"/>
              <w:left w:val="nil"/>
              <w:bottom w:val="single" w:sz="4" w:space="0" w:color="auto"/>
              <w:right w:val="single" w:sz="4" w:space="0" w:color="auto"/>
            </w:tcBorders>
            <w:shd w:val="clear" w:color="auto" w:fill="C6EFCE"/>
            <w:noWrap/>
            <w:vAlign w:val="center"/>
          </w:tcPr>
          <w:p w14:paraId="346177CB" w14:textId="77777777" w:rsidR="00154E32" w:rsidRDefault="00A43E04">
            <w:pPr>
              <w:pStyle w:val="P68B1DB1-Normal11"/>
              <w:jc w:val="center"/>
              <w:rPr>
                <w:noProof/>
              </w:rPr>
            </w:pPr>
            <w:r>
              <w:rPr>
                <w:noProof/>
              </w:rPr>
              <w:t>2026</w:t>
            </w:r>
          </w:p>
        </w:tc>
        <w:tc>
          <w:tcPr>
            <w:tcW w:w="4231" w:type="dxa"/>
            <w:tcBorders>
              <w:top w:val="nil"/>
              <w:left w:val="nil"/>
              <w:bottom w:val="single" w:sz="4" w:space="0" w:color="auto"/>
              <w:right w:val="single" w:sz="4" w:space="0" w:color="auto"/>
            </w:tcBorders>
            <w:shd w:val="clear" w:color="auto" w:fill="C6EFCE"/>
            <w:noWrap/>
            <w:vAlign w:val="center"/>
          </w:tcPr>
          <w:p w14:paraId="1A3D7307" w14:textId="77777777" w:rsidR="00154E32" w:rsidRDefault="00A43E04">
            <w:pPr>
              <w:pStyle w:val="P68B1DB1-Normal11"/>
              <w:jc w:val="both"/>
              <w:rPr>
                <w:noProof/>
              </w:rPr>
            </w:pPr>
            <w:r>
              <w:rPr>
                <w:noProof/>
              </w:rPr>
              <w:t xml:space="preserve">Začetek delovanja naslednjih treh projektov: </w:t>
            </w:r>
          </w:p>
          <w:p w14:paraId="42728392" w14:textId="77777777" w:rsidR="00154E32" w:rsidRDefault="00A43E04">
            <w:pPr>
              <w:pStyle w:val="P68B1DB1-Normal11"/>
              <w:jc w:val="both"/>
              <w:rPr>
                <w:noProof/>
              </w:rPr>
            </w:pPr>
            <w:r>
              <w:rPr>
                <w:noProof/>
              </w:rPr>
              <w:t xml:space="preserve">a) Center za tehnične operacije (TOC) in vsaj dva sistema za upravljanje zračnega prometa </w:t>
            </w:r>
          </w:p>
          <w:p w14:paraId="3E2E6270" w14:textId="77777777" w:rsidR="00154E32" w:rsidRDefault="00A43E04">
            <w:pPr>
              <w:pStyle w:val="P68B1DB1-Normal11"/>
              <w:jc w:val="both"/>
              <w:rPr>
                <w:noProof/>
              </w:rPr>
            </w:pPr>
            <w:r>
              <w:rPr>
                <w:noProof/>
              </w:rPr>
              <w:t xml:space="preserve">b) Digitalizirane letalske informacije </w:t>
            </w:r>
          </w:p>
          <w:p w14:paraId="094E5D60" w14:textId="668BC57C" w:rsidR="00154E32" w:rsidRDefault="00A43E04">
            <w:pPr>
              <w:pStyle w:val="P68B1DB1-Normal11"/>
              <w:rPr>
                <w:noProof/>
              </w:rPr>
            </w:pPr>
            <w:r>
              <w:rPr>
                <w:noProof/>
              </w:rPr>
              <w:t>C) Sistem upravljanja prometa brez posadke in povezljivost (UTMS).</w:t>
            </w:r>
          </w:p>
        </w:tc>
      </w:tr>
      <w:tr w:rsidR="00154E32" w14:paraId="4A937A6F" w14:textId="77777777">
        <w:trPr>
          <w:trHeight w:val="309"/>
          <w:jc w:val="center"/>
        </w:trPr>
        <w:tc>
          <w:tcPr>
            <w:tcW w:w="113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4909AF1" w14:textId="77777777" w:rsidR="00154E32" w:rsidRDefault="00A43E04">
            <w:pPr>
              <w:jc w:val="center"/>
              <w:rPr>
                <w:rFonts w:ascii="Arial Narrow" w:hAnsi="Arial Narrow"/>
                <w:noProof/>
                <w:color w:val="006100"/>
                <w:sz w:val="20"/>
              </w:rPr>
            </w:pPr>
            <w:r>
              <w:rPr>
                <w:rStyle w:val="normaltextrun"/>
                <w:rFonts w:ascii="Arial Narrow" w:hAnsi="Arial Narrow"/>
                <w:noProof/>
                <w:color w:val="006100"/>
                <w:sz w:val="20"/>
              </w:rPr>
              <w:t xml:space="preserve">M3C2–7 </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3A94C0A1" w14:textId="77777777" w:rsidR="00154E32" w:rsidRDefault="00A43E04">
            <w:pPr>
              <w:jc w:val="center"/>
              <w:rPr>
                <w:rFonts w:ascii="Arial Narrow" w:hAnsi="Arial Narrow"/>
                <w:noProof/>
                <w:color w:val="006100"/>
                <w:sz w:val="20"/>
              </w:rPr>
            </w:pPr>
            <w:r>
              <w:rPr>
                <w:rStyle w:val="normaltextrun"/>
                <w:rFonts w:ascii="Arial Narrow" w:hAnsi="Arial Narrow"/>
                <w:noProof/>
                <w:color w:val="006100"/>
                <w:sz w:val="20"/>
              </w:rPr>
              <w:t xml:space="preserve">Naložba 2.3: Hladno likanje </w:t>
            </w:r>
          </w:p>
        </w:tc>
        <w:tc>
          <w:tcPr>
            <w:tcW w:w="1066" w:type="dxa"/>
            <w:tcBorders>
              <w:top w:val="single" w:sz="4" w:space="0" w:color="auto"/>
              <w:left w:val="nil"/>
              <w:bottom w:val="single" w:sz="4" w:space="0" w:color="auto"/>
              <w:right w:val="single" w:sz="4" w:space="0" w:color="auto"/>
            </w:tcBorders>
            <w:shd w:val="clear" w:color="auto" w:fill="C6EFCE"/>
            <w:noWrap/>
            <w:vAlign w:val="center"/>
          </w:tcPr>
          <w:p w14:paraId="77AEB95A" w14:textId="77777777" w:rsidR="00154E32" w:rsidRDefault="00A43E04">
            <w:pPr>
              <w:jc w:val="center"/>
              <w:rPr>
                <w:rFonts w:ascii="Arial Narrow" w:hAnsi="Arial Narrow"/>
                <w:noProof/>
                <w:color w:val="006100"/>
                <w:sz w:val="20"/>
              </w:rPr>
            </w:pPr>
            <w:r>
              <w:rPr>
                <w:rStyle w:val="normaltextrun"/>
                <w:rFonts w:ascii="Arial Narrow" w:hAnsi="Arial Narrow"/>
                <w:noProof/>
                <w:color w:val="006100"/>
                <w:sz w:val="20"/>
              </w:rPr>
              <w:t xml:space="preserve">Mejnik </w:t>
            </w:r>
          </w:p>
        </w:tc>
        <w:tc>
          <w:tcPr>
            <w:tcW w:w="1627" w:type="dxa"/>
            <w:tcBorders>
              <w:top w:val="single" w:sz="4" w:space="0" w:color="auto"/>
              <w:left w:val="nil"/>
              <w:bottom w:val="single" w:sz="4" w:space="0" w:color="auto"/>
              <w:right w:val="single" w:sz="4" w:space="0" w:color="auto"/>
            </w:tcBorders>
            <w:shd w:val="clear" w:color="auto" w:fill="C6EFCE"/>
            <w:noWrap/>
            <w:vAlign w:val="center"/>
          </w:tcPr>
          <w:p w14:paraId="05099BDF" w14:textId="77777777" w:rsidR="00154E32" w:rsidRDefault="00A43E04">
            <w:pPr>
              <w:jc w:val="center"/>
              <w:rPr>
                <w:rFonts w:ascii="Arial Narrow" w:hAnsi="Arial Narrow"/>
                <w:noProof/>
                <w:color w:val="006100"/>
                <w:sz w:val="20"/>
              </w:rPr>
            </w:pPr>
            <w:r>
              <w:rPr>
                <w:rStyle w:val="normaltextrun"/>
                <w:rFonts w:ascii="Arial Narrow" w:hAnsi="Arial Narrow"/>
                <w:noProof/>
                <w:color w:val="006100"/>
                <w:sz w:val="20"/>
              </w:rPr>
              <w:t xml:space="preserve">Oddaja vseh javnih naročil </w:t>
            </w:r>
          </w:p>
        </w:tc>
        <w:tc>
          <w:tcPr>
            <w:tcW w:w="1777" w:type="dxa"/>
            <w:tcBorders>
              <w:top w:val="single" w:sz="4" w:space="0" w:color="auto"/>
              <w:left w:val="nil"/>
              <w:bottom w:val="single" w:sz="4" w:space="0" w:color="auto"/>
              <w:right w:val="single" w:sz="4" w:space="0" w:color="auto"/>
            </w:tcBorders>
            <w:shd w:val="clear" w:color="auto" w:fill="C6EFCE"/>
            <w:noWrap/>
            <w:vAlign w:val="center"/>
          </w:tcPr>
          <w:p w14:paraId="5CAD7C52" w14:textId="77777777" w:rsidR="00154E32" w:rsidRDefault="00A43E04">
            <w:pPr>
              <w:jc w:val="center"/>
              <w:rPr>
                <w:rFonts w:ascii="Arial Narrow" w:hAnsi="Arial Narrow"/>
                <w:noProof/>
                <w:color w:val="006100"/>
                <w:sz w:val="20"/>
              </w:rPr>
            </w:pPr>
            <w:r>
              <w:rPr>
                <w:rStyle w:val="normaltextrun"/>
                <w:rFonts w:ascii="Arial Narrow" w:hAnsi="Arial Narrow"/>
                <w:noProof/>
                <w:color w:val="006100"/>
                <w:sz w:val="20"/>
              </w:rPr>
              <w:t xml:space="preserve">Obvestilo o oddaji vseh javnih naročil za gradnjo vsaj 15 obratov za hladno likanje </w:t>
            </w:r>
          </w:p>
        </w:tc>
        <w:tc>
          <w:tcPr>
            <w:tcW w:w="926" w:type="dxa"/>
            <w:tcBorders>
              <w:top w:val="single" w:sz="4" w:space="0" w:color="auto"/>
              <w:left w:val="nil"/>
              <w:bottom w:val="single" w:sz="4" w:space="0" w:color="auto"/>
              <w:right w:val="single" w:sz="4" w:space="0" w:color="auto"/>
            </w:tcBorders>
            <w:shd w:val="clear" w:color="auto" w:fill="C6EFCE"/>
            <w:noWrap/>
            <w:vAlign w:val="center"/>
          </w:tcPr>
          <w:p w14:paraId="06874C7B" w14:textId="77777777" w:rsidR="00154E32" w:rsidRDefault="00A43E04">
            <w:pPr>
              <w:jc w:val="center"/>
              <w:rPr>
                <w:rFonts w:ascii="Arial Narrow" w:hAnsi="Arial Narrow"/>
                <w:noProof/>
                <w:color w:val="006100"/>
                <w:sz w:val="20"/>
              </w:rPr>
            </w:pPr>
            <w:r>
              <w:rPr>
                <w:rStyle w:val="normaltextrun"/>
                <w:rFonts w:ascii="Arial Narrow" w:hAnsi="Arial Narrow"/>
                <w:noProof/>
                <w:color w:val="006100"/>
                <w:sz w:val="20"/>
              </w:rPr>
              <w:t xml:space="preserve">JIH NI </w:t>
            </w:r>
          </w:p>
        </w:tc>
        <w:tc>
          <w:tcPr>
            <w:tcW w:w="1096" w:type="dxa"/>
            <w:tcBorders>
              <w:top w:val="single" w:sz="4" w:space="0" w:color="auto"/>
              <w:left w:val="nil"/>
              <w:bottom w:val="single" w:sz="4" w:space="0" w:color="auto"/>
              <w:right w:val="single" w:sz="4" w:space="0" w:color="auto"/>
            </w:tcBorders>
            <w:shd w:val="clear" w:color="auto" w:fill="C6EFCE"/>
            <w:noWrap/>
            <w:vAlign w:val="center"/>
          </w:tcPr>
          <w:p w14:paraId="0F8DB35F" w14:textId="77777777" w:rsidR="00154E32" w:rsidRDefault="00A43E04">
            <w:pPr>
              <w:jc w:val="center"/>
              <w:rPr>
                <w:rFonts w:ascii="Arial Narrow" w:hAnsi="Arial Narrow"/>
                <w:noProof/>
                <w:color w:val="006100"/>
                <w:sz w:val="20"/>
              </w:rPr>
            </w:pPr>
            <w:r>
              <w:rPr>
                <w:rStyle w:val="normaltextrun"/>
                <w:rFonts w:ascii="Arial Narrow" w:hAnsi="Arial Narrow"/>
                <w:noProof/>
                <w:color w:val="006100"/>
                <w:sz w:val="20"/>
              </w:rPr>
              <w:t xml:space="preserve">JIH NI </w:t>
            </w:r>
          </w:p>
        </w:tc>
        <w:tc>
          <w:tcPr>
            <w:tcW w:w="878" w:type="dxa"/>
            <w:tcBorders>
              <w:top w:val="single" w:sz="4" w:space="0" w:color="auto"/>
              <w:left w:val="nil"/>
              <w:bottom w:val="single" w:sz="4" w:space="0" w:color="auto"/>
              <w:right w:val="single" w:sz="4" w:space="0" w:color="auto"/>
            </w:tcBorders>
            <w:shd w:val="clear" w:color="auto" w:fill="C6EFCE"/>
            <w:noWrap/>
            <w:vAlign w:val="center"/>
          </w:tcPr>
          <w:p w14:paraId="4A270F30" w14:textId="77777777" w:rsidR="00154E32" w:rsidRDefault="00A43E04">
            <w:pPr>
              <w:jc w:val="center"/>
              <w:rPr>
                <w:rFonts w:ascii="Arial Narrow" w:hAnsi="Arial Narrow"/>
                <w:noProof/>
                <w:color w:val="006100"/>
                <w:sz w:val="20"/>
              </w:rPr>
            </w:pPr>
            <w:r>
              <w:rPr>
                <w:rStyle w:val="normaltextrun"/>
                <w:rFonts w:ascii="Arial Narrow" w:hAnsi="Arial Narrow"/>
                <w:noProof/>
                <w:color w:val="006100"/>
                <w:sz w:val="20"/>
              </w:rPr>
              <w:t xml:space="preserve">JIH NI </w:t>
            </w:r>
          </w:p>
        </w:tc>
        <w:tc>
          <w:tcPr>
            <w:tcW w:w="916" w:type="dxa"/>
            <w:tcBorders>
              <w:top w:val="single" w:sz="4" w:space="0" w:color="auto"/>
              <w:left w:val="nil"/>
              <w:bottom w:val="single" w:sz="4" w:space="0" w:color="auto"/>
              <w:right w:val="single" w:sz="4" w:space="0" w:color="auto"/>
            </w:tcBorders>
            <w:shd w:val="clear" w:color="auto" w:fill="C6EFCE"/>
            <w:noWrap/>
            <w:vAlign w:val="center"/>
          </w:tcPr>
          <w:p w14:paraId="577E8FCF" w14:textId="77777777" w:rsidR="00154E32" w:rsidRDefault="00A43E04">
            <w:pPr>
              <w:jc w:val="center"/>
              <w:rPr>
                <w:rFonts w:ascii="Arial Narrow" w:hAnsi="Arial Narrow"/>
                <w:noProof/>
                <w:color w:val="006100"/>
                <w:sz w:val="20"/>
              </w:rPr>
            </w:pPr>
            <w:r>
              <w:rPr>
                <w:rStyle w:val="normaltextrun"/>
                <w:rFonts w:ascii="Arial Narrow" w:hAnsi="Arial Narrow"/>
                <w:noProof/>
                <w:color w:val="006100"/>
                <w:sz w:val="20"/>
              </w:rPr>
              <w:t xml:space="preserve">Q3 </w:t>
            </w:r>
          </w:p>
        </w:tc>
        <w:tc>
          <w:tcPr>
            <w:tcW w:w="666" w:type="dxa"/>
            <w:tcBorders>
              <w:top w:val="single" w:sz="4" w:space="0" w:color="auto"/>
              <w:left w:val="nil"/>
              <w:bottom w:val="single" w:sz="4" w:space="0" w:color="auto"/>
              <w:right w:val="single" w:sz="4" w:space="0" w:color="auto"/>
            </w:tcBorders>
            <w:shd w:val="clear" w:color="auto" w:fill="C6EFCE"/>
            <w:noWrap/>
            <w:vAlign w:val="center"/>
          </w:tcPr>
          <w:p w14:paraId="2D5FDD34" w14:textId="77777777" w:rsidR="00154E32" w:rsidRDefault="00A43E04">
            <w:pPr>
              <w:jc w:val="center"/>
              <w:rPr>
                <w:rFonts w:ascii="Arial Narrow" w:hAnsi="Arial Narrow"/>
                <w:noProof/>
                <w:color w:val="006100"/>
                <w:sz w:val="20"/>
              </w:rPr>
            </w:pPr>
            <w:r>
              <w:rPr>
                <w:rStyle w:val="normaltextrun"/>
                <w:rFonts w:ascii="Arial Narrow" w:hAnsi="Arial Narrow"/>
                <w:noProof/>
                <w:color w:val="006100"/>
                <w:sz w:val="20"/>
              </w:rPr>
              <w:t xml:space="preserve">2024 </w:t>
            </w:r>
          </w:p>
        </w:tc>
        <w:tc>
          <w:tcPr>
            <w:tcW w:w="4231" w:type="dxa"/>
            <w:tcBorders>
              <w:top w:val="single" w:sz="4" w:space="0" w:color="auto"/>
              <w:left w:val="nil"/>
              <w:bottom w:val="single" w:sz="4" w:space="0" w:color="auto"/>
              <w:right w:val="single" w:sz="4" w:space="0" w:color="auto"/>
            </w:tcBorders>
            <w:shd w:val="clear" w:color="auto" w:fill="C6EFCE"/>
            <w:noWrap/>
            <w:vAlign w:val="center"/>
          </w:tcPr>
          <w:p w14:paraId="51B5E809" w14:textId="77777777" w:rsidR="00154E32" w:rsidRDefault="00A43E04">
            <w:pPr>
              <w:jc w:val="both"/>
              <w:rPr>
                <w:rFonts w:ascii="Arial Narrow" w:hAnsi="Arial Narrow"/>
                <w:noProof/>
                <w:color w:val="006100"/>
                <w:sz w:val="20"/>
              </w:rPr>
            </w:pPr>
            <w:r>
              <w:rPr>
                <w:rStyle w:val="normaltextrun"/>
                <w:rFonts w:ascii="Arial Narrow" w:hAnsi="Arial Narrow"/>
                <w:noProof/>
                <w:color w:val="006100"/>
                <w:sz w:val="20"/>
              </w:rPr>
              <w:t xml:space="preserve">Objava javnega razpisa in oddaja vseh naročil za izgradnjo vsaj 15 obratov za hladno likanje, ki zagotavljajo električno energijo v vsaj 10 pristaniščih. </w:t>
            </w:r>
          </w:p>
        </w:tc>
      </w:tr>
      <w:tr w:rsidR="00154E32" w14:paraId="1235642C" w14:textId="77777777">
        <w:trPr>
          <w:trHeight w:val="309"/>
          <w:jc w:val="center"/>
        </w:trPr>
        <w:tc>
          <w:tcPr>
            <w:tcW w:w="113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CCD403" w14:textId="77777777" w:rsidR="00154E32" w:rsidRDefault="00A43E04">
            <w:pPr>
              <w:jc w:val="center"/>
              <w:rPr>
                <w:rFonts w:ascii="Arial Narrow" w:hAnsi="Arial Narrow"/>
                <w:noProof/>
                <w:color w:val="006100"/>
                <w:sz w:val="20"/>
              </w:rPr>
            </w:pPr>
            <w:r>
              <w:rPr>
                <w:rStyle w:val="normaltextrun"/>
                <w:rFonts w:ascii="Arial Narrow" w:hAnsi="Arial Narrow"/>
                <w:noProof/>
                <w:color w:val="006100"/>
                <w:sz w:val="20"/>
              </w:rPr>
              <w:t>M3C2–12</w:t>
            </w:r>
          </w:p>
        </w:tc>
        <w:tc>
          <w:tcPr>
            <w:tcW w:w="1560" w:type="dxa"/>
            <w:tcBorders>
              <w:top w:val="single" w:sz="4" w:space="0" w:color="auto"/>
              <w:left w:val="nil"/>
              <w:bottom w:val="single" w:sz="4" w:space="0" w:color="auto"/>
              <w:right w:val="single" w:sz="4" w:space="0" w:color="auto"/>
            </w:tcBorders>
            <w:shd w:val="clear" w:color="auto" w:fill="C6EFCE"/>
            <w:noWrap/>
            <w:vAlign w:val="center"/>
          </w:tcPr>
          <w:p w14:paraId="4AEE28D8" w14:textId="77777777" w:rsidR="00154E32" w:rsidRDefault="00A43E04">
            <w:pPr>
              <w:jc w:val="center"/>
              <w:rPr>
                <w:rFonts w:ascii="Arial Narrow" w:hAnsi="Arial Narrow"/>
                <w:noProof/>
                <w:color w:val="006100"/>
                <w:sz w:val="20"/>
              </w:rPr>
            </w:pPr>
            <w:r>
              <w:rPr>
                <w:rStyle w:val="normaltextrun"/>
                <w:rFonts w:ascii="Arial Narrow" w:hAnsi="Arial Narrow"/>
                <w:noProof/>
                <w:color w:val="006100"/>
                <w:sz w:val="20"/>
              </w:rPr>
              <w:t xml:space="preserve">Naložba 9: Hladno likanje </w:t>
            </w:r>
          </w:p>
        </w:tc>
        <w:tc>
          <w:tcPr>
            <w:tcW w:w="1066" w:type="dxa"/>
            <w:tcBorders>
              <w:top w:val="single" w:sz="4" w:space="0" w:color="auto"/>
              <w:left w:val="nil"/>
              <w:bottom w:val="single" w:sz="4" w:space="0" w:color="auto"/>
              <w:right w:val="single" w:sz="4" w:space="0" w:color="auto"/>
            </w:tcBorders>
            <w:shd w:val="clear" w:color="auto" w:fill="C6EFCE"/>
            <w:noWrap/>
            <w:vAlign w:val="center"/>
          </w:tcPr>
          <w:p w14:paraId="2DA1B153" w14:textId="77777777" w:rsidR="00154E32" w:rsidRDefault="00A43E04">
            <w:pPr>
              <w:jc w:val="center"/>
              <w:rPr>
                <w:rFonts w:ascii="Arial Narrow" w:hAnsi="Arial Narrow"/>
                <w:noProof/>
                <w:color w:val="006100"/>
                <w:sz w:val="20"/>
              </w:rPr>
            </w:pPr>
            <w:r>
              <w:rPr>
                <w:rStyle w:val="normaltextrun"/>
                <w:rFonts w:ascii="Arial Narrow" w:hAnsi="Arial Narrow"/>
                <w:noProof/>
                <w:color w:val="006100"/>
                <w:sz w:val="20"/>
              </w:rPr>
              <w:t xml:space="preserve">Tarča </w:t>
            </w:r>
          </w:p>
        </w:tc>
        <w:tc>
          <w:tcPr>
            <w:tcW w:w="1627" w:type="dxa"/>
            <w:tcBorders>
              <w:top w:val="single" w:sz="4" w:space="0" w:color="auto"/>
              <w:left w:val="nil"/>
              <w:bottom w:val="single" w:sz="4" w:space="0" w:color="auto"/>
              <w:right w:val="single" w:sz="4" w:space="0" w:color="auto"/>
            </w:tcBorders>
            <w:shd w:val="clear" w:color="auto" w:fill="C6EFCE"/>
            <w:noWrap/>
            <w:vAlign w:val="center"/>
          </w:tcPr>
          <w:p w14:paraId="2F1C823D" w14:textId="77777777" w:rsidR="00154E32" w:rsidRDefault="00A43E04">
            <w:pPr>
              <w:jc w:val="center"/>
              <w:rPr>
                <w:rFonts w:ascii="Arial Narrow" w:hAnsi="Arial Narrow"/>
                <w:noProof/>
                <w:color w:val="006100"/>
                <w:sz w:val="20"/>
              </w:rPr>
            </w:pPr>
            <w:r>
              <w:rPr>
                <w:rStyle w:val="normaltextrun"/>
                <w:rFonts w:ascii="Arial Narrow" w:hAnsi="Arial Narrow"/>
                <w:noProof/>
                <w:color w:val="006100"/>
                <w:sz w:val="20"/>
              </w:rPr>
              <w:t xml:space="preserve">Začetek obratovanja infrastrukture za hladno likanje. </w:t>
            </w:r>
          </w:p>
        </w:tc>
        <w:tc>
          <w:tcPr>
            <w:tcW w:w="1777" w:type="dxa"/>
            <w:tcBorders>
              <w:top w:val="single" w:sz="4" w:space="0" w:color="auto"/>
              <w:left w:val="nil"/>
              <w:bottom w:val="single" w:sz="4" w:space="0" w:color="auto"/>
              <w:right w:val="single" w:sz="4" w:space="0" w:color="auto"/>
            </w:tcBorders>
            <w:shd w:val="clear" w:color="auto" w:fill="C6EFCE"/>
            <w:noWrap/>
            <w:vAlign w:val="center"/>
          </w:tcPr>
          <w:p w14:paraId="73BD23C4" w14:textId="77777777" w:rsidR="00154E32" w:rsidRDefault="00A43E04">
            <w:pPr>
              <w:jc w:val="center"/>
              <w:rPr>
                <w:rFonts w:ascii="Arial Narrow" w:hAnsi="Arial Narrow"/>
                <w:noProof/>
                <w:color w:val="006100"/>
                <w:sz w:val="20"/>
              </w:rPr>
            </w:pPr>
            <w:r>
              <w:rPr>
                <w:rStyle w:val="eop"/>
                <w:rFonts w:ascii="Arial Narrow" w:hAnsi="Arial Narrow"/>
                <w:noProof/>
                <w:color w:val="006100"/>
                <w:sz w:val="20"/>
              </w:rPr>
              <w:t xml:space="preserve"> </w:t>
            </w:r>
          </w:p>
        </w:tc>
        <w:tc>
          <w:tcPr>
            <w:tcW w:w="926" w:type="dxa"/>
            <w:tcBorders>
              <w:top w:val="single" w:sz="4" w:space="0" w:color="auto"/>
              <w:left w:val="nil"/>
              <w:bottom w:val="single" w:sz="4" w:space="0" w:color="auto"/>
              <w:right w:val="single" w:sz="4" w:space="0" w:color="auto"/>
            </w:tcBorders>
            <w:shd w:val="clear" w:color="auto" w:fill="C6EFCE"/>
            <w:noWrap/>
            <w:vAlign w:val="center"/>
          </w:tcPr>
          <w:p w14:paraId="3A120C97" w14:textId="77777777" w:rsidR="00154E32" w:rsidRDefault="00A43E04">
            <w:pPr>
              <w:jc w:val="center"/>
              <w:rPr>
                <w:rFonts w:ascii="Arial Narrow" w:hAnsi="Arial Narrow"/>
                <w:noProof/>
                <w:color w:val="006100"/>
                <w:sz w:val="20"/>
              </w:rPr>
            </w:pPr>
            <w:r>
              <w:rPr>
                <w:rStyle w:val="normaltextrun"/>
                <w:rFonts w:ascii="Arial Narrow" w:hAnsi="Arial Narrow"/>
                <w:noProof/>
                <w:color w:val="006100"/>
                <w:sz w:val="20"/>
              </w:rPr>
              <w:t xml:space="preserve">Število </w:t>
            </w:r>
          </w:p>
        </w:tc>
        <w:tc>
          <w:tcPr>
            <w:tcW w:w="1096" w:type="dxa"/>
            <w:tcBorders>
              <w:top w:val="single" w:sz="4" w:space="0" w:color="auto"/>
              <w:left w:val="nil"/>
              <w:bottom w:val="single" w:sz="4" w:space="0" w:color="auto"/>
              <w:right w:val="single" w:sz="4" w:space="0" w:color="auto"/>
            </w:tcBorders>
            <w:shd w:val="clear" w:color="auto" w:fill="C6EFCE"/>
            <w:noWrap/>
            <w:vAlign w:val="center"/>
          </w:tcPr>
          <w:p w14:paraId="6179D665" w14:textId="77777777" w:rsidR="00154E32" w:rsidRDefault="00A43E04">
            <w:pPr>
              <w:jc w:val="center"/>
              <w:rPr>
                <w:rFonts w:ascii="Arial Narrow" w:hAnsi="Arial Narrow"/>
                <w:noProof/>
                <w:color w:val="006100"/>
                <w:sz w:val="20"/>
              </w:rPr>
            </w:pPr>
            <w:r>
              <w:rPr>
                <w:rStyle w:val="normaltextrun"/>
                <w:rFonts w:ascii="Arial Narrow" w:hAnsi="Arial Narrow"/>
                <w:noProof/>
                <w:color w:val="006100"/>
                <w:sz w:val="20"/>
              </w:rPr>
              <w:t xml:space="preserve">0 </w:t>
            </w:r>
          </w:p>
        </w:tc>
        <w:tc>
          <w:tcPr>
            <w:tcW w:w="878" w:type="dxa"/>
            <w:tcBorders>
              <w:top w:val="single" w:sz="4" w:space="0" w:color="auto"/>
              <w:left w:val="nil"/>
              <w:bottom w:val="single" w:sz="4" w:space="0" w:color="auto"/>
              <w:right w:val="single" w:sz="4" w:space="0" w:color="auto"/>
            </w:tcBorders>
            <w:shd w:val="clear" w:color="auto" w:fill="C6EFCE"/>
            <w:noWrap/>
            <w:vAlign w:val="center"/>
          </w:tcPr>
          <w:p w14:paraId="1A22BCDB" w14:textId="77777777" w:rsidR="00154E32" w:rsidRDefault="00A43E04">
            <w:pPr>
              <w:jc w:val="center"/>
              <w:rPr>
                <w:rFonts w:ascii="Arial Narrow" w:hAnsi="Arial Narrow"/>
                <w:noProof/>
                <w:color w:val="006100"/>
                <w:sz w:val="20"/>
              </w:rPr>
            </w:pPr>
            <w:r>
              <w:rPr>
                <w:rStyle w:val="normaltextrun"/>
                <w:rFonts w:ascii="Arial Narrow" w:hAnsi="Arial Narrow"/>
                <w:noProof/>
                <w:color w:val="006100"/>
                <w:sz w:val="20"/>
              </w:rPr>
              <w:t xml:space="preserve">15 </w:t>
            </w:r>
          </w:p>
        </w:tc>
        <w:tc>
          <w:tcPr>
            <w:tcW w:w="916" w:type="dxa"/>
            <w:tcBorders>
              <w:top w:val="single" w:sz="4" w:space="0" w:color="auto"/>
              <w:left w:val="nil"/>
              <w:bottom w:val="single" w:sz="4" w:space="0" w:color="auto"/>
              <w:right w:val="single" w:sz="4" w:space="0" w:color="auto"/>
            </w:tcBorders>
            <w:shd w:val="clear" w:color="auto" w:fill="C6EFCE"/>
            <w:noWrap/>
            <w:vAlign w:val="center"/>
          </w:tcPr>
          <w:p w14:paraId="41B3E112" w14:textId="77777777" w:rsidR="00154E32" w:rsidRDefault="00A43E04">
            <w:pPr>
              <w:jc w:val="center"/>
              <w:rPr>
                <w:rFonts w:ascii="Arial Narrow" w:hAnsi="Arial Narrow"/>
                <w:noProof/>
                <w:color w:val="006100"/>
                <w:sz w:val="20"/>
              </w:rPr>
            </w:pPr>
            <w:r>
              <w:rPr>
                <w:rStyle w:val="normaltextrun"/>
                <w:rFonts w:ascii="Arial Narrow" w:hAnsi="Arial Narrow"/>
                <w:noProof/>
                <w:color w:val="006100"/>
                <w:sz w:val="20"/>
              </w:rPr>
              <w:t xml:space="preserve">ČETRTLETJE 1 </w:t>
            </w:r>
          </w:p>
        </w:tc>
        <w:tc>
          <w:tcPr>
            <w:tcW w:w="666" w:type="dxa"/>
            <w:tcBorders>
              <w:top w:val="single" w:sz="4" w:space="0" w:color="auto"/>
              <w:left w:val="nil"/>
              <w:bottom w:val="single" w:sz="4" w:space="0" w:color="auto"/>
              <w:right w:val="single" w:sz="4" w:space="0" w:color="auto"/>
            </w:tcBorders>
            <w:shd w:val="clear" w:color="auto" w:fill="C6EFCE"/>
            <w:noWrap/>
            <w:vAlign w:val="center"/>
          </w:tcPr>
          <w:p w14:paraId="2CCE3C44" w14:textId="77777777" w:rsidR="00154E32" w:rsidRDefault="00A43E04">
            <w:pPr>
              <w:jc w:val="center"/>
              <w:rPr>
                <w:rFonts w:ascii="Arial Narrow" w:hAnsi="Arial Narrow"/>
                <w:noProof/>
                <w:color w:val="006100"/>
                <w:sz w:val="20"/>
              </w:rPr>
            </w:pPr>
            <w:r>
              <w:rPr>
                <w:rStyle w:val="normaltextrun"/>
                <w:rFonts w:ascii="Arial Narrow" w:hAnsi="Arial Narrow"/>
                <w:noProof/>
                <w:color w:val="006100"/>
                <w:sz w:val="20"/>
              </w:rPr>
              <w:t xml:space="preserve">2026 </w:t>
            </w:r>
          </w:p>
        </w:tc>
        <w:tc>
          <w:tcPr>
            <w:tcW w:w="4231" w:type="dxa"/>
            <w:tcBorders>
              <w:top w:val="single" w:sz="4" w:space="0" w:color="auto"/>
              <w:left w:val="nil"/>
              <w:bottom w:val="single" w:sz="4" w:space="0" w:color="auto"/>
              <w:right w:val="single" w:sz="4" w:space="0" w:color="auto"/>
            </w:tcBorders>
            <w:shd w:val="clear" w:color="auto" w:fill="C6EFCE"/>
            <w:noWrap/>
            <w:vAlign w:val="center"/>
          </w:tcPr>
          <w:p w14:paraId="7EEAD68A" w14:textId="77777777" w:rsidR="00154E32" w:rsidRDefault="00A43E04">
            <w:pPr>
              <w:jc w:val="both"/>
              <w:rPr>
                <w:rFonts w:ascii="Arial Narrow" w:hAnsi="Arial Narrow"/>
                <w:noProof/>
                <w:color w:val="006100"/>
                <w:sz w:val="20"/>
              </w:rPr>
            </w:pPr>
            <w:r>
              <w:rPr>
                <w:rStyle w:val="normaltextrun"/>
                <w:rFonts w:ascii="Arial Narrow" w:hAnsi="Arial Narrow"/>
                <w:noProof/>
                <w:color w:val="006100"/>
                <w:sz w:val="20"/>
              </w:rPr>
              <w:t xml:space="preserve">Začetek obratovanja vsaj 15 infrastruktur za hladno likanje, ki zagotavljajo električno energijo v vsaj 10 pristaniščih. </w:t>
            </w:r>
          </w:p>
        </w:tc>
      </w:tr>
    </w:tbl>
    <w:p w14:paraId="25509F2A" w14:textId="77777777" w:rsidR="00154E32" w:rsidRDefault="00154E32">
      <w:pPr>
        <w:spacing w:before="120" w:after="120"/>
        <w:jc w:val="both"/>
        <w:rPr>
          <w:noProof/>
        </w:rPr>
      </w:pPr>
    </w:p>
    <w:p w14:paraId="20F6C40F" w14:textId="77777777" w:rsidR="00154E32" w:rsidRDefault="00154E32">
      <w:pPr>
        <w:spacing w:before="120" w:after="120"/>
        <w:ind w:left="709"/>
        <w:jc w:val="both"/>
        <w:rPr>
          <w:noProof/>
        </w:rPr>
      </w:pPr>
    </w:p>
    <w:p w14:paraId="35CC36F6" w14:textId="77777777" w:rsidR="00154E32" w:rsidRDefault="00154E32">
      <w:pPr>
        <w:spacing w:before="120" w:after="120"/>
        <w:ind w:left="709"/>
        <w:jc w:val="both"/>
        <w:rPr>
          <w:noProof/>
        </w:rPr>
        <w:sectPr w:rsidR="00154E32" w:rsidSect="000D3774">
          <w:headerReference w:type="even" r:id="rId212"/>
          <w:headerReference w:type="default" r:id="rId213"/>
          <w:footerReference w:type="even" r:id="rId214"/>
          <w:footerReference w:type="default" r:id="rId215"/>
          <w:headerReference w:type="first" r:id="rId216"/>
          <w:footerReference w:type="first" r:id="rId217"/>
          <w:pgSz w:w="16839" w:h="11907" w:orient="landscape"/>
          <w:pgMar w:top="1134" w:right="1134" w:bottom="1134" w:left="1134" w:header="567" w:footer="567" w:gutter="0"/>
          <w:cols w:space="720"/>
          <w:docGrid w:linePitch="360"/>
        </w:sectPr>
      </w:pPr>
    </w:p>
    <w:p w14:paraId="76654817" w14:textId="77777777" w:rsidR="00154E32" w:rsidRDefault="00A43E04">
      <w:pPr>
        <w:pStyle w:val="Heading3"/>
        <w:numPr>
          <w:ilvl w:val="0"/>
          <w:numId w:val="0"/>
        </w:numPr>
        <w:ind w:left="850" w:hanging="850"/>
        <w:rPr>
          <w:b/>
          <w:i w:val="0"/>
          <w:noProof/>
          <w:color w:val="4F81BD" w:themeColor="accent1"/>
          <w:u w:val="single"/>
        </w:rPr>
      </w:pPr>
      <w:r>
        <w:rPr>
          <w:b/>
          <w:i w:val="0"/>
          <w:noProof/>
          <w:u w:val="single"/>
        </w:rPr>
        <w:t xml:space="preserve">I.3. </w:t>
      </w:r>
      <w:r>
        <w:rPr>
          <w:noProof/>
        </w:rPr>
        <w:tab/>
      </w:r>
      <w:r>
        <w:rPr>
          <w:b/>
          <w:i w:val="0"/>
          <w:noProof/>
          <w:u w:val="single"/>
        </w:rPr>
        <w:t xml:space="preserve">Opis reform in naložb za posojilo </w:t>
      </w:r>
    </w:p>
    <w:p w14:paraId="268B9A8F" w14:textId="77777777" w:rsidR="00154E32" w:rsidRDefault="00A43E04">
      <w:pPr>
        <w:pStyle w:val="P68B1DB1-Normal2"/>
        <w:spacing w:before="120" w:after="120"/>
        <w:jc w:val="both"/>
        <w:rPr>
          <w:rFonts w:eastAsia="Calibri"/>
          <w:noProof/>
        </w:rPr>
      </w:pPr>
      <w:r>
        <w:rPr>
          <w:noProof/>
        </w:rPr>
        <w:t>Naložba 1.1: Zelena pristanišča: ukrepi na področju energije iz obnovljivih virov in energetske učinkovitosti v pristaniščih</w:t>
      </w:r>
    </w:p>
    <w:p w14:paraId="54B531B2" w14:textId="77777777" w:rsidR="00154E32" w:rsidRDefault="00A43E04">
      <w:pPr>
        <w:spacing w:before="120" w:after="120"/>
        <w:jc w:val="both"/>
        <w:rPr>
          <w:rFonts w:eastAsia="Calibri"/>
          <w:noProof/>
        </w:rPr>
      </w:pPr>
      <w:r>
        <w:rPr>
          <w:noProof/>
        </w:rPr>
        <w:t>Glavni cilj tega ukrepa je zmanjšanje emisij CO2 in izboljšanje kakovosti zraka v pristaniških mestih z ukrepi za energijsko učinkovitost in spodbujanje uporabe energije iz obnovljivih virov v pristaniščih. Cilj je prispevati k zmanjšanju skupnih letnih emisij CO2 na zadevnem pristaniškem območju. Projekti se izberejo med projekti, ki so jih posamezni organi pristaniškega sistema navedli v svojih dokumentih za načrtovanje okoljske energije (DEASP). Program „zelenih pristanišč“ naj bi dosegel tudi znatno zmanjšanje drugih onesnaževal izgorevanja, ki so glavni vzrok za poslabšanje kakovosti zraka v pristaniških mestih. Ta naložba vključuje nakup brezemisijskih vozil in servisnih plovil ali preoblikovanje vozil na fosilna goriva in servisnih čolnov v brezemisijska vozila.</w:t>
      </w:r>
    </w:p>
    <w:p w14:paraId="482956A6" w14:textId="77777777" w:rsidR="00154E32" w:rsidRDefault="00A43E04">
      <w:pPr>
        <w:pStyle w:val="P68B1DB1-Normal2"/>
        <w:spacing w:before="120" w:after="120"/>
        <w:jc w:val="both"/>
        <w:rPr>
          <w:noProof/>
        </w:rPr>
      </w:pPr>
      <w:r>
        <w:rPr>
          <w:noProof/>
        </w:rPr>
        <w:t>Reforma 2.2: Vzpostavitev nacionalne platforme za digitalno logistiko za uvedbo digitalizacije storitev tovornega in/ali potniškega prometa</w:t>
      </w:r>
    </w:p>
    <w:p w14:paraId="74EDE6C2" w14:textId="77777777" w:rsidR="00154E32" w:rsidRDefault="00A43E04">
      <w:pPr>
        <w:spacing w:before="120" w:after="120"/>
        <w:jc w:val="both"/>
        <w:rPr>
          <w:noProof/>
        </w:rPr>
      </w:pPr>
      <w:r>
        <w:rPr>
          <w:noProof/>
        </w:rPr>
        <w:t xml:space="preserve">Cilj reforme je zagotoviti, da so sistemi pristaniških skupnosti posameznih organov pristaniškega sistema interoperabilni z nacionalno platformo za digitalno logistiko. </w:t>
      </w:r>
    </w:p>
    <w:p w14:paraId="65BA931D" w14:textId="77777777" w:rsidR="00154E32" w:rsidRDefault="00A43E04">
      <w:pPr>
        <w:pStyle w:val="Heading3"/>
        <w:numPr>
          <w:ilvl w:val="0"/>
          <w:numId w:val="0"/>
        </w:numPr>
        <w:ind w:left="850" w:hanging="850"/>
        <w:rPr>
          <w:b/>
          <w:i w:val="0"/>
          <w:noProof/>
          <w:u w:val="single"/>
        </w:rPr>
      </w:pPr>
      <w:r>
        <w:rPr>
          <w:b/>
          <w:i w:val="0"/>
          <w:noProof/>
          <w:u w:val="single"/>
        </w:rPr>
        <w:t xml:space="preserve">I.4. </w:t>
      </w:r>
      <w:r>
        <w:rPr>
          <w:noProof/>
        </w:rPr>
        <w:tab/>
      </w:r>
      <w:r>
        <w:rPr>
          <w:b/>
          <w:i w:val="0"/>
          <w:noProof/>
          <w:u w:val="single"/>
        </w:rPr>
        <w:t xml:space="preserve">Mejniki, cilji, kazalniki in časovni razpored za spremljanje in izvajanje posojila </w:t>
      </w:r>
    </w:p>
    <w:p w14:paraId="41AABC71" w14:textId="77777777" w:rsidR="00154E32" w:rsidRDefault="00154E32">
      <w:pPr>
        <w:spacing w:before="120" w:after="120"/>
        <w:ind w:left="709"/>
        <w:contextualSpacing/>
        <w:jc w:val="both"/>
        <w:rPr>
          <w:noProof/>
        </w:rPr>
        <w:sectPr w:rsidR="00154E32" w:rsidSect="000D3774">
          <w:headerReference w:type="even" r:id="rId218"/>
          <w:headerReference w:type="default" r:id="rId219"/>
          <w:footerReference w:type="even" r:id="rId220"/>
          <w:footerReference w:type="default" r:id="rId221"/>
          <w:headerReference w:type="first" r:id="rId222"/>
          <w:footerReference w:type="first" r:id="rId223"/>
          <w:pgSz w:w="11907" w:h="16839"/>
          <w:pgMar w:top="1134" w:right="1134" w:bottom="1134" w:left="1134" w:header="567" w:footer="567" w:gutter="0"/>
          <w:cols w:space="720"/>
          <w:docGrid w:linePitch="360"/>
        </w:sectPr>
      </w:pPr>
    </w:p>
    <w:tbl>
      <w:tblPr>
        <w:tblW w:w="53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1572"/>
        <w:gridCol w:w="1275"/>
        <w:gridCol w:w="1418"/>
        <w:gridCol w:w="1559"/>
        <w:gridCol w:w="1276"/>
        <w:gridCol w:w="1276"/>
        <w:gridCol w:w="710"/>
        <w:gridCol w:w="708"/>
        <w:gridCol w:w="710"/>
        <w:gridCol w:w="3401"/>
      </w:tblGrid>
      <w:tr w:rsidR="00154E32" w14:paraId="04B470F0" w14:textId="77777777">
        <w:trPr>
          <w:trHeight w:val="939"/>
          <w:tblHeader/>
          <w:jc w:val="center"/>
        </w:trPr>
        <w:tc>
          <w:tcPr>
            <w:tcW w:w="1115" w:type="dxa"/>
            <w:vMerge w:val="restart"/>
            <w:shd w:val="clear" w:color="auto" w:fill="BDD7EE"/>
            <w:vAlign w:val="center"/>
            <w:hideMark/>
          </w:tcPr>
          <w:p w14:paraId="4E0C0D06" w14:textId="77777777" w:rsidR="00154E32" w:rsidRDefault="00A43E04">
            <w:pPr>
              <w:pStyle w:val="P68B1DB1-Normal9"/>
              <w:jc w:val="center"/>
              <w:rPr>
                <w:noProof/>
              </w:rPr>
            </w:pPr>
            <w:r>
              <w:rPr>
                <w:noProof/>
              </w:rPr>
              <w:t>Zaporedna številka</w:t>
            </w:r>
          </w:p>
        </w:tc>
        <w:tc>
          <w:tcPr>
            <w:tcW w:w="1572" w:type="dxa"/>
            <w:vMerge w:val="restart"/>
            <w:shd w:val="clear" w:color="auto" w:fill="BDD7EE"/>
            <w:vAlign w:val="center"/>
            <w:hideMark/>
          </w:tcPr>
          <w:p w14:paraId="3F5C6E14" w14:textId="77777777" w:rsidR="00154E32" w:rsidRDefault="00A43E04">
            <w:pPr>
              <w:pStyle w:val="P68B1DB1-Normal9"/>
              <w:jc w:val="center"/>
              <w:rPr>
                <w:noProof/>
              </w:rPr>
            </w:pPr>
            <w:r>
              <w:rPr>
                <w:noProof/>
              </w:rPr>
              <w:t>Povezani ukrep (reforma ali naložba)</w:t>
            </w:r>
          </w:p>
        </w:tc>
        <w:tc>
          <w:tcPr>
            <w:tcW w:w="1275" w:type="dxa"/>
            <w:vMerge w:val="restart"/>
            <w:shd w:val="clear" w:color="auto" w:fill="BDD7EE"/>
            <w:vAlign w:val="center"/>
            <w:hideMark/>
          </w:tcPr>
          <w:p w14:paraId="57F7D95E" w14:textId="77777777" w:rsidR="00154E32" w:rsidRDefault="00A43E04">
            <w:pPr>
              <w:pStyle w:val="P68B1DB1-Normal9"/>
              <w:jc w:val="center"/>
              <w:rPr>
                <w:noProof/>
              </w:rPr>
            </w:pPr>
            <w:r>
              <w:rPr>
                <w:noProof/>
              </w:rPr>
              <w:t>Mejnik/cilj</w:t>
            </w:r>
          </w:p>
        </w:tc>
        <w:tc>
          <w:tcPr>
            <w:tcW w:w="1418" w:type="dxa"/>
            <w:vMerge w:val="restart"/>
            <w:shd w:val="clear" w:color="auto" w:fill="BDD7EE"/>
            <w:vAlign w:val="center"/>
            <w:hideMark/>
          </w:tcPr>
          <w:p w14:paraId="5A5ADEC3" w14:textId="77777777" w:rsidR="00154E32" w:rsidRDefault="00A43E04">
            <w:pPr>
              <w:pStyle w:val="P68B1DB1-Normal9"/>
              <w:jc w:val="center"/>
              <w:rPr>
                <w:noProof/>
              </w:rPr>
            </w:pPr>
            <w:r>
              <w:rPr>
                <w:noProof/>
              </w:rPr>
              <w:t>Ime</w:t>
            </w:r>
          </w:p>
        </w:tc>
        <w:tc>
          <w:tcPr>
            <w:tcW w:w="1559" w:type="dxa"/>
            <w:vMerge w:val="restart"/>
            <w:shd w:val="clear" w:color="auto" w:fill="BDD7EE"/>
            <w:vAlign w:val="center"/>
            <w:hideMark/>
          </w:tcPr>
          <w:p w14:paraId="6B20C317" w14:textId="77777777" w:rsidR="00154E32" w:rsidRDefault="00A43E04">
            <w:pPr>
              <w:pStyle w:val="P68B1DB1-Normal10"/>
              <w:jc w:val="center"/>
              <w:rPr>
                <w:b/>
                <w:noProof/>
                <w:sz w:val="20"/>
              </w:rPr>
            </w:pPr>
            <w:r>
              <w:rPr>
                <w:b/>
                <w:noProof/>
                <w:sz w:val="20"/>
              </w:rPr>
              <w:t>Kakovostni kazalniki</w:t>
            </w:r>
            <w:r>
              <w:rPr>
                <w:noProof/>
              </w:rPr>
              <w:t xml:space="preserve"> </w:t>
            </w:r>
            <w:r>
              <w:rPr>
                <w:noProof/>
              </w:rPr>
              <w:br/>
            </w:r>
            <w:r>
              <w:rPr>
                <w:b/>
                <w:noProof/>
                <w:sz w:val="20"/>
              </w:rPr>
              <w:t>(za mejnike)</w:t>
            </w:r>
          </w:p>
        </w:tc>
        <w:tc>
          <w:tcPr>
            <w:tcW w:w="3262" w:type="dxa"/>
            <w:gridSpan w:val="3"/>
            <w:shd w:val="clear" w:color="auto" w:fill="BDD7EE"/>
            <w:vAlign w:val="center"/>
            <w:hideMark/>
          </w:tcPr>
          <w:p w14:paraId="62E94AE8" w14:textId="77777777" w:rsidR="00154E32" w:rsidRDefault="00A43E04">
            <w:pPr>
              <w:pStyle w:val="P68B1DB1-Normal10"/>
              <w:jc w:val="center"/>
              <w:rPr>
                <w:b/>
                <w:noProof/>
                <w:sz w:val="20"/>
              </w:rPr>
            </w:pPr>
            <w:r>
              <w:rPr>
                <w:b/>
                <w:noProof/>
                <w:sz w:val="20"/>
              </w:rPr>
              <w:t>Kvantitativni kazalniki</w:t>
            </w:r>
            <w:r>
              <w:rPr>
                <w:noProof/>
              </w:rPr>
              <w:t xml:space="preserve"> </w:t>
            </w:r>
            <w:r>
              <w:rPr>
                <w:noProof/>
              </w:rPr>
              <w:br/>
            </w:r>
            <w:r>
              <w:rPr>
                <w:b/>
                <w:noProof/>
                <w:sz w:val="20"/>
              </w:rPr>
              <w:t>(za ciljne vrednosti)</w:t>
            </w:r>
          </w:p>
        </w:tc>
        <w:tc>
          <w:tcPr>
            <w:tcW w:w="1418" w:type="dxa"/>
            <w:gridSpan w:val="2"/>
            <w:shd w:val="clear" w:color="auto" w:fill="BDD7EE"/>
            <w:vAlign w:val="center"/>
            <w:hideMark/>
          </w:tcPr>
          <w:p w14:paraId="2AEB825F" w14:textId="77777777" w:rsidR="00154E32" w:rsidRDefault="00A43E04">
            <w:pPr>
              <w:pStyle w:val="P68B1DB1-Normal9"/>
              <w:jc w:val="center"/>
              <w:rPr>
                <w:noProof/>
              </w:rPr>
            </w:pPr>
            <w:r>
              <w:rPr>
                <w:noProof/>
              </w:rPr>
              <w:t xml:space="preserve">Okvirni časovni razpored za dokončanje </w:t>
            </w:r>
          </w:p>
        </w:tc>
        <w:tc>
          <w:tcPr>
            <w:tcW w:w="3401" w:type="dxa"/>
            <w:vMerge w:val="restart"/>
            <w:shd w:val="clear" w:color="auto" w:fill="BDD7EE"/>
            <w:vAlign w:val="center"/>
            <w:hideMark/>
          </w:tcPr>
          <w:p w14:paraId="27F5330E" w14:textId="77777777" w:rsidR="00154E32" w:rsidRDefault="00A43E04">
            <w:pPr>
              <w:pStyle w:val="P68B1DB1-Normal9"/>
              <w:jc w:val="center"/>
              <w:rPr>
                <w:noProof/>
              </w:rPr>
            </w:pPr>
            <w:r>
              <w:rPr>
                <w:noProof/>
              </w:rPr>
              <w:t>Opis vsakega mejnika in cilja</w:t>
            </w:r>
          </w:p>
        </w:tc>
      </w:tr>
      <w:tr w:rsidR="00154E32" w14:paraId="02F8C243" w14:textId="77777777">
        <w:trPr>
          <w:trHeight w:val="1027"/>
          <w:jc w:val="center"/>
        </w:trPr>
        <w:tc>
          <w:tcPr>
            <w:tcW w:w="1115" w:type="dxa"/>
            <w:vMerge/>
            <w:vAlign w:val="center"/>
            <w:hideMark/>
          </w:tcPr>
          <w:p w14:paraId="195D5A4B" w14:textId="77777777" w:rsidR="00154E32" w:rsidRDefault="00154E32">
            <w:pPr>
              <w:rPr>
                <w:rFonts w:ascii="Arial Narrow" w:hAnsi="Arial Narrow"/>
                <w:b/>
                <w:noProof/>
                <w:sz w:val="20"/>
              </w:rPr>
            </w:pPr>
          </w:p>
        </w:tc>
        <w:tc>
          <w:tcPr>
            <w:tcW w:w="1572" w:type="dxa"/>
            <w:vMerge/>
            <w:vAlign w:val="center"/>
            <w:hideMark/>
          </w:tcPr>
          <w:p w14:paraId="2D5D9E14" w14:textId="77777777" w:rsidR="00154E32" w:rsidRDefault="00154E32">
            <w:pPr>
              <w:rPr>
                <w:rFonts w:ascii="Arial Narrow" w:hAnsi="Arial Narrow"/>
                <w:b/>
                <w:noProof/>
                <w:sz w:val="20"/>
              </w:rPr>
            </w:pPr>
          </w:p>
        </w:tc>
        <w:tc>
          <w:tcPr>
            <w:tcW w:w="1275" w:type="dxa"/>
            <w:vMerge/>
            <w:vAlign w:val="center"/>
            <w:hideMark/>
          </w:tcPr>
          <w:p w14:paraId="7B862CE5" w14:textId="77777777" w:rsidR="00154E32" w:rsidRDefault="00154E32">
            <w:pPr>
              <w:rPr>
                <w:rFonts w:ascii="Arial Narrow" w:hAnsi="Arial Narrow"/>
                <w:b/>
                <w:noProof/>
                <w:sz w:val="20"/>
              </w:rPr>
            </w:pPr>
          </w:p>
        </w:tc>
        <w:tc>
          <w:tcPr>
            <w:tcW w:w="1418" w:type="dxa"/>
            <w:vMerge/>
            <w:vAlign w:val="center"/>
            <w:hideMark/>
          </w:tcPr>
          <w:p w14:paraId="65753FE8" w14:textId="77777777" w:rsidR="00154E32" w:rsidRDefault="00154E32">
            <w:pPr>
              <w:rPr>
                <w:rFonts w:ascii="Arial Narrow" w:hAnsi="Arial Narrow"/>
                <w:b/>
                <w:noProof/>
                <w:sz w:val="20"/>
              </w:rPr>
            </w:pPr>
          </w:p>
        </w:tc>
        <w:tc>
          <w:tcPr>
            <w:tcW w:w="1559" w:type="dxa"/>
            <w:vMerge/>
            <w:vAlign w:val="center"/>
            <w:hideMark/>
          </w:tcPr>
          <w:p w14:paraId="5E2184B7" w14:textId="77777777" w:rsidR="00154E32" w:rsidRDefault="00154E32">
            <w:pPr>
              <w:rPr>
                <w:rFonts w:ascii="Arial Narrow" w:hAnsi="Arial Narrow"/>
                <w:b/>
                <w:noProof/>
                <w:sz w:val="20"/>
              </w:rPr>
            </w:pPr>
          </w:p>
        </w:tc>
        <w:tc>
          <w:tcPr>
            <w:tcW w:w="1276" w:type="dxa"/>
            <w:shd w:val="clear" w:color="auto" w:fill="BDD7EE"/>
            <w:vAlign w:val="center"/>
            <w:hideMark/>
          </w:tcPr>
          <w:p w14:paraId="46ED4DBA" w14:textId="77777777" w:rsidR="00154E32" w:rsidRDefault="00A43E04">
            <w:pPr>
              <w:pStyle w:val="P68B1DB1-Normal9"/>
              <w:jc w:val="center"/>
              <w:rPr>
                <w:noProof/>
              </w:rPr>
            </w:pPr>
            <w:r>
              <w:rPr>
                <w:noProof/>
              </w:rPr>
              <w:t>Merska enota</w:t>
            </w:r>
          </w:p>
        </w:tc>
        <w:tc>
          <w:tcPr>
            <w:tcW w:w="1276" w:type="dxa"/>
            <w:shd w:val="clear" w:color="auto" w:fill="BDD7EE"/>
            <w:vAlign w:val="center"/>
            <w:hideMark/>
          </w:tcPr>
          <w:p w14:paraId="18CBABF8" w14:textId="77777777" w:rsidR="00154E32" w:rsidRDefault="00A43E04">
            <w:pPr>
              <w:pStyle w:val="P68B1DB1-Normal9"/>
              <w:jc w:val="center"/>
              <w:rPr>
                <w:noProof/>
              </w:rPr>
            </w:pPr>
            <w:r>
              <w:rPr>
                <w:noProof/>
              </w:rPr>
              <w:t xml:space="preserve">Izhodišče </w:t>
            </w:r>
          </w:p>
        </w:tc>
        <w:tc>
          <w:tcPr>
            <w:tcW w:w="710" w:type="dxa"/>
            <w:shd w:val="clear" w:color="auto" w:fill="BDD7EE"/>
            <w:vAlign w:val="center"/>
            <w:hideMark/>
          </w:tcPr>
          <w:p w14:paraId="589102F0" w14:textId="77777777" w:rsidR="00154E32" w:rsidRDefault="00A43E04">
            <w:pPr>
              <w:pStyle w:val="P68B1DB1-Normal9"/>
              <w:jc w:val="center"/>
              <w:rPr>
                <w:noProof/>
              </w:rPr>
            </w:pPr>
            <w:r>
              <w:rPr>
                <w:noProof/>
              </w:rPr>
              <w:t xml:space="preserve">Cilj </w:t>
            </w:r>
          </w:p>
        </w:tc>
        <w:tc>
          <w:tcPr>
            <w:tcW w:w="708" w:type="dxa"/>
            <w:shd w:val="clear" w:color="auto" w:fill="BDD7EE"/>
            <w:vAlign w:val="center"/>
            <w:hideMark/>
          </w:tcPr>
          <w:p w14:paraId="4E2A93B8" w14:textId="77777777" w:rsidR="00154E32" w:rsidRDefault="00A43E04">
            <w:pPr>
              <w:pStyle w:val="P68B1DB1-Normal9"/>
              <w:jc w:val="center"/>
              <w:rPr>
                <w:noProof/>
              </w:rPr>
            </w:pPr>
            <w:r>
              <w:rPr>
                <w:noProof/>
              </w:rPr>
              <w:t>Četrtletje</w:t>
            </w:r>
          </w:p>
        </w:tc>
        <w:tc>
          <w:tcPr>
            <w:tcW w:w="710" w:type="dxa"/>
            <w:shd w:val="clear" w:color="auto" w:fill="BDD7EE"/>
            <w:vAlign w:val="center"/>
            <w:hideMark/>
          </w:tcPr>
          <w:p w14:paraId="5271CE36" w14:textId="77777777" w:rsidR="00154E32" w:rsidRDefault="00A43E04">
            <w:pPr>
              <w:pStyle w:val="P68B1DB1-Normal9"/>
              <w:jc w:val="center"/>
              <w:rPr>
                <w:noProof/>
              </w:rPr>
            </w:pPr>
            <w:r>
              <w:rPr>
                <w:noProof/>
              </w:rPr>
              <w:t>Leto</w:t>
            </w:r>
          </w:p>
        </w:tc>
        <w:tc>
          <w:tcPr>
            <w:tcW w:w="3401" w:type="dxa"/>
            <w:vMerge/>
            <w:vAlign w:val="center"/>
            <w:hideMark/>
          </w:tcPr>
          <w:p w14:paraId="7300DBAF" w14:textId="77777777" w:rsidR="00154E32" w:rsidRDefault="00154E32">
            <w:pPr>
              <w:rPr>
                <w:rFonts w:ascii="Arial Narrow" w:hAnsi="Arial Narrow"/>
                <w:b/>
                <w:noProof/>
                <w:sz w:val="20"/>
              </w:rPr>
            </w:pPr>
          </w:p>
        </w:tc>
      </w:tr>
      <w:tr w:rsidR="00154E32" w14:paraId="72113879" w14:textId="77777777">
        <w:trPr>
          <w:trHeight w:val="313"/>
          <w:jc w:val="center"/>
        </w:trPr>
        <w:tc>
          <w:tcPr>
            <w:tcW w:w="1115" w:type="dxa"/>
            <w:shd w:val="clear" w:color="auto" w:fill="C6EFCE"/>
            <w:noWrap/>
            <w:vAlign w:val="center"/>
          </w:tcPr>
          <w:p w14:paraId="1C413738" w14:textId="77777777" w:rsidR="00154E32" w:rsidRDefault="00A43E04">
            <w:pPr>
              <w:pStyle w:val="P68B1DB1-Normal11"/>
              <w:jc w:val="center"/>
              <w:rPr>
                <w:noProof/>
              </w:rPr>
            </w:pPr>
            <w:r>
              <w:rPr>
                <w:noProof/>
              </w:rPr>
              <w:t>M3C2–8</w:t>
            </w:r>
          </w:p>
        </w:tc>
        <w:tc>
          <w:tcPr>
            <w:tcW w:w="1572" w:type="dxa"/>
            <w:shd w:val="clear" w:color="auto" w:fill="C6EFCE"/>
            <w:noWrap/>
            <w:vAlign w:val="center"/>
          </w:tcPr>
          <w:p w14:paraId="0CF01FA3" w14:textId="77777777" w:rsidR="00154E32" w:rsidRDefault="00A43E04">
            <w:pPr>
              <w:pStyle w:val="P68B1DB1-Normal11"/>
              <w:jc w:val="center"/>
              <w:rPr>
                <w:noProof/>
              </w:rPr>
            </w:pPr>
            <w:r>
              <w:rPr>
                <w:noProof/>
              </w:rPr>
              <w:t>Naložba 1.1: Zelena pristanišča: ukrepi na področju energije iz obnovljivih virov in energetske učinkovitosti v pristaniščih</w:t>
            </w:r>
          </w:p>
        </w:tc>
        <w:tc>
          <w:tcPr>
            <w:tcW w:w="1275" w:type="dxa"/>
            <w:shd w:val="clear" w:color="auto" w:fill="C6EFCE"/>
            <w:noWrap/>
            <w:vAlign w:val="center"/>
          </w:tcPr>
          <w:p w14:paraId="72FA74D9" w14:textId="77777777" w:rsidR="00154E32" w:rsidRDefault="00A43E04">
            <w:pPr>
              <w:pStyle w:val="P68B1DB1-Normal11"/>
              <w:jc w:val="center"/>
              <w:rPr>
                <w:noProof/>
              </w:rPr>
            </w:pPr>
            <w:r>
              <w:rPr>
                <w:noProof/>
              </w:rPr>
              <w:t>Tarča</w:t>
            </w:r>
          </w:p>
        </w:tc>
        <w:tc>
          <w:tcPr>
            <w:tcW w:w="1418" w:type="dxa"/>
            <w:shd w:val="clear" w:color="auto" w:fill="C6EFCE"/>
            <w:noWrap/>
            <w:vAlign w:val="center"/>
          </w:tcPr>
          <w:p w14:paraId="0D61915C" w14:textId="77777777" w:rsidR="00154E32" w:rsidRDefault="00A43E04">
            <w:pPr>
              <w:pStyle w:val="P68B1DB1-Normal11"/>
              <w:jc w:val="center"/>
              <w:rPr>
                <w:noProof/>
              </w:rPr>
            </w:pPr>
            <w:r>
              <w:rPr>
                <w:noProof/>
              </w:rPr>
              <w:t>Zelena pristanišča: dodelitev del</w:t>
            </w:r>
          </w:p>
        </w:tc>
        <w:tc>
          <w:tcPr>
            <w:tcW w:w="1559" w:type="dxa"/>
            <w:shd w:val="clear" w:color="auto" w:fill="C6EFCE"/>
            <w:noWrap/>
            <w:vAlign w:val="center"/>
          </w:tcPr>
          <w:p w14:paraId="731238E1" w14:textId="77777777" w:rsidR="00154E32" w:rsidRDefault="00A43E04">
            <w:pPr>
              <w:pStyle w:val="P68B1DB1-Normal11"/>
              <w:jc w:val="center"/>
              <w:rPr>
                <w:noProof/>
              </w:rPr>
            </w:pPr>
            <w:r>
              <w:rPr>
                <w:noProof/>
              </w:rPr>
              <w:t>JIH NI</w:t>
            </w:r>
          </w:p>
        </w:tc>
        <w:tc>
          <w:tcPr>
            <w:tcW w:w="1276" w:type="dxa"/>
            <w:shd w:val="clear" w:color="auto" w:fill="C6EFCE"/>
            <w:noWrap/>
            <w:vAlign w:val="center"/>
          </w:tcPr>
          <w:p w14:paraId="1D1D145D"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7FA2FABD" w14:textId="77777777" w:rsidR="00154E32" w:rsidRDefault="00A43E04">
            <w:pPr>
              <w:pStyle w:val="P68B1DB1-Normal11"/>
              <w:jc w:val="center"/>
              <w:rPr>
                <w:noProof/>
              </w:rPr>
            </w:pPr>
            <w:r>
              <w:rPr>
                <w:noProof/>
              </w:rPr>
              <w:t>0</w:t>
            </w:r>
          </w:p>
        </w:tc>
        <w:tc>
          <w:tcPr>
            <w:tcW w:w="710" w:type="dxa"/>
            <w:shd w:val="clear" w:color="auto" w:fill="C6EFCE"/>
            <w:noWrap/>
            <w:vAlign w:val="center"/>
          </w:tcPr>
          <w:p w14:paraId="2A7A2563" w14:textId="77777777" w:rsidR="00154E32" w:rsidRDefault="00A43E04">
            <w:pPr>
              <w:pStyle w:val="P68B1DB1-Normal11"/>
              <w:jc w:val="center"/>
              <w:rPr>
                <w:noProof/>
              </w:rPr>
            </w:pPr>
            <w:r>
              <w:rPr>
                <w:noProof/>
              </w:rPr>
              <w:t>7</w:t>
            </w:r>
          </w:p>
        </w:tc>
        <w:tc>
          <w:tcPr>
            <w:tcW w:w="708" w:type="dxa"/>
            <w:shd w:val="clear" w:color="auto" w:fill="C6EFCE"/>
            <w:noWrap/>
            <w:vAlign w:val="center"/>
          </w:tcPr>
          <w:p w14:paraId="2AF92334" w14:textId="77777777" w:rsidR="00154E32" w:rsidRDefault="00A43E04">
            <w:pPr>
              <w:pStyle w:val="P68B1DB1-Normal11"/>
              <w:jc w:val="center"/>
              <w:rPr>
                <w:noProof/>
              </w:rPr>
            </w:pPr>
            <w:r>
              <w:rPr>
                <w:noProof/>
              </w:rPr>
              <w:t>Q4</w:t>
            </w:r>
          </w:p>
        </w:tc>
        <w:tc>
          <w:tcPr>
            <w:tcW w:w="710" w:type="dxa"/>
            <w:shd w:val="clear" w:color="auto" w:fill="C6EFCE"/>
            <w:noWrap/>
            <w:vAlign w:val="center"/>
          </w:tcPr>
          <w:p w14:paraId="32C84C5F" w14:textId="77777777" w:rsidR="00154E32" w:rsidRDefault="00A43E04">
            <w:pPr>
              <w:pStyle w:val="P68B1DB1-Normal11"/>
              <w:jc w:val="center"/>
              <w:rPr>
                <w:noProof/>
              </w:rPr>
            </w:pPr>
            <w:r>
              <w:rPr>
                <w:noProof/>
              </w:rPr>
              <w:t>2022</w:t>
            </w:r>
          </w:p>
        </w:tc>
        <w:tc>
          <w:tcPr>
            <w:tcW w:w="3401" w:type="dxa"/>
            <w:shd w:val="clear" w:color="auto" w:fill="C6EFCE"/>
            <w:noWrap/>
            <w:vAlign w:val="center"/>
          </w:tcPr>
          <w:p w14:paraId="4926A11E" w14:textId="77777777" w:rsidR="00154E32" w:rsidRDefault="00A43E04">
            <w:pPr>
              <w:pStyle w:val="P68B1DB1-Normal11"/>
              <w:jc w:val="both"/>
              <w:rPr>
                <w:noProof/>
              </w:rPr>
            </w:pPr>
            <w:r>
              <w:rPr>
                <w:noProof/>
              </w:rPr>
              <w:t xml:space="preserve">Dodelitev del vsaj sedmim organom pristaniškega sistema. Izbirni postopek za dodelitev del vključuje: </w:t>
            </w:r>
          </w:p>
          <w:p w14:paraId="69FFD61C" w14:textId="77777777" w:rsidR="00154E32" w:rsidRDefault="00154E32">
            <w:pPr>
              <w:jc w:val="both"/>
              <w:rPr>
                <w:rFonts w:ascii="Arial Narrow" w:hAnsi="Arial Narrow"/>
                <w:noProof/>
                <w:color w:val="006100"/>
                <w:sz w:val="20"/>
              </w:rPr>
            </w:pPr>
          </w:p>
          <w:p w14:paraId="16C5E4B0" w14:textId="77777777" w:rsidR="00154E32" w:rsidRDefault="00A43E04">
            <w:pPr>
              <w:pStyle w:val="P68B1DB1-Normal11"/>
              <w:jc w:val="both"/>
              <w:rPr>
                <w:noProof/>
              </w:rPr>
            </w:pPr>
            <w:r>
              <w:rPr>
                <w:noProof/>
              </w:rPr>
              <w:t>a) merila za upravičenost, ki zagotavljajo, da so dela skladna s tehničnimi smernicami „da se ne škoduje bistveno“ (2021/C58/01) ter ustrezno okoljsko zakonodajo EU in nacionalno okoljsko zakonodajo.</w:t>
            </w:r>
          </w:p>
          <w:p w14:paraId="40E2F8B9" w14:textId="77777777" w:rsidR="00154E32" w:rsidRDefault="00154E32">
            <w:pPr>
              <w:jc w:val="both"/>
              <w:rPr>
                <w:rFonts w:ascii="Arial Narrow" w:hAnsi="Arial Narrow"/>
                <w:noProof/>
                <w:color w:val="006100"/>
                <w:sz w:val="20"/>
              </w:rPr>
            </w:pPr>
          </w:p>
          <w:p w14:paraId="08750DD9" w14:textId="2FFFFD81" w:rsidR="00154E32" w:rsidRDefault="00A43E04">
            <w:pPr>
              <w:pStyle w:val="P68B1DB1-Normal11"/>
              <w:jc w:val="both"/>
              <w:rPr>
                <w:noProof/>
              </w:rPr>
            </w:pPr>
            <w:r>
              <w:rPr>
                <w:noProof/>
              </w:rPr>
              <w:t>b) zaveza, da bo podnebni prispevek naložbe v skladu z metodologijo iz Priloge VI k Uredbi (EU) 2021/241 predstavljal vsaj 79 % skupnih stroškov naložbe, ki jo podpira mehanizem za okrevanje in odpornost.</w:t>
            </w:r>
          </w:p>
          <w:p w14:paraId="0DA0EF83" w14:textId="0AAD1AB4" w:rsidR="00154E32" w:rsidRDefault="00A43E04">
            <w:pPr>
              <w:pStyle w:val="P68B1DB1-Normal11"/>
              <w:jc w:val="both"/>
              <w:rPr>
                <w:noProof/>
              </w:rPr>
            </w:pPr>
            <w:r>
              <w:rPr>
                <w:noProof/>
              </w:rPr>
              <w:t>C) zaveza za poročanje o izvajanju ukrepa na polovici trajanja sheme in konca sheme.</w:t>
            </w:r>
          </w:p>
        </w:tc>
      </w:tr>
      <w:tr w:rsidR="00154E32" w14:paraId="09891EA3" w14:textId="77777777">
        <w:trPr>
          <w:trHeight w:val="313"/>
          <w:jc w:val="center"/>
        </w:trPr>
        <w:tc>
          <w:tcPr>
            <w:tcW w:w="1115" w:type="dxa"/>
            <w:shd w:val="clear" w:color="auto" w:fill="C6EFCE"/>
            <w:noWrap/>
            <w:vAlign w:val="center"/>
          </w:tcPr>
          <w:p w14:paraId="19B06987" w14:textId="77777777" w:rsidR="00154E32" w:rsidRDefault="00A43E04">
            <w:pPr>
              <w:pStyle w:val="P68B1DB1-Normal11"/>
              <w:jc w:val="center"/>
              <w:rPr>
                <w:noProof/>
              </w:rPr>
            </w:pPr>
            <w:r>
              <w:rPr>
                <w:noProof/>
              </w:rPr>
              <w:t>M3C2–9 </w:t>
            </w:r>
          </w:p>
        </w:tc>
        <w:tc>
          <w:tcPr>
            <w:tcW w:w="1572" w:type="dxa"/>
            <w:shd w:val="clear" w:color="auto" w:fill="C6EFCE"/>
            <w:noWrap/>
            <w:vAlign w:val="center"/>
          </w:tcPr>
          <w:p w14:paraId="1FCD255B" w14:textId="77777777" w:rsidR="00154E32" w:rsidRDefault="00A43E04">
            <w:pPr>
              <w:pStyle w:val="P68B1DB1-Normal11"/>
              <w:jc w:val="center"/>
              <w:rPr>
                <w:noProof/>
              </w:rPr>
            </w:pPr>
            <w:r>
              <w:rPr>
                <w:noProof/>
              </w:rPr>
              <w:t>Naložba 1.1: Zelena pristanišča: ukrepi na področju energije iz obnovljivih virov in energetske učinkovitosti v pristaniščih </w:t>
            </w:r>
          </w:p>
        </w:tc>
        <w:tc>
          <w:tcPr>
            <w:tcW w:w="1275" w:type="dxa"/>
            <w:shd w:val="clear" w:color="auto" w:fill="C6EFCE"/>
            <w:noWrap/>
            <w:vAlign w:val="center"/>
          </w:tcPr>
          <w:p w14:paraId="1C1EC836" w14:textId="77777777" w:rsidR="00154E32" w:rsidRDefault="00A43E04">
            <w:pPr>
              <w:pStyle w:val="P68B1DB1-Normal11"/>
              <w:jc w:val="center"/>
              <w:rPr>
                <w:noProof/>
              </w:rPr>
            </w:pPr>
            <w:r>
              <w:rPr>
                <w:noProof/>
              </w:rPr>
              <w:t>Tarča </w:t>
            </w:r>
          </w:p>
        </w:tc>
        <w:tc>
          <w:tcPr>
            <w:tcW w:w="1418" w:type="dxa"/>
            <w:shd w:val="clear" w:color="auto" w:fill="C6EFCE"/>
            <w:noWrap/>
            <w:vAlign w:val="center"/>
          </w:tcPr>
          <w:p w14:paraId="63F38347" w14:textId="77777777" w:rsidR="00154E32" w:rsidRDefault="00A43E04">
            <w:pPr>
              <w:pStyle w:val="P68B1DB1-Normal5"/>
              <w:jc w:val="center"/>
              <w:rPr>
                <w:noProof/>
              </w:rPr>
            </w:pPr>
            <w:r>
              <w:rPr>
                <w:noProof/>
              </w:rPr>
              <w:t>Zelena pristanišča: dokončanje del </w:t>
            </w:r>
          </w:p>
        </w:tc>
        <w:tc>
          <w:tcPr>
            <w:tcW w:w="1559" w:type="dxa"/>
            <w:shd w:val="clear" w:color="auto" w:fill="C6EFCE"/>
            <w:noWrap/>
            <w:vAlign w:val="center"/>
          </w:tcPr>
          <w:p w14:paraId="10001576" w14:textId="77777777" w:rsidR="00154E32" w:rsidRDefault="00A43E04">
            <w:pPr>
              <w:pStyle w:val="P68B1DB1-Normal11"/>
              <w:jc w:val="center"/>
              <w:rPr>
                <w:noProof/>
              </w:rPr>
            </w:pPr>
            <w:r>
              <w:rPr>
                <w:noProof/>
              </w:rPr>
              <w:t>Dokončanje del </w:t>
            </w:r>
          </w:p>
        </w:tc>
        <w:tc>
          <w:tcPr>
            <w:tcW w:w="1276" w:type="dxa"/>
            <w:shd w:val="clear" w:color="auto" w:fill="C6EFCE"/>
            <w:noWrap/>
            <w:vAlign w:val="center"/>
          </w:tcPr>
          <w:p w14:paraId="6E43FB19" w14:textId="77777777" w:rsidR="00154E32" w:rsidRDefault="00A43E04">
            <w:pPr>
              <w:pStyle w:val="P68B1DB1-Normal11"/>
              <w:jc w:val="center"/>
              <w:rPr>
                <w:noProof/>
              </w:rPr>
            </w:pPr>
            <w:r>
              <w:rPr>
                <w:noProof/>
              </w:rPr>
              <w:t>Število</w:t>
            </w:r>
          </w:p>
        </w:tc>
        <w:tc>
          <w:tcPr>
            <w:tcW w:w="1276" w:type="dxa"/>
            <w:shd w:val="clear" w:color="auto" w:fill="C6EFCE"/>
            <w:noWrap/>
            <w:vAlign w:val="center"/>
          </w:tcPr>
          <w:p w14:paraId="4104E6DE" w14:textId="77777777" w:rsidR="00154E32" w:rsidRDefault="00A43E04">
            <w:pPr>
              <w:pStyle w:val="P68B1DB1-Normal11"/>
              <w:jc w:val="center"/>
              <w:rPr>
                <w:noProof/>
              </w:rPr>
            </w:pPr>
            <w:r>
              <w:rPr>
                <w:noProof/>
              </w:rPr>
              <w:t>0</w:t>
            </w:r>
          </w:p>
        </w:tc>
        <w:tc>
          <w:tcPr>
            <w:tcW w:w="710" w:type="dxa"/>
            <w:shd w:val="clear" w:color="auto" w:fill="C6EFCE"/>
            <w:noWrap/>
            <w:vAlign w:val="center"/>
          </w:tcPr>
          <w:p w14:paraId="7419A4FE" w14:textId="1A9DC9A5" w:rsidR="00154E32" w:rsidRDefault="00A43E04">
            <w:pPr>
              <w:pStyle w:val="P68B1DB1-Normal11"/>
              <w:jc w:val="center"/>
              <w:rPr>
                <w:noProof/>
              </w:rPr>
            </w:pPr>
            <w:r>
              <w:rPr>
                <w:noProof/>
              </w:rPr>
              <w:t>75</w:t>
            </w:r>
          </w:p>
        </w:tc>
        <w:tc>
          <w:tcPr>
            <w:tcW w:w="708" w:type="dxa"/>
            <w:shd w:val="clear" w:color="auto" w:fill="C6EFCE"/>
            <w:noWrap/>
            <w:vAlign w:val="center"/>
          </w:tcPr>
          <w:p w14:paraId="16DB9604" w14:textId="77777777" w:rsidR="00154E32" w:rsidRDefault="00A43E04">
            <w:pPr>
              <w:pStyle w:val="P68B1DB1-Normal11"/>
              <w:jc w:val="center"/>
              <w:rPr>
                <w:noProof/>
              </w:rPr>
            </w:pPr>
            <w:r>
              <w:rPr>
                <w:noProof/>
              </w:rPr>
              <w:t>Q2 </w:t>
            </w:r>
          </w:p>
        </w:tc>
        <w:tc>
          <w:tcPr>
            <w:tcW w:w="710" w:type="dxa"/>
            <w:shd w:val="clear" w:color="auto" w:fill="C6EFCE"/>
            <w:noWrap/>
            <w:vAlign w:val="center"/>
          </w:tcPr>
          <w:p w14:paraId="0116E71B" w14:textId="77777777" w:rsidR="00154E32" w:rsidRDefault="00A43E04">
            <w:pPr>
              <w:pStyle w:val="P68B1DB1-Normal11"/>
              <w:jc w:val="center"/>
              <w:rPr>
                <w:noProof/>
              </w:rPr>
            </w:pPr>
            <w:r>
              <w:rPr>
                <w:noProof/>
              </w:rPr>
              <w:t>2026 </w:t>
            </w:r>
          </w:p>
        </w:tc>
        <w:tc>
          <w:tcPr>
            <w:tcW w:w="3401" w:type="dxa"/>
            <w:shd w:val="clear" w:color="auto" w:fill="C6EFCE"/>
            <w:noWrap/>
            <w:vAlign w:val="center"/>
          </w:tcPr>
          <w:p w14:paraId="66ACAD81" w14:textId="68596A04" w:rsidR="00154E32" w:rsidRDefault="00A43E04">
            <w:pPr>
              <w:pStyle w:val="P68B1DB1-Normal11"/>
              <w:jc w:val="both"/>
              <w:rPr>
                <w:noProof/>
              </w:rPr>
            </w:pPr>
            <w:r>
              <w:rPr>
                <w:noProof/>
              </w:rPr>
              <w:t>Dokončanje vsaj 75 projektov za pristaniške organe. Vsaj 79 % skupnih stroškov naložb, nastalih v okviru mehanizma za okrevanje in odpornost, se nameni dejavnostim, ki podpirajo podnebni cilj v skladu z metodologijo iz Priloge VI k Uredbi (EU) 2021/241. </w:t>
            </w:r>
          </w:p>
        </w:tc>
      </w:tr>
      <w:tr w:rsidR="00154E32" w14:paraId="69642A35" w14:textId="77777777">
        <w:trPr>
          <w:trHeight w:val="313"/>
          <w:jc w:val="center"/>
        </w:trPr>
        <w:tc>
          <w:tcPr>
            <w:tcW w:w="1115" w:type="dxa"/>
            <w:shd w:val="clear" w:color="auto" w:fill="C6EFCE"/>
            <w:noWrap/>
            <w:vAlign w:val="center"/>
          </w:tcPr>
          <w:p w14:paraId="6C68F9F3" w14:textId="77777777" w:rsidR="00154E32" w:rsidRDefault="00A43E04">
            <w:pPr>
              <w:pStyle w:val="P68B1DB1-Normal11"/>
              <w:jc w:val="center"/>
              <w:rPr>
                <w:noProof/>
              </w:rPr>
            </w:pPr>
            <w:r>
              <w:rPr>
                <w:noProof/>
              </w:rPr>
              <w:t>M3C2–10</w:t>
            </w:r>
          </w:p>
        </w:tc>
        <w:tc>
          <w:tcPr>
            <w:tcW w:w="1572" w:type="dxa"/>
            <w:shd w:val="clear" w:color="auto" w:fill="C6EFCE"/>
            <w:noWrap/>
            <w:vAlign w:val="center"/>
          </w:tcPr>
          <w:p w14:paraId="1249DBF6" w14:textId="77777777" w:rsidR="00154E32" w:rsidRDefault="00A43E04">
            <w:pPr>
              <w:pStyle w:val="P68B1DB1-Normal11"/>
              <w:jc w:val="center"/>
              <w:rPr>
                <w:noProof/>
              </w:rPr>
            </w:pPr>
            <w:r>
              <w:rPr>
                <w:noProof/>
              </w:rPr>
              <w:t>Reforma 2.2: Vzpostavitev nacionalne platforme za digitalno logistiko za uvedbo digitalizacije storitev tovornega in/ali potniškega prometa</w:t>
            </w:r>
          </w:p>
        </w:tc>
        <w:tc>
          <w:tcPr>
            <w:tcW w:w="1275" w:type="dxa"/>
            <w:shd w:val="clear" w:color="auto" w:fill="C6EFCE"/>
            <w:noWrap/>
            <w:vAlign w:val="center"/>
          </w:tcPr>
          <w:p w14:paraId="3688296F" w14:textId="77777777" w:rsidR="00154E32" w:rsidRDefault="00A43E04">
            <w:pPr>
              <w:pStyle w:val="P68B1DB1-Normal11"/>
              <w:jc w:val="center"/>
              <w:rPr>
                <w:noProof/>
              </w:rPr>
            </w:pPr>
            <w:r>
              <w:rPr>
                <w:noProof/>
              </w:rPr>
              <w:t>Mejnik</w:t>
            </w:r>
          </w:p>
        </w:tc>
        <w:tc>
          <w:tcPr>
            <w:tcW w:w="1418" w:type="dxa"/>
            <w:shd w:val="clear" w:color="auto" w:fill="C6EFCE"/>
            <w:noWrap/>
            <w:vAlign w:val="center"/>
          </w:tcPr>
          <w:p w14:paraId="20AA6297" w14:textId="77777777" w:rsidR="00154E32" w:rsidRDefault="00A43E04">
            <w:pPr>
              <w:pStyle w:val="P68B1DB1-Normal11"/>
              <w:jc w:val="center"/>
              <w:rPr>
                <w:noProof/>
              </w:rPr>
            </w:pPr>
            <w:r>
              <w:rPr>
                <w:noProof/>
              </w:rPr>
              <w:t xml:space="preserve">Nacionalna platforma za digitalno logistiko </w:t>
            </w:r>
          </w:p>
        </w:tc>
        <w:tc>
          <w:tcPr>
            <w:tcW w:w="1559" w:type="dxa"/>
            <w:shd w:val="clear" w:color="auto" w:fill="C6EFCE"/>
            <w:noWrap/>
            <w:vAlign w:val="center"/>
          </w:tcPr>
          <w:p w14:paraId="4394F779" w14:textId="215857AE" w:rsidR="00154E32" w:rsidRDefault="00A43E04">
            <w:pPr>
              <w:pStyle w:val="P68B1DB1-Normal11"/>
              <w:jc w:val="center"/>
              <w:rPr>
                <w:noProof/>
              </w:rPr>
            </w:pPr>
            <w:r>
              <w:rPr>
                <w:noProof/>
              </w:rPr>
              <w:t xml:space="preserve">Določba v pravnem aktu o začetku veljavnosti pravnega akta   </w:t>
            </w:r>
          </w:p>
        </w:tc>
        <w:tc>
          <w:tcPr>
            <w:tcW w:w="1276" w:type="dxa"/>
            <w:shd w:val="clear" w:color="auto" w:fill="C6EFCE"/>
            <w:noWrap/>
            <w:vAlign w:val="center"/>
          </w:tcPr>
          <w:p w14:paraId="44E6B4C6" w14:textId="77777777" w:rsidR="00154E32" w:rsidRDefault="00A43E04">
            <w:pPr>
              <w:pStyle w:val="P68B1DB1-Normal11"/>
              <w:jc w:val="center"/>
              <w:rPr>
                <w:noProof/>
              </w:rPr>
            </w:pPr>
            <w:r>
              <w:rPr>
                <w:noProof/>
              </w:rPr>
              <w:t>JIH NI</w:t>
            </w:r>
          </w:p>
        </w:tc>
        <w:tc>
          <w:tcPr>
            <w:tcW w:w="1276" w:type="dxa"/>
            <w:shd w:val="clear" w:color="auto" w:fill="C6EFCE"/>
            <w:noWrap/>
            <w:vAlign w:val="center"/>
          </w:tcPr>
          <w:p w14:paraId="61B1E545" w14:textId="77777777" w:rsidR="00154E32" w:rsidRDefault="00A43E04">
            <w:pPr>
              <w:pStyle w:val="P68B1DB1-Normal11"/>
              <w:jc w:val="center"/>
              <w:rPr>
                <w:noProof/>
              </w:rPr>
            </w:pPr>
            <w:r>
              <w:rPr>
                <w:noProof/>
              </w:rPr>
              <w:t>JIH NI</w:t>
            </w:r>
          </w:p>
        </w:tc>
        <w:tc>
          <w:tcPr>
            <w:tcW w:w="710" w:type="dxa"/>
            <w:shd w:val="clear" w:color="auto" w:fill="C6EFCE"/>
            <w:noWrap/>
            <w:vAlign w:val="center"/>
          </w:tcPr>
          <w:p w14:paraId="00B58401" w14:textId="77777777" w:rsidR="00154E32" w:rsidRDefault="00A43E04">
            <w:pPr>
              <w:pStyle w:val="P68B1DB1-Normal11"/>
              <w:jc w:val="center"/>
              <w:rPr>
                <w:noProof/>
              </w:rPr>
            </w:pPr>
            <w:r>
              <w:rPr>
                <w:noProof/>
              </w:rPr>
              <w:t>JIH NI</w:t>
            </w:r>
          </w:p>
        </w:tc>
        <w:tc>
          <w:tcPr>
            <w:tcW w:w="708" w:type="dxa"/>
            <w:shd w:val="clear" w:color="auto" w:fill="C6EFCE"/>
            <w:noWrap/>
            <w:vAlign w:val="center"/>
          </w:tcPr>
          <w:p w14:paraId="4E95B81C" w14:textId="77777777" w:rsidR="00154E32" w:rsidRDefault="00A43E04">
            <w:pPr>
              <w:pStyle w:val="P68B1DB1-Normal11"/>
              <w:jc w:val="center"/>
              <w:rPr>
                <w:noProof/>
              </w:rPr>
            </w:pPr>
            <w:r>
              <w:rPr>
                <w:noProof/>
              </w:rPr>
              <w:t>Q2</w:t>
            </w:r>
          </w:p>
        </w:tc>
        <w:tc>
          <w:tcPr>
            <w:tcW w:w="710" w:type="dxa"/>
            <w:shd w:val="clear" w:color="auto" w:fill="C6EFCE"/>
            <w:noWrap/>
            <w:vAlign w:val="center"/>
          </w:tcPr>
          <w:p w14:paraId="60C4E848" w14:textId="77777777" w:rsidR="00154E32" w:rsidRDefault="00A43E04">
            <w:pPr>
              <w:pStyle w:val="P68B1DB1-Normal11"/>
              <w:jc w:val="center"/>
              <w:rPr>
                <w:noProof/>
              </w:rPr>
            </w:pPr>
            <w:r>
              <w:rPr>
                <w:noProof/>
              </w:rPr>
              <w:t>2024</w:t>
            </w:r>
          </w:p>
        </w:tc>
        <w:tc>
          <w:tcPr>
            <w:tcW w:w="3401" w:type="dxa"/>
            <w:shd w:val="clear" w:color="auto" w:fill="C6EFCE"/>
            <w:noWrap/>
            <w:vAlign w:val="center"/>
          </w:tcPr>
          <w:p w14:paraId="2735F172" w14:textId="3495E5FF" w:rsidR="00154E32" w:rsidRDefault="00A43E04">
            <w:pPr>
              <w:pStyle w:val="P68B1DB1-Normal11"/>
              <w:jc w:val="both"/>
              <w:rPr>
                <w:noProof/>
              </w:rPr>
            </w:pPr>
            <w:r>
              <w:rPr>
                <w:noProof/>
              </w:rPr>
              <w:t>Začetek veljavnosti pravnega akta, ki zagotavlja interoperabilnost sistemov pristaniške skupnosti z nacionalno platformo za digitalno logistiko.</w:t>
            </w:r>
          </w:p>
          <w:p w14:paraId="1BE7EACF" w14:textId="77777777" w:rsidR="00154E32" w:rsidRDefault="00154E32">
            <w:pPr>
              <w:jc w:val="both"/>
              <w:rPr>
                <w:rFonts w:ascii="Arial Narrow" w:hAnsi="Arial Narrow"/>
                <w:noProof/>
                <w:color w:val="006100"/>
                <w:sz w:val="20"/>
              </w:rPr>
            </w:pPr>
          </w:p>
          <w:p w14:paraId="7D0FFCDA" w14:textId="0E2F3809" w:rsidR="00154E32" w:rsidRDefault="00A43E04">
            <w:pPr>
              <w:pStyle w:val="P68B1DB1-Normal11"/>
              <w:jc w:val="both"/>
              <w:rPr>
                <w:noProof/>
              </w:rPr>
            </w:pPr>
            <w:r>
              <w:rPr>
                <w:noProof/>
              </w:rPr>
              <w:t>Poleg tega pravni akt določa, da so organi pristaniškega sistema opremljeni s standardnimi storitvami PCS (sistem pristaniških skupnosti), ki so interoperabilne z vključenimi javnimi upravami ter so združljive z Uredbo (EU) št. 1056/2020 in nacionalno platformo za digitalno logistiko.</w:t>
            </w:r>
          </w:p>
        </w:tc>
      </w:tr>
    </w:tbl>
    <w:p w14:paraId="25E7BD3B" w14:textId="77777777" w:rsidR="00154E32" w:rsidRDefault="00154E32">
      <w:pPr>
        <w:tabs>
          <w:tab w:val="left" w:pos="4252"/>
        </w:tabs>
        <w:rPr>
          <w:i/>
          <w:noProof/>
        </w:rPr>
        <w:sectPr w:rsidR="00154E32" w:rsidSect="0000421C">
          <w:headerReference w:type="even" r:id="rId224"/>
          <w:headerReference w:type="default" r:id="rId225"/>
          <w:footerReference w:type="even" r:id="rId226"/>
          <w:footerReference w:type="default" r:id="rId227"/>
          <w:headerReference w:type="first" r:id="rId228"/>
          <w:footerReference w:type="first" r:id="rId229"/>
          <w:pgSz w:w="16839" w:h="11907" w:orient="landscape"/>
          <w:pgMar w:top="1440" w:right="1440" w:bottom="1440" w:left="1440" w:header="567" w:footer="567" w:gutter="0"/>
          <w:cols w:space="720"/>
          <w:docGrid w:linePitch="360"/>
        </w:sectPr>
      </w:pPr>
    </w:p>
    <w:p w14:paraId="5D38FC50" w14:textId="3FE440FA" w:rsidR="00154E32" w:rsidRDefault="00A43E04">
      <w:pPr>
        <w:pStyle w:val="Heading2"/>
        <w:numPr>
          <w:ilvl w:val="1"/>
          <w:numId w:val="0"/>
        </w:numPr>
        <w:ind w:left="850" w:hanging="850"/>
        <w:rPr>
          <w:noProof/>
        </w:rPr>
      </w:pPr>
      <w:r>
        <w:rPr>
          <w:noProof/>
        </w:rPr>
        <w:t xml:space="preserve">MISIJA ŠT. 4, KOMPONENTA 1: Krepitev zagotavljanja izobraževalnih storitev: od vrtcev do univerz </w:t>
      </w:r>
    </w:p>
    <w:p w14:paraId="6E346CCA" w14:textId="77777777" w:rsidR="00154E32" w:rsidRDefault="00A43E04">
      <w:pPr>
        <w:spacing w:before="120" w:after="120"/>
        <w:jc w:val="both"/>
        <w:rPr>
          <w:noProof/>
        </w:rPr>
      </w:pPr>
      <w:r>
        <w:rPr>
          <w:noProof/>
        </w:rPr>
        <w:t xml:space="preserve">Ta komponenta italijanskega načrta za okrevanje in odpornost vključuje štiri področja ukrepanja: I) izboljšanje kakovosti in količinska razširitev storitev izobraževanja in usposabljanja – od vrtcev do univerze; II) reforma učiteljskega poklica, zlasti v zvezi s postopki zaposlovanja in usposabljanja, z namenom povečanja znanj in spretnosti učiteljskega osebja ter odpravljanja ozemeljskih neskladij; III) izpopolnjevanje in nadgradnja infrastrukture za izboljšanje poučevanja digitalnih, naravoslovnih, tehnoloških, inženirskih in matematičnih tehnologij (STEM) ter večjezičnosti ob hkratnem izboljšanju varnosti in energijske učinkovitosti šolskih stavb; reforma dodiplomskih skupin, omogočanje doktorskega študija in programi doktorskega študija, da bi spodbudili uporabne raziskave in povečali število štipendij za doktorski študij. </w:t>
      </w:r>
    </w:p>
    <w:p w14:paraId="6C3E7884" w14:textId="77777777" w:rsidR="00154E32" w:rsidRDefault="00A43E04">
      <w:pPr>
        <w:spacing w:before="120" w:after="120"/>
        <w:jc w:val="both"/>
        <w:rPr>
          <w:noProof/>
        </w:rPr>
      </w:pPr>
      <w:r>
        <w:rPr>
          <w:noProof/>
        </w:rPr>
        <w:t xml:space="preserve">Ukrepi v okviru te komponente so namenjeni odpravljanju pomanjkljivosti italijanskega sistema izobraževanja, usposabljanja in raziskav s ciljem izboljšanja rezultatov izobraževanja in zaposljivosti italijanskih študentov. </w:t>
      </w:r>
    </w:p>
    <w:p w14:paraId="763BBCB1" w14:textId="450E0BDE" w:rsidR="00154E32" w:rsidRDefault="00A43E04">
      <w:pPr>
        <w:spacing w:before="120" w:after="120"/>
        <w:jc w:val="both"/>
        <w:rPr>
          <w:noProof/>
        </w:rPr>
      </w:pPr>
      <w:r>
        <w:rPr>
          <w:noProof/>
        </w:rPr>
        <w:t>Naložbe in reforme v okviru te komponente prispevajo k obravnavanju priporočil za posamezne države, naslovljenih na Italijo v letih 2020 in 2019, v zvezi s potrebo po „podpiranju udeležbe žensk na trgu dela s celovito strategijo, vključno z dostopom do kakovostnega otroškega varstva“ (priporočilo za posamezno državo št. 2, 2019), „izboljšanju rezultatov izobraževanja, tudi z ustreznimi in ciljno usmerjenimi naložbami, ter spodbujanju izpopolnjevanja, vključno s krepitvijo digitalnih spretnosti in znanj in spretnosti“ (priporočilo za posamezno državo št. 3 iz leta 2019), „krepitvi učenja na daljavo ter znanj in spretnosti, vključno z digitalnimi“ (priporočilo za posamezno državo št. 2, 2020) in „usmerjenih naložb v raziskave in inovacije“ (priporočilo za posamezno državo št. 3, 2020).</w:t>
      </w:r>
    </w:p>
    <w:p w14:paraId="6CC2BEA5" w14:textId="77777777" w:rsidR="00154E32" w:rsidRDefault="00A43E04">
      <w:pPr>
        <w:pStyle w:val="Heading3"/>
        <w:numPr>
          <w:ilvl w:val="0"/>
          <w:numId w:val="0"/>
        </w:numPr>
        <w:ind w:left="850" w:hanging="850"/>
        <w:rPr>
          <w:b/>
          <w:i w:val="0"/>
          <w:noProof/>
          <w:u w:val="single"/>
        </w:rPr>
      </w:pPr>
      <w:r>
        <w:rPr>
          <w:b/>
          <w:i w:val="0"/>
          <w:noProof/>
          <w:u w:val="single"/>
        </w:rPr>
        <w:t xml:space="preserve">J.1. </w:t>
      </w:r>
      <w:r>
        <w:rPr>
          <w:noProof/>
        </w:rPr>
        <w:tab/>
      </w:r>
      <w:r>
        <w:rPr>
          <w:b/>
          <w:i w:val="0"/>
          <w:noProof/>
          <w:u w:val="single"/>
        </w:rPr>
        <w:t>Opis reform in naložb za nepovratno finančno podporo</w:t>
      </w:r>
    </w:p>
    <w:p w14:paraId="7C9633F2" w14:textId="77777777" w:rsidR="00154E32" w:rsidRDefault="00A43E04">
      <w:pPr>
        <w:pStyle w:val="P68B1DB1-Normal2"/>
        <w:spacing w:before="120" w:after="120"/>
        <w:jc w:val="both"/>
        <w:rPr>
          <w:noProof/>
        </w:rPr>
      </w:pPr>
      <w:r>
        <w:rPr>
          <w:noProof/>
        </w:rPr>
        <w:t xml:space="preserve">Naložba 1.1: Načrt za vrtce in predšolske otroke ter storitve predšolske vzgoje in varstva </w:t>
      </w:r>
    </w:p>
    <w:p w14:paraId="2953CE0A" w14:textId="77777777" w:rsidR="00154E32" w:rsidRDefault="00A43E04">
      <w:pPr>
        <w:spacing w:before="120" w:after="120"/>
        <w:jc w:val="both"/>
        <w:rPr>
          <w:noProof/>
        </w:rPr>
      </w:pPr>
      <w:r>
        <w:rPr>
          <w:noProof/>
        </w:rPr>
        <w:t>Cilj naložbenega načrta za starostno skupino od 0 do 6 let je povečati ponudbo otroškega varstva z gradnjo, obnovo in zagotavljanjem varnosti vrtcev in predšolskih otrok, povečati ponudbo izobraževanja in razpoložljivih terminov za starostno skupino od 0 do 6 let ter tako izboljšati kakovost poučevanja. Ukrep naj bi spodbudil udeležbo žensk na trgu dela in podprl negovalce pri usklajevanju družinskega in poklicnega življenja</w:t>
      </w:r>
      <w:r>
        <w:rPr>
          <w:noProof/>
          <w:color w:val="006100"/>
        </w:rPr>
        <w:t>.</w:t>
      </w:r>
    </w:p>
    <w:p w14:paraId="13B60EE9" w14:textId="5D18E148" w:rsidR="00154E32" w:rsidRDefault="00A43E04">
      <w:pPr>
        <w:spacing w:before="120" w:after="120"/>
        <w:jc w:val="both"/>
        <w:rPr>
          <w:noProof/>
          <w:color w:val="006100"/>
        </w:rPr>
      </w:pPr>
      <w:r>
        <w:rPr>
          <w:noProof/>
        </w:rPr>
        <w:t>Da se zagotovi skladnost ukrepa s tehničnimi smernicami za uporabo načela, da se ne škoduje bistveno (2021/C58/01), merila za upravičenost iz projektne naloge za prihodnje razpise za projekte ne vključujejo naslednjega seznama dejavnosti: (I) dejavnosti, povezane s fosilnimi gorivi, vključno z nadaljnjo uporabo</w:t>
      </w:r>
      <w:r>
        <w:rPr>
          <w:rStyle w:val="FootnoteReference"/>
          <w:noProof/>
        </w:rPr>
        <w:footnoteReference w:id="63"/>
      </w:r>
      <w:r>
        <w:rPr>
          <w:noProof/>
        </w:rPr>
        <w:t>; (II) dejavnosti v okviru sistema EU za trgovanje z emisijami (ETS), s katerimi se dosegajo predvidene emisije toplogrednih plinov, ki niso nižje od ustreznih referenčnih vrednosti</w:t>
      </w:r>
      <w:r>
        <w:rPr>
          <w:rStyle w:val="FootnoteReference"/>
          <w:noProof/>
        </w:rPr>
        <w:footnoteReference w:id="64"/>
      </w:r>
      <w:r>
        <w:rPr>
          <w:noProof/>
        </w:rPr>
        <w:t>; (III) dejavnosti, povezane z odlagališči odpadkov, sežigalnicami</w:t>
      </w:r>
      <w:r>
        <w:rPr>
          <w:rStyle w:val="FootnoteReference"/>
          <w:noProof/>
        </w:rPr>
        <w:footnoteReference w:id="65"/>
      </w:r>
      <w:r>
        <w:rPr>
          <w:noProof/>
        </w:rPr>
        <w:t xml:space="preserve"> in napravami za mehansko-biološko obdelavo</w:t>
      </w:r>
      <w:r>
        <w:rPr>
          <w:rStyle w:val="FootnoteReference"/>
          <w:noProof/>
        </w:rPr>
        <w:footnoteReference w:id="66"/>
      </w:r>
      <w:r>
        <w:rPr>
          <w:noProof/>
        </w:rPr>
        <w:t>; ter (iv) dejavnosti, pri katerih lahko dolgotrajno odstranjevanje odpadkov dolgoročno škoduje okolju. Poleg tega se zahteva, da se izberejo samo dejavnosti, ki so skladne z ustrezno okoljsko zakonodajo EU in nacionalno okoljsko zakonodajo.</w:t>
      </w:r>
    </w:p>
    <w:p w14:paraId="4A66AEE0" w14:textId="77777777" w:rsidR="00154E32" w:rsidRDefault="00A43E04">
      <w:pPr>
        <w:pStyle w:val="P68B1DB1-Normal2"/>
        <w:spacing w:before="120" w:after="120"/>
        <w:jc w:val="both"/>
        <w:rPr>
          <w:noProof/>
        </w:rPr>
      </w:pPr>
      <w:r>
        <w:rPr>
          <w:noProof/>
        </w:rPr>
        <w:t>Naložba 1.2: Načrt za podaljšanje polnega delovnega časa</w:t>
      </w:r>
    </w:p>
    <w:p w14:paraId="6A52E7DD" w14:textId="08F79635" w:rsidR="00154E32" w:rsidRDefault="00A43E04">
      <w:pPr>
        <w:spacing w:before="120" w:after="120"/>
        <w:jc w:val="both"/>
        <w:rPr>
          <w:noProof/>
        </w:rPr>
      </w:pPr>
      <w:r>
        <w:rPr>
          <w:noProof/>
        </w:rPr>
        <w:t>Namen ukrepa je financirati podaljšanje šolskega časa, da se poveča izobraževalna ponudba šol in omogoči njihova odprtost za ozemlje po šolskih urah. Ukrep predvideva gradnjo ali obnovo prostorov v menzah za vsaj</w:t>
      </w:r>
      <w:r>
        <w:rPr>
          <w:rFonts w:ascii="Arial Narrow" w:hAnsi="Arial Narrow"/>
          <w:noProof/>
          <w:color w:val="006100"/>
          <w:sz w:val="20"/>
        </w:rPr>
        <w:t xml:space="preserve"> </w:t>
      </w:r>
      <w:r>
        <w:rPr>
          <w:noProof/>
        </w:rPr>
        <w:t>1000 objektov, da se omogoči podaljšanje šolskega časa. Podaljšani šolski čas naj bi pozitivno vplival na boj proti zgodnjemu opuščanju šolanja.</w:t>
      </w:r>
    </w:p>
    <w:p w14:paraId="09960A04" w14:textId="77777777" w:rsidR="00154E32" w:rsidRDefault="00A43E04">
      <w:pPr>
        <w:pStyle w:val="P68B1DB1-Normal2"/>
        <w:spacing w:before="120" w:after="120"/>
        <w:jc w:val="both"/>
        <w:rPr>
          <w:noProof/>
        </w:rPr>
      </w:pPr>
      <w:r>
        <w:rPr>
          <w:noProof/>
        </w:rPr>
        <w:t>Naložba 1.3: Načrt za izboljšanje športne infrastrukture v šolah</w:t>
      </w:r>
    </w:p>
    <w:p w14:paraId="5C0AF12D" w14:textId="77777777" w:rsidR="00154E32" w:rsidRDefault="00A43E04">
      <w:pPr>
        <w:spacing w:before="120" w:after="120"/>
        <w:jc w:val="both"/>
        <w:rPr>
          <w:noProof/>
        </w:rPr>
      </w:pPr>
      <w:r>
        <w:rPr>
          <w:noProof/>
        </w:rPr>
        <w:t>Ukrep je namenjen krepitvi športne infrastrukture in spodbujanju športnih dejavnosti. Pričakuje se, da se bo krepitev športnih dejavnosti borila proti zgodnjemu opuščanju šolanja, okrepila socialno vključenost in okrepila osebne sposobnosti.</w:t>
      </w:r>
    </w:p>
    <w:p w14:paraId="02A24477" w14:textId="4A5C3F0E" w:rsidR="00154E32" w:rsidRDefault="00A43E04">
      <w:pPr>
        <w:spacing w:before="120" w:after="120"/>
        <w:jc w:val="both"/>
        <w:rPr>
          <w:noProof/>
          <w:color w:val="006100"/>
        </w:rPr>
      </w:pPr>
      <w:r>
        <w:rPr>
          <w:noProof/>
        </w:rPr>
        <w:t>Naložba bo nadgradila športne objekte in telovadnice v šolah, da se poveča izobraževalna ponudba in spodbudi podaljšanje šolskega časa. Da se zagotovi skladnost ukrepa s tehničnimi smernicami za uporabo načela, da se ne škoduje bistveno (2021/C58/01), merila za upravičenost iz projektne naloge za prihodnje razpise za projekte ne vključujejo naslednjega seznama dejavnosti: (I) dejavnosti, povezane s fosilnimi gorivi, vključno z nadaljnjo uporabo</w:t>
      </w:r>
      <w:r>
        <w:rPr>
          <w:rStyle w:val="FootnoteReference"/>
          <w:noProof/>
        </w:rPr>
        <w:footnoteReference w:id="67"/>
      </w:r>
      <w:r>
        <w:rPr>
          <w:noProof/>
        </w:rPr>
        <w:t>; (II) dejavnosti v okviru sistema EU za trgovanje z emisijami (ETS), s katerimi se dosegajo predvidene emisije toplogrednih plinov, ki niso nižje od ustreznih referenčnih vrednosti</w:t>
      </w:r>
      <w:r>
        <w:rPr>
          <w:rStyle w:val="FootnoteReference"/>
          <w:noProof/>
        </w:rPr>
        <w:footnoteReference w:id="68"/>
      </w:r>
      <w:r>
        <w:rPr>
          <w:noProof/>
        </w:rPr>
        <w:t>; (III) dejavnosti, povezane z odlagališči odpadkov, sežigalnicami</w:t>
      </w:r>
      <w:r>
        <w:rPr>
          <w:rStyle w:val="FootnoteReference"/>
          <w:noProof/>
        </w:rPr>
        <w:footnoteReference w:id="69"/>
      </w:r>
      <w:r>
        <w:rPr>
          <w:noProof/>
        </w:rPr>
        <w:t xml:space="preserve"> in napravami za mehansko-biološko obdelavo</w:t>
      </w:r>
      <w:r>
        <w:rPr>
          <w:rStyle w:val="FootnoteReference"/>
          <w:noProof/>
        </w:rPr>
        <w:footnoteReference w:id="70"/>
      </w:r>
      <w:r>
        <w:rPr>
          <w:noProof/>
        </w:rPr>
        <w:t>; ter (iv) dejavnosti, pri katerih lahko dolgotrajno odstranjevanje odpadkov dolgoročno škoduje okolju. Poleg tega se zahteva, da se izberejo samo dejavnosti, ki so skladne z ustrezno okoljsko zakonodajo EU in nacionalno okoljsko zakonodajo.</w:t>
      </w:r>
    </w:p>
    <w:p w14:paraId="26293C55" w14:textId="77777777" w:rsidR="00154E32" w:rsidRDefault="00A43E04">
      <w:pPr>
        <w:pStyle w:val="P68B1DB1-Normal2"/>
        <w:spacing w:before="120" w:after="120"/>
        <w:jc w:val="both"/>
        <w:rPr>
          <w:noProof/>
        </w:rPr>
      </w:pPr>
      <w:r>
        <w:rPr>
          <w:noProof/>
        </w:rPr>
        <w:t>Naložba 1.4: Izredni ukrepi za zmanjšanje teritorialnih vrzeli v I in II srednješolskih ciklih ter za odpravo osipa v šolah</w:t>
      </w:r>
    </w:p>
    <w:p w14:paraId="16FC5E14" w14:textId="3E34C7DA" w:rsidR="00154E32" w:rsidRDefault="00A43E04">
      <w:pPr>
        <w:spacing w:before="120" w:after="120"/>
        <w:jc w:val="both"/>
        <w:rPr>
          <w:noProof/>
        </w:rPr>
      </w:pPr>
      <w:r>
        <w:rPr>
          <w:noProof/>
        </w:rPr>
        <w:t>Cilj ukrepa je študentom zagotoviti ustrezna osnovna znanja in spretnosti, tudi z razvojem enotnega nacionalnega portala za spletno usposabljanje. Posebna pozornost se nameni šolam, ki so se soočale z večjimi težavami v smislu uspešnosti, in sicer s prilagajanjem posegov glede na potrebe učencev, pri čemer se zagotovi podpora ravnatelja šole z zunanjimi mentorji, v najbolj kritičnih primerih pa je na voljo vsaj ena dodatna kadrovska enota na predmet (italijanski, matematični in angleški) ter za najmanj dve leti. Naložba spodbuja izvajanje mentorskih dejavnosti za vsaj 820000</w:t>
      </w:r>
      <w:r>
        <w:rPr>
          <w:rFonts w:ascii="Arial Narrow" w:hAnsi="Arial Narrow"/>
          <w:noProof/>
          <w:color w:val="006100"/>
          <w:sz w:val="20"/>
        </w:rPr>
        <w:t xml:space="preserve"> </w:t>
      </w:r>
      <w:r>
        <w:rPr>
          <w:noProof/>
        </w:rPr>
        <w:t>mladih, ki jim grozi osip, in mladih, ki so že opustili šolanje. Predvideva uporabo spletne platforme za dejavnosti mentorstva in usposabljanja.</w:t>
      </w:r>
    </w:p>
    <w:p w14:paraId="448CBA6B" w14:textId="1E2AA3F0" w:rsidR="00154E32" w:rsidRDefault="00A43E04">
      <w:pPr>
        <w:spacing w:before="120" w:after="120"/>
        <w:jc w:val="both"/>
        <w:rPr>
          <w:noProof/>
        </w:rPr>
      </w:pPr>
      <w:r>
        <w:rPr>
          <w:noProof/>
        </w:rPr>
        <w:t xml:space="preserve">Pričakuje se, da bo ukrep spodbujal enakost spolov in prispeval k odpravljanju neenakosti, vključno z ozemeljskimi vrzelmi, pri dostopu do izobraževanja. </w:t>
      </w:r>
    </w:p>
    <w:p w14:paraId="65D8790E" w14:textId="77777777" w:rsidR="00154E32" w:rsidRDefault="00A43E04">
      <w:pPr>
        <w:pStyle w:val="P68B1DB1-Normal2"/>
        <w:spacing w:before="120" w:after="120"/>
        <w:jc w:val="both"/>
        <w:rPr>
          <w:noProof/>
        </w:rPr>
      </w:pPr>
      <w:r>
        <w:rPr>
          <w:noProof/>
        </w:rPr>
        <w:t>Reforma 1.1: Reforma tehničnih in strokovnih inštitutov</w:t>
      </w:r>
    </w:p>
    <w:p w14:paraId="38B08B6E" w14:textId="18C6BC12" w:rsidR="00154E32" w:rsidRDefault="00A43E04">
      <w:pPr>
        <w:spacing w:before="120" w:after="120"/>
        <w:jc w:val="both"/>
        <w:rPr>
          <w:noProof/>
        </w:rPr>
      </w:pPr>
      <w:r>
        <w:rPr>
          <w:noProof/>
        </w:rPr>
        <w:t>Cilj reforme je uskladiti učne načrte tehničnih in strokovnih ustanov s kompetencami, ki jih potrebuje italijanski proizvodni sistem, tudi na lokalni ravni. Reforma bo zlasti uskladila tehnično in poklicno izobraževanje z industrijo 4.0 in vključevala digitalne inovacije.</w:t>
      </w:r>
    </w:p>
    <w:p w14:paraId="67E1DEEA" w14:textId="77777777" w:rsidR="00154E32" w:rsidRDefault="00A43E04">
      <w:pPr>
        <w:pStyle w:val="P68B1DB1-Normal2"/>
        <w:spacing w:before="120" w:after="120"/>
        <w:jc w:val="both"/>
        <w:rPr>
          <w:noProof/>
        </w:rPr>
      </w:pPr>
      <w:r>
        <w:rPr>
          <w:noProof/>
        </w:rPr>
        <w:t>Reforma 1.2: Reforma terciarnega poklicnega usposabljanja (ITS)</w:t>
      </w:r>
    </w:p>
    <w:p w14:paraId="5F319CAF" w14:textId="77777777" w:rsidR="00154E32" w:rsidRDefault="00A43E04">
      <w:pPr>
        <w:spacing w:before="120" w:after="120"/>
        <w:jc w:val="both"/>
        <w:rPr>
          <w:noProof/>
        </w:rPr>
      </w:pPr>
      <w:r>
        <w:rPr>
          <w:noProof/>
        </w:rPr>
        <w:t xml:space="preserve">Cilj reforme je okrepiti sistem terciarnega poklicnega usposabljanja s poenostavitvijo upravljanja ITS, da bi se povečalo število inštitutov in vpisov za lokalno ozemlje. </w:t>
      </w:r>
    </w:p>
    <w:p w14:paraId="0A0BD6FB" w14:textId="2B6F151D" w:rsidR="00154E32" w:rsidRDefault="00A43E04">
      <w:pPr>
        <w:spacing w:before="120" w:after="120"/>
        <w:jc w:val="both"/>
        <w:rPr>
          <w:noProof/>
        </w:rPr>
      </w:pPr>
      <w:r>
        <w:rPr>
          <w:noProof/>
        </w:rPr>
        <w:t xml:space="preserve">Pričakuje se, da bo reforma premostila neskladje med ponudbo delovne sile in povpraševanjem po njej. </w:t>
      </w:r>
    </w:p>
    <w:p w14:paraId="034317E1" w14:textId="77777777" w:rsidR="00154E32" w:rsidRDefault="00A43E04">
      <w:pPr>
        <w:pStyle w:val="P68B1DB1-Normal2"/>
        <w:spacing w:before="120" w:after="120"/>
        <w:jc w:val="both"/>
        <w:rPr>
          <w:noProof/>
        </w:rPr>
      </w:pPr>
      <w:r>
        <w:rPr>
          <w:noProof/>
        </w:rPr>
        <w:t>Naložba 1.5: Razvoj sistema terciarnega poklicnega usposabljanja (ITS)</w:t>
      </w:r>
    </w:p>
    <w:p w14:paraId="3FF7CB29" w14:textId="77777777" w:rsidR="00154E32" w:rsidRDefault="00A43E04">
      <w:pPr>
        <w:spacing w:before="120" w:after="120"/>
        <w:jc w:val="both"/>
        <w:rPr>
          <w:noProof/>
        </w:rPr>
      </w:pPr>
      <w:r>
        <w:rPr>
          <w:noProof/>
        </w:rPr>
        <w:t xml:space="preserve">Ukrep dopolnjuje reformo 1.2 – Reforma terciarnega poklicnega usposabljanja – za okrepitev ponudbe izobraževanja zavodov za poklicno usposabljanje (ITS). Prispeva k povečanju ponudbe izobraževalnih ustanov za poklicno usposabljanje in k večji udeležbi podjetij v izobraževalnih procesih za boljšo povezavo z mrežo podjetnikov. Pričakuje se tudi, da bo ukrep zmanjšal brezposelnost mladih z odpravljanjem neskladij med povpraševanjem po delovni sili in njeno ponudbo. </w:t>
      </w:r>
    </w:p>
    <w:p w14:paraId="60E62CD8" w14:textId="47A8E0BA" w:rsidR="00154E32" w:rsidRDefault="00A43E04">
      <w:pPr>
        <w:spacing w:before="120" w:after="120"/>
        <w:jc w:val="both"/>
        <w:rPr>
          <w:noProof/>
        </w:rPr>
      </w:pPr>
      <w:r>
        <w:rPr>
          <w:noProof/>
        </w:rPr>
        <w:t xml:space="preserve">Naložba bo povečala število študentov, vpisanih v tečaje ITS, in okrepila laboratorijske strukture (uvedba inovativnih tehnologij 4.0), hkrati pa vlagala v znanja in spretnosti učiteljev. Predvidena je aktivacija nacionalne digitalne platforme, ki študentom omogoča, da poznajo ponudbe delovnih mest za tiste, ki pridobijo poklicno kvalifikacijo. </w:t>
      </w:r>
    </w:p>
    <w:p w14:paraId="7953385A" w14:textId="77777777" w:rsidR="00154E32" w:rsidRDefault="00A43E04">
      <w:pPr>
        <w:pStyle w:val="P68B1DB1-Normal2"/>
        <w:spacing w:before="120" w:after="120"/>
        <w:jc w:val="both"/>
        <w:rPr>
          <w:noProof/>
        </w:rPr>
      </w:pPr>
      <w:r>
        <w:rPr>
          <w:noProof/>
        </w:rPr>
        <w:t>Reforma 1.3: Reorganizacija šolskega sistema</w:t>
      </w:r>
    </w:p>
    <w:p w14:paraId="08A5C564" w14:textId="77777777" w:rsidR="00154E32" w:rsidRDefault="00A43E04">
      <w:pPr>
        <w:spacing w:before="120" w:after="120"/>
        <w:jc w:val="both"/>
        <w:rPr>
          <w:noProof/>
        </w:rPr>
      </w:pPr>
      <w:r>
        <w:rPr>
          <w:noProof/>
        </w:rPr>
        <w:t xml:space="preserve">Cilj reforme je dvojen: </w:t>
      </w:r>
    </w:p>
    <w:p w14:paraId="5A9247FF" w14:textId="77777777" w:rsidR="00154E32" w:rsidRDefault="00A43E04">
      <w:pPr>
        <w:pStyle w:val="ListParagraph"/>
        <w:numPr>
          <w:ilvl w:val="0"/>
          <w:numId w:val="57"/>
        </w:numPr>
        <w:ind w:left="360"/>
        <w:rPr>
          <w:noProof/>
        </w:rPr>
      </w:pPr>
      <w:r>
        <w:rPr>
          <w:noProof/>
        </w:rPr>
        <w:t xml:space="preserve">Prilagoditev števila učencev na razred. </w:t>
      </w:r>
    </w:p>
    <w:p w14:paraId="38E0E418" w14:textId="77777777" w:rsidR="00154E32" w:rsidRDefault="00A43E04">
      <w:pPr>
        <w:spacing w:before="120" w:after="120"/>
        <w:jc w:val="both"/>
        <w:rPr>
          <w:noProof/>
        </w:rPr>
      </w:pPr>
      <w:r>
        <w:rPr>
          <w:noProof/>
        </w:rPr>
        <w:t>Število učiteljskega osebja se določi na isti ravni kot v šolskem letu 2020/2021 glede na upadanje števila prebivalcev in za zmanjšanje števila učencev na razred ter postopno izboljšanje razmerja med številom učencev in številom učiteljev na skupnih položajih. Izvajanje intervencije ne povečuje števila stavb, ki so na voljo. Pobuda nameni prilagojeno pozornost posameznim učencem, zlasti najranljivejšim in zagotovo invalidnim učencem.  Izboljšanje razmerja med učenci in učitelji naj bi koristilo kakovosti poučevanja in razpoložljivosti virov za šolske stavbe.</w:t>
      </w:r>
    </w:p>
    <w:p w14:paraId="269B3A1F" w14:textId="77777777" w:rsidR="00154E32" w:rsidRDefault="00A43E04">
      <w:pPr>
        <w:pStyle w:val="ListParagraph"/>
        <w:numPr>
          <w:ilvl w:val="0"/>
          <w:numId w:val="57"/>
        </w:numPr>
        <w:ind w:left="360"/>
        <w:rPr>
          <w:noProof/>
        </w:rPr>
      </w:pPr>
      <w:r>
        <w:rPr>
          <w:noProof/>
        </w:rPr>
        <w:t xml:space="preserve">Pregled pravil o velikosti šolskih stavb. </w:t>
      </w:r>
    </w:p>
    <w:p w14:paraId="36DEDC4D" w14:textId="6767E390" w:rsidR="00154E32" w:rsidRDefault="00A43E04">
      <w:pPr>
        <w:spacing w:before="120" w:after="120"/>
        <w:jc w:val="both"/>
        <w:rPr>
          <w:noProof/>
        </w:rPr>
      </w:pPr>
      <w:r>
        <w:rPr>
          <w:noProof/>
        </w:rPr>
        <w:t>Regionalna šolska populacija se sprejme kot „dejanski parameter“ za opredelitev izobraževalnih ustanov z ravnateljem in ravnateljem, ne pa prebivalstva posamezne šole, kot je določeno v veljavni zakonodaji.</w:t>
      </w:r>
    </w:p>
    <w:p w14:paraId="1EB652BC" w14:textId="77777777" w:rsidR="00154E32" w:rsidRDefault="00A43E04">
      <w:pPr>
        <w:pStyle w:val="P68B1DB1-Normal2"/>
        <w:spacing w:before="120" w:after="120"/>
        <w:jc w:val="both"/>
        <w:rPr>
          <w:noProof/>
        </w:rPr>
      </w:pPr>
      <w:r>
        <w:rPr>
          <w:noProof/>
        </w:rPr>
        <w:t xml:space="preserve">Reforma 1.4: Reforma sistema „usmeritve“  </w:t>
      </w:r>
    </w:p>
    <w:p w14:paraId="74CFE8EB" w14:textId="48892663" w:rsidR="00154E32" w:rsidRDefault="00A43E04">
      <w:pPr>
        <w:spacing w:before="120" w:after="120"/>
        <w:jc w:val="both"/>
        <w:rPr>
          <w:noProof/>
        </w:rPr>
      </w:pPr>
      <w:r>
        <w:rPr>
          <w:noProof/>
        </w:rPr>
        <w:t>Cilj reforme je uvesti orientacijske module (vsaj 30 ur na leto) za četrti in peti razred višjega sekundarnega izobraževanja. Glavni cilj je podpreti študente pri sprejemanju ozaveščene odločitve med nadaljevanjem študija ali nadaljnjim poklicnim usposabljanjem, preden se vključijo na trg dela. Reforma predvideva tudi vzpostavitev platforme za digitalno usmeritev, povezane s ponudbo univerz in inštitutov za poklicno usposabljanje s terciarnim izobraževanjem.</w:t>
      </w:r>
    </w:p>
    <w:p w14:paraId="67278292" w14:textId="77777777" w:rsidR="00154E32" w:rsidRDefault="00A43E04">
      <w:pPr>
        <w:pStyle w:val="P68B1DB1-Normal2"/>
        <w:spacing w:before="120" w:after="120"/>
        <w:jc w:val="both"/>
        <w:rPr>
          <w:noProof/>
        </w:rPr>
      </w:pPr>
      <w:r>
        <w:rPr>
          <w:noProof/>
        </w:rPr>
        <w:t>Naložba 1.6: Aktivna usmeritev v prehod med šolo in univerzo</w:t>
      </w:r>
    </w:p>
    <w:p w14:paraId="71C8F6F9" w14:textId="77777777" w:rsidR="00154E32" w:rsidRDefault="00A43E04">
      <w:pPr>
        <w:spacing w:before="120" w:after="120"/>
        <w:jc w:val="both"/>
        <w:rPr>
          <w:noProof/>
        </w:rPr>
      </w:pPr>
      <w:r>
        <w:rPr>
          <w:noProof/>
        </w:rPr>
        <w:t>Cilj ukrepa je olajšati in spodbuditi prehod z višjega sekundarnega izobraževanja na univerzo ter zmanjšati število osipnikov in tako prispevati k povečanju števila diplomantov. Pričakuje se, da bodo naložbe povečale kazalnike uspešnosti (udeležba v šolah, izboljšanje ravni učenja, število študentov, sprejetih v naslednje šolsko leto itd.) in zmanjšale razlike med spoloma, tako v smislu zaposlovanja kot udeležbe v visokošolskem izobraževanju na vseh področjih.</w:t>
      </w:r>
    </w:p>
    <w:p w14:paraId="45B7A9CA" w14:textId="77777777" w:rsidR="00154E32" w:rsidRDefault="00A43E04">
      <w:pPr>
        <w:spacing w:before="120" w:after="120"/>
        <w:jc w:val="both"/>
        <w:rPr>
          <w:noProof/>
        </w:rPr>
      </w:pPr>
      <w:r>
        <w:rPr>
          <w:noProof/>
        </w:rPr>
        <w:t>Ta pobuda predvideva zagotavljanje tečajev vsem dijakom v višji srednji šoli, da bi jih podprli pri izbiri terciarnega izobraževanja, omogočili boljšo usklajenost med pripravo in poklicno potjo ter pomagali učencem, da se usmerijo v prehod med šolo in univerzo. Predavanja izvajajo visokošolski profesorji in dijaki v višji srednji šoli. Trajnost se doseže z razširitvijo usposabljanja na srednješolske profesorje, tako da je v skladu s tem triletnim programom na voljo usmerjanje z notranjim osebjem srednjih šol.</w:t>
      </w:r>
    </w:p>
    <w:p w14:paraId="4C3B516A" w14:textId="77777777" w:rsidR="00154E32" w:rsidRDefault="00A43E04">
      <w:pPr>
        <w:pStyle w:val="P68B1DB1-Normal2"/>
        <w:spacing w:before="120" w:after="120"/>
        <w:jc w:val="both"/>
        <w:rPr>
          <w:noProof/>
        </w:rPr>
      </w:pPr>
      <w:r>
        <w:rPr>
          <w:noProof/>
        </w:rPr>
        <w:t>Naložba 1.7: Štipendije za dostop do univerz</w:t>
      </w:r>
    </w:p>
    <w:p w14:paraId="1AAF2381" w14:textId="739DB897" w:rsidR="00154E32" w:rsidRDefault="00A43E04">
      <w:pPr>
        <w:spacing w:before="120" w:after="120"/>
        <w:jc w:val="both"/>
        <w:rPr>
          <w:noProof/>
        </w:rPr>
      </w:pPr>
      <w:r>
        <w:rPr>
          <w:noProof/>
        </w:rPr>
        <w:t>Cilj ukrepa je zagotoviti enak dostop do izobraževanja z olajšanjem dostopa do terciarnega izobraževanja za študente v socialno-ekonomskih težavah in z razmeroma visokimi oportunitetnimi stroški naprednega študija proti zgodnjemu prehodu na trg dela. To se doseže zlasti s povečanjem števila štipendij, zagotovljenih univerzitetnim študentom v okviru podpore iz mehanizma za okrevanje in odpornost.</w:t>
      </w:r>
    </w:p>
    <w:p w14:paraId="0A19AF39" w14:textId="009D1E61" w:rsidR="00154E32" w:rsidRDefault="00A43E04">
      <w:pPr>
        <w:jc w:val="both"/>
        <w:rPr>
          <w:rFonts w:ascii="Segoe UI" w:eastAsia="Segoe UI" w:hAnsi="Segoe UI" w:cs="Segoe UI"/>
          <w:noProof/>
          <w:color w:val="000000" w:themeColor="text1"/>
          <w:sz w:val="20"/>
        </w:rPr>
      </w:pPr>
      <w:r>
        <w:rPr>
          <w:noProof/>
        </w:rPr>
        <w:t>Ta ukrep dopolnjuje React-EU, ki naj bi financiral 13000</w:t>
      </w:r>
      <w:r>
        <w:rPr>
          <w:rFonts w:ascii="Arial Narrow" w:hAnsi="Arial Narrow"/>
          <w:noProof/>
          <w:color w:val="006100"/>
          <w:sz w:val="20"/>
        </w:rPr>
        <w:t xml:space="preserve"> </w:t>
      </w:r>
      <w:r>
        <w:rPr>
          <w:noProof/>
        </w:rPr>
        <w:t>štipendij za dostop do univerz za leto 2023 v južnih regijah.</w:t>
      </w:r>
    </w:p>
    <w:p w14:paraId="73012285" w14:textId="718D6F4A" w:rsidR="00154E32" w:rsidRDefault="00A43E04">
      <w:pPr>
        <w:pStyle w:val="P68B1DB1-Normal2"/>
        <w:spacing w:before="120" w:after="120"/>
        <w:jc w:val="both"/>
        <w:rPr>
          <w:noProof/>
        </w:rPr>
      </w:pPr>
      <w:r>
        <w:rPr>
          <w:noProof/>
        </w:rPr>
        <w:t>Reforma 1.5: Reforme univerzitetnih dodiplomskih skupin</w:t>
      </w:r>
    </w:p>
    <w:p w14:paraId="0D964094" w14:textId="77777777" w:rsidR="00154E32" w:rsidRDefault="00A43E04">
      <w:pPr>
        <w:spacing w:before="120" w:after="120"/>
        <w:jc w:val="both"/>
        <w:rPr>
          <w:noProof/>
          <w:color w:val="006100"/>
        </w:rPr>
      </w:pPr>
      <w:r>
        <w:rPr>
          <w:noProof/>
        </w:rPr>
        <w:t>Reforma predvideva posodobitev univerzitetnih učnih načrtov in zmanjšanje obstoječih togih meja, ki močno omejujejo možnost oblikovanja meddisciplinarnih poti. Pričakuje se tudi, da bo reforma razširila možnost izvajanja programov poklicnega usposabljanja z uvedbo inovativnih razredov diplom, usmerjenih v delovna mesta</w:t>
      </w:r>
      <w:r>
        <w:rPr>
          <w:noProof/>
          <w:color w:val="006100"/>
        </w:rPr>
        <w:t>.</w:t>
      </w:r>
    </w:p>
    <w:p w14:paraId="7F73B5C2" w14:textId="77777777" w:rsidR="00154E32" w:rsidRDefault="00A43E04">
      <w:pPr>
        <w:pStyle w:val="P68B1DB1-Normal2"/>
        <w:spacing w:before="120" w:after="120"/>
        <w:jc w:val="both"/>
        <w:rPr>
          <w:noProof/>
        </w:rPr>
      </w:pPr>
      <w:r>
        <w:rPr>
          <w:noProof/>
        </w:rPr>
        <w:t xml:space="preserve">Reforma 1.6: Omogočitvena univerzitetna reforma </w:t>
      </w:r>
    </w:p>
    <w:p w14:paraId="1510C299" w14:textId="77777777" w:rsidR="00154E32" w:rsidRDefault="00A43E04">
      <w:pPr>
        <w:spacing w:before="120" w:after="120"/>
        <w:jc w:val="both"/>
        <w:rPr>
          <w:noProof/>
        </w:rPr>
      </w:pPr>
      <w:r>
        <w:rPr>
          <w:noProof/>
        </w:rPr>
        <w:t xml:space="preserve">Reforma predvideva poenostavitev postopka za dostop do poklicev, ki zahtevajo vpis na poklicna naročila z namenskim strokovnim izpitom. Ukrep prispeva k uskladitvi končnega nacionalnega izpita vsake diplome z ustreznim strokovnim izpitom, s čimer se zagotovijo splošna in jasna pravila ter nadomeščanje. </w:t>
      </w:r>
    </w:p>
    <w:p w14:paraId="6A70C74A" w14:textId="77777777" w:rsidR="00154E32" w:rsidRDefault="00A43E04">
      <w:pPr>
        <w:pStyle w:val="P68B1DB1-Normal2"/>
        <w:spacing w:before="120" w:after="120"/>
        <w:jc w:val="both"/>
        <w:rPr>
          <w:noProof/>
        </w:rPr>
      </w:pPr>
      <w:r>
        <w:rPr>
          <w:noProof/>
        </w:rPr>
        <w:t>Reforma 2.1: Zaposlovanje učiteljev</w:t>
      </w:r>
    </w:p>
    <w:p w14:paraId="039A49AA" w14:textId="77777777" w:rsidR="00154E32" w:rsidRDefault="00A43E04">
      <w:pPr>
        <w:spacing w:before="120" w:after="120"/>
        <w:jc w:val="both"/>
        <w:rPr>
          <w:noProof/>
        </w:rPr>
      </w:pPr>
      <w:r>
        <w:rPr>
          <w:noProof/>
        </w:rPr>
        <w:t xml:space="preserve">Cilj reforme je vzpostaviti nov model zaposlovanja učiteljev, ki bo povezan s ponovnim razmislekom o njihovem začetnem usposabljanju in skozi celotno poklicno pot. Strateški cilj tega ukrepa je znatno izboljšanje kakovosti italijanskega izobraževalnega sistema. Reforma bo zlasti poenostavila sedanje javne natečajne postopke. Ukrepi uvajajo višje zahteve za dostop do učiteljskih poklicev, učinkovitejši okvir za mobilnost učiteljev, omejitev čezmerne mobilnosti ter jasno povezavo med poklicnim napredovanjem in ocenjevanjem uspešnosti ter stalnim poklicnim razvojem.  </w:t>
      </w:r>
    </w:p>
    <w:p w14:paraId="5334F5CA" w14:textId="77777777" w:rsidR="00154E32" w:rsidRDefault="00A43E04">
      <w:pPr>
        <w:pStyle w:val="P68B1DB1-Normal2"/>
        <w:spacing w:before="120" w:after="120"/>
        <w:jc w:val="both"/>
        <w:rPr>
          <w:noProof/>
        </w:rPr>
      </w:pPr>
      <w:r>
        <w:rPr>
          <w:noProof/>
        </w:rPr>
        <w:t>Reforma 2.2: Višje terciarno izobraževanje in obvezno usposabljanje za vodstvene delavce šol, učitelje, administrativno in tehnično osebje</w:t>
      </w:r>
    </w:p>
    <w:p w14:paraId="31C633EE" w14:textId="77777777" w:rsidR="00154E32" w:rsidRDefault="00A43E04">
      <w:pPr>
        <w:spacing w:before="120" w:after="120"/>
        <w:jc w:val="both"/>
        <w:rPr>
          <w:noProof/>
        </w:rPr>
      </w:pPr>
      <w:r>
        <w:rPr>
          <w:noProof/>
        </w:rPr>
        <w:t>Cilj reforme je vzpostaviti sistem kakovostnega usposabljanja za šolsko osebje za stalni poklicni in poklicni razvoj. Predvideva ustanovitev kvalificiranega organa, pristojnega za objavo smernic v skladu z evropskimi standardi ter za izbiro in usklajevanje pobud za usposabljanje, ki bi jih po možnosti povezali s poklicnim napredovanjem, kot je določeno v reformi zaposlovanja – reformi 2.1: Zaposlovanje učiteljev, vključeno v načrt.</w:t>
      </w:r>
    </w:p>
    <w:p w14:paraId="220BB7E0" w14:textId="04BF7EE8" w:rsidR="00154E32" w:rsidRDefault="00A43E04">
      <w:pPr>
        <w:pStyle w:val="P68B1DB1-Normal2"/>
        <w:spacing w:before="120" w:after="120"/>
        <w:jc w:val="both"/>
        <w:rPr>
          <w:noProof/>
        </w:rPr>
      </w:pPr>
      <w:r>
        <w:rPr>
          <w:noProof/>
        </w:rPr>
        <w:t xml:space="preserve">Naložba 2.1: Integrirano digitalno poučevanje in usposabljanje šolskega osebja o digitalni preobrazbi </w:t>
      </w:r>
    </w:p>
    <w:p w14:paraId="3699CA0B" w14:textId="77777777" w:rsidR="00154E32" w:rsidRDefault="00A43E04">
      <w:pPr>
        <w:spacing w:before="120" w:after="120"/>
        <w:jc w:val="both"/>
        <w:rPr>
          <w:noProof/>
        </w:rPr>
      </w:pPr>
      <w:r>
        <w:rPr>
          <w:noProof/>
        </w:rPr>
        <w:t xml:space="preserve">Cilj ukrepa je vzpostavitev stalnega sistema za razvoj digitalne didaktike ter digitalnih in pedagoških spretnosti šolskega osebja.  Intervencija predvideva:  </w:t>
      </w:r>
    </w:p>
    <w:p w14:paraId="44E8CE47" w14:textId="77777777" w:rsidR="00154E32" w:rsidRDefault="00A43E04">
      <w:pPr>
        <w:pStyle w:val="ListParagraph"/>
        <w:numPr>
          <w:ilvl w:val="0"/>
          <w:numId w:val="48"/>
        </w:numPr>
        <w:ind w:left="360"/>
        <w:rPr>
          <w:noProof/>
        </w:rPr>
      </w:pPr>
      <w:r>
        <w:rPr>
          <w:noProof/>
        </w:rPr>
        <w:t>vzpostavitev sistema za stalno usposabljanje učiteljev in šolskega osebja za digitalni prehod;</w:t>
      </w:r>
    </w:p>
    <w:p w14:paraId="323E622B" w14:textId="77777777" w:rsidR="00154E32" w:rsidRDefault="00A43E04">
      <w:pPr>
        <w:pStyle w:val="ListParagraph"/>
        <w:numPr>
          <w:ilvl w:val="0"/>
          <w:numId w:val="48"/>
        </w:numPr>
        <w:ind w:left="360"/>
        <w:rPr>
          <w:rStyle w:val="normaltextrun"/>
          <w:noProof/>
        </w:rPr>
      </w:pPr>
      <w:r>
        <w:rPr>
          <w:rStyle w:val="normaltextrun"/>
          <w:noProof/>
          <w:shd w:val="clear" w:color="auto" w:fill="FFFFFF"/>
        </w:rPr>
        <w:t>Sprejetje nacionalnega referenčnega okvira za integrirano digitalno poučevanje, da bi spodbudili sprejetje učnih načrtov za digitalne kompetence v vseh šolah.</w:t>
      </w:r>
    </w:p>
    <w:p w14:paraId="1E48E670" w14:textId="06F13C4A" w:rsidR="00154E32" w:rsidRDefault="00A43E04">
      <w:pPr>
        <w:spacing w:before="120" w:after="120"/>
        <w:jc w:val="both"/>
        <w:rPr>
          <w:noProof/>
        </w:rPr>
      </w:pPr>
      <w:r>
        <w:rPr>
          <w:noProof/>
        </w:rPr>
        <w:t>Ukrep predvideva usposabljanje približno 650000 učiteljev</w:t>
      </w:r>
      <w:r>
        <w:rPr>
          <w:rFonts w:ascii="Arial Narrow" w:hAnsi="Arial Narrow"/>
          <w:noProof/>
          <w:color w:val="006100"/>
          <w:sz w:val="20"/>
        </w:rPr>
        <w:t xml:space="preserve"> </w:t>
      </w:r>
      <w:r>
        <w:rPr>
          <w:noProof/>
        </w:rPr>
        <w:t>in šolskega osebja, vzpostavitev približno 20000 tečajev</w:t>
      </w:r>
      <w:r>
        <w:rPr>
          <w:rFonts w:ascii="Arial Narrow" w:hAnsi="Arial Narrow"/>
          <w:noProof/>
          <w:color w:val="006100"/>
          <w:sz w:val="20"/>
        </w:rPr>
        <w:t xml:space="preserve"> </w:t>
      </w:r>
      <w:r>
        <w:rPr>
          <w:noProof/>
        </w:rPr>
        <w:t>usposabljanja v petletnem obdobju in ustanovitev lokalnih centrov za usposabljanje. V projekte usposabljanja je vključenih vseh več kot</w:t>
      </w:r>
      <w:r>
        <w:rPr>
          <w:rFonts w:ascii="Arial Narrow" w:hAnsi="Arial Narrow"/>
          <w:noProof/>
          <w:color w:val="006100"/>
          <w:sz w:val="20"/>
        </w:rPr>
        <w:t xml:space="preserve"> </w:t>
      </w:r>
      <w:r>
        <w:rPr>
          <w:noProof/>
        </w:rPr>
        <w:t>8000 izobraževalnih ustanov v Italiji.</w:t>
      </w:r>
    </w:p>
    <w:p w14:paraId="0916351B" w14:textId="77777777" w:rsidR="00154E32" w:rsidRDefault="00A43E04">
      <w:pPr>
        <w:pStyle w:val="P68B1DB1-Normal2"/>
        <w:spacing w:before="120" w:after="120"/>
        <w:jc w:val="both"/>
        <w:rPr>
          <w:noProof/>
        </w:rPr>
      </w:pPr>
      <w:r>
        <w:rPr>
          <w:noProof/>
        </w:rPr>
        <w:t>Naložba 3.1: Nova znanja in spretnosti ter novi jeziki</w:t>
      </w:r>
    </w:p>
    <w:p w14:paraId="33FFF9B1" w14:textId="77777777" w:rsidR="00154E32" w:rsidRDefault="00A43E04">
      <w:pPr>
        <w:spacing w:before="120" w:after="120"/>
        <w:jc w:val="both"/>
        <w:rPr>
          <w:noProof/>
        </w:rPr>
      </w:pPr>
      <w:r>
        <w:rPr>
          <w:noProof/>
        </w:rPr>
        <w:t>Cilj ukrepa je v vse ravni vključiti dejavnosti, metodologije in vsebine učnih načrtov, namenjenih krepitvi znanj in spretnosti na področju naravoslovja, tehnologije, inženirstva in matematike ter digitalnih in inovacijskih spretnosti. Ukrep se osredotoča na študentke in predvideva celovit interdisciplinarni pristop. Cilj ukrepa je zagotoviti enake možnosti in enakost spolov v smislu metodološkega pristopa in orientacijskih dejavnosti na področju naravoslovja, tehnologije, inženirstva in matematike.</w:t>
      </w:r>
    </w:p>
    <w:p w14:paraId="7E1ACD92" w14:textId="77777777" w:rsidR="00154E32" w:rsidRDefault="00A43E04">
      <w:pPr>
        <w:spacing w:before="120" w:after="120"/>
        <w:jc w:val="both"/>
        <w:rPr>
          <w:noProof/>
        </w:rPr>
      </w:pPr>
      <w:r>
        <w:rPr>
          <w:noProof/>
        </w:rPr>
        <w:t xml:space="preserve"> Pričakuje se, da bo ukrep okrepil znanje več jezikov pri študentih in učiteljih z razširitvijo programov svetovanja in obveščanja o programu Erasmus+ s podporo nacionalnega inštituta Erasmus+ za dokumentiranje, inovacije in izobraževalne raziskave (INDIRE) ter njegove mreže ambasadorjev. </w:t>
      </w:r>
    </w:p>
    <w:p w14:paraId="654D44CF" w14:textId="77777777" w:rsidR="00154E32" w:rsidRDefault="00A43E04">
      <w:pPr>
        <w:spacing w:before="120" w:after="120"/>
        <w:jc w:val="both"/>
        <w:rPr>
          <w:noProof/>
        </w:rPr>
      </w:pPr>
      <w:r>
        <w:rPr>
          <w:noProof/>
        </w:rPr>
        <w:t xml:space="preserve">Razvije se tudi digitalni sistem za spremljanje jezikovnega znanja na nacionalni ravni ob podpori ustreznih subjektov, ki izdajajo certifikate. </w:t>
      </w:r>
    </w:p>
    <w:p w14:paraId="52CAC0B2" w14:textId="5E5F958C" w:rsidR="00154E32" w:rsidRDefault="00A43E04">
      <w:pPr>
        <w:pStyle w:val="P68B1DB1-Normal2"/>
        <w:spacing w:before="120" w:after="120"/>
        <w:jc w:val="both"/>
        <w:rPr>
          <w:noProof/>
        </w:rPr>
      </w:pPr>
      <w:r>
        <w:rPr>
          <w:noProof/>
        </w:rPr>
        <w:t>Naložba 3.2: Šola 4.0: inovativne šole, ožičenje, nove učilnice in delavnice</w:t>
      </w:r>
    </w:p>
    <w:p w14:paraId="474F3EB6" w14:textId="77777777" w:rsidR="00154E32" w:rsidRDefault="00A43E04">
      <w:pPr>
        <w:spacing w:before="120" w:after="120"/>
        <w:jc w:val="both"/>
        <w:rPr>
          <w:noProof/>
        </w:rPr>
      </w:pPr>
      <w:r>
        <w:rPr>
          <w:noProof/>
        </w:rPr>
        <w:t>Cilj ukrepa je posodobiti šolske objekte v prilagodljiva, prilagodljiva in digitalna učna okolja s tehnološko naprednimi delavnicami in procesom učenja na delovnem mestu. Ta ukrep bo pospešil digitalni prehod italijanskega šolskega sistema s štirimi pobudami:</w:t>
      </w:r>
    </w:p>
    <w:p w14:paraId="4625A1FC" w14:textId="6F65067E" w:rsidR="00154E32" w:rsidRDefault="00A43E04">
      <w:pPr>
        <w:pStyle w:val="ListParagraph"/>
        <w:numPr>
          <w:ilvl w:val="0"/>
          <w:numId w:val="48"/>
        </w:numPr>
        <w:ind w:left="360"/>
        <w:rPr>
          <w:noProof/>
        </w:rPr>
      </w:pPr>
      <w:r>
        <w:rPr>
          <w:noProof/>
        </w:rPr>
        <w:t>Preoblikovanje približno 100000</w:t>
      </w:r>
      <w:r>
        <w:rPr>
          <w:rFonts w:ascii="Arial Narrow" w:hAnsi="Arial Narrow"/>
          <w:noProof/>
          <w:color w:val="006100"/>
          <w:sz w:val="20"/>
        </w:rPr>
        <w:t xml:space="preserve"> </w:t>
      </w:r>
      <w:r>
        <w:rPr>
          <w:noProof/>
        </w:rPr>
        <w:t>tradicionalnih razredov v povezana učna okolja z uvedbo s tem povezanih izobraževalnih naprav</w:t>
      </w:r>
    </w:p>
    <w:p w14:paraId="2CC42088" w14:textId="77777777" w:rsidR="00154E32" w:rsidRDefault="00A43E04">
      <w:pPr>
        <w:pStyle w:val="ListParagraph"/>
        <w:numPr>
          <w:ilvl w:val="0"/>
          <w:numId w:val="48"/>
        </w:numPr>
        <w:ind w:left="360"/>
        <w:rPr>
          <w:noProof/>
        </w:rPr>
      </w:pPr>
      <w:r>
        <w:rPr>
          <w:noProof/>
        </w:rPr>
        <w:t>Vzpostavitev delavnic za digitalne poklice v drugem ciklu</w:t>
      </w:r>
    </w:p>
    <w:p w14:paraId="7B20CF07" w14:textId="77777777" w:rsidR="00154E32" w:rsidRDefault="00A43E04">
      <w:pPr>
        <w:pStyle w:val="ListParagraph"/>
        <w:numPr>
          <w:ilvl w:val="0"/>
          <w:numId w:val="48"/>
        </w:numPr>
        <w:ind w:left="360"/>
        <w:rPr>
          <w:noProof/>
        </w:rPr>
      </w:pPr>
      <w:r>
        <w:rPr>
          <w:noProof/>
        </w:rPr>
        <w:t>Digitalizacija šolskih uprav</w:t>
      </w:r>
    </w:p>
    <w:p w14:paraId="34B346A4" w14:textId="33212748" w:rsidR="00154E32" w:rsidRDefault="00A43E04">
      <w:pPr>
        <w:pStyle w:val="ListParagraph"/>
        <w:numPr>
          <w:ilvl w:val="0"/>
          <w:numId w:val="48"/>
        </w:numPr>
        <w:ind w:left="360"/>
        <w:rPr>
          <w:noProof/>
        </w:rPr>
      </w:pPr>
      <w:r>
        <w:rPr>
          <w:noProof/>
        </w:rPr>
        <w:t>Notranje ožičenje kablov za približno 40000 šolskih</w:t>
      </w:r>
      <w:r>
        <w:rPr>
          <w:rFonts w:ascii="Arial Narrow" w:hAnsi="Arial Narrow"/>
          <w:noProof/>
          <w:color w:val="006100"/>
          <w:sz w:val="20"/>
        </w:rPr>
        <w:t xml:space="preserve"> </w:t>
      </w:r>
      <w:r>
        <w:rPr>
          <w:noProof/>
        </w:rPr>
        <w:t>stavb in z njimi povezanih naprav</w:t>
      </w:r>
    </w:p>
    <w:p w14:paraId="78738AA6" w14:textId="77777777" w:rsidR="00154E32" w:rsidRDefault="00A43E04">
      <w:pPr>
        <w:pStyle w:val="P68B1DB1-Normal2"/>
        <w:spacing w:before="120" w:after="120"/>
        <w:jc w:val="both"/>
        <w:rPr>
          <w:noProof/>
        </w:rPr>
      </w:pPr>
      <w:r>
        <w:rPr>
          <w:noProof/>
        </w:rPr>
        <w:t>Naložba 3.3: Načrt za varnost gradnje šol in strukturno sanacijo</w:t>
      </w:r>
    </w:p>
    <w:p w14:paraId="039AEEE1" w14:textId="77777777" w:rsidR="00154E32" w:rsidRDefault="00A43E04">
      <w:pPr>
        <w:spacing w:before="120" w:after="120"/>
        <w:jc w:val="both"/>
        <w:rPr>
          <w:noProof/>
        </w:rPr>
      </w:pPr>
      <w:r>
        <w:rPr>
          <w:noProof/>
        </w:rPr>
        <w:t>Glavni cilj ukrepa je prispevati k podnebnemu okrevanju s povečanjem varnosti in porabe energije v šolskih stavbah. Ukrep zlasti prispeva k izboljšanju energijskih razredov in vodi k manjši porabi in manjšim emisijam CO2 ter k povečanju strukturne varnosti stavb. Posebna pozornost se nameni območjem z najbolj omejenimi možnostmi z namenom odpravljanja in odpravljanja gospodarskih in socialnih neravnovesij. Naložba ne vključuje nabave kotlov na zemeljski plin.</w:t>
      </w:r>
    </w:p>
    <w:p w14:paraId="2853FF76" w14:textId="77777777" w:rsidR="00154E32" w:rsidRDefault="00A43E04">
      <w:pPr>
        <w:pStyle w:val="P68B1DB1-Normal2"/>
        <w:spacing w:before="120" w:after="120"/>
        <w:jc w:val="both"/>
        <w:rPr>
          <w:noProof/>
        </w:rPr>
      </w:pPr>
      <w:r>
        <w:rPr>
          <w:noProof/>
        </w:rPr>
        <w:t>Naložba 3.4: Poučevanje in napredne univerzitetne spretnosti</w:t>
      </w:r>
    </w:p>
    <w:p w14:paraId="397C2CE8" w14:textId="77777777" w:rsidR="00154E32" w:rsidRDefault="00A43E04">
      <w:pPr>
        <w:spacing w:before="120" w:after="120"/>
        <w:jc w:val="both"/>
        <w:rPr>
          <w:noProof/>
        </w:rPr>
      </w:pPr>
      <w:r>
        <w:rPr>
          <w:noProof/>
        </w:rPr>
        <w:t xml:space="preserve">Cilj ukrepa je kvalificirati in uvajati inovativne univerzitetne programe (vključno s programi doktorskega študija) s tremi strateškimi cilji: digitalizacija; „kultura inovacij“; internacionalizacija. </w:t>
      </w:r>
    </w:p>
    <w:p w14:paraId="6BD38E5B" w14:textId="77777777" w:rsidR="00154E32" w:rsidRDefault="00A43E04">
      <w:pPr>
        <w:spacing w:before="120" w:after="120"/>
        <w:jc w:val="both"/>
        <w:rPr>
          <w:noProof/>
        </w:rPr>
      </w:pPr>
      <w:r>
        <w:rPr>
          <w:noProof/>
        </w:rPr>
        <w:t xml:space="preserve">Podrobno se izvedejo naslednji podukrepi: </w:t>
      </w:r>
    </w:p>
    <w:p w14:paraId="2E091D3D" w14:textId="77777777" w:rsidR="00154E32" w:rsidRDefault="00A43E04">
      <w:pPr>
        <w:pStyle w:val="ListParagraph"/>
        <w:numPr>
          <w:ilvl w:val="0"/>
          <w:numId w:val="48"/>
        </w:numPr>
        <w:ind w:left="360"/>
        <w:rPr>
          <w:noProof/>
        </w:rPr>
      </w:pPr>
      <w:r>
        <w:rPr>
          <w:noProof/>
        </w:rPr>
        <w:t>Do 500 doktorskih študentov se v 3 letih (100 +200+200) vpišejo v programe, namenjene digitalnemu in okoljskemu prehodu.</w:t>
      </w:r>
    </w:p>
    <w:p w14:paraId="2EB38175" w14:textId="77777777" w:rsidR="00154E32" w:rsidRDefault="00A43E04">
      <w:pPr>
        <w:pStyle w:val="ListParagraph"/>
        <w:numPr>
          <w:ilvl w:val="0"/>
          <w:numId w:val="48"/>
        </w:numPr>
        <w:ind w:left="360"/>
        <w:rPr>
          <w:noProof/>
        </w:rPr>
      </w:pPr>
      <w:r>
        <w:rPr>
          <w:noProof/>
        </w:rPr>
        <w:t>Vzpostavitev treh vozlišč za digitalno izobraževanje (DEH) za izboljšanje zmogljivosti visokošolskega sistema za zagotavljanje digitalnega izobraževanja študentom in univerzitetnim delavcem;</w:t>
      </w:r>
    </w:p>
    <w:p w14:paraId="377A263E" w14:textId="77777777" w:rsidR="00154E32" w:rsidRDefault="00A43E04">
      <w:pPr>
        <w:pStyle w:val="ListParagraph"/>
        <w:numPr>
          <w:ilvl w:val="0"/>
          <w:numId w:val="48"/>
        </w:numPr>
        <w:ind w:left="360"/>
        <w:rPr>
          <w:noProof/>
        </w:rPr>
      </w:pPr>
      <w:r>
        <w:rPr>
          <w:noProof/>
        </w:rPr>
        <w:t>Krepitev visokošolskih šol</w:t>
      </w:r>
    </w:p>
    <w:p w14:paraId="6419EFF6" w14:textId="77777777" w:rsidR="00154E32" w:rsidRDefault="00A43E04">
      <w:pPr>
        <w:pStyle w:val="ListParagraph"/>
        <w:numPr>
          <w:ilvl w:val="0"/>
          <w:numId w:val="48"/>
        </w:numPr>
        <w:ind w:left="360"/>
        <w:rPr>
          <w:noProof/>
        </w:rPr>
      </w:pPr>
      <w:r>
        <w:rPr>
          <w:noProof/>
        </w:rPr>
        <w:t>Izvajanje desetih nadnacionalnih izobraževalnih pobud – TNE – v sodelovanju z ministrstvom za zunanje zadeve in mednarodno sodelovanje</w:t>
      </w:r>
    </w:p>
    <w:p w14:paraId="5217AF98" w14:textId="77777777" w:rsidR="00154E32" w:rsidRDefault="00A43E04">
      <w:pPr>
        <w:pStyle w:val="ListParagraph"/>
        <w:numPr>
          <w:ilvl w:val="0"/>
          <w:numId w:val="48"/>
        </w:numPr>
        <w:ind w:left="360"/>
        <w:rPr>
          <w:noProof/>
        </w:rPr>
      </w:pPr>
      <w:r>
        <w:rPr>
          <w:noProof/>
        </w:rPr>
        <w:t>Dejavnosti internacionalizacije umetniških in glasbenih visokošolskih ustanov (AFAM) s podpiranjem 15 internacionaliziranih projektov ustanov AFAM za spodbujanje njihove vloge v tujini pri ohranjanju in spodbujanju italijanske kulture</w:t>
      </w:r>
    </w:p>
    <w:p w14:paraId="452498EE" w14:textId="77777777" w:rsidR="00154E32" w:rsidRDefault="00A43E04">
      <w:pPr>
        <w:pStyle w:val="P68B1DB1-Normal2"/>
        <w:spacing w:before="120" w:after="120"/>
        <w:jc w:val="both"/>
        <w:rPr>
          <w:noProof/>
        </w:rPr>
      </w:pPr>
      <w:r>
        <w:rPr>
          <w:noProof/>
        </w:rPr>
        <w:t xml:space="preserve">Reforma 4.1: Doktoratska reforma programov  </w:t>
      </w:r>
    </w:p>
    <w:p w14:paraId="280BABD1" w14:textId="77777777" w:rsidR="00154E32" w:rsidRDefault="00A43E04">
      <w:pPr>
        <w:spacing w:before="120" w:after="120"/>
        <w:jc w:val="both"/>
        <w:rPr>
          <w:noProof/>
        </w:rPr>
      </w:pPr>
      <w:r>
        <w:rPr>
          <w:noProof/>
        </w:rPr>
        <w:t>Cilj reforme je posodobiti uredbo o doktorskih programih, poenostaviti postopke za vključevanje podjetij, raziskovalnih središč v programe doktorskega študija in okrepiti uporabne raziskave. Predlagana reforma je povezana z vsemi naložbami, povezanimi s programi doktorskega študija na ciljnem področju „izobraževanje in raziskave“.</w:t>
      </w:r>
    </w:p>
    <w:p w14:paraId="2B003E63" w14:textId="77777777" w:rsidR="00154E32" w:rsidRDefault="00A43E04">
      <w:pPr>
        <w:pStyle w:val="P68B1DB1-Normal2"/>
        <w:spacing w:before="120" w:after="120"/>
        <w:jc w:val="both"/>
        <w:rPr>
          <w:noProof/>
        </w:rPr>
      </w:pPr>
      <w:r>
        <w:rPr>
          <w:noProof/>
        </w:rPr>
        <w:t xml:space="preserve">Naložba 4.1: Razširitev števila in poklicnih možnosti doktoratov (raziskave, javna uprava in kulturna dediščina)  </w:t>
      </w:r>
    </w:p>
    <w:p w14:paraId="4366247F" w14:textId="6F91466F" w:rsidR="00154E32" w:rsidRDefault="00A43E04">
      <w:pPr>
        <w:spacing w:before="120" w:after="120"/>
        <w:jc w:val="both"/>
        <w:rPr>
          <w:noProof/>
        </w:rPr>
      </w:pPr>
      <w:r>
        <w:rPr>
          <w:noProof/>
        </w:rPr>
        <w:t>Cilj ukrepa je povečati človeški kapital, namenjen dejavnostim, usmerjenim v raziskave, javni upravi in kulturni dediščini. Naložba predvideva ustanovitev 1200 dodatnih splošnih programov štipendij za doktorske študijske programe na leto (več kot tri leta), 1000</w:t>
      </w:r>
      <w:r>
        <w:rPr>
          <w:rFonts w:ascii="Arial Narrow" w:hAnsi="Arial Narrow"/>
          <w:noProof/>
          <w:color w:val="006100"/>
          <w:sz w:val="20"/>
        </w:rPr>
        <w:t xml:space="preserve"> </w:t>
      </w:r>
      <w:r>
        <w:rPr>
          <w:noProof/>
        </w:rPr>
        <w:t xml:space="preserve">dodatnih programov štipendij za javno upravo (več kot tri leta) in vsaj 200 novih doktorskih štipendij na področju kulturne dediščine na leto (več kot tri leta). </w:t>
      </w:r>
    </w:p>
    <w:p w14:paraId="5FF654DF" w14:textId="77777777" w:rsidR="00154E32" w:rsidRDefault="00A43E04">
      <w:pPr>
        <w:pStyle w:val="Heading3"/>
        <w:numPr>
          <w:ilvl w:val="0"/>
          <w:numId w:val="0"/>
        </w:numPr>
        <w:ind w:left="850" w:hanging="850"/>
        <w:rPr>
          <w:b/>
          <w:i w:val="0"/>
          <w:noProof/>
          <w:u w:val="single"/>
        </w:rPr>
      </w:pPr>
      <w:r>
        <w:rPr>
          <w:b/>
          <w:i w:val="0"/>
          <w:noProof/>
          <w:u w:val="single"/>
        </w:rPr>
        <w:t xml:space="preserve">J.2. </w:t>
      </w:r>
      <w:r>
        <w:rPr>
          <w:noProof/>
        </w:rPr>
        <w:tab/>
      </w:r>
      <w:r>
        <w:rPr>
          <w:b/>
          <w:i w:val="0"/>
          <w:noProof/>
          <w:u w:val="single"/>
        </w:rPr>
        <w:t>Mejniki, cilji, kazalniki in časovni razpored za spremljanje in izvajanje nepovratne finančne podpore Naslednje;</w:t>
      </w:r>
    </w:p>
    <w:p w14:paraId="0822D9CA" w14:textId="77777777" w:rsidR="00154E32" w:rsidRDefault="00154E32">
      <w:pPr>
        <w:spacing w:before="120" w:after="120"/>
        <w:ind w:left="709"/>
        <w:jc w:val="both"/>
        <w:rPr>
          <w:noProof/>
        </w:rPr>
        <w:sectPr w:rsidR="00154E32">
          <w:headerReference w:type="even" r:id="rId230"/>
          <w:headerReference w:type="default" r:id="rId231"/>
          <w:footerReference w:type="even" r:id="rId232"/>
          <w:footerReference w:type="default" r:id="rId233"/>
          <w:headerReference w:type="first" r:id="rId234"/>
          <w:footerReference w:type="first" r:id="rId235"/>
          <w:pgSz w:w="11907" w:h="16839"/>
          <w:pgMar w:top="1440" w:right="1440" w:bottom="1440" w:left="1440" w:header="567" w:footer="567" w:gutter="0"/>
          <w:cols w:space="720"/>
          <w:docGrid w:linePitch="360"/>
        </w:sectPr>
      </w:pP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1488"/>
        <w:gridCol w:w="1065"/>
        <w:gridCol w:w="1702"/>
        <w:gridCol w:w="1428"/>
        <w:gridCol w:w="1256"/>
        <w:gridCol w:w="1116"/>
        <w:gridCol w:w="1021"/>
        <w:gridCol w:w="851"/>
        <w:gridCol w:w="708"/>
        <w:gridCol w:w="3112"/>
      </w:tblGrid>
      <w:tr w:rsidR="00154E32" w14:paraId="454A1A4E" w14:textId="77777777">
        <w:trPr>
          <w:trHeight w:val="927"/>
          <w:tblHeader/>
        </w:trPr>
        <w:tc>
          <w:tcPr>
            <w:tcW w:w="380" w:type="pct"/>
            <w:vMerge w:val="restart"/>
            <w:shd w:val="clear" w:color="auto" w:fill="BDD7EE"/>
            <w:vAlign w:val="center"/>
            <w:hideMark/>
          </w:tcPr>
          <w:p w14:paraId="3C09C7A4" w14:textId="77777777" w:rsidR="00154E32" w:rsidRDefault="00A43E04">
            <w:pPr>
              <w:pStyle w:val="P68B1DB1-Normal9"/>
              <w:jc w:val="center"/>
              <w:rPr>
                <w:noProof/>
              </w:rPr>
            </w:pPr>
            <w:r>
              <w:rPr>
                <w:noProof/>
              </w:rPr>
              <w:t>Zaporedna številka</w:t>
            </w:r>
          </w:p>
        </w:tc>
        <w:tc>
          <w:tcPr>
            <w:tcW w:w="500" w:type="pct"/>
            <w:vMerge w:val="restart"/>
            <w:shd w:val="clear" w:color="auto" w:fill="BDD7EE"/>
            <w:vAlign w:val="center"/>
            <w:hideMark/>
          </w:tcPr>
          <w:p w14:paraId="5E3CAD54" w14:textId="77777777" w:rsidR="00154E32" w:rsidRDefault="00A43E04">
            <w:pPr>
              <w:pStyle w:val="P68B1DB1-Normal9"/>
              <w:jc w:val="center"/>
              <w:rPr>
                <w:noProof/>
              </w:rPr>
            </w:pPr>
            <w:r>
              <w:rPr>
                <w:noProof/>
              </w:rPr>
              <w:t>Povezani ukrep (reforma ali naložba)</w:t>
            </w:r>
          </w:p>
        </w:tc>
        <w:tc>
          <w:tcPr>
            <w:tcW w:w="358" w:type="pct"/>
            <w:vMerge w:val="restart"/>
            <w:shd w:val="clear" w:color="auto" w:fill="BDD7EE"/>
            <w:vAlign w:val="center"/>
            <w:hideMark/>
          </w:tcPr>
          <w:p w14:paraId="58D245AF" w14:textId="77777777" w:rsidR="00154E32" w:rsidRDefault="00A43E04">
            <w:pPr>
              <w:pStyle w:val="P68B1DB1-Normal9"/>
              <w:jc w:val="center"/>
              <w:rPr>
                <w:noProof/>
              </w:rPr>
            </w:pPr>
            <w:r>
              <w:rPr>
                <w:noProof/>
              </w:rPr>
              <w:t>Mejnik/cilj</w:t>
            </w:r>
          </w:p>
        </w:tc>
        <w:tc>
          <w:tcPr>
            <w:tcW w:w="572" w:type="pct"/>
            <w:vMerge w:val="restart"/>
            <w:shd w:val="clear" w:color="auto" w:fill="BDD7EE"/>
            <w:vAlign w:val="center"/>
            <w:hideMark/>
          </w:tcPr>
          <w:p w14:paraId="15C82012" w14:textId="77777777" w:rsidR="00154E32" w:rsidRDefault="00A43E04">
            <w:pPr>
              <w:pStyle w:val="P68B1DB1-Normal9"/>
              <w:jc w:val="center"/>
              <w:rPr>
                <w:noProof/>
              </w:rPr>
            </w:pPr>
            <w:r>
              <w:rPr>
                <w:noProof/>
              </w:rPr>
              <w:t>Ime</w:t>
            </w:r>
          </w:p>
        </w:tc>
        <w:tc>
          <w:tcPr>
            <w:tcW w:w="480" w:type="pct"/>
            <w:vMerge w:val="restart"/>
            <w:shd w:val="clear" w:color="auto" w:fill="BDD7EE"/>
            <w:vAlign w:val="center"/>
            <w:hideMark/>
          </w:tcPr>
          <w:p w14:paraId="39830FAE" w14:textId="77777777" w:rsidR="00154E32" w:rsidRDefault="00A43E04">
            <w:pPr>
              <w:pStyle w:val="P68B1DB1-Normal10"/>
              <w:jc w:val="center"/>
              <w:rPr>
                <w:b/>
                <w:noProof/>
                <w:sz w:val="20"/>
              </w:rPr>
            </w:pPr>
            <w:r>
              <w:rPr>
                <w:b/>
                <w:noProof/>
                <w:sz w:val="20"/>
              </w:rPr>
              <w:t>Kakovostni kazalniki</w:t>
            </w:r>
            <w:r>
              <w:rPr>
                <w:noProof/>
              </w:rPr>
              <w:t xml:space="preserve"> </w:t>
            </w:r>
            <w:r>
              <w:rPr>
                <w:noProof/>
              </w:rPr>
              <w:br/>
            </w:r>
            <w:r>
              <w:rPr>
                <w:b/>
                <w:noProof/>
                <w:sz w:val="20"/>
              </w:rPr>
              <w:t>(za mejnike)</w:t>
            </w:r>
          </w:p>
        </w:tc>
        <w:tc>
          <w:tcPr>
            <w:tcW w:w="1140" w:type="pct"/>
            <w:gridSpan w:val="3"/>
            <w:shd w:val="clear" w:color="auto" w:fill="BDD7EE"/>
            <w:vAlign w:val="center"/>
            <w:hideMark/>
          </w:tcPr>
          <w:p w14:paraId="73FD6870" w14:textId="77777777" w:rsidR="00154E32" w:rsidRDefault="00A43E04">
            <w:pPr>
              <w:pStyle w:val="P68B1DB1-Normal10"/>
              <w:jc w:val="center"/>
              <w:rPr>
                <w:b/>
                <w:noProof/>
                <w:sz w:val="20"/>
              </w:rPr>
            </w:pPr>
            <w:r>
              <w:rPr>
                <w:b/>
                <w:noProof/>
                <w:sz w:val="20"/>
              </w:rPr>
              <w:t>Kvantitativni kazalniki</w:t>
            </w:r>
            <w:r>
              <w:rPr>
                <w:noProof/>
              </w:rPr>
              <w:t xml:space="preserve"> </w:t>
            </w:r>
            <w:r>
              <w:rPr>
                <w:noProof/>
              </w:rPr>
              <w:br/>
            </w:r>
            <w:r>
              <w:rPr>
                <w:b/>
                <w:noProof/>
                <w:sz w:val="20"/>
              </w:rPr>
              <w:t>(za ciljne vrednosti)</w:t>
            </w:r>
          </w:p>
        </w:tc>
        <w:tc>
          <w:tcPr>
            <w:tcW w:w="524" w:type="pct"/>
            <w:gridSpan w:val="2"/>
            <w:shd w:val="clear" w:color="auto" w:fill="BDD7EE"/>
            <w:vAlign w:val="center"/>
            <w:hideMark/>
          </w:tcPr>
          <w:p w14:paraId="5B9C95E9" w14:textId="77777777" w:rsidR="00154E32" w:rsidRDefault="00A43E04">
            <w:pPr>
              <w:pStyle w:val="P68B1DB1-Normal9"/>
              <w:jc w:val="center"/>
              <w:rPr>
                <w:noProof/>
              </w:rPr>
            </w:pPr>
            <w:r>
              <w:rPr>
                <w:noProof/>
              </w:rPr>
              <w:t>Okvirni časovni razpored za dokončanje</w:t>
            </w:r>
          </w:p>
        </w:tc>
        <w:tc>
          <w:tcPr>
            <w:tcW w:w="1047" w:type="pct"/>
            <w:vMerge w:val="restart"/>
            <w:shd w:val="clear" w:color="auto" w:fill="BDD7EE"/>
            <w:vAlign w:val="center"/>
            <w:hideMark/>
          </w:tcPr>
          <w:p w14:paraId="212FE3FD" w14:textId="77777777" w:rsidR="00154E32" w:rsidRDefault="00A43E04">
            <w:pPr>
              <w:pStyle w:val="P68B1DB1-Normal9"/>
              <w:jc w:val="center"/>
              <w:rPr>
                <w:noProof/>
              </w:rPr>
            </w:pPr>
            <w:r>
              <w:rPr>
                <w:noProof/>
              </w:rPr>
              <w:t>Opis vsakega mejnika in cilja</w:t>
            </w:r>
          </w:p>
        </w:tc>
      </w:tr>
      <w:tr w:rsidR="00154E32" w14:paraId="07AE8911" w14:textId="77777777">
        <w:trPr>
          <w:trHeight w:val="612"/>
        </w:trPr>
        <w:tc>
          <w:tcPr>
            <w:tcW w:w="380" w:type="pct"/>
            <w:vMerge/>
            <w:vAlign w:val="center"/>
            <w:hideMark/>
          </w:tcPr>
          <w:p w14:paraId="46E0016B" w14:textId="77777777" w:rsidR="00154E32" w:rsidRDefault="00154E32">
            <w:pPr>
              <w:jc w:val="center"/>
              <w:rPr>
                <w:rFonts w:ascii="Arial Narrow" w:hAnsi="Arial Narrow"/>
                <w:b/>
                <w:noProof/>
                <w:sz w:val="20"/>
              </w:rPr>
            </w:pPr>
          </w:p>
        </w:tc>
        <w:tc>
          <w:tcPr>
            <w:tcW w:w="500" w:type="pct"/>
            <w:vMerge/>
            <w:vAlign w:val="center"/>
            <w:hideMark/>
          </w:tcPr>
          <w:p w14:paraId="1AA352F8" w14:textId="77777777" w:rsidR="00154E32" w:rsidRDefault="00154E32">
            <w:pPr>
              <w:jc w:val="center"/>
              <w:rPr>
                <w:rFonts w:ascii="Arial Narrow" w:hAnsi="Arial Narrow"/>
                <w:b/>
                <w:noProof/>
                <w:sz w:val="20"/>
              </w:rPr>
            </w:pPr>
          </w:p>
        </w:tc>
        <w:tc>
          <w:tcPr>
            <w:tcW w:w="358" w:type="pct"/>
            <w:vMerge/>
            <w:vAlign w:val="center"/>
            <w:hideMark/>
          </w:tcPr>
          <w:p w14:paraId="06B2B98E" w14:textId="77777777" w:rsidR="00154E32" w:rsidRDefault="00154E32">
            <w:pPr>
              <w:jc w:val="center"/>
              <w:rPr>
                <w:rFonts w:ascii="Arial Narrow" w:hAnsi="Arial Narrow"/>
                <w:b/>
                <w:noProof/>
                <w:sz w:val="20"/>
              </w:rPr>
            </w:pPr>
          </w:p>
        </w:tc>
        <w:tc>
          <w:tcPr>
            <w:tcW w:w="572" w:type="pct"/>
            <w:vMerge/>
            <w:vAlign w:val="center"/>
            <w:hideMark/>
          </w:tcPr>
          <w:p w14:paraId="11853EAD" w14:textId="77777777" w:rsidR="00154E32" w:rsidRDefault="00154E32">
            <w:pPr>
              <w:jc w:val="center"/>
              <w:rPr>
                <w:rFonts w:ascii="Arial Narrow" w:hAnsi="Arial Narrow"/>
                <w:b/>
                <w:noProof/>
                <w:sz w:val="20"/>
              </w:rPr>
            </w:pPr>
          </w:p>
        </w:tc>
        <w:tc>
          <w:tcPr>
            <w:tcW w:w="480" w:type="pct"/>
            <w:vMerge/>
            <w:vAlign w:val="center"/>
            <w:hideMark/>
          </w:tcPr>
          <w:p w14:paraId="3FC22E44" w14:textId="77777777" w:rsidR="00154E32" w:rsidRDefault="00154E32">
            <w:pPr>
              <w:jc w:val="center"/>
              <w:rPr>
                <w:rFonts w:ascii="Arial Narrow" w:hAnsi="Arial Narrow"/>
                <w:b/>
                <w:noProof/>
                <w:sz w:val="20"/>
              </w:rPr>
            </w:pPr>
          </w:p>
        </w:tc>
        <w:tc>
          <w:tcPr>
            <w:tcW w:w="422" w:type="pct"/>
            <w:shd w:val="clear" w:color="auto" w:fill="BDD7EE"/>
            <w:vAlign w:val="center"/>
            <w:hideMark/>
          </w:tcPr>
          <w:p w14:paraId="1775C21E" w14:textId="77777777" w:rsidR="00154E32" w:rsidRDefault="00A43E04">
            <w:pPr>
              <w:pStyle w:val="P68B1DB1-Normal9"/>
              <w:jc w:val="center"/>
              <w:rPr>
                <w:noProof/>
              </w:rPr>
            </w:pPr>
            <w:r>
              <w:rPr>
                <w:noProof/>
              </w:rPr>
              <w:t>Merska enota</w:t>
            </w:r>
          </w:p>
        </w:tc>
        <w:tc>
          <w:tcPr>
            <w:tcW w:w="375" w:type="pct"/>
            <w:shd w:val="clear" w:color="auto" w:fill="BDD7EE"/>
            <w:vAlign w:val="center"/>
            <w:hideMark/>
          </w:tcPr>
          <w:p w14:paraId="1BA4C374" w14:textId="77777777" w:rsidR="00154E32" w:rsidRDefault="00A43E04">
            <w:pPr>
              <w:pStyle w:val="P68B1DB1-Normal9"/>
              <w:jc w:val="center"/>
              <w:rPr>
                <w:noProof/>
              </w:rPr>
            </w:pPr>
            <w:r>
              <w:rPr>
                <w:noProof/>
              </w:rPr>
              <w:t>Izhodišče</w:t>
            </w:r>
          </w:p>
        </w:tc>
        <w:tc>
          <w:tcPr>
            <w:tcW w:w="343" w:type="pct"/>
            <w:shd w:val="clear" w:color="auto" w:fill="BDD7EE"/>
            <w:vAlign w:val="center"/>
            <w:hideMark/>
          </w:tcPr>
          <w:p w14:paraId="1AEB08B8" w14:textId="77777777" w:rsidR="00154E32" w:rsidRDefault="00A43E04">
            <w:pPr>
              <w:pStyle w:val="P68B1DB1-Normal9"/>
              <w:jc w:val="center"/>
              <w:rPr>
                <w:noProof/>
              </w:rPr>
            </w:pPr>
            <w:r>
              <w:rPr>
                <w:noProof/>
              </w:rPr>
              <w:t>Cilj</w:t>
            </w:r>
          </w:p>
        </w:tc>
        <w:tc>
          <w:tcPr>
            <w:tcW w:w="286" w:type="pct"/>
            <w:shd w:val="clear" w:color="auto" w:fill="BDD7EE"/>
            <w:vAlign w:val="center"/>
            <w:hideMark/>
          </w:tcPr>
          <w:p w14:paraId="45BA2A93" w14:textId="77777777" w:rsidR="00154E32" w:rsidRDefault="00A43E04">
            <w:pPr>
              <w:pStyle w:val="P68B1DB1-Normal9"/>
              <w:jc w:val="center"/>
              <w:rPr>
                <w:noProof/>
              </w:rPr>
            </w:pPr>
            <w:r>
              <w:rPr>
                <w:noProof/>
              </w:rPr>
              <w:t>Četrtletje</w:t>
            </w:r>
          </w:p>
        </w:tc>
        <w:tc>
          <w:tcPr>
            <w:tcW w:w="238" w:type="pct"/>
            <w:shd w:val="clear" w:color="auto" w:fill="BDD7EE"/>
            <w:vAlign w:val="center"/>
            <w:hideMark/>
          </w:tcPr>
          <w:p w14:paraId="120017EE" w14:textId="77777777" w:rsidR="00154E32" w:rsidRDefault="00A43E04">
            <w:pPr>
              <w:pStyle w:val="P68B1DB1-Normal9"/>
              <w:jc w:val="center"/>
              <w:rPr>
                <w:noProof/>
              </w:rPr>
            </w:pPr>
            <w:r>
              <w:rPr>
                <w:noProof/>
              </w:rPr>
              <w:t>Leto</w:t>
            </w:r>
          </w:p>
        </w:tc>
        <w:tc>
          <w:tcPr>
            <w:tcW w:w="1047" w:type="pct"/>
            <w:vMerge/>
            <w:vAlign w:val="center"/>
            <w:hideMark/>
          </w:tcPr>
          <w:p w14:paraId="28A2C6BA" w14:textId="77777777" w:rsidR="00154E32" w:rsidRDefault="00154E32">
            <w:pPr>
              <w:rPr>
                <w:rFonts w:ascii="Arial Narrow" w:hAnsi="Arial Narrow"/>
                <w:b/>
                <w:noProof/>
                <w:sz w:val="20"/>
              </w:rPr>
            </w:pPr>
          </w:p>
        </w:tc>
      </w:tr>
      <w:tr w:rsidR="00154E32" w14:paraId="2004969A" w14:textId="77777777">
        <w:trPr>
          <w:trHeight w:val="309"/>
        </w:trPr>
        <w:tc>
          <w:tcPr>
            <w:tcW w:w="380" w:type="pct"/>
            <w:shd w:val="clear" w:color="auto" w:fill="C6EFCE"/>
            <w:noWrap/>
            <w:vAlign w:val="center"/>
            <w:hideMark/>
          </w:tcPr>
          <w:p w14:paraId="4DCD0D31" w14:textId="77777777" w:rsidR="00154E32" w:rsidRDefault="00A43E04">
            <w:pPr>
              <w:pStyle w:val="P68B1DB1-Normal11"/>
              <w:jc w:val="center"/>
              <w:rPr>
                <w:noProof/>
              </w:rPr>
            </w:pPr>
            <w:r>
              <w:rPr>
                <w:noProof/>
              </w:rPr>
              <w:t>M4C1–1</w:t>
            </w:r>
          </w:p>
        </w:tc>
        <w:tc>
          <w:tcPr>
            <w:tcW w:w="500" w:type="pct"/>
            <w:shd w:val="clear" w:color="auto" w:fill="C6EFCE"/>
            <w:noWrap/>
            <w:vAlign w:val="center"/>
            <w:hideMark/>
          </w:tcPr>
          <w:p w14:paraId="4E7FFD99" w14:textId="77777777" w:rsidR="00154E32" w:rsidRDefault="00A43E04">
            <w:pPr>
              <w:pStyle w:val="P68B1DB1-Normal11"/>
              <w:jc w:val="center"/>
              <w:rPr>
                <w:noProof/>
              </w:rPr>
            </w:pPr>
            <w:r>
              <w:rPr>
                <w:noProof/>
              </w:rPr>
              <w:t>Reforma 1.5: Reforma skupin univerzitetnih diplom; Reforma 1.6: Omogočanje reforme univerzitetnih diplom; Reforma 4.1: Doktoratska reforma programov</w:t>
            </w:r>
          </w:p>
        </w:tc>
        <w:tc>
          <w:tcPr>
            <w:tcW w:w="358" w:type="pct"/>
            <w:shd w:val="clear" w:color="auto" w:fill="C6EFCE"/>
            <w:noWrap/>
            <w:vAlign w:val="center"/>
            <w:hideMark/>
          </w:tcPr>
          <w:p w14:paraId="1F30A688" w14:textId="77777777" w:rsidR="00154E32" w:rsidRDefault="00A43E04">
            <w:pPr>
              <w:pStyle w:val="P68B1DB1-Normal11"/>
              <w:jc w:val="center"/>
              <w:rPr>
                <w:noProof/>
              </w:rPr>
            </w:pPr>
            <w:r>
              <w:rPr>
                <w:noProof/>
              </w:rPr>
              <w:t>Mejnik</w:t>
            </w:r>
          </w:p>
        </w:tc>
        <w:tc>
          <w:tcPr>
            <w:tcW w:w="572" w:type="pct"/>
            <w:shd w:val="clear" w:color="auto" w:fill="C6EFCE"/>
            <w:noWrap/>
            <w:vAlign w:val="center"/>
            <w:hideMark/>
          </w:tcPr>
          <w:p w14:paraId="287181FB" w14:textId="77777777" w:rsidR="00154E32" w:rsidRDefault="00A43E04">
            <w:pPr>
              <w:pStyle w:val="P68B1DB1-Normal11"/>
              <w:jc w:val="center"/>
              <w:rPr>
                <w:noProof/>
              </w:rPr>
            </w:pPr>
            <w:r>
              <w:rPr>
                <w:noProof/>
              </w:rPr>
              <w:t>Začetek veljavnosti reform sistema terciarnega izobraževanja za izboljšanje rezultatov izobraževanja (primarna zakonodaja) o: a) omogočanje univerzitetnih diplom; b) skupine univerzitetnih diplom; C) reforma doktorskih programov</w:t>
            </w:r>
          </w:p>
        </w:tc>
        <w:tc>
          <w:tcPr>
            <w:tcW w:w="480" w:type="pct"/>
            <w:shd w:val="clear" w:color="auto" w:fill="C6EFCE"/>
            <w:noWrap/>
            <w:vAlign w:val="center"/>
            <w:hideMark/>
          </w:tcPr>
          <w:p w14:paraId="2594341B" w14:textId="77777777" w:rsidR="00154E32" w:rsidRDefault="00A43E04">
            <w:pPr>
              <w:pStyle w:val="P68B1DB1-Normal11"/>
              <w:jc w:val="center"/>
              <w:rPr>
                <w:noProof/>
              </w:rPr>
            </w:pPr>
            <w:r>
              <w:rPr>
                <w:noProof/>
              </w:rPr>
              <w:t>Določba zakona o začetku veljavnosti reform</w:t>
            </w:r>
          </w:p>
        </w:tc>
        <w:tc>
          <w:tcPr>
            <w:tcW w:w="422" w:type="pct"/>
            <w:shd w:val="clear" w:color="auto" w:fill="C6EFCE"/>
            <w:noWrap/>
            <w:vAlign w:val="center"/>
            <w:hideMark/>
          </w:tcPr>
          <w:p w14:paraId="419FB2F2" w14:textId="77777777" w:rsidR="00154E32" w:rsidRDefault="00A43E04">
            <w:pPr>
              <w:pStyle w:val="P68B1DB1-Normal11"/>
              <w:jc w:val="center"/>
              <w:rPr>
                <w:noProof/>
              </w:rPr>
            </w:pPr>
            <w:r>
              <w:rPr>
                <w:noProof/>
              </w:rPr>
              <w:t>JIH NI</w:t>
            </w:r>
          </w:p>
        </w:tc>
        <w:tc>
          <w:tcPr>
            <w:tcW w:w="375" w:type="pct"/>
            <w:shd w:val="clear" w:color="auto" w:fill="C6EFCE"/>
            <w:noWrap/>
            <w:vAlign w:val="center"/>
            <w:hideMark/>
          </w:tcPr>
          <w:p w14:paraId="26A0BE2A" w14:textId="77777777" w:rsidR="00154E32" w:rsidRDefault="00A43E04">
            <w:pPr>
              <w:pStyle w:val="P68B1DB1-Normal11"/>
              <w:jc w:val="center"/>
              <w:rPr>
                <w:noProof/>
              </w:rPr>
            </w:pPr>
            <w:r>
              <w:rPr>
                <w:noProof/>
              </w:rPr>
              <w:t>JIH NI</w:t>
            </w:r>
          </w:p>
        </w:tc>
        <w:tc>
          <w:tcPr>
            <w:tcW w:w="343" w:type="pct"/>
            <w:shd w:val="clear" w:color="auto" w:fill="C6EFCE"/>
            <w:noWrap/>
            <w:vAlign w:val="center"/>
            <w:hideMark/>
          </w:tcPr>
          <w:p w14:paraId="7FAC1956" w14:textId="77777777" w:rsidR="00154E32" w:rsidRDefault="00A43E04">
            <w:pPr>
              <w:pStyle w:val="P68B1DB1-Normal11"/>
              <w:jc w:val="center"/>
              <w:rPr>
                <w:noProof/>
              </w:rPr>
            </w:pPr>
            <w:r>
              <w:rPr>
                <w:noProof/>
              </w:rPr>
              <w:t>JIH NI</w:t>
            </w:r>
          </w:p>
        </w:tc>
        <w:tc>
          <w:tcPr>
            <w:tcW w:w="286" w:type="pct"/>
            <w:shd w:val="clear" w:color="auto" w:fill="C6EFCE"/>
            <w:noWrap/>
            <w:vAlign w:val="center"/>
            <w:hideMark/>
          </w:tcPr>
          <w:p w14:paraId="0854EE68" w14:textId="77777777" w:rsidR="00154E32" w:rsidRDefault="00A43E04">
            <w:pPr>
              <w:pStyle w:val="P68B1DB1-Normal11"/>
              <w:jc w:val="center"/>
              <w:rPr>
                <w:noProof/>
              </w:rPr>
            </w:pPr>
            <w:r>
              <w:rPr>
                <w:noProof/>
              </w:rPr>
              <w:t>Q4</w:t>
            </w:r>
          </w:p>
        </w:tc>
        <w:tc>
          <w:tcPr>
            <w:tcW w:w="238" w:type="pct"/>
            <w:shd w:val="clear" w:color="auto" w:fill="C6EFCE"/>
            <w:noWrap/>
            <w:vAlign w:val="center"/>
            <w:hideMark/>
          </w:tcPr>
          <w:p w14:paraId="3D4AD07E" w14:textId="77777777" w:rsidR="00154E32" w:rsidRDefault="00A43E04">
            <w:pPr>
              <w:pStyle w:val="P68B1DB1-Normal11"/>
              <w:jc w:val="center"/>
              <w:rPr>
                <w:noProof/>
              </w:rPr>
            </w:pPr>
            <w:r>
              <w:rPr>
                <w:noProof/>
              </w:rPr>
              <w:t>2021</w:t>
            </w:r>
          </w:p>
        </w:tc>
        <w:tc>
          <w:tcPr>
            <w:tcW w:w="1047" w:type="pct"/>
            <w:shd w:val="clear" w:color="auto" w:fill="C6EFCE"/>
            <w:noWrap/>
            <w:vAlign w:val="center"/>
            <w:hideMark/>
          </w:tcPr>
          <w:p w14:paraId="7A2D3AE6" w14:textId="77777777" w:rsidR="00154E32" w:rsidRDefault="00154E32">
            <w:pPr>
              <w:rPr>
                <w:rFonts w:ascii="Arial Narrow" w:eastAsia="Calibri" w:hAnsi="Arial Narrow"/>
                <w:noProof/>
                <w:color w:val="006100"/>
                <w:sz w:val="20"/>
              </w:rPr>
            </w:pPr>
          </w:p>
          <w:p w14:paraId="3439948C" w14:textId="395F33F7" w:rsidR="00154E32" w:rsidRDefault="00A43E04">
            <w:pPr>
              <w:pStyle w:val="P68B1DB1-Normal10"/>
              <w:rPr>
                <w:noProof/>
                <w:color w:val="006100"/>
                <w:sz w:val="20"/>
              </w:rPr>
            </w:pPr>
            <w:r>
              <w:rPr>
                <w:noProof/>
                <w:color w:val="006100"/>
                <w:sz w:val="20"/>
              </w:rPr>
              <w:t xml:space="preserve">Reforme vključujejo vsaj naslednje ključne elemente: </w:t>
            </w:r>
            <w:r>
              <w:rPr>
                <w:noProof/>
              </w:rPr>
              <w:t xml:space="preserve"> </w:t>
            </w:r>
            <w:r>
              <w:rPr>
                <w:noProof/>
              </w:rPr>
              <w:br/>
            </w:r>
            <w:r>
              <w:rPr>
                <w:noProof/>
                <w:color w:val="006100"/>
                <w:sz w:val="20"/>
              </w:rPr>
              <w:t xml:space="preserve">I) pobude za reformo univerzitetnih dodiplomskih skupin, ki uvajajo višjo stopnjo prožnosti za zadovoljitev razvijajočega se povpraševanja po znanjih in spretnostih na trgu dela; </w:t>
            </w:r>
            <w:r>
              <w:rPr>
                <w:noProof/>
              </w:rPr>
              <w:t xml:space="preserve"> </w:t>
            </w:r>
            <w:r>
              <w:rPr>
                <w:noProof/>
              </w:rPr>
              <w:br/>
            </w:r>
            <w:r>
              <w:rPr>
                <w:noProof/>
                <w:color w:val="006100"/>
                <w:sz w:val="20"/>
              </w:rPr>
              <w:t>II) pobude za reformo omogočitvenih univerzitetnih diplom za poenostavitev in pospešitev dostopa do poklicev;</w:t>
            </w:r>
            <w:r>
              <w:rPr>
                <w:noProof/>
              </w:rPr>
              <w:t xml:space="preserve"> </w:t>
            </w:r>
            <w:r>
              <w:rPr>
                <w:noProof/>
              </w:rPr>
              <w:br/>
            </w:r>
            <w:r>
              <w:rPr>
                <w:noProof/>
                <w:color w:val="006100"/>
                <w:sz w:val="20"/>
              </w:rPr>
              <w:t>III) pobude za reformo programov za invalide, da bi bolje vključili podjetja in spodbudili uporabne raziskave;</w:t>
            </w:r>
            <w:r>
              <w:rPr>
                <w:noProof/>
              </w:rPr>
              <w:t xml:space="preserve"> </w:t>
            </w:r>
            <w:r>
              <w:rPr>
                <w:noProof/>
              </w:rPr>
              <w:br/>
            </w:r>
            <w:r>
              <w:rPr>
                <w:noProof/>
                <w:color w:val="006100"/>
                <w:sz w:val="20"/>
              </w:rPr>
              <w:t>Ukrepi za reformo sistema terciarnega poklicnega usposabljanja, vključno s krepitvijo povezav in možnih prehodov s poklicnimi diplomami (lauree professionalizzanti), da bi zadostili povpraševanju na trgu dela po tehničnih kompetencah</w:t>
            </w:r>
          </w:p>
        </w:tc>
      </w:tr>
      <w:tr w:rsidR="00154E32" w14:paraId="5B99B569" w14:textId="77777777">
        <w:trPr>
          <w:trHeight w:val="309"/>
        </w:trPr>
        <w:tc>
          <w:tcPr>
            <w:tcW w:w="380" w:type="pct"/>
            <w:shd w:val="clear" w:color="auto" w:fill="C6EFCE"/>
            <w:noWrap/>
            <w:vAlign w:val="center"/>
          </w:tcPr>
          <w:p w14:paraId="6B126051" w14:textId="77777777" w:rsidR="00154E32" w:rsidRDefault="00A43E04">
            <w:pPr>
              <w:pStyle w:val="P68B1DB1-Normal11"/>
              <w:jc w:val="center"/>
              <w:rPr>
                <w:noProof/>
              </w:rPr>
            </w:pPr>
            <w:r>
              <w:rPr>
                <w:noProof/>
              </w:rPr>
              <w:t>M4C1–2</w:t>
            </w:r>
          </w:p>
        </w:tc>
        <w:tc>
          <w:tcPr>
            <w:tcW w:w="500" w:type="pct"/>
            <w:shd w:val="clear" w:color="auto" w:fill="C6EFCE"/>
            <w:noWrap/>
            <w:vAlign w:val="center"/>
          </w:tcPr>
          <w:p w14:paraId="3B06037B" w14:textId="77777777" w:rsidR="00154E32" w:rsidRDefault="00A43E04">
            <w:pPr>
              <w:pStyle w:val="P68B1DB1-Normal11"/>
              <w:jc w:val="center"/>
              <w:rPr>
                <w:noProof/>
              </w:rPr>
            </w:pPr>
            <w:r>
              <w:rPr>
                <w:noProof/>
              </w:rPr>
              <w:t>Naložba 1.7: Štipendije za dostop do univerz</w:t>
            </w:r>
          </w:p>
        </w:tc>
        <w:tc>
          <w:tcPr>
            <w:tcW w:w="358" w:type="pct"/>
            <w:shd w:val="clear" w:color="auto" w:fill="C6EFCE"/>
            <w:noWrap/>
            <w:vAlign w:val="center"/>
          </w:tcPr>
          <w:p w14:paraId="70C0497E" w14:textId="77777777" w:rsidR="00154E32" w:rsidRDefault="00A43E04">
            <w:pPr>
              <w:pStyle w:val="P68B1DB1-Normal11"/>
              <w:jc w:val="center"/>
              <w:rPr>
                <w:noProof/>
              </w:rPr>
            </w:pPr>
            <w:r>
              <w:rPr>
                <w:noProof/>
              </w:rPr>
              <w:t>Mejnik</w:t>
            </w:r>
          </w:p>
        </w:tc>
        <w:tc>
          <w:tcPr>
            <w:tcW w:w="572" w:type="pct"/>
            <w:shd w:val="clear" w:color="auto" w:fill="C6EFCE"/>
            <w:noWrap/>
            <w:vAlign w:val="center"/>
          </w:tcPr>
          <w:p w14:paraId="1BD04F60" w14:textId="77777777" w:rsidR="00154E32" w:rsidRDefault="00A43E04">
            <w:pPr>
              <w:pStyle w:val="P68B1DB1-Normal11"/>
              <w:jc w:val="center"/>
              <w:rPr>
                <w:noProof/>
              </w:rPr>
            </w:pPr>
            <w:r>
              <w:rPr>
                <w:noProof/>
              </w:rPr>
              <w:t>Začetek veljavnosti ministrskih odlokov za reformo štipendij za izboljšanje dostopa do terciarnega izobraževanja</w:t>
            </w:r>
          </w:p>
        </w:tc>
        <w:tc>
          <w:tcPr>
            <w:tcW w:w="480" w:type="pct"/>
            <w:shd w:val="clear" w:color="auto" w:fill="C6EFCE"/>
            <w:noWrap/>
            <w:vAlign w:val="center"/>
          </w:tcPr>
          <w:p w14:paraId="2181DF3B" w14:textId="77777777" w:rsidR="00154E32" w:rsidRDefault="00A43E04">
            <w:pPr>
              <w:pStyle w:val="P68B1DB1-Normal11"/>
              <w:jc w:val="center"/>
              <w:rPr>
                <w:noProof/>
              </w:rPr>
            </w:pPr>
            <w:r>
              <w:rPr>
                <w:noProof/>
              </w:rPr>
              <w:t>Določba zakona o začetku veljavnosti reforme</w:t>
            </w:r>
          </w:p>
        </w:tc>
        <w:tc>
          <w:tcPr>
            <w:tcW w:w="422" w:type="pct"/>
            <w:shd w:val="clear" w:color="auto" w:fill="C6EFCE"/>
            <w:noWrap/>
            <w:vAlign w:val="center"/>
          </w:tcPr>
          <w:p w14:paraId="0E5DAD9B" w14:textId="77777777" w:rsidR="00154E32" w:rsidRDefault="00A43E04">
            <w:pPr>
              <w:pStyle w:val="P68B1DB1-Normal11"/>
              <w:jc w:val="center"/>
              <w:rPr>
                <w:noProof/>
              </w:rPr>
            </w:pPr>
            <w:r>
              <w:rPr>
                <w:noProof/>
              </w:rPr>
              <w:t>JIH NI</w:t>
            </w:r>
          </w:p>
        </w:tc>
        <w:tc>
          <w:tcPr>
            <w:tcW w:w="375" w:type="pct"/>
            <w:shd w:val="clear" w:color="auto" w:fill="C6EFCE"/>
            <w:noWrap/>
            <w:vAlign w:val="center"/>
          </w:tcPr>
          <w:p w14:paraId="3AD9DE9D" w14:textId="77777777" w:rsidR="00154E32" w:rsidRDefault="00A43E04">
            <w:pPr>
              <w:pStyle w:val="P68B1DB1-Normal11"/>
              <w:jc w:val="center"/>
              <w:rPr>
                <w:noProof/>
              </w:rPr>
            </w:pPr>
            <w:r>
              <w:rPr>
                <w:noProof/>
              </w:rPr>
              <w:t>JIH NI</w:t>
            </w:r>
          </w:p>
        </w:tc>
        <w:tc>
          <w:tcPr>
            <w:tcW w:w="343" w:type="pct"/>
            <w:shd w:val="clear" w:color="auto" w:fill="C6EFCE"/>
            <w:noWrap/>
            <w:vAlign w:val="center"/>
          </w:tcPr>
          <w:p w14:paraId="533DF591" w14:textId="77777777" w:rsidR="00154E32" w:rsidRDefault="00A43E04">
            <w:pPr>
              <w:pStyle w:val="P68B1DB1-Normal11"/>
              <w:jc w:val="center"/>
              <w:rPr>
                <w:noProof/>
              </w:rPr>
            </w:pPr>
            <w:r>
              <w:rPr>
                <w:noProof/>
              </w:rPr>
              <w:t>JIH NI</w:t>
            </w:r>
          </w:p>
        </w:tc>
        <w:tc>
          <w:tcPr>
            <w:tcW w:w="286" w:type="pct"/>
            <w:shd w:val="clear" w:color="auto" w:fill="C6EFCE"/>
            <w:noWrap/>
            <w:vAlign w:val="center"/>
          </w:tcPr>
          <w:p w14:paraId="0B028EED" w14:textId="77777777" w:rsidR="00154E32" w:rsidRDefault="00A43E04">
            <w:pPr>
              <w:pStyle w:val="P68B1DB1-Normal11"/>
              <w:jc w:val="center"/>
              <w:rPr>
                <w:noProof/>
              </w:rPr>
            </w:pPr>
            <w:r>
              <w:rPr>
                <w:noProof/>
              </w:rPr>
              <w:t>Q4</w:t>
            </w:r>
          </w:p>
        </w:tc>
        <w:tc>
          <w:tcPr>
            <w:tcW w:w="238" w:type="pct"/>
            <w:shd w:val="clear" w:color="auto" w:fill="C6EFCE"/>
            <w:noWrap/>
            <w:vAlign w:val="center"/>
          </w:tcPr>
          <w:p w14:paraId="7C31C601" w14:textId="77777777" w:rsidR="00154E32" w:rsidRDefault="00A43E04">
            <w:pPr>
              <w:pStyle w:val="P68B1DB1-Normal11"/>
              <w:jc w:val="center"/>
              <w:rPr>
                <w:noProof/>
              </w:rPr>
            </w:pPr>
            <w:r>
              <w:rPr>
                <w:noProof/>
              </w:rPr>
              <w:t>2021</w:t>
            </w:r>
          </w:p>
        </w:tc>
        <w:tc>
          <w:tcPr>
            <w:tcW w:w="1047" w:type="pct"/>
            <w:shd w:val="clear" w:color="auto" w:fill="C6EFCE"/>
            <w:noWrap/>
            <w:vAlign w:val="center"/>
          </w:tcPr>
          <w:p w14:paraId="1C85FF23" w14:textId="77777777" w:rsidR="00154E32" w:rsidRDefault="00A43E04">
            <w:pPr>
              <w:pStyle w:val="P68B1DB1-Normal11"/>
              <w:rPr>
                <w:noProof/>
              </w:rPr>
            </w:pPr>
            <w:r>
              <w:rPr>
                <w:noProof/>
              </w:rPr>
              <w:t>Ministrski odloki o reformi štipendij, ki jih je sprejelo ministrstvo za univerze in raziskave, bodo izboljšali dostop do terciarnega izobraževanja za nadarjene študente v socialno-ekonomskih težavah ter povečali znesek štipendij in število upravičencev do 31. decembra 2024. Ti študenti so opredeljeni na podlagi ISEE – Indicatore della Situazione Economica Equivalente.</w:t>
            </w:r>
          </w:p>
        </w:tc>
      </w:tr>
      <w:tr w:rsidR="00154E32" w14:paraId="3B5F2153" w14:textId="77777777">
        <w:trPr>
          <w:trHeight w:val="309"/>
        </w:trPr>
        <w:tc>
          <w:tcPr>
            <w:tcW w:w="380" w:type="pct"/>
            <w:shd w:val="clear" w:color="auto" w:fill="C6EFCE"/>
            <w:noWrap/>
            <w:vAlign w:val="center"/>
            <w:hideMark/>
          </w:tcPr>
          <w:p w14:paraId="32D152DD" w14:textId="77777777" w:rsidR="00154E32" w:rsidRDefault="00A43E04">
            <w:pPr>
              <w:pStyle w:val="P68B1DB1-Normal11"/>
              <w:jc w:val="center"/>
              <w:rPr>
                <w:noProof/>
              </w:rPr>
            </w:pPr>
            <w:r>
              <w:rPr>
                <w:noProof/>
              </w:rPr>
              <w:t>M4C1–3</w:t>
            </w:r>
          </w:p>
        </w:tc>
        <w:tc>
          <w:tcPr>
            <w:tcW w:w="500" w:type="pct"/>
            <w:shd w:val="clear" w:color="auto" w:fill="C6EFCE"/>
            <w:noWrap/>
            <w:vAlign w:val="center"/>
            <w:hideMark/>
          </w:tcPr>
          <w:p w14:paraId="2364BA55" w14:textId="77777777" w:rsidR="00154E32" w:rsidRDefault="00A43E04">
            <w:pPr>
              <w:pStyle w:val="P68B1DB1-Normal11"/>
              <w:jc w:val="center"/>
              <w:rPr>
                <w:noProof/>
              </w:rPr>
            </w:pPr>
            <w:r>
              <w:rPr>
                <w:noProof/>
              </w:rPr>
              <w:t>Reforma 2.1: Zaposlovanje učiteljev</w:t>
            </w:r>
          </w:p>
        </w:tc>
        <w:tc>
          <w:tcPr>
            <w:tcW w:w="358" w:type="pct"/>
            <w:shd w:val="clear" w:color="auto" w:fill="C6EFCE"/>
            <w:noWrap/>
            <w:vAlign w:val="center"/>
            <w:hideMark/>
          </w:tcPr>
          <w:p w14:paraId="6A4D24BF" w14:textId="77777777" w:rsidR="00154E32" w:rsidRDefault="00A43E04">
            <w:pPr>
              <w:pStyle w:val="P68B1DB1-Normal11"/>
              <w:jc w:val="center"/>
              <w:rPr>
                <w:noProof/>
              </w:rPr>
            </w:pPr>
            <w:r>
              <w:rPr>
                <w:noProof/>
              </w:rPr>
              <w:t>Mejnik</w:t>
            </w:r>
          </w:p>
        </w:tc>
        <w:tc>
          <w:tcPr>
            <w:tcW w:w="572" w:type="pct"/>
            <w:shd w:val="clear" w:color="auto" w:fill="C6EFCE"/>
            <w:noWrap/>
            <w:vAlign w:val="center"/>
            <w:hideMark/>
          </w:tcPr>
          <w:p w14:paraId="2C87935F" w14:textId="77777777" w:rsidR="00154E32" w:rsidRDefault="00A43E04">
            <w:pPr>
              <w:pStyle w:val="P68B1DB1-Normal11"/>
              <w:jc w:val="center"/>
              <w:rPr>
                <w:noProof/>
              </w:rPr>
            </w:pPr>
            <w:r>
              <w:rPr>
                <w:noProof/>
              </w:rPr>
              <w:t>Začetek veljavnosti reforme učiteljskega poklica.</w:t>
            </w:r>
          </w:p>
        </w:tc>
        <w:tc>
          <w:tcPr>
            <w:tcW w:w="480" w:type="pct"/>
            <w:shd w:val="clear" w:color="auto" w:fill="C6EFCE"/>
            <w:noWrap/>
            <w:vAlign w:val="center"/>
            <w:hideMark/>
          </w:tcPr>
          <w:p w14:paraId="682D7123" w14:textId="77777777" w:rsidR="00154E32" w:rsidRDefault="00A43E04">
            <w:pPr>
              <w:pStyle w:val="P68B1DB1-Normal11"/>
              <w:jc w:val="center"/>
              <w:rPr>
                <w:noProof/>
              </w:rPr>
            </w:pPr>
            <w:r>
              <w:rPr>
                <w:noProof/>
              </w:rPr>
              <w:t>Določba zakona o začetku veljavnosti reforme</w:t>
            </w:r>
          </w:p>
        </w:tc>
        <w:tc>
          <w:tcPr>
            <w:tcW w:w="422" w:type="pct"/>
            <w:shd w:val="clear" w:color="auto" w:fill="C6EFCE"/>
            <w:noWrap/>
            <w:vAlign w:val="center"/>
            <w:hideMark/>
          </w:tcPr>
          <w:p w14:paraId="325A2C73" w14:textId="77777777" w:rsidR="00154E32" w:rsidRDefault="00A43E04">
            <w:pPr>
              <w:pStyle w:val="P68B1DB1-Normal11"/>
              <w:jc w:val="center"/>
              <w:rPr>
                <w:noProof/>
              </w:rPr>
            </w:pPr>
            <w:r>
              <w:rPr>
                <w:noProof/>
              </w:rPr>
              <w:t>JIH NI</w:t>
            </w:r>
          </w:p>
        </w:tc>
        <w:tc>
          <w:tcPr>
            <w:tcW w:w="375" w:type="pct"/>
            <w:shd w:val="clear" w:color="auto" w:fill="C6EFCE"/>
            <w:noWrap/>
            <w:vAlign w:val="center"/>
            <w:hideMark/>
          </w:tcPr>
          <w:p w14:paraId="4867FE5C" w14:textId="77777777" w:rsidR="00154E32" w:rsidRDefault="00A43E04">
            <w:pPr>
              <w:pStyle w:val="P68B1DB1-Normal11"/>
              <w:jc w:val="center"/>
              <w:rPr>
                <w:noProof/>
              </w:rPr>
            </w:pPr>
            <w:r>
              <w:rPr>
                <w:noProof/>
              </w:rPr>
              <w:t>JIH NI</w:t>
            </w:r>
          </w:p>
        </w:tc>
        <w:tc>
          <w:tcPr>
            <w:tcW w:w="343" w:type="pct"/>
            <w:shd w:val="clear" w:color="auto" w:fill="C6EFCE"/>
            <w:noWrap/>
            <w:vAlign w:val="center"/>
            <w:hideMark/>
          </w:tcPr>
          <w:p w14:paraId="5895ED4E" w14:textId="77777777" w:rsidR="00154E32" w:rsidRDefault="00A43E04">
            <w:pPr>
              <w:pStyle w:val="P68B1DB1-Normal11"/>
              <w:jc w:val="center"/>
              <w:rPr>
                <w:noProof/>
              </w:rPr>
            </w:pPr>
            <w:r>
              <w:rPr>
                <w:noProof/>
              </w:rPr>
              <w:t>JIH NI</w:t>
            </w:r>
          </w:p>
        </w:tc>
        <w:tc>
          <w:tcPr>
            <w:tcW w:w="286" w:type="pct"/>
            <w:shd w:val="clear" w:color="auto" w:fill="C6EFCE"/>
            <w:noWrap/>
            <w:vAlign w:val="center"/>
            <w:hideMark/>
          </w:tcPr>
          <w:p w14:paraId="0ABDBA08" w14:textId="77777777" w:rsidR="00154E32" w:rsidRDefault="00A43E04">
            <w:pPr>
              <w:pStyle w:val="P68B1DB1-Normal11"/>
              <w:jc w:val="center"/>
              <w:rPr>
                <w:noProof/>
              </w:rPr>
            </w:pPr>
            <w:r>
              <w:rPr>
                <w:noProof/>
              </w:rPr>
              <w:t>Q2</w:t>
            </w:r>
          </w:p>
        </w:tc>
        <w:tc>
          <w:tcPr>
            <w:tcW w:w="238" w:type="pct"/>
            <w:shd w:val="clear" w:color="auto" w:fill="C6EFCE"/>
            <w:noWrap/>
            <w:vAlign w:val="center"/>
            <w:hideMark/>
          </w:tcPr>
          <w:p w14:paraId="2B967F94" w14:textId="77777777" w:rsidR="00154E32" w:rsidRDefault="00A43E04">
            <w:pPr>
              <w:pStyle w:val="P68B1DB1-Normal11"/>
              <w:jc w:val="center"/>
              <w:rPr>
                <w:noProof/>
              </w:rPr>
            </w:pPr>
            <w:r>
              <w:rPr>
                <w:noProof/>
              </w:rPr>
              <w:t>2022</w:t>
            </w:r>
          </w:p>
        </w:tc>
        <w:tc>
          <w:tcPr>
            <w:tcW w:w="1047" w:type="pct"/>
            <w:shd w:val="clear" w:color="auto" w:fill="C6EFCE"/>
            <w:noWrap/>
            <w:vAlign w:val="center"/>
            <w:hideMark/>
          </w:tcPr>
          <w:p w14:paraId="47A90CDC" w14:textId="77777777" w:rsidR="00154E32" w:rsidRDefault="00A43E04">
            <w:pPr>
              <w:pStyle w:val="P68B1DB1-Normal10"/>
              <w:rPr>
                <w:noProof/>
                <w:color w:val="006100"/>
                <w:sz w:val="20"/>
              </w:rPr>
            </w:pPr>
            <w:r>
              <w:rPr>
                <w:noProof/>
                <w:color w:val="006100"/>
                <w:sz w:val="20"/>
              </w:rPr>
              <w:t xml:space="preserve">Revidirani pravni okvir privablja, zaposluje in motivira kakovostne učitelje, zlasti z: </w:t>
            </w:r>
            <w:r>
              <w:rPr>
                <w:noProof/>
              </w:rPr>
              <w:t xml:space="preserve"> </w:t>
            </w:r>
            <w:r>
              <w:rPr>
                <w:noProof/>
              </w:rPr>
              <w:br/>
            </w:r>
            <w:r>
              <w:rPr>
                <w:noProof/>
                <w:color w:val="006100"/>
                <w:sz w:val="20"/>
              </w:rPr>
              <w:t xml:space="preserve">I) izboljšanje sistema zaposlovanja </w:t>
            </w:r>
            <w:r>
              <w:rPr>
                <w:noProof/>
              </w:rPr>
              <w:t xml:space="preserve"> </w:t>
            </w:r>
            <w:r>
              <w:rPr>
                <w:noProof/>
              </w:rPr>
              <w:br/>
              <w:t xml:space="preserve"> </w:t>
            </w:r>
            <w:r>
              <w:rPr>
                <w:noProof/>
                <w:color w:val="006100"/>
                <w:sz w:val="20"/>
              </w:rPr>
              <w:t xml:space="preserve">uvedbo višjih kvalifikacij iz poučevanja za dostop do poklica v srednji šoli; </w:t>
            </w:r>
            <w:r>
              <w:rPr>
                <w:noProof/>
              </w:rPr>
              <w:t xml:space="preserve"> </w:t>
            </w:r>
            <w:r>
              <w:rPr>
                <w:noProof/>
              </w:rPr>
              <w:br/>
            </w:r>
            <w:r>
              <w:rPr>
                <w:noProof/>
                <w:color w:val="006100"/>
                <w:sz w:val="20"/>
              </w:rPr>
              <w:t>III) omejevanje prekomerne mobilnosti učiteljev (v interesu kontinuitete poučevanja);</w:t>
            </w:r>
            <w:r>
              <w:rPr>
                <w:noProof/>
              </w:rPr>
              <w:t xml:space="preserve"> </w:t>
            </w:r>
            <w:r>
              <w:rPr>
                <w:noProof/>
              </w:rPr>
              <w:br/>
            </w:r>
            <w:r>
              <w:rPr>
                <w:noProof/>
                <w:color w:val="006100"/>
                <w:sz w:val="20"/>
              </w:rPr>
              <w:t>IV) določitev poklicnega napredovanja, ki je jasno povezano z ocenjevanjem uspešnosti in stalnim strokovnim razvojem.</w:t>
            </w:r>
          </w:p>
        </w:tc>
      </w:tr>
      <w:tr w:rsidR="00154E32" w14:paraId="22D254AE" w14:textId="77777777">
        <w:trPr>
          <w:trHeight w:val="309"/>
        </w:trPr>
        <w:tc>
          <w:tcPr>
            <w:tcW w:w="380" w:type="pct"/>
            <w:shd w:val="clear" w:color="auto" w:fill="C6EFCE"/>
            <w:noWrap/>
            <w:vAlign w:val="center"/>
            <w:hideMark/>
          </w:tcPr>
          <w:p w14:paraId="4B8E38FB" w14:textId="77777777" w:rsidR="00154E32" w:rsidRDefault="00A43E04">
            <w:pPr>
              <w:pStyle w:val="P68B1DB1-Normal11"/>
              <w:jc w:val="center"/>
              <w:rPr>
                <w:noProof/>
              </w:rPr>
            </w:pPr>
            <w:r>
              <w:rPr>
                <w:noProof/>
              </w:rPr>
              <w:t>M4C1–4</w:t>
            </w:r>
          </w:p>
        </w:tc>
        <w:tc>
          <w:tcPr>
            <w:tcW w:w="500" w:type="pct"/>
            <w:shd w:val="clear" w:color="auto" w:fill="C6EFCE"/>
            <w:noWrap/>
            <w:vAlign w:val="center"/>
            <w:hideMark/>
          </w:tcPr>
          <w:p w14:paraId="2A2CC822" w14:textId="77777777" w:rsidR="00154E32" w:rsidRDefault="00A43E04">
            <w:pPr>
              <w:pStyle w:val="P68B1DB1-Normal11"/>
              <w:jc w:val="center"/>
              <w:rPr>
                <w:noProof/>
              </w:rPr>
            </w:pPr>
            <w:r>
              <w:rPr>
                <w:noProof/>
              </w:rPr>
              <w:t>Naložba 3.2: Šola 4.0: inovativne šole, ožičenje, nove učilnice in delavnice</w:t>
            </w:r>
          </w:p>
        </w:tc>
        <w:tc>
          <w:tcPr>
            <w:tcW w:w="358" w:type="pct"/>
            <w:shd w:val="clear" w:color="auto" w:fill="C6EFCE"/>
            <w:noWrap/>
            <w:vAlign w:val="center"/>
            <w:hideMark/>
          </w:tcPr>
          <w:p w14:paraId="130676C1" w14:textId="20F16329" w:rsidR="00154E32" w:rsidRDefault="00A43E04">
            <w:pPr>
              <w:pStyle w:val="P68B1DB1-Normal11"/>
              <w:jc w:val="center"/>
              <w:rPr>
                <w:noProof/>
              </w:rPr>
            </w:pPr>
            <w:r>
              <w:rPr>
                <w:noProof/>
              </w:rPr>
              <w:t>Mejnik</w:t>
            </w:r>
          </w:p>
        </w:tc>
        <w:tc>
          <w:tcPr>
            <w:tcW w:w="572" w:type="pct"/>
            <w:shd w:val="clear" w:color="auto" w:fill="C6EFCE"/>
            <w:noWrap/>
            <w:vAlign w:val="center"/>
            <w:hideMark/>
          </w:tcPr>
          <w:p w14:paraId="7A0678A4" w14:textId="77777777" w:rsidR="00154E32" w:rsidRDefault="00A43E04">
            <w:pPr>
              <w:pStyle w:val="P68B1DB1-Normal11"/>
              <w:jc w:val="center"/>
              <w:rPr>
                <w:noProof/>
              </w:rPr>
            </w:pPr>
            <w:r>
              <w:rPr>
                <w:noProof/>
              </w:rPr>
              <w:t>Sprejet je načrt šole 4.0 za spodbujanje digitalnega prehoda italijanskega šolskega sistema</w:t>
            </w:r>
          </w:p>
        </w:tc>
        <w:tc>
          <w:tcPr>
            <w:tcW w:w="480" w:type="pct"/>
            <w:shd w:val="clear" w:color="auto" w:fill="C6EFCE"/>
            <w:noWrap/>
            <w:vAlign w:val="center"/>
            <w:hideMark/>
          </w:tcPr>
          <w:p w14:paraId="654F2410" w14:textId="77777777" w:rsidR="00154E32" w:rsidRDefault="00A43E04">
            <w:pPr>
              <w:pStyle w:val="P68B1DB1-Normal11"/>
              <w:jc w:val="center"/>
              <w:rPr>
                <w:noProof/>
              </w:rPr>
            </w:pPr>
            <w:r>
              <w:rPr>
                <w:noProof/>
              </w:rPr>
              <w:t>Ministrstvo za šolstvo – Uredba o sprejetju načrta šole 4.0</w:t>
            </w:r>
          </w:p>
        </w:tc>
        <w:tc>
          <w:tcPr>
            <w:tcW w:w="422" w:type="pct"/>
            <w:shd w:val="clear" w:color="auto" w:fill="C6EFCE"/>
            <w:noWrap/>
            <w:vAlign w:val="center"/>
            <w:hideMark/>
          </w:tcPr>
          <w:p w14:paraId="282756A7" w14:textId="77777777" w:rsidR="00154E32" w:rsidRDefault="00A43E04">
            <w:pPr>
              <w:pStyle w:val="P68B1DB1-Normal11"/>
              <w:jc w:val="center"/>
              <w:rPr>
                <w:noProof/>
              </w:rPr>
            </w:pPr>
            <w:r>
              <w:rPr>
                <w:noProof/>
              </w:rPr>
              <w:t>JIH NI</w:t>
            </w:r>
          </w:p>
        </w:tc>
        <w:tc>
          <w:tcPr>
            <w:tcW w:w="375" w:type="pct"/>
            <w:shd w:val="clear" w:color="auto" w:fill="C6EFCE"/>
            <w:noWrap/>
            <w:vAlign w:val="center"/>
            <w:hideMark/>
          </w:tcPr>
          <w:p w14:paraId="0833FA2C" w14:textId="77777777" w:rsidR="00154E32" w:rsidRDefault="00A43E04">
            <w:pPr>
              <w:pStyle w:val="P68B1DB1-Normal11"/>
              <w:jc w:val="center"/>
              <w:rPr>
                <w:noProof/>
              </w:rPr>
            </w:pPr>
            <w:r>
              <w:rPr>
                <w:noProof/>
              </w:rPr>
              <w:t>JIH NI</w:t>
            </w:r>
          </w:p>
        </w:tc>
        <w:tc>
          <w:tcPr>
            <w:tcW w:w="343" w:type="pct"/>
            <w:shd w:val="clear" w:color="auto" w:fill="C6EFCE"/>
            <w:noWrap/>
            <w:vAlign w:val="center"/>
            <w:hideMark/>
          </w:tcPr>
          <w:p w14:paraId="4D11119F" w14:textId="77777777" w:rsidR="00154E32" w:rsidRDefault="00A43E04">
            <w:pPr>
              <w:pStyle w:val="P68B1DB1-Normal11"/>
              <w:jc w:val="center"/>
              <w:rPr>
                <w:noProof/>
              </w:rPr>
            </w:pPr>
            <w:r>
              <w:rPr>
                <w:noProof/>
              </w:rPr>
              <w:t>JIH NI</w:t>
            </w:r>
          </w:p>
        </w:tc>
        <w:tc>
          <w:tcPr>
            <w:tcW w:w="286" w:type="pct"/>
            <w:shd w:val="clear" w:color="auto" w:fill="C6EFCE"/>
            <w:noWrap/>
            <w:vAlign w:val="center"/>
            <w:hideMark/>
          </w:tcPr>
          <w:p w14:paraId="22DDDDFA" w14:textId="77777777" w:rsidR="00154E32" w:rsidRDefault="00A43E04">
            <w:pPr>
              <w:pStyle w:val="P68B1DB1-Normal11"/>
              <w:jc w:val="center"/>
              <w:rPr>
                <w:noProof/>
              </w:rPr>
            </w:pPr>
            <w:r>
              <w:rPr>
                <w:noProof/>
              </w:rPr>
              <w:t>Q2</w:t>
            </w:r>
          </w:p>
        </w:tc>
        <w:tc>
          <w:tcPr>
            <w:tcW w:w="238" w:type="pct"/>
            <w:shd w:val="clear" w:color="auto" w:fill="C6EFCE"/>
            <w:noWrap/>
            <w:vAlign w:val="center"/>
            <w:hideMark/>
          </w:tcPr>
          <w:p w14:paraId="349971CC" w14:textId="77777777" w:rsidR="00154E32" w:rsidRDefault="00A43E04">
            <w:pPr>
              <w:pStyle w:val="P68B1DB1-Normal11"/>
              <w:jc w:val="center"/>
              <w:rPr>
                <w:noProof/>
              </w:rPr>
            </w:pPr>
            <w:r>
              <w:rPr>
                <w:noProof/>
              </w:rPr>
              <w:t>2022</w:t>
            </w:r>
          </w:p>
        </w:tc>
        <w:tc>
          <w:tcPr>
            <w:tcW w:w="1047" w:type="pct"/>
            <w:shd w:val="clear" w:color="auto" w:fill="C6EFCE"/>
            <w:noWrap/>
            <w:vAlign w:val="center"/>
            <w:hideMark/>
          </w:tcPr>
          <w:p w14:paraId="7DAF7EDD" w14:textId="77777777" w:rsidR="00154E32" w:rsidRDefault="00154E32">
            <w:pPr>
              <w:rPr>
                <w:rFonts w:ascii="Arial Narrow" w:hAnsi="Arial Narrow"/>
                <w:noProof/>
                <w:color w:val="006100"/>
                <w:sz w:val="20"/>
              </w:rPr>
            </w:pPr>
          </w:p>
          <w:p w14:paraId="50A2E9BB" w14:textId="616BE372" w:rsidR="00154E32" w:rsidRDefault="00A43E04">
            <w:pPr>
              <w:pStyle w:val="P68B1DB1-Normal11"/>
              <w:rPr>
                <w:noProof/>
              </w:rPr>
            </w:pPr>
            <w:r>
              <w:rPr>
                <w:noProof/>
              </w:rPr>
              <w:t>Načrt „School 4.0“, ki ga je sprejelo ministrstvo za izobraževanje za spodbujanje digitalnega prehoda italijanskega šolskega sistema, vključuje:</w:t>
            </w:r>
          </w:p>
          <w:p w14:paraId="14ED981B" w14:textId="40C53121" w:rsidR="00154E32" w:rsidRDefault="00A43E04">
            <w:pPr>
              <w:pStyle w:val="P68B1DB1-Normal11"/>
              <w:rPr>
                <w:noProof/>
              </w:rPr>
            </w:pPr>
            <w:r>
              <w:rPr>
                <w:noProof/>
              </w:rPr>
              <w:t>a) preoblikovanje 100000 učilnic v inovativna učna okolja</w:t>
            </w:r>
          </w:p>
          <w:p w14:paraId="79F1103B" w14:textId="77777777" w:rsidR="00154E32" w:rsidRDefault="00A43E04">
            <w:pPr>
              <w:pStyle w:val="P68B1DB1-Normal11"/>
              <w:rPr>
                <w:noProof/>
              </w:rPr>
            </w:pPr>
            <w:r>
              <w:rPr>
                <w:noProof/>
              </w:rPr>
              <w:t>b) ustanovitev laboratorijev za nove digitalne poklice v vseh srednjih šolah.</w:t>
            </w:r>
          </w:p>
          <w:p w14:paraId="3008B221" w14:textId="67CBD440" w:rsidR="00154E32" w:rsidRDefault="00154E32">
            <w:pPr>
              <w:rPr>
                <w:rFonts w:ascii="Arial Narrow" w:hAnsi="Arial Narrow"/>
                <w:noProof/>
                <w:color w:val="006100"/>
                <w:sz w:val="20"/>
              </w:rPr>
            </w:pPr>
          </w:p>
          <w:p w14:paraId="58A657DB" w14:textId="150D7FF2" w:rsidR="00154E32" w:rsidRDefault="00A43E04">
            <w:pPr>
              <w:pStyle w:val="P68B1DB1-Normal11"/>
              <w:rPr>
                <w:noProof/>
              </w:rPr>
            </w:pPr>
            <w:r>
              <w:rPr>
                <w:noProof/>
              </w:rPr>
              <w:t>Ukrep a) preoblikuje šolske prostore, namenjene tradicionalnim razredom, v inovativna, prilagodljiva in prilagodljiva učna okolja, povezana, povezana z digitalnimi, fizičnimi in virtualnimi tehnologijami. Naložbe v šolske objekte najinovativnejše učne tehnologije (kodirne in robotske naprave, naprave za virtualno resničnost, napredne digitalne naprave za vključujoče izobraževanje itd.) prinesejo vsaj 100000 učilnicam osnovnih in srednjih šol, ki se uporabljajo za učne ure).</w:t>
            </w:r>
          </w:p>
          <w:p w14:paraId="00854B6C" w14:textId="77777777" w:rsidR="00154E32" w:rsidRDefault="00A43E04">
            <w:pPr>
              <w:pStyle w:val="P68B1DB1-Normal11"/>
              <w:rPr>
                <w:noProof/>
              </w:rPr>
            </w:pPr>
            <w:r>
              <w:rPr>
                <w:noProof/>
              </w:rPr>
              <w:t>Ukrep b) ustanovi vsaj en laboratorij za digitalne poklice v vsaki srednji šoli, laboratorij, ki je tesno povezan s podjetji in inovativnimi zagonskimi podjetji za ustvarjanje novih delovnih mest v sektorju novih digitalnih poklicev (kot so umetna inteligenca, robotika, velepodatki in kibernetska varnost ter modro in zeleno gospodarstvo).</w:t>
            </w:r>
          </w:p>
          <w:p w14:paraId="14AB2011" w14:textId="119A783D" w:rsidR="00154E32" w:rsidRDefault="00154E32">
            <w:pPr>
              <w:rPr>
                <w:rFonts w:ascii="Arial Narrow" w:hAnsi="Arial Narrow"/>
                <w:noProof/>
                <w:color w:val="006100"/>
                <w:sz w:val="20"/>
              </w:rPr>
            </w:pPr>
          </w:p>
          <w:p w14:paraId="03F9D7A4" w14:textId="77777777" w:rsidR="00154E32" w:rsidRDefault="00A43E04">
            <w:pPr>
              <w:pStyle w:val="P68B1DB1-Normal11"/>
              <w:rPr>
                <w:noProof/>
              </w:rPr>
            </w:pPr>
            <w:r>
              <w:rPr>
                <w:noProof/>
              </w:rPr>
              <w:t>Vsaj 40 % upravičenih šol se nahaja na jugu Italije.</w:t>
            </w:r>
          </w:p>
        </w:tc>
      </w:tr>
      <w:tr w:rsidR="00154E32" w14:paraId="30C585C6" w14:textId="77777777">
        <w:trPr>
          <w:trHeight w:val="309"/>
        </w:trPr>
        <w:tc>
          <w:tcPr>
            <w:tcW w:w="380" w:type="pct"/>
            <w:shd w:val="clear" w:color="auto" w:fill="C6EFCE"/>
            <w:noWrap/>
            <w:vAlign w:val="center"/>
            <w:hideMark/>
          </w:tcPr>
          <w:p w14:paraId="7A076BD7" w14:textId="77777777" w:rsidR="00154E32" w:rsidRDefault="00A43E04">
            <w:pPr>
              <w:pStyle w:val="P68B1DB1-Normal11"/>
              <w:jc w:val="center"/>
              <w:rPr>
                <w:noProof/>
              </w:rPr>
            </w:pPr>
            <w:r>
              <w:rPr>
                <w:noProof/>
              </w:rPr>
              <w:t>M4C1–5</w:t>
            </w:r>
          </w:p>
        </w:tc>
        <w:tc>
          <w:tcPr>
            <w:tcW w:w="500" w:type="pct"/>
            <w:shd w:val="clear" w:color="auto" w:fill="C6EFCE"/>
            <w:noWrap/>
            <w:vAlign w:val="center"/>
            <w:hideMark/>
          </w:tcPr>
          <w:p w14:paraId="09C10A63" w14:textId="77777777" w:rsidR="00154E32" w:rsidRDefault="00A43E04">
            <w:pPr>
              <w:pStyle w:val="P68B1DB1-Normal11"/>
              <w:jc w:val="center"/>
              <w:rPr>
                <w:noProof/>
              </w:rPr>
            </w:pPr>
            <w:r>
              <w:rPr>
                <w:noProof/>
              </w:rPr>
              <w:t>Reforma 1.3: Reorganizacija šolskega sistema; Reforma 1.2: Reforma sistema terciarnega poklicnega usposabljanja (ITS); Reforma 1.1: Reforma tehničnih in strokovnih inštitutov; Reforma 1.4: Reforma sistema „usmeritve“</w:t>
            </w:r>
          </w:p>
        </w:tc>
        <w:tc>
          <w:tcPr>
            <w:tcW w:w="358" w:type="pct"/>
            <w:shd w:val="clear" w:color="auto" w:fill="C6EFCE"/>
            <w:noWrap/>
            <w:vAlign w:val="center"/>
            <w:hideMark/>
          </w:tcPr>
          <w:p w14:paraId="4DB829CB" w14:textId="77777777" w:rsidR="00154E32" w:rsidRDefault="00A43E04">
            <w:pPr>
              <w:pStyle w:val="P68B1DB1-Normal11"/>
              <w:jc w:val="center"/>
              <w:rPr>
                <w:noProof/>
              </w:rPr>
            </w:pPr>
            <w:r>
              <w:rPr>
                <w:noProof/>
              </w:rPr>
              <w:t>Mejniki</w:t>
            </w:r>
          </w:p>
        </w:tc>
        <w:tc>
          <w:tcPr>
            <w:tcW w:w="572" w:type="pct"/>
            <w:shd w:val="clear" w:color="auto" w:fill="C6EFCE"/>
            <w:noWrap/>
            <w:vAlign w:val="center"/>
            <w:hideMark/>
          </w:tcPr>
          <w:p w14:paraId="2D282292" w14:textId="77777777" w:rsidR="00154E32" w:rsidRDefault="00A43E04">
            <w:pPr>
              <w:pStyle w:val="P68B1DB1-Normal11"/>
              <w:jc w:val="center"/>
              <w:rPr>
                <w:noProof/>
              </w:rPr>
            </w:pPr>
            <w:r>
              <w:rPr>
                <w:noProof/>
              </w:rPr>
              <w:t>Začetek veljavnosti reform osnovnošolskega in srednješolskega izobraževalnega sistema za izboljšanje rezultatov izobraževanja</w:t>
            </w:r>
          </w:p>
        </w:tc>
        <w:tc>
          <w:tcPr>
            <w:tcW w:w="480" w:type="pct"/>
            <w:shd w:val="clear" w:color="auto" w:fill="C6EFCE"/>
            <w:noWrap/>
            <w:vAlign w:val="center"/>
            <w:hideMark/>
          </w:tcPr>
          <w:p w14:paraId="0E4A785A" w14:textId="77777777" w:rsidR="00154E32" w:rsidRDefault="00A43E04">
            <w:pPr>
              <w:pStyle w:val="P68B1DB1-Normal11"/>
              <w:jc w:val="center"/>
              <w:rPr>
                <w:noProof/>
              </w:rPr>
            </w:pPr>
            <w:r>
              <w:rPr>
                <w:noProof/>
              </w:rPr>
              <w:t>Določba zakona o začetku veljavnosti reform</w:t>
            </w:r>
          </w:p>
        </w:tc>
        <w:tc>
          <w:tcPr>
            <w:tcW w:w="422" w:type="pct"/>
            <w:shd w:val="clear" w:color="auto" w:fill="C6EFCE"/>
            <w:noWrap/>
            <w:vAlign w:val="center"/>
            <w:hideMark/>
          </w:tcPr>
          <w:p w14:paraId="59F7BAFB" w14:textId="77777777" w:rsidR="00154E32" w:rsidRDefault="00A43E04">
            <w:pPr>
              <w:pStyle w:val="P68B1DB1-Normal11"/>
              <w:jc w:val="center"/>
              <w:rPr>
                <w:noProof/>
              </w:rPr>
            </w:pPr>
            <w:r>
              <w:rPr>
                <w:noProof/>
              </w:rPr>
              <w:t>JIH NI</w:t>
            </w:r>
          </w:p>
        </w:tc>
        <w:tc>
          <w:tcPr>
            <w:tcW w:w="375" w:type="pct"/>
            <w:shd w:val="clear" w:color="auto" w:fill="C6EFCE"/>
            <w:noWrap/>
            <w:vAlign w:val="center"/>
            <w:hideMark/>
          </w:tcPr>
          <w:p w14:paraId="0FCD286C" w14:textId="77777777" w:rsidR="00154E32" w:rsidRDefault="00A43E04">
            <w:pPr>
              <w:pStyle w:val="P68B1DB1-Normal11"/>
              <w:jc w:val="center"/>
              <w:rPr>
                <w:noProof/>
              </w:rPr>
            </w:pPr>
            <w:r>
              <w:rPr>
                <w:noProof/>
              </w:rPr>
              <w:t>JIH NI</w:t>
            </w:r>
          </w:p>
        </w:tc>
        <w:tc>
          <w:tcPr>
            <w:tcW w:w="343" w:type="pct"/>
            <w:shd w:val="clear" w:color="auto" w:fill="C6EFCE"/>
            <w:noWrap/>
            <w:vAlign w:val="center"/>
            <w:hideMark/>
          </w:tcPr>
          <w:p w14:paraId="4C9466AA" w14:textId="77777777" w:rsidR="00154E32" w:rsidRDefault="00A43E04">
            <w:pPr>
              <w:pStyle w:val="P68B1DB1-Normal11"/>
              <w:jc w:val="center"/>
              <w:rPr>
                <w:noProof/>
              </w:rPr>
            </w:pPr>
            <w:r>
              <w:rPr>
                <w:noProof/>
              </w:rPr>
              <w:t>JIH NI</w:t>
            </w:r>
          </w:p>
        </w:tc>
        <w:tc>
          <w:tcPr>
            <w:tcW w:w="286" w:type="pct"/>
            <w:shd w:val="clear" w:color="auto" w:fill="C6EFCE"/>
            <w:noWrap/>
            <w:vAlign w:val="center"/>
            <w:hideMark/>
          </w:tcPr>
          <w:p w14:paraId="743360C5" w14:textId="77777777" w:rsidR="00154E32" w:rsidRDefault="00A43E04">
            <w:pPr>
              <w:pStyle w:val="P68B1DB1-Normal11"/>
              <w:jc w:val="center"/>
              <w:rPr>
                <w:noProof/>
              </w:rPr>
            </w:pPr>
            <w:r>
              <w:rPr>
                <w:noProof/>
              </w:rPr>
              <w:t>Q4</w:t>
            </w:r>
          </w:p>
        </w:tc>
        <w:tc>
          <w:tcPr>
            <w:tcW w:w="238" w:type="pct"/>
            <w:shd w:val="clear" w:color="auto" w:fill="C6EFCE"/>
            <w:noWrap/>
            <w:vAlign w:val="center"/>
            <w:hideMark/>
          </w:tcPr>
          <w:p w14:paraId="72145DAC" w14:textId="77777777" w:rsidR="00154E32" w:rsidRDefault="00A43E04">
            <w:pPr>
              <w:pStyle w:val="P68B1DB1-Normal11"/>
              <w:jc w:val="center"/>
              <w:rPr>
                <w:noProof/>
              </w:rPr>
            </w:pPr>
            <w:r>
              <w:rPr>
                <w:noProof/>
              </w:rPr>
              <w:t>2022</w:t>
            </w:r>
          </w:p>
        </w:tc>
        <w:tc>
          <w:tcPr>
            <w:tcW w:w="1047" w:type="pct"/>
            <w:shd w:val="clear" w:color="auto" w:fill="C6EFCE"/>
            <w:noWrap/>
            <w:vAlign w:val="center"/>
            <w:hideMark/>
          </w:tcPr>
          <w:p w14:paraId="125A9649" w14:textId="77777777" w:rsidR="00154E32" w:rsidRDefault="00A43E04">
            <w:pPr>
              <w:pStyle w:val="P68B1DB1-Normal10"/>
              <w:rPr>
                <w:noProof/>
                <w:color w:val="006100"/>
                <w:sz w:val="20"/>
              </w:rPr>
            </w:pPr>
            <w:r>
              <w:rPr>
                <w:noProof/>
                <w:color w:val="006100"/>
                <w:sz w:val="20"/>
              </w:rPr>
              <w:t xml:space="preserve">Reforme primarne zakonodaje primarnega in srednješolskega izobraževalnega sistema za izboljšanje rezultatov izobraževanja (s primarno zakonodajo) vključujejo vsaj naslednje ključne elemente: </w:t>
            </w:r>
            <w:r>
              <w:rPr>
                <w:noProof/>
              </w:rPr>
              <w:t xml:space="preserve"> </w:t>
            </w:r>
            <w:r>
              <w:rPr>
                <w:noProof/>
              </w:rPr>
              <w:br/>
            </w:r>
            <w:r>
              <w:rPr>
                <w:noProof/>
                <w:color w:val="006100"/>
                <w:sz w:val="20"/>
              </w:rPr>
              <w:t>I) pobude za reformo organizacije izobraževalnega sistema za prilagajanje demografskemu razvoju (kot je število šol in razmerje med učenci in učitelji)</w:t>
            </w:r>
            <w:r>
              <w:rPr>
                <w:noProof/>
              </w:rPr>
              <w:t xml:space="preserve"> </w:t>
            </w:r>
            <w:r>
              <w:rPr>
                <w:noProof/>
              </w:rPr>
              <w:br/>
              <w:t xml:space="preserve"> </w:t>
            </w:r>
            <w:r>
              <w:rPr>
                <w:noProof/>
                <w:color w:val="006100"/>
                <w:sz w:val="20"/>
              </w:rPr>
              <w:t>pobude za reformo sistema usmerjanja, da se čim bolj zmanjša stopnja osipa v terciarnem izobraževanju;</w:t>
            </w:r>
            <w:r>
              <w:rPr>
                <w:noProof/>
              </w:rPr>
              <w:t xml:space="preserve"> </w:t>
            </w:r>
            <w:r>
              <w:rPr>
                <w:noProof/>
              </w:rPr>
              <w:br/>
            </w:r>
            <w:r>
              <w:rPr>
                <w:noProof/>
                <w:color w:val="006100"/>
                <w:sz w:val="20"/>
              </w:rPr>
              <w:t>III) pobude za krepitev srednješolskega poklicnega izobraževanja (Istituti tecnico-expi), vključno s sprejetjem novega učnega načrta in njegovo usmeritvijo k inovacijam v okviru nacionalnega načrta za industrijo 4.0 (Ministero dello Sviluppo economico, Decreto 26 Maggio 2020);</w:t>
            </w:r>
            <w:r>
              <w:rPr>
                <w:noProof/>
              </w:rPr>
              <w:t xml:space="preserve"> </w:t>
            </w:r>
            <w:r>
              <w:rPr>
                <w:noProof/>
              </w:rPr>
              <w:br/>
            </w:r>
            <w:r>
              <w:rPr>
                <w:noProof/>
                <w:color w:val="006100"/>
                <w:sz w:val="20"/>
              </w:rPr>
              <w:t>IV) pobude za usposabljanje vodstvenih delavcev šol, učiteljev in administrativnega/tehničnega osebja ter ustanovitev višje šole za usposabljanje za izboljšanje kakovosti poučevanja;</w:t>
            </w:r>
            <w:r>
              <w:rPr>
                <w:noProof/>
              </w:rPr>
              <w:t xml:space="preserve"> </w:t>
            </w:r>
            <w:r>
              <w:rPr>
                <w:noProof/>
              </w:rPr>
              <w:br/>
            </w:r>
            <w:r>
              <w:rPr>
                <w:noProof/>
                <w:color w:val="006100"/>
                <w:sz w:val="20"/>
              </w:rPr>
              <w:t>v) pobude za vključevanje dejavnosti, metodologij in vsebin, namenjenih razvoju in krepitvi učnih načrtov na področju naravoslovja, tehnologije, inženirstva in matematike (STEM), digitalnih in inovacijskih spretnosti, v vseh ciklih izobraževanja, od vrtca do višje srednje šole, da bi spodbudili vpis v terciarno izobraževanje na področju naravoslovja, tehnologije, inženirstva in matematike, zlasti za ženske.</w:t>
            </w:r>
          </w:p>
          <w:p w14:paraId="3844194E" w14:textId="77777777" w:rsidR="00154E32" w:rsidRDefault="00154E32">
            <w:pPr>
              <w:rPr>
                <w:rFonts w:ascii="Arial Narrow" w:hAnsi="Arial Narrow"/>
                <w:noProof/>
                <w:color w:val="006100"/>
                <w:sz w:val="20"/>
              </w:rPr>
            </w:pPr>
          </w:p>
          <w:p w14:paraId="278B9450" w14:textId="77777777" w:rsidR="00154E32" w:rsidRDefault="00A43E04">
            <w:pPr>
              <w:pStyle w:val="P68B1DB1-Normal11"/>
              <w:rPr>
                <w:noProof/>
              </w:rPr>
            </w:pPr>
            <w:r>
              <w:rPr>
                <w:noProof/>
              </w:rPr>
              <w:t>Za zadovoljivo izpolnitev mejnika zakonodaja vključuje obvezne roke za izdajo sekundarne zakonodaje, smernice in vse potrebne regulativne določbe (spremljanje zbirke podatkov ministrstva za izobraževanje), da se zagotovi nemoteno izvajanje.</w:t>
            </w:r>
          </w:p>
        </w:tc>
      </w:tr>
      <w:tr w:rsidR="00154E32" w14:paraId="1DB2815D" w14:textId="77777777">
        <w:trPr>
          <w:trHeight w:val="309"/>
        </w:trPr>
        <w:tc>
          <w:tcPr>
            <w:tcW w:w="380" w:type="pct"/>
            <w:shd w:val="clear" w:color="auto" w:fill="C6EFCE"/>
            <w:noWrap/>
            <w:vAlign w:val="center"/>
          </w:tcPr>
          <w:p w14:paraId="24A9C610" w14:textId="77777777" w:rsidR="00154E32" w:rsidRDefault="00A43E04">
            <w:pPr>
              <w:pStyle w:val="P68B1DB1-Normal11"/>
              <w:jc w:val="center"/>
              <w:rPr>
                <w:noProof/>
              </w:rPr>
            </w:pPr>
            <w:r>
              <w:rPr>
                <w:noProof/>
              </w:rPr>
              <w:t>M4C1–6</w:t>
            </w:r>
          </w:p>
        </w:tc>
        <w:tc>
          <w:tcPr>
            <w:tcW w:w="500" w:type="pct"/>
            <w:shd w:val="clear" w:color="auto" w:fill="C6EFCE"/>
            <w:noWrap/>
            <w:vAlign w:val="center"/>
          </w:tcPr>
          <w:p w14:paraId="20201215" w14:textId="77777777" w:rsidR="00154E32" w:rsidRDefault="00A43E04">
            <w:pPr>
              <w:pStyle w:val="P68B1DB1-Normal11"/>
              <w:jc w:val="center"/>
              <w:rPr>
                <w:noProof/>
              </w:rPr>
            </w:pPr>
            <w:r>
              <w:rPr>
                <w:noProof/>
              </w:rPr>
              <w:t>Reforma 2.2: Višje terciarno izobraževanje in stalno usposabljanje vodstvenih delavcev šol, učiteljev, administrativnega in tehničnega osebja</w:t>
            </w:r>
          </w:p>
        </w:tc>
        <w:tc>
          <w:tcPr>
            <w:tcW w:w="358" w:type="pct"/>
            <w:shd w:val="clear" w:color="auto" w:fill="C6EFCE"/>
            <w:noWrap/>
            <w:vAlign w:val="center"/>
          </w:tcPr>
          <w:p w14:paraId="096260EF" w14:textId="77777777" w:rsidR="00154E32" w:rsidRDefault="00A43E04">
            <w:pPr>
              <w:pStyle w:val="P68B1DB1-Normal11"/>
              <w:jc w:val="center"/>
              <w:rPr>
                <w:noProof/>
              </w:rPr>
            </w:pPr>
            <w:r>
              <w:rPr>
                <w:noProof/>
              </w:rPr>
              <w:t>Mejnik</w:t>
            </w:r>
          </w:p>
        </w:tc>
        <w:tc>
          <w:tcPr>
            <w:tcW w:w="572" w:type="pct"/>
            <w:shd w:val="clear" w:color="auto" w:fill="C6EFCE"/>
            <w:noWrap/>
            <w:vAlign w:val="center"/>
          </w:tcPr>
          <w:p w14:paraId="1E2D783C" w14:textId="77777777" w:rsidR="00154E32" w:rsidRDefault="00A43E04">
            <w:pPr>
              <w:pStyle w:val="P68B1DB1-Normal11"/>
              <w:jc w:val="center"/>
              <w:rPr>
                <w:noProof/>
              </w:rPr>
            </w:pPr>
            <w:r>
              <w:rPr>
                <w:noProof/>
              </w:rPr>
              <w:t>Začetek veljavnosti zakonodaje za vzpostavitev sistema kakovostnega usposabljanja za šole.</w:t>
            </w:r>
          </w:p>
        </w:tc>
        <w:tc>
          <w:tcPr>
            <w:tcW w:w="480" w:type="pct"/>
            <w:shd w:val="clear" w:color="auto" w:fill="C6EFCE"/>
            <w:noWrap/>
            <w:vAlign w:val="center"/>
          </w:tcPr>
          <w:p w14:paraId="516A4D3E" w14:textId="77777777" w:rsidR="00154E32" w:rsidRDefault="00A43E04">
            <w:pPr>
              <w:pStyle w:val="P68B1DB1-Normal11"/>
              <w:jc w:val="center"/>
              <w:rPr>
                <w:noProof/>
              </w:rPr>
            </w:pPr>
            <w:r>
              <w:rPr>
                <w:noProof/>
              </w:rPr>
              <w:t>Določba zakona o začetku veljavnosti zakonodaje.</w:t>
            </w:r>
          </w:p>
        </w:tc>
        <w:tc>
          <w:tcPr>
            <w:tcW w:w="422" w:type="pct"/>
            <w:shd w:val="clear" w:color="auto" w:fill="C6EFCE"/>
            <w:noWrap/>
            <w:vAlign w:val="center"/>
          </w:tcPr>
          <w:p w14:paraId="76222D3F" w14:textId="77777777" w:rsidR="00154E32" w:rsidRDefault="00A43E04">
            <w:pPr>
              <w:pStyle w:val="P68B1DB1-Normal11"/>
              <w:jc w:val="center"/>
              <w:rPr>
                <w:noProof/>
              </w:rPr>
            </w:pPr>
            <w:r>
              <w:rPr>
                <w:noProof/>
              </w:rPr>
              <w:t>JIH NI</w:t>
            </w:r>
          </w:p>
        </w:tc>
        <w:tc>
          <w:tcPr>
            <w:tcW w:w="375" w:type="pct"/>
            <w:shd w:val="clear" w:color="auto" w:fill="C6EFCE"/>
            <w:noWrap/>
            <w:vAlign w:val="center"/>
          </w:tcPr>
          <w:p w14:paraId="182EAF0B" w14:textId="77777777" w:rsidR="00154E32" w:rsidRDefault="00A43E04">
            <w:pPr>
              <w:pStyle w:val="P68B1DB1-Normal11"/>
              <w:jc w:val="center"/>
              <w:rPr>
                <w:noProof/>
              </w:rPr>
            </w:pPr>
            <w:r>
              <w:rPr>
                <w:noProof/>
              </w:rPr>
              <w:t>JIH NI</w:t>
            </w:r>
          </w:p>
        </w:tc>
        <w:tc>
          <w:tcPr>
            <w:tcW w:w="343" w:type="pct"/>
            <w:shd w:val="clear" w:color="auto" w:fill="C6EFCE"/>
            <w:noWrap/>
            <w:vAlign w:val="center"/>
          </w:tcPr>
          <w:p w14:paraId="51FDF4DD" w14:textId="77777777" w:rsidR="00154E32" w:rsidRDefault="00A43E04">
            <w:pPr>
              <w:pStyle w:val="P68B1DB1-Normal11"/>
              <w:jc w:val="center"/>
              <w:rPr>
                <w:noProof/>
              </w:rPr>
            </w:pPr>
            <w:r>
              <w:rPr>
                <w:noProof/>
              </w:rPr>
              <w:t>JIH NI</w:t>
            </w:r>
          </w:p>
        </w:tc>
        <w:tc>
          <w:tcPr>
            <w:tcW w:w="286" w:type="pct"/>
            <w:shd w:val="clear" w:color="auto" w:fill="C6EFCE"/>
            <w:noWrap/>
            <w:vAlign w:val="center"/>
          </w:tcPr>
          <w:p w14:paraId="16A7A126" w14:textId="77777777" w:rsidR="00154E32" w:rsidRDefault="00A43E04">
            <w:pPr>
              <w:pStyle w:val="P68B1DB1-Normal11"/>
              <w:jc w:val="center"/>
              <w:rPr>
                <w:noProof/>
              </w:rPr>
            </w:pPr>
            <w:r>
              <w:rPr>
                <w:noProof/>
              </w:rPr>
              <w:t>Q4</w:t>
            </w:r>
          </w:p>
        </w:tc>
        <w:tc>
          <w:tcPr>
            <w:tcW w:w="238" w:type="pct"/>
            <w:shd w:val="clear" w:color="auto" w:fill="C6EFCE"/>
            <w:noWrap/>
            <w:vAlign w:val="center"/>
          </w:tcPr>
          <w:p w14:paraId="37DDE0A2" w14:textId="77777777" w:rsidR="00154E32" w:rsidRDefault="00A43E04">
            <w:pPr>
              <w:pStyle w:val="P68B1DB1-Normal11"/>
              <w:jc w:val="center"/>
              <w:rPr>
                <w:noProof/>
              </w:rPr>
            </w:pPr>
            <w:r>
              <w:rPr>
                <w:noProof/>
              </w:rPr>
              <w:t>2022</w:t>
            </w:r>
          </w:p>
        </w:tc>
        <w:tc>
          <w:tcPr>
            <w:tcW w:w="1047" w:type="pct"/>
            <w:shd w:val="clear" w:color="auto" w:fill="C6EFCE"/>
            <w:noWrap/>
            <w:vAlign w:val="center"/>
          </w:tcPr>
          <w:p w14:paraId="5F14028B" w14:textId="76F35CE1" w:rsidR="00154E32" w:rsidRDefault="00A43E04">
            <w:pPr>
              <w:pStyle w:val="P68B1DB1-Normal11"/>
              <w:rPr>
                <w:noProof/>
              </w:rPr>
            </w:pPr>
            <w:r>
              <w:rPr>
                <w:noProof/>
              </w:rPr>
              <w:t>Zakonodaja vključuje določbe za vzpostavitev sistema kakovostnega usposabljanja za šolsko osebje v skladu s stalnim poklicnim in poklicnim razvojem, ustanovitev kvalificiranega organa, pristojnega za smernice za usposabljanje šolskega osebja, izbiro in usklajevanje pobud za usposabljanje ter njihovo povezavo s poklicnim napredovanjem, kot je določeno v reformi zaposlovanja. Izvajanje sistema začetnega in stalnega usposabljanja bi moralo omogočiti odpravo sedanje razdrobljenosti izobraževalnih poti, ki trenutno nimajo enotne nacionalne strategije.</w:t>
            </w:r>
          </w:p>
        </w:tc>
      </w:tr>
      <w:tr w:rsidR="00154E32" w14:paraId="7BEA0B08" w14:textId="77777777">
        <w:trPr>
          <w:trHeight w:val="309"/>
        </w:trPr>
        <w:tc>
          <w:tcPr>
            <w:tcW w:w="380" w:type="pct"/>
            <w:shd w:val="clear" w:color="auto" w:fill="C6EFCE"/>
            <w:noWrap/>
            <w:vAlign w:val="center"/>
          </w:tcPr>
          <w:p w14:paraId="641991B8" w14:textId="77777777" w:rsidR="00154E32" w:rsidRDefault="00A43E04">
            <w:pPr>
              <w:pStyle w:val="P68B1DB1-Normal11"/>
              <w:jc w:val="center"/>
              <w:rPr>
                <w:noProof/>
              </w:rPr>
            </w:pPr>
            <w:r>
              <w:rPr>
                <w:noProof/>
              </w:rPr>
              <w:t>M4C1–7</w:t>
            </w:r>
          </w:p>
        </w:tc>
        <w:tc>
          <w:tcPr>
            <w:tcW w:w="500" w:type="pct"/>
            <w:shd w:val="clear" w:color="auto" w:fill="C6EFCE"/>
            <w:noWrap/>
            <w:vAlign w:val="center"/>
          </w:tcPr>
          <w:p w14:paraId="43F81DE1" w14:textId="17DF95F9" w:rsidR="00154E32" w:rsidRDefault="00A43E04">
            <w:pPr>
              <w:pStyle w:val="P68B1DB1-Normal11"/>
              <w:jc w:val="center"/>
              <w:rPr>
                <w:noProof/>
              </w:rPr>
            </w:pPr>
            <w:r>
              <w:rPr>
                <w:noProof/>
              </w:rPr>
              <w:t>Naložba 1.4: Izredni ukrepi za zmanjšanje teritorialnih vrzeli v I in II srednješolskih ciklih ter za odpravo osipa v šolah</w:t>
            </w:r>
          </w:p>
        </w:tc>
        <w:tc>
          <w:tcPr>
            <w:tcW w:w="358" w:type="pct"/>
            <w:shd w:val="clear" w:color="auto" w:fill="C6EFCE"/>
            <w:noWrap/>
            <w:vAlign w:val="center"/>
          </w:tcPr>
          <w:p w14:paraId="209F1902" w14:textId="77777777" w:rsidR="00154E32" w:rsidRDefault="00A43E04">
            <w:pPr>
              <w:pStyle w:val="P68B1DB1-Normal11"/>
              <w:jc w:val="center"/>
              <w:rPr>
                <w:noProof/>
              </w:rPr>
            </w:pPr>
            <w:r>
              <w:rPr>
                <w:noProof/>
              </w:rPr>
              <w:t>Tarča</w:t>
            </w:r>
          </w:p>
        </w:tc>
        <w:tc>
          <w:tcPr>
            <w:tcW w:w="572" w:type="pct"/>
            <w:shd w:val="clear" w:color="auto" w:fill="C6EFCE"/>
            <w:noWrap/>
            <w:vAlign w:val="center"/>
          </w:tcPr>
          <w:p w14:paraId="1604FF60" w14:textId="77777777" w:rsidR="00154E32" w:rsidRDefault="00A43E04">
            <w:pPr>
              <w:pStyle w:val="P68B1DB1-Normal11"/>
              <w:jc w:val="center"/>
              <w:rPr>
                <w:noProof/>
              </w:rPr>
            </w:pPr>
            <w:r>
              <w:rPr>
                <w:noProof/>
              </w:rPr>
              <w:t>Študenti ali mladi, ki so sodelovali v mentorskih dejavnostih ali tečajih usposabljanja</w:t>
            </w:r>
          </w:p>
        </w:tc>
        <w:tc>
          <w:tcPr>
            <w:tcW w:w="480" w:type="pct"/>
            <w:shd w:val="clear" w:color="auto" w:fill="C6EFCE"/>
            <w:noWrap/>
            <w:vAlign w:val="center"/>
          </w:tcPr>
          <w:p w14:paraId="3738E2C7" w14:textId="77777777" w:rsidR="00154E32" w:rsidRDefault="00A43E04">
            <w:pPr>
              <w:pStyle w:val="P68B1DB1-Normal11"/>
              <w:jc w:val="center"/>
              <w:rPr>
                <w:noProof/>
              </w:rPr>
            </w:pPr>
            <w:r>
              <w:rPr>
                <w:noProof/>
              </w:rPr>
              <w:t>Zagotovljene so dejavnosti mentorstva</w:t>
            </w:r>
          </w:p>
        </w:tc>
        <w:tc>
          <w:tcPr>
            <w:tcW w:w="422" w:type="pct"/>
            <w:shd w:val="clear" w:color="auto" w:fill="C6EFCE"/>
            <w:noWrap/>
            <w:vAlign w:val="center"/>
          </w:tcPr>
          <w:p w14:paraId="1C60C2FD" w14:textId="77777777" w:rsidR="00154E32" w:rsidRDefault="00A43E04">
            <w:pPr>
              <w:pStyle w:val="P68B1DB1-Normal11"/>
              <w:jc w:val="center"/>
              <w:rPr>
                <w:noProof/>
              </w:rPr>
            </w:pPr>
            <w:r>
              <w:rPr>
                <w:noProof/>
              </w:rPr>
              <w:t>Število</w:t>
            </w:r>
          </w:p>
        </w:tc>
        <w:tc>
          <w:tcPr>
            <w:tcW w:w="375" w:type="pct"/>
            <w:shd w:val="clear" w:color="auto" w:fill="C6EFCE"/>
            <w:noWrap/>
            <w:vAlign w:val="center"/>
          </w:tcPr>
          <w:p w14:paraId="47251D74" w14:textId="77777777" w:rsidR="00154E32" w:rsidRDefault="00A43E04">
            <w:pPr>
              <w:pStyle w:val="P68B1DB1-Normal11"/>
              <w:jc w:val="center"/>
              <w:rPr>
                <w:noProof/>
              </w:rPr>
            </w:pPr>
            <w:r>
              <w:rPr>
                <w:noProof/>
              </w:rPr>
              <w:t>0</w:t>
            </w:r>
          </w:p>
        </w:tc>
        <w:tc>
          <w:tcPr>
            <w:tcW w:w="343" w:type="pct"/>
            <w:shd w:val="clear" w:color="auto" w:fill="C6EFCE"/>
            <w:noWrap/>
            <w:vAlign w:val="center"/>
          </w:tcPr>
          <w:p w14:paraId="75E7D829" w14:textId="042F8EDC" w:rsidR="00154E32" w:rsidRDefault="00A43E04">
            <w:pPr>
              <w:pStyle w:val="P68B1DB1-Normal11"/>
              <w:jc w:val="center"/>
              <w:rPr>
                <w:noProof/>
              </w:rPr>
            </w:pPr>
            <w:r>
              <w:rPr>
                <w:noProof/>
              </w:rPr>
              <w:t>820 000</w:t>
            </w:r>
          </w:p>
        </w:tc>
        <w:tc>
          <w:tcPr>
            <w:tcW w:w="286" w:type="pct"/>
            <w:shd w:val="clear" w:color="auto" w:fill="C6EFCE"/>
            <w:noWrap/>
            <w:vAlign w:val="center"/>
          </w:tcPr>
          <w:p w14:paraId="5A5C81BF" w14:textId="77777777" w:rsidR="00154E32" w:rsidRDefault="00A43E04">
            <w:pPr>
              <w:pStyle w:val="P68B1DB1-Normal11"/>
              <w:jc w:val="center"/>
              <w:rPr>
                <w:noProof/>
              </w:rPr>
            </w:pPr>
            <w:r>
              <w:rPr>
                <w:noProof/>
              </w:rPr>
              <w:t>Q3</w:t>
            </w:r>
          </w:p>
        </w:tc>
        <w:tc>
          <w:tcPr>
            <w:tcW w:w="238" w:type="pct"/>
            <w:shd w:val="clear" w:color="auto" w:fill="C6EFCE"/>
            <w:noWrap/>
            <w:vAlign w:val="center"/>
          </w:tcPr>
          <w:p w14:paraId="29EA691C" w14:textId="77777777" w:rsidR="00154E32" w:rsidRDefault="00A43E04">
            <w:pPr>
              <w:pStyle w:val="P68B1DB1-Normal11"/>
              <w:jc w:val="center"/>
              <w:rPr>
                <w:noProof/>
              </w:rPr>
            </w:pPr>
            <w:r>
              <w:rPr>
                <w:noProof/>
              </w:rPr>
              <w:t>2025</w:t>
            </w:r>
          </w:p>
        </w:tc>
        <w:tc>
          <w:tcPr>
            <w:tcW w:w="1047" w:type="pct"/>
            <w:shd w:val="clear" w:color="auto" w:fill="C6EFCE"/>
            <w:noWrap/>
            <w:vAlign w:val="center"/>
          </w:tcPr>
          <w:p w14:paraId="440B2DD5" w14:textId="1A38EC9B" w:rsidR="00154E32" w:rsidRDefault="00A43E04">
            <w:pPr>
              <w:pStyle w:val="P68B1DB1-Normal11"/>
              <w:rPr>
                <w:noProof/>
              </w:rPr>
            </w:pPr>
            <w:r>
              <w:rPr>
                <w:noProof/>
              </w:rPr>
              <w:t>Izvajanje mentorskih aktivnosti za vsaj 820000 mladih, ki jim grozi osip, in mladih, ki so že opustili šolanje.</w:t>
            </w:r>
          </w:p>
        </w:tc>
      </w:tr>
      <w:tr w:rsidR="00154E32" w14:paraId="5AFBFB82" w14:textId="77777777">
        <w:trPr>
          <w:trHeight w:val="309"/>
        </w:trPr>
        <w:tc>
          <w:tcPr>
            <w:tcW w:w="380" w:type="pct"/>
            <w:shd w:val="clear" w:color="auto" w:fill="C6EFCE"/>
            <w:noWrap/>
            <w:vAlign w:val="center"/>
          </w:tcPr>
          <w:p w14:paraId="5CB63D1F" w14:textId="77777777" w:rsidR="00154E32" w:rsidRDefault="00A43E04">
            <w:pPr>
              <w:pStyle w:val="P68B1DB1-Normal11"/>
              <w:jc w:val="center"/>
              <w:rPr>
                <w:noProof/>
              </w:rPr>
            </w:pPr>
            <w:r>
              <w:rPr>
                <w:noProof/>
              </w:rPr>
              <w:t>M4C1–8</w:t>
            </w:r>
          </w:p>
          <w:p w14:paraId="5653BAFB" w14:textId="77777777" w:rsidR="00154E32" w:rsidRDefault="00154E32">
            <w:pPr>
              <w:jc w:val="center"/>
              <w:rPr>
                <w:rFonts w:ascii="Arial Narrow" w:hAnsi="Arial Narrow"/>
                <w:noProof/>
                <w:color w:val="006100"/>
                <w:sz w:val="20"/>
              </w:rPr>
            </w:pPr>
          </w:p>
        </w:tc>
        <w:tc>
          <w:tcPr>
            <w:tcW w:w="500" w:type="pct"/>
            <w:shd w:val="clear" w:color="auto" w:fill="C6EFCE"/>
            <w:noWrap/>
            <w:vAlign w:val="center"/>
          </w:tcPr>
          <w:p w14:paraId="65391E86" w14:textId="77777777" w:rsidR="00154E32" w:rsidRDefault="00A43E04">
            <w:pPr>
              <w:pStyle w:val="P68B1DB1-Normal11"/>
              <w:jc w:val="center"/>
              <w:rPr>
                <w:noProof/>
              </w:rPr>
            </w:pPr>
            <w:r>
              <w:rPr>
                <w:noProof/>
              </w:rPr>
              <w:t>Naložba 1.3: Načrt za izboljšanje športne infrastrukture v šolah</w:t>
            </w:r>
          </w:p>
        </w:tc>
        <w:tc>
          <w:tcPr>
            <w:tcW w:w="358" w:type="pct"/>
            <w:shd w:val="clear" w:color="auto" w:fill="C6EFCE"/>
            <w:noWrap/>
            <w:vAlign w:val="center"/>
          </w:tcPr>
          <w:p w14:paraId="5B54F7BC" w14:textId="77777777" w:rsidR="00154E32" w:rsidRDefault="00A43E04">
            <w:pPr>
              <w:pStyle w:val="P68B1DB1-Normal11"/>
              <w:jc w:val="center"/>
              <w:rPr>
                <w:noProof/>
              </w:rPr>
            </w:pPr>
            <w:r>
              <w:rPr>
                <w:noProof/>
              </w:rPr>
              <w:t>Mejnik</w:t>
            </w:r>
          </w:p>
        </w:tc>
        <w:tc>
          <w:tcPr>
            <w:tcW w:w="572" w:type="pct"/>
            <w:shd w:val="clear" w:color="auto" w:fill="C6EFCE"/>
            <w:noWrap/>
            <w:vAlign w:val="center"/>
          </w:tcPr>
          <w:p w14:paraId="65B0C734" w14:textId="77777777" w:rsidR="00154E32" w:rsidRDefault="00A43E04">
            <w:pPr>
              <w:pStyle w:val="P68B1DB1-Normal11"/>
              <w:jc w:val="center"/>
              <w:rPr>
                <w:noProof/>
              </w:rPr>
            </w:pPr>
            <w:r>
              <w:rPr>
                <w:noProof/>
              </w:rPr>
              <w:t>Oddaja naročil za posege v gradnjo in prenovo športnih objektov in telovadnic, predvidenih v odloku ministrstva za izobraževanje</w:t>
            </w:r>
          </w:p>
        </w:tc>
        <w:tc>
          <w:tcPr>
            <w:tcW w:w="480" w:type="pct"/>
            <w:shd w:val="clear" w:color="auto" w:fill="C6EFCE"/>
            <w:noWrap/>
            <w:vAlign w:val="center"/>
          </w:tcPr>
          <w:p w14:paraId="60F9A1D4" w14:textId="77777777" w:rsidR="00154E32" w:rsidRDefault="00A43E04">
            <w:pPr>
              <w:pStyle w:val="P68B1DB1-Normal11"/>
              <w:jc w:val="center"/>
              <w:rPr>
                <w:noProof/>
              </w:rPr>
            </w:pPr>
            <w:r>
              <w:rPr>
                <w:noProof/>
              </w:rPr>
              <w:t>Uradno obvestilo lokalnih organov upravičencev o financiranju oddaje vseh javnih naročil za upravičene intervencije</w:t>
            </w:r>
          </w:p>
          <w:p w14:paraId="63C2212C" w14:textId="77777777" w:rsidR="00154E32" w:rsidRDefault="00154E32">
            <w:pPr>
              <w:jc w:val="center"/>
              <w:rPr>
                <w:rFonts w:ascii="Arial Narrow" w:hAnsi="Arial Narrow"/>
                <w:b/>
                <w:noProof/>
                <w:color w:val="006100"/>
                <w:sz w:val="20"/>
              </w:rPr>
            </w:pPr>
          </w:p>
        </w:tc>
        <w:tc>
          <w:tcPr>
            <w:tcW w:w="422" w:type="pct"/>
            <w:shd w:val="clear" w:color="auto" w:fill="C6EFCE"/>
            <w:noWrap/>
            <w:vAlign w:val="center"/>
          </w:tcPr>
          <w:p w14:paraId="297F890D" w14:textId="77777777" w:rsidR="00154E32" w:rsidRDefault="00A43E04">
            <w:pPr>
              <w:pStyle w:val="P68B1DB1-Normal11"/>
              <w:jc w:val="center"/>
              <w:rPr>
                <w:noProof/>
              </w:rPr>
            </w:pPr>
            <w:r>
              <w:rPr>
                <w:noProof/>
              </w:rPr>
              <w:t>JIH NI</w:t>
            </w:r>
          </w:p>
        </w:tc>
        <w:tc>
          <w:tcPr>
            <w:tcW w:w="375" w:type="pct"/>
            <w:shd w:val="clear" w:color="auto" w:fill="C6EFCE"/>
            <w:noWrap/>
            <w:vAlign w:val="center"/>
          </w:tcPr>
          <w:p w14:paraId="1CB97910" w14:textId="77777777" w:rsidR="00154E32" w:rsidRDefault="00A43E04">
            <w:pPr>
              <w:pStyle w:val="P68B1DB1-Normal11"/>
              <w:jc w:val="center"/>
              <w:rPr>
                <w:noProof/>
              </w:rPr>
            </w:pPr>
            <w:r>
              <w:rPr>
                <w:noProof/>
              </w:rPr>
              <w:t>JIH NI</w:t>
            </w:r>
          </w:p>
        </w:tc>
        <w:tc>
          <w:tcPr>
            <w:tcW w:w="343" w:type="pct"/>
            <w:shd w:val="clear" w:color="auto" w:fill="C6EFCE"/>
            <w:noWrap/>
            <w:vAlign w:val="center"/>
          </w:tcPr>
          <w:p w14:paraId="12661D47" w14:textId="77777777" w:rsidR="00154E32" w:rsidRDefault="00A43E04">
            <w:pPr>
              <w:pStyle w:val="P68B1DB1-Normal11"/>
              <w:jc w:val="center"/>
              <w:rPr>
                <w:noProof/>
              </w:rPr>
            </w:pPr>
            <w:r>
              <w:rPr>
                <w:noProof/>
              </w:rPr>
              <w:t>JIH NI</w:t>
            </w:r>
          </w:p>
        </w:tc>
        <w:tc>
          <w:tcPr>
            <w:tcW w:w="286" w:type="pct"/>
            <w:shd w:val="clear" w:color="auto" w:fill="C6EFCE"/>
            <w:noWrap/>
            <w:vAlign w:val="center"/>
          </w:tcPr>
          <w:p w14:paraId="727DE4B0" w14:textId="77777777" w:rsidR="00154E32" w:rsidRDefault="00A43E04">
            <w:pPr>
              <w:pStyle w:val="P68B1DB1-Normal11"/>
              <w:jc w:val="center"/>
              <w:rPr>
                <w:noProof/>
              </w:rPr>
            </w:pPr>
            <w:r>
              <w:rPr>
                <w:noProof/>
              </w:rPr>
              <w:t>ČETRTLETJE 1</w:t>
            </w:r>
          </w:p>
        </w:tc>
        <w:tc>
          <w:tcPr>
            <w:tcW w:w="238" w:type="pct"/>
            <w:shd w:val="clear" w:color="auto" w:fill="C6EFCE"/>
            <w:noWrap/>
            <w:vAlign w:val="center"/>
          </w:tcPr>
          <w:p w14:paraId="62BB211B" w14:textId="77777777" w:rsidR="00154E32" w:rsidRDefault="00A43E04">
            <w:pPr>
              <w:pStyle w:val="P68B1DB1-Normal11"/>
              <w:jc w:val="center"/>
              <w:rPr>
                <w:noProof/>
              </w:rPr>
            </w:pPr>
            <w:r>
              <w:rPr>
                <w:noProof/>
              </w:rPr>
              <w:t>2024</w:t>
            </w:r>
          </w:p>
        </w:tc>
        <w:tc>
          <w:tcPr>
            <w:tcW w:w="1047" w:type="pct"/>
            <w:shd w:val="clear" w:color="auto" w:fill="C6EFCE"/>
            <w:noWrap/>
            <w:vAlign w:val="center"/>
          </w:tcPr>
          <w:p w14:paraId="3FF1FBAD" w14:textId="77777777" w:rsidR="00154E32" w:rsidRDefault="00A43E04">
            <w:pPr>
              <w:pStyle w:val="P68B1DB1-Normal11"/>
              <w:rPr>
                <w:noProof/>
              </w:rPr>
            </w:pPr>
            <w:r>
              <w:rPr>
                <w:noProof/>
              </w:rPr>
              <w:t>Oddaja naročil za posege v gradnjo in prenovo športnih objektov in telovadnic v skladu s pogoji, določenimi z odlokom ministrstva za šolstvo, in po postopku javnega razpisa. Dodelitev je v skladu s tehničnimi smernicami, da se ne škoduje bistveno (2021/C58/01), in sicer z uporabo seznama za izključitev in zahtevo po skladnosti z ustrezno okoljsko zakonodajo EU in nacionalno okoljsko zakonodajo.</w:t>
            </w:r>
          </w:p>
          <w:p w14:paraId="4150E0C8" w14:textId="77777777" w:rsidR="00154E32" w:rsidRDefault="00154E32">
            <w:pPr>
              <w:rPr>
                <w:rFonts w:ascii="Arial Narrow" w:hAnsi="Arial Narrow"/>
                <w:noProof/>
                <w:color w:val="006100"/>
                <w:sz w:val="20"/>
              </w:rPr>
            </w:pPr>
          </w:p>
          <w:p w14:paraId="56CC36B1" w14:textId="77777777" w:rsidR="00154E32" w:rsidRDefault="00154E32">
            <w:pPr>
              <w:rPr>
                <w:rFonts w:ascii="Arial Narrow" w:hAnsi="Arial Narrow"/>
                <w:noProof/>
                <w:color w:val="006100"/>
                <w:sz w:val="20"/>
              </w:rPr>
            </w:pPr>
          </w:p>
          <w:p w14:paraId="735AFC90" w14:textId="77777777" w:rsidR="00154E32" w:rsidRDefault="00A43E04">
            <w:pPr>
              <w:pStyle w:val="P68B1DB1-Normal11"/>
              <w:rPr>
                <w:noProof/>
              </w:rPr>
            </w:pPr>
            <w:r>
              <w:rPr>
                <w:noProof/>
              </w:rPr>
              <w:t>Naložbeni načrt bo zgradil in prenovil športne objekte in telovadnice, povezane s šolami, da bi se povečala ponudba izobraževanja in okrepile šolske zmogljivosti, kar bo spodbudilo podaljšanje šolskega časa. Pobuda naj bi spodbujala povezovanje šole z okoliškimi območji ter okrepila športne in motorične dejavnosti.</w:t>
            </w:r>
          </w:p>
          <w:p w14:paraId="04981F78" w14:textId="77777777" w:rsidR="00154E32" w:rsidRDefault="00154E32">
            <w:pPr>
              <w:rPr>
                <w:rFonts w:ascii="Arial Narrow" w:hAnsi="Arial Narrow"/>
                <w:noProof/>
                <w:color w:val="006100"/>
                <w:sz w:val="20"/>
              </w:rPr>
            </w:pPr>
          </w:p>
        </w:tc>
      </w:tr>
      <w:tr w:rsidR="00154E32" w14:paraId="64647706" w14:textId="77777777">
        <w:trPr>
          <w:trHeight w:val="309"/>
        </w:trPr>
        <w:tc>
          <w:tcPr>
            <w:tcW w:w="380" w:type="pct"/>
            <w:shd w:val="clear" w:color="auto" w:fill="C6EFCE"/>
            <w:noWrap/>
            <w:vAlign w:val="center"/>
          </w:tcPr>
          <w:p w14:paraId="0FEC9DEB" w14:textId="77777777" w:rsidR="00154E32" w:rsidRDefault="00A43E04">
            <w:pPr>
              <w:pStyle w:val="P68B1DB1-Normal11"/>
              <w:jc w:val="center"/>
              <w:rPr>
                <w:noProof/>
              </w:rPr>
            </w:pPr>
            <w:r>
              <w:rPr>
                <w:noProof/>
              </w:rPr>
              <w:t>M4C1–9</w:t>
            </w:r>
          </w:p>
        </w:tc>
        <w:tc>
          <w:tcPr>
            <w:tcW w:w="500" w:type="pct"/>
            <w:shd w:val="clear" w:color="auto" w:fill="C6EFCE"/>
            <w:noWrap/>
            <w:vAlign w:val="center"/>
          </w:tcPr>
          <w:p w14:paraId="0373053C" w14:textId="77777777" w:rsidR="00154E32" w:rsidRDefault="00A43E04">
            <w:pPr>
              <w:pStyle w:val="P68B1DB1-Normal11"/>
              <w:jc w:val="center"/>
              <w:rPr>
                <w:noProof/>
              </w:rPr>
            </w:pPr>
            <w:r>
              <w:rPr>
                <w:noProof/>
              </w:rPr>
              <w:t>Naložba 1.1: Načrt za vrtce in predšolske otroke ter storitve predšolske vzgoje in varstva</w:t>
            </w:r>
          </w:p>
        </w:tc>
        <w:tc>
          <w:tcPr>
            <w:tcW w:w="358" w:type="pct"/>
            <w:shd w:val="clear" w:color="auto" w:fill="C6EFCE"/>
            <w:noWrap/>
            <w:vAlign w:val="center"/>
          </w:tcPr>
          <w:p w14:paraId="6E9C7F7F" w14:textId="77777777" w:rsidR="00154E32" w:rsidRDefault="00A43E04">
            <w:pPr>
              <w:pStyle w:val="P68B1DB1-Normal11"/>
              <w:jc w:val="center"/>
              <w:rPr>
                <w:noProof/>
              </w:rPr>
            </w:pPr>
            <w:r>
              <w:rPr>
                <w:noProof/>
              </w:rPr>
              <w:t>Mejnik</w:t>
            </w:r>
          </w:p>
        </w:tc>
        <w:tc>
          <w:tcPr>
            <w:tcW w:w="572" w:type="pct"/>
            <w:shd w:val="clear" w:color="auto" w:fill="C6EFCE"/>
            <w:noWrap/>
            <w:vAlign w:val="center"/>
          </w:tcPr>
          <w:p w14:paraId="04D42DE4" w14:textId="14D9C68F" w:rsidR="00154E32" w:rsidRDefault="00A43E04">
            <w:pPr>
              <w:pStyle w:val="P68B1DB1-Normal11"/>
              <w:jc w:val="center"/>
              <w:rPr>
                <w:noProof/>
              </w:rPr>
            </w:pPr>
            <w:r>
              <w:rPr>
                <w:noProof/>
              </w:rPr>
              <w:t>Oddaja naročil za gradnjo, prenovo in zagotavljanje varnosti vrtcev, predšolske vzgoje in varstva</w:t>
            </w:r>
          </w:p>
        </w:tc>
        <w:tc>
          <w:tcPr>
            <w:tcW w:w="480" w:type="pct"/>
            <w:shd w:val="clear" w:color="auto" w:fill="C6EFCE"/>
            <w:noWrap/>
            <w:vAlign w:val="center"/>
          </w:tcPr>
          <w:p w14:paraId="5AF135F4" w14:textId="77777777" w:rsidR="00154E32" w:rsidRDefault="00154E32">
            <w:pPr>
              <w:jc w:val="center"/>
              <w:rPr>
                <w:rFonts w:ascii="Arial Narrow" w:hAnsi="Arial Narrow"/>
                <w:noProof/>
                <w:color w:val="006100"/>
                <w:sz w:val="20"/>
              </w:rPr>
            </w:pPr>
          </w:p>
          <w:p w14:paraId="72AFBF55" w14:textId="77777777" w:rsidR="00154E32" w:rsidRDefault="00A43E04">
            <w:pPr>
              <w:pStyle w:val="P68B1DB1-Normal11"/>
              <w:jc w:val="center"/>
              <w:rPr>
                <w:noProof/>
              </w:rPr>
            </w:pPr>
            <w:r>
              <w:rPr>
                <w:noProof/>
              </w:rPr>
              <w:t>Uradno obvestilo lokalnih organov upravičencev o financiranju oddaje javnih naročil za prvi sklop upravičenih intervencij</w:t>
            </w:r>
          </w:p>
        </w:tc>
        <w:tc>
          <w:tcPr>
            <w:tcW w:w="422" w:type="pct"/>
            <w:shd w:val="clear" w:color="auto" w:fill="C6EFCE"/>
            <w:noWrap/>
            <w:vAlign w:val="center"/>
          </w:tcPr>
          <w:p w14:paraId="5B4C1D15" w14:textId="77777777" w:rsidR="00154E32" w:rsidRDefault="00A43E04">
            <w:pPr>
              <w:pStyle w:val="P68B1DB1-Normal11"/>
              <w:jc w:val="center"/>
              <w:rPr>
                <w:noProof/>
              </w:rPr>
            </w:pPr>
            <w:r>
              <w:rPr>
                <w:noProof/>
              </w:rPr>
              <w:t>JIH NI</w:t>
            </w:r>
          </w:p>
        </w:tc>
        <w:tc>
          <w:tcPr>
            <w:tcW w:w="375" w:type="pct"/>
            <w:shd w:val="clear" w:color="auto" w:fill="C6EFCE"/>
            <w:noWrap/>
            <w:vAlign w:val="center"/>
          </w:tcPr>
          <w:p w14:paraId="12049C8D" w14:textId="77777777" w:rsidR="00154E32" w:rsidRDefault="00A43E04">
            <w:pPr>
              <w:pStyle w:val="P68B1DB1-Normal11"/>
              <w:jc w:val="center"/>
              <w:rPr>
                <w:noProof/>
              </w:rPr>
            </w:pPr>
            <w:r>
              <w:rPr>
                <w:noProof/>
              </w:rPr>
              <w:t>JIH NI</w:t>
            </w:r>
          </w:p>
        </w:tc>
        <w:tc>
          <w:tcPr>
            <w:tcW w:w="343" w:type="pct"/>
            <w:shd w:val="clear" w:color="auto" w:fill="C6EFCE"/>
            <w:noWrap/>
            <w:vAlign w:val="center"/>
          </w:tcPr>
          <w:p w14:paraId="55F6929B" w14:textId="77777777" w:rsidR="00154E32" w:rsidRDefault="00A43E04">
            <w:pPr>
              <w:pStyle w:val="P68B1DB1-Normal11"/>
              <w:jc w:val="center"/>
              <w:rPr>
                <w:noProof/>
              </w:rPr>
            </w:pPr>
            <w:r>
              <w:rPr>
                <w:noProof/>
              </w:rPr>
              <w:t>JIH NI</w:t>
            </w:r>
          </w:p>
        </w:tc>
        <w:tc>
          <w:tcPr>
            <w:tcW w:w="286" w:type="pct"/>
            <w:shd w:val="clear" w:color="auto" w:fill="C6EFCE"/>
            <w:noWrap/>
            <w:vAlign w:val="center"/>
          </w:tcPr>
          <w:p w14:paraId="6F6325CA" w14:textId="77777777" w:rsidR="00154E32" w:rsidRDefault="00A43E04">
            <w:pPr>
              <w:pStyle w:val="P68B1DB1-Normal11"/>
              <w:jc w:val="center"/>
              <w:rPr>
                <w:noProof/>
              </w:rPr>
            </w:pPr>
            <w:r>
              <w:rPr>
                <w:noProof/>
              </w:rPr>
              <w:t>Q2</w:t>
            </w:r>
          </w:p>
        </w:tc>
        <w:tc>
          <w:tcPr>
            <w:tcW w:w="238" w:type="pct"/>
            <w:shd w:val="clear" w:color="auto" w:fill="C6EFCE"/>
            <w:noWrap/>
            <w:vAlign w:val="center"/>
          </w:tcPr>
          <w:p w14:paraId="49AD9C49" w14:textId="77777777" w:rsidR="00154E32" w:rsidRDefault="00A43E04">
            <w:pPr>
              <w:pStyle w:val="P68B1DB1-Normal11"/>
              <w:jc w:val="center"/>
              <w:rPr>
                <w:noProof/>
              </w:rPr>
            </w:pPr>
            <w:r>
              <w:rPr>
                <w:noProof/>
              </w:rPr>
              <w:t>2023</w:t>
            </w:r>
          </w:p>
        </w:tc>
        <w:tc>
          <w:tcPr>
            <w:tcW w:w="1047" w:type="pct"/>
            <w:shd w:val="clear" w:color="auto" w:fill="C6EFCE"/>
            <w:noWrap/>
            <w:vAlign w:val="center"/>
          </w:tcPr>
          <w:p w14:paraId="2451778F" w14:textId="77777777" w:rsidR="00154E32" w:rsidRDefault="00A43E04">
            <w:pPr>
              <w:pStyle w:val="P68B1DB1-Normal11"/>
              <w:rPr>
                <w:noProof/>
              </w:rPr>
            </w:pPr>
            <w:r>
              <w:rPr>
                <w:noProof/>
              </w:rPr>
              <w:t>Oddaja javnih naročil in ozemeljska porazdelitev storitev otroškega varstva, predšolske vzgoje in varstva. Dodelitev se izvede v skladu s tehničnimi smernicami, da se ne škoduje bistveno (2021/C58/01), in sicer z uporabo seznama za izključitev in zahtevo po skladnosti z ustrezno okoljsko zakonodajo EU in nacionalno okoljsko zakonodajo.</w:t>
            </w:r>
          </w:p>
        </w:tc>
      </w:tr>
      <w:tr w:rsidR="00154E32" w14:paraId="18F10699" w14:textId="77777777">
        <w:trPr>
          <w:trHeight w:val="309"/>
        </w:trPr>
        <w:tc>
          <w:tcPr>
            <w:tcW w:w="380" w:type="pct"/>
            <w:shd w:val="clear" w:color="auto" w:fill="C6EFCE"/>
            <w:noWrap/>
            <w:vAlign w:val="center"/>
          </w:tcPr>
          <w:p w14:paraId="7D37055B" w14:textId="77777777" w:rsidR="00154E32" w:rsidRDefault="00A43E04">
            <w:pPr>
              <w:pStyle w:val="P68B1DB1-Normal11"/>
              <w:jc w:val="center"/>
              <w:rPr>
                <w:noProof/>
              </w:rPr>
            </w:pPr>
            <w:r>
              <w:rPr>
                <w:noProof/>
              </w:rPr>
              <w:t>M4C1–10</w:t>
            </w:r>
          </w:p>
        </w:tc>
        <w:tc>
          <w:tcPr>
            <w:tcW w:w="500" w:type="pct"/>
            <w:shd w:val="clear" w:color="auto" w:fill="C6EFCE"/>
            <w:noWrap/>
            <w:vAlign w:val="center"/>
          </w:tcPr>
          <w:p w14:paraId="42D56EA4" w14:textId="77777777" w:rsidR="00154E32" w:rsidRDefault="00A43E04">
            <w:pPr>
              <w:pStyle w:val="P68B1DB1-Normal11"/>
              <w:jc w:val="center"/>
              <w:rPr>
                <w:noProof/>
              </w:rPr>
            </w:pPr>
            <w:r>
              <w:rPr>
                <w:noProof/>
              </w:rPr>
              <w:t>Reforma 2.1: Zaposlovanje učiteljev; Reforma 1.3: Reorganizacija šolskega sistema; Reforma 1.2: Reforma sistema terciarnega poklicnega usposabljanja (ITS); Reforma 1.4: Reforma „usmeritvenega“ sistema; Reforma 1.5: Reforma skupin univerzitetnih diplom; Reforma 1.6: Omogočanje reforme univerzitetnih diplom</w:t>
            </w:r>
          </w:p>
        </w:tc>
        <w:tc>
          <w:tcPr>
            <w:tcW w:w="358" w:type="pct"/>
            <w:shd w:val="clear" w:color="auto" w:fill="C6EFCE"/>
            <w:noWrap/>
            <w:vAlign w:val="center"/>
          </w:tcPr>
          <w:p w14:paraId="110269B7" w14:textId="77777777" w:rsidR="00154E32" w:rsidRDefault="00A43E04">
            <w:pPr>
              <w:pStyle w:val="P68B1DB1-Normal11"/>
              <w:jc w:val="center"/>
              <w:rPr>
                <w:noProof/>
              </w:rPr>
            </w:pPr>
            <w:r>
              <w:rPr>
                <w:noProof/>
              </w:rPr>
              <w:t>Mejnik</w:t>
            </w:r>
          </w:p>
        </w:tc>
        <w:tc>
          <w:tcPr>
            <w:tcW w:w="572" w:type="pct"/>
            <w:shd w:val="clear" w:color="auto" w:fill="C6EFCE"/>
            <w:noWrap/>
            <w:vAlign w:val="center"/>
          </w:tcPr>
          <w:p w14:paraId="249E46AE" w14:textId="77777777" w:rsidR="00154E32" w:rsidRDefault="00A43E04">
            <w:pPr>
              <w:pStyle w:val="P68B1DB1-Normal11"/>
              <w:jc w:val="center"/>
              <w:rPr>
                <w:noProof/>
              </w:rPr>
            </w:pPr>
            <w:r>
              <w:rPr>
                <w:noProof/>
              </w:rPr>
              <w:t>Začetek veljavnosti predpisov za učinkovito izvajanje in uporabo vseh ukrepov v zvezi z reformami osnovnošolskega, srednješolskega in terciarnega izobraževanja, kjer je to potrebno</w:t>
            </w:r>
          </w:p>
        </w:tc>
        <w:tc>
          <w:tcPr>
            <w:tcW w:w="480" w:type="pct"/>
            <w:shd w:val="clear" w:color="auto" w:fill="C6EFCE"/>
            <w:noWrap/>
            <w:vAlign w:val="center"/>
          </w:tcPr>
          <w:p w14:paraId="670A59B3" w14:textId="77777777" w:rsidR="00154E32" w:rsidRDefault="00A43E04">
            <w:pPr>
              <w:pStyle w:val="P68B1DB1-Normal11"/>
              <w:jc w:val="center"/>
              <w:rPr>
                <w:noProof/>
                <w:color w:val="375623"/>
              </w:rPr>
            </w:pPr>
            <w:r>
              <w:rPr>
                <w:noProof/>
              </w:rPr>
              <w:t>Določba zakona o začetku veljavnosti predpisov.</w:t>
            </w:r>
          </w:p>
        </w:tc>
        <w:tc>
          <w:tcPr>
            <w:tcW w:w="422" w:type="pct"/>
            <w:shd w:val="clear" w:color="auto" w:fill="C6EFCE"/>
            <w:noWrap/>
            <w:vAlign w:val="center"/>
          </w:tcPr>
          <w:p w14:paraId="132015BA" w14:textId="77777777" w:rsidR="00154E32" w:rsidRDefault="00A43E04">
            <w:pPr>
              <w:pStyle w:val="P68B1DB1-Normal11"/>
              <w:jc w:val="center"/>
              <w:rPr>
                <w:noProof/>
              </w:rPr>
            </w:pPr>
            <w:r>
              <w:rPr>
                <w:noProof/>
              </w:rPr>
              <w:t>JIH NI</w:t>
            </w:r>
          </w:p>
        </w:tc>
        <w:tc>
          <w:tcPr>
            <w:tcW w:w="375" w:type="pct"/>
            <w:shd w:val="clear" w:color="auto" w:fill="C6EFCE"/>
            <w:noWrap/>
            <w:vAlign w:val="center"/>
          </w:tcPr>
          <w:p w14:paraId="50EE310C" w14:textId="77777777" w:rsidR="00154E32" w:rsidRDefault="00A43E04">
            <w:pPr>
              <w:pStyle w:val="P68B1DB1-Normal11"/>
              <w:jc w:val="center"/>
              <w:rPr>
                <w:noProof/>
              </w:rPr>
            </w:pPr>
            <w:r>
              <w:rPr>
                <w:noProof/>
              </w:rPr>
              <w:t>JIH NI</w:t>
            </w:r>
          </w:p>
        </w:tc>
        <w:tc>
          <w:tcPr>
            <w:tcW w:w="343" w:type="pct"/>
            <w:shd w:val="clear" w:color="auto" w:fill="C6EFCE"/>
            <w:noWrap/>
            <w:vAlign w:val="center"/>
          </w:tcPr>
          <w:p w14:paraId="5CDC8734" w14:textId="77777777" w:rsidR="00154E32" w:rsidRDefault="00A43E04">
            <w:pPr>
              <w:pStyle w:val="P68B1DB1-Normal11"/>
              <w:jc w:val="center"/>
              <w:rPr>
                <w:noProof/>
              </w:rPr>
            </w:pPr>
            <w:r>
              <w:rPr>
                <w:noProof/>
              </w:rPr>
              <w:t>JIH NI</w:t>
            </w:r>
          </w:p>
        </w:tc>
        <w:tc>
          <w:tcPr>
            <w:tcW w:w="286" w:type="pct"/>
            <w:shd w:val="clear" w:color="auto" w:fill="C6EFCE"/>
            <w:noWrap/>
            <w:vAlign w:val="center"/>
          </w:tcPr>
          <w:p w14:paraId="133BBAAC" w14:textId="77777777" w:rsidR="00154E32" w:rsidRDefault="00A43E04">
            <w:pPr>
              <w:pStyle w:val="P68B1DB1-Normal11"/>
              <w:jc w:val="center"/>
              <w:rPr>
                <w:noProof/>
              </w:rPr>
            </w:pPr>
            <w:r>
              <w:rPr>
                <w:noProof/>
              </w:rPr>
              <w:t>Q4</w:t>
            </w:r>
          </w:p>
        </w:tc>
        <w:tc>
          <w:tcPr>
            <w:tcW w:w="238" w:type="pct"/>
            <w:shd w:val="clear" w:color="auto" w:fill="C6EFCE"/>
            <w:noWrap/>
            <w:vAlign w:val="center"/>
          </w:tcPr>
          <w:p w14:paraId="757517B9" w14:textId="77777777" w:rsidR="00154E32" w:rsidRDefault="00A43E04">
            <w:pPr>
              <w:pStyle w:val="P68B1DB1-Normal11"/>
              <w:jc w:val="center"/>
              <w:rPr>
                <w:noProof/>
              </w:rPr>
            </w:pPr>
            <w:r>
              <w:rPr>
                <w:noProof/>
              </w:rPr>
              <w:t>2023</w:t>
            </w:r>
          </w:p>
        </w:tc>
        <w:tc>
          <w:tcPr>
            <w:tcW w:w="1047" w:type="pct"/>
            <w:shd w:val="clear" w:color="auto" w:fill="C6EFCE"/>
            <w:noWrap/>
            <w:vAlign w:val="center"/>
          </w:tcPr>
          <w:p w14:paraId="281BF9BD" w14:textId="77777777" w:rsidR="00154E32" w:rsidRDefault="00A43E04">
            <w:pPr>
              <w:pStyle w:val="P68B1DB1-Normal11"/>
              <w:rPr>
                <w:noProof/>
              </w:rPr>
            </w:pPr>
            <w:r>
              <w:rPr>
                <w:noProof/>
              </w:rPr>
              <w:t>Sekundarna zakonodaja vključuje vse potrebne predpise za učinkovito izvajanje in uporabo vseh ukrepov v zvezi z reformami primarnega, sekundarnega in terciarnega izobraževanja:</w:t>
            </w:r>
          </w:p>
          <w:p w14:paraId="54487FEE" w14:textId="77777777" w:rsidR="00154E32" w:rsidRDefault="00A43E04">
            <w:pPr>
              <w:pStyle w:val="P68B1DB1-Normal11"/>
              <w:rPr>
                <w:noProof/>
              </w:rPr>
            </w:pPr>
            <w:r>
              <w:rPr>
                <w:noProof/>
              </w:rPr>
              <w:t>— Reforme sistema terciarnega izobraževanja za izboljšanje rezultatov izobraževanja (primarna zakonodaja) o: a) omogočanje univerzitetnih diplom; b) skupine univerzitetnih diplom; c) reforma doktorskih programov;</w:t>
            </w:r>
          </w:p>
          <w:p w14:paraId="7C60B71B" w14:textId="77777777" w:rsidR="00154E32" w:rsidRDefault="00A43E04">
            <w:pPr>
              <w:pStyle w:val="P68B1DB1-Normal11"/>
              <w:rPr>
                <w:noProof/>
              </w:rPr>
            </w:pPr>
            <w:r>
              <w:rPr>
                <w:noProof/>
              </w:rPr>
              <w:t>Ministrski odloki za reformo štipendij za izboljšanje dostopa do terciarnega izobraževanja;</w:t>
            </w:r>
          </w:p>
          <w:p w14:paraId="255D8B5C" w14:textId="77777777" w:rsidR="00154E32" w:rsidRDefault="00A43E04">
            <w:pPr>
              <w:pStyle w:val="P68B1DB1-Normal11"/>
              <w:rPr>
                <w:noProof/>
              </w:rPr>
            </w:pPr>
            <w:r>
              <w:rPr>
                <w:noProof/>
              </w:rPr>
              <w:t>— Reformo učiteljskega poklica;</w:t>
            </w:r>
          </w:p>
          <w:p w14:paraId="10B80857" w14:textId="77777777" w:rsidR="00154E32" w:rsidRDefault="00A43E04">
            <w:pPr>
              <w:pStyle w:val="P68B1DB1-Normal11"/>
              <w:rPr>
                <w:noProof/>
              </w:rPr>
            </w:pPr>
            <w:r>
              <w:rPr>
                <w:noProof/>
              </w:rPr>
              <w:t>Reforme osnovnošolskega in srednješolskega izobraževalnega sistema za izboljšanje rezultatov izobraževanja;</w:t>
            </w:r>
          </w:p>
          <w:p w14:paraId="3B84CC4F" w14:textId="1DE5D471" w:rsidR="00154E32" w:rsidRDefault="00A43E04">
            <w:pPr>
              <w:pStyle w:val="P68B1DB1-Normal11"/>
              <w:rPr>
                <w:noProof/>
              </w:rPr>
            </w:pPr>
            <w:r>
              <w:rPr>
                <w:noProof/>
              </w:rPr>
              <w:t xml:space="preserve">— Namen zakonodaje je bil vzpostaviti sistem kakovostnega usposabljanja za šole. </w:t>
            </w:r>
          </w:p>
          <w:p w14:paraId="709ED8D3" w14:textId="77777777" w:rsidR="00154E32" w:rsidRDefault="00154E32">
            <w:pPr>
              <w:rPr>
                <w:rFonts w:ascii="Arial Narrow" w:hAnsi="Arial Narrow"/>
                <w:noProof/>
                <w:color w:val="006100"/>
                <w:sz w:val="20"/>
              </w:rPr>
            </w:pPr>
          </w:p>
        </w:tc>
      </w:tr>
      <w:tr w:rsidR="00154E32" w14:paraId="5FFCC573" w14:textId="77777777">
        <w:trPr>
          <w:trHeight w:val="309"/>
        </w:trPr>
        <w:tc>
          <w:tcPr>
            <w:tcW w:w="380" w:type="pct"/>
            <w:shd w:val="clear" w:color="auto" w:fill="C6EFCE"/>
            <w:noWrap/>
            <w:vAlign w:val="center"/>
          </w:tcPr>
          <w:p w14:paraId="7A9BD381" w14:textId="533D6100" w:rsidR="00154E32" w:rsidRDefault="00A43E04">
            <w:pPr>
              <w:pStyle w:val="P68B1DB1-Normal11"/>
              <w:jc w:val="center"/>
              <w:rPr>
                <w:noProof/>
              </w:rPr>
            </w:pPr>
            <w:r>
              <w:rPr>
                <w:noProof/>
              </w:rPr>
              <w:t>M4C1–10 bis</w:t>
            </w:r>
          </w:p>
        </w:tc>
        <w:tc>
          <w:tcPr>
            <w:tcW w:w="500" w:type="pct"/>
            <w:shd w:val="clear" w:color="auto" w:fill="C6EFCE"/>
            <w:noWrap/>
            <w:vAlign w:val="center"/>
          </w:tcPr>
          <w:p w14:paraId="470DE403" w14:textId="74BF205A" w:rsidR="00154E32" w:rsidRDefault="00A43E04">
            <w:pPr>
              <w:pStyle w:val="P68B1DB1-Normal11"/>
              <w:jc w:val="center"/>
              <w:rPr>
                <w:noProof/>
              </w:rPr>
            </w:pPr>
            <w:r>
              <w:rPr>
                <w:noProof/>
              </w:rPr>
              <w:t>Reforma 1.1: Reforma tehničnih in strokovnih inštitutov</w:t>
            </w:r>
          </w:p>
        </w:tc>
        <w:tc>
          <w:tcPr>
            <w:tcW w:w="358" w:type="pct"/>
            <w:shd w:val="clear" w:color="auto" w:fill="C6EFCE"/>
            <w:noWrap/>
            <w:vAlign w:val="center"/>
          </w:tcPr>
          <w:p w14:paraId="7AF13382" w14:textId="6349175A" w:rsidR="00154E32" w:rsidRDefault="00A43E04">
            <w:pPr>
              <w:pStyle w:val="P68B1DB1-Normal11"/>
              <w:jc w:val="center"/>
              <w:rPr>
                <w:noProof/>
              </w:rPr>
            </w:pPr>
            <w:r>
              <w:rPr>
                <w:noProof/>
              </w:rPr>
              <w:t>Mejnik</w:t>
            </w:r>
          </w:p>
        </w:tc>
        <w:tc>
          <w:tcPr>
            <w:tcW w:w="572" w:type="pct"/>
            <w:shd w:val="clear" w:color="auto" w:fill="C6EFCE"/>
            <w:noWrap/>
            <w:vAlign w:val="center"/>
          </w:tcPr>
          <w:p w14:paraId="1251FC10" w14:textId="0611BEE0" w:rsidR="00154E32" w:rsidRDefault="00A43E04">
            <w:pPr>
              <w:pStyle w:val="P68B1DB1-Normal11"/>
              <w:jc w:val="center"/>
              <w:rPr>
                <w:noProof/>
              </w:rPr>
            </w:pPr>
            <w:r>
              <w:rPr>
                <w:noProof/>
              </w:rPr>
              <w:t>Začetek veljavnosti sekundarne zakonodaje.</w:t>
            </w:r>
          </w:p>
        </w:tc>
        <w:tc>
          <w:tcPr>
            <w:tcW w:w="480" w:type="pct"/>
            <w:shd w:val="clear" w:color="auto" w:fill="C6EFCE"/>
            <w:noWrap/>
            <w:vAlign w:val="center"/>
          </w:tcPr>
          <w:p w14:paraId="6E3FB2C6" w14:textId="69604A67" w:rsidR="00154E32" w:rsidRDefault="00A43E04">
            <w:pPr>
              <w:pStyle w:val="P68B1DB1-Normal11"/>
              <w:jc w:val="center"/>
              <w:rPr>
                <w:noProof/>
              </w:rPr>
            </w:pPr>
            <w:r>
              <w:rPr>
                <w:noProof/>
              </w:rPr>
              <w:t>Določba zakona o začetku veljavnosti sekundarne zakonodaje.</w:t>
            </w:r>
          </w:p>
        </w:tc>
        <w:tc>
          <w:tcPr>
            <w:tcW w:w="422" w:type="pct"/>
            <w:shd w:val="clear" w:color="auto" w:fill="C6EFCE"/>
            <w:noWrap/>
            <w:vAlign w:val="center"/>
          </w:tcPr>
          <w:p w14:paraId="1CBA4247" w14:textId="78F7B6FA" w:rsidR="00154E32" w:rsidRDefault="00A43E04">
            <w:pPr>
              <w:pStyle w:val="P68B1DB1-Normal11"/>
              <w:jc w:val="center"/>
              <w:rPr>
                <w:noProof/>
              </w:rPr>
            </w:pPr>
            <w:r>
              <w:rPr>
                <w:noProof/>
              </w:rPr>
              <w:t>JIH NI</w:t>
            </w:r>
          </w:p>
        </w:tc>
        <w:tc>
          <w:tcPr>
            <w:tcW w:w="375" w:type="pct"/>
            <w:shd w:val="clear" w:color="auto" w:fill="C6EFCE"/>
            <w:noWrap/>
            <w:vAlign w:val="center"/>
          </w:tcPr>
          <w:p w14:paraId="308D6A72" w14:textId="52337F71" w:rsidR="00154E32" w:rsidRDefault="00A43E04">
            <w:pPr>
              <w:pStyle w:val="P68B1DB1-Normal11"/>
              <w:jc w:val="center"/>
              <w:rPr>
                <w:noProof/>
              </w:rPr>
            </w:pPr>
            <w:r>
              <w:rPr>
                <w:noProof/>
              </w:rPr>
              <w:t>JIH NI</w:t>
            </w:r>
          </w:p>
        </w:tc>
        <w:tc>
          <w:tcPr>
            <w:tcW w:w="343" w:type="pct"/>
            <w:shd w:val="clear" w:color="auto" w:fill="C6EFCE"/>
            <w:noWrap/>
            <w:vAlign w:val="center"/>
          </w:tcPr>
          <w:p w14:paraId="3C396A49" w14:textId="1CACFE2D" w:rsidR="00154E32" w:rsidRDefault="00A43E04">
            <w:pPr>
              <w:pStyle w:val="P68B1DB1-Normal11"/>
              <w:jc w:val="center"/>
              <w:rPr>
                <w:noProof/>
              </w:rPr>
            </w:pPr>
            <w:r>
              <w:rPr>
                <w:noProof/>
              </w:rPr>
              <w:t>JIH NI</w:t>
            </w:r>
          </w:p>
        </w:tc>
        <w:tc>
          <w:tcPr>
            <w:tcW w:w="286" w:type="pct"/>
            <w:shd w:val="clear" w:color="auto" w:fill="C6EFCE"/>
            <w:noWrap/>
            <w:vAlign w:val="center"/>
          </w:tcPr>
          <w:p w14:paraId="01AF4851" w14:textId="339FBBF2" w:rsidR="00154E32" w:rsidRDefault="00A43E04">
            <w:pPr>
              <w:pStyle w:val="P68B1DB1-Normal11"/>
              <w:jc w:val="center"/>
              <w:rPr>
                <w:noProof/>
              </w:rPr>
            </w:pPr>
            <w:r>
              <w:rPr>
                <w:noProof/>
              </w:rPr>
              <w:t xml:space="preserve">Q4 </w:t>
            </w:r>
          </w:p>
        </w:tc>
        <w:tc>
          <w:tcPr>
            <w:tcW w:w="238" w:type="pct"/>
            <w:shd w:val="clear" w:color="auto" w:fill="C6EFCE"/>
            <w:noWrap/>
            <w:vAlign w:val="center"/>
          </w:tcPr>
          <w:p w14:paraId="3C75FE14" w14:textId="11FA0437" w:rsidR="00154E32" w:rsidRDefault="00A43E04">
            <w:pPr>
              <w:pStyle w:val="P68B1DB1-Normal11"/>
              <w:jc w:val="center"/>
              <w:rPr>
                <w:noProof/>
              </w:rPr>
            </w:pPr>
            <w:r>
              <w:rPr>
                <w:noProof/>
              </w:rPr>
              <w:t>2024</w:t>
            </w:r>
          </w:p>
        </w:tc>
        <w:tc>
          <w:tcPr>
            <w:tcW w:w="1047" w:type="pct"/>
            <w:shd w:val="clear" w:color="auto" w:fill="C6EFCE"/>
            <w:noWrap/>
            <w:vAlign w:val="center"/>
          </w:tcPr>
          <w:p w14:paraId="15A11705" w14:textId="3F806887" w:rsidR="00154E32" w:rsidRDefault="00A43E04">
            <w:pPr>
              <w:pStyle w:val="P68B1DB1-Normal11"/>
              <w:rPr>
                <w:noProof/>
              </w:rPr>
            </w:pPr>
            <w:r>
              <w:rPr>
                <w:noProof/>
              </w:rPr>
              <w:t>Začela je veljati sekundarna zakonodaja o reformi tehničnih in strokovnih inštitutov.</w:t>
            </w:r>
          </w:p>
        </w:tc>
      </w:tr>
      <w:tr w:rsidR="00154E32" w14:paraId="4737FB24" w14:textId="77777777">
        <w:trPr>
          <w:trHeight w:val="309"/>
        </w:trPr>
        <w:tc>
          <w:tcPr>
            <w:tcW w:w="380" w:type="pct"/>
            <w:shd w:val="clear" w:color="auto" w:fill="C6EFCE"/>
            <w:noWrap/>
            <w:vAlign w:val="center"/>
          </w:tcPr>
          <w:p w14:paraId="43BA2B4A" w14:textId="3AA3D3AA" w:rsidR="00154E32" w:rsidRDefault="00A43E04">
            <w:pPr>
              <w:pStyle w:val="P68B1DB1-Normal11"/>
              <w:jc w:val="center"/>
              <w:rPr>
                <w:noProof/>
              </w:rPr>
            </w:pPr>
            <w:r>
              <w:rPr>
                <w:noProof/>
              </w:rPr>
              <w:t>M4C1–11</w:t>
            </w:r>
          </w:p>
        </w:tc>
        <w:tc>
          <w:tcPr>
            <w:tcW w:w="500" w:type="pct"/>
            <w:shd w:val="clear" w:color="auto" w:fill="C6EFCE"/>
            <w:noWrap/>
            <w:vAlign w:val="center"/>
          </w:tcPr>
          <w:p w14:paraId="3681E591" w14:textId="7E29CAF6" w:rsidR="00154E32" w:rsidRDefault="00A43E04">
            <w:pPr>
              <w:pStyle w:val="P68B1DB1-Normal11"/>
              <w:jc w:val="center"/>
              <w:rPr>
                <w:noProof/>
              </w:rPr>
            </w:pPr>
            <w:r>
              <w:rPr>
                <w:noProof/>
              </w:rPr>
              <w:t>Naložba 1.7: Štipendije za dostop do univerz</w:t>
            </w:r>
          </w:p>
        </w:tc>
        <w:tc>
          <w:tcPr>
            <w:tcW w:w="358" w:type="pct"/>
            <w:shd w:val="clear" w:color="auto" w:fill="C6EFCE"/>
            <w:noWrap/>
            <w:vAlign w:val="center"/>
          </w:tcPr>
          <w:p w14:paraId="3050BD93" w14:textId="77777777" w:rsidR="00154E32" w:rsidRDefault="00A43E04">
            <w:pPr>
              <w:pStyle w:val="P68B1DB1-Normal11"/>
              <w:jc w:val="center"/>
              <w:rPr>
                <w:noProof/>
              </w:rPr>
            </w:pPr>
            <w:r>
              <w:rPr>
                <w:noProof/>
              </w:rPr>
              <w:t>Tarča</w:t>
            </w:r>
          </w:p>
        </w:tc>
        <w:tc>
          <w:tcPr>
            <w:tcW w:w="572" w:type="pct"/>
            <w:shd w:val="clear" w:color="auto" w:fill="C6EFCE"/>
            <w:noWrap/>
            <w:vAlign w:val="center"/>
          </w:tcPr>
          <w:p w14:paraId="2F663D1B" w14:textId="77777777" w:rsidR="00154E32" w:rsidRDefault="00A43E04">
            <w:pPr>
              <w:pStyle w:val="P68B1DB1-Normal11"/>
              <w:jc w:val="center"/>
              <w:rPr>
                <w:noProof/>
              </w:rPr>
            </w:pPr>
            <w:r>
              <w:rPr>
                <w:noProof/>
              </w:rPr>
              <w:t>Univerzitetna štipendija</w:t>
            </w:r>
          </w:p>
        </w:tc>
        <w:tc>
          <w:tcPr>
            <w:tcW w:w="480" w:type="pct"/>
            <w:shd w:val="clear" w:color="auto" w:fill="C6EFCE"/>
            <w:noWrap/>
            <w:vAlign w:val="center"/>
          </w:tcPr>
          <w:p w14:paraId="004301B0" w14:textId="77777777" w:rsidR="00154E32" w:rsidRDefault="00A43E04">
            <w:pPr>
              <w:pStyle w:val="P68B1DB1-Normal11"/>
              <w:jc w:val="center"/>
              <w:rPr>
                <w:noProof/>
              </w:rPr>
            </w:pPr>
            <w:r>
              <w:rPr>
                <w:noProof/>
              </w:rPr>
              <w:t>JIH NI</w:t>
            </w:r>
          </w:p>
        </w:tc>
        <w:tc>
          <w:tcPr>
            <w:tcW w:w="422" w:type="pct"/>
            <w:shd w:val="clear" w:color="auto" w:fill="C6EFCE"/>
            <w:noWrap/>
            <w:vAlign w:val="center"/>
          </w:tcPr>
          <w:p w14:paraId="25A47E5A" w14:textId="77777777" w:rsidR="00154E32" w:rsidRDefault="00A43E04">
            <w:pPr>
              <w:pStyle w:val="P68B1DB1-Normal11"/>
              <w:jc w:val="center"/>
              <w:rPr>
                <w:noProof/>
              </w:rPr>
            </w:pPr>
            <w:r>
              <w:rPr>
                <w:noProof/>
              </w:rPr>
              <w:t>Število</w:t>
            </w:r>
          </w:p>
        </w:tc>
        <w:tc>
          <w:tcPr>
            <w:tcW w:w="375" w:type="pct"/>
            <w:shd w:val="clear" w:color="auto" w:fill="C6EFCE"/>
            <w:noWrap/>
            <w:vAlign w:val="center"/>
          </w:tcPr>
          <w:p w14:paraId="112E6A8F" w14:textId="6A34CB4F" w:rsidR="00154E32" w:rsidRDefault="00A43E04">
            <w:pPr>
              <w:pStyle w:val="P68B1DB1-Normal11"/>
              <w:jc w:val="center"/>
              <w:rPr>
                <w:noProof/>
              </w:rPr>
            </w:pPr>
            <w:r>
              <w:rPr>
                <w:noProof/>
              </w:rPr>
              <w:t>0</w:t>
            </w:r>
          </w:p>
        </w:tc>
        <w:tc>
          <w:tcPr>
            <w:tcW w:w="343" w:type="pct"/>
            <w:shd w:val="clear" w:color="auto" w:fill="C6EFCE"/>
            <w:noWrap/>
            <w:vAlign w:val="center"/>
          </w:tcPr>
          <w:p w14:paraId="3CBAA0E1" w14:textId="6AAA16B4" w:rsidR="00154E32" w:rsidRDefault="00A43E04">
            <w:pPr>
              <w:pStyle w:val="P68B1DB1-Normal11"/>
              <w:jc w:val="center"/>
              <w:rPr>
                <w:noProof/>
              </w:rPr>
            </w:pPr>
            <w:r>
              <w:rPr>
                <w:noProof/>
              </w:rPr>
              <w:t>55 000</w:t>
            </w:r>
          </w:p>
        </w:tc>
        <w:tc>
          <w:tcPr>
            <w:tcW w:w="286" w:type="pct"/>
            <w:shd w:val="clear" w:color="auto" w:fill="C6EFCE"/>
            <w:noWrap/>
            <w:vAlign w:val="center"/>
          </w:tcPr>
          <w:p w14:paraId="5EBAA2AA" w14:textId="77777777" w:rsidR="00154E32" w:rsidRDefault="00A43E04">
            <w:pPr>
              <w:pStyle w:val="P68B1DB1-Normal11"/>
              <w:jc w:val="center"/>
              <w:rPr>
                <w:noProof/>
              </w:rPr>
            </w:pPr>
            <w:r>
              <w:rPr>
                <w:noProof/>
              </w:rPr>
              <w:t>Q4</w:t>
            </w:r>
          </w:p>
        </w:tc>
        <w:tc>
          <w:tcPr>
            <w:tcW w:w="238" w:type="pct"/>
            <w:shd w:val="clear" w:color="auto" w:fill="C6EFCE"/>
            <w:noWrap/>
            <w:vAlign w:val="center"/>
          </w:tcPr>
          <w:p w14:paraId="38FF462D" w14:textId="77777777" w:rsidR="00154E32" w:rsidRDefault="00A43E04">
            <w:pPr>
              <w:pStyle w:val="P68B1DB1-Normal11"/>
              <w:jc w:val="center"/>
              <w:rPr>
                <w:noProof/>
              </w:rPr>
            </w:pPr>
            <w:r>
              <w:rPr>
                <w:noProof/>
              </w:rPr>
              <w:t>2023</w:t>
            </w:r>
          </w:p>
        </w:tc>
        <w:tc>
          <w:tcPr>
            <w:tcW w:w="1047" w:type="pct"/>
            <w:shd w:val="clear" w:color="auto" w:fill="C6EFCE"/>
            <w:noWrap/>
            <w:vAlign w:val="center"/>
          </w:tcPr>
          <w:p w14:paraId="3433EDD6" w14:textId="203AE3F5" w:rsidR="00154E32" w:rsidRDefault="00A43E04">
            <w:pPr>
              <w:rPr>
                <w:rStyle w:val="normaltextrun"/>
                <w:rFonts w:ascii="Arial Narrow" w:eastAsiaTheme="majorEastAsia" w:hAnsi="Arial Narrow"/>
                <w:noProof/>
                <w:sz w:val="20"/>
              </w:rPr>
            </w:pPr>
            <w:r>
              <w:rPr>
                <w:rFonts w:ascii="Arial Narrow" w:hAnsi="Arial Narrow"/>
                <w:noProof/>
                <w:color w:val="006100"/>
                <w:sz w:val="20"/>
              </w:rPr>
              <w:t>Vsaj 55000 študentov prejme štipendije, ki se financirajo izključno iz sredstev mehanizma za okrevanje in odpornost.</w:t>
            </w:r>
            <w:r>
              <w:rPr>
                <w:rStyle w:val="normaltextrun"/>
                <w:rFonts w:ascii="Arial Narrow" w:hAnsi="Arial Narrow"/>
                <w:noProof/>
                <w:color w:val="006100"/>
                <w:sz w:val="20"/>
                <w:shd w:val="clear" w:color="auto" w:fill="FFFFFF"/>
              </w:rPr>
              <w:t xml:space="preserve"> </w:t>
            </w:r>
          </w:p>
        </w:tc>
      </w:tr>
      <w:tr w:rsidR="00154E32" w14:paraId="1B2ED885" w14:textId="77777777">
        <w:trPr>
          <w:trHeight w:val="309"/>
        </w:trPr>
        <w:tc>
          <w:tcPr>
            <w:tcW w:w="380" w:type="pct"/>
            <w:shd w:val="clear" w:color="auto" w:fill="C6EFCE"/>
            <w:noWrap/>
            <w:vAlign w:val="center"/>
          </w:tcPr>
          <w:p w14:paraId="12427534" w14:textId="3DFEA80A" w:rsidR="00154E32" w:rsidRDefault="00A43E04">
            <w:pPr>
              <w:pStyle w:val="P68B1DB1-Normal11"/>
              <w:jc w:val="center"/>
              <w:rPr>
                <w:noProof/>
              </w:rPr>
            </w:pPr>
            <w:r>
              <w:rPr>
                <w:noProof/>
              </w:rPr>
              <w:t>M4C1–12</w:t>
            </w:r>
          </w:p>
        </w:tc>
        <w:tc>
          <w:tcPr>
            <w:tcW w:w="500" w:type="pct"/>
            <w:shd w:val="clear" w:color="auto" w:fill="C6EFCE"/>
            <w:noWrap/>
            <w:vAlign w:val="center"/>
          </w:tcPr>
          <w:p w14:paraId="1A971360" w14:textId="77777777" w:rsidR="00154E32" w:rsidRDefault="00A43E04">
            <w:pPr>
              <w:pStyle w:val="P68B1DB1-Normal11"/>
              <w:jc w:val="center"/>
              <w:rPr>
                <w:noProof/>
              </w:rPr>
            </w:pPr>
            <w:r>
              <w:rPr>
                <w:noProof/>
              </w:rPr>
              <w:t>Naložba 4.1: Razširitev števila in poklicnih možnosti doktoratov (raziskave, javna uprava in kulturna dediščina)</w:t>
            </w:r>
          </w:p>
        </w:tc>
        <w:tc>
          <w:tcPr>
            <w:tcW w:w="358" w:type="pct"/>
            <w:shd w:val="clear" w:color="auto" w:fill="C6EFCE"/>
            <w:noWrap/>
            <w:vAlign w:val="center"/>
          </w:tcPr>
          <w:p w14:paraId="30CF084B" w14:textId="77777777" w:rsidR="00154E32" w:rsidRDefault="00A43E04">
            <w:pPr>
              <w:pStyle w:val="P68B1DB1-Normal11"/>
              <w:jc w:val="center"/>
              <w:rPr>
                <w:noProof/>
              </w:rPr>
            </w:pPr>
            <w:r>
              <w:rPr>
                <w:noProof/>
              </w:rPr>
              <w:t>Tarča</w:t>
            </w:r>
          </w:p>
        </w:tc>
        <w:tc>
          <w:tcPr>
            <w:tcW w:w="572" w:type="pct"/>
            <w:shd w:val="clear" w:color="auto" w:fill="C6EFCE"/>
            <w:noWrap/>
            <w:vAlign w:val="center"/>
          </w:tcPr>
          <w:p w14:paraId="117DE47D" w14:textId="77777777" w:rsidR="00154E32" w:rsidRDefault="00A43E04">
            <w:pPr>
              <w:pStyle w:val="P68B1DB1-Normal11"/>
              <w:jc w:val="center"/>
              <w:rPr>
                <w:noProof/>
              </w:rPr>
            </w:pPr>
            <w:r>
              <w:rPr>
                <w:noProof/>
              </w:rPr>
              <w:t>Programi štipendij doktorskega študija, odobreni na leto (nad tremi leti)</w:t>
            </w:r>
          </w:p>
        </w:tc>
        <w:tc>
          <w:tcPr>
            <w:tcW w:w="480" w:type="pct"/>
            <w:shd w:val="clear" w:color="auto" w:fill="C6EFCE"/>
            <w:noWrap/>
            <w:vAlign w:val="center"/>
          </w:tcPr>
          <w:p w14:paraId="25B34E94" w14:textId="77777777" w:rsidR="00154E32" w:rsidRDefault="00A43E04">
            <w:pPr>
              <w:pStyle w:val="P68B1DB1-Normal11"/>
              <w:jc w:val="center"/>
              <w:rPr>
                <w:noProof/>
              </w:rPr>
            </w:pPr>
            <w:r>
              <w:rPr>
                <w:noProof/>
              </w:rPr>
              <w:t>JIH NI</w:t>
            </w:r>
          </w:p>
        </w:tc>
        <w:tc>
          <w:tcPr>
            <w:tcW w:w="422" w:type="pct"/>
            <w:shd w:val="clear" w:color="auto" w:fill="C6EFCE"/>
            <w:noWrap/>
            <w:vAlign w:val="center"/>
          </w:tcPr>
          <w:p w14:paraId="6ADA3BF6" w14:textId="77777777" w:rsidR="00154E32" w:rsidRDefault="00A43E04">
            <w:pPr>
              <w:pStyle w:val="P68B1DB1-Normal11"/>
              <w:jc w:val="center"/>
              <w:rPr>
                <w:noProof/>
              </w:rPr>
            </w:pPr>
            <w:r>
              <w:rPr>
                <w:noProof/>
              </w:rPr>
              <w:t>Število</w:t>
            </w:r>
          </w:p>
        </w:tc>
        <w:tc>
          <w:tcPr>
            <w:tcW w:w="375" w:type="pct"/>
            <w:shd w:val="clear" w:color="auto" w:fill="C6EFCE"/>
            <w:noWrap/>
            <w:vAlign w:val="center"/>
          </w:tcPr>
          <w:p w14:paraId="513B2F0C" w14:textId="77AA7174" w:rsidR="00154E32" w:rsidRDefault="00A43E04">
            <w:pPr>
              <w:pStyle w:val="P68B1DB1-Normal11"/>
              <w:jc w:val="center"/>
              <w:rPr>
                <w:noProof/>
              </w:rPr>
            </w:pPr>
            <w:r>
              <w:rPr>
                <w:noProof/>
              </w:rPr>
              <w:t>9 000</w:t>
            </w:r>
          </w:p>
        </w:tc>
        <w:tc>
          <w:tcPr>
            <w:tcW w:w="343" w:type="pct"/>
            <w:shd w:val="clear" w:color="auto" w:fill="C6EFCE"/>
            <w:noWrap/>
            <w:vAlign w:val="center"/>
          </w:tcPr>
          <w:p w14:paraId="6688C1BD" w14:textId="118A8DBC" w:rsidR="00154E32" w:rsidRDefault="00A43E04">
            <w:pPr>
              <w:pStyle w:val="P68B1DB1-Normal11"/>
              <w:jc w:val="center"/>
              <w:rPr>
                <w:noProof/>
              </w:rPr>
            </w:pPr>
            <w:r>
              <w:rPr>
                <w:noProof/>
              </w:rPr>
              <w:t>16 200</w:t>
            </w:r>
          </w:p>
        </w:tc>
        <w:tc>
          <w:tcPr>
            <w:tcW w:w="286" w:type="pct"/>
            <w:shd w:val="clear" w:color="auto" w:fill="C6EFCE"/>
            <w:noWrap/>
            <w:vAlign w:val="center"/>
          </w:tcPr>
          <w:p w14:paraId="277D5C75" w14:textId="77777777" w:rsidR="00154E32" w:rsidRDefault="00A43E04">
            <w:pPr>
              <w:pStyle w:val="P68B1DB1-Normal11"/>
              <w:jc w:val="center"/>
              <w:rPr>
                <w:noProof/>
              </w:rPr>
            </w:pPr>
            <w:r>
              <w:rPr>
                <w:noProof/>
              </w:rPr>
              <w:t>Q4</w:t>
            </w:r>
          </w:p>
        </w:tc>
        <w:tc>
          <w:tcPr>
            <w:tcW w:w="238" w:type="pct"/>
            <w:shd w:val="clear" w:color="auto" w:fill="C6EFCE"/>
            <w:noWrap/>
            <w:vAlign w:val="center"/>
          </w:tcPr>
          <w:p w14:paraId="0F50C475" w14:textId="77777777" w:rsidR="00154E32" w:rsidRDefault="00A43E04">
            <w:pPr>
              <w:pStyle w:val="P68B1DB1-Normal11"/>
              <w:jc w:val="center"/>
              <w:rPr>
                <w:noProof/>
              </w:rPr>
            </w:pPr>
            <w:r>
              <w:rPr>
                <w:noProof/>
              </w:rPr>
              <w:t>2024</w:t>
            </w:r>
          </w:p>
        </w:tc>
        <w:tc>
          <w:tcPr>
            <w:tcW w:w="1047" w:type="pct"/>
            <w:shd w:val="clear" w:color="auto" w:fill="C6EFCE"/>
            <w:noWrap/>
            <w:vAlign w:val="center"/>
          </w:tcPr>
          <w:p w14:paraId="288D68B7" w14:textId="252D9DCB" w:rsidR="00154E32" w:rsidRDefault="00A43E04">
            <w:pPr>
              <w:pStyle w:val="P68B1DB1-Normal11"/>
              <w:rPr>
                <w:noProof/>
              </w:rPr>
            </w:pPr>
            <w:r>
              <w:rPr>
                <w:noProof/>
              </w:rPr>
              <w:t>Vsaj 1200 dodatnih štipendij, odobrenih na leto v treh letih); letno (več kot tri leta) se dodeli vsaj 1000 dodatnih štipendij za doktorski študij o javni upravi; vsako leto (več kot tri leta) se dodeli vsaj 200 novih doktorskih štipendij o kulturni dediščini.</w:t>
            </w:r>
          </w:p>
          <w:p w14:paraId="53F6EE66" w14:textId="77777777" w:rsidR="00154E32" w:rsidRDefault="00A43E04">
            <w:pPr>
              <w:pStyle w:val="P68B1DB1-Normal11"/>
              <w:rPr>
                <w:noProof/>
              </w:rPr>
            </w:pPr>
            <w:r>
              <w:rPr>
                <w:noProof/>
              </w:rPr>
              <w:t>Izhodišče je bilo opredeljeno kot trenutno (zaokroženo) število študentov doktorskega študija, ki vsako leto začnejo svoj program v Italiji:</w:t>
            </w:r>
          </w:p>
          <w:p w14:paraId="4324A88E" w14:textId="77777777" w:rsidR="00154E32" w:rsidRDefault="00154E32">
            <w:pPr>
              <w:rPr>
                <w:rFonts w:ascii="Arial Narrow" w:hAnsi="Arial Narrow"/>
                <w:noProof/>
                <w:color w:val="006100"/>
                <w:sz w:val="20"/>
              </w:rPr>
            </w:pPr>
          </w:p>
          <w:p w14:paraId="2F639A9A" w14:textId="6DE67562" w:rsidR="00154E32" w:rsidRDefault="00A43E04">
            <w:pPr>
              <w:pStyle w:val="P68B1DB1-Normal10"/>
              <w:rPr>
                <w:noProof/>
                <w:color w:val="006100"/>
                <w:sz w:val="20"/>
              </w:rPr>
            </w:pPr>
            <w:r>
              <w:rPr>
                <w:noProof/>
                <w:color w:val="006100"/>
                <w:sz w:val="20"/>
              </w:rPr>
              <w:t xml:space="preserve">a) doktorat je zasnovan tako, da bolje vključuje podjetja in spodbuja uporabne raziskave; </w:t>
            </w:r>
            <w:r>
              <w:rPr>
                <w:noProof/>
              </w:rPr>
              <w:t xml:space="preserve"> </w:t>
            </w:r>
            <w:r>
              <w:rPr>
                <w:noProof/>
              </w:rPr>
              <w:br/>
            </w:r>
            <w:r>
              <w:rPr>
                <w:noProof/>
                <w:color w:val="006100"/>
                <w:sz w:val="20"/>
              </w:rPr>
              <w:t>b) Doktorat za javno upravo upošteva regulativni okvir, ki se izvaja v sodelovanju z ministrstvom za javno upravo. Doktorat iz javne uprave se lahko ponudi v različnih razredih, ki jih je določil CUN, Consiglio Universitario Nazionale (na primer: Pravo, ekonomija in statistika, politične in družbene vede), če je njegov cilj dodatno opredeliti kandidata, da prispeva k razvoju izboljšanih vladnih sistemov.</w:t>
            </w:r>
            <w:r>
              <w:rPr>
                <w:noProof/>
              </w:rPr>
              <w:t xml:space="preserve"> </w:t>
            </w:r>
            <w:r>
              <w:rPr>
                <w:noProof/>
              </w:rPr>
              <w:br/>
            </w:r>
            <w:r>
              <w:rPr>
                <w:noProof/>
                <w:color w:val="006100"/>
                <w:sz w:val="20"/>
              </w:rPr>
              <w:t>C) Doktorski programi za kulturno dediščino upoštevajo okvir, ki se opredeli v tesnem sodelovanju z ministrstvom za kulturo (kot so antike, filiologija, književne študije, umetnostna zgodovina in zgodovina, filozofija, pedagogija in psihologija, kot jih je opredelil CUN, Consiglio Universitario Nazionale).</w:t>
            </w:r>
          </w:p>
        </w:tc>
      </w:tr>
      <w:tr w:rsidR="00154E32" w14:paraId="774C7E77" w14:textId="77777777">
        <w:trPr>
          <w:trHeight w:val="309"/>
        </w:trPr>
        <w:tc>
          <w:tcPr>
            <w:tcW w:w="380" w:type="pct"/>
            <w:shd w:val="clear" w:color="auto" w:fill="C6EFCE"/>
            <w:noWrap/>
            <w:vAlign w:val="center"/>
          </w:tcPr>
          <w:p w14:paraId="6F35203C" w14:textId="77777777" w:rsidR="00154E32" w:rsidRDefault="00A43E04">
            <w:pPr>
              <w:pStyle w:val="P68B1DB1-Normal11"/>
              <w:jc w:val="center"/>
              <w:rPr>
                <w:noProof/>
              </w:rPr>
            </w:pPr>
            <w:r>
              <w:rPr>
                <w:noProof/>
              </w:rPr>
              <w:t>M4C1–13</w:t>
            </w:r>
          </w:p>
        </w:tc>
        <w:tc>
          <w:tcPr>
            <w:tcW w:w="500" w:type="pct"/>
            <w:shd w:val="clear" w:color="auto" w:fill="C6EFCE"/>
            <w:noWrap/>
            <w:vAlign w:val="center"/>
          </w:tcPr>
          <w:p w14:paraId="1BAD3EDC" w14:textId="7AA976F0" w:rsidR="00154E32" w:rsidRDefault="00A43E04">
            <w:pPr>
              <w:pStyle w:val="P68B1DB1-Normal11"/>
              <w:jc w:val="center"/>
              <w:rPr>
                <w:noProof/>
              </w:rPr>
            </w:pPr>
            <w:r>
              <w:rPr>
                <w:noProof/>
              </w:rPr>
              <w:t>Naložba 2.1: Integrirano digitalno poučevanje in usposabljanje šolskega osebja o digitalni preobrazbi;</w:t>
            </w:r>
          </w:p>
        </w:tc>
        <w:tc>
          <w:tcPr>
            <w:tcW w:w="358" w:type="pct"/>
            <w:shd w:val="clear" w:color="auto" w:fill="C6EFCE"/>
            <w:noWrap/>
            <w:vAlign w:val="center"/>
          </w:tcPr>
          <w:p w14:paraId="60514600" w14:textId="77777777" w:rsidR="00154E32" w:rsidRDefault="00A43E04">
            <w:pPr>
              <w:pStyle w:val="P68B1DB1-Normal11"/>
              <w:jc w:val="center"/>
              <w:rPr>
                <w:noProof/>
              </w:rPr>
            </w:pPr>
            <w:r>
              <w:rPr>
                <w:noProof/>
              </w:rPr>
              <w:t>Tarča</w:t>
            </w:r>
          </w:p>
        </w:tc>
        <w:tc>
          <w:tcPr>
            <w:tcW w:w="572" w:type="pct"/>
            <w:shd w:val="clear" w:color="auto" w:fill="C6EFCE"/>
            <w:noWrap/>
            <w:vAlign w:val="center"/>
          </w:tcPr>
          <w:p w14:paraId="35CA63E5" w14:textId="0F6CD556" w:rsidR="00154E32" w:rsidRDefault="00A43E04">
            <w:pPr>
              <w:pStyle w:val="P68B1DB1-Normal11"/>
              <w:jc w:val="center"/>
              <w:rPr>
                <w:noProof/>
              </w:rPr>
            </w:pPr>
            <w:r>
              <w:rPr>
                <w:noProof/>
              </w:rPr>
              <w:t>Usposabljanje vodstvenih delavcev šol, učiteljev in upravnega osebja</w:t>
            </w:r>
          </w:p>
        </w:tc>
        <w:tc>
          <w:tcPr>
            <w:tcW w:w="480" w:type="pct"/>
            <w:shd w:val="clear" w:color="auto" w:fill="C6EFCE"/>
            <w:noWrap/>
            <w:vAlign w:val="center"/>
          </w:tcPr>
          <w:p w14:paraId="30670A5B" w14:textId="77777777" w:rsidR="00154E32" w:rsidRDefault="00A43E04">
            <w:pPr>
              <w:pStyle w:val="P68B1DB1-Normal11"/>
              <w:jc w:val="center"/>
              <w:rPr>
                <w:noProof/>
              </w:rPr>
            </w:pPr>
            <w:r>
              <w:rPr>
                <w:noProof/>
              </w:rPr>
              <w:t>JIH NI</w:t>
            </w:r>
          </w:p>
        </w:tc>
        <w:tc>
          <w:tcPr>
            <w:tcW w:w="422" w:type="pct"/>
            <w:shd w:val="clear" w:color="auto" w:fill="C6EFCE"/>
            <w:noWrap/>
            <w:vAlign w:val="center"/>
          </w:tcPr>
          <w:p w14:paraId="67FB77B4" w14:textId="77777777" w:rsidR="00154E32" w:rsidRDefault="00A43E04">
            <w:pPr>
              <w:pStyle w:val="P68B1DB1-Normal11"/>
              <w:jc w:val="center"/>
              <w:rPr>
                <w:noProof/>
              </w:rPr>
            </w:pPr>
            <w:r>
              <w:rPr>
                <w:noProof/>
              </w:rPr>
              <w:t>Število</w:t>
            </w:r>
          </w:p>
        </w:tc>
        <w:tc>
          <w:tcPr>
            <w:tcW w:w="375" w:type="pct"/>
            <w:shd w:val="clear" w:color="auto" w:fill="C6EFCE"/>
            <w:noWrap/>
            <w:vAlign w:val="center"/>
          </w:tcPr>
          <w:p w14:paraId="352C25C2" w14:textId="77777777" w:rsidR="00154E32" w:rsidRDefault="00A43E04">
            <w:pPr>
              <w:pStyle w:val="P68B1DB1-Normal11"/>
              <w:jc w:val="center"/>
              <w:rPr>
                <w:noProof/>
              </w:rPr>
            </w:pPr>
            <w:r>
              <w:rPr>
                <w:noProof/>
              </w:rPr>
              <w:t>0</w:t>
            </w:r>
          </w:p>
        </w:tc>
        <w:tc>
          <w:tcPr>
            <w:tcW w:w="343" w:type="pct"/>
            <w:shd w:val="clear" w:color="auto" w:fill="C6EFCE"/>
            <w:noWrap/>
            <w:vAlign w:val="center"/>
          </w:tcPr>
          <w:p w14:paraId="79B1567E" w14:textId="2905FA1E" w:rsidR="00154E32" w:rsidRDefault="00A43E04">
            <w:pPr>
              <w:pStyle w:val="P68B1DB1-Normal11"/>
              <w:jc w:val="center"/>
              <w:rPr>
                <w:noProof/>
              </w:rPr>
            </w:pPr>
            <w:r>
              <w:rPr>
                <w:noProof/>
              </w:rPr>
              <w:t>650 000</w:t>
            </w:r>
          </w:p>
        </w:tc>
        <w:tc>
          <w:tcPr>
            <w:tcW w:w="286" w:type="pct"/>
            <w:shd w:val="clear" w:color="auto" w:fill="C6EFCE"/>
            <w:noWrap/>
            <w:vAlign w:val="center"/>
          </w:tcPr>
          <w:p w14:paraId="235029DE" w14:textId="77777777" w:rsidR="00154E32" w:rsidRDefault="00A43E04">
            <w:pPr>
              <w:pStyle w:val="P68B1DB1-Normal11"/>
              <w:jc w:val="center"/>
              <w:rPr>
                <w:noProof/>
              </w:rPr>
            </w:pPr>
            <w:r>
              <w:rPr>
                <w:noProof/>
              </w:rPr>
              <w:t>Q4</w:t>
            </w:r>
          </w:p>
        </w:tc>
        <w:tc>
          <w:tcPr>
            <w:tcW w:w="238" w:type="pct"/>
            <w:shd w:val="clear" w:color="auto" w:fill="C6EFCE"/>
            <w:noWrap/>
            <w:vAlign w:val="center"/>
          </w:tcPr>
          <w:p w14:paraId="5562FA7F" w14:textId="77777777" w:rsidR="00154E32" w:rsidRDefault="00A43E04">
            <w:pPr>
              <w:pStyle w:val="P68B1DB1-Normal11"/>
              <w:jc w:val="center"/>
              <w:rPr>
                <w:noProof/>
              </w:rPr>
            </w:pPr>
            <w:r>
              <w:rPr>
                <w:noProof/>
              </w:rPr>
              <w:t>2025</w:t>
            </w:r>
          </w:p>
        </w:tc>
        <w:tc>
          <w:tcPr>
            <w:tcW w:w="1047" w:type="pct"/>
            <w:shd w:val="clear" w:color="auto" w:fill="C6EFCE"/>
            <w:noWrap/>
            <w:vAlign w:val="center"/>
          </w:tcPr>
          <w:p w14:paraId="5130B39A" w14:textId="62B3B1A0" w:rsidR="00154E32" w:rsidRDefault="00A43E04">
            <w:pPr>
              <w:pStyle w:val="P68B1DB1-Normal11"/>
              <w:rPr>
                <w:noProof/>
              </w:rPr>
            </w:pPr>
            <w:r>
              <w:rPr>
                <w:noProof/>
              </w:rPr>
              <w:t>Vsaj 650000 vodstvenih delavcev šol, učiteljev in upravnega osebja je usposobljenih</w:t>
            </w:r>
          </w:p>
          <w:p w14:paraId="5466F023" w14:textId="77777777" w:rsidR="00154E32" w:rsidRDefault="00154E32">
            <w:pPr>
              <w:rPr>
                <w:rFonts w:ascii="Arial Narrow" w:hAnsi="Arial Narrow"/>
                <w:noProof/>
                <w:color w:val="006100"/>
                <w:sz w:val="20"/>
              </w:rPr>
            </w:pPr>
          </w:p>
          <w:p w14:paraId="0C175CB7" w14:textId="24E3F336" w:rsidR="00154E32" w:rsidRDefault="00A43E04">
            <w:pPr>
              <w:pStyle w:val="P68B1DB1-Normal11"/>
              <w:rPr>
                <w:noProof/>
              </w:rPr>
            </w:pPr>
            <w:r>
              <w:rPr>
                <w:noProof/>
              </w:rPr>
              <w:t>Integrirano digitalno izobraževanje in usposabljanje šolskega osebja pri digitalnem prehodu (650000 učiteljev, vodstvenih delavcev in upravnega osebja, na splošno usposobljenih).</w:t>
            </w:r>
          </w:p>
        </w:tc>
      </w:tr>
      <w:tr w:rsidR="00154E32" w14:paraId="2593C82D" w14:textId="77777777">
        <w:trPr>
          <w:trHeight w:val="309"/>
        </w:trPr>
        <w:tc>
          <w:tcPr>
            <w:tcW w:w="380" w:type="pct"/>
            <w:shd w:val="clear" w:color="auto" w:fill="C6EFCE"/>
            <w:noWrap/>
            <w:vAlign w:val="center"/>
          </w:tcPr>
          <w:p w14:paraId="4C9C9EF4" w14:textId="77777777" w:rsidR="00154E32" w:rsidRDefault="00A43E04">
            <w:pPr>
              <w:pStyle w:val="P68B1DB1-Normal11"/>
              <w:jc w:val="center"/>
              <w:rPr>
                <w:noProof/>
              </w:rPr>
            </w:pPr>
            <w:r>
              <w:rPr>
                <w:noProof/>
              </w:rPr>
              <w:t>M4C1–14</w:t>
            </w:r>
          </w:p>
          <w:p w14:paraId="2F8ADD12" w14:textId="77777777" w:rsidR="00154E32" w:rsidRDefault="00154E32">
            <w:pPr>
              <w:jc w:val="center"/>
              <w:rPr>
                <w:rFonts w:ascii="Arial Narrow" w:hAnsi="Arial Narrow"/>
                <w:noProof/>
                <w:color w:val="006100"/>
                <w:sz w:val="20"/>
              </w:rPr>
            </w:pPr>
          </w:p>
        </w:tc>
        <w:tc>
          <w:tcPr>
            <w:tcW w:w="500" w:type="pct"/>
            <w:shd w:val="clear" w:color="auto" w:fill="C6EFCE"/>
            <w:noWrap/>
            <w:vAlign w:val="center"/>
          </w:tcPr>
          <w:p w14:paraId="76B78A14" w14:textId="1E92FF4B" w:rsidR="00154E32" w:rsidRDefault="00A43E04">
            <w:pPr>
              <w:pStyle w:val="P68B1DB1-Normal11"/>
              <w:jc w:val="center"/>
              <w:rPr>
                <w:noProof/>
              </w:rPr>
            </w:pPr>
            <w:r>
              <w:rPr>
                <w:noProof/>
              </w:rPr>
              <w:t>Reforma 2.1: Zaposlovanje učiteljev</w:t>
            </w:r>
          </w:p>
        </w:tc>
        <w:tc>
          <w:tcPr>
            <w:tcW w:w="358" w:type="pct"/>
            <w:shd w:val="clear" w:color="auto" w:fill="C6EFCE"/>
            <w:noWrap/>
            <w:vAlign w:val="center"/>
          </w:tcPr>
          <w:p w14:paraId="7A390824" w14:textId="77777777" w:rsidR="00154E32" w:rsidRDefault="00A43E04">
            <w:pPr>
              <w:pStyle w:val="P68B1DB1-Normal11"/>
              <w:jc w:val="center"/>
              <w:rPr>
                <w:noProof/>
              </w:rPr>
            </w:pPr>
            <w:r>
              <w:rPr>
                <w:noProof/>
              </w:rPr>
              <w:t>Tarča</w:t>
            </w:r>
          </w:p>
        </w:tc>
        <w:tc>
          <w:tcPr>
            <w:tcW w:w="572" w:type="pct"/>
            <w:shd w:val="clear" w:color="auto" w:fill="C6EFCE"/>
            <w:noWrap/>
            <w:vAlign w:val="center"/>
          </w:tcPr>
          <w:p w14:paraId="78FA360D" w14:textId="77777777" w:rsidR="00154E32" w:rsidRDefault="00A43E04">
            <w:pPr>
              <w:pStyle w:val="P68B1DB1-Normal11"/>
              <w:jc w:val="center"/>
              <w:rPr>
                <w:noProof/>
              </w:rPr>
            </w:pPr>
            <w:r>
              <w:rPr>
                <w:noProof/>
              </w:rPr>
              <w:t>Učitelji, zaposleni v prenovljenem sistemu zaposlovanja</w:t>
            </w:r>
          </w:p>
        </w:tc>
        <w:tc>
          <w:tcPr>
            <w:tcW w:w="480" w:type="pct"/>
            <w:shd w:val="clear" w:color="auto" w:fill="C6EFCE"/>
            <w:noWrap/>
            <w:vAlign w:val="center"/>
          </w:tcPr>
          <w:p w14:paraId="31F87CFF" w14:textId="77777777" w:rsidR="00154E32" w:rsidRDefault="00A43E04">
            <w:pPr>
              <w:pStyle w:val="P68B1DB1-Normal11"/>
              <w:jc w:val="center"/>
              <w:rPr>
                <w:noProof/>
              </w:rPr>
            </w:pPr>
            <w:r>
              <w:rPr>
                <w:noProof/>
              </w:rPr>
              <w:t>JIH NI</w:t>
            </w:r>
          </w:p>
        </w:tc>
        <w:tc>
          <w:tcPr>
            <w:tcW w:w="422" w:type="pct"/>
            <w:shd w:val="clear" w:color="auto" w:fill="C6EFCE"/>
            <w:noWrap/>
            <w:vAlign w:val="center"/>
          </w:tcPr>
          <w:p w14:paraId="24E0083F" w14:textId="77777777" w:rsidR="00154E32" w:rsidRDefault="00A43E04">
            <w:pPr>
              <w:pStyle w:val="P68B1DB1-Normal11"/>
              <w:jc w:val="center"/>
              <w:rPr>
                <w:noProof/>
              </w:rPr>
            </w:pPr>
            <w:r>
              <w:rPr>
                <w:noProof/>
              </w:rPr>
              <w:t>Število</w:t>
            </w:r>
          </w:p>
        </w:tc>
        <w:tc>
          <w:tcPr>
            <w:tcW w:w="375" w:type="pct"/>
            <w:shd w:val="clear" w:color="auto" w:fill="C6EFCE"/>
            <w:noWrap/>
            <w:vAlign w:val="center"/>
          </w:tcPr>
          <w:p w14:paraId="41A928E9" w14:textId="77777777" w:rsidR="00154E32" w:rsidRDefault="00A43E04">
            <w:pPr>
              <w:pStyle w:val="P68B1DB1-Normal11"/>
              <w:jc w:val="center"/>
              <w:rPr>
                <w:noProof/>
              </w:rPr>
            </w:pPr>
            <w:r>
              <w:rPr>
                <w:noProof/>
              </w:rPr>
              <w:t>0</w:t>
            </w:r>
          </w:p>
        </w:tc>
        <w:tc>
          <w:tcPr>
            <w:tcW w:w="343" w:type="pct"/>
            <w:shd w:val="clear" w:color="auto" w:fill="C6EFCE"/>
            <w:noWrap/>
            <w:vAlign w:val="center"/>
          </w:tcPr>
          <w:p w14:paraId="5ADE833C" w14:textId="17A502EF" w:rsidR="00154E32" w:rsidRDefault="00A43E04">
            <w:pPr>
              <w:pStyle w:val="P68B1DB1-Normal11"/>
              <w:jc w:val="center"/>
              <w:rPr>
                <w:noProof/>
              </w:rPr>
            </w:pPr>
            <w:r>
              <w:rPr>
                <w:noProof/>
              </w:rPr>
              <w:t>20 000</w:t>
            </w:r>
          </w:p>
        </w:tc>
        <w:tc>
          <w:tcPr>
            <w:tcW w:w="286" w:type="pct"/>
            <w:shd w:val="clear" w:color="auto" w:fill="C6EFCE"/>
            <w:noWrap/>
            <w:vAlign w:val="center"/>
          </w:tcPr>
          <w:p w14:paraId="255D7EAC" w14:textId="77777777" w:rsidR="00154E32" w:rsidRDefault="00A43E04">
            <w:pPr>
              <w:pStyle w:val="P68B1DB1-Normal11"/>
              <w:jc w:val="center"/>
              <w:rPr>
                <w:noProof/>
              </w:rPr>
            </w:pPr>
            <w:r>
              <w:rPr>
                <w:noProof/>
              </w:rPr>
              <w:t>Q4</w:t>
            </w:r>
          </w:p>
        </w:tc>
        <w:tc>
          <w:tcPr>
            <w:tcW w:w="238" w:type="pct"/>
            <w:shd w:val="clear" w:color="auto" w:fill="C6EFCE"/>
            <w:noWrap/>
            <w:vAlign w:val="center"/>
          </w:tcPr>
          <w:p w14:paraId="0ED15937" w14:textId="77777777" w:rsidR="00154E32" w:rsidRDefault="00A43E04">
            <w:pPr>
              <w:pStyle w:val="P68B1DB1-Normal11"/>
              <w:jc w:val="center"/>
              <w:rPr>
                <w:noProof/>
              </w:rPr>
            </w:pPr>
            <w:r>
              <w:rPr>
                <w:noProof/>
              </w:rPr>
              <w:t>2024</w:t>
            </w:r>
          </w:p>
        </w:tc>
        <w:tc>
          <w:tcPr>
            <w:tcW w:w="1047" w:type="pct"/>
            <w:shd w:val="clear" w:color="auto" w:fill="C6EFCE"/>
            <w:noWrap/>
            <w:vAlign w:val="center"/>
          </w:tcPr>
          <w:p w14:paraId="10584676" w14:textId="1324A172" w:rsidR="00154E32" w:rsidRDefault="00A43E04">
            <w:pPr>
              <w:pStyle w:val="P68B1DB1-Normal11"/>
              <w:rPr>
                <w:noProof/>
              </w:rPr>
            </w:pPr>
            <w:r>
              <w:rPr>
                <w:noProof/>
              </w:rPr>
              <w:t>Vsaj 20000 učiteljev, zaposlenih v prenovljenem sistemu zaposlovanja</w:t>
            </w:r>
          </w:p>
        </w:tc>
      </w:tr>
      <w:tr w:rsidR="00154E32" w14:paraId="5233C2A3" w14:textId="77777777">
        <w:trPr>
          <w:trHeight w:val="309"/>
        </w:trPr>
        <w:tc>
          <w:tcPr>
            <w:tcW w:w="380" w:type="pct"/>
            <w:shd w:val="clear" w:color="auto" w:fill="C6EFCE"/>
            <w:noWrap/>
            <w:vAlign w:val="center"/>
          </w:tcPr>
          <w:p w14:paraId="658D2EFE" w14:textId="7B76C42C" w:rsidR="00154E32" w:rsidRDefault="00A43E04">
            <w:pPr>
              <w:pStyle w:val="P68B1DB1-Normal11"/>
              <w:jc w:val="center"/>
              <w:rPr>
                <w:noProof/>
              </w:rPr>
            </w:pPr>
            <w:r>
              <w:rPr>
                <w:noProof/>
              </w:rPr>
              <w:t>M4C1–14 bis</w:t>
            </w:r>
          </w:p>
        </w:tc>
        <w:tc>
          <w:tcPr>
            <w:tcW w:w="500" w:type="pct"/>
            <w:shd w:val="clear" w:color="auto" w:fill="C6EFCE"/>
            <w:noWrap/>
            <w:vAlign w:val="center"/>
          </w:tcPr>
          <w:p w14:paraId="7450B610" w14:textId="0615F425" w:rsidR="00154E32" w:rsidRDefault="00A43E04">
            <w:pPr>
              <w:pStyle w:val="P68B1DB1-Normal11"/>
              <w:jc w:val="center"/>
              <w:rPr>
                <w:noProof/>
              </w:rPr>
            </w:pPr>
            <w:r>
              <w:rPr>
                <w:noProof/>
              </w:rPr>
              <w:t xml:space="preserve">Reforma 2.1: Zaposlovanje učiteljev  </w:t>
            </w:r>
          </w:p>
        </w:tc>
        <w:tc>
          <w:tcPr>
            <w:tcW w:w="358" w:type="pct"/>
            <w:shd w:val="clear" w:color="auto" w:fill="C6EFCE"/>
            <w:noWrap/>
            <w:vAlign w:val="center"/>
          </w:tcPr>
          <w:p w14:paraId="57658450" w14:textId="69DCC9B6" w:rsidR="00154E32" w:rsidRDefault="00A43E04">
            <w:pPr>
              <w:pStyle w:val="P68B1DB1-Normal11"/>
              <w:jc w:val="center"/>
              <w:rPr>
                <w:noProof/>
              </w:rPr>
            </w:pPr>
            <w:r>
              <w:rPr>
                <w:noProof/>
              </w:rPr>
              <w:t xml:space="preserve">Tarča </w:t>
            </w:r>
          </w:p>
        </w:tc>
        <w:tc>
          <w:tcPr>
            <w:tcW w:w="572" w:type="pct"/>
            <w:shd w:val="clear" w:color="auto" w:fill="C6EFCE"/>
            <w:noWrap/>
            <w:vAlign w:val="center"/>
          </w:tcPr>
          <w:p w14:paraId="6C91DEAE" w14:textId="563345C6" w:rsidR="00154E32" w:rsidRDefault="00A43E04">
            <w:pPr>
              <w:pStyle w:val="P68B1DB1-Normal11"/>
              <w:jc w:val="center"/>
              <w:rPr>
                <w:noProof/>
              </w:rPr>
            </w:pPr>
            <w:r>
              <w:rPr>
                <w:noProof/>
              </w:rPr>
              <w:t>Učitelji, zaposleni v prenovljenem sistemu zaposlovanja</w:t>
            </w:r>
          </w:p>
        </w:tc>
        <w:tc>
          <w:tcPr>
            <w:tcW w:w="480" w:type="pct"/>
            <w:shd w:val="clear" w:color="auto" w:fill="C6EFCE"/>
            <w:noWrap/>
            <w:vAlign w:val="center"/>
          </w:tcPr>
          <w:p w14:paraId="3318AF73" w14:textId="0808A409" w:rsidR="00154E32" w:rsidRDefault="00A43E04">
            <w:pPr>
              <w:pStyle w:val="P68B1DB1-Normal11"/>
              <w:jc w:val="center"/>
              <w:rPr>
                <w:noProof/>
              </w:rPr>
            </w:pPr>
            <w:r>
              <w:rPr>
                <w:noProof/>
              </w:rPr>
              <w:t xml:space="preserve">JIH NI </w:t>
            </w:r>
          </w:p>
        </w:tc>
        <w:tc>
          <w:tcPr>
            <w:tcW w:w="422" w:type="pct"/>
            <w:shd w:val="clear" w:color="auto" w:fill="C6EFCE"/>
            <w:noWrap/>
            <w:vAlign w:val="center"/>
          </w:tcPr>
          <w:p w14:paraId="550F9A87" w14:textId="4E899E59" w:rsidR="00154E32" w:rsidRDefault="00A43E04">
            <w:pPr>
              <w:pStyle w:val="P68B1DB1-Normal11"/>
              <w:jc w:val="center"/>
              <w:rPr>
                <w:noProof/>
              </w:rPr>
            </w:pPr>
            <w:r>
              <w:rPr>
                <w:noProof/>
              </w:rPr>
              <w:t xml:space="preserve">Število </w:t>
            </w:r>
          </w:p>
        </w:tc>
        <w:tc>
          <w:tcPr>
            <w:tcW w:w="375" w:type="pct"/>
            <w:shd w:val="clear" w:color="auto" w:fill="C6EFCE"/>
            <w:noWrap/>
            <w:vAlign w:val="center"/>
          </w:tcPr>
          <w:p w14:paraId="52A81F62" w14:textId="108C9533" w:rsidR="00154E32" w:rsidRDefault="00A43E04">
            <w:pPr>
              <w:pStyle w:val="P68B1DB1-Normal11"/>
              <w:jc w:val="center"/>
              <w:rPr>
                <w:noProof/>
              </w:rPr>
            </w:pPr>
            <w:r>
              <w:rPr>
                <w:noProof/>
              </w:rPr>
              <w:t xml:space="preserve">0 </w:t>
            </w:r>
          </w:p>
        </w:tc>
        <w:tc>
          <w:tcPr>
            <w:tcW w:w="343" w:type="pct"/>
            <w:shd w:val="clear" w:color="auto" w:fill="C6EFCE"/>
            <w:noWrap/>
            <w:vAlign w:val="center"/>
          </w:tcPr>
          <w:p w14:paraId="16C8D37D" w14:textId="79FC21DC" w:rsidR="00154E32" w:rsidRDefault="00A43E04">
            <w:pPr>
              <w:pStyle w:val="P68B1DB1-Normal11"/>
              <w:jc w:val="center"/>
              <w:rPr>
                <w:noProof/>
              </w:rPr>
            </w:pPr>
            <w:r>
              <w:rPr>
                <w:noProof/>
              </w:rPr>
              <w:t>20 000</w:t>
            </w:r>
          </w:p>
        </w:tc>
        <w:tc>
          <w:tcPr>
            <w:tcW w:w="286" w:type="pct"/>
            <w:shd w:val="clear" w:color="auto" w:fill="C6EFCE"/>
            <w:noWrap/>
            <w:vAlign w:val="center"/>
          </w:tcPr>
          <w:p w14:paraId="31661091" w14:textId="6C5590D7" w:rsidR="00154E32" w:rsidRDefault="00A43E04">
            <w:pPr>
              <w:pStyle w:val="P68B1DB1-Normal11"/>
              <w:jc w:val="center"/>
              <w:rPr>
                <w:noProof/>
              </w:rPr>
            </w:pPr>
            <w:r>
              <w:rPr>
                <w:noProof/>
              </w:rPr>
              <w:t>Q3</w:t>
            </w:r>
          </w:p>
        </w:tc>
        <w:tc>
          <w:tcPr>
            <w:tcW w:w="238" w:type="pct"/>
            <w:shd w:val="clear" w:color="auto" w:fill="C6EFCE"/>
            <w:noWrap/>
            <w:vAlign w:val="center"/>
          </w:tcPr>
          <w:p w14:paraId="33966052" w14:textId="29A277D3" w:rsidR="00154E32" w:rsidRDefault="00A43E04">
            <w:pPr>
              <w:pStyle w:val="P68B1DB1-Normal11"/>
              <w:jc w:val="center"/>
              <w:rPr>
                <w:noProof/>
              </w:rPr>
            </w:pPr>
            <w:r>
              <w:rPr>
                <w:noProof/>
              </w:rPr>
              <w:t xml:space="preserve">2025 </w:t>
            </w:r>
          </w:p>
        </w:tc>
        <w:tc>
          <w:tcPr>
            <w:tcW w:w="1047" w:type="pct"/>
            <w:shd w:val="clear" w:color="auto" w:fill="C6EFCE"/>
            <w:noWrap/>
            <w:vAlign w:val="center"/>
          </w:tcPr>
          <w:p w14:paraId="2AF9F4DE" w14:textId="13B19D99" w:rsidR="00154E32" w:rsidRDefault="00A43E04">
            <w:pPr>
              <w:pStyle w:val="P68B1DB1-Normal11"/>
              <w:rPr>
                <w:noProof/>
              </w:rPr>
            </w:pPr>
            <w:r>
              <w:rPr>
                <w:noProof/>
              </w:rPr>
              <w:t>Vsaj 20000 učiteljev, zaposlenih v prenovljenem sistemu zaposlovanja</w:t>
            </w:r>
          </w:p>
        </w:tc>
      </w:tr>
      <w:tr w:rsidR="00154E32" w14:paraId="53E5EFC8" w14:textId="77777777">
        <w:trPr>
          <w:trHeight w:val="309"/>
        </w:trPr>
        <w:tc>
          <w:tcPr>
            <w:tcW w:w="380" w:type="pct"/>
            <w:shd w:val="clear" w:color="auto" w:fill="C6EFCE"/>
            <w:noWrap/>
            <w:vAlign w:val="center"/>
          </w:tcPr>
          <w:p w14:paraId="47770153" w14:textId="53DE99C3" w:rsidR="00154E32" w:rsidRDefault="00A43E04">
            <w:pPr>
              <w:pStyle w:val="P68B1DB1-Normal11"/>
              <w:jc w:val="center"/>
              <w:rPr>
                <w:noProof/>
              </w:rPr>
            </w:pPr>
            <w:r>
              <w:rPr>
                <w:noProof/>
              </w:rPr>
              <w:t>M4C1–15 ter</w:t>
            </w:r>
          </w:p>
        </w:tc>
        <w:tc>
          <w:tcPr>
            <w:tcW w:w="500" w:type="pct"/>
            <w:shd w:val="clear" w:color="auto" w:fill="C6EFCE"/>
            <w:noWrap/>
            <w:vAlign w:val="center"/>
          </w:tcPr>
          <w:p w14:paraId="3B7A9C34" w14:textId="5ADC3FA8" w:rsidR="00154E32" w:rsidRDefault="00A43E04">
            <w:pPr>
              <w:pStyle w:val="P68B1DB1-Normal11"/>
              <w:jc w:val="center"/>
              <w:rPr>
                <w:noProof/>
              </w:rPr>
            </w:pPr>
            <w:r>
              <w:rPr>
                <w:noProof/>
              </w:rPr>
              <w:t>Reforma 2.1: Zaposlovanje učiteljev</w:t>
            </w:r>
          </w:p>
        </w:tc>
        <w:tc>
          <w:tcPr>
            <w:tcW w:w="358" w:type="pct"/>
            <w:shd w:val="clear" w:color="auto" w:fill="C6EFCE"/>
            <w:noWrap/>
            <w:vAlign w:val="center"/>
          </w:tcPr>
          <w:p w14:paraId="69C74291" w14:textId="4E82F52F" w:rsidR="00154E32" w:rsidRDefault="00A43E04">
            <w:pPr>
              <w:pStyle w:val="P68B1DB1-Normal11"/>
              <w:jc w:val="center"/>
              <w:rPr>
                <w:noProof/>
              </w:rPr>
            </w:pPr>
            <w:r>
              <w:rPr>
                <w:noProof/>
              </w:rPr>
              <w:t>Tarča</w:t>
            </w:r>
          </w:p>
        </w:tc>
        <w:tc>
          <w:tcPr>
            <w:tcW w:w="572" w:type="pct"/>
            <w:shd w:val="clear" w:color="auto" w:fill="C6EFCE"/>
            <w:noWrap/>
            <w:vAlign w:val="center"/>
          </w:tcPr>
          <w:p w14:paraId="1C51A00D" w14:textId="1104EE29" w:rsidR="00154E32" w:rsidRDefault="00A43E04">
            <w:pPr>
              <w:pStyle w:val="P68B1DB1-Normal11"/>
              <w:jc w:val="center"/>
              <w:rPr>
                <w:noProof/>
              </w:rPr>
            </w:pPr>
            <w:r>
              <w:rPr>
                <w:noProof/>
              </w:rPr>
              <w:t>Kandidati, ki so uspešno opravili javni natečaj za učitelje po reformiranem sistemu zaposlovanja.</w:t>
            </w:r>
          </w:p>
        </w:tc>
        <w:tc>
          <w:tcPr>
            <w:tcW w:w="480" w:type="pct"/>
            <w:shd w:val="clear" w:color="auto" w:fill="C6EFCE"/>
            <w:noWrap/>
            <w:vAlign w:val="center"/>
          </w:tcPr>
          <w:p w14:paraId="0275D15E" w14:textId="05314575" w:rsidR="00154E32" w:rsidRDefault="00A43E04">
            <w:pPr>
              <w:pStyle w:val="P68B1DB1-Normal11"/>
              <w:jc w:val="center"/>
              <w:rPr>
                <w:noProof/>
              </w:rPr>
            </w:pPr>
            <w:r>
              <w:rPr>
                <w:noProof/>
              </w:rPr>
              <w:t xml:space="preserve">JIH NI </w:t>
            </w:r>
          </w:p>
        </w:tc>
        <w:tc>
          <w:tcPr>
            <w:tcW w:w="422" w:type="pct"/>
            <w:shd w:val="clear" w:color="auto" w:fill="C6EFCE"/>
            <w:noWrap/>
            <w:vAlign w:val="center"/>
          </w:tcPr>
          <w:p w14:paraId="7CEDB0ED" w14:textId="4E425393" w:rsidR="00154E32" w:rsidRDefault="00A43E04">
            <w:pPr>
              <w:pStyle w:val="P68B1DB1-Normal11"/>
              <w:jc w:val="center"/>
              <w:rPr>
                <w:noProof/>
              </w:rPr>
            </w:pPr>
            <w:r>
              <w:rPr>
                <w:noProof/>
              </w:rPr>
              <w:t>Število</w:t>
            </w:r>
          </w:p>
        </w:tc>
        <w:tc>
          <w:tcPr>
            <w:tcW w:w="375" w:type="pct"/>
            <w:shd w:val="clear" w:color="auto" w:fill="C6EFCE"/>
            <w:noWrap/>
            <w:vAlign w:val="center"/>
          </w:tcPr>
          <w:p w14:paraId="45A973A1" w14:textId="380D7624" w:rsidR="00154E32" w:rsidRDefault="00A43E04">
            <w:pPr>
              <w:pStyle w:val="P68B1DB1-Normal11"/>
              <w:jc w:val="center"/>
              <w:rPr>
                <w:noProof/>
              </w:rPr>
            </w:pPr>
            <w:r>
              <w:rPr>
                <w:noProof/>
              </w:rPr>
              <w:t>0</w:t>
            </w:r>
          </w:p>
        </w:tc>
        <w:tc>
          <w:tcPr>
            <w:tcW w:w="343" w:type="pct"/>
            <w:shd w:val="clear" w:color="auto" w:fill="C6EFCE"/>
            <w:noWrap/>
            <w:vAlign w:val="center"/>
          </w:tcPr>
          <w:p w14:paraId="10C5B7E4" w14:textId="59408EDA" w:rsidR="00154E32" w:rsidRDefault="00A43E04">
            <w:pPr>
              <w:pStyle w:val="P68B1DB1-Normal11"/>
              <w:jc w:val="center"/>
              <w:rPr>
                <w:noProof/>
              </w:rPr>
            </w:pPr>
            <w:r>
              <w:rPr>
                <w:noProof/>
              </w:rPr>
              <w:t>30 000</w:t>
            </w:r>
          </w:p>
        </w:tc>
        <w:tc>
          <w:tcPr>
            <w:tcW w:w="286" w:type="pct"/>
            <w:shd w:val="clear" w:color="auto" w:fill="C6EFCE"/>
            <w:noWrap/>
            <w:vAlign w:val="center"/>
          </w:tcPr>
          <w:p w14:paraId="0C2C557C" w14:textId="02B9665A" w:rsidR="00154E32" w:rsidRDefault="00A43E04">
            <w:pPr>
              <w:pStyle w:val="P68B1DB1-Normal11"/>
              <w:jc w:val="center"/>
              <w:rPr>
                <w:noProof/>
              </w:rPr>
            </w:pPr>
            <w:r>
              <w:rPr>
                <w:noProof/>
              </w:rPr>
              <w:t xml:space="preserve">Q2 </w:t>
            </w:r>
          </w:p>
        </w:tc>
        <w:tc>
          <w:tcPr>
            <w:tcW w:w="238" w:type="pct"/>
            <w:shd w:val="clear" w:color="auto" w:fill="C6EFCE"/>
            <w:noWrap/>
            <w:vAlign w:val="center"/>
          </w:tcPr>
          <w:p w14:paraId="1BD83D9B" w14:textId="1D982D17" w:rsidR="00154E32" w:rsidRDefault="00A43E04">
            <w:pPr>
              <w:pStyle w:val="P68B1DB1-Normal11"/>
              <w:jc w:val="center"/>
              <w:rPr>
                <w:noProof/>
              </w:rPr>
            </w:pPr>
            <w:r>
              <w:rPr>
                <w:noProof/>
              </w:rPr>
              <w:t>2026</w:t>
            </w:r>
          </w:p>
        </w:tc>
        <w:tc>
          <w:tcPr>
            <w:tcW w:w="1047" w:type="pct"/>
            <w:shd w:val="clear" w:color="auto" w:fill="C6EFCE"/>
            <w:noWrap/>
            <w:vAlign w:val="center"/>
          </w:tcPr>
          <w:p w14:paraId="72068D24" w14:textId="6C760772" w:rsidR="00154E32" w:rsidRDefault="00A43E04">
            <w:pPr>
              <w:pStyle w:val="P68B1DB1-Normal11"/>
              <w:rPr>
                <w:noProof/>
              </w:rPr>
            </w:pPr>
            <w:r>
              <w:rPr>
                <w:noProof/>
              </w:rPr>
              <w:t xml:space="preserve">Vsaj 30000 kandidatov je uspešno uspešno prestalo javni natečaj za učitelje po reformiranem sistemu zaposlovanja.  </w:t>
            </w:r>
          </w:p>
          <w:p w14:paraId="0061A15B" w14:textId="77777777" w:rsidR="00154E32" w:rsidRDefault="00154E32">
            <w:pPr>
              <w:rPr>
                <w:rFonts w:ascii="Arial Narrow" w:hAnsi="Arial Narrow"/>
                <w:noProof/>
                <w:color w:val="006100"/>
                <w:sz w:val="20"/>
              </w:rPr>
            </w:pPr>
          </w:p>
          <w:p w14:paraId="51C028B1" w14:textId="3C77DC87" w:rsidR="00154E32" w:rsidRDefault="00A43E04">
            <w:pPr>
              <w:pStyle w:val="P68B1DB1-Normal11"/>
              <w:rPr>
                <w:noProof/>
              </w:rPr>
            </w:pPr>
            <w:r>
              <w:rPr>
                <w:noProof/>
              </w:rPr>
              <w:t>Vsi uspešni kandidati morajo pred sodelovanjem na javnem natečaju zaključiti 60 ECTS postopka temeljnih kvalifikacij.</w:t>
            </w:r>
          </w:p>
        </w:tc>
      </w:tr>
      <w:tr w:rsidR="00154E32" w14:paraId="1F2DF8BB" w14:textId="77777777">
        <w:trPr>
          <w:trHeight w:val="309"/>
        </w:trPr>
        <w:tc>
          <w:tcPr>
            <w:tcW w:w="380" w:type="pct"/>
            <w:shd w:val="clear" w:color="auto" w:fill="C6EFCE"/>
            <w:noWrap/>
            <w:vAlign w:val="center"/>
          </w:tcPr>
          <w:p w14:paraId="31733FBD" w14:textId="77777777" w:rsidR="00154E32" w:rsidRDefault="00A43E04">
            <w:pPr>
              <w:pStyle w:val="P68B1DB1-Normal11"/>
              <w:jc w:val="center"/>
              <w:rPr>
                <w:noProof/>
              </w:rPr>
            </w:pPr>
            <w:r>
              <w:rPr>
                <w:noProof/>
              </w:rPr>
              <w:t>M4C1–15</w:t>
            </w:r>
          </w:p>
        </w:tc>
        <w:tc>
          <w:tcPr>
            <w:tcW w:w="500" w:type="pct"/>
            <w:shd w:val="clear" w:color="auto" w:fill="C6EFCE"/>
            <w:noWrap/>
            <w:vAlign w:val="center"/>
          </w:tcPr>
          <w:p w14:paraId="2D6103E3" w14:textId="77777777" w:rsidR="00154E32" w:rsidRDefault="00A43E04">
            <w:pPr>
              <w:pStyle w:val="P68B1DB1-Normal11"/>
              <w:jc w:val="center"/>
              <w:rPr>
                <w:noProof/>
              </w:rPr>
            </w:pPr>
            <w:r>
              <w:rPr>
                <w:noProof/>
              </w:rPr>
              <w:t>Naložba 1.7: Štipendije za dostop do univerz</w:t>
            </w:r>
          </w:p>
        </w:tc>
        <w:tc>
          <w:tcPr>
            <w:tcW w:w="358" w:type="pct"/>
            <w:shd w:val="clear" w:color="auto" w:fill="C6EFCE"/>
            <w:noWrap/>
            <w:vAlign w:val="center"/>
          </w:tcPr>
          <w:p w14:paraId="7DDEE737" w14:textId="77777777" w:rsidR="00154E32" w:rsidRDefault="00A43E04">
            <w:pPr>
              <w:pStyle w:val="P68B1DB1-Normal11"/>
              <w:rPr>
                <w:noProof/>
              </w:rPr>
            </w:pPr>
            <w:r>
              <w:rPr>
                <w:noProof/>
              </w:rPr>
              <w:t>Tarča</w:t>
            </w:r>
          </w:p>
        </w:tc>
        <w:tc>
          <w:tcPr>
            <w:tcW w:w="572" w:type="pct"/>
            <w:shd w:val="clear" w:color="auto" w:fill="C6EFCE"/>
            <w:noWrap/>
            <w:vAlign w:val="center"/>
          </w:tcPr>
          <w:p w14:paraId="6B591B52" w14:textId="77777777" w:rsidR="00154E32" w:rsidRDefault="00A43E04">
            <w:pPr>
              <w:pStyle w:val="P68B1DB1-Normal11"/>
              <w:jc w:val="center"/>
              <w:rPr>
                <w:noProof/>
              </w:rPr>
            </w:pPr>
            <w:r>
              <w:rPr>
                <w:noProof/>
              </w:rPr>
              <w:t>Štipendije za dostop do univerze</w:t>
            </w:r>
          </w:p>
        </w:tc>
        <w:tc>
          <w:tcPr>
            <w:tcW w:w="480" w:type="pct"/>
            <w:shd w:val="clear" w:color="auto" w:fill="C6EFCE"/>
            <w:noWrap/>
            <w:vAlign w:val="center"/>
          </w:tcPr>
          <w:p w14:paraId="5479F9D2" w14:textId="77777777" w:rsidR="00154E32" w:rsidRDefault="00A43E04">
            <w:pPr>
              <w:pStyle w:val="P68B1DB1-Normal11"/>
              <w:jc w:val="center"/>
              <w:rPr>
                <w:noProof/>
              </w:rPr>
            </w:pPr>
            <w:r>
              <w:rPr>
                <w:noProof/>
              </w:rPr>
              <w:t>JIH NI</w:t>
            </w:r>
          </w:p>
        </w:tc>
        <w:tc>
          <w:tcPr>
            <w:tcW w:w="422" w:type="pct"/>
            <w:shd w:val="clear" w:color="auto" w:fill="C6EFCE"/>
            <w:noWrap/>
            <w:vAlign w:val="center"/>
          </w:tcPr>
          <w:p w14:paraId="6671CFD1" w14:textId="77777777" w:rsidR="00154E32" w:rsidRDefault="00A43E04">
            <w:pPr>
              <w:pStyle w:val="P68B1DB1-Normal11"/>
              <w:jc w:val="center"/>
              <w:rPr>
                <w:noProof/>
              </w:rPr>
            </w:pPr>
            <w:r>
              <w:rPr>
                <w:noProof/>
              </w:rPr>
              <w:t>Število</w:t>
            </w:r>
          </w:p>
        </w:tc>
        <w:tc>
          <w:tcPr>
            <w:tcW w:w="375" w:type="pct"/>
            <w:shd w:val="clear" w:color="auto" w:fill="C6EFCE"/>
            <w:noWrap/>
            <w:vAlign w:val="center"/>
          </w:tcPr>
          <w:p w14:paraId="73B43E19" w14:textId="5E8B4148" w:rsidR="00154E32" w:rsidRDefault="00A43E04">
            <w:pPr>
              <w:pStyle w:val="P68B1DB1-Normal11"/>
              <w:jc w:val="center"/>
              <w:rPr>
                <w:noProof/>
              </w:rPr>
            </w:pPr>
            <w:r>
              <w:rPr>
                <w:noProof/>
              </w:rPr>
              <w:t>0</w:t>
            </w:r>
          </w:p>
        </w:tc>
        <w:tc>
          <w:tcPr>
            <w:tcW w:w="343" w:type="pct"/>
            <w:shd w:val="clear" w:color="auto" w:fill="C6EFCE"/>
            <w:noWrap/>
            <w:vAlign w:val="center"/>
          </w:tcPr>
          <w:p w14:paraId="17D7BE72" w14:textId="6EE197C5" w:rsidR="00154E32" w:rsidRDefault="00A43E04">
            <w:pPr>
              <w:pStyle w:val="P68B1DB1-Normal11"/>
              <w:jc w:val="center"/>
              <w:rPr>
                <w:noProof/>
              </w:rPr>
            </w:pPr>
            <w:r>
              <w:rPr>
                <w:noProof/>
              </w:rPr>
              <w:t>55 000</w:t>
            </w:r>
          </w:p>
        </w:tc>
        <w:tc>
          <w:tcPr>
            <w:tcW w:w="286" w:type="pct"/>
            <w:shd w:val="clear" w:color="auto" w:fill="C6EFCE"/>
            <w:noWrap/>
            <w:vAlign w:val="center"/>
          </w:tcPr>
          <w:p w14:paraId="4AB1DBB4" w14:textId="77777777" w:rsidR="00154E32" w:rsidRDefault="00A43E04">
            <w:pPr>
              <w:pStyle w:val="P68B1DB1-Normal11"/>
              <w:jc w:val="center"/>
              <w:rPr>
                <w:noProof/>
              </w:rPr>
            </w:pPr>
            <w:r>
              <w:rPr>
                <w:noProof/>
              </w:rPr>
              <w:t>Q4</w:t>
            </w:r>
          </w:p>
        </w:tc>
        <w:tc>
          <w:tcPr>
            <w:tcW w:w="238" w:type="pct"/>
            <w:shd w:val="clear" w:color="auto" w:fill="C6EFCE"/>
            <w:noWrap/>
            <w:vAlign w:val="center"/>
          </w:tcPr>
          <w:p w14:paraId="24465C63" w14:textId="77777777" w:rsidR="00154E32" w:rsidRDefault="00A43E04">
            <w:pPr>
              <w:pStyle w:val="P68B1DB1-Normal11"/>
              <w:rPr>
                <w:noProof/>
              </w:rPr>
            </w:pPr>
            <w:r>
              <w:rPr>
                <w:noProof/>
              </w:rPr>
              <w:t>2024</w:t>
            </w:r>
          </w:p>
        </w:tc>
        <w:tc>
          <w:tcPr>
            <w:tcW w:w="1047" w:type="pct"/>
            <w:shd w:val="clear" w:color="auto" w:fill="C6EFCE"/>
            <w:noWrap/>
            <w:vAlign w:val="center"/>
          </w:tcPr>
          <w:p w14:paraId="3A530D32" w14:textId="26E52422" w:rsidR="00154E32" w:rsidRDefault="00A43E04">
            <w:pPr>
              <w:pStyle w:val="P68B1DB1-Normal11"/>
              <w:rPr>
                <w:noProof/>
              </w:rPr>
            </w:pPr>
            <w:r>
              <w:rPr>
                <w:noProof/>
              </w:rPr>
              <w:t>Vsaj 55000 študentov prejme štipendije, ki se financirajo izključno iz sredstev mehanizma za okrevanje in odpornost.</w:t>
            </w:r>
          </w:p>
        </w:tc>
      </w:tr>
      <w:tr w:rsidR="00154E32" w14:paraId="4A1F5368" w14:textId="77777777">
        <w:trPr>
          <w:trHeight w:val="309"/>
        </w:trPr>
        <w:tc>
          <w:tcPr>
            <w:tcW w:w="380" w:type="pct"/>
            <w:shd w:val="clear" w:color="auto" w:fill="C6EFCE"/>
            <w:noWrap/>
            <w:vAlign w:val="center"/>
          </w:tcPr>
          <w:p w14:paraId="41ABCEF0" w14:textId="77777777" w:rsidR="00154E32" w:rsidRDefault="00A43E04">
            <w:pPr>
              <w:pStyle w:val="P68B1DB1-Normal11"/>
              <w:jc w:val="center"/>
              <w:rPr>
                <w:noProof/>
              </w:rPr>
            </w:pPr>
            <w:r>
              <w:rPr>
                <w:noProof/>
              </w:rPr>
              <w:t>M4C1–15a</w:t>
            </w:r>
          </w:p>
        </w:tc>
        <w:tc>
          <w:tcPr>
            <w:tcW w:w="500" w:type="pct"/>
            <w:shd w:val="clear" w:color="auto" w:fill="C6EFCE"/>
            <w:noWrap/>
            <w:vAlign w:val="center"/>
          </w:tcPr>
          <w:p w14:paraId="772E9F15" w14:textId="77777777" w:rsidR="00154E32" w:rsidRDefault="00A43E04">
            <w:pPr>
              <w:pStyle w:val="P68B1DB1-Normal11"/>
              <w:jc w:val="center"/>
              <w:rPr>
                <w:noProof/>
              </w:rPr>
            </w:pPr>
            <w:r>
              <w:rPr>
                <w:noProof/>
              </w:rPr>
              <w:t>Naložba 1.7: Štipendije za dostop do univerz</w:t>
            </w:r>
          </w:p>
        </w:tc>
        <w:tc>
          <w:tcPr>
            <w:tcW w:w="358" w:type="pct"/>
            <w:shd w:val="clear" w:color="auto" w:fill="C6EFCE"/>
            <w:noWrap/>
            <w:vAlign w:val="center"/>
          </w:tcPr>
          <w:p w14:paraId="5299D6EC" w14:textId="77777777" w:rsidR="00154E32" w:rsidRDefault="00A43E04">
            <w:pPr>
              <w:pStyle w:val="P68B1DB1-Normal11"/>
              <w:jc w:val="center"/>
              <w:rPr>
                <w:noProof/>
              </w:rPr>
            </w:pPr>
            <w:r>
              <w:rPr>
                <w:noProof/>
              </w:rPr>
              <w:t>Tarča</w:t>
            </w:r>
          </w:p>
        </w:tc>
        <w:tc>
          <w:tcPr>
            <w:tcW w:w="572" w:type="pct"/>
            <w:shd w:val="clear" w:color="auto" w:fill="C6EFCE"/>
            <w:noWrap/>
            <w:vAlign w:val="center"/>
          </w:tcPr>
          <w:p w14:paraId="72D703F5" w14:textId="77777777" w:rsidR="00154E32" w:rsidRDefault="00A43E04">
            <w:pPr>
              <w:pStyle w:val="P68B1DB1-Normal11"/>
              <w:jc w:val="center"/>
              <w:rPr>
                <w:noProof/>
              </w:rPr>
            </w:pPr>
            <w:r>
              <w:rPr>
                <w:noProof/>
              </w:rPr>
              <w:t>Štipendije za dostop do univerze</w:t>
            </w:r>
          </w:p>
        </w:tc>
        <w:tc>
          <w:tcPr>
            <w:tcW w:w="480" w:type="pct"/>
            <w:shd w:val="clear" w:color="auto" w:fill="C6EFCE"/>
            <w:noWrap/>
            <w:vAlign w:val="center"/>
          </w:tcPr>
          <w:p w14:paraId="3DBFC13E" w14:textId="77777777" w:rsidR="00154E32" w:rsidRDefault="00A43E04">
            <w:pPr>
              <w:pStyle w:val="P68B1DB1-Normal11"/>
              <w:jc w:val="center"/>
              <w:rPr>
                <w:noProof/>
              </w:rPr>
            </w:pPr>
            <w:r>
              <w:rPr>
                <w:noProof/>
              </w:rPr>
              <w:t>JIH NI</w:t>
            </w:r>
          </w:p>
        </w:tc>
        <w:tc>
          <w:tcPr>
            <w:tcW w:w="422" w:type="pct"/>
            <w:shd w:val="clear" w:color="auto" w:fill="C6EFCE"/>
            <w:noWrap/>
            <w:vAlign w:val="center"/>
          </w:tcPr>
          <w:p w14:paraId="00654F74" w14:textId="77777777" w:rsidR="00154E32" w:rsidRDefault="00A43E04">
            <w:pPr>
              <w:pStyle w:val="P68B1DB1-Normal11"/>
              <w:jc w:val="center"/>
              <w:rPr>
                <w:noProof/>
              </w:rPr>
            </w:pPr>
            <w:r>
              <w:rPr>
                <w:noProof/>
              </w:rPr>
              <w:t>Število</w:t>
            </w:r>
          </w:p>
        </w:tc>
        <w:tc>
          <w:tcPr>
            <w:tcW w:w="375" w:type="pct"/>
            <w:shd w:val="clear" w:color="auto" w:fill="C6EFCE"/>
            <w:noWrap/>
            <w:vAlign w:val="center"/>
          </w:tcPr>
          <w:p w14:paraId="77AF4B56" w14:textId="3C4EA51A" w:rsidR="00154E32" w:rsidRDefault="00A43E04">
            <w:pPr>
              <w:pStyle w:val="P68B1DB1-Normal11"/>
              <w:jc w:val="center"/>
              <w:rPr>
                <w:noProof/>
              </w:rPr>
            </w:pPr>
            <w:r>
              <w:rPr>
                <w:noProof/>
              </w:rPr>
              <w:t>0</w:t>
            </w:r>
          </w:p>
        </w:tc>
        <w:tc>
          <w:tcPr>
            <w:tcW w:w="343" w:type="pct"/>
            <w:shd w:val="clear" w:color="auto" w:fill="C6EFCE"/>
            <w:noWrap/>
            <w:vAlign w:val="center"/>
          </w:tcPr>
          <w:p w14:paraId="22B1272B" w14:textId="0B1DF81C" w:rsidR="00154E32" w:rsidRDefault="00A43E04">
            <w:pPr>
              <w:pStyle w:val="P68B1DB1-Normal11"/>
              <w:jc w:val="center"/>
              <w:rPr>
                <w:noProof/>
              </w:rPr>
            </w:pPr>
            <w:r>
              <w:rPr>
                <w:noProof/>
              </w:rPr>
              <w:t>55 000</w:t>
            </w:r>
          </w:p>
        </w:tc>
        <w:tc>
          <w:tcPr>
            <w:tcW w:w="286" w:type="pct"/>
            <w:shd w:val="clear" w:color="auto" w:fill="C6EFCE"/>
            <w:noWrap/>
            <w:vAlign w:val="center"/>
          </w:tcPr>
          <w:p w14:paraId="01385186" w14:textId="77777777" w:rsidR="00154E32" w:rsidRDefault="00A43E04">
            <w:pPr>
              <w:pStyle w:val="P68B1DB1-Normal11"/>
              <w:jc w:val="center"/>
              <w:rPr>
                <w:noProof/>
              </w:rPr>
            </w:pPr>
            <w:r>
              <w:rPr>
                <w:noProof/>
              </w:rPr>
              <w:t>Q4</w:t>
            </w:r>
          </w:p>
        </w:tc>
        <w:tc>
          <w:tcPr>
            <w:tcW w:w="238" w:type="pct"/>
            <w:shd w:val="clear" w:color="auto" w:fill="C6EFCE"/>
            <w:noWrap/>
            <w:vAlign w:val="center"/>
          </w:tcPr>
          <w:p w14:paraId="689C3E4B" w14:textId="77777777" w:rsidR="00154E32" w:rsidRDefault="00A43E04">
            <w:pPr>
              <w:pStyle w:val="P68B1DB1-Normal11"/>
              <w:jc w:val="center"/>
              <w:rPr>
                <w:noProof/>
              </w:rPr>
            </w:pPr>
            <w:r>
              <w:rPr>
                <w:noProof/>
              </w:rPr>
              <w:t>2025</w:t>
            </w:r>
          </w:p>
        </w:tc>
        <w:tc>
          <w:tcPr>
            <w:tcW w:w="1047" w:type="pct"/>
            <w:shd w:val="clear" w:color="auto" w:fill="C6EFCE"/>
            <w:noWrap/>
            <w:vAlign w:val="center"/>
          </w:tcPr>
          <w:p w14:paraId="4D0EC16D" w14:textId="57F197EE" w:rsidR="00154E32" w:rsidRDefault="00A43E04">
            <w:pPr>
              <w:pStyle w:val="P68B1DB1-Normal11"/>
              <w:rPr>
                <w:noProof/>
              </w:rPr>
            </w:pPr>
            <w:r>
              <w:rPr>
                <w:noProof/>
              </w:rPr>
              <w:t>Vsaj 55000 študentov prejme štipendije, ki se financirajo izključno iz sredstev mehanizma za okrevanje in odpornost.</w:t>
            </w:r>
          </w:p>
        </w:tc>
      </w:tr>
      <w:tr w:rsidR="00154E32" w14:paraId="4246AE0D" w14:textId="77777777">
        <w:trPr>
          <w:trHeight w:val="309"/>
        </w:trPr>
        <w:tc>
          <w:tcPr>
            <w:tcW w:w="380" w:type="pct"/>
            <w:shd w:val="clear" w:color="auto" w:fill="C6EFCE"/>
            <w:noWrap/>
            <w:vAlign w:val="center"/>
          </w:tcPr>
          <w:p w14:paraId="2ECF8A55" w14:textId="77777777" w:rsidR="00154E32" w:rsidRDefault="00A43E04">
            <w:pPr>
              <w:pStyle w:val="P68B1DB1-Normal11"/>
              <w:jc w:val="center"/>
              <w:rPr>
                <w:noProof/>
              </w:rPr>
            </w:pPr>
            <w:r>
              <w:rPr>
                <w:noProof/>
              </w:rPr>
              <w:t>M4C1–16</w:t>
            </w:r>
          </w:p>
        </w:tc>
        <w:tc>
          <w:tcPr>
            <w:tcW w:w="500" w:type="pct"/>
            <w:shd w:val="clear" w:color="auto" w:fill="C6EFCE"/>
            <w:noWrap/>
            <w:vAlign w:val="center"/>
          </w:tcPr>
          <w:p w14:paraId="6AFAB8A4" w14:textId="77777777" w:rsidR="00154E32" w:rsidRDefault="00A43E04">
            <w:pPr>
              <w:pStyle w:val="P68B1DB1-Normal11"/>
              <w:jc w:val="center"/>
              <w:rPr>
                <w:noProof/>
              </w:rPr>
            </w:pPr>
            <w:r>
              <w:rPr>
                <w:noProof/>
              </w:rPr>
              <w:t>Naložba 3.1: Nova znanja in spretnosti ter novi jeziki</w:t>
            </w:r>
          </w:p>
        </w:tc>
        <w:tc>
          <w:tcPr>
            <w:tcW w:w="358" w:type="pct"/>
            <w:shd w:val="clear" w:color="auto" w:fill="C6EFCE"/>
            <w:noWrap/>
            <w:vAlign w:val="center"/>
          </w:tcPr>
          <w:p w14:paraId="2F8A5CA5" w14:textId="77777777" w:rsidR="00154E32" w:rsidRDefault="00A43E04">
            <w:pPr>
              <w:pStyle w:val="P68B1DB1-Normal11"/>
              <w:jc w:val="center"/>
              <w:rPr>
                <w:noProof/>
              </w:rPr>
            </w:pPr>
            <w:r>
              <w:rPr>
                <w:noProof/>
              </w:rPr>
              <w:t>Tarča</w:t>
            </w:r>
          </w:p>
        </w:tc>
        <w:tc>
          <w:tcPr>
            <w:tcW w:w="572" w:type="pct"/>
            <w:shd w:val="clear" w:color="auto" w:fill="C6EFCE"/>
            <w:noWrap/>
            <w:vAlign w:val="center"/>
          </w:tcPr>
          <w:p w14:paraId="6A110386" w14:textId="77777777" w:rsidR="00154E32" w:rsidRDefault="00A43E04">
            <w:pPr>
              <w:pStyle w:val="P68B1DB1-Normal11"/>
              <w:jc w:val="center"/>
              <w:rPr>
                <w:noProof/>
              </w:rPr>
            </w:pPr>
            <w:r>
              <w:rPr>
                <w:noProof/>
              </w:rPr>
              <w:t>Šole, ki so v obdobju 2024/25 aktivirale usmerjevalne projekte na področju naravoslovja, tehnologije, inženirstva in matematike</w:t>
            </w:r>
          </w:p>
          <w:p w14:paraId="29C126DD" w14:textId="77777777" w:rsidR="00154E32" w:rsidRDefault="00154E32">
            <w:pPr>
              <w:jc w:val="center"/>
              <w:rPr>
                <w:rFonts w:ascii="Arial Narrow" w:hAnsi="Arial Narrow"/>
                <w:noProof/>
                <w:color w:val="006100"/>
                <w:sz w:val="20"/>
              </w:rPr>
            </w:pPr>
          </w:p>
          <w:p w14:paraId="71FCB76F" w14:textId="77777777" w:rsidR="00154E32" w:rsidRDefault="00154E32">
            <w:pPr>
              <w:jc w:val="center"/>
              <w:rPr>
                <w:rFonts w:ascii="Arial Narrow" w:hAnsi="Arial Narrow"/>
                <w:noProof/>
                <w:color w:val="006100"/>
                <w:sz w:val="20"/>
              </w:rPr>
            </w:pPr>
          </w:p>
        </w:tc>
        <w:tc>
          <w:tcPr>
            <w:tcW w:w="480" w:type="pct"/>
            <w:shd w:val="clear" w:color="auto" w:fill="C6EFCE"/>
            <w:noWrap/>
            <w:vAlign w:val="center"/>
          </w:tcPr>
          <w:p w14:paraId="071624A6" w14:textId="77777777" w:rsidR="00154E32" w:rsidRDefault="00A43E04">
            <w:pPr>
              <w:pStyle w:val="P68B1DB1-Normal11"/>
              <w:jc w:val="center"/>
              <w:rPr>
                <w:noProof/>
              </w:rPr>
            </w:pPr>
            <w:r>
              <w:rPr>
                <w:noProof/>
              </w:rPr>
              <w:t>JIH NI</w:t>
            </w:r>
          </w:p>
        </w:tc>
        <w:tc>
          <w:tcPr>
            <w:tcW w:w="422" w:type="pct"/>
            <w:shd w:val="clear" w:color="auto" w:fill="C6EFCE"/>
            <w:noWrap/>
            <w:vAlign w:val="center"/>
          </w:tcPr>
          <w:p w14:paraId="7788A993" w14:textId="77777777" w:rsidR="00154E32" w:rsidRDefault="00A43E04">
            <w:pPr>
              <w:pStyle w:val="P68B1DB1-Normal11"/>
              <w:jc w:val="center"/>
              <w:rPr>
                <w:noProof/>
              </w:rPr>
            </w:pPr>
            <w:r>
              <w:rPr>
                <w:noProof/>
              </w:rPr>
              <w:t>Število</w:t>
            </w:r>
          </w:p>
        </w:tc>
        <w:tc>
          <w:tcPr>
            <w:tcW w:w="375" w:type="pct"/>
            <w:shd w:val="clear" w:color="auto" w:fill="C6EFCE"/>
            <w:noWrap/>
            <w:vAlign w:val="center"/>
          </w:tcPr>
          <w:p w14:paraId="50DE7239" w14:textId="77777777" w:rsidR="00154E32" w:rsidRDefault="00A43E04">
            <w:pPr>
              <w:pStyle w:val="P68B1DB1-Normal11"/>
              <w:jc w:val="center"/>
              <w:rPr>
                <w:noProof/>
              </w:rPr>
            </w:pPr>
            <w:r>
              <w:rPr>
                <w:noProof/>
              </w:rPr>
              <w:t>0</w:t>
            </w:r>
          </w:p>
        </w:tc>
        <w:tc>
          <w:tcPr>
            <w:tcW w:w="343" w:type="pct"/>
            <w:shd w:val="clear" w:color="auto" w:fill="C6EFCE"/>
            <w:noWrap/>
            <w:vAlign w:val="center"/>
          </w:tcPr>
          <w:p w14:paraId="00D0DE6F" w14:textId="40C5C6CB" w:rsidR="00154E32" w:rsidRDefault="00A43E04">
            <w:pPr>
              <w:pStyle w:val="P68B1DB1-Normal11"/>
              <w:jc w:val="center"/>
              <w:rPr>
                <w:noProof/>
              </w:rPr>
            </w:pPr>
            <w:r>
              <w:rPr>
                <w:noProof/>
              </w:rPr>
              <w:t>8 000</w:t>
            </w:r>
          </w:p>
        </w:tc>
        <w:tc>
          <w:tcPr>
            <w:tcW w:w="286" w:type="pct"/>
            <w:shd w:val="clear" w:color="auto" w:fill="C6EFCE"/>
            <w:noWrap/>
            <w:vAlign w:val="center"/>
          </w:tcPr>
          <w:p w14:paraId="67F2071D" w14:textId="77777777" w:rsidR="00154E32" w:rsidRDefault="00A43E04">
            <w:pPr>
              <w:pStyle w:val="P68B1DB1-Normal11"/>
              <w:jc w:val="center"/>
              <w:rPr>
                <w:noProof/>
              </w:rPr>
            </w:pPr>
            <w:r>
              <w:rPr>
                <w:noProof/>
              </w:rPr>
              <w:t>Q2</w:t>
            </w:r>
          </w:p>
        </w:tc>
        <w:tc>
          <w:tcPr>
            <w:tcW w:w="238" w:type="pct"/>
            <w:shd w:val="clear" w:color="auto" w:fill="C6EFCE"/>
            <w:noWrap/>
            <w:vAlign w:val="center"/>
          </w:tcPr>
          <w:p w14:paraId="4B07C59E" w14:textId="77777777" w:rsidR="00154E32" w:rsidRDefault="00A43E04">
            <w:pPr>
              <w:pStyle w:val="P68B1DB1-Normal11"/>
              <w:jc w:val="center"/>
              <w:rPr>
                <w:noProof/>
              </w:rPr>
            </w:pPr>
            <w:r>
              <w:rPr>
                <w:noProof/>
              </w:rPr>
              <w:t>2025</w:t>
            </w:r>
          </w:p>
        </w:tc>
        <w:tc>
          <w:tcPr>
            <w:tcW w:w="1047" w:type="pct"/>
            <w:shd w:val="clear" w:color="auto" w:fill="C6EFCE"/>
            <w:noWrap/>
            <w:vAlign w:val="center"/>
          </w:tcPr>
          <w:p w14:paraId="04351ACA" w14:textId="7D288354" w:rsidR="00154E32" w:rsidRDefault="00A43E04">
            <w:pPr>
              <w:pStyle w:val="P68B1DB1-Normal11"/>
              <w:rPr>
                <w:noProof/>
              </w:rPr>
            </w:pPr>
            <w:r>
              <w:rPr>
                <w:noProof/>
              </w:rPr>
              <w:t>Vsaj 8000 šol, ki so aktivirale usmerjevalne projekte na področju naravoslovja, tehnologije, inženirstva in matematike.</w:t>
            </w:r>
          </w:p>
          <w:p w14:paraId="04516970" w14:textId="77777777" w:rsidR="00154E32" w:rsidRDefault="00A43E04">
            <w:pPr>
              <w:pStyle w:val="P68B1DB1-Normal11"/>
              <w:rPr>
                <w:noProof/>
              </w:rPr>
            </w:pPr>
            <w:r>
              <w:rPr>
                <w:noProof/>
              </w:rPr>
              <w:t>Projekti so namenjeni razvoju in digitalizaciji nacionalne digitalne platforme na področju naravoslovja, tehnologije, inženirstva in matematike, namenjene celovitemu izvajanju programa, spremljanju in razširjanju informacij in podatkov (razčlenjenih po spolu), od predšolske in osnovne šole do prve in druge srednje šole do tehničnih in strokovnih inštitutov ter univerz.</w:t>
            </w:r>
          </w:p>
        </w:tc>
      </w:tr>
      <w:tr w:rsidR="00154E32" w14:paraId="1EC3EEDC" w14:textId="77777777">
        <w:trPr>
          <w:trHeight w:val="309"/>
        </w:trPr>
        <w:tc>
          <w:tcPr>
            <w:tcW w:w="380" w:type="pct"/>
            <w:shd w:val="clear" w:color="auto" w:fill="C6EFCE"/>
            <w:noWrap/>
            <w:vAlign w:val="center"/>
          </w:tcPr>
          <w:p w14:paraId="2C9003B0" w14:textId="77777777" w:rsidR="00154E32" w:rsidRDefault="00A43E04">
            <w:pPr>
              <w:pStyle w:val="P68B1DB1-Normal11"/>
              <w:jc w:val="center"/>
              <w:rPr>
                <w:noProof/>
              </w:rPr>
            </w:pPr>
            <w:r>
              <w:rPr>
                <w:noProof/>
              </w:rPr>
              <w:t>M4C1–17</w:t>
            </w:r>
          </w:p>
        </w:tc>
        <w:tc>
          <w:tcPr>
            <w:tcW w:w="500" w:type="pct"/>
            <w:shd w:val="clear" w:color="auto" w:fill="C6EFCE"/>
            <w:noWrap/>
            <w:vAlign w:val="center"/>
          </w:tcPr>
          <w:p w14:paraId="2BEA3E0C" w14:textId="77777777" w:rsidR="00154E32" w:rsidRDefault="00A43E04">
            <w:pPr>
              <w:pStyle w:val="P68B1DB1-Normal11"/>
              <w:jc w:val="center"/>
              <w:rPr>
                <w:noProof/>
              </w:rPr>
            </w:pPr>
            <w:r>
              <w:rPr>
                <w:noProof/>
              </w:rPr>
              <w:t>Naložba 3.1: Nova znanja in spretnosti ter novi jeziki</w:t>
            </w:r>
          </w:p>
        </w:tc>
        <w:tc>
          <w:tcPr>
            <w:tcW w:w="358" w:type="pct"/>
            <w:shd w:val="clear" w:color="auto" w:fill="C6EFCE"/>
            <w:noWrap/>
            <w:vAlign w:val="center"/>
          </w:tcPr>
          <w:p w14:paraId="545B144C" w14:textId="77777777" w:rsidR="00154E32" w:rsidRDefault="00A43E04">
            <w:pPr>
              <w:pStyle w:val="P68B1DB1-Normal11"/>
              <w:jc w:val="center"/>
              <w:rPr>
                <w:noProof/>
              </w:rPr>
            </w:pPr>
            <w:r>
              <w:rPr>
                <w:noProof/>
              </w:rPr>
              <w:t>Tarča</w:t>
            </w:r>
          </w:p>
        </w:tc>
        <w:tc>
          <w:tcPr>
            <w:tcW w:w="572" w:type="pct"/>
            <w:shd w:val="clear" w:color="auto" w:fill="C6EFCE"/>
            <w:noWrap/>
            <w:vAlign w:val="center"/>
          </w:tcPr>
          <w:p w14:paraId="45267B74" w14:textId="4F89E87D" w:rsidR="00154E32" w:rsidRDefault="00A43E04">
            <w:pPr>
              <w:pStyle w:val="P68B1DB1-Normal11"/>
              <w:jc w:val="center"/>
              <w:rPr>
                <w:noProof/>
              </w:rPr>
            </w:pPr>
            <w:r>
              <w:rPr>
                <w:noProof/>
              </w:rPr>
              <w:t>Letni jezikovni in metodološki tečaji za učitelje</w:t>
            </w:r>
          </w:p>
        </w:tc>
        <w:tc>
          <w:tcPr>
            <w:tcW w:w="480" w:type="pct"/>
            <w:shd w:val="clear" w:color="auto" w:fill="C6EFCE"/>
            <w:noWrap/>
            <w:vAlign w:val="center"/>
          </w:tcPr>
          <w:p w14:paraId="705AF4CB" w14:textId="77777777" w:rsidR="00154E32" w:rsidRDefault="00A43E04">
            <w:pPr>
              <w:pStyle w:val="P68B1DB1-Normal11"/>
              <w:jc w:val="center"/>
              <w:rPr>
                <w:noProof/>
              </w:rPr>
            </w:pPr>
            <w:r>
              <w:rPr>
                <w:noProof/>
              </w:rPr>
              <w:t>JIH NI</w:t>
            </w:r>
          </w:p>
        </w:tc>
        <w:tc>
          <w:tcPr>
            <w:tcW w:w="422" w:type="pct"/>
            <w:shd w:val="clear" w:color="auto" w:fill="C6EFCE"/>
            <w:noWrap/>
            <w:vAlign w:val="center"/>
          </w:tcPr>
          <w:p w14:paraId="6C6DFFE9" w14:textId="77777777" w:rsidR="00154E32" w:rsidRDefault="00A43E04">
            <w:pPr>
              <w:pStyle w:val="P68B1DB1-Normal11"/>
              <w:jc w:val="center"/>
              <w:rPr>
                <w:noProof/>
              </w:rPr>
            </w:pPr>
            <w:r>
              <w:rPr>
                <w:noProof/>
              </w:rPr>
              <w:t>Število</w:t>
            </w:r>
          </w:p>
        </w:tc>
        <w:tc>
          <w:tcPr>
            <w:tcW w:w="375" w:type="pct"/>
            <w:shd w:val="clear" w:color="auto" w:fill="C6EFCE"/>
            <w:noWrap/>
            <w:vAlign w:val="center"/>
          </w:tcPr>
          <w:p w14:paraId="52FF8AB3" w14:textId="77777777" w:rsidR="00154E32" w:rsidRDefault="00A43E04">
            <w:pPr>
              <w:pStyle w:val="P68B1DB1-Normal11"/>
              <w:jc w:val="center"/>
              <w:rPr>
                <w:noProof/>
              </w:rPr>
            </w:pPr>
            <w:r>
              <w:rPr>
                <w:noProof/>
              </w:rPr>
              <w:t>0</w:t>
            </w:r>
          </w:p>
        </w:tc>
        <w:tc>
          <w:tcPr>
            <w:tcW w:w="343" w:type="pct"/>
            <w:shd w:val="clear" w:color="auto" w:fill="C6EFCE"/>
            <w:noWrap/>
            <w:vAlign w:val="center"/>
          </w:tcPr>
          <w:p w14:paraId="2690A1B8" w14:textId="5DD0A060" w:rsidR="00154E32" w:rsidRDefault="00A43E04">
            <w:pPr>
              <w:pStyle w:val="P68B1DB1-Normal11"/>
              <w:jc w:val="center"/>
              <w:rPr>
                <w:noProof/>
              </w:rPr>
            </w:pPr>
            <w:r>
              <w:rPr>
                <w:noProof/>
              </w:rPr>
              <w:t>1 000</w:t>
            </w:r>
          </w:p>
        </w:tc>
        <w:tc>
          <w:tcPr>
            <w:tcW w:w="286" w:type="pct"/>
            <w:shd w:val="clear" w:color="auto" w:fill="C6EFCE"/>
            <w:noWrap/>
            <w:vAlign w:val="center"/>
          </w:tcPr>
          <w:p w14:paraId="1598CA37" w14:textId="77777777" w:rsidR="00154E32" w:rsidRDefault="00A43E04">
            <w:pPr>
              <w:pStyle w:val="P68B1DB1-Normal11"/>
              <w:jc w:val="center"/>
              <w:rPr>
                <w:noProof/>
              </w:rPr>
            </w:pPr>
            <w:r>
              <w:rPr>
                <w:noProof/>
              </w:rPr>
              <w:t>Q2</w:t>
            </w:r>
          </w:p>
        </w:tc>
        <w:tc>
          <w:tcPr>
            <w:tcW w:w="238" w:type="pct"/>
            <w:shd w:val="clear" w:color="auto" w:fill="C6EFCE"/>
            <w:noWrap/>
            <w:vAlign w:val="center"/>
          </w:tcPr>
          <w:p w14:paraId="21926691" w14:textId="77777777" w:rsidR="00154E32" w:rsidRDefault="00A43E04">
            <w:pPr>
              <w:pStyle w:val="P68B1DB1-Normal11"/>
              <w:jc w:val="center"/>
              <w:rPr>
                <w:noProof/>
              </w:rPr>
            </w:pPr>
            <w:r>
              <w:rPr>
                <w:noProof/>
              </w:rPr>
              <w:t>2025</w:t>
            </w:r>
          </w:p>
        </w:tc>
        <w:tc>
          <w:tcPr>
            <w:tcW w:w="1047" w:type="pct"/>
            <w:shd w:val="clear" w:color="auto" w:fill="C6EFCE"/>
            <w:noWrap/>
            <w:vAlign w:val="center"/>
          </w:tcPr>
          <w:p w14:paraId="08758034" w14:textId="68AA06B8" w:rsidR="00154E32" w:rsidRDefault="00A43E04">
            <w:pPr>
              <w:pStyle w:val="P68B1DB1-Normal11"/>
              <w:rPr>
                <w:noProof/>
              </w:rPr>
            </w:pPr>
            <w:r>
              <w:rPr>
                <w:noProof/>
              </w:rPr>
              <w:t>Vsaj 1000 letnih jezikovnih in metodoloških tečajev za vse učitelje</w:t>
            </w:r>
          </w:p>
        </w:tc>
      </w:tr>
      <w:tr w:rsidR="00154E32" w14:paraId="48ECBEFB" w14:textId="77777777">
        <w:trPr>
          <w:trHeight w:val="309"/>
        </w:trPr>
        <w:tc>
          <w:tcPr>
            <w:tcW w:w="380" w:type="pct"/>
            <w:shd w:val="clear" w:color="auto" w:fill="C6EFCE"/>
            <w:noWrap/>
            <w:vAlign w:val="center"/>
          </w:tcPr>
          <w:p w14:paraId="50558E2F" w14:textId="77777777" w:rsidR="00154E32" w:rsidRDefault="00A43E04">
            <w:pPr>
              <w:pStyle w:val="P68B1DB1-Normal11"/>
              <w:jc w:val="center"/>
              <w:rPr>
                <w:noProof/>
              </w:rPr>
            </w:pPr>
            <w:r>
              <w:rPr>
                <w:noProof/>
              </w:rPr>
              <w:t>M4C1–18</w:t>
            </w:r>
          </w:p>
        </w:tc>
        <w:tc>
          <w:tcPr>
            <w:tcW w:w="500" w:type="pct"/>
            <w:shd w:val="clear" w:color="auto" w:fill="C6EFCE"/>
            <w:noWrap/>
            <w:vAlign w:val="center"/>
          </w:tcPr>
          <w:p w14:paraId="7D3C706B" w14:textId="77777777" w:rsidR="00154E32" w:rsidRDefault="00A43E04">
            <w:pPr>
              <w:pStyle w:val="P68B1DB1-Normal11"/>
              <w:jc w:val="center"/>
              <w:rPr>
                <w:noProof/>
              </w:rPr>
            </w:pPr>
            <w:r>
              <w:rPr>
                <w:noProof/>
              </w:rPr>
              <w:t>Naložba 1.1: Načrt za vrtce in predšolske otroke ter storitve predšolske vzgoje in varstva</w:t>
            </w:r>
          </w:p>
        </w:tc>
        <w:tc>
          <w:tcPr>
            <w:tcW w:w="358" w:type="pct"/>
            <w:shd w:val="clear" w:color="auto" w:fill="C6EFCE"/>
            <w:noWrap/>
            <w:vAlign w:val="center"/>
          </w:tcPr>
          <w:p w14:paraId="12B1C6CA" w14:textId="77777777" w:rsidR="00154E32" w:rsidRDefault="00A43E04">
            <w:pPr>
              <w:pStyle w:val="P68B1DB1-Normal11"/>
              <w:jc w:val="center"/>
              <w:rPr>
                <w:noProof/>
              </w:rPr>
            </w:pPr>
            <w:r>
              <w:rPr>
                <w:noProof/>
              </w:rPr>
              <w:t>Tarča</w:t>
            </w:r>
          </w:p>
        </w:tc>
        <w:tc>
          <w:tcPr>
            <w:tcW w:w="572" w:type="pct"/>
            <w:shd w:val="clear" w:color="auto" w:fill="C6EFCE"/>
            <w:noWrap/>
            <w:vAlign w:val="center"/>
          </w:tcPr>
          <w:p w14:paraId="4923E80F" w14:textId="77777777" w:rsidR="00154E32" w:rsidRDefault="00A43E04">
            <w:pPr>
              <w:pStyle w:val="P68B1DB1-Normal11"/>
              <w:jc w:val="center"/>
              <w:rPr>
                <w:noProof/>
              </w:rPr>
            </w:pPr>
            <w:r>
              <w:rPr>
                <w:noProof/>
              </w:rPr>
              <w:t>Nova mesta, aktivirana za storitve izobraževanja in varstva v zgodnjem otroštvu (od nič do šest let)</w:t>
            </w:r>
          </w:p>
        </w:tc>
        <w:tc>
          <w:tcPr>
            <w:tcW w:w="480" w:type="pct"/>
            <w:shd w:val="clear" w:color="auto" w:fill="C6EFCE"/>
            <w:noWrap/>
            <w:vAlign w:val="center"/>
          </w:tcPr>
          <w:p w14:paraId="018A5587" w14:textId="77777777" w:rsidR="00154E32" w:rsidRDefault="00A43E04">
            <w:pPr>
              <w:pStyle w:val="P68B1DB1-Normal11"/>
              <w:jc w:val="center"/>
              <w:rPr>
                <w:noProof/>
              </w:rPr>
            </w:pPr>
            <w:r>
              <w:rPr>
                <w:noProof/>
              </w:rPr>
              <w:t>JIH NI</w:t>
            </w:r>
          </w:p>
        </w:tc>
        <w:tc>
          <w:tcPr>
            <w:tcW w:w="422" w:type="pct"/>
            <w:shd w:val="clear" w:color="auto" w:fill="C6EFCE"/>
            <w:noWrap/>
            <w:vAlign w:val="center"/>
          </w:tcPr>
          <w:p w14:paraId="32FFD9DC" w14:textId="77777777" w:rsidR="00154E32" w:rsidRDefault="00A43E04">
            <w:pPr>
              <w:pStyle w:val="P68B1DB1-Normal11"/>
              <w:jc w:val="center"/>
              <w:rPr>
                <w:noProof/>
              </w:rPr>
            </w:pPr>
            <w:r>
              <w:rPr>
                <w:noProof/>
              </w:rPr>
              <w:t>Število</w:t>
            </w:r>
          </w:p>
        </w:tc>
        <w:tc>
          <w:tcPr>
            <w:tcW w:w="375" w:type="pct"/>
            <w:shd w:val="clear" w:color="auto" w:fill="C6EFCE"/>
            <w:noWrap/>
            <w:vAlign w:val="center"/>
          </w:tcPr>
          <w:p w14:paraId="1C55A125" w14:textId="77777777" w:rsidR="00154E32" w:rsidRDefault="00A43E04">
            <w:pPr>
              <w:pStyle w:val="P68B1DB1-Normal11"/>
              <w:jc w:val="center"/>
              <w:rPr>
                <w:noProof/>
              </w:rPr>
            </w:pPr>
            <w:r>
              <w:rPr>
                <w:noProof/>
              </w:rPr>
              <w:t>0</w:t>
            </w:r>
          </w:p>
        </w:tc>
        <w:tc>
          <w:tcPr>
            <w:tcW w:w="343" w:type="pct"/>
            <w:shd w:val="clear" w:color="auto" w:fill="C6EFCE"/>
            <w:noWrap/>
            <w:vAlign w:val="center"/>
          </w:tcPr>
          <w:p w14:paraId="1C13CDB7" w14:textId="1149A2F8" w:rsidR="00154E32" w:rsidRDefault="00A43E04">
            <w:pPr>
              <w:pStyle w:val="P68B1DB1-Normal11"/>
              <w:rPr>
                <w:noProof/>
              </w:rPr>
            </w:pPr>
            <w:r>
              <w:rPr>
                <w:noProof/>
              </w:rPr>
              <w:t>150 480</w:t>
            </w:r>
          </w:p>
        </w:tc>
        <w:tc>
          <w:tcPr>
            <w:tcW w:w="286" w:type="pct"/>
            <w:shd w:val="clear" w:color="auto" w:fill="C6EFCE"/>
            <w:noWrap/>
            <w:vAlign w:val="center"/>
          </w:tcPr>
          <w:p w14:paraId="3EC7A954" w14:textId="77777777" w:rsidR="00154E32" w:rsidRDefault="00A43E04">
            <w:pPr>
              <w:pStyle w:val="P68B1DB1-Normal11"/>
              <w:jc w:val="center"/>
              <w:rPr>
                <w:noProof/>
              </w:rPr>
            </w:pPr>
            <w:r>
              <w:rPr>
                <w:noProof/>
              </w:rPr>
              <w:t>Q2</w:t>
            </w:r>
          </w:p>
        </w:tc>
        <w:tc>
          <w:tcPr>
            <w:tcW w:w="238" w:type="pct"/>
            <w:shd w:val="clear" w:color="auto" w:fill="C6EFCE"/>
            <w:noWrap/>
            <w:vAlign w:val="center"/>
          </w:tcPr>
          <w:p w14:paraId="0CB7D46C" w14:textId="77777777" w:rsidR="00154E32" w:rsidRDefault="00A43E04">
            <w:pPr>
              <w:pStyle w:val="P68B1DB1-Normal11"/>
              <w:jc w:val="center"/>
              <w:rPr>
                <w:noProof/>
              </w:rPr>
            </w:pPr>
            <w:r>
              <w:rPr>
                <w:noProof/>
              </w:rPr>
              <w:t>2026</w:t>
            </w:r>
          </w:p>
        </w:tc>
        <w:tc>
          <w:tcPr>
            <w:tcW w:w="1047" w:type="pct"/>
            <w:shd w:val="clear" w:color="auto" w:fill="C6EFCE"/>
            <w:noWrap/>
            <w:vAlign w:val="center"/>
          </w:tcPr>
          <w:p w14:paraId="1E2584A1" w14:textId="32FEF09D" w:rsidR="00154E32" w:rsidRDefault="00A43E04">
            <w:pPr>
              <w:pStyle w:val="P68B1DB1-Normal11"/>
              <w:rPr>
                <w:noProof/>
              </w:rPr>
            </w:pPr>
            <w:r>
              <w:rPr>
                <w:noProof/>
              </w:rPr>
              <w:t>Vsaj 150480 novih mest za storitve izobraževanja in varstva v zgodnjem otroštvu (starih od nič do šest let).</w:t>
            </w:r>
          </w:p>
          <w:p w14:paraId="109DF8E3" w14:textId="77777777" w:rsidR="00154E32" w:rsidRDefault="00154E32">
            <w:pPr>
              <w:rPr>
                <w:rFonts w:ascii="Arial Narrow" w:hAnsi="Arial Narrow"/>
                <w:noProof/>
                <w:color w:val="006100"/>
                <w:sz w:val="20"/>
              </w:rPr>
            </w:pPr>
          </w:p>
          <w:p w14:paraId="205DC8CA" w14:textId="77777777" w:rsidR="00154E32" w:rsidRDefault="00A43E04">
            <w:pPr>
              <w:pStyle w:val="P68B1DB1-Normal11"/>
              <w:rPr>
                <w:noProof/>
              </w:rPr>
            </w:pPr>
            <w:r>
              <w:rPr>
                <w:noProof/>
              </w:rPr>
              <w:t>Z načrtom za izgradnjo in prenovo vrtcev je cilj povečati razpoložljiva mesta in povečati šolsko storitev v starosti od nič do šest let.</w:t>
            </w:r>
          </w:p>
        </w:tc>
      </w:tr>
      <w:tr w:rsidR="00154E32" w14:paraId="443532E3" w14:textId="77777777">
        <w:trPr>
          <w:trHeight w:val="309"/>
        </w:trPr>
        <w:tc>
          <w:tcPr>
            <w:tcW w:w="380" w:type="pct"/>
            <w:shd w:val="clear" w:color="auto" w:fill="C6EFCE"/>
            <w:noWrap/>
            <w:vAlign w:val="center"/>
          </w:tcPr>
          <w:p w14:paraId="3D67759B" w14:textId="77777777" w:rsidR="00154E32" w:rsidRDefault="00A43E04">
            <w:pPr>
              <w:pStyle w:val="P68B1DB1-Normal11"/>
              <w:jc w:val="center"/>
              <w:rPr>
                <w:noProof/>
              </w:rPr>
            </w:pPr>
            <w:r>
              <w:rPr>
                <w:noProof/>
              </w:rPr>
              <w:t>M4C1–19</w:t>
            </w:r>
          </w:p>
        </w:tc>
        <w:tc>
          <w:tcPr>
            <w:tcW w:w="500" w:type="pct"/>
            <w:shd w:val="clear" w:color="auto" w:fill="C6EFCE"/>
            <w:noWrap/>
            <w:vAlign w:val="center"/>
          </w:tcPr>
          <w:p w14:paraId="45178DA8" w14:textId="77777777" w:rsidR="00154E32" w:rsidRDefault="00A43E04">
            <w:pPr>
              <w:pStyle w:val="P68B1DB1-Normal11"/>
              <w:jc w:val="center"/>
              <w:rPr>
                <w:noProof/>
              </w:rPr>
            </w:pPr>
            <w:r>
              <w:rPr>
                <w:noProof/>
              </w:rPr>
              <w:t>Naložba 3.2: Šola 4.0: inovativne šole, ožičenje, nove učilnice in delavnice</w:t>
            </w:r>
          </w:p>
        </w:tc>
        <w:tc>
          <w:tcPr>
            <w:tcW w:w="358" w:type="pct"/>
            <w:shd w:val="clear" w:color="auto" w:fill="C6EFCE"/>
            <w:noWrap/>
            <w:vAlign w:val="center"/>
          </w:tcPr>
          <w:p w14:paraId="33A23169" w14:textId="77777777" w:rsidR="00154E32" w:rsidRDefault="00A43E04">
            <w:pPr>
              <w:pStyle w:val="P68B1DB1-Normal11"/>
              <w:jc w:val="center"/>
              <w:rPr>
                <w:noProof/>
              </w:rPr>
            </w:pPr>
            <w:r>
              <w:rPr>
                <w:noProof/>
              </w:rPr>
              <w:t>Tarča</w:t>
            </w:r>
          </w:p>
        </w:tc>
        <w:tc>
          <w:tcPr>
            <w:tcW w:w="572" w:type="pct"/>
            <w:shd w:val="clear" w:color="auto" w:fill="C6EFCE"/>
            <w:noWrap/>
            <w:vAlign w:val="center"/>
          </w:tcPr>
          <w:p w14:paraId="704E58A4" w14:textId="77777777" w:rsidR="00154E32" w:rsidRDefault="00A43E04">
            <w:pPr>
              <w:pStyle w:val="P68B1DB1-Normal11"/>
              <w:jc w:val="center"/>
              <w:rPr>
                <w:noProof/>
              </w:rPr>
            </w:pPr>
            <w:r>
              <w:rPr>
                <w:noProof/>
              </w:rPr>
              <w:t>Šolski razredi se s pomočjo šole 4.0 preoblikujejo v inovativna učna okolja.</w:t>
            </w:r>
          </w:p>
        </w:tc>
        <w:tc>
          <w:tcPr>
            <w:tcW w:w="480" w:type="pct"/>
            <w:shd w:val="clear" w:color="auto" w:fill="C6EFCE"/>
            <w:noWrap/>
            <w:vAlign w:val="center"/>
          </w:tcPr>
          <w:p w14:paraId="08AB8112" w14:textId="77777777" w:rsidR="00154E32" w:rsidRDefault="00A43E04">
            <w:pPr>
              <w:pStyle w:val="P68B1DB1-Normal11"/>
              <w:jc w:val="center"/>
              <w:rPr>
                <w:noProof/>
              </w:rPr>
            </w:pPr>
            <w:r>
              <w:rPr>
                <w:noProof/>
              </w:rPr>
              <w:t>JIH NI</w:t>
            </w:r>
          </w:p>
        </w:tc>
        <w:tc>
          <w:tcPr>
            <w:tcW w:w="422" w:type="pct"/>
            <w:shd w:val="clear" w:color="auto" w:fill="C6EFCE"/>
            <w:noWrap/>
            <w:vAlign w:val="center"/>
          </w:tcPr>
          <w:p w14:paraId="36833BD3" w14:textId="77777777" w:rsidR="00154E32" w:rsidRDefault="00A43E04">
            <w:pPr>
              <w:pStyle w:val="P68B1DB1-Normal11"/>
              <w:jc w:val="center"/>
              <w:rPr>
                <w:noProof/>
              </w:rPr>
            </w:pPr>
            <w:r>
              <w:rPr>
                <w:noProof/>
              </w:rPr>
              <w:t>Število</w:t>
            </w:r>
          </w:p>
        </w:tc>
        <w:tc>
          <w:tcPr>
            <w:tcW w:w="375" w:type="pct"/>
            <w:shd w:val="clear" w:color="auto" w:fill="C6EFCE"/>
            <w:noWrap/>
            <w:vAlign w:val="center"/>
          </w:tcPr>
          <w:p w14:paraId="44F26983" w14:textId="4757F060" w:rsidR="00154E32" w:rsidRDefault="00A43E04">
            <w:pPr>
              <w:pStyle w:val="P68B1DB1-Normal11"/>
              <w:jc w:val="center"/>
              <w:rPr>
                <w:noProof/>
              </w:rPr>
            </w:pPr>
            <w:r>
              <w:rPr>
                <w:noProof/>
              </w:rPr>
              <w:t>0</w:t>
            </w:r>
          </w:p>
        </w:tc>
        <w:tc>
          <w:tcPr>
            <w:tcW w:w="343" w:type="pct"/>
            <w:shd w:val="clear" w:color="auto" w:fill="C6EFCE"/>
            <w:noWrap/>
            <w:vAlign w:val="center"/>
          </w:tcPr>
          <w:p w14:paraId="22C69737" w14:textId="2DF45F13" w:rsidR="00154E32" w:rsidRDefault="00A43E04">
            <w:pPr>
              <w:pStyle w:val="P68B1DB1-Normal11"/>
              <w:jc w:val="center"/>
              <w:rPr>
                <w:noProof/>
              </w:rPr>
            </w:pPr>
            <w:r>
              <w:rPr>
                <w:noProof/>
              </w:rPr>
              <w:t>100 000</w:t>
            </w:r>
          </w:p>
        </w:tc>
        <w:tc>
          <w:tcPr>
            <w:tcW w:w="286" w:type="pct"/>
            <w:shd w:val="clear" w:color="auto" w:fill="C6EFCE"/>
            <w:noWrap/>
            <w:vAlign w:val="center"/>
          </w:tcPr>
          <w:p w14:paraId="37A3DD8A" w14:textId="77777777" w:rsidR="00154E32" w:rsidRDefault="00A43E04">
            <w:pPr>
              <w:pStyle w:val="P68B1DB1-Normal11"/>
              <w:jc w:val="center"/>
              <w:rPr>
                <w:noProof/>
              </w:rPr>
            </w:pPr>
            <w:r>
              <w:rPr>
                <w:noProof/>
              </w:rPr>
              <w:t>Q4</w:t>
            </w:r>
          </w:p>
        </w:tc>
        <w:tc>
          <w:tcPr>
            <w:tcW w:w="238" w:type="pct"/>
            <w:shd w:val="clear" w:color="auto" w:fill="C6EFCE"/>
            <w:noWrap/>
            <w:vAlign w:val="center"/>
          </w:tcPr>
          <w:p w14:paraId="2476D8B1" w14:textId="77777777" w:rsidR="00154E32" w:rsidRDefault="00A43E04">
            <w:pPr>
              <w:pStyle w:val="P68B1DB1-Normal11"/>
              <w:jc w:val="center"/>
              <w:rPr>
                <w:noProof/>
              </w:rPr>
            </w:pPr>
            <w:r>
              <w:rPr>
                <w:noProof/>
              </w:rPr>
              <w:t>2025</w:t>
            </w:r>
          </w:p>
        </w:tc>
        <w:tc>
          <w:tcPr>
            <w:tcW w:w="1047" w:type="pct"/>
            <w:shd w:val="clear" w:color="auto" w:fill="C6EFCE"/>
            <w:noWrap/>
            <w:vAlign w:val="center"/>
          </w:tcPr>
          <w:p w14:paraId="5482101D" w14:textId="242DCCFE" w:rsidR="00154E32" w:rsidRDefault="00A43E04">
            <w:pPr>
              <w:pStyle w:val="P68B1DB1-Normal11"/>
              <w:rPr>
                <w:noProof/>
              </w:rPr>
            </w:pPr>
            <w:r>
              <w:rPr>
                <w:noProof/>
              </w:rPr>
              <w:t>Število učilnic, preoblikovanih v inovativna učna okolja v načrt „School 4.0“.</w:t>
            </w:r>
          </w:p>
          <w:p w14:paraId="1CB11D5A" w14:textId="77777777" w:rsidR="00154E32" w:rsidRDefault="00154E32">
            <w:pPr>
              <w:rPr>
                <w:rFonts w:ascii="Arial Narrow" w:hAnsi="Arial Narrow"/>
                <w:noProof/>
                <w:color w:val="006100"/>
                <w:sz w:val="20"/>
              </w:rPr>
            </w:pPr>
          </w:p>
          <w:p w14:paraId="51BFBFFD" w14:textId="71799648" w:rsidR="00154E32" w:rsidRDefault="00A43E04">
            <w:pPr>
              <w:pStyle w:val="P68B1DB1-Normal11"/>
              <w:rPr>
                <w:noProof/>
              </w:rPr>
            </w:pPr>
            <w:r>
              <w:rPr>
                <w:noProof/>
              </w:rPr>
              <w:t>Ukrep bo preoblikoval šolske prostore, ki se uporabljajo za tradicionalne učilnice, v inovativna, prilagodljiva in prilagodljiva učna okolja, povezana in povezana z digitalnimi tehnologijami, fizično in virtualno. Naložba bo prinesla vse najbolj inovativne učne tehnologije (kot so naprave za kodiranje in robotiko, naprave za virtualno resničnost in napredne digitalne naprave za vključujoče poučevanje) v vsaj 100000 učilnic v osnovnih in srednjih šolah, ki se uporabljajo za poučevanje.</w:t>
            </w:r>
          </w:p>
        </w:tc>
      </w:tr>
      <w:tr w:rsidR="00154E32" w14:paraId="628CB384" w14:textId="77777777">
        <w:trPr>
          <w:trHeight w:val="309"/>
        </w:trPr>
        <w:tc>
          <w:tcPr>
            <w:tcW w:w="380" w:type="pct"/>
            <w:shd w:val="clear" w:color="auto" w:fill="C6EFCE"/>
            <w:noWrap/>
            <w:vAlign w:val="center"/>
          </w:tcPr>
          <w:p w14:paraId="47EE1079" w14:textId="77777777" w:rsidR="00154E32" w:rsidRDefault="00A43E04">
            <w:pPr>
              <w:pStyle w:val="P68B1DB1-Normal11"/>
              <w:jc w:val="center"/>
              <w:rPr>
                <w:noProof/>
              </w:rPr>
            </w:pPr>
            <w:r>
              <w:rPr>
                <w:noProof/>
              </w:rPr>
              <w:t>M4C1–20</w:t>
            </w:r>
          </w:p>
        </w:tc>
        <w:tc>
          <w:tcPr>
            <w:tcW w:w="500" w:type="pct"/>
            <w:shd w:val="clear" w:color="auto" w:fill="C6EFCE"/>
            <w:noWrap/>
            <w:vAlign w:val="center"/>
          </w:tcPr>
          <w:p w14:paraId="12FABBEA" w14:textId="77777777" w:rsidR="00154E32" w:rsidRDefault="00A43E04">
            <w:pPr>
              <w:pStyle w:val="P68B1DB1-Normal11"/>
              <w:jc w:val="center"/>
              <w:rPr>
                <w:noProof/>
              </w:rPr>
            </w:pPr>
            <w:r>
              <w:rPr>
                <w:noProof/>
              </w:rPr>
              <w:t>Naložba 1.5: Razvoj sistema terciarnega poklicnega usposabljanja (ITS)</w:t>
            </w:r>
          </w:p>
        </w:tc>
        <w:tc>
          <w:tcPr>
            <w:tcW w:w="358" w:type="pct"/>
            <w:shd w:val="clear" w:color="auto" w:fill="C6EFCE"/>
            <w:noWrap/>
            <w:vAlign w:val="center"/>
          </w:tcPr>
          <w:p w14:paraId="3807BE33" w14:textId="77777777" w:rsidR="00154E32" w:rsidRDefault="00A43E04">
            <w:pPr>
              <w:pStyle w:val="P68B1DB1-Normal11"/>
              <w:jc w:val="center"/>
              <w:rPr>
                <w:noProof/>
              </w:rPr>
            </w:pPr>
            <w:r>
              <w:rPr>
                <w:noProof/>
              </w:rPr>
              <w:t>Tarča</w:t>
            </w:r>
          </w:p>
        </w:tc>
        <w:tc>
          <w:tcPr>
            <w:tcW w:w="572" w:type="pct"/>
            <w:shd w:val="clear" w:color="auto" w:fill="C6EFCE"/>
            <w:noWrap/>
            <w:vAlign w:val="center"/>
          </w:tcPr>
          <w:p w14:paraId="1C187B3A" w14:textId="77777777" w:rsidR="00154E32" w:rsidRDefault="00A43E04">
            <w:pPr>
              <w:pStyle w:val="P68B1DB1-Normal11"/>
              <w:jc w:val="center"/>
              <w:rPr>
                <w:noProof/>
              </w:rPr>
            </w:pPr>
            <w:r>
              <w:rPr>
                <w:noProof/>
              </w:rPr>
              <w:t>Število študentov, vpisanih v sistem poklicnega usposabljanja (ITS)</w:t>
            </w:r>
          </w:p>
        </w:tc>
        <w:tc>
          <w:tcPr>
            <w:tcW w:w="480" w:type="pct"/>
            <w:shd w:val="clear" w:color="auto" w:fill="C6EFCE"/>
            <w:noWrap/>
            <w:vAlign w:val="center"/>
          </w:tcPr>
          <w:p w14:paraId="723C2B98" w14:textId="77777777" w:rsidR="00154E32" w:rsidRDefault="00A43E04">
            <w:pPr>
              <w:pStyle w:val="P68B1DB1-Normal11"/>
              <w:jc w:val="center"/>
              <w:rPr>
                <w:noProof/>
              </w:rPr>
            </w:pPr>
            <w:r>
              <w:rPr>
                <w:noProof/>
              </w:rPr>
              <w:t>JIH NI</w:t>
            </w:r>
          </w:p>
        </w:tc>
        <w:tc>
          <w:tcPr>
            <w:tcW w:w="422" w:type="pct"/>
            <w:shd w:val="clear" w:color="auto" w:fill="C6EFCE"/>
            <w:noWrap/>
            <w:vAlign w:val="center"/>
          </w:tcPr>
          <w:p w14:paraId="09616A05" w14:textId="77777777" w:rsidR="00154E32" w:rsidRDefault="00A43E04">
            <w:pPr>
              <w:pStyle w:val="P68B1DB1-Normal11"/>
              <w:jc w:val="center"/>
              <w:rPr>
                <w:noProof/>
              </w:rPr>
            </w:pPr>
            <w:r>
              <w:rPr>
                <w:noProof/>
              </w:rPr>
              <w:t>Število</w:t>
            </w:r>
          </w:p>
        </w:tc>
        <w:tc>
          <w:tcPr>
            <w:tcW w:w="375" w:type="pct"/>
            <w:shd w:val="clear" w:color="auto" w:fill="C6EFCE"/>
            <w:noWrap/>
            <w:vAlign w:val="center"/>
          </w:tcPr>
          <w:p w14:paraId="792D08C5" w14:textId="3E5AA0EA" w:rsidR="00154E32" w:rsidRDefault="00A43E04">
            <w:pPr>
              <w:pStyle w:val="P68B1DB1-Normal11"/>
              <w:jc w:val="center"/>
              <w:rPr>
                <w:noProof/>
              </w:rPr>
            </w:pPr>
            <w:r>
              <w:rPr>
                <w:noProof/>
              </w:rPr>
              <w:t>11 000</w:t>
            </w:r>
          </w:p>
        </w:tc>
        <w:tc>
          <w:tcPr>
            <w:tcW w:w="343" w:type="pct"/>
            <w:shd w:val="clear" w:color="auto" w:fill="C6EFCE"/>
            <w:noWrap/>
            <w:vAlign w:val="center"/>
          </w:tcPr>
          <w:p w14:paraId="4FB66E4B" w14:textId="54E3E0A7" w:rsidR="00154E32" w:rsidRDefault="00A43E04">
            <w:pPr>
              <w:pStyle w:val="P68B1DB1-Normal11"/>
              <w:jc w:val="center"/>
              <w:rPr>
                <w:noProof/>
              </w:rPr>
            </w:pPr>
            <w:r>
              <w:rPr>
                <w:noProof/>
              </w:rPr>
              <w:t>22 000</w:t>
            </w:r>
          </w:p>
        </w:tc>
        <w:tc>
          <w:tcPr>
            <w:tcW w:w="286" w:type="pct"/>
            <w:shd w:val="clear" w:color="auto" w:fill="C6EFCE"/>
            <w:noWrap/>
            <w:vAlign w:val="center"/>
          </w:tcPr>
          <w:p w14:paraId="24B20F7C" w14:textId="77777777" w:rsidR="00154E32" w:rsidRDefault="00A43E04">
            <w:pPr>
              <w:pStyle w:val="P68B1DB1-Normal11"/>
              <w:jc w:val="center"/>
              <w:rPr>
                <w:noProof/>
              </w:rPr>
            </w:pPr>
            <w:r>
              <w:rPr>
                <w:noProof/>
              </w:rPr>
              <w:t>Q4</w:t>
            </w:r>
          </w:p>
        </w:tc>
        <w:tc>
          <w:tcPr>
            <w:tcW w:w="238" w:type="pct"/>
            <w:shd w:val="clear" w:color="auto" w:fill="C6EFCE"/>
            <w:noWrap/>
            <w:vAlign w:val="center"/>
          </w:tcPr>
          <w:p w14:paraId="5E08D286" w14:textId="77777777" w:rsidR="00154E32" w:rsidRDefault="00A43E04">
            <w:pPr>
              <w:pStyle w:val="P68B1DB1-Normal11"/>
              <w:jc w:val="center"/>
              <w:rPr>
                <w:noProof/>
              </w:rPr>
            </w:pPr>
            <w:r>
              <w:rPr>
                <w:noProof/>
              </w:rPr>
              <w:t>2025</w:t>
            </w:r>
          </w:p>
        </w:tc>
        <w:tc>
          <w:tcPr>
            <w:tcW w:w="1047" w:type="pct"/>
            <w:shd w:val="clear" w:color="auto" w:fill="C6EFCE"/>
            <w:noWrap/>
            <w:vAlign w:val="center"/>
          </w:tcPr>
          <w:p w14:paraId="13814DA7" w14:textId="77777777" w:rsidR="00154E32" w:rsidRDefault="00A43E04">
            <w:pPr>
              <w:pStyle w:val="P68B1DB1-Normal11"/>
              <w:rPr>
                <w:noProof/>
              </w:rPr>
            </w:pPr>
            <w:r>
              <w:rPr>
                <w:noProof/>
              </w:rPr>
              <w:t>Letno povečanje števila študentov, vpisanih v sistem poklicnega usposabljanja (100 %).</w:t>
            </w:r>
          </w:p>
        </w:tc>
      </w:tr>
      <w:tr w:rsidR="00154E32" w14:paraId="54B0EA6B" w14:textId="77777777">
        <w:trPr>
          <w:trHeight w:val="309"/>
        </w:trPr>
        <w:tc>
          <w:tcPr>
            <w:tcW w:w="380" w:type="pct"/>
            <w:shd w:val="clear" w:color="auto" w:fill="C6EFCE"/>
            <w:noWrap/>
            <w:vAlign w:val="center"/>
          </w:tcPr>
          <w:p w14:paraId="4ACFC377" w14:textId="7E64EAB4" w:rsidR="00154E32" w:rsidRDefault="00A43E04">
            <w:pPr>
              <w:pStyle w:val="P68B1DB1-Normal11"/>
              <w:jc w:val="center"/>
              <w:rPr>
                <w:noProof/>
              </w:rPr>
            </w:pPr>
            <w:r>
              <w:rPr>
                <w:noProof/>
              </w:rPr>
              <w:t>M4C1–20 bis</w:t>
            </w:r>
          </w:p>
        </w:tc>
        <w:tc>
          <w:tcPr>
            <w:tcW w:w="500" w:type="pct"/>
            <w:shd w:val="clear" w:color="auto" w:fill="C6EFCE"/>
            <w:noWrap/>
            <w:vAlign w:val="center"/>
          </w:tcPr>
          <w:p w14:paraId="22DE3457" w14:textId="78F56727" w:rsidR="00154E32" w:rsidRDefault="00A43E04">
            <w:pPr>
              <w:pStyle w:val="P68B1DB1-Normal11"/>
              <w:jc w:val="center"/>
              <w:rPr>
                <w:noProof/>
              </w:rPr>
            </w:pPr>
            <w:r>
              <w:rPr>
                <w:noProof/>
              </w:rPr>
              <w:t>Naložba 1.5: Razvoj sistema terciarnega poklicnega usposabljanja (ITS)</w:t>
            </w:r>
          </w:p>
        </w:tc>
        <w:tc>
          <w:tcPr>
            <w:tcW w:w="358" w:type="pct"/>
            <w:shd w:val="clear" w:color="auto" w:fill="C6EFCE"/>
            <w:noWrap/>
            <w:vAlign w:val="center"/>
          </w:tcPr>
          <w:p w14:paraId="418AA7C0" w14:textId="77777777" w:rsidR="00154E32" w:rsidRDefault="00A43E04">
            <w:pPr>
              <w:pStyle w:val="P68B1DB1-Normal11"/>
              <w:jc w:val="center"/>
              <w:rPr>
                <w:noProof/>
              </w:rPr>
            </w:pPr>
            <w:r>
              <w:rPr>
                <w:noProof/>
              </w:rPr>
              <w:t>Mejnik</w:t>
            </w:r>
          </w:p>
        </w:tc>
        <w:tc>
          <w:tcPr>
            <w:tcW w:w="572" w:type="pct"/>
            <w:shd w:val="clear" w:color="auto" w:fill="C6EFCE"/>
            <w:noWrap/>
            <w:vAlign w:val="center"/>
          </w:tcPr>
          <w:p w14:paraId="7F5248CA" w14:textId="77777777" w:rsidR="00154E32" w:rsidRDefault="00A43E04">
            <w:pPr>
              <w:pStyle w:val="P68B1DB1-Normal11"/>
              <w:jc w:val="center"/>
              <w:rPr>
                <w:noProof/>
              </w:rPr>
            </w:pPr>
            <w:r>
              <w:rPr>
                <w:noProof/>
              </w:rPr>
              <w:t xml:space="preserve">Izvajanje novega nacionalnega sistema spremljanja </w:t>
            </w:r>
          </w:p>
        </w:tc>
        <w:tc>
          <w:tcPr>
            <w:tcW w:w="480" w:type="pct"/>
            <w:shd w:val="clear" w:color="auto" w:fill="C6EFCE"/>
            <w:noWrap/>
            <w:vAlign w:val="center"/>
          </w:tcPr>
          <w:p w14:paraId="12BF57A2" w14:textId="77777777" w:rsidR="00154E32" w:rsidRDefault="00A43E04">
            <w:pPr>
              <w:pStyle w:val="P68B1DB1-Normal11"/>
              <w:jc w:val="center"/>
              <w:rPr>
                <w:noProof/>
              </w:rPr>
            </w:pPr>
            <w:r>
              <w:rPr>
                <w:noProof/>
              </w:rPr>
              <w:t xml:space="preserve">Uvedba novega sistema za spremljanje ITS </w:t>
            </w:r>
          </w:p>
        </w:tc>
        <w:tc>
          <w:tcPr>
            <w:tcW w:w="422" w:type="pct"/>
            <w:shd w:val="clear" w:color="auto" w:fill="C6EFCE"/>
            <w:noWrap/>
            <w:vAlign w:val="center"/>
          </w:tcPr>
          <w:p w14:paraId="5191AB35" w14:textId="77777777" w:rsidR="00154E32" w:rsidRDefault="00A43E04">
            <w:pPr>
              <w:pStyle w:val="P68B1DB1-Normal11"/>
              <w:jc w:val="center"/>
              <w:rPr>
                <w:noProof/>
              </w:rPr>
            </w:pPr>
            <w:r>
              <w:rPr>
                <w:noProof/>
              </w:rPr>
              <w:t>JIH NI</w:t>
            </w:r>
          </w:p>
        </w:tc>
        <w:tc>
          <w:tcPr>
            <w:tcW w:w="375" w:type="pct"/>
            <w:shd w:val="clear" w:color="auto" w:fill="C6EFCE"/>
            <w:noWrap/>
            <w:vAlign w:val="center"/>
          </w:tcPr>
          <w:p w14:paraId="5C61E36C" w14:textId="77777777" w:rsidR="00154E32" w:rsidRDefault="00A43E04">
            <w:pPr>
              <w:pStyle w:val="P68B1DB1-Normal11"/>
              <w:jc w:val="center"/>
              <w:rPr>
                <w:noProof/>
              </w:rPr>
            </w:pPr>
            <w:r>
              <w:rPr>
                <w:noProof/>
              </w:rPr>
              <w:t>JIH NI</w:t>
            </w:r>
          </w:p>
        </w:tc>
        <w:tc>
          <w:tcPr>
            <w:tcW w:w="343" w:type="pct"/>
            <w:shd w:val="clear" w:color="auto" w:fill="C6EFCE"/>
            <w:noWrap/>
            <w:vAlign w:val="center"/>
          </w:tcPr>
          <w:p w14:paraId="325E97E7" w14:textId="77777777" w:rsidR="00154E32" w:rsidRDefault="00A43E04">
            <w:pPr>
              <w:pStyle w:val="P68B1DB1-Normal11"/>
              <w:jc w:val="center"/>
              <w:rPr>
                <w:noProof/>
              </w:rPr>
            </w:pPr>
            <w:r>
              <w:rPr>
                <w:noProof/>
              </w:rPr>
              <w:t>JIH NI</w:t>
            </w:r>
          </w:p>
        </w:tc>
        <w:tc>
          <w:tcPr>
            <w:tcW w:w="286" w:type="pct"/>
            <w:shd w:val="clear" w:color="auto" w:fill="C6EFCE"/>
            <w:noWrap/>
            <w:vAlign w:val="center"/>
          </w:tcPr>
          <w:p w14:paraId="71F64172" w14:textId="77777777" w:rsidR="00154E32" w:rsidRDefault="00A43E04">
            <w:pPr>
              <w:pStyle w:val="P68B1DB1-Normal11"/>
              <w:jc w:val="center"/>
              <w:rPr>
                <w:noProof/>
              </w:rPr>
            </w:pPr>
            <w:r>
              <w:rPr>
                <w:noProof/>
              </w:rPr>
              <w:t>Q4</w:t>
            </w:r>
          </w:p>
        </w:tc>
        <w:tc>
          <w:tcPr>
            <w:tcW w:w="238" w:type="pct"/>
            <w:shd w:val="clear" w:color="auto" w:fill="C6EFCE"/>
            <w:noWrap/>
            <w:vAlign w:val="center"/>
          </w:tcPr>
          <w:p w14:paraId="0F39AC07" w14:textId="77777777" w:rsidR="00154E32" w:rsidRDefault="00A43E04">
            <w:pPr>
              <w:pStyle w:val="P68B1DB1-Normal11"/>
              <w:jc w:val="center"/>
              <w:rPr>
                <w:noProof/>
              </w:rPr>
            </w:pPr>
            <w:r>
              <w:rPr>
                <w:noProof/>
              </w:rPr>
              <w:t>2025</w:t>
            </w:r>
          </w:p>
        </w:tc>
        <w:tc>
          <w:tcPr>
            <w:tcW w:w="1047" w:type="pct"/>
            <w:shd w:val="clear" w:color="auto" w:fill="C6EFCE"/>
            <w:noWrap/>
            <w:vAlign w:val="center"/>
          </w:tcPr>
          <w:p w14:paraId="32893487" w14:textId="77777777" w:rsidR="00154E32" w:rsidRDefault="00A43E04">
            <w:pPr>
              <w:pStyle w:val="P68B1DB1-Normal11"/>
              <w:jc w:val="both"/>
              <w:rPr>
                <w:rFonts w:eastAsiaTheme="minorEastAsia" w:cstheme="minorBidi"/>
                <w:noProof/>
              </w:rPr>
            </w:pPr>
            <w:r>
              <w:rPr>
                <w:noProof/>
              </w:rPr>
              <w:t>Novi nacionalni sistem za spremljanje rezultatov, doseženih s tečaji ITS, se v celoti izvaja in deluje.</w:t>
            </w:r>
          </w:p>
        </w:tc>
      </w:tr>
      <w:tr w:rsidR="00154E32" w14:paraId="2669CE1F" w14:textId="77777777">
        <w:trPr>
          <w:trHeight w:val="309"/>
        </w:trPr>
        <w:tc>
          <w:tcPr>
            <w:tcW w:w="380" w:type="pct"/>
            <w:shd w:val="clear" w:color="auto" w:fill="C6EFCE"/>
            <w:noWrap/>
            <w:vAlign w:val="center"/>
          </w:tcPr>
          <w:p w14:paraId="221E00BC" w14:textId="77777777" w:rsidR="00154E32" w:rsidRDefault="00A43E04">
            <w:pPr>
              <w:pStyle w:val="P68B1DB1-Normal11"/>
              <w:jc w:val="center"/>
              <w:rPr>
                <w:noProof/>
              </w:rPr>
            </w:pPr>
            <w:r>
              <w:rPr>
                <w:noProof/>
              </w:rPr>
              <w:t>M4C1–21</w:t>
            </w:r>
          </w:p>
        </w:tc>
        <w:tc>
          <w:tcPr>
            <w:tcW w:w="500" w:type="pct"/>
            <w:shd w:val="clear" w:color="auto" w:fill="C6EFCE"/>
            <w:noWrap/>
            <w:vAlign w:val="center"/>
          </w:tcPr>
          <w:p w14:paraId="740EFB6B" w14:textId="77777777" w:rsidR="00154E32" w:rsidRDefault="00A43E04">
            <w:pPr>
              <w:pStyle w:val="P68B1DB1-Normal11"/>
              <w:jc w:val="center"/>
              <w:rPr>
                <w:noProof/>
              </w:rPr>
            </w:pPr>
            <w:r>
              <w:rPr>
                <w:noProof/>
              </w:rPr>
              <w:t>Naložba 1.2: Načrt za podaljšanje polnega delovnega časa</w:t>
            </w:r>
          </w:p>
        </w:tc>
        <w:tc>
          <w:tcPr>
            <w:tcW w:w="358" w:type="pct"/>
            <w:shd w:val="clear" w:color="auto" w:fill="C6EFCE"/>
            <w:noWrap/>
            <w:vAlign w:val="center"/>
          </w:tcPr>
          <w:p w14:paraId="7DD030E0" w14:textId="77777777" w:rsidR="00154E32" w:rsidRDefault="00A43E04">
            <w:pPr>
              <w:pStyle w:val="P68B1DB1-Normal11"/>
              <w:jc w:val="center"/>
              <w:rPr>
                <w:noProof/>
              </w:rPr>
            </w:pPr>
            <w:r>
              <w:rPr>
                <w:noProof/>
              </w:rPr>
              <w:t>Tarča</w:t>
            </w:r>
          </w:p>
        </w:tc>
        <w:tc>
          <w:tcPr>
            <w:tcW w:w="572" w:type="pct"/>
            <w:shd w:val="clear" w:color="auto" w:fill="C6EFCE"/>
            <w:noWrap/>
            <w:vAlign w:val="center"/>
          </w:tcPr>
          <w:p w14:paraId="36F00F11" w14:textId="77777777" w:rsidR="00154E32" w:rsidRDefault="00A43E04">
            <w:pPr>
              <w:pStyle w:val="P68B1DB1-Normal11"/>
              <w:jc w:val="center"/>
              <w:rPr>
                <w:noProof/>
                <w:color w:val="375623"/>
              </w:rPr>
            </w:pPr>
            <w:r>
              <w:rPr>
                <w:noProof/>
              </w:rPr>
              <w:t>Strukture za sprejem učencev po šolskem času</w:t>
            </w:r>
          </w:p>
        </w:tc>
        <w:tc>
          <w:tcPr>
            <w:tcW w:w="480" w:type="pct"/>
            <w:shd w:val="clear" w:color="auto" w:fill="C6EFCE"/>
            <w:noWrap/>
            <w:vAlign w:val="center"/>
          </w:tcPr>
          <w:p w14:paraId="327EC53C" w14:textId="77777777" w:rsidR="00154E32" w:rsidRDefault="00A43E04">
            <w:pPr>
              <w:pStyle w:val="P68B1DB1-Normal11"/>
              <w:jc w:val="center"/>
              <w:rPr>
                <w:noProof/>
              </w:rPr>
            </w:pPr>
            <w:r>
              <w:rPr>
                <w:noProof/>
              </w:rPr>
              <w:t>JIH NI</w:t>
            </w:r>
          </w:p>
        </w:tc>
        <w:tc>
          <w:tcPr>
            <w:tcW w:w="422" w:type="pct"/>
            <w:shd w:val="clear" w:color="auto" w:fill="C6EFCE"/>
            <w:noWrap/>
            <w:vAlign w:val="center"/>
          </w:tcPr>
          <w:p w14:paraId="44616244" w14:textId="77777777" w:rsidR="00154E32" w:rsidRDefault="00A43E04">
            <w:pPr>
              <w:pStyle w:val="P68B1DB1-Normal11"/>
              <w:jc w:val="center"/>
              <w:rPr>
                <w:noProof/>
              </w:rPr>
            </w:pPr>
            <w:r>
              <w:rPr>
                <w:noProof/>
              </w:rPr>
              <w:t>Število</w:t>
            </w:r>
          </w:p>
        </w:tc>
        <w:tc>
          <w:tcPr>
            <w:tcW w:w="375" w:type="pct"/>
            <w:shd w:val="clear" w:color="auto" w:fill="C6EFCE"/>
            <w:noWrap/>
            <w:vAlign w:val="center"/>
          </w:tcPr>
          <w:p w14:paraId="13CBE327" w14:textId="43F6B648" w:rsidR="00154E32" w:rsidRDefault="00A43E04">
            <w:pPr>
              <w:pStyle w:val="P68B1DB1-Normal11"/>
              <w:jc w:val="center"/>
              <w:rPr>
                <w:noProof/>
              </w:rPr>
            </w:pPr>
            <w:r>
              <w:rPr>
                <w:noProof/>
              </w:rPr>
              <w:t>0</w:t>
            </w:r>
          </w:p>
        </w:tc>
        <w:tc>
          <w:tcPr>
            <w:tcW w:w="343" w:type="pct"/>
            <w:shd w:val="clear" w:color="auto" w:fill="C6EFCE"/>
            <w:noWrap/>
            <w:vAlign w:val="center"/>
          </w:tcPr>
          <w:p w14:paraId="1F6CCE69" w14:textId="452E3724" w:rsidR="00154E32" w:rsidRDefault="00A43E04">
            <w:pPr>
              <w:pStyle w:val="P68B1DB1-Normal11"/>
              <w:jc w:val="center"/>
              <w:rPr>
                <w:noProof/>
              </w:rPr>
            </w:pPr>
            <w:r>
              <w:rPr>
                <w:noProof/>
              </w:rPr>
              <w:t>1 000</w:t>
            </w:r>
          </w:p>
        </w:tc>
        <w:tc>
          <w:tcPr>
            <w:tcW w:w="286" w:type="pct"/>
            <w:shd w:val="clear" w:color="auto" w:fill="C6EFCE"/>
            <w:noWrap/>
            <w:vAlign w:val="center"/>
          </w:tcPr>
          <w:p w14:paraId="2C3750DC" w14:textId="77777777" w:rsidR="00154E32" w:rsidRDefault="00A43E04">
            <w:pPr>
              <w:pStyle w:val="P68B1DB1-Normal11"/>
              <w:jc w:val="center"/>
              <w:rPr>
                <w:noProof/>
              </w:rPr>
            </w:pPr>
            <w:r>
              <w:rPr>
                <w:noProof/>
              </w:rPr>
              <w:t>Q2</w:t>
            </w:r>
          </w:p>
        </w:tc>
        <w:tc>
          <w:tcPr>
            <w:tcW w:w="238" w:type="pct"/>
            <w:shd w:val="clear" w:color="auto" w:fill="C6EFCE"/>
            <w:noWrap/>
            <w:vAlign w:val="center"/>
          </w:tcPr>
          <w:p w14:paraId="6125E308" w14:textId="77777777" w:rsidR="00154E32" w:rsidRDefault="00A43E04">
            <w:pPr>
              <w:pStyle w:val="P68B1DB1-Normal11"/>
              <w:jc w:val="center"/>
              <w:rPr>
                <w:noProof/>
              </w:rPr>
            </w:pPr>
            <w:r>
              <w:rPr>
                <w:noProof/>
              </w:rPr>
              <w:t>2026</w:t>
            </w:r>
          </w:p>
        </w:tc>
        <w:tc>
          <w:tcPr>
            <w:tcW w:w="1047" w:type="pct"/>
            <w:shd w:val="clear" w:color="auto" w:fill="C6EFCE"/>
            <w:noWrap/>
            <w:vAlign w:val="center"/>
          </w:tcPr>
          <w:p w14:paraId="0583A551" w14:textId="19063D11" w:rsidR="00154E32" w:rsidRDefault="00A43E04">
            <w:pPr>
              <w:pStyle w:val="P68B1DB1-Normal11"/>
              <w:rPr>
                <w:noProof/>
              </w:rPr>
            </w:pPr>
            <w:r>
              <w:rPr>
                <w:noProof/>
              </w:rPr>
              <w:t xml:space="preserve">Zgrajenih ali nadgrajenih je najmanj 1000 objektov, da se olajša podaljšanje šolskega časa in odprtje šol na ozemlje po šolskih urah. </w:t>
            </w:r>
          </w:p>
        </w:tc>
      </w:tr>
      <w:tr w:rsidR="00154E32" w14:paraId="568866FA" w14:textId="77777777">
        <w:trPr>
          <w:trHeight w:val="309"/>
        </w:trPr>
        <w:tc>
          <w:tcPr>
            <w:tcW w:w="380" w:type="pct"/>
            <w:shd w:val="clear" w:color="auto" w:fill="C6EFCE"/>
            <w:noWrap/>
            <w:vAlign w:val="center"/>
          </w:tcPr>
          <w:p w14:paraId="44154FDB" w14:textId="77777777" w:rsidR="00154E32" w:rsidRDefault="00A43E04">
            <w:pPr>
              <w:pStyle w:val="P68B1DB1-Normal11"/>
              <w:jc w:val="center"/>
              <w:rPr>
                <w:noProof/>
              </w:rPr>
            </w:pPr>
            <w:r>
              <w:rPr>
                <w:noProof/>
              </w:rPr>
              <w:t>M4C1–22</w:t>
            </w:r>
          </w:p>
        </w:tc>
        <w:tc>
          <w:tcPr>
            <w:tcW w:w="500" w:type="pct"/>
            <w:shd w:val="clear" w:color="auto" w:fill="C6EFCE"/>
            <w:noWrap/>
            <w:vAlign w:val="center"/>
          </w:tcPr>
          <w:p w14:paraId="638D9BF1" w14:textId="7A3787CD" w:rsidR="00154E32" w:rsidRDefault="00A43E04">
            <w:pPr>
              <w:pStyle w:val="P68B1DB1-Normal11"/>
              <w:jc w:val="center"/>
              <w:rPr>
                <w:noProof/>
              </w:rPr>
            </w:pPr>
            <w:r>
              <w:rPr>
                <w:noProof/>
              </w:rPr>
              <w:t>Naložba 1.3: Načrt za izboljšanje športne infrastrukture v šolah</w:t>
            </w:r>
          </w:p>
        </w:tc>
        <w:tc>
          <w:tcPr>
            <w:tcW w:w="358" w:type="pct"/>
            <w:shd w:val="clear" w:color="auto" w:fill="C6EFCE"/>
            <w:noWrap/>
            <w:vAlign w:val="center"/>
          </w:tcPr>
          <w:p w14:paraId="4AA446EA" w14:textId="77777777" w:rsidR="00154E32" w:rsidRDefault="00A43E04">
            <w:pPr>
              <w:pStyle w:val="P68B1DB1-Normal11"/>
              <w:jc w:val="center"/>
              <w:rPr>
                <w:noProof/>
              </w:rPr>
            </w:pPr>
            <w:r>
              <w:rPr>
                <w:noProof/>
              </w:rPr>
              <w:t>Tarča</w:t>
            </w:r>
          </w:p>
        </w:tc>
        <w:tc>
          <w:tcPr>
            <w:tcW w:w="572" w:type="pct"/>
            <w:shd w:val="clear" w:color="auto" w:fill="C6EFCE"/>
            <w:noWrap/>
            <w:vAlign w:val="center"/>
          </w:tcPr>
          <w:p w14:paraId="1B416690" w14:textId="77777777" w:rsidR="00154E32" w:rsidRDefault="00A43E04">
            <w:pPr>
              <w:pStyle w:val="P68B1DB1-Normal11"/>
              <w:jc w:val="center"/>
              <w:rPr>
                <w:noProof/>
              </w:rPr>
            </w:pPr>
            <w:r>
              <w:rPr>
                <w:noProof/>
              </w:rPr>
              <w:t>Qm, zgrajen ali prenovljen, se uporablja kot telovadnice ali športni objekti</w:t>
            </w:r>
          </w:p>
        </w:tc>
        <w:tc>
          <w:tcPr>
            <w:tcW w:w="480" w:type="pct"/>
            <w:shd w:val="clear" w:color="auto" w:fill="C6EFCE"/>
            <w:noWrap/>
            <w:vAlign w:val="center"/>
          </w:tcPr>
          <w:p w14:paraId="370856D7" w14:textId="77777777" w:rsidR="00154E32" w:rsidRDefault="00A43E04">
            <w:pPr>
              <w:pStyle w:val="P68B1DB1-Normal11"/>
              <w:jc w:val="center"/>
              <w:rPr>
                <w:noProof/>
              </w:rPr>
            </w:pPr>
            <w:r>
              <w:rPr>
                <w:noProof/>
              </w:rPr>
              <w:t>JIH NI</w:t>
            </w:r>
          </w:p>
        </w:tc>
        <w:tc>
          <w:tcPr>
            <w:tcW w:w="422" w:type="pct"/>
            <w:shd w:val="clear" w:color="auto" w:fill="C6EFCE"/>
            <w:noWrap/>
            <w:vAlign w:val="center"/>
          </w:tcPr>
          <w:p w14:paraId="55F8363E" w14:textId="77777777" w:rsidR="00154E32" w:rsidRDefault="00A43E04">
            <w:pPr>
              <w:pStyle w:val="P68B1DB1-Normal11"/>
              <w:jc w:val="center"/>
              <w:rPr>
                <w:noProof/>
              </w:rPr>
            </w:pPr>
            <w:r>
              <w:rPr>
                <w:noProof/>
              </w:rPr>
              <w:t>Število</w:t>
            </w:r>
          </w:p>
        </w:tc>
        <w:tc>
          <w:tcPr>
            <w:tcW w:w="375" w:type="pct"/>
            <w:shd w:val="clear" w:color="auto" w:fill="C6EFCE"/>
            <w:noWrap/>
            <w:vAlign w:val="center"/>
          </w:tcPr>
          <w:p w14:paraId="2E45D4F2" w14:textId="77777777" w:rsidR="00154E32" w:rsidRDefault="00A43E04">
            <w:pPr>
              <w:pStyle w:val="P68B1DB1-Normal11"/>
              <w:jc w:val="center"/>
              <w:rPr>
                <w:noProof/>
              </w:rPr>
            </w:pPr>
            <w:r>
              <w:rPr>
                <w:noProof/>
              </w:rPr>
              <w:t>0</w:t>
            </w:r>
          </w:p>
        </w:tc>
        <w:tc>
          <w:tcPr>
            <w:tcW w:w="343" w:type="pct"/>
            <w:shd w:val="clear" w:color="auto" w:fill="C6EFCE"/>
            <w:noWrap/>
            <w:vAlign w:val="center"/>
          </w:tcPr>
          <w:p w14:paraId="53B265C7" w14:textId="795CE4CA" w:rsidR="00154E32" w:rsidRDefault="00A43E04">
            <w:pPr>
              <w:pStyle w:val="P68B1DB1-Normal11"/>
              <w:jc w:val="center"/>
              <w:rPr>
                <w:noProof/>
              </w:rPr>
            </w:pPr>
            <w:r>
              <w:rPr>
                <w:noProof/>
              </w:rPr>
              <w:t>230 400</w:t>
            </w:r>
          </w:p>
        </w:tc>
        <w:tc>
          <w:tcPr>
            <w:tcW w:w="286" w:type="pct"/>
            <w:shd w:val="clear" w:color="auto" w:fill="C6EFCE"/>
            <w:noWrap/>
            <w:vAlign w:val="center"/>
          </w:tcPr>
          <w:p w14:paraId="7DF761B3" w14:textId="77777777" w:rsidR="00154E32" w:rsidRDefault="00A43E04">
            <w:pPr>
              <w:pStyle w:val="P68B1DB1-Normal11"/>
              <w:jc w:val="center"/>
              <w:rPr>
                <w:noProof/>
              </w:rPr>
            </w:pPr>
            <w:r>
              <w:rPr>
                <w:noProof/>
              </w:rPr>
              <w:t>Q2</w:t>
            </w:r>
          </w:p>
        </w:tc>
        <w:tc>
          <w:tcPr>
            <w:tcW w:w="238" w:type="pct"/>
            <w:shd w:val="clear" w:color="auto" w:fill="C6EFCE"/>
            <w:noWrap/>
            <w:vAlign w:val="center"/>
          </w:tcPr>
          <w:p w14:paraId="166C0B23" w14:textId="77777777" w:rsidR="00154E32" w:rsidRDefault="00A43E04">
            <w:pPr>
              <w:pStyle w:val="P68B1DB1-Normal11"/>
              <w:jc w:val="center"/>
              <w:rPr>
                <w:noProof/>
              </w:rPr>
            </w:pPr>
            <w:r>
              <w:rPr>
                <w:noProof/>
              </w:rPr>
              <w:t>2026</w:t>
            </w:r>
          </w:p>
        </w:tc>
        <w:tc>
          <w:tcPr>
            <w:tcW w:w="1047" w:type="pct"/>
            <w:shd w:val="clear" w:color="auto" w:fill="C6EFCE"/>
            <w:noWrap/>
            <w:vAlign w:val="center"/>
          </w:tcPr>
          <w:p w14:paraId="49F401F9" w14:textId="042EE174" w:rsidR="00154E32" w:rsidRDefault="00A43E04">
            <w:pPr>
              <w:pStyle w:val="P68B1DB1-Normal11"/>
              <w:rPr>
                <w:noProof/>
              </w:rPr>
            </w:pPr>
            <w:r>
              <w:rPr>
                <w:noProof/>
              </w:rPr>
              <w:t>Vsaj 230400 Sqm, zgrajenih ali obnovljenih za uporabo kot telovadnice ali športni objekti, povezani s šolo.</w:t>
            </w:r>
          </w:p>
          <w:p w14:paraId="30FC9981" w14:textId="77777777" w:rsidR="00154E32" w:rsidRDefault="00154E32">
            <w:pPr>
              <w:rPr>
                <w:rFonts w:ascii="Arial Narrow" w:hAnsi="Arial Narrow"/>
                <w:noProof/>
                <w:color w:val="006100"/>
                <w:sz w:val="20"/>
              </w:rPr>
            </w:pPr>
          </w:p>
          <w:p w14:paraId="6599C0DA" w14:textId="77777777" w:rsidR="00154E32" w:rsidRDefault="00A43E04">
            <w:pPr>
              <w:pStyle w:val="P68B1DB1-Normal11"/>
              <w:rPr>
                <w:noProof/>
              </w:rPr>
            </w:pPr>
            <w:r>
              <w:rPr>
                <w:noProof/>
              </w:rPr>
              <w:t>Nacionalni register šolskih stavb in podatki, ki izhajajo iz spremljanja GPU, ki velja za nacionalni triletni program</w:t>
            </w:r>
          </w:p>
        </w:tc>
      </w:tr>
      <w:tr w:rsidR="00154E32" w14:paraId="49F23C07" w14:textId="77777777">
        <w:trPr>
          <w:trHeight w:val="309"/>
        </w:trPr>
        <w:tc>
          <w:tcPr>
            <w:tcW w:w="380" w:type="pct"/>
            <w:shd w:val="clear" w:color="auto" w:fill="C6EFCE"/>
            <w:noWrap/>
            <w:vAlign w:val="center"/>
            <w:hideMark/>
          </w:tcPr>
          <w:p w14:paraId="49E3615B" w14:textId="77777777" w:rsidR="00154E32" w:rsidRDefault="00A43E04">
            <w:pPr>
              <w:pStyle w:val="P68B1DB1-Normal11"/>
              <w:jc w:val="center"/>
              <w:rPr>
                <w:noProof/>
              </w:rPr>
            </w:pPr>
            <w:r>
              <w:rPr>
                <w:noProof/>
              </w:rPr>
              <w:t>M4C1–23</w:t>
            </w:r>
          </w:p>
        </w:tc>
        <w:tc>
          <w:tcPr>
            <w:tcW w:w="500" w:type="pct"/>
            <w:shd w:val="clear" w:color="auto" w:fill="C6EFCE"/>
            <w:noWrap/>
            <w:vAlign w:val="center"/>
            <w:hideMark/>
          </w:tcPr>
          <w:p w14:paraId="253A88A2" w14:textId="46ACD213" w:rsidR="00154E32" w:rsidRDefault="00A43E04">
            <w:pPr>
              <w:pStyle w:val="P68B1DB1-Normal11"/>
              <w:jc w:val="center"/>
              <w:rPr>
                <w:noProof/>
              </w:rPr>
            </w:pPr>
            <w:r>
              <w:rPr>
                <w:noProof/>
              </w:rPr>
              <w:t>Naložba 3.4: Poučevanje in napredne univerzitetne spretnosti</w:t>
            </w:r>
          </w:p>
        </w:tc>
        <w:tc>
          <w:tcPr>
            <w:tcW w:w="358" w:type="pct"/>
            <w:shd w:val="clear" w:color="auto" w:fill="C6EFCE"/>
            <w:noWrap/>
            <w:vAlign w:val="center"/>
            <w:hideMark/>
          </w:tcPr>
          <w:p w14:paraId="51986433" w14:textId="77777777" w:rsidR="00154E32" w:rsidRDefault="00A43E04">
            <w:pPr>
              <w:pStyle w:val="P68B1DB1-Normal11"/>
              <w:jc w:val="center"/>
              <w:rPr>
                <w:noProof/>
              </w:rPr>
            </w:pPr>
            <w:r>
              <w:rPr>
                <w:noProof/>
              </w:rPr>
              <w:t>Tarča</w:t>
            </w:r>
          </w:p>
        </w:tc>
        <w:tc>
          <w:tcPr>
            <w:tcW w:w="572" w:type="pct"/>
            <w:shd w:val="clear" w:color="auto" w:fill="C6EFCE"/>
            <w:noWrap/>
            <w:vAlign w:val="center"/>
            <w:hideMark/>
          </w:tcPr>
          <w:p w14:paraId="48A89C4F" w14:textId="3A2C84A5" w:rsidR="00154E32" w:rsidRDefault="00A43E04">
            <w:pPr>
              <w:pStyle w:val="P68B1DB1-Normal11"/>
              <w:jc w:val="center"/>
              <w:rPr>
                <w:noProof/>
              </w:rPr>
            </w:pPr>
            <w:r>
              <w:rPr>
                <w:noProof/>
              </w:rPr>
              <w:t>Novi doktorski študij za tri leta v programih, namenjenih digitalnemu in okoljskemu prehodu</w:t>
            </w:r>
          </w:p>
        </w:tc>
        <w:tc>
          <w:tcPr>
            <w:tcW w:w="480" w:type="pct"/>
            <w:shd w:val="clear" w:color="auto" w:fill="C6EFCE"/>
            <w:noWrap/>
            <w:vAlign w:val="center"/>
            <w:hideMark/>
          </w:tcPr>
          <w:p w14:paraId="0AB9356F" w14:textId="77777777" w:rsidR="00154E32" w:rsidRDefault="00A43E04">
            <w:pPr>
              <w:pStyle w:val="P68B1DB1-Normal11"/>
              <w:jc w:val="center"/>
              <w:rPr>
                <w:noProof/>
              </w:rPr>
            </w:pPr>
            <w:r>
              <w:rPr>
                <w:noProof/>
              </w:rPr>
              <w:t>JIH NI</w:t>
            </w:r>
          </w:p>
        </w:tc>
        <w:tc>
          <w:tcPr>
            <w:tcW w:w="422" w:type="pct"/>
            <w:shd w:val="clear" w:color="auto" w:fill="C6EFCE"/>
            <w:noWrap/>
            <w:vAlign w:val="center"/>
            <w:hideMark/>
          </w:tcPr>
          <w:p w14:paraId="7E43A64E" w14:textId="77777777" w:rsidR="00154E32" w:rsidRDefault="00A43E04">
            <w:pPr>
              <w:pStyle w:val="P68B1DB1-Normal11"/>
              <w:jc w:val="center"/>
              <w:rPr>
                <w:noProof/>
              </w:rPr>
            </w:pPr>
            <w:r>
              <w:rPr>
                <w:noProof/>
              </w:rPr>
              <w:t>Število</w:t>
            </w:r>
          </w:p>
        </w:tc>
        <w:tc>
          <w:tcPr>
            <w:tcW w:w="375" w:type="pct"/>
            <w:shd w:val="clear" w:color="auto" w:fill="C6EFCE"/>
            <w:noWrap/>
            <w:vAlign w:val="center"/>
            <w:hideMark/>
          </w:tcPr>
          <w:p w14:paraId="2CFE0F73" w14:textId="0B9FF507" w:rsidR="00154E32" w:rsidRDefault="00A43E04">
            <w:pPr>
              <w:pStyle w:val="P68B1DB1-Normal11"/>
              <w:jc w:val="center"/>
              <w:rPr>
                <w:noProof/>
              </w:rPr>
            </w:pPr>
            <w:r>
              <w:rPr>
                <w:noProof/>
              </w:rPr>
              <w:t>0</w:t>
            </w:r>
          </w:p>
        </w:tc>
        <w:tc>
          <w:tcPr>
            <w:tcW w:w="343" w:type="pct"/>
            <w:shd w:val="clear" w:color="auto" w:fill="C6EFCE"/>
            <w:noWrap/>
            <w:vAlign w:val="center"/>
            <w:hideMark/>
          </w:tcPr>
          <w:p w14:paraId="2BDC899C" w14:textId="370A4481" w:rsidR="00154E32" w:rsidRDefault="00A43E04">
            <w:pPr>
              <w:pStyle w:val="P68B1DB1-Normal11"/>
              <w:jc w:val="center"/>
              <w:rPr>
                <w:noProof/>
              </w:rPr>
            </w:pPr>
            <w:r>
              <w:rPr>
                <w:noProof/>
              </w:rPr>
              <w:t>500</w:t>
            </w:r>
          </w:p>
        </w:tc>
        <w:tc>
          <w:tcPr>
            <w:tcW w:w="286" w:type="pct"/>
            <w:shd w:val="clear" w:color="auto" w:fill="C6EFCE"/>
            <w:noWrap/>
            <w:vAlign w:val="center"/>
            <w:hideMark/>
          </w:tcPr>
          <w:p w14:paraId="4697E549" w14:textId="77777777" w:rsidR="00154E32" w:rsidRDefault="00A43E04">
            <w:pPr>
              <w:pStyle w:val="P68B1DB1-Normal11"/>
              <w:jc w:val="center"/>
              <w:rPr>
                <w:noProof/>
              </w:rPr>
            </w:pPr>
            <w:r>
              <w:rPr>
                <w:noProof/>
              </w:rPr>
              <w:t>Q2</w:t>
            </w:r>
          </w:p>
        </w:tc>
        <w:tc>
          <w:tcPr>
            <w:tcW w:w="238" w:type="pct"/>
            <w:shd w:val="clear" w:color="auto" w:fill="C6EFCE"/>
            <w:noWrap/>
            <w:vAlign w:val="center"/>
            <w:hideMark/>
          </w:tcPr>
          <w:p w14:paraId="4C440386" w14:textId="77777777" w:rsidR="00154E32" w:rsidRDefault="00A43E04">
            <w:pPr>
              <w:pStyle w:val="P68B1DB1-Normal11"/>
              <w:jc w:val="center"/>
              <w:rPr>
                <w:noProof/>
              </w:rPr>
            </w:pPr>
            <w:r>
              <w:rPr>
                <w:noProof/>
              </w:rPr>
              <w:t>2026</w:t>
            </w:r>
          </w:p>
        </w:tc>
        <w:tc>
          <w:tcPr>
            <w:tcW w:w="1047" w:type="pct"/>
            <w:shd w:val="clear" w:color="auto" w:fill="C6EFCE"/>
            <w:noWrap/>
            <w:vAlign w:val="center"/>
            <w:hideMark/>
          </w:tcPr>
          <w:p w14:paraId="3166EA31" w14:textId="77777777" w:rsidR="00154E32" w:rsidRDefault="00A43E04">
            <w:pPr>
              <w:pStyle w:val="P68B1DB1-Normal11"/>
              <w:rPr>
                <w:noProof/>
              </w:rPr>
            </w:pPr>
            <w:r>
              <w:rPr>
                <w:noProof/>
              </w:rPr>
              <w:t>Vsaj 500 novih doktorskih programov, namenjenih digitalnemu in okoljskemu prehodu, za obdobje treh let</w:t>
            </w:r>
          </w:p>
          <w:p w14:paraId="54332A7F" w14:textId="77777777" w:rsidR="00154E32" w:rsidRDefault="00A43E04">
            <w:pPr>
              <w:pStyle w:val="P68B1DB1-Normal11"/>
              <w:rPr>
                <w:rFonts w:eastAsia="Calibri"/>
                <w:noProof/>
              </w:rPr>
            </w:pPr>
            <w:r>
              <w:rPr>
                <w:noProof/>
              </w:rPr>
              <w:t>Cilj projekta je kvalificirati in uvajati inovativne univerzitetne (in doktorske) poti, in sicer z vzvodi: a) digitalizacijo; b) „kultura inovacij“; C) internacionalizacija.</w:t>
            </w:r>
          </w:p>
        </w:tc>
      </w:tr>
      <w:tr w:rsidR="00154E32" w14:paraId="26F5C392" w14:textId="77777777">
        <w:trPr>
          <w:trHeight w:val="309"/>
        </w:trPr>
        <w:tc>
          <w:tcPr>
            <w:tcW w:w="380" w:type="pct"/>
            <w:shd w:val="clear" w:color="auto" w:fill="C6EFCE"/>
            <w:noWrap/>
            <w:vAlign w:val="center"/>
            <w:hideMark/>
          </w:tcPr>
          <w:p w14:paraId="6CF5B5FA" w14:textId="7C6F60AA" w:rsidR="00154E32" w:rsidRDefault="00A43E04">
            <w:pPr>
              <w:pStyle w:val="P68B1DB1-Normal11"/>
              <w:jc w:val="center"/>
              <w:rPr>
                <w:noProof/>
              </w:rPr>
            </w:pPr>
            <w:r>
              <w:rPr>
                <w:noProof/>
              </w:rPr>
              <w:t>M4C1–23 bis</w:t>
            </w:r>
          </w:p>
        </w:tc>
        <w:tc>
          <w:tcPr>
            <w:tcW w:w="500" w:type="pct"/>
            <w:shd w:val="clear" w:color="auto" w:fill="C6EFCE"/>
            <w:noWrap/>
            <w:vAlign w:val="center"/>
            <w:hideMark/>
          </w:tcPr>
          <w:p w14:paraId="75C1D0B8" w14:textId="4F19BF3D" w:rsidR="00154E32" w:rsidRDefault="00A43E04">
            <w:pPr>
              <w:pStyle w:val="P68B1DB1-Normal11"/>
              <w:jc w:val="center"/>
              <w:rPr>
                <w:noProof/>
              </w:rPr>
            </w:pPr>
            <w:r>
              <w:rPr>
                <w:noProof/>
              </w:rPr>
              <w:t>Naložba 3.4: Poučevanje in napredne univerzitetne spretnosti</w:t>
            </w:r>
          </w:p>
        </w:tc>
        <w:tc>
          <w:tcPr>
            <w:tcW w:w="358" w:type="pct"/>
            <w:shd w:val="clear" w:color="auto" w:fill="C6EFCE"/>
            <w:noWrap/>
            <w:vAlign w:val="center"/>
            <w:hideMark/>
          </w:tcPr>
          <w:p w14:paraId="277110FD" w14:textId="77777777" w:rsidR="00154E32" w:rsidRDefault="00A43E04">
            <w:pPr>
              <w:pStyle w:val="P68B1DB1-Normal11"/>
              <w:jc w:val="center"/>
              <w:rPr>
                <w:noProof/>
              </w:rPr>
            </w:pPr>
            <w:r>
              <w:rPr>
                <w:noProof/>
              </w:rPr>
              <w:t>Mejnik</w:t>
            </w:r>
          </w:p>
        </w:tc>
        <w:tc>
          <w:tcPr>
            <w:tcW w:w="572" w:type="pct"/>
            <w:shd w:val="clear" w:color="auto" w:fill="C6EFCE"/>
            <w:noWrap/>
            <w:vAlign w:val="center"/>
            <w:hideMark/>
          </w:tcPr>
          <w:p w14:paraId="37A59459" w14:textId="77777777" w:rsidR="00154E32" w:rsidRDefault="00A43E04">
            <w:pPr>
              <w:pStyle w:val="P68B1DB1-Normal11"/>
              <w:jc w:val="center"/>
              <w:rPr>
                <w:noProof/>
              </w:rPr>
            </w:pPr>
            <w:r>
              <w:rPr>
                <w:noProof/>
              </w:rPr>
              <w:t>Zaključek izvajanja podukrepov v zvezi s poučevanjem in naprednimi univerzitetnimi znanji in spretnostmi</w:t>
            </w:r>
          </w:p>
        </w:tc>
        <w:tc>
          <w:tcPr>
            <w:tcW w:w="480" w:type="pct"/>
            <w:shd w:val="clear" w:color="auto" w:fill="C6EFCE"/>
            <w:noWrap/>
            <w:vAlign w:val="center"/>
            <w:hideMark/>
          </w:tcPr>
          <w:p w14:paraId="6638FD63" w14:textId="77777777" w:rsidR="00154E32" w:rsidRDefault="00A43E04">
            <w:pPr>
              <w:pStyle w:val="P68B1DB1-Normal11"/>
              <w:jc w:val="center"/>
              <w:rPr>
                <w:noProof/>
              </w:rPr>
            </w:pPr>
            <w:r>
              <w:rPr>
                <w:noProof/>
              </w:rPr>
              <w:t>Izvajajo se podukrepi v zvezi s poučevanjem in naprednimi univerzitetnimi znanji in spretnostmi.</w:t>
            </w:r>
          </w:p>
        </w:tc>
        <w:tc>
          <w:tcPr>
            <w:tcW w:w="422" w:type="pct"/>
            <w:shd w:val="clear" w:color="auto" w:fill="C6EFCE"/>
            <w:noWrap/>
            <w:vAlign w:val="center"/>
            <w:hideMark/>
          </w:tcPr>
          <w:p w14:paraId="39FAE967" w14:textId="70C1BEB4" w:rsidR="00154E32" w:rsidRDefault="00A43E04">
            <w:pPr>
              <w:pStyle w:val="P68B1DB1-Normal11"/>
              <w:jc w:val="center"/>
              <w:rPr>
                <w:noProof/>
              </w:rPr>
            </w:pPr>
            <w:r>
              <w:rPr>
                <w:noProof/>
              </w:rPr>
              <w:t>JIH NI</w:t>
            </w:r>
          </w:p>
        </w:tc>
        <w:tc>
          <w:tcPr>
            <w:tcW w:w="375" w:type="pct"/>
            <w:shd w:val="clear" w:color="auto" w:fill="C6EFCE"/>
            <w:noWrap/>
            <w:vAlign w:val="center"/>
            <w:hideMark/>
          </w:tcPr>
          <w:p w14:paraId="7B9AF38A" w14:textId="3689F34D" w:rsidR="00154E32" w:rsidRDefault="00A43E04">
            <w:pPr>
              <w:pStyle w:val="P68B1DB1-Normal11"/>
              <w:jc w:val="center"/>
              <w:rPr>
                <w:noProof/>
              </w:rPr>
            </w:pPr>
            <w:r>
              <w:rPr>
                <w:noProof/>
              </w:rPr>
              <w:t>JIH NI</w:t>
            </w:r>
          </w:p>
        </w:tc>
        <w:tc>
          <w:tcPr>
            <w:tcW w:w="343" w:type="pct"/>
            <w:shd w:val="clear" w:color="auto" w:fill="C6EFCE"/>
            <w:noWrap/>
            <w:vAlign w:val="center"/>
            <w:hideMark/>
          </w:tcPr>
          <w:p w14:paraId="0E69CC83" w14:textId="7DF3C801" w:rsidR="00154E32" w:rsidRDefault="00A43E04">
            <w:pPr>
              <w:pStyle w:val="P68B1DB1-Normal11"/>
              <w:jc w:val="center"/>
              <w:rPr>
                <w:noProof/>
              </w:rPr>
            </w:pPr>
            <w:r>
              <w:rPr>
                <w:noProof/>
              </w:rPr>
              <w:t>JIH NI</w:t>
            </w:r>
          </w:p>
        </w:tc>
        <w:tc>
          <w:tcPr>
            <w:tcW w:w="286" w:type="pct"/>
            <w:shd w:val="clear" w:color="auto" w:fill="C6EFCE"/>
            <w:noWrap/>
            <w:vAlign w:val="center"/>
            <w:hideMark/>
          </w:tcPr>
          <w:p w14:paraId="0BD77989" w14:textId="77777777" w:rsidR="00154E32" w:rsidRDefault="00A43E04">
            <w:pPr>
              <w:pStyle w:val="P68B1DB1-Normal11"/>
              <w:jc w:val="center"/>
              <w:rPr>
                <w:noProof/>
              </w:rPr>
            </w:pPr>
            <w:r>
              <w:rPr>
                <w:noProof/>
              </w:rPr>
              <w:t>Q2</w:t>
            </w:r>
          </w:p>
        </w:tc>
        <w:tc>
          <w:tcPr>
            <w:tcW w:w="238" w:type="pct"/>
            <w:shd w:val="clear" w:color="auto" w:fill="C6EFCE"/>
            <w:noWrap/>
            <w:vAlign w:val="center"/>
            <w:hideMark/>
          </w:tcPr>
          <w:p w14:paraId="645E3C3B" w14:textId="77777777" w:rsidR="00154E32" w:rsidRDefault="00A43E04">
            <w:pPr>
              <w:pStyle w:val="P68B1DB1-Normal11"/>
              <w:jc w:val="center"/>
              <w:rPr>
                <w:noProof/>
              </w:rPr>
            </w:pPr>
            <w:r>
              <w:rPr>
                <w:noProof/>
              </w:rPr>
              <w:t>2026</w:t>
            </w:r>
          </w:p>
        </w:tc>
        <w:tc>
          <w:tcPr>
            <w:tcW w:w="1047" w:type="pct"/>
            <w:shd w:val="clear" w:color="auto" w:fill="C6EFCE"/>
            <w:noWrap/>
            <w:vAlign w:val="center"/>
            <w:hideMark/>
          </w:tcPr>
          <w:p w14:paraId="0E399DDF" w14:textId="5CAA0504" w:rsidR="00154E32" w:rsidRDefault="00A43E04">
            <w:pPr>
              <w:pStyle w:val="P68B1DB1-Normal11"/>
              <w:rPr>
                <w:noProof/>
              </w:rPr>
            </w:pPr>
            <w:r>
              <w:rPr>
                <w:noProof/>
              </w:rPr>
              <w:t xml:space="preserve">Izvajajo se podukrepi v zvezi s poučevanjem in naprednimi univerzitetnimi znanji in spretnostmi. </w:t>
            </w:r>
          </w:p>
          <w:p w14:paraId="536A1FD8" w14:textId="77777777" w:rsidR="00154E32" w:rsidRDefault="00154E32">
            <w:pPr>
              <w:rPr>
                <w:rFonts w:ascii="Arial Narrow" w:hAnsi="Arial Narrow"/>
                <w:noProof/>
                <w:color w:val="006100"/>
                <w:sz w:val="20"/>
              </w:rPr>
            </w:pPr>
          </w:p>
          <w:p w14:paraId="29548546" w14:textId="22EBFE58" w:rsidR="00154E32" w:rsidRDefault="00A43E04">
            <w:pPr>
              <w:pStyle w:val="P68B1DB1-Normal11"/>
              <w:rPr>
                <w:noProof/>
              </w:rPr>
            </w:pPr>
            <w:r>
              <w:rPr>
                <w:noProof/>
              </w:rPr>
              <w:t xml:space="preserve">Podukrepi vključujejo: </w:t>
            </w:r>
          </w:p>
          <w:p w14:paraId="2A89A62C" w14:textId="2EDF9D51" w:rsidR="00154E32" w:rsidRDefault="00A43E04">
            <w:pPr>
              <w:pStyle w:val="P68B1DB1-ListParagraph13"/>
              <w:numPr>
                <w:ilvl w:val="0"/>
                <w:numId w:val="56"/>
              </w:numPr>
              <w:spacing w:before="0" w:after="0"/>
              <w:jc w:val="left"/>
              <w:rPr>
                <w:noProof/>
              </w:rPr>
            </w:pPr>
            <w:r>
              <w:rPr>
                <w:noProof/>
              </w:rPr>
              <w:t>Vzpostavitev treh vozlišč za digitalno izobraževanje;</w:t>
            </w:r>
          </w:p>
          <w:p w14:paraId="7DB8B45B" w14:textId="2E78A130" w:rsidR="00154E32" w:rsidRDefault="00A43E04">
            <w:pPr>
              <w:pStyle w:val="P68B1DB1-ListParagraph13"/>
              <w:numPr>
                <w:ilvl w:val="0"/>
                <w:numId w:val="56"/>
              </w:numPr>
              <w:spacing w:before="0" w:after="0"/>
              <w:jc w:val="left"/>
              <w:rPr>
                <w:noProof/>
              </w:rPr>
            </w:pPr>
            <w:r>
              <w:rPr>
                <w:noProof/>
              </w:rPr>
              <w:t>Aktiviranje treh višjih univerzitetnih šol;</w:t>
            </w:r>
          </w:p>
          <w:p w14:paraId="31EC071D" w14:textId="194F10F2" w:rsidR="00154E32" w:rsidRDefault="00A43E04">
            <w:pPr>
              <w:pStyle w:val="P68B1DB1-ListParagraph13"/>
              <w:numPr>
                <w:ilvl w:val="0"/>
                <w:numId w:val="56"/>
              </w:numPr>
              <w:spacing w:before="0" w:after="0"/>
              <w:jc w:val="left"/>
              <w:rPr>
                <w:noProof/>
              </w:rPr>
            </w:pPr>
            <w:r>
              <w:rPr>
                <w:noProof/>
              </w:rPr>
              <w:t>Uresničitev desetih nadnacionalnih izobraževalnih pobud – NNS;</w:t>
            </w:r>
          </w:p>
          <w:p w14:paraId="46D9A758" w14:textId="77777777" w:rsidR="00154E32" w:rsidRDefault="00A43E04">
            <w:pPr>
              <w:pStyle w:val="P68B1DB1-ListParagraph13"/>
              <w:numPr>
                <w:ilvl w:val="0"/>
                <w:numId w:val="56"/>
              </w:numPr>
              <w:spacing w:before="0" w:after="0"/>
              <w:jc w:val="left"/>
              <w:rPr>
                <w:noProof/>
              </w:rPr>
            </w:pPr>
            <w:r>
              <w:rPr>
                <w:noProof/>
              </w:rPr>
              <w:t>Izvedba 15 projektov internacionalizacije umetniških in glasbenih visokošolskih ustanov (AFAM).</w:t>
            </w:r>
          </w:p>
        </w:tc>
      </w:tr>
      <w:tr w:rsidR="00154E32" w14:paraId="4B9ED250" w14:textId="77777777">
        <w:trPr>
          <w:trHeight w:val="309"/>
        </w:trPr>
        <w:tc>
          <w:tcPr>
            <w:tcW w:w="380" w:type="pct"/>
            <w:shd w:val="clear" w:color="auto" w:fill="C6EFCE"/>
            <w:noWrap/>
            <w:vAlign w:val="center"/>
          </w:tcPr>
          <w:p w14:paraId="3D5C8165" w14:textId="77777777" w:rsidR="00154E32" w:rsidRDefault="00A43E04">
            <w:pPr>
              <w:pStyle w:val="P68B1DB1-Normal11"/>
              <w:jc w:val="center"/>
              <w:rPr>
                <w:noProof/>
              </w:rPr>
            </w:pPr>
            <w:r>
              <w:rPr>
                <w:noProof/>
              </w:rPr>
              <w:t>M4C1–24</w:t>
            </w:r>
          </w:p>
        </w:tc>
        <w:tc>
          <w:tcPr>
            <w:tcW w:w="500" w:type="pct"/>
            <w:shd w:val="clear" w:color="auto" w:fill="C6EFCE"/>
            <w:noWrap/>
            <w:vAlign w:val="center"/>
          </w:tcPr>
          <w:p w14:paraId="4DD1F063" w14:textId="598BA570" w:rsidR="00154E32" w:rsidRDefault="00A43E04">
            <w:pPr>
              <w:pStyle w:val="P68B1DB1-Normal11"/>
              <w:jc w:val="center"/>
              <w:rPr>
                <w:noProof/>
              </w:rPr>
            </w:pPr>
            <w:r>
              <w:rPr>
                <w:noProof/>
              </w:rPr>
              <w:t>Naložba 1.6: Aktivno usmerjanje pri prehodu med šolami in univerzami.</w:t>
            </w:r>
          </w:p>
        </w:tc>
        <w:tc>
          <w:tcPr>
            <w:tcW w:w="358" w:type="pct"/>
            <w:shd w:val="clear" w:color="auto" w:fill="C6EFCE"/>
            <w:noWrap/>
            <w:vAlign w:val="center"/>
          </w:tcPr>
          <w:p w14:paraId="09FFD937" w14:textId="77777777" w:rsidR="00154E32" w:rsidRDefault="00A43E04">
            <w:pPr>
              <w:pStyle w:val="P68B1DB1-Normal11"/>
              <w:jc w:val="center"/>
              <w:rPr>
                <w:noProof/>
              </w:rPr>
            </w:pPr>
            <w:r>
              <w:rPr>
                <w:noProof/>
              </w:rPr>
              <w:t>Tarča</w:t>
            </w:r>
          </w:p>
        </w:tc>
        <w:tc>
          <w:tcPr>
            <w:tcW w:w="572" w:type="pct"/>
            <w:shd w:val="clear" w:color="auto" w:fill="C6EFCE"/>
            <w:noWrap/>
            <w:vAlign w:val="center"/>
          </w:tcPr>
          <w:p w14:paraId="3073F53D" w14:textId="77777777" w:rsidR="00154E32" w:rsidRDefault="00A43E04">
            <w:pPr>
              <w:pStyle w:val="P68B1DB1-Normal11"/>
              <w:jc w:val="center"/>
              <w:rPr>
                <w:noProof/>
              </w:rPr>
            </w:pPr>
            <w:r>
              <w:rPr>
                <w:noProof/>
              </w:rPr>
              <w:t>Dijaki, ki so obiskovali prehodne tečaje med šolo in univerzami</w:t>
            </w:r>
          </w:p>
        </w:tc>
        <w:tc>
          <w:tcPr>
            <w:tcW w:w="480" w:type="pct"/>
            <w:shd w:val="clear" w:color="auto" w:fill="C6EFCE"/>
            <w:noWrap/>
            <w:vAlign w:val="center"/>
          </w:tcPr>
          <w:p w14:paraId="2A8E15A5" w14:textId="77777777" w:rsidR="00154E32" w:rsidRDefault="00A43E04">
            <w:pPr>
              <w:pStyle w:val="P68B1DB1-Normal11"/>
              <w:jc w:val="center"/>
              <w:rPr>
                <w:noProof/>
              </w:rPr>
            </w:pPr>
            <w:r>
              <w:rPr>
                <w:noProof/>
              </w:rPr>
              <w:t>JIH NI</w:t>
            </w:r>
          </w:p>
        </w:tc>
        <w:tc>
          <w:tcPr>
            <w:tcW w:w="422" w:type="pct"/>
            <w:shd w:val="clear" w:color="auto" w:fill="C6EFCE"/>
            <w:noWrap/>
            <w:vAlign w:val="center"/>
          </w:tcPr>
          <w:p w14:paraId="4B164AB2" w14:textId="77777777" w:rsidR="00154E32" w:rsidRDefault="00A43E04">
            <w:pPr>
              <w:pStyle w:val="P68B1DB1-Normal11"/>
              <w:jc w:val="center"/>
              <w:rPr>
                <w:noProof/>
              </w:rPr>
            </w:pPr>
            <w:r>
              <w:rPr>
                <w:noProof/>
              </w:rPr>
              <w:t>Število</w:t>
            </w:r>
          </w:p>
        </w:tc>
        <w:tc>
          <w:tcPr>
            <w:tcW w:w="375" w:type="pct"/>
            <w:shd w:val="clear" w:color="auto" w:fill="C6EFCE"/>
            <w:noWrap/>
            <w:vAlign w:val="center"/>
          </w:tcPr>
          <w:p w14:paraId="1264B0C6" w14:textId="77777777" w:rsidR="00154E32" w:rsidRDefault="00A43E04">
            <w:pPr>
              <w:pStyle w:val="P68B1DB1-Normal11"/>
              <w:jc w:val="center"/>
              <w:rPr>
                <w:noProof/>
              </w:rPr>
            </w:pPr>
            <w:r>
              <w:rPr>
                <w:noProof/>
              </w:rPr>
              <w:t>0</w:t>
            </w:r>
          </w:p>
        </w:tc>
        <w:tc>
          <w:tcPr>
            <w:tcW w:w="343" w:type="pct"/>
            <w:shd w:val="clear" w:color="auto" w:fill="C6EFCE"/>
            <w:noWrap/>
            <w:vAlign w:val="center"/>
          </w:tcPr>
          <w:p w14:paraId="4555DEAE" w14:textId="52620D92" w:rsidR="00154E32" w:rsidRDefault="00A43E04">
            <w:pPr>
              <w:pStyle w:val="P68B1DB1-Normal11"/>
              <w:jc w:val="center"/>
              <w:rPr>
                <w:noProof/>
              </w:rPr>
            </w:pPr>
            <w:r>
              <w:rPr>
                <w:noProof/>
              </w:rPr>
              <w:t>1 000 000</w:t>
            </w:r>
          </w:p>
        </w:tc>
        <w:tc>
          <w:tcPr>
            <w:tcW w:w="286" w:type="pct"/>
            <w:shd w:val="clear" w:color="auto" w:fill="C6EFCE"/>
            <w:noWrap/>
            <w:vAlign w:val="center"/>
          </w:tcPr>
          <w:p w14:paraId="0A4C9AD9" w14:textId="77777777" w:rsidR="00154E32" w:rsidRDefault="00A43E04">
            <w:pPr>
              <w:pStyle w:val="P68B1DB1-Normal11"/>
              <w:jc w:val="center"/>
              <w:rPr>
                <w:noProof/>
              </w:rPr>
            </w:pPr>
            <w:r>
              <w:rPr>
                <w:noProof/>
              </w:rPr>
              <w:t>Q2</w:t>
            </w:r>
          </w:p>
        </w:tc>
        <w:tc>
          <w:tcPr>
            <w:tcW w:w="238" w:type="pct"/>
            <w:shd w:val="clear" w:color="auto" w:fill="C6EFCE"/>
            <w:noWrap/>
            <w:vAlign w:val="center"/>
          </w:tcPr>
          <w:p w14:paraId="37DD1DF2" w14:textId="77777777" w:rsidR="00154E32" w:rsidRDefault="00A43E04">
            <w:pPr>
              <w:pStyle w:val="P68B1DB1-Normal11"/>
              <w:jc w:val="center"/>
              <w:rPr>
                <w:noProof/>
              </w:rPr>
            </w:pPr>
            <w:r>
              <w:rPr>
                <w:noProof/>
              </w:rPr>
              <w:t>2026</w:t>
            </w:r>
          </w:p>
        </w:tc>
        <w:tc>
          <w:tcPr>
            <w:tcW w:w="1047" w:type="pct"/>
            <w:shd w:val="clear" w:color="auto" w:fill="C6EFCE"/>
            <w:noWrap/>
            <w:vAlign w:val="center"/>
          </w:tcPr>
          <w:p w14:paraId="297A15B0" w14:textId="14B5C973" w:rsidR="00154E32" w:rsidRDefault="00A43E04">
            <w:pPr>
              <w:pStyle w:val="P68B1DB1-Normal11"/>
              <w:jc w:val="center"/>
              <w:rPr>
                <w:noProof/>
              </w:rPr>
            </w:pPr>
            <w:r>
              <w:rPr>
                <w:noProof/>
              </w:rPr>
              <w:t xml:space="preserve">Vsaj 1000000 dijakov v višji srednji šoli se je udeležilo enega prehodnega šolskega in univerzitetnega tečaja.  </w:t>
            </w:r>
          </w:p>
        </w:tc>
      </w:tr>
      <w:tr w:rsidR="00154E32" w14:paraId="051650DB" w14:textId="77777777">
        <w:trPr>
          <w:trHeight w:val="309"/>
        </w:trPr>
        <w:tc>
          <w:tcPr>
            <w:tcW w:w="380" w:type="pct"/>
            <w:shd w:val="clear" w:color="auto" w:fill="C6EFCE"/>
            <w:noWrap/>
            <w:vAlign w:val="center"/>
          </w:tcPr>
          <w:p w14:paraId="26F71B95" w14:textId="77777777" w:rsidR="00154E32" w:rsidRDefault="00A43E04">
            <w:pPr>
              <w:pStyle w:val="P68B1DB1-Normal11"/>
              <w:jc w:val="center"/>
              <w:rPr>
                <w:noProof/>
              </w:rPr>
            </w:pPr>
            <w:r>
              <w:rPr>
                <w:noProof/>
              </w:rPr>
              <w:t>M4C1–25</w:t>
            </w:r>
          </w:p>
        </w:tc>
        <w:tc>
          <w:tcPr>
            <w:tcW w:w="500" w:type="pct"/>
            <w:shd w:val="clear" w:color="auto" w:fill="C6EFCE"/>
            <w:noWrap/>
            <w:vAlign w:val="center"/>
          </w:tcPr>
          <w:p w14:paraId="70E9F8C5" w14:textId="77777777" w:rsidR="00154E32" w:rsidRDefault="00A43E04">
            <w:pPr>
              <w:pStyle w:val="P68B1DB1-Normal11"/>
              <w:jc w:val="center"/>
              <w:rPr>
                <w:noProof/>
              </w:rPr>
            </w:pPr>
            <w:r>
              <w:rPr>
                <w:noProof/>
              </w:rPr>
              <w:t>Naložba 1.4: Izredni ukrepi za zmanjšanje teritorialnih vrzeli v I in II srednješolskih ciklih ter za odpravo osipa v šolah</w:t>
            </w:r>
          </w:p>
        </w:tc>
        <w:tc>
          <w:tcPr>
            <w:tcW w:w="358" w:type="pct"/>
            <w:shd w:val="clear" w:color="auto" w:fill="C6EFCE"/>
            <w:noWrap/>
            <w:vAlign w:val="center"/>
          </w:tcPr>
          <w:p w14:paraId="5AF98F02" w14:textId="77777777" w:rsidR="00154E32" w:rsidRDefault="00A43E04">
            <w:pPr>
              <w:pStyle w:val="P68B1DB1-Normal11"/>
              <w:jc w:val="center"/>
              <w:rPr>
                <w:noProof/>
              </w:rPr>
            </w:pPr>
            <w:r>
              <w:rPr>
                <w:noProof/>
              </w:rPr>
              <w:t>Tarča</w:t>
            </w:r>
          </w:p>
        </w:tc>
        <w:tc>
          <w:tcPr>
            <w:tcW w:w="572" w:type="pct"/>
            <w:shd w:val="clear" w:color="auto" w:fill="C6EFCE"/>
            <w:noWrap/>
            <w:vAlign w:val="center"/>
          </w:tcPr>
          <w:p w14:paraId="32F019DE" w14:textId="46F92B79" w:rsidR="00154E32" w:rsidRDefault="00A43E04">
            <w:pPr>
              <w:pStyle w:val="P68B1DB1-Normal11"/>
              <w:jc w:val="center"/>
              <w:rPr>
                <w:noProof/>
              </w:rPr>
            </w:pPr>
            <w:r>
              <w:rPr>
                <w:noProof/>
              </w:rPr>
              <w:t>Razlika v stopnji osipa v srednješolskem izobraževanju</w:t>
            </w:r>
          </w:p>
        </w:tc>
        <w:tc>
          <w:tcPr>
            <w:tcW w:w="480" w:type="pct"/>
            <w:shd w:val="clear" w:color="auto" w:fill="C6EFCE"/>
            <w:noWrap/>
            <w:vAlign w:val="center"/>
          </w:tcPr>
          <w:p w14:paraId="401D20D5" w14:textId="77777777" w:rsidR="00154E32" w:rsidRDefault="00A43E04">
            <w:pPr>
              <w:pStyle w:val="P68B1DB1-Normal11"/>
              <w:jc w:val="center"/>
              <w:rPr>
                <w:noProof/>
              </w:rPr>
            </w:pPr>
            <w:r>
              <w:rPr>
                <w:noProof/>
              </w:rPr>
              <w:t>JIH NI</w:t>
            </w:r>
          </w:p>
        </w:tc>
        <w:tc>
          <w:tcPr>
            <w:tcW w:w="422" w:type="pct"/>
            <w:shd w:val="clear" w:color="auto" w:fill="C6EFCE"/>
            <w:noWrap/>
            <w:vAlign w:val="center"/>
          </w:tcPr>
          <w:p w14:paraId="38815449" w14:textId="77777777" w:rsidR="00154E32" w:rsidRDefault="00A43E04">
            <w:pPr>
              <w:pStyle w:val="P68B1DB1-Normal11"/>
              <w:jc w:val="center"/>
              <w:rPr>
                <w:noProof/>
              </w:rPr>
            </w:pPr>
            <w:r>
              <w:rPr>
                <w:noProof/>
              </w:rPr>
              <w:t>Delež</w:t>
            </w:r>
          </w:p>
        </w:tc>
        <w:tc>
          <w:tcPr>
            <w:tcW w:w="375" w:type="pct"/>
            <w:shd w:val="clear" w:color="auto" w:fill="C6EFCE"/>
            <w:noWrap/>
            <w:vAlign w:val="center"/>
          </w:tcPr>
          <w:p w14:paraId="548B443E" w14:textId="77777777" w:rsidR="00154E32" w:rsidRDefault="00A43E04">
            <w:pPr>
              <w:pStyle w:val="P68B1DB1-Normal11"/>
              <w:jc w:val="center"/>
              <w:rPr>
                <w:noProof/>
              </w:rPr>
            </w:pPr>
            <w:r>
              <w:rPr>
                <w:noProof/>
              </w:rPr>
              <w:t>13,5</w:t>
            </w:r>
          </w:p>
        </w:tc>
        <w:tc>
          <w:tcPr>
            <w:tcW w:w="343" w:type="pct"/>
            <w:shd w:val="clear" w:color="auto" w:fill="C6EFCE"/>
            <w:noWrap/>
            <w:vAlign w:val="center"/>
          </w:tcPr>
          <w:p w14:paraId="7DC5E28D" w14:textId="77777777" w:rsidR="00154E32" w:rsidRDefault="00A43E04">
            <w:pPr>
              <w:pStyle w:val="P68B1DB1-Normal11"/>
              <w:jc w:val="center"/>
              <w:rPr>
                <w:noProof/>
              </w:rPr>
            </w:pPr>
            <w:r>
              <w:rPr>
                <w:noProof/>
              </w:rPr>
              <w:t>10,2</w:t>
            </w:r>
          </w:p>
        </w:tc>
        <w:tc>
          <w:tcPr>
            <w:tcW w:w="286" w:type="pct"/>
            <w:shd w:val="clear" w:color="auto" w:fill="C6EFCE"/>
            <w:noWrap/>
            <w:vAlign w:val="center"/>
          </w:tcPr>
          <w:p w14:paraId="2B9127DF" w14:textId="77777777" w:rsidR="00154E32" w:rsidRDefault="00A43E04">
            <w:pPr>
              <w:pStyle w:val="P68B1DB1-Normal11"/>
              <w:jc w:val="center"/>
              <w:rPr>
                <w:noProof/>
              </w:rPr>
            </w:pPr>
            <w:r>
              <w:rPr>
                <w:noProof/>
              </w:rPr>
              <w:t>Q2</w:t>
            </w:r>
          </w:p>
        </w:tc>
        <w:tc>
          <w:tcPr>
            <w:tcW w:w="238" w:type="pct"/>
            <w:shd w:val="clear" w:color="auto" w:fill="C6EFCE"/>
            <w:noWrap/>
            <w:vAlign w:val="center"/>
          </w:tcPr>
          <w:p w14:paraId="7AB3582C" w14:textId="77777777" w:rsidR="00154E32" w:rsidRDefault="00A43E04">
            <w:pPr>
              <w:pStyle w:val="P68B1DB1-Normal11"/>
              <w:jc w:val="center"/>
              <w:rPr>
                <w:noProof/>
              </w:rPr>
            </w:pPr>
            <w:r>
              <w:rPr>
                <w:noProof/>
              </w:rPr>
              <w:t>2026</w:t>
            </w:r>
          </w:p>
        </w:tc>
        <w:tc>
          <w:tcPr>
            <w:tcW w:w="1047" w:type="pct"/>
            <w:shd w:val="clear" w:color="auto" w:fill="C6EFCE"/>
            <w:noWrap/>
            <w:vAlign w:val="center"/>
          </w:tcPr>
          <w:p w14:paraId="41917A86" w14:textId="31617746" w:rsidR="00154E32" w:rsidRDefault="00A43E04">
            <w:pPr>
              <w:pStyle w:val="P68B1DB1-Normal11"/>
              <w:rPr>
                <w:noProof/>
              </w:rPr>
            </w:pPr>
            <w:r>
              <w:rPr>
                <w:noProof/>
              </w:rPr>
              <w:t>Zmanjšati vrzel v stopnji osipa v srednješolskem izobraževanju, da bi dosegla povprečje EU za leto 2019 (10,2 %).</w:t>
            </w:r>
          </w:p>
        </w:tc>
      </w:tr>
      <w:tr w:rsidR="00154E32" w14:paraId="74A857BF" w14:textId="77777777">
        <w:trPr>
          <w:trHeight w:val="309"/>
        </w:trPr>
        <w:tc>
          <w:tcPr>
            <w:tcW w:w="380" w:type="pct"/>
            <w:shd w:val="clear" w:color="auto" w:fill="C6EFCE"/>
            <w:noWrap/>
            <w:vAlign w:val="center"/>
          </w:tcPr>
          <w:p w14:paraId="4428A3CC" w14:textId="77777777" w:rsidR="00154E32" w:rsidRDefault="00A43E04">
            <w:pPr>
              <w:pStyle w:val="P68B1DB1-Normal11"/>
              <w:jc w:val="center"/>
              <w:rPr>
                <w:noProof/>
              </w:rPr>
            </w:pPr>
            <w:r>
              <w:rPr>
                <w:noProof/>
              </w:rPr>
              <w:t>M4C1–26</w:t>
            </w:r>
          </w:p>
        </w:tc>
        <w:tc>
          <w:tcPr>
            <w:tcW w:w="500" w:type="pct"/>
            <w:shd w:val="clear" w:color="auto" w:fill="C6EFCE"/>
            <w:noWrap/>
            <w:vAlign w:val="center"/>
          </w:tcPr>
          <w:p w14:paraId="66209276" w14:textId="77777777" w:rsidR="00154E32" w:rsidRDefault="00A43E04">
            <w:pPr>
              <w:pStyle w:val="P68B1DB1-Normal11"/>
              <w:jc w:val="center"/>
              <w:rPr>
                <w:noProof/>
              </w:rPr>
            </w:pPr>
            <w:r>
              <w:rPr>
                <w:noProof/>
              </w:rPr>
              <w:t>Naložba 3.3: Načrt za varnost gradnje šol in strukturno sanacijo</w:t>
            </w:r>
          </w:p>
        </w:tc>
        <w:tc>
          <w:tcPr>
            <w:tcW w:w="358" w:type="pct"/>
            <w:shd w:val="clear" w:color="auto" w:fill="C6EFCE"/>
            <w:noWrap/>
            <w:vAlign w:val="center"/>
          </w:tcPr>
          <w:p w14:paraId="0A9FB268" w14:textId="77777777" w:rsidR="00154E32" w:rsidRDefault="00A43E04">
            <w:pPr>
              <w:pStyle w:val="P68B1DB1-Normal11"/>
              <w:jc w:val="center"/>
              <w:rPr>
                <w:noProof/>
              </w:rPr>
            </w:pPr>
            <w:r>
              <w:rPr>
                <w:noProof/>
              </w:rPr>
              <w:t>Tarča</w:t>
            </w:r>
          </w:p>
        </w:tc>
        <w:tc>
          <w:tcPr>
            <w:tcW w:w="572" w:type="pct"/>
            <w:shd w:val="clear" w:color="auto" w:fill="C6EFCE"/>
            <w:noWrap/>
            <w:vAlign w:val="center"/>
          </w:tcPr>
          <w:p w14:paraId="2B8BE4B9" w14:textId="3BDE76D8" w:rsidR="00154E32" w:rsidRDefault="00A43E04">
            <w:pPr>
              <w:pStyle w:val="P68B1DB1-Normal11"/>
              <w:jc w:val="center"/>
              <w:rPr>
                <w:noProof/>
              </w:rPr>
            </w:pPr>
            <w:r>
              <w:rPr>
                <w:noProof/>
              </w:rPr>
              <w:t>Sqm obnovljenih šolskih stavb</w:t>
            </w:r>
          </w:p>
        </w:tc>
        <w:tc>
          <w:tcPr>
            <w:tcW w:w="480" w:type="pct"/>
            <w:shd w:val="clear" w:color="auto" w:fill="C6EFCE"/>
            <w:noWrap/>
            <w:vAlign w:val="center"/>
          </w:tcPr>
          <w:p w14:paraId="30D255BD" w14:textId="77777777" w:rsidR="00154E32" w:rsidRDefault="00A43E04">
            <w:pPr>
              <w:pStyle w:val="P68B1DB1-Normal11"/>
              <w:jc w:val="center"/>
              <w:rPr>
                <w:noProof/>
              </w:rPr>
            </w:pPr>
            <w:r>
              <w:rPr>
                <w:noProof/>
              </w:rPr>
              <w:t>JIH NI</w:t>
            </w:r>
          </w:p>
        </w:tc>
        <w:tc>
          <w:tcPr>
            <w:tcW w:w="422" w:type="pct"/>
            <w:shd w:val="clear" w:color="auto" w:fill="C6EFCE"/>
            <w:noWrap/>
            <w:vAlign w:val="center"/>
          </w:tcPr>
          <w:p w14:paraId="103006E9" w14:textId="77777777" w:rsidR="00154E32" w:rsidRDefault="00A43E04">
            <w:pPr>
              <w:pStyle w:val="P68B1DB1-Normal11"/>
              <w:jc w:val="center"/>
              <w:rPr>
                <w:noProof/>
              </w:rPr>
            </w:pPr>
            <w:r>
              <w:rPr>
                <w:noProof/>
              </w:rPr>
              <w:t>Število</w:t>
            </w:r>
          </w:p>
        </w:tc>
        <w:tc>
          <w:tcPr>
            <w:tcW w:w="375" w:type="pct"/>
            <w:shd w:val="clear" w:color="auto" w:fill="C6EFCE"/>
            <w:noWrap/>
            <w:vAlign w:val="center"/>
          </w:tcPr>
          <w:p w14:paraId="1D85C48E" w14:textId="77777777" w:rsidR="00154E32" w:rsidRDefault="00A43E04">
            <w:pPr>
              <w:pStyle w:val="P68B1DB1-Normal11"/>
              <w:jc w:val="center"/>
              <w:rPr>
                <w:noProof/>
              </w:rPr>
            </w:pPr>
            <w:r>
              <w:rPr>
                <w:noProof/>
              </w:rPr>
              <w:t>0</w:t>
            </w:r>
          </w:p>
        </w:tc>
        <w:tc>
          <w:tcPr>
            <w:tcW w:w="343" w:type="pct"/>
            <w:shd w:val="clear" w:color="auto" w:fill="C6EFCE"/>
            <w:noWrap/>
            <w:vAlign w:val="center"/>
          </w:tcPr>
          <w:p w14:paraId="2FEDED42" w14:textId="49711FAF" w:rsidR="00154E32" w:rsidRDefault="00A43E04">
            <w:pPr>
              <w:pStyle w:val="P68B1DB1-Normal11"/>
              <w:jc w:val="center"/>
              <w:rPr>
                <w:noProof/>
              </w:rPr>
            </w:pPr>
            <w:r>
              <w:rPr>
                <w:noProof/>
              </w:rPr>
              <w:t>2 600 000</w:t>
            </w:r>
          </w:p>
        </w:tc>
        <w:tc>
          <w:tcPr>
            <w:tcW w:w="286" w:type="pct"/>
            <w:shd w:val="clear" w:color="auto" w:fill="C6EFCE"/>
            <w:noWrap/>
            <w:vAlign w:val="center"/>
          </w:tcPr>
          <w:p w14:paraId="55B3CBBA" w14:textId="77777777" w:rsidR="00154E32" w:rsidRDefault="00A43E04">
            <w:pPr>
              <w:pStyle w:val="P68B1DB1-Normal11"/>
              <w:jc w:val="center"/>
              <w:rPr>
                <w:noProof/>
              </w:rPr>
            </w:pPr>
            <w:r>
              <w:rPr>
                <w:noProof/>
              </w:rPr>
              <w:t>Q2</w:t>
            </w:r>
          </w:p>
        </w:tc>
        <w:tc>
          <w:tcPr>
            <w:tcW w:w="238" w:type="pct"/>
            <w:shd w:val="clear" w:color="auto" w:fill="C6EFCE"/>
            <w:noWrap/>
            <w:vAlign w:val="center"/>
          </w:tcPr>
          <w:p w14:paraId="6D9B74BC" w14:textId="77777777" w:rsidR="00154E32" w:rsidRDefault="00A43E04">
            <w:pPr>
              <w:pStyle w:val="P68B1DB1-Normal11"/>
              <w:jc w:val="center"/>
              <w:rPr>
                <w:noProof/>
              </w:rPr>
            </w:pPr>
            <w:r>
              <w:rPr>
                <w:noProof/>
              </w:rPr>
              <w:t>2026</w:t>
            </w:r>
          </w:p>
        </w:tc>
        <w:tc>
          <w:tcPr>
            <w:tcW w:w="1047" w:type="pct"/>
            <w:shd w:val="clear" w:color="auto" w:fill="C6EFCE"/>
            <w:noWrap/>
            <w:vAlign w:val="center"/>
          </w:tcPr>
          <w:p w14:paraId="7FDA4C26" w14:textId="4420997C" w:rsidR="00154E32" w:rsidRDefault="00A43E04">
            <w:pPr>
              <w:pStyle w:val="P68B1DB1-Normal11"/>
              <w:rPr>
                <w:noProof/>
              </w:rPr>
            </w:pPr>
            <w:r>
              <w:rPr>
                <w:noProof/>
              </w:rPr>
              <w:t>Je obnovljenih ali obnovljenih vsaj 2600000 Sqm šolskih stavb. Z načrtom za strukturno in energetsko prenovo šolskih stavb naj bi se po pričakovanjih preuredila skupna površina v višini 2600000 Sqm.</w:t>
            </w:r>
          </w:p>
        </w:tc>
      </w:tr>
    </w:tbl>
    <w:p w14:paraId="0CC31A72" w14:textId="77777777" w:rsidR="00154E32" w:rsidRDefault="00154E32">
      <w:pPr>
        <w:tabs>
          <w:tab w:val="left" w:pos="3045"/>
        </w:tabs>
        <w:spacing w:before="120" w:after="120"/>
        <w:jc w:val="both"/>
        <w:rPr>
          <w:b/>
          <w:noProof/>
          <w:u w:val="single"/>
        </w:rPr>
        <w:sectPr w:rsidR="00154E32" w:rsidSect="000D3774">
          <w:headerReference w:type="even" r:id="rId236"/>
          <w:headerReference w:type="default" r:id="rId237"/>
          <w:footerReference w:type="even" r:id="rId238"/>
          <w:footerReference w:type="default" r:id="rId239"/>
          <w:headerReference w:type="first" r:id="rId240"/>
          <w:footerReference w:type="first" r:id="rId241"/>
          <w:pgSz w:w="16839" w:h="11907" w:orient="landscape"/>
          <w:pgMar w:top="1134" w:right="1134" w:bottom="1134" w:left="1134" w:header="567" w:footer="567" w:gutter="0"/>
          <w:cols w:space="720"/>
          <w:docGrid w:linePitch="360"/>
        </w:sectPr>
      </w:pPr>
    </w:p>
    <w:p w14:paraId="082D8ECF" w14:textId="77777777" w:rsidR="00154E32" w:rsidRDefault="00A43E04">
      <w:pPr>
        <w:pStyle w:val="Heading3"/>
        <w:numPr>
          <w:ilvl w:val="0"/>
          <w:numId w:val="0"/>
        </w:numPr>
        <w:ind w:left="850" w:hanging="850"/>
        <w:rPr>
          <w:rFonts w:ascii="Segoe UI" w:hAnsi="Segoe UI" w:cs="Segoe UI"/>
          <w:i w:val="0"/>
          <w:noProof/>
          <w:sz w:val="18"/>
        </w:rPr>
      </w:pPr>
      <w:r>
        <w:rPr>
          <w:rStyle w:val="normaltextrun"/>
          <w:b/>
          <w:noProof/>
          <w:u w:val="single"/>
        </w:rPr>
        <w:t>J.3. Opis reform in naložb za posojilo</w:t>
      </w:r>
      <w:r>
        <w:rPr>
          <w:rStyle w:val="eop"/>
          <w:noProof/>
        </w:rPr>
        <w:t xml:space="preserve"> </w:t>
      </w:r>
    </w:p>
    <w:p w14:paraId="56CC4EF9" w14:textId="77777777" w:rsidR="00154E32" w:rsidRDefault="00A43E04">
      <w:pPr>
        <w:pStyle w:val="paragraph"/>
        <w:spacing w:before="0" w:beforeAutospacing="0" w:after="0" w:afterAutospacing="0"/>
        <w:jc w:val="both"/>
        <w:textAlignment w:val="baseline"/>
        <w:rPr>
          <w:rStyle w:val="normaltextrun"/>
          <w:rFonts w:ascii="Segoe UI" w:hAnsi="Segoe UI" w:cs="Segoe UI"/>
          <w:noProof/>
          <w:sz w:val="18"/>
        </w:rPr>
      </w:pPr>
      <w:r>
        <w:rPr>
          <w:rStyle w:val="eop"/>
          <w:noProof/>
        </w:rPr>
        <w:t xml:space="preserve"> </w:t>
      </w:r>
    </w:p>
    <w:p w14:paraId="76FE9400" w14:textId="77777777" w:rsidR="00154E32" w:rsidRDefault="00A43E04">
      <w:pPr>
        <w:pStyle w:val="paragraph"/>
        <w:spacing w:before="0" w:beforeAutospacing="0" w:after="0" w:afterAutospacing="0"/>
        <w:jc w:val="both"/>
        <w:textAlignment w:val="baseline"/>
        <w:rPr>
          <w:rFonts w:ascii="Segoe UI" w:hAnsi="Segoe UI" w:cs="Segoe UI"/>
          <w:noProof/>
          <w:sz w:val="18"/>
        </w:rPr>
      </w:pPr>
      <w:r>
        <w:rPr>
          <w:rStyle w:val="normaltextrun"/>
          <w:b/>
          <w:noProof/>
        </w:rPr>
        <w:t xml:space="preserve">Reforma 1.7: Reforma ureditve študentskih stanovanj in naložbe v študentska stanovanja </w:t>
      </w:r>
      <w:r>
        <w:rPr>
          <w:rStyle w:val="eop"/>
          <w:noProof/>
        </w:rPr>
        <w:t xml:space="preserve"> </w:t>
      </w:r>
    </w:p>
    <w:p w14:paraId="1F80B345" w14:textId="77777777" w:rsidR="00154E32" w:rsidRDefault="00154E32">
      <w:pPr>
        <w:pStyle w:val="paragraph"/>
        <w:spacing w:before="0" w:beforeAutospacing="0" w:after="0" w:afterAutospacing="0"/>
        <w:jc w:val="both"/>
        <w:textAlignment w:val="baseline"/>
        <w:rPr>
          <w:rStyle w:val="normaltextrun"/>
          <w:noProof/>
          <w:sz w:val="22"/>
        </w:rPr>
      </w:pPr>
    </w:p>
    <w:p w14:paraId="276A2DDE" w14:textId="77777777" w:rsidR="00154E32" w:rsidRDefault="00A43E04">
      <w:pPr>
        <w:pStyle w:val="paragraph"/>
        <w:spacing w:before="0" w:beforeAutospacing="0" w:after="120" w:afterAutospacing="0"/>
        <w:jc w:val="both"/>
        <w:textAlignment w:val="baseline"/>
        <w:rPr>
          <w:rFonts w:ascii="Segoe UI" w:hAnsi="Segoe UI" w:cs="Segoe UI"/>
          <w:noProof/>
        </w:rPr>
      </w:pPr>
      <w:r>
        <w:rPr>
          <w:rStyle w:val="normaltextrun"/>
          <w:noProof/>
        </w:rPr>
        <w:t xml:space="preserve">Cilj reforme je spodbuditi zasebne in javne subjekte k vzpostavitvi nastanitvenih zmogljivosti za študente, pri čemer ministrstvo za univerze in raziskave prispeva del prihodkov od najemnin za prva tri leta delovanja struktur. Cilj je povečati število razpoložljivih mest za učence, ki ne obiskujejo šol, do leta 2026.  </w:t>
      </w:r>
    </w:p>
    <w:p w14:paraId="2F6E6249" w14:textId="57E2B3D9" w:rsidR="00154E32" w:rsidRDefault="00A43E04">
      <w:pPr>
        <w:pStyle w:val="paragraph"/>
        <w:spacing w:before="0" w:beforeAutospacing="0" w:after="120" w:afterAutospacing="0"/>
        <w:jc w:val="both"/>
        <w:textAlignment w:val="baseline"/>
        <w:rPr>
          <w:rFonts w:ascii="Segoe UI" w:hAnsi="Segoe UI" w:cs="Segoe UI"/>
          <w:noProof/>
        </w:rPr>
      </w:pPr>
      <w:r>
        <w:rPr>
          <w:rStyle w:val="normaltextrun"/>
          <w:noProof/>
        </w:rPr>
        <w:t xml:space="preserve">Cilj predvidene naložbe je dodati 60000 spališč, s čimer bi se znatno zmanjšal razkorak Italije v primerjavi s povprečjem EU glede na delež študentov, ki so jim zagotovljene stanovanjske zmogljivosti. Njen cilj je zagotoviti širok dostop do stanovanjskih objektov, da si bo lahko razumno število študentov privoščilo napredno izobraževanje na svojem prednostnem področju in lokaciji, ne glede na njihovo socialno-ekonomsko ozadje. V ta namen je 30 % novih mest rezerviranih za študente v socialno-ekonomskih težavah, kot so jih opredelile tako imenovane organizacije za „Diritto allo Studio“ (pravica do študijskih organizacij).   </w:t>
      </w:r>
    </w:p>
    <w:p w14:paraId="38BD4CAF" w14:textId="7CA7112D" w:rsidR="00154E32" w:rsidRDefault="00A43E04">
      <w:pPr>
        <w:pStyle w:val="paragraph"/>
        <w:spacing w:before="0" w:beforeAutospacing="0" w:after="120" w:afterAutospacing="0"/>
        <w:jc w:val="both"/>
        <w:textAlignment w:val="baseline"/>
        <w:rPr>
          <w:rFonts w:ascii="Segoe UI" w:hAnsi="Segoe UI" w:cs="Segoe UI"/>
          <w:noProof/>
        </w:rPr>
      </w:pPr>
      <w:r>
        <w:rPr>
          <w:rStyle w:val="normaltextrun"/>
          <w:noProof/>
        </w:rPr>
        <w:t xml:space="preserve">Najemnina za univerzitetne študente je najmanj 15 % nižja od lokalnih tržnih cen. </w:t>
      </w:r>
    </w:p>
    <w:p w14:paraId="513397F6" w14:textId="77777777" w:rsidR="00154E32" w:rsidRDefault="00A43E04">
      <w:pPr>
        <w:pStyle w:val="paragraph"/>
        <w:spacing w:before="0" w:beforeAutospacing="0" w:after="120" w:afterAutospacing="0"/>
        <w:jc w:val="both"/>
        <w:textAlignment w:val="baseline"/>
        <w:rPr>
          <w:rFonts w:ascii="Segoe UI" w:hAnsi="Segoe UI" w:cs="Segoe UI"/>
          <w:noProof/>
        </w:rPr>
      </w:pPr>
      <w:r>
        <w:rPr>
          <w:rStyle w:val="normaltextrun"/>
          <w:noProof/>
        </w:rPr>
        <w:t xml:space="preserve">Naložba ne vključuje nabave kotlov na zemeljski plin.  </w:t>
      </w:r>
    </w:p>
    <w:p w14:paraId="5DE91152" w14:textId="5EF385E8" w:rsidR="00154E32" w:rsidRDefault="00A43E04">
      <w:pPr>
        <w:pStyle w:val="paragraph"/>
        <w:spacing w:before="0" w:beforeAutospacing="0" w:after="120" w:afterAutospacing="0"/>
        <w:jc w:val="both"/>
        <w:textAlignment w:val="baseline"/>
        <w:rPr>
          <w:rFonts w:ascii="Segoe UI" w:hAnsi="Segoe UI" w:cs="Segoe UI"/>
          <w:noProof/>
        </w:rPr>
      </w:pPr>
      <w:r>
        <w:rPr>
          <w:rStyle w:val="normaltextrun"/>
          <w:noProof/>
        </w:rPr>
        <w:t xml:space="preserve">Nastanitve, ki so se že uporabljale za študentska stanovanja pred objavo relativnega razpisa za projekte, ni mogoče upoštevati za ciljne vrednosti. Da bi dosegli končni cilj ustvarjenih postelj, se razpisi za projekte objavijo med letoma 2021 in 2025. </w:t>
      </w:r>
    </w:p>
    <w:p w14:paraId="514A6934" w14:textId="77777777" w:rsidR="00154E32" w:rsidRDefault="00A43E04">
      <w:pPr>
        <w:pStyle w:val="Heading3"/>
        <w:numPr>
          <w:ilvl w:val="0"/>
          <w:numId w:val="0"/>
        </w:numPr>
        <w:ind w:left="850" w:hanging="850"/>
        <w:rPr>
          <w:rFonts w:ascii="Segoe UI" w:hAnsi="Segoe UI" w:cs="Segoe UI"/>
          <w:i w:val="0"/>
          <w:noProof/>
          <w:sz w:val="18"/>
        </w:rPr>
      </w:pPr>
      <w:r>
        <w:rPr>
          <w:rStyle w:val="normaltextrun"/>
          <w:b/>
          <w:noProof/>
          <w:u w:val="single"/>
        </w:rPr>
        <w:t>J.4. Mejniki, cilji, kazalniki in časovni razpored za spremljanje in izvajanje posojila</w:t>
      </w:r>
      <w:r>
        <w:rPr>
          <w:rStyle w:val="eop"/>
          <w:noProof/>
        </w:rPr>
        <w:t xml:space="preserve"> </w:t>
      </w:r>
    </w:p>
    <w:p w14:paraId="2EB2D7BE" w14:textId="77777777" w:rsidR="00154E32" w:rsidRDefault="00154E32">
      <w:pPr>
        <w:spacing w:before="120" w:after="120"/>
        <w:ind w:left="709"/>
        <w:contextualSpacing/>
        <w:jc w:val="both"/>
        <w:rPr>
          <w:noProof/>
        </w:rPr>
        <w:sectPr w:rsidR="00154E32" w:rsidSect="000D3774">
          <w:headerReference w:type="even" r:id="rId242"/>
          <w:headerReference w:type="default" r:id="rId243"/>
          <w:footerReference w:type="even" r:id="rId244"/>
          <w:footerReference w:type="default" r:id="rId245"/>
          <w:headerReference w:type="first" r:id="rId246"/>
          <w:footerReference w:type="first" r:id="rId247"/>
          <w:pgSz w:w="11907" w:h="16839"/>
          <w:pgMar w:top="1134" w:right="1134" w:bottom="1134" w:left="1134" w:header="567" w:footer="567" w:gutter="0"/>
          <w:cols w:space="720"/>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133"/>
        <w:gridCol w:w="1418"/>
        <w:gridCol w:w="1702"/>
        <w:gridCol w:w="1690"/>
        <w:gridCol w:w="1148"/>
        <w:gridCol w:w="1133"/>
        <w:gridCol w:w="848"/>
        <w:gridCol w:w="900"/>
        <w:gridCol w:w="710"/>
        <w:gridCol w:w="3264"/>
      </w:tblGrid>
      <w:tr w:rsidR="00154E32" w14:paraId="6F093A09" w14:textId="77777777">
        <w:trPr>
          <w:trHeight w:val="939"/>
          <w:tblHeader/>
          <w:jc w:val="center"/>
        </w:trPr>
        <w:tc>
          <w:tcPr>
            <w:tcW w:w="445" w:type="pct"/>
            <w:vMerge w:val="restart"/>
            <w:shd w:val="clear" w:color="auto" w:fill="BDD7EE"/>
            <w:vAlign w:val="center"/>
            <w:hideMark/>
          </w:tcPr>
          <w:p w14:paraId="1E0B646D" w14:textId="77777777" w:rsidR="00154E32" w:rsidRDefault="00A43E04">
            <w:pPr>
              <w:pStyle w:val="P68B1DB1-Normal9"/>
              <w:jc w:val="center"/>
              <w:rPr>
                <w:noProof/>
              </w:rPr>
            </w:pPr>
            <w:r>
              <w:rPr>
                <w:noProof/>
              </w:rPr>
              <w:t>Zaporedna številka</w:t>
            </w:r>
          </w:p>
        </w:tc>
        <w:tc>
          <w:tcPr>
            <w:tcW w:w="370" w:type="pct"/>
            <w:vMerge w:val="restart"/>
            <w:shd w:val="clear" w:color="auto" w:fill="BDD7EE"/>
            <w:vAlign w:val="center"/>
            <w:hideMark/>
          </w:tcPr>
          <w:p w14:paraId="36185941" w14:textId="77777777" w:rsidR="00154E32" w:rsidRDefault="00A43E04">
            <w:pPr>
              <w:pStyle w:val="P68B1DB1-Normal9"/>
              <w:jc w:val="center"/>
              <w:rPr>
                <w:noProof/>
              </w:rPr>
            </w:pPr>
            <w:r>
              <w:rPr>
                <w:noProof/>
              </w:rPr>
              <w:t>Povezani ukrep (reforma ali naložba)</w:t>
            </w:r>
          </w:p>
        </w:tc>
        <w:tc>
          <w:tcPr>
            <w:tcW w:w="463" w:type="pct"/>
            <w:vMerge w:val="restart"/>
            <w:shd w:val="clear" w:color="auto" w:fill="BDD7EE"/>
            <w:vAlign w:val="center"/>
            <w:hideMark/>
          </w:tcPr>
          <w:p w14:paraId="5F24DA2B" w14:textId="77777777" w:rsidR="00154E32" w:rsidRDefault="00A43E04">
            <w:pPr>
              <w:pStyle w:val="P68B1DB1-Normal9"/>
              <w:jc w:val="center"/>
              <w:rPr>
                <w:noProof/>
              </w:rPr>
            </w:pPr>
            <w:r>
              <w:rPr>
                <w:noProof/>
              </w:rPr>
              <w:t>Mejnik/cilj</w:t>
            </w:r>
          </w:p>
        </w:tc>
        <w:tc>
          <w:tcPr>
            <w:tcW w:w="556" w:type="pct"/>
            <w:vMerge w:val="restart"/>
            <w:shd w:val="clear" w:color="auto" w:fill="BDD7EE"/>
            <w:vAlign w:val="center"/>
            <w:hideMark/>
          </w:tcPr>
          <w:p w14:paraId="23D28F5F" w14:textId="77777777" w:rsidR="00154E32" w:rsidRDefault="00A43E04">
            <w:pPr>
              <w:pStyle w:val="P68B1DB1-Normal9"/>
              <w:jc w:val="center"/>
              <w:rPr>
                <w:noProof/>
              </w:rPr>
            </w:pPr>
            <w:r>
              <w:rPr>
                <w:noProof/>
              </w:rPr>
              <w:t>Ime</w:t>
            </w:r>
          </w:p>
        </w:tc>
        <w:tc>
          <w:tcPr>
            <w:tcW w:w="552" w:type="pct"/>
            <w:vMerge w:val="restart"/>
            <w:shd w:val="clear" w:color="auto" w:fill="BDD7EE"/>
            <w:vAlign w:val="center"/>
            <w:hideMark/>
          </w:tcPr>
          <w:p w14:paraId="5FD2EAA1" w14:textId="77777777" w:rsidR="00154E32" w:rsidRDefault="00A43E04">
            <w:pPr>
              <w:pStyle w:val="P68B1DB1-Normal10"/>
              <w:jc w:val="center"/>
              <w:rPr>
                <w:b/>
                <w:noProof/>
                <w:sz w:val="20"/>
              </w:rPr>
            </w:pPr>
            <w:r>
              <w:rPr>
                <w:b/>
                <w:noProof/>
                <w:sz w:val="20"/>
              </w:rPr>
              <w:t>Kakovostni kazalniki</w:t>
            </w:r>
            <w:r>
              <w:rPr>
                <w:noProof/>
              </w:rPr>
              <w:t xml:space="preserve"> </w:t>
            </w:r>
            <w:r>
              <w:rPr>
                <w:noProof/>
              </w:rPr>
              <w:br/>
            </w:r>
            <w:r>
              <w:rPr>
                <w:b/>
                <w:noProof/>
                <w:sz w:val="20"/>
              </w:rPr>
              <w:t>(za mejnike)</w:t>
            </w:r>
          </w:p>
        </w:tc>
        <w:tc>
          <w:tcPr>
            <w:tcW w:w="1022" w:type="pct"/>
            <w:gridSpan w:val="3"/>
            <w:shd w:val="clear" w:color="auto" w:fill="BDD7EE"/>
            <w:vAlign w:val="center"/>
            <w:hideMark/>
          </w:tcPr>
          <w:p w14:paraId="39800864" w14:textId="77777777" w:rsidR="00154E32" w:rsidRDefault="00A43E04">
            <w:pPr>
              <w:pStyle w:val="P68B1DB1-Normal10"/>
              <w:jc w:val="center"/>
              <w:rPr>
                <w:b/>
                <w:noProof/>
                <w:sz w:val="20"/>
              </w:rPr>
            </w:pPr>
            <w:r>
              <w:rPr>
                <w:b/>
                <w:noProof/>
                <w:sz w:val="20"/>
              </w:rPr>
              <w:t>Kvantitativni kazalniki</w:t>
            </w:r>
            <w:r>
              <w:rPr>
                <w:noProof/>
              </w:rPr>
              <w:t xml:space="preserve"> </w:t>
            </w:r>
            <w:r>
              <w:rPr>
                <w:noProof/>
              </w:rPr>
              <w:br/>
            </w:r>
            <w:r>
              <w:rPr>
                <w:b/>
                <w:noProof/>
                <w:sz w:val="20"/>
              </w:rPr>
              <w:t>(za ciljne vrednosti)</w:t>
            </w:r>
          </w:p>
        </w:tc>
        <w:tc>
          <w:tcPr>
            <w:tcW w:w="526" w:type="pct"/>
            <w:gridSpan w:val="2"/>
            <w:shd w:val="clear" w:color="auto" w:fill="BDD7EE"/>
            <w:vAlign w:val="center"/>
            <w:hideMark/>
          </w:tcPr>
          <w:p w14:paraId="7FCEBF5D" w14:textId="77777777" w:rsidR="00154E32" w:rsidRDefault="00A43E04">
            <w:pPr>
              <w:pStyle w:val="P68B1DB1-Normal9"/>
              <w:jc w:val="center"/>
              <w:rPr>
                <w:noProof/>
              </w:rPr>
            </w:pPr>
            <w:r>
              <w:rPr>
                <w:noProof/>
              </w:rPr>
              <w:t>Okvirni časovni razpored za dokončanje</w:t>
            </w:r>
          </w:p>
        </w:tc>
        <w:tc>
          <w:tcPr>
            <w:tcW w:w="1066" w:type="pct"/>
            <w:vMerge w:val="restart"/>
            <w:shd w:val="clear" w:color="auto" w:fill="BDD7EE"/>
            <w:vAlign w:val="center"/>
            <w:hideMark/>
          </w:tcPr>
          <w:p w14:paraId="39904739" w14:textId="77777777" w:rsidR="00154E32" w:rsidRDefault="00A43E04">
            <w:pPr>
              <w:pStyle w:val="P68B1DB1-Normal9"/>
              <w:jc w:val="center"/>
              <w:rPr>
                <w:noProof/>
              </w:rPr>
            </w:pPr>
            <w:r>
              <w:rPr>
                <w:noProof/>
              </w:rPr>
              <w:t>Opis vsakega mejnika in cilja</w:t>
            </w:r>
          </w:p>
        </w:tc>
      </w:tr>
      <w:tr w:rsidR="00154E32" w14:paraId="64DBB87F" w14:textId="77777777">
        <w:trPr>
          <w:trHeight w:val="1027"/>
          <w:jc w:val="center"/>
        </w:trPr>
        <w:tc>
          <w:tcPr>
            <w:tcW w:w="445" w:type="pct"/>
            <w:vMerge/>
            <w:vAlign w:val="center"/>
            <w:hideMark/>
          </w:tcPr>
          <w:p w14:paraId="50044D6D" w14:textId="77777777" w:rsidR="00154E32" w:rsidRDefault="00154E32">
            <w:pPr>
              <w:jc w:val="center"/>
              <w:rPr>
                <w:rFonts w:ascii="Arial Narrow" w:hAnsi="Arial Narrow"/>
                <w:b/>
                <w:noProof/>
                <w:sz w:val="20"/>
              </w:rPr>
            </w:pPr>
          </w:p>
        </w:tc>
        <w:tc>
          <w:tcPr>
            <w:tcW w:w="370" w:type="pct"/>
            <w:vMerge/>
            <w:vAlign w:val="center"/>
            <w:hideMark/>
          </w:tcPr>
          <w:p w14:paraId="501B26A3" w14:textId="77777777" w:rsidR="00154E32" w:rsidRDefault="00154E32">
            <w:pPr>
              <w:jc w:val="center"/>
              <w:rPr>
                <w:rFonts w:ascii="Arial Narrow" w:hAnsi="Arial Narrow"/>
                <w:b/>
                <w:noProof/>
                <w:sz w:val="20"/>
              </w:rPr>
            </w:pPr>
          </w:p>
        </w:tc>
        <w:tc>
          <w:tcPr>
            <w:tcW w:w="463" w:type="pct"/>
            <w:vMerge/>
            <w:vAlign w:val="center"/>
            <w:hideMark/>
          </w:tcPr>
          <w:p w14:paraId="3CA62577" w14:textId="77777777" w:rsidR="00154E32" w:rsidRDefault="00154E32">
            <w:pPr>
              <w:jc w:val="center"/>
              <w:rPr>
                <w:rFonts w:ascii="Arial Narrow" w:hAnsi="Arial Narrow"/>
                <w:b/>
                <w:noProof/>
                <w:sz w:val="20"/>
              </w:rPr>
            </w:pPr>
          </w:p>
        </w:tc>
        <w:tc>
          <w:tcPr>
            <w:tcW w:w="556" w:type="pct"/>
            <w:vMerge/>
            <w:vAlign w:val="center"/>
            <w:hideMark/>
          </w:tcPr>
          <w:p w14:paraId="4CF80F6F" w14:textId="77777777" w:rsidR="00154E32" w:rsidRDefault="00154E32">
            <w:pPr>
              <w:jc w:val="center"/>
              <w:rPr>
                <w:rFonts w:ascii="Arial Narrow" w:hAnsi="Arial Narrow"/>
                <w:b/>
                <w:noProof/>
                <w:sz w:val="20"/>
              </w:rPr>
            </w:pPr>
          </w:p>
        </w:tc>
        <w:tc>
          <w:tcPr>
            <w:tcW w:w="552" w:type="pct"/>
            <w:vMerge/>
            <w:vAlign w:val="center"/>
            <w:hideMark/>
          </w:tcPr>
          <w:p w14:paraId="637500EB" w14:textId="77777777" w:rsidR="00154E32" w:rsidRDefault="00154E32">
            <w:pPr>
              <w:jc w:val="center"/>
              <w:rPr>
                <w:rFonts w:ascii="Arial Narrow" w:hAnsi="Arial Narrow"/>
                <w:b/>
                <w:noProof/>
                <w:sz w:val="20"/>
              </w:rPr>
            </w:pPr>
          </w:p>
        </w:tc>
        <w:tc>
          <w:tcPr>
            <w:tcW w:w="375" w:type="pct"/>
            <w:shd w:val="clear" w:color="auto" w:fill="BDD7EE"/>
            <w:vAlign w:val="center"/>
            <w:hideMark/>
          </w:tcPr>
          <w:p w14:paraId="1AB13148" w14:textId="77777777" w:rsidR="00154E32" w:rsidRDefault="00A43E04">
            <w:pPr>
              <w:pStyle w:val="P68B1DB1-Normal9"/>
              <w:jc w:val="center"/>
              <w:rPr>
                <w:noProof/>
              </w:rPr>
            </w:pPr>
            <w:r>
              <w:rPr>
                <w:noProof/>
              </w:rPr>
              <w:t>Merska enota</w:t>
            </w:r>
          </w:p>
        </w:tc>
        <w:tc>
          <w:tcPr>
            <w:tcW w:w="370" w:type="pct"/>
            <w:shd w:val="clear" w:color="auto" w:fill="BDD7EE"/>
            <w:vAlign w:val="center"/>
            <w:hideMark/>
          </w:tcPr>
          <w:p w14:paraId="1ABC5EF1" w14:textId="77777777" w:rsidR="00154E32" w:rsidRDefault="00A43E04">
            <w:pPr>
              <w:pStyle w:val="P68B1DB1-Normal9"/>
              <w:jc w:val="center"/>
              <w:rPr>
                <w:noProof/>
              </w:rPr>
            </w:pPr>
            <w:r>
              <w:rPr>
                <w:noProof/>
              </w:rPr>
              <w:t>Izhodišče</w:t>
            </w:r>
          </w:p>
        </w:tc>
        <w:tc>
          <w:tcPr>
            <w:tcW w:w="277" w:type="pct"/>
            <w:shd w:val="clear" w:color="auto" w:fill="BDD7EE"/>
            <w:vAlign w:val="center"/>
            <w:hideMark/>
          </w:tcPr>
          <w:p w14:paraId="4792F77A" w14:textId="77777777" w:rsidR="00154E32" w:rsidRDefault="00A43E04">
            <w:pPr>
              <w:pStyle w:val="P68B1DB1-Normal9"/>
              <w:jc w:val="center"/>
              <w:rPr>
                <w:noProof/>
              </w:rPr>
            </w:pPr>
            <w:r>
              <w:rPr>
                <w:noProof/>
              </w:rPr>
              <w:t>Cilj</w:t>
            </w:r>
          </w:p>
        </w:tc>
        <w:tc>
          <w:tcPr>
            <w:tcW w:w="294" w:type="pct"/>
            <w:shd w:val="clear" w:color="auto" w:fill="BDD7EE"/>
            <w:vAlign w:val="center"/>
            <w:hideMark/>
          </w:tcPr>
          <w:p w14:paraId="6C2CD870" w14:textId="77777777" w:rsidR="00154E32" w:rsidRDefault="00A43E04">
            <w:pPr>
              <w:pStyle w:val="P68B1DB1-Normal9"/>
              <w:jc w:val="center"/>
              <w:rPr>
                <w:noProof/>
              </w:rPr>
            </w:pPr>
            <w:r>
              <w:rPr>
                <w:noProof/>
              </w:rPr>
              <w:t>Četrtletje</w:t>
            </w:r>
          </w:p>
        </w:tc>
        <w:tc>
          <w:tcPr>
            <w:tcW w:w="232" w:type="pct"/>
            <w:shd w:val="clear" w:color="auto" w:fill="BDD7EE"/>
            <w:vAlign w:val="center"/>
            <w:hideMark/>
          </w:tcPr>
          <w:p w14:paraId="0F7827B8" w14:textId="77777777" w:rsidR="00154E32" w:rsidRDefault="00A43E04">
            <w:pPr>
              <w:pStyle w:val="P68B1DB1-Normal9"/>
              <w:jc w:val="center"/>
              <w:rPr>
                <w:noProof/>
              </w:rPr>
            </w:pPr>
            <w:r>
              <w:rPr>
                <w:noProof/>
              </w:rPr>
              <w:t>Leto</w:t>
            </w:r>
          </w:p>
        </w:tc>
        <w:tc>
          <w:tcPr>
            <w:tcW w:w="1066" w:type="pct"/>
            <w:vMerge/>
            <w:vAlign w:val="center"/>
            <w:hideMark/>
          </w:tcPr>
          <w:p w14:paraId="0F986808" w14:textId="77777777" w:rsidR="00154E32" w:rsidRDefault="00154E32">
            <w:pPr>
              <w:rPr>
                <w:rFonts w:ascii="Arial Narrow" w:hAnsi="Arial Narrow"/>
                <w:b/>
                <w:noProof/>
                <w:sz w:val="20"/>
              </w:rPr>
            </w:pPr>
          </w:p>
        </w:tc>
      </w:tr>
      <w:tr w:rsidR="00154E32" w14:paraId="0F4B3D77" w14:textId="77777777">
        <w:trPr>
          <w:trHeight w:val="313"/>
          <w:jc w:val="center"/>
        </w:trPr>
        <w:tc>
          <w:tcPr>
            <w:tcW w:w="445" w:type="pct"/>
            <w:shd w:val="clear" w:color="auto" w:fill="C6EFCE"/>
            <w:noWrap/>
            <w:vAlign w:val="center"/>
            <w:hideMark/>
          </w:tcPr>
          <w:p w14:paraId="5C41C5D0" w14:textId="77777777" w:rsidR="00154E32" w:rsidRDefault="00A43E04">
            <w:pPr>
              <w:pStyle w:val="P68B1DB1-Normal11"/>
              <w:jc w:val="center"/>
              <w:rPr>
                <w:noProof/>
              </w:rPr>
            </w:pPr>
            <w:r>
              <w:rPr>
                <w:noProof/>
              </w:rPr>
              <w:t>M4C1–27</w:t>
            </w:r>
          </w:p>
        </w:tc>
        <w:tc>
          <w:tcPr>
            <w:tcW w:w="370" w:type="pct"/>
            <w:shd w:val="clear" w:color="auto" w:fill="C6EFCE"/>
            <w:noWrap/>
            <w:vAlign w:val="center"/>
          </w:tcPr>
          <w:p w14:paraId="624EA90F" w14:textId="77777777" w:rsidR="00154E32" w:rsidRDefault="00A43E04">
            <w:pPr>
              <w:pStyle w:val="P68B1DB1-Normal11"/>
              <w:jc w:val="center"/>
              <w:rPr>
                <w:noProof/>
              </w:rPr>
            </w:pPr>
            <w:r>
              <w:rPr>
                <w:noProof/>
              </w:rPr>
              <w:t>Reforma 1.7: Reforma ureditve študentskih stanovanj in naložbe v študentska stanovanja</w:t>
            </w:r>
          </w:p>
        </w:tc>
        <w:tc>
          <w:tcPr>
            <w:tcW w:w="463" w:type="pct"/>
            <w:shd w:val="clear" w:color="auto" w:fill="C6EFCE"/>
            <w:noWrap/>
            <w:vAlign w:val="center"/>
            <w:hideMark/>
          </w:tcPr>
          <w:p w14:paraId="7EB87EE2" w14:textId="77777777" w:rsidR="00154E32" w:rsidRDefault="00A43E04">
            <w:pPr>
              <w:pStyle w:val="P68B1DB1-Normal11"/>
              <w:jc w:val="center"/>
              <w:rPr>
                <w:noProof/>
              </w:rPr>
            </w:pPr>
            <w:r>
              <w:rPr>
                <w:noProof/>
              </w:rPr>
              <w:t>Mejnik</w:t>
            </w:r>
          </w:p>
        </w:tc>
        <w:tc>
          <w:tcPr>
            <w:tcW w:w="556" w:type="pct"/>
            <w:shd w:val="clear" w:color="auto" w:fill="C6EFCE"/>
            <w:noWrap/>
            <w:vAlign w:val="center"/>
          </w:tcPr>
          <w:p w14:paraId="06E8AD86" w14:textId="77777777" w:rsidR="00154E32" w:rsidRDefault="00A43E04">
            <w:pPr>
              <w:pStyle w:val="P68B1DB1-Normal11"/>
              <w:jc w:val="center"/>
              <w:rPr>
                <w:noProof/>
              </w:rPr>
            </w:pPr>
            <w:r>
              <w:rPr>
                <w:noProof/>
              </w:rPr>
              <w:t>Začetek veljavnosti zakonodaje za spremembo veljavnih pravil za študentska stanovanja.</w:t>
            </w:r>
          </w:p>
        </w:tc>
        <w:tc>
          <w:tcPr>
            <w:tcW w:w="552" w:type="pct"/>
            <w:shd w:val="clear" w:color="auto" w:fill="C6EFCE"/>
            <w:noWrap/>
            <w:vAlign w:val="center"/>
            <w:hideMark/>
          </w:tcPr>
          <w:p w14:paraId="2755A641" w14:textId="77777777" w:rsidR="00154E32" w:rsidRDefault="00A43E04">
            <w:pPr>
              <w:pStyle w:val="P68B1DB1-Normal11"/>
              <w:jc w:val="center"/>
              <w:rPr>
                <w:noProof/>
              </w:rPr>
            </w:pPr>
            <w:r>
              <w:rPr>
                <w:noProof/>
              </w:rPr>
              <w:t>Določba zakona o začetku veljavnosti zakonodaje.</w:t>
            </w:r>
          </w:p>
        </w:tc>
        <w:tc>
          <w:tcPr>
            <w:tcW w:w="375" w:type="pct"/>
            <w:shd w:val="clear" w:color="auto" w:fill="C6EFCE"/>
            <w:noWrap/>
            <w:vAlign w:val="center"/>
            <w:hideMark/>
          </w:tcPr>
          <w:p w14:paraId="1BD7C469" w14:textId="77777777" w:rsidR="00154E32" w:rsidRDefault="00A43E04">
            <w:pPr>
              <w:pStyle w:val="P68B1DB1-Normal11"/>
              <w:jc w:val="center"/>
              <w:rPr>
                <w:noProof/>
              </w:rPr>
            </w:pPr>
            <w:r>
              <w:rPr>
                <w:noProof/>
              </w:rPr>
              <w:t>JIH NI</w:t>
            </w:r>
          </w:p>
        </w:tc>
        <w:tc>
          <w:tcPr>
            <w:tcW w:w="370" w:type="pct"/>
            <w:shd w:val="clear" w:color="auto" w:fill="C6EFCE"/>
            <w:noWrap/>
            <w:vAlign w:val="center"/>
          </w:tcPr>
          <w:p w14:paraId="3F96BDD8" w14:textId="77777777" w:rsidR="00154E32" w:rsidRDefault="00A43E04">
            <w:pPr>
              <w:pStyle w:val="P68B1DB1-Normal11"/>
              <w:jc w:val="center"/>
              <w:rPr>
                <w:noProof/>
              </w:rPr>
            </w:pPr>
            <w:r>
              <w:rPr>
                <w:noProof/>
              </w:rPr>
              <w:t>JIH NI</w:t>
            </w:r>
          </w:p>
        </w:tc>
        <w:tc>
          <w:tcPr>
            <w:tcW w:w="277" w:type="pct"/>
            <w:shd w:val="clear" w:color="auto" w:fill="C6EFCE"/>
            <w:noWrap/>
            <w:vAlign w:val="center"/>
          </w:tcPr>
          <w:p w14:paraId="14FDEF2C" w14:textId="77777777" w:rsidR="00154E32" w:rsidRDefault="00A43E04">
            <w:pPr>
              <w:pStyle w:val="P68B1DB1-Normal11"/>
              <w:jc w:val="center"/>
              <w:rPr>
                <w:noProof/>
              </w:rPr>
            </w:pPr>
            <w:r>
              <w:rPr>
                <w:noProof/>
              </w:rPr>
              <w:t>JIH NI</w:t>
            </w:r>
          </w:p>
        </w:tc>
        <w:tc>
          <w:tcPr>
            <w:tcW w:w="294" w:type="pct"/>
            <w:shd w:val="clear" w:color="auto" w:fill="C6EFCE"/>
            <w:noWrap/>
            <w:vAlign w:val="center"/>
            <w:hideMark/>
          </w:tcPr>
          <w:p w14:paraId="6CCD2D72" w14:textId="77777777" w:rsidR="00154E32" w:rsidRDefault="00A43E04">
            <w:pPr>
              <w:pStyle w:val="P68B1DB1-Normal11"/>
              <w:jc w:val="center"/>
              <w:rPr>
                <w:noProof/>
              </w:rPr>
            </w:pPr>
            <w:r>
              <w:rPr>
                <w:noProof/>
              </w:rPr>
              <w:t>Q4</w:t>
            </w:r>
          </w:p>
        </w:tc>
        <w:tc>
          <w:tcPr>
            <w:tcW w:w="232" w:type="pct"/>
            <w:shd w:val="clear" w:color="auto" w:fill="C6EFCE"/>
            <w:noWrap/>
            <w:vAlign w:val="center"/>
            <w:hideMark/>
          </w:tcPr>
          <w:p w14:paraId="16554CAD" w14:textId="77777777" w:rsidR="00154E32" w:rsidRDefault="00A43E04">
            <w:pPr>
              <w:pStyle w:val="P68B1DB1-Normal11"/>
              <w:jc w:val="center"/>
              <w:rPr>
                <w:noProof/>
              </w:rPr>
            </w:pPr>
            <w:r>
              <w:rPr>
                <w:noProof/>
              </w:rPr>
              <w:t>2021</w:t>
            </w:r>
          </w:p>
        </w:tc>
        <w:tc>
          <w:tcPr>
            <w:tcW w:w="1066" w:type="pct"/>
            <w:shd w:val="clear" w:color="auto" w:fill="C6EFCE"/>
            <w:noWrap/>
            <w:vAlign w:val="center"/>
            <w:hideMark/>
          </w:tcPr>
          <w:p w14:paraId="616B4FCE" w14:textId="77777777" w:rsidR="00154E32" w:rsidRDefault="00A43E04">
            <w:pPr>
              <w:pStyle w:val="P68B1DB1-Normal10"/>
              <w:rPr>
                <w:noProof/>
                <w:color w:val="006100"/>
                <w:sz w:val="20"/>
              </w:rPr>
            </w:pPr>
            <w:r>
              <w:rPr>
                <w:noProof/>
                <w:color w:val="006100"/>
                <w:sz w:val="20"/>
              </w:rPr>
              <w:t>Revidirana zakonodaja:</w:t>
            </w:r>
            <w:r>
              <w:rPr>
                <w:noProof/>
              </w:rPr>
              <w:t xml:space="preserve"> </w:t>
            </w:r>
            <w:r>
              <w:rPr>
                <w:noProof/>
              </w:rPr>
              <w:br/>
            </w:r>
            <w:r>
              <w:rPr>
                <w:noProof/>
                <w:color w:val="006100"/>
                <w:sz w:val="20"/>
              </w:rPr>
              <w:t>Spremeniti sedanja pravila za študentska stanovanja (zakon št. 338/2000 in zakonska uredba 68/2012), da bi:</w:t>
            </w:r>
          </w:p>
          <w:p w14:paraId="6CE16C32" w14:textId="77777777" w:rsidR="00154E32" w:rsidRDefault="00A43E04">
            <w:pPr>
              <w:pStyle w:val="P68B1DB1-Normal11"/>
              <w:rPr>
                <w:noProof/>
              </w:rPr>
            </w:pPr>
            <w:r>
              <w:rPr>
                <w:noProof/>
              </w:rPr>
              <w:t>(1). Spodbujanje prestrukturiranja in prenove struktur namesto novih zelenih stavb (z večjim deležem ustanovitve, ki trenutno znaša 50 %), pri čemer je treba s predloženimi projekti zagotoviti najvišji okoljski standard;</w:t>
            </w:r>
          </w:p>
          <w:p w14:paraId="1F00BC9E" w14:textId="77777777" w:rsidR="00154E32" w:rsidRDefault="00154E32">
            <w:pPr>
              <w:rPr>
                <w:rFonts w:ascii="Arial Narrow" w:hAnsi="Arial Narrow"/>
                <w:noProof/>
                <w:color w:val="006100"/>
                <w:sz w:val="20"/>
              </w:rPr>
            </w:pPr>
          </w:p>
          <w:p w14:paraId="7A50B603" w14:textId="77777777" w:rsidR="00154E32" w:rsidRDefault="00A43E04">
            <w:pPr>
              <w:pStyle w:val="P68B1DB1-Normal11"/>
              <w:rPr>
                <w:noProof/>
              </w:rPr>
            </w:pPr>
            <w:r>
              <w:rPr>
                <w:noProof/>
              </w:rPr>
              <w:t>(2). Poenostavitev, tudi zaradi digitalizacije, predstavitve in izbire projektov ter s tem časovnega razporeda izvajanja;</w:t>
            </w:r>
          </w:p>
          <w:p w14:paraId="05638F46" w14:textId="77777777" w:rsidR="00154E32" w:rsidRDefault="00154E32">
            <w:pPr>
              <w:rPr>
                <w:rFonts w:ascii="Arial Narrow" w:hAnsi="Arial Narrow"/>
                <w:noProof/>
                <w:color w:val="006100"/>
                <w:sz w:val="20"/>
              </w:rPr>
            </w:pPr>
          </w:p>
          <w:p w14:paraId="4FCDD4B6" w14:textId="577BDF79" w:rsidR="00154E32" w:rsidRDefault="00A43E04">
            <w:pPr>
              <w:pStyle w:val="P68B1DB1-Normal11"/>
              <w:rPr>
                <w:noProof/>
              </w:rPr>
            </w:pPr>
            <w:r>
              <w:rPr>
                <w:noProof/>
              </w:rPr>
              <w:t>Z zakonom se določi odstopanje od meril iz zakona št. 338/2000 v zvezi z odstotkom sofinanciranja, ki se lahko dodeli.</w:t>
            </w:r>
          </w:p>
          <w:p w14:paraId="26663498" w14:textId="77777777" w:rsidR="00154E32" w:rsidRDefault="00154E32">
            <w:pPr>
              <w:rPr>
                <w:rFonts w:ascii="Arial Narrow" w:hAnsi="Arial Narrow"/>
                <w:noProof/>
                <w:color w:val="006100"/>
                <w:sz w:val="20"/>
              </w:rPr>
            </w:pPr>
          </w:p>
          <w:p w14:paraId="39FC62F7" w14:textId="77777777" w:rsidR="00154E32" w:rsidRDefault="00A43E04">
            <w:pPr>
              <w:pStyle w:val="P68B1DB1-Normal11"/>
              <w:rPr>
                <w:noProof/>
              </w:rPr>
            </w:pPr>
            <w:r>
              <w:rPr>
                <w:noProof/>
              </w:rPr>
              <w:t>Reforma se bo izvedla z uvedbo naslednjih večjih sprememb v italijanski regulativni okvir za financiranje študentskih stanovanj:</w:t>
            </w:r>
          </w:p>
          <w:p w14:paraId="226D7CF7" w14:textId="77777777" w:rsidR="00154E32" w:rsidRDefault="00A43E04">
            <w:pPr>
              <w:pStyle w:val="P68B1DB1-Normal11"/>
              <w:rPr>
                <w:noProof/>
              </w:rPr>
            </w:pPr>
            <w:r>
              <w:rPr>
                <w:noProof/>
              </w:rPr>
              <w:t>1. Omogočanje udeležbe pri financiranju tudi zasebnim vlagateljem (v skladu s shemo, opisano v izvajanju), kar omogoča tudi javno-zasebna partnerstva, pri katerih bo univerza uporabila razpoložljiva sredstva za podporo finančnemu ravnotežju nepremičninskih naložb v študentska stanovanja;</w:t>
            </w:r>
          </w:p>
          <w:p w14:paraId="5D5FE466" w14:textId="77777777" w:rsidR="00154E32" w:rsidRDefault="00A43E04">
            <w:pPr>
              <w:pStyle w:val="P68B1DB1-Normal11"/>
              <w:rPr>
                <w:noProof/>
              </w:rPr>
            </w:pPr>
            <w:r>
              <w:rPr>
                <w:noProof/>
              </w:rPr>
              <w:t>2. Zagotavljanje dolgoročne vzdržnosti zasebnih naložb z zagotovitvijo spremembe davčne sheme iz sistema, ki se uporablja za hotelske storitve, na sistem, ki se uporablja za socialna stanovanja, z omejevanjem uporabe novih nastanitev za študentska stanovanja v akademskem letu, vendar z omogočanjem uporabe struktur, kadar niso potrebne za gostoljubnost študentov. To pa bo pripomoglo k zagotavljanju nove ponudbe nastanitve po dostopnih najemninah;</w:t>
            </w:r>
          </w:p>
          <w:p w14:paraId="42CA00A2" w14:textId="77777777" w:rsidR="00154E32" w:rsidRDefault="00A43E04">
            <w:pPr>
              <w:pStyle w:val="P68B1DB1-Normal11"/>
              <w:rPr>
                <w:noProof/>
              </w:rPr>
            </w:pPr>
            <w:r>
              <w:rPr>
                <w:noProof/>
              </w:rPr>
              <w:t>3. Pogojevanje financiranja in dodatnih davčnih olajšav (npr. enaka obravnava s socialnimi stanovanji) za uporabo novih stanovanj za študentska stanovanja v celotnem naložbenem obdobju in skladnost z dogovorjeno zgornjo mejo najemnin, zaračunanih študentom, tudi po izteku posebnih shem financiranja, ki jih prispevam k spodbujanju naložb zasebnih subjektov;</w:t>
            </w:r>
          </w:p>
          <w:p w14:paraId="5A87300D" w14:textId="77777777" w:rsidR="00154E32" w:rsidRDefault="00A43E04">
            <w:pPr>
              <w:pStyle w:val="P68B1DB1-Normal11"/>
              <w:rPr>
                <w:noProof/>
              </w:rPr>
            </w:pPr>
            <w:r>
              <w:rPr>
                <w:noProof/>
              </w:rPr>
              <w:t>4. Ponovna opredelitev standardov za študentske nastanitve s ponovno določitvijo zakonskih zahtev glede skupnega prostora na učenca, ki je na voljo v stavbah v zameno za bolje opremljene (posamezne) sobe.</w:t>
            </w:r>
          </w:p>
        </w:tc>
      </w:tr>
      <w:tr w:rsidR="00154E32" w14:paraId="35BB88A3" w14:textId="77777777">
        <w:trPr>
          <w:trHeight w:val="313"/>
          <w:jc w:val="center"/>
        </w:trPr>
        <w:tc>
          <w:tcPr>
            <w:tcW w:w="445" w:type="pct"/>
            <w:shd w:val="clear" w:color="auto" w:fill="C6EFCE"/>
            <w:noWrap/>
            <w:vAlign w:val="center"/>
            <w:hideMark/>
          </w:tcPr>
          <w:p w14:paraId="5481B06E" w14:textId="77777777" w:rsidR="00154E32" w:rsidRDefault="00A43E04">
            <w:pPr>
              <w:pStyle w:val="P68B1DB1-Normal11"/>
              <w:jc w:val="center"/>
              <w:rPr>
                <w:noProof/>
              </w:rPr>
            </w:pPr>
            <w:r>
              <w:rPr>
                <w:noProof/>
              </w:rPr>
              <w:t>M4C1–28</w:t>
            </w:r>
          </w:p>
        </w:tc>
        <w:tc>
          <w:tcPr>
            <w:tcW w:w="370" w:type="pct"/>
            <w:shd w:val="clear" w:color="auto" w:fill="C6EFCE"/>
            <w:noWrap/>
            <w:vAlign w:val="center"/>
            <w:hideMark/>
          </w:tcPr>
          <w:p w14:paraId="0E5A60A1" w14:textId="77777777" w:rsidR="00154E32" w:rsidRDefault="00A43E04">
            <w:pPr>
              <w:pStyle w:val="P68B1DB1-Normal11"/>
              <w:jc w:val="center"/>
              <w:rPr>
                <w:noProof/>
              </w:rPr>
            </w:pPr>
            <w:r>
              <w:rPr>
                <w:noProof/>
              </w:rPr>
              <w:t>Reforma 1.7: Reforma ureditve študentskih stanovanj in naložbe v študentska stanovanja</w:t>
            </w:r>
          </w:p>
        </w:tc>
        <w:tc>
          <w:tcPr>
            <w:tcW w:w="463" w:type="pct"/>
            <w:shd w:val="clear" w:color="auto" w:fill="C6EFCE"/>
            <w:noWrap/>
            <w:vAlign w:val="center"/>
            <w:hideMark/>
          </w:tcPr>
          <w:p w14:paraId="3C39ACD9" w14:textId="77777777" w:rsidR="00154E32" w:rsidRDefault="00A43E04">
            <w:pPr>
              <w:pStyle w:val="P68B1DB1-Normal11"/>
              <w:jc w:val="center"/>
              <w:rPr>
                <w:noProof/>
              </w:rPr>
            </w:pPr>
            <w:r>
              <w:rPr>
                <w:noProof/>
              </w:rPr>
              <w:t>Mejnik</w:t>
            </w:r>
          </w:p>
        </w:tc>
        <w:tc>
          <w:tcPr>
            <w:tcW w:w="556" w:type="pct"/>
            <w:shd w:val="clear" w:color="auto" w:fill="C6EFCE"/>
            <w:noWrap/>
            <w:vAlign w:val="center"/>
            <w:hideMark/>
          </w:tcPr>
          <w:p w14:paraId="0BA8C8B1" w14:textId="77777777" w:rsidR="00154E32" w:rsidRDefault="00A43E04">
            <w:pPr>
              <w:pStyle w:val="P68B1DB1-Normal11"/>
              <w:jc w:val="center"/>
              <w:rPr>
                <w:noProof/>
              </w:rPr>
            </w:pPr>
            <w:r>
              <w:rPr>
                <w:noProof/>
              </w:rPr>
              <w:t xml:space="preserve"> Oddaja prvih naročil za izgradnjo dodatnih spalnih nastanitvenih enot (postelj)</w:t>
            </w:r>
          </w:p>
        </w:tc>
        <w:tc>
          <w:tcPr>
            <w:tcW w:w="552" w:type="pct"/>
            <w:shd w:val="clear" w:color="auto" w:fill="C6EFCE"/>
            <w:noWrap/>
            <w:vAlign w:val="center"/>
            <w:hideMark/>
          </w:tcPr>
          <w:p w14:paraId="6527E931" w14:textId="77777777" w:rsidR="00154E32" w:rsidRDefault="00A43E04">
            <w:pPr>
              <w:pStyle w:val="P68B1DB1-Normal11"/>
              <w:jc w:val="center"/>
              <w:rPr>
                <w:noProof/>
              </w:rPr>
            </w:pPr>
            <w:r>
              <w:rPr>
                <w:noProof/>
              </w:rPr>
              <w:t xml:space="preserve"> Objava nagrad na spletni strani ministrstva</w:t>
            </w:r>
          </w:p>
        </w:tc>
        <w:tc>
          <w:tcPr>
            <w:tcW w:w="375" w:type="pct"/>
            <w:shd w:val="clear" w:color="auto" w:fill="C6EFCE"/>
            <w:noWrap/>
            <w:vAlign w:val="center"/>
            <w:hideMark/>
          </w:tcPr>
          <w:p w14:paraId="4729F429" w14:textId="77777777" w:rsidR="00154E32" w:rsidRDefault="00A43E04">
            <w:pPr>
              <w:pStyle w:val="P68B1DB1-Normal11"/>
              <w:jc w:val="center"/>
              <w:rPr>
                <w:noProof/>
              </w:rPr>
            </w:pPr>
            <w:r>
              <w:rPr>
                <w:noProof/>
              </w:rPr>
              <w:t>JIH NI</w:t>
            </w:r>
          </w:p>
        </w:tc>
        <w:tc>
          <w:tcPr>
            <w:tcW w:w="370" w:type="pct"/>
            <w:shd w:val="clear" w:color="auto" w:fill="C6EFCE"/>
            <w:noWrap/>
            <w:vAlign w:val="center"/>
            <w:hideMark/>
          </w:tcPr>
          <w:p w14:paraId="2F88B04C" w14:textId="77777777" w:rsidR="00154E32" w:rsidRDefault="00A43E04">
            <w:pPr>
              <w:pStyle w:val="P68B1DB1-Normal11"/>
              <w:jc w:val="center"/>
              <w:rPr>
                <w:noProof/>
              </w:rPr>
            </w:pPr>
            <w:r>
              <w:rPr>
                <w:noProof/>
              </w:rPr>
              <w:t>JIH NI</w:t>
            </w:r>
          </w:p>
        </w:tc>
        <w:tc>
          <w:tcPr>
            <w:tcW w:w="277" w:type="pct"/>
            <w:shd w:val="clear" w:color="auto" w:fill="C6EFCE"/>
            <w:noWrap/>
            <w:vAlign w:val="center"/>
            <w:hideMark/>
          </w:tcPr>
          <w:p w14:paraId="29E02090" w14:textId="77777777" w:rsidR="00154E32" w:rsidRDefault="00A43E04">
            <w:pPr>
              <w:pStyle w:val="P68B1DB1-Normal11"/>
              <w:jc w:val="center"/>
              <w:rPr>
                <w:noProof/>
              </w:rPr>
            </w:pPr>
            <w:r>
              <w:rPr>
                <w:noProof/>
              </w:rPr>
              <w:t>JIH NI</w:t>
            </w:r>
          </w:p>
        </w:tc>
        <w:tc>
          <w:tcPr>
            <w:tcW w:w="294" w:type="pct"/>
            <w:shd w:val="clear" w:color="auto" w:fill="C6EFCE"/>
            <w:noWrap/>
            <w:vAlign w:val="center"/>
            <w:hideMark/>
          </w:tcPr>
          <w:p w14:paraId="164DFCB2" w14:textId="77777777" w:rsidR="00154E32" w:rsidRDefault="00A43E04">
            <w:pPr>
              <w:pStyle w:val="P68B1DB1-Normal11"/>
              <w:jc w:val="center"/>
              <w:rPr>
                <w:noProof/>
              </w:rPr>
            </w:pPr>
            <w:r>
              <w:rPr>
                <w:noProof/>
              </w:rPr>
              <w:t>Q2</w:t>
            </w:r>
          </w:p>
        </w:tc>
        <w:tc>
          <w:tcPr>
            <w:tcW w:w="232" w:type="pct"/>
            <w:shd w:val="clear" w:color="auto" w:fill="C6EFCE"/>
            <w:noWrap/>
            <w:vAlign w:val="center"/>
            <w:hideMark/>
          </w:tcPr>
          <w:p w14:paraId="48E3FDF9" w14:textId="77777777" w:rsidR="00154E32" w:rsidRDefault="00A43E04">
            <w:pPr>
              <w:pStyle w:val="P68B1DB1-Normal11"/>
              <w:jc w:val="center"/>
              <w:rPr>
                <w:noProof/>
              </w:rPr>
            </w:pPr>
            <w:r>
              <w:rPr>
                <w:noProof/>
              </w:rPr>
              <w:t>2023</w:t>
            </w:r>
          </w:p>
        </w:tc>
        <w:tc>
          <w:tcPr>
            <w:tcW w:w="1066" w:type="pct"/>
            <w:shd w:val="clear" w:color="auto" w:fill="C6EFCE"/>
            <w:noWrap/>
            <w:vAlign w:val="center"/>
            <w:hideMark/>
          </w:tcPr>
          <w:p w14:paraId="3E71FB1E" w14:textId="77777777" w:rsidR="00154E32" w:rsidRDefault="00A43E04">
            <w:pPr>
              <w:pStyle w:val="P68B1DB1-Normal11"/>
              <w:rPr>
                <w:noProof/>
              </w:rPr>
            </w:pPr>
            <w:r>
              <w:rPr>
                <w:noProof/>
              </w:rPr>
              <w:t>Oddaja prvih naročil za izgradnjo dodatnih spalnih nastanitvenih enot (posteljnih postelj)“;</w:t>
            </w:r>
          </w:p>
        </w:tc>
      </w:tr>
      <w:tr w:rsidR="00154E32" w14:paraId="2BCAFFB3" w14:textId="77777777">
        <w:trPr>
          <w:trHeight w:val="313"/>
          <w:jc w:val="center"/>
        </w:trPr>
        <w:tc>
          <w:tcPr>
            <w:tcW w:w="445" w:type="pct"/>
            <w:shd w:val="clear" w:color="auto" w:fill="C6EFCE"/>
            <w:noWrap/>
            <w:vAlign w:val="center"/>
            <w:hideMark/>
          </w:tcPr>
          <w:p w14:paraId="7675ADC7" w14:textId="77777777" w:rsidR="00154E32" w:rsidRDefault="00A43E04">
            <w:pPr>
              <w:pStyle w:val="P68B1DB1-Normal11"/>
              <w:jc w:val="center"/>
              <w:rPr>
                <w:noProof/>
              </w:rPr>
            </w:pPr>
            <w:r>
              <w:rPr>
                <w:noProof/>
              </w:rPr>
              <w:t>M4C1–29</w:t>
            </w:r>
          </w:p>
        </w:tc>
        <w:tc>
          <w:tcPr>
            <w:tcW w:w="370" w:type="pct"/>
            <w:shd w:val="clear" w:color="auto" w:fill="C6EFCE"/>
            <w:noWrap/>
            <w:vAlign w:val="center"/>
            <w:hideMark/>
          </w:tcPr>
          <w:p w14:paraId="493D4CCD" w14:textId="54112503" w:rsidR="00154E32" w:rsidRDefault="00A43E04">
            <w:pPr>
              <w:pStyle w:val="P68B1DB1-Normal11"/>
              <w:jc w:val="center"/>
              <w:rPr>
                <w:noProof/>
              </w:rPr>
            </w:pPr>
            <w:r>
              <w:rPr>
                <w:noProof/>
              </w:rPr>
              <w:t>Reforma 1.7: Reforma ureditve študentskih stanovanj in naložbe v študentska stanovanja</w:t>
            </w:r>
          </w:p>
        </w:tc>
        <w:tc>
          <w:tcPr>
            <w:tcW w:w="463" w:type="pct"/>
            <w:shd w:val="clear" w:color="auto" w:fill="C6EFCE"/>
            <w:noWrap/>
            <w:vAlign w:val="center"/>
            <w:hideMark/>
          </w:tcPr>
          <w:p w14:paraId="4FB8234C" w14:textId="77777777" w:rsidR="00154E32" w:rsidRDefault="00A43E04">
            <w:pPr>
              <w:pStyle w:val="P68B1DB1-Normal11"/>
              <w:jc w:val="center"/>
              <w:rPr>
                <w:noProof/>
              </w:rPr>
            </w:pPr>
            <w:r>
              <w:rPr>
                <w:noProof/>
              </w:rPr>
              <w:t>Mejnik</w:t>
            </w:r>
          </w:p>
        </w:tc>
        <w:tc>
          <w:tcPr>
            <w:tcW w:w="556" w:type="pct"/>
            <w:shd w:val="clear" w:color="auto" w:fill="C6EFCE"/>
            <w:noWrap/>
            <w:vAlign w:val="center"/>
            <w:hideMark/>
          </w:tcPr>
          <w:p w14:paraId="5012955B" w14:textId="178039D8" w:rsidR="00154E32" w:rsidRDefault="00A43E04">
            <w:pPr>
              <w:pStyle w:val="P68B1DB1-Normal11"/>
              <w:jc w:val="center"/>
              <w:rPr>
                <w:noProof/>
              </w:rPr>
            </w:pPr>
            <w:r>
              <w:rPr>
                <w:noProof/>
              </w:rPr>
              <w:t>Začetek veljavnosti reforme zakonodaje o študentskih stanovanjih.</w:t>
            </w:r>
          </w:p>
        </w:tc>
        <w:tc>
          <w:tcPr>
            <w:tcW w:w="552" w:type="pct"/>
            <w:shd w:val="clear" w:color="auto" w:fill="C6EFCE"/>
            <w:noWrap/>
            <w:vAlign w:val="center"/>
            <w:hideMark/>
          </w:tcPr>
          <w:p w14:paraId="248929D3" w14:textId="77777777" w:rsidR="00154E32" w:rsidRDefault="00A43E04">
            <w:pPr>
              <w:pStyle w:val="P68B1DB1-Normal11"/>
              <w:jc w:val="center"/>
              <w:rPr>
                <w:noProof/>
              </w:rPr>
            </w:pPr>
            <w:r>
              <w:rPr>
                <w:noProof/>
              </w:rPr>
              <w:t>Določba zakona o začetku veljavnosti reforme.</w:t>
            </w:r>
          </w:p>
        </w:tc>
        <w:tc>
          <w:tcPr>
            <w:tcW w:w="375" w:type="pct"/>
            <w:shd w:val="clear" w:color="auto" w:fill="C6EFCE"/>
            <w:noWrap/>
            <w:vAlign w:val="center"/>
            <w:hideMark/>
          </w:tcPr>
          <w:p w14:paraId="3D16376E" w14:textId="77777777" w:rsidR="00154E32" w:rsidRDefault="00A43E04">
            <w:pPr>
              <w:pStyle w:val="P68B1DB1-Normal11"/>
              <w:jc w:val="center"/>
              <w:rPr>
                <w:noProof/>
              </w:rPr>
            </w:pPr>
            <w:r>
              <w:rPr>
                <w:noProof/>
              </w:rPr>
              <w:t>JIH NI</w:t>
            </w:r>
          </w:p>
        </w:tc>
        <w:tc>
          <w:tcPr>
            <w:tcW w:w="370" w:type="pct"/>
            <w:shd w:val="clear" w:color="auto" w:fill="C6EFCE"/>
            <w:noWrap/>
            <w:vAlign w:val="center"/>
            <w:hideMark/>
          </w:tcPr>
          <w:p w14:paraId="18593E25" w14:textId="77777777" w:rsidR="00154E32" w:rsidRDefault="00A43E04">
            <w:pPr>
              <w:pStyle w:val="P68B1DB1-Normal11"/>
              <w:jc w:val="center"/>
              <w:rPr>
                <w:noProof/>
              </w:rPr>
            </w:pPr>
            <w:r>
              <w:rPr>
                <w:noProof/>
              </w:rPr>
              <w:t>JIH NI</w:t>
            </w:r>
          </w:p>
        </w:tc>
        <w:tc>
          <w:tcPr>
            <w:tcW w:w="277" w:type="pct"/>
            <w:shd w:val="clear" w:color="auto" w:fill="C6EFCE"/>
            <w:noWrap/>
            <w:vAlign w:val="center"/>
            <w:hideMark/>
          </w:tcPr>
          <w:p w14:paraId="32B1DA59" w14:textId="77777777" w:rsidR="00154E32" w:rsidRDefault="00A43E04">
            <w:pPr>
              <w:pStyle w:val="P68B1DB1-Normal11"/>
              <w:jc w:val="center"/>
              <w:rPr>
                <w:noProof/>
              </w:rPr>
            </w:pPr>
            <w:r>
              <w:rPr>
                <w:noProof/>
              </w:rPr>
              <w:t>JIH NI</w:t>
            </w:r>
          </w:p>
        </w:tc>
        <w:tc>
          <w:tcPr>
            <w:tcW w:w="294" w:type="pct"/>
            <w:shd w:val="clear" w:color="auto" w:fill="C6EFCE"/>
            <w:noWrap/>
            <w:vAlign w:val="center"/>
            <w:hideMark/>
          </w:tcPr>
          <w:p w14:paraId="6C12580E" w14:textId="77777777" w:rsidR="00154E32" w:rsidRDefault="00A43E04">
            <w:pPr>
              <w:pStyle w:val="P68B1DB1-Normal11"/>
              <w:jc w:val="center"/>
              <w:rPr>
                <w:noProof/>
              </w:rPr>
            </w:pPr>
            <w:r>
              <w:rPr>
                <w:noProof/>
              </w:rPr>
              <w:t>Q4</w:t>
            </w:r>
          </w:p>
        </w:tc>
        <w:tc>
          <w:tcPr>
            <w:tcW w:w="232" w:type="pct"/>
            <w:shd w:val="clear" w:color="auto" w:fill="C6EFCE"/>
            <w:noWrap/>
            <w:vAlign w:val="center"/>
            <w:hideMark/>
          </w:tcPr>
          <w:p w14:paraId="16C8F51E" w14:textId="77777777" w:rsidR="00154E32" w:rsidRDefault="00A43E04">
            <w:pPr>
              <w:pStyle w:val="P68B1DB1-Normal11"/>
              <w:jc w:val="center"/>
              <w:rPr>
                <w:noProof/>
              </w:rPr>
            </w:pPr>
            <w:r>
              <w:rPr>
                <w:noProof/>
              </w:rPr>
              <w:t>2022</w:t>
            </w:r>
          </w:p>
        </w:tc>
        <w:tc>
          <w:tcPr>
            <w:tcW w:w="1066" w:type="pct"/>
            <w:shd w:val="clear" w:color="auto" w:fill="C6EFCE"/>
            <w:noWrap/>
            <w:vAlign w:val="center"/>
            <w:hideMark/>
          </w:tcPr>
          <w:p w14:paraId="0C441AF6" w14:textId="77777777" w:rsidR="00154E32" w:rsidRDefault="00A43E04">
            <w:pPr>
              <w:pStyle w:val="P68B1DB1-Normal11"/>
              <w:rPr>
                <w:noProof/>
              </w:rPr>
            </w:pPr>
            <w:r>
              <w:rPr>
                <w:noProof/>
              </w:rPr>
              <w:t>Reforma vključuje: (1) odprtje udeležbe pri financiranju tudi zasebnim vlagateljem, kar bo omogočilo tudi javno-zasebna partnerstva, pri katerih bo univerza uporabila razpoložljiva sredstva za podporo finančnemu ravnovesju pri nepremičninskih naložbah v študentska stanovanja; (2). Zagotavljanje dolgoročne vzdržnosti zasebnih naložb z zagotovitvijo spremembe davčne sheme iz sistema, ki se uporablja za hotelske storitve, na sistem, ki se uporablja za socialna stanovanja, z omejevanjem uporabe novih nastanitev za študentska stanovanja v akademskem letu, vendar z omogočanjem uporabe struktur, kadar niso potrebne za gostoljubnost študentov; (3). Pogojevanje financiranja in dodatnih davčnih olajšav (kot je enaka obravnava s socialnimi stanovanji) za uporabo novih stanovanj za študentska stanovanja v celotnem naložbenem obdobju in skladnost z dogovorjeno zgornjo mejo najemnin, zaračunanih študentom, tudi po izteku posebnih shem financiranja, ki jih prispevam k spodbujanju naložb zasebnih subjektov; (4). Ponovna opredelitev standardov za študentske nastanitve s ponovno določitvijo zakonskih zahtev glede skupnega prostora na učenca, ki je na voljo v stavbah v zameno za bolje opremljene (posamezne) sobe.</w:t>
            </w:r>
          </w:p>
        </w:tc>
      </w:tr>
      <w:tr w:rsidR="00154E32" w14:paraId="56D36307" w14:textId="77777777">
        <w:trPr>
          <w:trHeight w:val="313"/>
          <w:jc w:val="center"/>
        </w:trPr>
        <w:tc>
          <w:tcPr>
            <w:tcW w:w="445" w:type="pct"/>
            <w:shd w:val="clear" w:color="auto" w:fill="C6EFCE"/>
            <w:noWrap/>
            <w:vAlign w:val="center"/>
            <w:hideMark/>
          </w:tcPr>
          <w:p w14:paraId="25C02F93" w14:textId="77777777" w:rsidR="00154E32" w:rsidRDefault="00A43E04">
            <w:pPr>
              <w:pStyle w:val="P68B1DB1-Normal11"/>
              <w:jc w:val="center"/>
              <w:rPr>
                <w:noProof/>
              </w:rPr>
            </w:pPr>
            <w:r>
              <w:rPr>
                <w:noProof/>
              </w:rPr>
              <w:t>M4C1–30</w:t>
            </w:r>
          </w:p>
        </w:tc>
        <w:tc>
          <w:tcPr>
            <w:tcW w:w="370" w:type="pct"/>
            <w:shd w:val="clear" w:color="auto" w:fill="C6EFCE"/>
            <w:noWrap/>
            <w:vAlign w:val="center"/>
            <w:hideMark/>
          </w:tcPr>
          <w:p w14:paraId="58EDE10F" w14:textId="77777777" w:rsidR="00154E32" w:rsidRDefault="00A43E04">
            <w:pPr>
              <w:pStyle w:val="P68B1DB1-Normal11"/>
              <w:jc w:val="center"/>
              <w:rPr>
                <w:noProof/>
              </w:rPr>
            </w:pPr>
            <w:r>
              <w:rPr>
                <w:noProof/>
              </w:rPr>
              <w:t>Reforma 1.7: Reforma ureditve študentskih stanovanj in naložbe v študentska stanovanja</w:t>
            </w:r>
          </w:p>
        </w:tc>
        <w:tc>
          <w:tcPr>
            <w:tcW w:w="463" w:type="pct"/>
            <w:shd w:val="clear" w:color="auto" w:fill="C6EFCE"/>
            <w:noWrap/>
            <w:vAlign w:val="center"/>
            <w:hideMark/>
          </w:tcPr>
          <w:p w14:paraId="38DFE14E" w14:textId="77777777" w:rsidR="00154E32" w:rsidRDefault="00A43E04">
            <w:pPr>
              <w:pStyle w:val="P68B1DB1-Normal11"/>
              <w:jc w:val="center"/>
              <w:rPr>
                <w:noProof/>
              </w:rPr>
            </w:pPr>
            <w:r>
              <w:rPr>
                <w:noProof/>
              </w:rPr>
              <w:t>Tarča</w:t>
            </w:r>
          </w:p>
        </w:tc>
        <w:tc>
          <w:tcPr>
            <w:tcW w:w="556" w:type="pct"/>
            <w:shd w:val="clear" w:color="auto" w:fill="C6EFCE"/>
            <w:noWrap/>
            <w:vAlign w:val="center"/>
            <w:hideMark/>
          </w:tcPr>
          <w:p w14:paraId="7FD3338A" w14:textId="41B48EA4" w:rsidR="00154E32" w:rsidRDefault="00A43E04">
            <w:pPr>
              <w:pStyle w:val="P68B1DB1-Normal11"/>
              <w:jc w:val="center"/>
              <w:rPr>
                <w:noProof/>
              </w:rPr>
            </w:pPr>
            <w:r>
              <w:rPr>
                <w:noProof/>
              </w:rPr>
              <w:t>Študentske spalne nastanitvene enote, ustvarjene v skladu z ustrezno zakonodajo</w:t>
            </w:r>
          </w:p>
        </w:tc>
        <w:tc>
          <w:tcPr>
            <w:tcW w:w="552" w:type="pct"/>
            <w:shd w:val="clear" w:color="auto" w:fill="C6EFCE"/>
            <w:noWrap/>
            <w:vAlign w:val="center"/>
            <w:hideMark/>
          </w:tcPr>
          <w:p w14:paraId="646D3CE7" w14:textId="77777777" w:rsidR="00154E32" w:rsidRDefault="00A43E04">
            <w:pPr>
              <w:pStyle w:val="P68B1DB1-Normal11"/>
              <w:jc w:val="center"/>
              <w:rPr>
                <w:noProof/>
              </w:rPr>
            </w:pPr>
            <w:r>
              <w:rPr>
                <w:noProof/>
              </w:rPr>
              <w:t>JIH NI</w:t>
            </w:r>
          </w:p>
        </w:tc>
        <w:tc>
          <w:tcPr>
            <w:tcW w:w="375" w:type="pct"/>
            <w:shd w:val="clear" w:color="auto" w:fill="C6EFCE"/>
            <w:noWrap/>
            <w:vAlign w:val="center"/>
            <w:hideMark/>
          </w:tcPr>
          <w:p w14:paraId="4DC648DA" w14:textId="77777777" w:rsidR="00154E32" w:rsidRDefault="00A43E04">
            <w:pPr>
              <w:pStyle w:val="P68B1DB1-Normal11"/>
              <w:jc w:val="center"/>
              <w:rPr>
                <w:noProof/>
              </w:rPr>
            </w:pPr>
            <w:r>
              <w:rPr>
                <w:noProof/>
              </w:rPr>
              <w:t>Število</w:t>
            </w:r>
          </w:p>
        </w:tc>
        <w:tc>
          <w:tcPr>
            <w:tcW w:w="370" w:type="pct"/>
            <w:shd w:val="clear" w:color="auto" w:fill="C6EFCE"/>
            <w:noWrap/>
            <w:vAlign w:val="center"/>
            <w:hideMark/>
          </w:tcPr>
          <w:p w14:paraId="68F81AC2" w14:textId="6A792054" w:rsidR="00154E32" w:rsidRDefault="00A43E04">
            <w:pPr>
              <w:pStyle w:val="P68B1DB1-Normal11"/>
              <w:jc w:val="center"/>
              <w:rPr>
                <w:noProof/>
              </w:rPr>
            </w:pPr>
            <w:r>
              <w:rPr>
                <w:noProof/>
              </w:rPr>
              <w:t>0</w:t>
            </w:r>
          </w:p>
        </w:tc>
        <w:tc>
          <w:tcPr>
            <w:tcW w:w="277" w:type="pct"/>
            <w:shd w:val="clear" w:color="auto" w:fill="C6EFCE"/>
            <w:noWrap/>
            <w:vAlign w:val="center"/>
            <w:hideMark/>
          </w:tcPr>
          <w:p w14:paraId="306DE32C" w14:textId="176ABD8E" w:rsidR="00154E32" w:rsidRDefault="00A43E04">
            <w:pPr>
              <w:pStyle w:val="P68B1DB1-Normal11"/>
              <w:jc w:val="center"/>
              <w:rPr>
                <w:noProof/>
              </w:rPr>
            </w:pPr>
            <w:r>
              <w:rPr>
                <w:noProof/>
              </w:rPr>
              <w:t>60 000</w:t>
            </w:r>
          </w:p>
        </w:tc>
        <w:tc>
          <w:tcPr>
            <w:tcW w:w="294" w:type="pct"/>
            <w:shd w:val="clear" w:color="auto" w:fill="C6EFCE"/>
            <w:noWrap/>
            <w:vAlign w:val="center"/>
            <w:hideMark/>
          </w:tcPr>
          <w:p w14:paraId="02B0ED40" w14:textId="77777777" w:rsidR="00154E32" w:rsidRDefault="00A43E04">
            <w:pPr>
              <w:pStyle w:val="P68B1DB1-Normal11"/>
              <w:jc w:val="center"/>
              <w:rPr>
                <w:noProof/>
              </w:rPr>
            </w:pPr>
            <w:r>
              <w:rPr>
                <w:noProof/>
              </w:rPr>
              <w:t>Q2</w:t>
            </w:r>
          </w:p>
        </w:tc>
        <w:tc>
          <w:tcPr>
            <w:tcW w:w="232" w:type="pct"/>
            <w:shd w:val="clear" w:color="auto" w:fill="C6EFCE"/>
            <w:noWrap/>
            <w:vAlign w:val="center"/>
            <w:hideMark/>
          </w:tcPr>
          <w:p w14:paraId="588A50B1" w14:textId="77777777" w:rsidR="00154E32" w:rsidRDefault="00A43E04">
            <w:pPr>
              <w:pStyle w:val="P68B1DB1-Normal11"/>
              <w:jc w:val="center"/>
              <w:rPr>
                <w:noProof/>
              </w:rPr>
            </w:pPr>
            <w:r>
              <w:rPr>
                <w:noProof/>
              </w:rPr>
              <w:t>2026</w:t>
            </w:r>
          </w:p>
        </w:tc>
        <w:tc>
          <w:tcPr>
            <w:tcW w:w="1066" w:type="pct"/>
            <w:shd w:val="clear" w:color="auto" w:fill="C6EFCE"/>
            <w:noWrap/>
            <w:vAlign w:val="center"/>
            <w:hideMark/>
          </w:tcPr>
          <w:p w14:paraId="260632B0" w14:textId="3670BAEE" w:rsidR="00154E32" w:rsidRDefault="00A43E04">
            <w:pPr>
              <w:pStyle w:val="paragraph"/>
              <w:spacing w:before="0" w:beforeAutospacing="0" w:after="0" w:afterAutospacing="0"/>
              <w:textAlignment w:val="baseline"/>
              <w:rPr>
                <w:rFonts w:ascii="Arial Narrow" w:hAnsi="Arial Narrow" w:cs="Segoe UI"/>
                <w:noProof/>
                <w:sz w:val="20"/>
              </w:rPr>
            </w:pPr>
            <w:r>
              <w:rPr>
                <w:rStyle w:val="normaltextrun"/>
                <w:rFonts w:ascii="Arial Narrow" w:hAnsi="Arial Narrow"/>
                <w:noProof/>
                <w:color w:val="006100"/>
                <w:sz w:val="20"/>
              </w:rPr>
              <w:t xml:space="preserve">Vsaj 60000 dodatnih spalnih nastanitvenih enot (posteljnih postelj), ustvarjenih v skladu z ustrezno zakonodajo, vključno z Zakonom št. 338/2000, kakor je bil revidiran avgusta 2022, in novo zakonodajno shemo, sprejeto v okviru mejnika M4C1–29, reforma 1.7: Reforma ureditve študentskih stanovanj in naložbe v študentska stanovanja </w:t>
            </w:r>
          </w:p>
        </w:tc>
      </w:tr>
    </w:tbl>
    <w:p w14:paraId="068ADC43" w14:textId="77777777" w:rsidR="00154E32" w:rsidRDefault="00154E32">
      <w:pPr>
        <w:spacing w:before="120" w:after="120"/>
        <w:ind w:left="709"/>
        <w:jc w:val="both"/>
        <w:rPr>
          <w:b/>
          <w:noProof/>
        </w:rPr>
        <w:sectPr w:rsidR="00154E32" w:rsidSect="000D3774">
          <w:headerReference w:type="even" r:id="rId248"/>
          <w:headerReference w:type="default" r:id="rId249"/>
          <w:footerReference w:type="even" r:id="rId250"/>
          <w:footerReference w:type="default" r:id="rId251"/>
          <w:headerReference w:type="first" r:id="rId252"/>
          <w:footerReference w:type="first" r:id="rId253"/>
          <w:pgSz w:w="16839" w:h="11907" w:orient="landscape"/>
          <w:pgMar w:top="1134" w:right="1134" w:bottom="1134" w:left="1134" w:header="567" w:footer="567" w:gutter="0"/>
          <w:cols w:space="720"/>
          <w:docGrid w:linePitch="360"/>
        </w:sectPr>
      </w:pPr>
    </w:p>
    <w:p w14:paraId="3AAB366E" w14:textId="2ACCBCD3" w:rsidR="00154E32" w:rsidRDefault="00A43E04">
      <w:pPr>
        <w:pStyle w:val="Heading2"/>
        <w:numPr>
          <w:ilvl w:val="0"/>
          <w:numId w:val="0"/>
        </w:numPr>
        <w:rPr>
          <w:noProof/>
        </w:rPr>
      </w:pPr>
      <w:r>
        <w:rPr>
          <w:noProof/>
        </w:rPr>
        <w:t xml:space="preserve">K. MISIJA ŠT. 4, KOMPONENTA 2: </w:t>
      </w:r>
      <w:r>
        <w:rPr>
          <w:noProof/>
          <w:u w:val="single"/>
        </w:rPr>
        <w:t>Od raziskav do podjetij</w:t>
      </w:r>
    </w:p>
    <w:p w14:paraId="5553EF27" w14:textId="77777777" w:rsidR="00154E32" w:rsidRDefault="00A43E04">
      <w:pPr>
        <w:spacing w:before="120" w:after="120"/>
        <w:jc w:val="both"/>
        <w:rPr>
          <w:rFonts w:eastAsia="Calibri"/>
          <w:noProof/>
        </w:rPr>
      </w:pPr>
      <w:r>
        <w:rPr>
          <w:noProof/>
        </w:rPr>
        <w:t>Cilj te komponente italijanskega načrta za okrevanje in odpornost je podpirati naložbe v raziskave in inovacije, spodbujati razširjanje inovacij in tehnologij, krepiti znanja in spretnosti ter podpirati prehod na gospodarstvo, ki temelji na znanju. Zagotavlja podporo javnemu raziskovalnemu sistemu, spretnostim in mobilnosti raziskovalcev ter javno-zasebnemu sodelovanju na nacionalni ravni in ravni EU. Temelji na treh glavnih stebrih:  (I)izboljšana znanstvena baza; (II) Močne povezave med podjetji in znanostjo (prenos znanja in tehnologije; (III) Podpora za poslovne inovacije (zlasti MSP, zagonska podjetja).</w:t>
      </w:r>
    </w:p>
    <w:p w14:paraId="100A992A" w14:textId="77777777" w:rsidR="00154E32" w:rsidRDefault="00A43E04">
      <w:pPr>
        <w:spacing w:before="120" w:after="120"/>
        <w:jc w:val="both"/>
        <w:rPr>
          <w:noProof/>
        </w:rPr>
      </w:pPr>
      <w:r>
        <w:rPr>
          <w:noProof/>
        </w:rPr>
        <w:t xml:space="preserve">Naložbe in reforme v okviru te komponente prispevajo k obravnavanju priporočil za posamezne države, naslovljenih na Italijo v letih 2020 in 2019, v zvezi s potrebo, da se ekonomska politika, povezana z naložbami, osredotoči na raziskave in inovacije ter kakovost infrastrukture (priporočilo za posamezno državo št. 3 iz leta 2019), „spodbujanje zasebnih naložb za spodbujanje gospodarskega okrevanja“ (priporočilo za posamezno državo št. 3, 2020) in „usmerjene naložbe v zeleni in digitalni prehod, zlasti na raziskave in inovacije“ (priporočilo za posamezno državo št. 3, 2020). </w:t>
      </w:r>
    </w:p>
    <w:p w14:paraId="01A2AC9D" w14:textId="77777777" w:rsidR="00154E32" w:rsidRDefault="00A43E04">
      <w:pPr>
        <w:pStyle w:val="Heading3"/>
        <w:numPr>
          <w:ilvl w:val="0"/>
          <w:numId w:val="0"/>
        </w:numPr>
        <w:ind w:left="850" w:hanging="850"/>
        <w:rPr>
          <w:b/>
          <w:i w:val="0"/>
          <w:noProof/>
          <w:u w:val="single"/>
        </w:rPr>
      </w:pPr>
      <w:r>
        <w:rPr>
          <w:b/>
          <w:i w:val="0"/>
          <w:noProof/>
          <w:u w:val="single"/>
        </w:rPr>
        <w:t xml:space="preserve">K.1. </w:t>
      </w:r>
      <w:r>
        <w:rPr>
          <w:noProof/>
        </w:rPr>
        <w:tab/>
      </w:r>
      <w:r>
        <w:rPr>
          <w:b/>
          <w:i w:val="0"/>
          <w:noProof/>
          <w:u w:val="single"/>
        </w:rPr>
        <w:t>Opis reform in naložb za nepovratno finančno podporo</w:t>
      </w:r>
    </w:p>
    <w:p w14:paraId="58C4BA08" w14:textId="77777777" w:rsidR="00154E32" w:rsidRDefault="00A43E04">
      <w:pPr>
        <w:pStyle w:val="P68B1DB1-Normal2"/>
        <w:spacing w:before="120" w:after="120"/>
        <w:jc w:val="both"/>
        <w:rPr>
          <w:noProof/>
        </w:rPr>
      </w:pPr>
      <w:r>
        <w:rPr>
          <w:noProof/>
        </w:rPr>
        <w:t>Naložba 1.2: Financiranje projektov, ki so jih predstavili mladi raziskovalci</w:t>
      </w:r>
    </w:p>
    <w:p w14:paraId="0E21AB30" w14:textId="21506BAB" w:rsidR="00154E32" w:rsidRDefault="00A43E04">
      <w:pPr>
        <w:spacing w:after="120"/>
        <w:jc w:val="both"/>
        <w:rPr>
          <w:noProof/>
        </w:rPr>
      </w:pPr>
      <w:r>
        <w:rPr>
          <w:noProof/>
        </w:rPr>
        <w:t>Cilj naložbe je mladim raziskovalcem zagotoviti nove priložnosti, da bi jih lahko obdržali v Italiji. Ukrep podpira raziskovalne dejavnosti vsaj 850 mladih raziskovalcev po vzoru programov, kot so Evropski raziskovalni svet (ERC) in individualne štipendije Marie Skłodowske-Curie (MSCA-IF), pečat odličnosti in postdoktorski mednarodni raziskovalci, da se jim omogoči pridobitev začetnih izkušenj na področju raziskovalne odgovornosti. Del prispevka, dodeljenega raziskovalcem ERC, se nameni za zaposlitev vsaj enega raziskovalca, ki ne sledi na terenu.</w:t>
      </w:r>
    </w:p>
    <w:p w14:paraId="3CB10D0E" w14:textId="77777777" w:rsidR="00154E32" w:rsidRDefault="00A43E04">
      <w:pPr>
        <w:spacing w:after="120"/>
        <w:jc w:val="both"/>
        <w:rPr>
          <w:rFonts w:eastAsia="Calibri"/>
          <w:noProof/>
        </w:rPr>
      </w:pPr>
      <w:r>
        <w:rPr>
          <w:noProof/>
        </w:rPr>
        <w:t>Da se zagotovi skladnost ukrepa s tehničnimi smernicami za uporabo načela, da se ne škoduje bistveno (2021/C58/01), merila za upravičenost iz projektne naloge za prihodnje razpise za projekte ne vključujejo naslednjega seznama dejavnosti: (I) dejavnosti, povezane s fosilnimi gorivi, vključno z nadaljnjo uporabo</w:t>
      </w:r>
      <w:r>
        <w:rPr>
          <w:rStyle w:val="FootnoteReference"/>
          <w:noProof/>
        </w:rPr>
        <w:footnoteReference w:id="71"/>
      </w:r>
      <w:r>
        <w:rPr>
          <w:noProof/>
        </w:rPr>
        <w:t>; (II) dejavnosti v okviru sistema EU za trgovanje z emisijami (ETS), s katerimi se dosegajo predvidene emisije toplogrednih plinov, ki niso nižje od ustreznih referenčnih vrednosti</w:t>
      </w:r>
      <w:r>
        <w:rPr>
          <w:rStyle w:val="FootnoteReference"/>
          <w:noProof/>
        </w:rPr>
        <w:footnoteReference w:id="72"/>
      </w:r>
      <w:r>
        <w:rPr>
          <w:noProof/>
        </w:rPr>
        <w:t>; (III) dejavnosti, povezane z odlagališči odpadkov, sežigalnicami</w:t>
      </w:r>
      <w:r>
        <w:rPr>
          <w:rStyle w:val="FootnoteReference"/>
          <w:noProof/>
        </w:rPr>
        <w:footnoteReference w:id="73"/>
      </w:r>
      <w:r>
        <w:rPr>
          <w:noProof/>
        </w:rPr>
        <w:t xml:space="preserve"> in napravami za mehansko-biološko obdelavo</w:t>
      </w:r>
      <w:r>
        <w:rPr>
          <w:rStyle w:val="FootnoteReference"/>
          <w:noProof/>
        </w:rPr>
        <w:footnoteReference w:id="74"/>
      </w:r>
      <w:r>
        <w:rPr>
          <w:noProof/>
        </w:rPr>
        <w:t>; ter (iv) dejavnosti, pri katerih lahko dolgotrajno odstranjevanje odpadkov dolgoročno škoduje okolju. Poleg tega se zahteva, da se lahko izberejo samo dejavnosti, ki so skladne z ustrezno okoljsko zakonodajo EU in nacionalno okoljsko zakonodajo.</w:t>
      </w:r>
    </w:p>
    <w:p w14:paraId="6F4EA9E6" w14:textId="77777777" w:rsidR="00154E32" w:rsidRDefault="00A43E04">
      <w:pPr>
        <w:pStyle w:val="P68B1DB1-Normal2"/>
        <w:spacing w:before="120" w:after="120" w:line="257" w:lineRule="auto"/>
        <w:ind w:left="-680" w:firstLine="709"/>
        <w:jc w:val="both"/>
        <w:rPr>
          <w:i/>
          <w:noProof/>
          <w:u w:val="single"/>
        </w:rPr>
      </w:pPr>
      <w:r>
        <w:rPr>
          <w:noProof/>
        </w:rPr>
        <w:t>Naložba 2.2: Partnerstva na področju raziskav in inovacij – Obzorje Evropa</w:t>
      </w:r>
    </w:p>
    <w:p w14:paraId="37D8D843" w14:textId="77777777" w:rsidR="00154E32" w:rsidRDefault="00A43E04">
      <w:pPr>
        <w:spacing w:before="120" w:after="120"/>
        <w:jc w:val="both"/>
        <w:rPr>
          <w:noProof/>
        </w:rPr>
      </w:pPr>
      <w:r>
        <w:rPr>
          <w:noProof/>
        </w:rPr>
        <w:t>Cilj ukrepa je podpreti raziskovalne, razvojne in inovacijske projekte, opredeljene s posebnimi razpisi za sodelovanje v evropskih partnerstvih v okviru programa Obzorje Evropa. Te nadnacionalne raziskovalne pobude so lahko pomembno gonilo razvoja raziskav in inovacij na področju strateških vprašanj za oživitev italijanskega gospodarstva. Podpora se osredotoča zlasti na naslednja partnerstva: I) visokozmogljivostno računalništvo, ii) ključne digitalne tehnologije, iii) prehod na čisto energijo; modri oceani – podnebno nevtralno, trajnostno in produktivno modro gospodarstvo; v) inovativna MSP;</w:t>
      </w:r>
    </w:p>
    <w:p w14:paraId="14ED57FC" w14:textId="77777777" w:rsidR="00154E32" w:rsidRDefault="00A43E04">
      <w:pPr>
        <w:spacing w:before="120" w:after="120"/>
        <w:jc w:val="both"/>
        <w:rPr>
          <w:noProof/>
        </w:rPr>
      </w:pPr>
      <w:r>
        <w:rPr>
          <w:noProof/>
        </w:rPr>
        <w:t>Ukrep, ki ga izvaja ministrstvo za gospodarski razvoj MiSE, omogoča kontinuiteto pobud, ki se izvajajo prek Sklada za trajnostno rast (SFS), kar omogoča sinergije med ravnmi upravljanja in različnimi finančnimi viri.</w:t>
      </w:r>
    </w:p>
    <w:p w14:paraId="7055299F" w14:textId="6E6F862B" w:rsidR="00154E32" w:rsidRDefault="00A43E04">
      <w:pPr>
        <w:spacing w:before="120" w:after="120"/>
        <w:jc w:val="both"/>
        <w:rPr>
          <w:rFonts w:eastAsia="Calibri"/>
          <w:b/>
          <w:noProof/>
          <w:color w:val="000000" w:themeColor="text1"/>
        </w:rPr>
      </w:pPr>
      <w:r>
        <w:rPr>
          <w:noProof/>
        </w:rPr>
        <w:t>Da se zagotovi skladnost ukrepa s tehničnimi smernicami za uporabo načela, da se ne škoduje bistveno (2021/C58/01), merila za upravičenost iz projektne naloge za prihodnje razpise za projekte ne vključujejo naslednjega seznama dejavnosti: (I) dejavnosti, povezane s fosilnimi gorivi, vključno z nadaljnjo uporabo</w:t>
      </w:r>
      <w:r>
        <w:rPr>
          <w:rStyle w:val="FootnoteReference"/>
          <w:noProof/>
          <w:color w:val="000000" w:themeColor="text1"/>
        </w:rPr>
        <w:footnoteReference w:id="75"/>
      </w:r>
      <w:r>
        <w:rPr>
          <w:noProof/>
        </w:rPr>
        <w:t>; (II) dejavnosti in sredstva v okviru sistema EU za trgovanje z emisijami (ETS), s katerimi se dosegajo predvidene emisije toplogrednih plinov, ki niso nižje od ustreznih referenčnih vrednosti</w:t>
      </w:r>
      <w:r>
        <w:rPr>
          <w:rStyle w:val="FootnoteReference"/>
          <w:noProof/>
          <w:color w:val="000000" w:themeColor="text1"/>
        </w:rPr>
        <w:footnoteReference w:id="76"/>
      </w:r>
      <w:r>
        <w:rPr>
          <w:noProof/>
        </w:rPr>
        <w:t>; (III) dejavnosti in sredstva, povezana z odlagališči odpadkov, sežigalnicami</w:t>
      </w:r>
      <w:r>
        <w:rPr>
          <w:noProof/>
        </w:rPr>
        <w:footnoteReference w:id="77"/>
      </w:r>
      <w:r>
        <w:rPr>
          <w:noProof/>
        </w:rPr>
        <w:t xml:space="preserve"> in napravami za mehansko-biološko obdelavo</w:t>
      </w:r>
      <w:r>
        <w:rPr>
          <w:rStyle w:val="FootnoteReference"/>
          <w:noProof/>
          <w:color w:val="000000" w:themeColor="text1"/>
        </w:rPr>
        <w:footnoteReference w:id="78"/>
      </w:r>
      <w:r>
        <w:rPr>
          <w:noProof/>
        </w:rPr>
        <w:t>. V formalnih pogojih se poleg tega zahteva, da se lahko izberejo samo dejavnosti, ki so skladne z ustrezno okoljsko zakonodajo EU in nacionalno okoljsko zakonodajo.</w:t>
      </w:r>
    </w:p>
    <w:p w14:paraId="0E2AB91E" w14:textId="77777777" w:rsidR="00154E32" w:rsidRDefault="00A43E04">
      <w:pPr>
        <w:pStyle w:val="P68B1DB1-Normal2"/>
        <w:spacing w:before="120" w:after="120"/>
        <w:jc w:val="both"/>
        <w:rPr>
          <w:rFonts w:eastAsia="Calibri"/>
          <w:noProof/>
        </w:rPr>
      </w:pPr>
      <w:r>
        <w:rPr>
          <w:noProof/>
        </w:rPr>
        <w:t>Naložba 3.3: Uvedba inovativnih doktoratov, ki ustrezajo potrebam podjetij po inovacijah in spodbujajo zaposlovanje raziskovalcev s strani podjetij</w:t>
      </w:r>
    </w:p>
    <w:p w14:paraId="180C6D39" w14:textId="77777777" w:rsidR="00154E32" w:rsidRDefault="00A43E04">
      <w:pPr>
        <w:spacing w:before="120" w:after="120"/>
        <w:jc w:val="both"/>
        <w:rPr>
          <w:rFonts w:eastAsiaTheme="minorEastAsia"/>
          <w:noProof/>
        </w:rPr>
      </w:pPr>
      <w:r>
        <w:rPr>
          <w:noProof/>
        </w:rPr>
        <w:t>Cilj ukrepa je izboljšati odmevnost znanj in spretnosti, zlasti na področjih ključnih omogočitvenih tehnologij, in sicer z:</w:t>
      </w:r>
    </w:p>
    <w:p w14:paraId="2FC6D576" w14:textId="2B5CACA1" w:rsidR="00154E32" w:rsidRDefault="00A43E04">
      <w:pPr>
        <w:pStyle w:val="ListParagraph"/>
        <w:numPr>
          <w:ilvl w:val="0"/>
          <w:numId w:val="54"/>
        </w:numPr>
        <w:spacing w:line="288" w:lineRule="auto"/>
        <w:rPr>
          <w:rFonts w:eastAsiaTheme="minorEastAsia"/>
          <w:noProof/>
        </w:rPr>
      </w:pPr>
      <w:r>
        <w:rPr>
          <w:noProof/>
        </w:rPr>
        <w:t>Vzpostavitev namenskih doktorskih programov s prispevki in vključevanjem podjetij;</w:t>
      </w:r>
    </w:p>
    <w:p w14:paraId="79F7DAB8" w14:textId="77777777" w:rsidR="00154E32" w:rsidRDefault="00A43E04">
      <w:pPr>
        <w:pStyle w:val="ListParagraph"/>
        <w:numPr>
          <w:ilvl w:val="0"/>
          <w:numId w:val="54"/>
        </w:numPr>
        <w:spacing w:line="288" w:lineRule="auto"/>
        <w:rPr>
          <w:rFonts w:eastAsiaTheme="minorEastAsia"/>
          <w:noProof/>
        </w:rPr>
      </w:pPr>
      <w:r>
        <w:rPr>
          <w:noProof/>
        </w:rPr>
        <w:t>Spodbude za podjetja, da zaposlijo raziskovalce.</w:t>
      </w:r>
    </w:p>
    <w:p w14:paraId="610DF301" w14:textId="3BC99986" w:rsidR="00154E32" w:rsidRDefault="00A43E04">
      <w:pPr>
        <w:spacing w:before="120" w:after="120"/>
        <w:jc w:val="both"/>
        <w:rPr>
          <w:noProof/>
        </w:rPr>
      </w:pPr>
      <w:r>
        <w:rPr>
          <w:noProof/>
        </w:rPr>
        <w:t>Natančneje, ukrep, ki ga izvaja ministrstvo za univerze in raziskave MUR, predvideva dodelitev 6000 štipendij za doktorski študij v treh letih z zasebnim sofinanciranjem in spodbudami za podjetja za zaposlovanje raziskovalcev.</w:t>
      </w:r>
    </w:p>
    <w:p w14:paraId="6F304B52" w14:textId="77777777" w:rsidR="00154E32" w:rsidRDefault="00A43E04">
      <w:pPr>
        <w:pStyle w:val="P68B1DB1-Normal2"/>
        <w:spacing w:before="120" w:after="120" w:line="288" w:lineRule="auto"/>
        <w:jc w:val="both"/>
        <w:rPr>
          <w:rFonts w:eastAsiaTheme="minorEastAsia"/>
          <w:noProof/>
        </w:rPr>
      </w:pPr>
      <w:r>
        <w:rPr>
          <w:noProof/>
        </w:rPr>
        <w:t>Reforma 1.1: Izvajanje podpornih ukrepov za raziskave in inovacije za spodbujanje poenostavitve in mobilnosti</w:t>
      </w:r>
    </w:p>
    <w:p w14:paraId="2AC68073" w14:textId="0C59C382" w:rsidR="00154E32" w:rsidRDefault="00A43E04">
      <w:pPr>
        <w:spacing w:before="120" w:after="120"/>
        <w:jc w:val="both"/>
        <w:rPr>
          <w:noProof/>
        </w:rPr>
      </w:pPr>
      <w:r>
        <w:rPr>
          <w:noProof/>
        </w:rPr>
        <w:t>Reformo izvajata ministrstvo za univerze in raziskave (MUR) in ministrstvo za gospodarski razvoj (MiSE) z ustanovitvijo medresorskega usmerjevalnega odbora in izdajo dveh ministrskih odlokov: I) povečati in podpreti mobilnost (s spodbudami) odmevnih posameznikov (kot so: raziskovalci in vodstveni delavci) med univerzami, raziskovalnimi infrastrukturami in podjetji ter ii) poenostavitev upravljanja sredstev za raziskave, iii) reforma poklicne poti raziskovalcev, da se poveča njihova osredotočenost na raziskovalne dejavnosti. Reforma bo prešla na bolj sistemski pristop k raziskovalnim in razvojnim dejavnostim, ki presega sedanjo logiko prerazporeditve sredstev s spodbujanjem pristopa delitve, in se osredotoča na poenostavitev birokracije pri upravljanju sredstev, namenjenih javno-zasebnim raziskovalnim dejavnostim, kar bo imelo pomemben učinek s preprečevanjem razpršenosti in razdrobljenosti prednostnih nalog, ki jih podpira tudi prva komponenta misije. Javni raziskovalni organi imajo ključno vlogo kot morebitni vodje projektov za partnerstva, nacionalne kampanje in teritorialne ekosisteme ter kot potencialni udeleženci razpisov za zbiranje predlogov v okviru sklada PNR in sklada za infrastrukturo.</w:t>
      </w:r>
    </w:p>
    <w:p w14:paraId="0F035AA4" w14:textId="3437F162" w:rsidR="00154E32" w:rsidRDefault="00A43E04">
      <w:pPr>
        <w:pStyle w:val="Heading3"/>
        <w:numPr>
          <w:ilvl w:val="0"/>
          <w:numId w:val="0"/>
        </w:numPr>
        <w:ind w:left="850" w:hanging="850"/>
        <w:rPr>
          <w:b/>
          <w:i w:val="0"/>
          <w:noProof/>
          <w:u w:val="single"/>
        </w:rPr>
        <w:sectPr w:rsidR="00154E32">
          <w:headerReference w:type="even" r:id="rId254"/>
          <w:headerReference w:type="default" r:id="rId255"/>
          <w:footerReference w:type="even" r:id="rId256"/>
          <w:footerReference w:type="default" r:id="rId257"/>
          <w:headerReference w:type="first" r:id="rId258"/>
          <w:footerReference w:type="first" r:id="rId259"/>
          <w:pgSz w:w="11907" w:h="16839"/>
          <w:pgMar w:top="1440" w:right="1440" w:bottom="1440" w:left="1440" w:header="567" w:footer="567" w:gutter="0"/>
          <w:cols w:space="720"/>
          <w:docGrid w:linePitch="360"/>
        </w:sectPr>
      </w:pPr>
      <w:r>
        <w:rPr>
          <w:b/>
          <w:i w:val="0"/>
          <w:noProof/>
          <w:u w:val="single"/>
        </w:rPr>
        <w:t xml:space="preserve">K.2. </w:t>
      </w:r>
      <w:r>
        <w:rPr>
          <w:noProof/>
        </w:rPr>
        <w:tab/>
      </w:r>
      <w:r>
        <w:rPr>
          <w:b/>
          <w:i w:val="0"/>
          <w:noProof/>
          <w:u w:val="single"/>
        </w:rPr>
        <w:t>Mejniki, cilji, kazalniki in časovni razpored za spremljanje in izvajanje nepovratne finančne podpore Naslednje;</w:t>
      </w:r>
    </w:p>
    <w:p w14:paraId="6BF4C033" w14:textId="77777777" w:rsidR="00154E32" w:rsidRDefault="00154E32">
      <w:pPr>
        <w:spacing w:before="120" w:after="120"/>
        <w:jc w:val="both"/>
        <w:rPr>
          <w:noProof/>
        </w:rPr>
      </w:pPr>
    </w:p>
    <w:tbl>
      <w:tblPr>
        <w:tblW w:w="51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596"/>
        <w:gridCol w:w="1416"/>
        <w:gridCol w:w="1362"/>
        <w:gridCol w:w="1607"/>
        <w:gridCol w:w="1008"/>
        <w:gridCol w:w="991"/>
        <w:gridCol w:w="792"/>
        <w:gridCol w:w="979"/>
        <w:gridCol w:w="648"/>
        <w:gridCol w:w="2977"/>
      </w:tblGrid>
      <w:tr w:rsidR="00154E32" w14:paraId="053A3E01" w14:textId="77777777">
        <w:trPr>
          <w:trHeight w:val="927"/>
          <w:tblHeader/>
          <w:jc w:val="center"/>
        </w:trPr>
        <w:tc>
          <w:tcPr>
            <w:tcW w:w="1503" w:type="dxa"/>
            <w:vMerge w:val="restart"/>
            <w:shd w:val="clear" w:color="auto" w:fill="BDD7EE"/>
            <w:vAlign w:val="center"/>
            <w:hideMark/>
          </w:tcPr>
          <w:p w14:paraId="277E5C31" w14:textId="77777777" w:rsidR="00154E32" w:rsidRDefault="00A43E04">
            <w:pPr>
              <w:pStyle w:val="P68B1DB1-Normal9"/>
              <w:jc w:val="center"/>
              <w:rPr>
                <w:noProof/>
              </w:rPr>
            </w:pPr>
            <w:r>
              <w:rPr>
                <w:noProof/>
              </w:rPr>
              <w:t>Zaporedna številka</w:t>
            </w:r>
          </w:p>
        </w:tc>
        <w:tc>
          <w:tcPr>
            <w:tcW w:w="1596" w:type="dxa"/>
            <w:vMerge w:val="restart"/>
            <w:shd w:val="clear" w:color="auto" w:fill="BDD7EE"/>
            <w:vAlign w:val="center"/>
            <w:hideMark/>
          </w:tcPr>
          <w:p w14:paraId="35A37A6D" w14:textId="77777777" w:rsidR="00154E32" w:rsidRDefault="00A43E04">
            <w:pPr>
              <w:pStyle w:val="P68B1DB1-Normal9"/>
              <w:jc w:val="center"/>
              <w:rPr>
                <w:noProof/>
              </w:rPr>
            </w:pPr>
            <w:r>
              <w:rPr>
                <w:noProof/>
              </w:rPr>
              <w:t>Povezani ukrep (reforma ali naložba)</w:t>
            </w:r>
          </w:p>
        </w:tc>
        <w:tc>
          <w:tcPr>
            <w:tcW w:w="1416" w:type="dxa"/>
            <w:vMerge w:val="restart"/>
            <w:shd w:val="clear" w:color="auto" w:fill="BDD7EE"/>
            <w:vAlign w:val="center"/>
            <w:hideMark/>
          </w:tcPr>
          <w:p w14:paraId="5B9C6B08" w14:textId="77777777" w:rsidR="00154E32" w:rsidRDefault="00A43E04">
            <w:pPr>
              <w:pStyle w:val="P68B1DB1-Normal9"/>
              <w:jc w:val="center"/>
              <w:rPr>
                <w:noProof/>
              </w:rPr>
            </w:pPr>
            <w:r>
              <w:rPr>
                <w:noProof/>
              </w:rPr>
              <w:t>Mejnik/cilj</w:t>
            </w:r>
          </w:p>
        </w:tc>
        <w:tc>
          <w:tcPr>
            <w:tcW w:w="1362" w:type="dxa"/>
            <w:vMerge w:val="restart"/>
            <w:shd w:val="clear" w:color="auto" w:fill="BDD7EE"/>
            <w:vAlign w:val="center"/>
            <w:hideMark/>
          </w:tcPr>
          <w:p w14:paraId="1AC2FE08" w14:textId="77777777" w:rsidR="00154E32" w:rsidRDefault="00A43E04">
            <w:pPr>
              <w:pStyle w:val="P68B1DB1-Normal9"/>
              <w:jc w:val="center"/>
              <w:rPr>
                <w:noProof/>
              </w:rPr>
            </w:pPr>
            <w:r>
              <w:rPr>
                <w:noProof/>
              </w:rPr>
              <w:t>Ime</w:t>
            </w:r>
          </w:p>
        </w:tc>
        <w:tc>
          <w:tcPr>
            <w:tcW w:w="1607" w:type="dxa"/>
            <w:vMerge w:val="restart"/>
            <w:shd w:val="clear" w:color="auto" w:fill="BDD7EE"/>
            <w:vAlign w:val="center"/>
            <w:hideMark/>
          </w:tcPr>
          <w:p w14:paraId="45983081" w14:textId="77777777" w:rsidR="00154E32" w:rsidRDefault="00A43E04">
            <w:pPr>
              <w:pStyle w:val="P68B1DB1-Normal10"/>
              <w:jc w:val="center"/>
              <w:rPr>
                <w:b/>
                <w:noProof/>
                <w:sz w:val="20"/>
              </w:rPr>
            </w:pPr>
            <w:r>
              <w:rPr>
                <w:b/>
                <w:noProof/>
                <w:sz w:val="20"/>
              </w:rPr>
              <w:t>Kakovostni kazalniki</w:t>
            </w:r>
            <w:r>
              <w:rPr>
                <w:noProof/>
              </w:rPr>
              <w:t xml:space="preserve"> </w:t>
            </w:r>
            <w:r>
              <w:rPr>
                <w:noProof/>
              </w:rPr>
              <w:br/>
            </w:r>
            <w:r>
              <w:rPr>
                <w:b/>
                <w:noProof/>
                <w:sz w:val="20"/>
              </w:rPr>
              <w:t>(za mejnike)</w:t>
            </w:r>
          </w:p>
        </w:tc>
        <w:tc>
          <w:tcPr>
            <w:tcW w:w="2791" w:type="dxa"/>
            <w:gridSpan w:val="3"/>
            <w:shd w:val="clear" w:color="auto" w:fill="BDD7EE"/>
            <w:vAlign w:val="center"/>
            <w:hideMark/>
          </w:tcPr>
          <w:p w14:paraId="7A899628" w14:textId="77777777" w:rsidR="00154E32" w:rsidRDefault="00A43E04">
            <w:pPr>
              <w:pStyle w:val="P68B1DB1-Normal10"/>
              <w:jc w:val="center"/>
              <w:rPr>
                <w:b/>
                <w:noProof/>
                <w:sz w:val="20"/>
              </w:rPr>
            </w:pPr>
            <w:r>
              <w:rPr>
                <w:b/>
                <w:noProof/>
                <w:sz w:val="20"/>
              </w:rPr>
              <w:t>Kvantitativni kazalniki</w:t>
            </w:r>
            <w:r>
              <w:rPr>
                <w:noProof/>
              </w:rPr>
              <w:t xml:space="preserve"> </w:t>
            </w:r>
            <w:r>
              <w:rPr>
                <w:noProof/>
              </w:rPr>
              <w:br/>
            </w:r>
            <w:r>
              <w:rPr>
                <w:b/>
                <w:noProof/>
                <w:sz w:val="20"/>
              </w:rPr>
              <w:t>(za ciljne vrednosti)</w:t>
            </w:r>
          </w:p>
        </w:tc>
        <w:tc>
          <w:tcPr>
            <w:tcW w:w="1627" w:type="dxa"/>
            <w:gridSpan w:val="2"/>
            <w:shd w:val="clear" w:color="auto" w:fill="BDD7EE"/>
            <w:vAlign w:val="center"/>
            <w:hideMark/>
          </w:tcPr>
          <w:p w14:paraId="0B527FCF" w14:textId="77777777" w:rsidR="00154E32" w:rsidRDefault="00A43E04">
            <w:pPr>
              <w:pStyle w:val="P68B1DB1-Normal9"/>
              <w:jc w:val="center"/>
              <w:rPr>
                <w:noProof/>
              </w:rPr>
            </w:pPr>
            <w:r>
              <w:rPr>
                <w:noProof/>
              </w:rPr>
              <w:t>Okvirni časovni razpored za dokončanje</w:t>
            </w:r>
          </w:p>
        </w:tc>
        <w:tc>
          <w:tcPr>
            <w:tcW w:w="2977" w:type="dxa"/>
            <w:vMerge w:val="restart"/>
            <w:shd w:val="clear" w:color="auto" w:fill="BDD7EE"/>
            <w:vAlign w:val="center"/>
            <w:hideMark/>
          </w:tcPr>
          <w:p w14:paraId="76FDE4AA" w14:textId="77777777" w:rsidR="00154E32" w:rsidRDefault="00A43E04">
            <w:pPr>
              <w:pStyle w:val="P68B1DB1-Normal9"/>
              <w:jc w:val="center"/>
              <w:rPr>
                <w:noProof/>
              </w:rPr>
            </w:pPr>
            <w:r>
              <w:rPr>
                <w:noProof/>
              </w:rPr>
              <w:t>Opis vsakega mejnika in cilja</w:t>
            </w:r>
          </w:p>
        </w:tc>
      </w:tr>
      <w:tr w:rsidR="00154E32" w14:paraId="7354B6EC" w14:textId="77777777">
        <w:trPr>
          <w:trHeight w:val="802"/>
          <w:jc w:val="center"/>
        </w:trPr>
        <w:tc>
          <w:tcPr>
            <w:tcW w:w="1503" w:type="dxa"/>
            <w:vMerge/>
            <w:vAlign w:val="center"/>
            <w:hideMark/>
          </w:tcPr>
          <w:p w14:paraId="266963BD" w14:textId="77777777" w:rsidR="00154E32" w:rsidRDefault="00154E32">
            <w:pPr>
              <w:jc w:val="center"/>
              <w:rPr>
                <w:rFonts w:ascii="Arial Narrow" w:hAnsi="Arial Narrow"/>
                <w:b/>
                <w:noProof/>
                <w:sz w:val="20"/>
              </w:rPr>
            </w:pPr>
          </w:p>
        </w:tc>
        <w:tc>
          <w:tcPr>
            <w:tcW w:w="1596" w:type="dxa"/>
            <w:vMerge/>
            <w:vAlign w:val="center"/>
            <w:hideMark/>
          </w:tcPr>
          <w:p w14:paraId="3424060E" w14:textId="77777777" w:rsidR="00154E32" w:rsidRDefault="00154E32">
            <w:pPr>
              <w:jc w:val="center"/>
              <w:rPr>
                <w:rFonts w:ascii="Arial Narrow" w:hAnsi="Arial Narrow"/>
                <w:b/>
                <w:noProof/>
                <w:sz w:val="20"/>
              </w:rPr>
            </w:pPr>
          </w:p>
        </w:tc>
        <w:tc>
          <w:tcPr>
            <w:tcW w:w="1416" w:type="dxa"/>
            <w:vMerge/>
            <w:vAlign w:val="center"/>
            <w:hideMark/>
          </w:tcPr>
          <w:p w14:paraId="650909FF" w14:textId="77777777" w:rsidR="00154E32" w:rsidRDefault="00154E32">
            <w:pPr>
              <w:jc w:val="center"/>
              <w:rPr>
                <w:rFonts w:ascii="Arial Narrow" w:hAnsi="Arial Narrow"/>
                <w:b/>
                <w:noProof/>
                <w:sz w:val="20"/>
              </w:rPr>
            </w:pPr>
          </w:p>
        </w:tc>
        <w:tc>
          <w:tcPr>
            <w:tcW w:w="1362" w:type="dxa"/>
            <w:vMerge/>
            <w:vAlign w:val="center"/>
            <w:hideMark/>
          </w:tcPr>
          <w:p w14:paraId="26D15D58" w14:textId="77777777" w:rsidR="00154E32" w:rsidRDefault="00154E32">
            <w:pPr>
              <w:jc w:val="center"/>
              <w:rPr>
                <w:rFonts w:ascii="Arial Narrow" w:hAnsi="Arial Narrow"/>
                <w:b/>
                <w:noProof/>
                <w:sz w:val="20"/>
              </w:rPr>
            </w:pPr>
          </w:p>
        </w:tc>
        <w:tc>
          <w:tcPr>
            <w:tcW w:w="1607" w:type="dxa"/>
            <w:vMerge/>
            <w:vAlign w:val="center"/>
            <w:hideMark/>
          </w:tcPr>
          <w:p w14:paraId="48F6CD6A" w14:textId="77777777" w:rsidR="00154E32" w:rsidRDefault="00154E32">
            <w:pPr>
              <w:jc w:val="center"/>
              <w:rPr>
                <w:rFonts w:ascii="Arial Narrow" w:hAnsi="Arial Narrow"/>
                <w:b/>
                <w:noProof/>
                <w:sz w:val="20"/>
              </w:rPr>
            </w:pPr>
          </w:p>
        </w:tc>
        <w:tc>
          <w:tcPr>
            <w:tcW w:w="1008" w:type="dxa"/>
            <w:shd w:val="clear" w:color="auto" w:fill="BDD7EE"/>
            <w:vAlign w:val="center"/>
            <w:hideMark/>
          </w:tcPr>
          <w:p w14:paraId="3F332A2F" w14:textId="77777777" w:rsidR="00154E32" w:rsidRDefault="00A43E04">
            <w:pPr>
              <w:pStyle w:val="P68B1DB1-Normal9"/>
              <w:jc w:val="center"/>
              <w:rPr>
                <w:noProof/>
              </w:rPr>
            </w:pPr>
            <w:r>
              <w:rPr>
                <w:noProof/>
              </w:rPr>
              <w:t>Merska enota</w:t>
            </w:r>
          </w:p>
        </w:tc>
        <w:tc>
          <w:tcPr>
            <w:tcW w:w="991" w:type="dxa"/>
            <w:shd w:val="clear" w:color="auto" w:fill="BDD7EE"/>
            <w:vAlign w:val="center"/>
            <w:hideMark/>
          </w:tcPr>
          <w:p w14:paraId="28E61C46" w14:textId="77777777" w:rsidR="00154E32" w:rsidRDefault="00A43E04">
            <w:pPr>
              <w:pStyle w:val="P68B1DB1-Normal9"/>
              <w:jc w:val="center"/>
              <w:rPr>
                <w:noProof/>
              </w:rPr>
            </w:pPr>
            <w:r>
              <w:rPr>
                <w:noProof/>
              </w:rPr>
              <w:t>Izhodišče</w:t>
            </w:r>
          </w:p>
        </w:tc>
        <w:tc>
          <w:tcPr>
            <w:tcW w:w="792" w:type="dxa"/>
            <w:shd w:val="clear" w:color="auto" w:fill="BDD7EE"/>
            <w:vAlign w:val="center"/>
            <w:hideMark/>
          </w:tcPr>
          <w:p w14:paraId="1ED7830C" w14:textId="77777777" w:rsidR="00154E32" w:rsidRDefault="00A43E04">
            <w:pPr>
              <w:pStyle w:val="P68B1DB1-Normal9"/>
              <w:jc w:val="center"/>
              <w:rPr>
                <w:noProof/>
              </w:rPr>
            </w:pPr>
            <w:r>
              <w:rPr>
                <w:noProof/>
              </w:rPr>
              <w:t>Cilj</w:t>
            </w:r>
          </w:p>
        </w:tc>
        <w:tc>
          <w:tcPr>
            <w:tcW w:w="979" w:type="dxa"/>
            <w:shd w:val="clear" w:color="auto" w:fill="BDD7EE"/>
            <w:vAlign w:val="center"/>
            <w:hideMark/>
          </w:tcPr>
          <w:p w14:paraId="4CCB2020" w14:textId="77777777" w:rsidR="00154E32" w:rsidRDefault="00A43E04">
            <w:pPr>
              <w:pStyle w:val="P68B1DB1-Normal9"/>
              <w:jc w:val="center"/>
              <w:rPr>
                <w:noProof/>
              </w:rPr>
            </w:pPr>
            <w:r>
              <w:rPr>
                <w:noProof/>
              </w:rPr>
              <w:t>Četrtletje</w:t>
            </w:r>
          </w:p>
        </w:tc>
        <w:tc>
          <w:tcPr>
            <w:tcW w:w="648" w:type="dxa"/>
            <w:shd w:val="clear" w:color="auto" w:fill="BDD7EE"/>
            <w:vAlign w:val="center"/>
            <w:hideMark/>
          </w:tcPr>
          <w:p w14:paraId="279C5161" w14:textId="77777777" w:rsidR="00154E32" w:rsidRDefault="00A43E04">
            <w:pPr>
              <w:pStyle w:val="P68B1DB1-Normal9"/>
              <w:jc w:val="center"/>
              <w:rPr>
                <w:noProof/>
              </w:rPr>
            </w:pPr>
            <w:r>
              <w:rPr>
                <w:noProof/>
              </w:rPr>
              <w:t>Leto</w:t>
            </w:r>
          </w:p>
        </w:tc>
        <w:tc>
          <w:tcPr>
            <w:tcW w:w="2977" w:type="dxa"/>
            <w:vMerge/>
            <w:vAlign w:val="center"/>
            <w:hideMark/>
          </w:tcPr>
          <w:p w14:paraId="32EAC357" w14:textId="77777777" w:rsidR="00154E32" w:rsidRDefault="00154E32">
            <w:pPr>
              <w:rPr>
                <w:rFonts w:ascii="Arial Narrow" w:hAnsi="Arial Narrow"/>
                <w:b/>
                <w:noProof/>
                <w:sz w:val="20"/>
              </w:rPr>
            </w:pPr>
          </w:p>
        </w:tc>
      </w:tr>
      <w:tr w:rsidR="00154E32" w14:paraId="5969AB8B" w14:textId="77777777">
        <w:trPr>
          <w:trHeight w:val="1065"/>
          <w:jc w:val="center"/>
        </w:trPr>
        <w:tc>
          <w:tcPr>
            <w:tcW w:w="1503" w:type="dxa"/>
            <w:shd w:val="clear" w:color="auto" w:fill="C6EFCE"/>
            <w:noWrap/>
            <w:vAlign w:val="center"/>
            <w:hideMark/>
          </w:tcPr>
          <w:p w14:paraId="13FA5F2B" w14:textId="77777777" w:rsidR="00154E32" w:rsidRDefault="00A43E04">
            <w:pPr>
              <w:pStyle w:val="P68B1DB1-Normal11"/>
              <w:jc w:val="center"/>
              <w:rPr>
                <w:noProof/>
              </w:rPr>
            </w:pPr>
            <w:r>
              <w:rPr>
                <w:noProof/>
              </w:rPr>
              <w:t>M4C2–1</w:t>
            </w:r>
          </w:p>
        </w:tc>
        <w:tc>
          <w:tcPr>
            <w:tcW w:w="1596" w:type="dxa"/>
            <w:shd w:val="clear" w:color="auto" w:fill="C6EFCE"/>
            <w:noWrap/>
            <w:vAlign w:val="center"/>
            <w:hideMark/>
          </w:tcPr>
          <w:p w14:paraId="0721A999" w14:textId="77777777" w:rsidR="00154E32" w:rsidRDefault="00A43E04">
            <w:pPr>
              <w:pStyle w:val="P68B1DB1-Normal11"/>
              <w:jc w:val="center"/>
              <w:rPr>
                <w:noProof/>
              </w:rPr>
            </w:pPr>
            <w:r>
              <w:rPr>
                <w:noProof/>
              </w:rPr>
              <w:t xml:space="preserve"> Naložba 1.2: Financiranje projektov, ki so jih predstavili mladi raziskovalci</w:t>
            </w:r>
          </w:p>
        </w:tc>
        <w:tc>
          <w:tcPr>
            <w:tcW w:w="1416" w:type="dxa"/>
            <w:shd w:val="clear" w:color="auto" w:fill="C6EFCE"/>
            <w:noWrap/>
            <w:vAlign w:val="center"/>
            <w:hideMark/>
          </w:tcPr>
          <w:p w14:paraId="3174162B" w14:textId="77777777" w:rsidR="00154E32" w:rsidRDefault="00A43E04">
            <w:pPr>
              <w:pStyle w:val="P68B1DB1-Normal11"/>
              <w:jc w:val="center"/>
              <w:rPr>
                <w:noProof/>
              </w:rPr>
            </w:pPr>
            <w:r>
              <w:rPr>
                <w:noProof/>
              </w:rPr>
              <w:t>Tarča</w:t>
            </w:r>
          </w:p>
        </w:tc>
        <w:tc>
          <w:tcPr>
            <w:tcW w:w="1362" w:type="dxa"/>
            <w:shd w:val="clear" w:color="auto" w:fill="C6EFCE"/>
            <w:noWrap/>
            <w:vAlign w:val="center"/>
            <w:hideMark/>
          </w:tcPr>
          <w:p w14:paraId="3FBA5025" w14:textId="77777777" w:rsidR="00154E32" w:rsidRDefault="00A43E04">
            <w:pPr>
              <w:pStyle w:val="P68B1DB1-Normal11"/>
              <w:jc w:val="center"/>
              <w:rPr>
                <w:rFonts w:eastAsia="Calibri"/>
                <w:noProof/>
              </w:rPr>
            </w:pPr>
            <w:r>
              <w:rPr>
                <w:noProof/>
              </w:rPr>
              <w:t>Število študentov, ki so prejeli štipendijo za raziskave</w:t>
            </w:r>
          </w:p>
        </w:tc>
        <w:tc>
          <w:tcPr>
            <w:tcW w:w="1607" w:type="dxa"/>
            <w:shd w:val="clear" w:color="auto" w:fill="C6EFCE"/>
            <w:noWrap/>
            <w:vAlign w:val="center"/>
            <w:hideMark/>
          </w:tcPr>
          <w:p w14:paraId="69A16D7C" w14:textId="77777777" w:rsidR="00154E32" w:rsidRDefault="00A43E04">
            <w:pPr>
              <w:pStyle w:val="P68B1DB1-Normal11"/>
              <w:jc w:val="center"/>
              <w:rPr>
                <w:noProof/>
              </w:rPr>
            </w:pPr>
            <w:r>
              <w:rPr>
                <w:noProof/>
              </w:rPr>
              <w:t>JIH NI</w:t>
            </w:r>
          </w:p>
        </w:tc>
        <w:tc>
          <w:tcPr>
            <w:tcW w:w="1008" w:type="dxa"/>
            <w:shd w:val="clear" w:color="auto" w:fill="C6EFCE"/>
            <w:noWrap/>
            <w:vAlign w:val="center"/>
            <w:hideMark/>
          </w:tcPr>
          <w:p w14:paraId="70F22A46" w14:textId="77777777" w:rsidR="00154E32" w:rsidRDefault="00A43E04">
            <w:pPr>
              <w:pStyle w:val="P68B1DB1-Normal11"/>
              <w:jc w:val="center"/>
              <w:rPr>
                <w:noProof/>
              </w:rPr>
            </w:pPr>
            <w:r>
              <w:rPr>
                <w:noProof/>
              </w:rPr>
              <w:t>Število</w:t>
            </w:r>
          </w:p>
        </w:tc>
        <w:tc>
          <w:tcPr>
            <w:tcW w:w="991" w:type="dxa"/>
            <w:shd w:val="clear" w:color="auto" w:fill="C6EFCE"/>
            <w:noWrap/>
            <w:vAlign w:val="center"/>
            <w:hideMark/>
          </w:tcPr>
          <w:p w14:paraId="154CC5C7" w14:textId="77777777" w:rsidR="00154E32" w:rsidRDefault="00A43E04">
            <w:pPr>
              <w:pStyle w:val="P68B1DB1-Normal11"/>
              <w:jc w:val="center"/>
              <w:rPr>
                <w:noProof/>
              </w:rPr>
            </w:pPr>
            <w:r>
              <w:rPr>
                <w:noProof/>
              </w:rPr>
              <w:t>50</w:t>
            </w:r>
          </w:p>
        </w:tc>
        <w:tc>
          <w:tcPr>
            <w:tcW w:w="792" w:type="dxa"/>
            <w:shd w:val="clear" w:color="auto" w:fill="C6EFCE"/>
            <w:noWrap/>
            <w:vAlign w:val="center"/>
            <w:hideMark/>
          </w:tcPr>
          <w:p w14:paraId="3D4C30FE" w14:textId="77777777" w:rsidR="00154E32" w:rsidRDefault="00A43E04">
            <w:pPr>
              <w:pStyle w:val="P68B1DB1-Normal11"/>
              <w:jc w:val="center"/>
              <w:rPr>
                <w:noProof/>
              </w:rPr>
            </w:pPr>
            <w:r>
              <w:rPr>
                <w:noProof/>
              </w:rPr>
              <w:t>300</w:t>
            </w:r>
          </w:p>
        </w:tc>
        <w:tc>
          <w:tcPr>
            <w:tcW w:w="979" w:type="dxa"/>
            <w:shd w:val="clear" w:color="auto" w:fill="C6EFCE"/>
            <w:noWrap/>
            <w:vAlign w:val="center"/>
            <w:hideMark/>
          </w:tcPr>
          <w:p w14:paraId="2F0067FA" w14:textId="77777777" w:rsidR="00154E32" w:rsidRDefault="00A43E04">
            <w:pPr>
              <w:pStyle w:val="P68B1DB1-Normal11"/>
              <w:jc w:val="center"/>
              <w:rPr>
                <w:noProof/>
              </w:rPr>
            </w:pPr>
            <w:r>
              <w:rPr>
                <w:noProof/>
              </w:rPr>
              <w:t>Q4</w:t>
            </w:r>
          </w:p>
        </w:tc>
        <w:tc>
          <w:tcPr>
            <w:tcW w:w="648" w:type="dxa"/>
            <w:shd w:val="clear" w:color="auto" w:fill="C6EFCE"/>
            <w:noWrap/>
            <w:vAlign w:val="center"/>
            <w:hideMark/>
          </w:tcPr>
          <w:p w14:paraId="3DA1A448" w14:textId="77777777" w:rsidR="00154E32" w:rsidRDefault="00A43E04">
            <w:pPr>
              <w:pStyle w:val="P68B1DB1-Normal11"/>
              <w:jc w:val="center"/>
              <w:rPr>
                <w:noProof/>
              </w:rPr>
            </w:pPr>
            <w:r>
              <w:rPr>
                <w:noProof/>
              </w:rPr>
              <w:t>2022</w:t>
            </w:r>
          </w:p>
        </w:tc>
        <w:tc>
          <w:tcPr>
            <w:tcW w:w="2977" w:type="dxa"/>
            <w:shd w:val="clear" w:color="auto" w:fill="C6EFCE"/>
            <w:noWrap/>
            <w:vAlign w:val="center"/>
            <w:hideMark/>
          </w:tcPr>
          <w:p w14:paraId="7D283C6A" w14:textId="77777777" w:rsidR="00154E32" w:rsidRDefault="00A43E04">
            <w:pPr>
              <w:pStyle w:val="P68B1DB1-Normal11"/>
              <w:rPr>
                <w:noProof/>
              </w:rPr>
            </w:pPr>
            <w:r>
              <w:rPr>
                <w:noProof/>
              </w:rPr>
              <w:t>Dodelitev vsaj 300 raziskovalnih štipendij študentom. Izbirni postopek za dodelitev vključuje merila za upravičenost, ki zagotavljajo, da so izbrani projekti skladni s tehničnimi smernicami, da se ne škoduje bistveno (2021/C58/01), in sicer z uporabo seznama za izključitev in zahtevo po skladnosti z ustrezno okoljsko zakonodajo EU in nacionalno okoljsko zakonodajo.</w:t>
            </w:r>
          </w:p>
          <w:p w14:paraId="0BA29BAF" w14:textId="77777777" w:rsidR="00154E32" w:rsidRDefault="00154E32">
            <w:pPr>
              <w:rPr>
                <w:rFonts w:ascii="Arial Narrow" w:hAnsi="Arial Narrow"/>
                <w:noProof/>
                <w:color w:val="006100"/>
                <w:sz w:val="20"/>
              </w:rPr>
            </w:pPr>
          </w:p>
          <w:p w14:paraId="117BE76B" w14:textId="7234F17B" w:rsidR="00154E32" w:rsidRDefault="00A43E04">
            <w:pPr>
              <w:pStyle w:val="P68B1DB1-Normal11"/>
              <w:rPr>
                <w:noProof/>
              </w:rPr>
            </w:pPr>
            <w:r>
              <w:rPr>
                <w:noProof/>
              </w:rPr>
              <w:t>Pri zadovoljivem izpolnjevanju cilja se bo upoštevalo tudi, da je sklenjenih vsaj 300 mladih raziskovalcev.</w:t>
            </w:r>
          </w:p>
        </w:tc>
      </w:tr>
      <w:tr w:rsidR="00154E32" w14:paraId="45CF462A" w14:textId="77777777">
        <w:trPr>
          <w:trHeight w:val="1065"/>
          <w:jc w:val="center"/>
        </w:trPr>
        <w:tc>
          <w:tcPr>
            <w:tcW w:w="1503" w:type="dxa"/>
            <w:shd w:val="clear" w:color="auto" w:fill="C6EFCE"/>
            <w:noWrap/>
            <w:vAlign w:val="center"/>
            <w:hideMark/>
          </w:tcPr>
          <w:p w14:paraId="45E6CBC3" w14:textId="77777777" w:rsidR="00154E32" w:rsidRDefault="00A43E04">
            <w:pPr>
              <w:pStyle w:val="P68B1DB1-Normal11"/>
              <w:jc w:val="center"/>
              <w:rPr>
                <w:rFonts w:eastAsia="Calibri"/>
                <w:noProof/>
              </w:rPr>
            </w:pPr>
            <w:r>
              <w:rPr>
                <w:noProof/>
              </w:rPr>
              <w:t>M4C2–1 bis</w:t>
            </w:r>
          </w:p>
        </w:tc>
        <w:tc>
          <w:tcPr>
            <w:tcW w:w="1596" w:type="dxa"/>
            <w:shd w:val="clear" w:color="auto" w:fill="C6EFCE"/>
            <w:noWrap/>
            <w:vAlign w:val="center"/>
            <w:hideMark/>
          </w:tcPr>
          <w:p w14:paraId="4223D0A1" w14:textId="77777777" w:rsidR="00154E32" w:rsidRDefault="00A43E04">
            <w:pPr>
              <w:pStyle w:val="P68B1DB1-Normal11"/>
              <w:jc w:val="center"/>
              <w:rPr>
                <w:noProof/>
              </w:rPr>
            </w:pPr>
            <w:r>
              <w:rPr>
                <w:noProof/>
              </w:rPr>
              <w:t>Naložba 1.2: Financiranje projektov, ki so jih predstavili mladi raziskovalci</w:t>
            </w:r>
          </w:p>
          <w:p w14:paraId="730793B1" w14:textId="77777777" w:rsidR="00154E32" w:rsidRDefault="00154E32">
            <w:pPr>
              <w:jc w:val="center"/>
              <w:rPr>
                <w:rFonts w:ascii="Arial Narrow" w:hAnsi="Arial Narrow"/>
                <w:noProof/>
                <w:color w:val="006100"/>
                <w:sz w:val="20"/>
              </w:rPr>
            </w:pPr>
          </w:p>
        </w:tc>
        <w:tc>
          <w:tcPr>
            <w:tcW w:w="1416" w:type="dxa"/>
            <w:shd w:val="clear" w:color="auto" w:fill="C6EFCE"/>
            <w:noWrap/>
            <w:vAlign w:val="center"/>
            <w:hideMark/>
          </w:tcPr>
          <w:p w14:paraId="68EDE13C" w14:textId="1E39A0E3" w:rsidR="00154E32" w:rsidRDefault="00A43E04">
            <w:pPr>
              <w:pStyle w:val="P68B1DB1-Normal11"/>
              <w:jc w:val="center"/>
              <w:rPr>
                <w:noProof/>
              </w:rPr>
            </w:pPr>
            <w:r>
              <w:rPr>
                <w:noProof/>
              </w:rPr>
              <w:t>Tarča</w:t>
            </w:r>
          </w:p>
        </w:tc>
        <w:tc>
          <w:tcPr>
            <w:tcW w:w="1362" w:type="dxa"/>
            <w:shd w:val="clear" w:color="auto" w:fill="C6EFCE"/>
            <w:noWrap/>
            <w:vAlign w:val="center"/>
            <w:hideMark/>
          </w:tcPr>
          <w:p w14:paraId="08E69876" w14:textId="77777777" w:rsidR="00154E32" w:rsidRDefault="00A43E04">
            <w:pPr>
              <w:pStyle w:val="P68B1DB1-Normal11"/>
              <w:jc w:val="center"/>
              <w:rPr>
                <w:rFonts w:eastAsia="Calibri"/>
                <w:noProof/>
              </w:rPr>
            </w:pPr>
            <w:r>
              <w:rPr>
                <w:noProof/>
              </w:rPr>
              <w:t>Število študentov, ki so prejeli štipendijo za raziskave</w:t>
            </w:r>
          </w:p>
          <w:p w14:paraId="11739C4B" w14:textId="77777777" w:rsidR="00154E32" w:rsidRDefault="00154E32">
            <w:pPr>
              <w:jc w:val="center"/>
              <w:rPr>
                <w:rFonts w:ascii="Arial Narrow" w:eastAsia="Calibri" w:hAnsi="Arial Narrow"/>
                <w:noProof/>
                <w:color w:val="006100"/>
                <w:sz w:val="20"/>
              </w:rPr>
            </w:pPr>
          </w:p>
        </w:tc>
        <w:tc>
          <w:tcPr>
            <w:tcW w:w="1607" w:type="dxa"/>
            <w:shd w:val="clear" w:color="auto" w:fill="C6EFCE"/>
            <w:noWrap/>
            <w:vAlign w:val="center"/>
            <w:hideMark/>
          </w:tcPr>
          <w:p w14:paraId="755A751F" w14:textId="23FE1AF7" w:rsidR="00154E32" w:rsidRDefault="00A43E04">
            <w:pPr>
              <w:pStyle w:val="P68B1DB1-Normal11"/>
              <w:jc w:val="center"/>
              <w:rPr>
                <w:noProof/>
              </w:rPr>
            </w:pPr>
            <w:r>
              <w:rPr>
                <w:noProof/>
              </w:rPr>
              <w:t>JIH NI</w:t>
            </w:r>
          </w:p>
        </w:tc>
        <w:tc>
          <w:tcPr>
            <w:tcW w:w="1008" w:type="dxa"/>
            <w:shd w:val="clear" w:color="auto" w:fill="C6EFCE"/>
            <w:noWrap/>
            <w:vAlign w:val="center"/>
            <w:hideMark/>
          </w:tcPr>
          <w:p w14:paraId="46249849" w14:textId="0B341B03" w:rsidR="00154E32" w:rsidRDefault="00A43E04">
            <w:pPr>
              <w:pStyle w:val="P68B1DB1-Normal11"/>
              <w:jc w:val="center"/>
              <w:rPr>
                <w:noProof/>
              </w:rPr>
            </w:pPr>
            <w:r>
              <w:rPr>
                <w:noProof/>
              </w:rPr>
              <w:t>Število</w:t>
            </w:r>
          </w:p>
        </w:tc>
        <w:tc>
          <w:tcPr>
            <w:tcW w:w="991" w:type="dxa"/>
            <w:shd w:val="clear" w:color="auto" w:fill="C6EFCE"/>
            <w:noWrap/>
            <w:vAlign w:val="center"/>
            <w:hideMark/>
          </w:tcPr>
          <w:p w14:paraId="04F303C9" w14:textId="77777777" w:rsidR="00154E32" w:rsidRDefault="00A43E04">
            <w:pPr>
              <w:pStyle w:val="P68B1DB1-Normal11"/>
              <w:jc w:val="center"/>
              <w:rPr>
                <w:noProof/>
              </w:rPr>
            </w:pPr>
            <w:r>
              <w:rPr>
                <w:noProof/>
              </w:rPr>
              <w:t>300</w:t>
            </w:r>
          </w:p>
        </w:tc>
        <w:tc>
          <w:tcPr>
            <w:tcW w:w="792" w:type="dxa"/>
            <w:shd w:val="clear" w:color="auto" w:fill="C6EFCE"/>
            <w:noWrap/>
            <w:vAlign w:val="center"/>
            <w:hideMark/>
          </w:tcPr>
          <w:p w14:paraId="79E4F2A2" w14:textId="77777777" w:rsidR="00154E32" w:rsidRDefault="00A43E04">
            <w:pPr>
              <w:pStyle w:val="P68B1DB1-Normal11"/>
              <w:jc w:val="center"/>
              <w:rPr>
                <w:noProof/>
              </w:rPr>
            </w:pPr>
            <w:r>
              <w:rPr>
                <w:noProof/>
              </w:rPr>
              <w:t>850</w:t>
            </w:r>
          </w:p>
        </w:tc>
        <w:tc>
          <w:tcPr>
            <w:tcW w:w="979" w:type="dxa"/>
            <w:shd w:val="clear" w:color="auto" w:fill="C6EFCE"/>
            <w:noWrap/>
            <w:vAlign w:val="center"/>
            <w:hideMark/>
          </w:tcPr>
          <w:p w14:paraId="5F3D2F07" w14:textId="77777777" w:rsidR="00154E32" w:rsidRDefault="00A43E04">
            <w:pPr>
              <w:pStyle w:val="P68B1DB1-Normal11"/>
              <w:jc w:val="center"/>
              <w:rPr>
                <w:noProof/>
              </w:rPr>
            </w:pPr>
            <w:r>
              <w:rPr>
                <w:noProof/>
              </w:rPr>
              <w:t>Q2</w:t>
            </w:r>
          </w:p>
        </w:tc>
        <w:tc>
          <w:tcPr>
            <w:tcW w:w="648" w:type="dxa"/>
            <w:shd w:val="clear" w:color="auto" w:fill="C6EFCE"/>
            <w:noWrap/>
            <w:vAlign w:val="center"/>
            <w:hideMark/>
          </w:tcPr>
          <w:p w14:paraId="49421B40" w14:textId="77777777" w:rsidR="00154E32" w:rsidRDefault="00A43E04">
            <w:pPr>
              <w:pStyle w:val="P68B1DB1-Normal11"/>
              <w:jc w:val="center"/>
              <w:rPr>
                <w:noProof/>
              </w:rPr>
            </w:pPr>
            <w:r>
              <w:rPr>
                <w:noProof/>
              </w:rPr>
              <w:t>2025</w:t>
            </w:r>
          </w:p>
        </w:tc>
        <w:tc>
          <w:tcPr>
            <w:tcW w:w="2977" w:type="dxa"/>
            <w:shd w:val="clear" w:color="auto" w:fill="C6EFCE"/>
            <w:noWrap/>
            <w:vAlign w:val="center"/>
            <w:hideMark/>
          </w:tcPr>
          <w:p w14:paraId="081C3BD2" w14:textId="05C513C2" w:rsidR="00154E32" w:rsidRDefault="00A43E04">
            <w:pPr>
              <w:pStyle w:val="P68B1DB1-Normal11"/>
              <w:rPr>
                <w:noProof/>
              </w:rPr>
            </w:pPr>
            <w:r>
              <w:rPr>
                <w:noProof/>
              </w:rPr>
              <w:t>Dodelitev vsaj 850 raziskovalnih štipendij študentom. Izbirni postopek za dodelitev nepovratnih sredstev za raziskave vključuje merila za upravičenost, ki zagotavljajo, da so izbrani projekti skladni s tehničnimi smernicami za načelo, da se ne škoduje bistveno (2021/C58/01), in sicer z uporabo seznama za izključitev in zahtevo po skladnosti z ustrezno okoljsko zakonodajo EU in nacionalno okoljsko zakonodajo.</w:t>
            </w:r>
          </w:p>
          <w:p w14:paraId="3E2FAB66" w14:textId="4E8E17A9" w:rsidR="00154E32" w:rsidRDefault="00A43E04">
            <w:pPr>
              <w:pStyle w:val="P68B1DB1-Normal11"/>
              <w:rPr>
                <w:noProof/>
              </w:rPr>
            </w:pPr>
            <w:r>
              <w:rPr>
                <w:noProof/>
              </w:rPr>
              <w:t>Pri zadovoljivem izpolnjevanju cilja se upošteva tudi, da je bilo sklenjenih vsaj 850 mladih raziskovalcev.</w:t>
            </w:r>
          </w:p>
        </w:tc>
      </w:tr>
      <w:tr w:rsidR="00154E32" w14:paraId="676776B2" w14:textId="77777777">
        <w:trPr>
          <w:trHeight w:val="309"/>
          <w:jc w:val="center"/>
        </w:trPr>
        <w:tc>
          <w:tcPr>
            <w:tcW w:w="1503" w:type="dxa"/>
            <w:shd w:val="clear" w:color="auto" w:fill="C6EFCE"/>
            <w:noWrap/>
            <w:vAlign w:val="center"/>
            <w:hideMark/>
          </w:tcPr>
          <w:p w14:paraId="3BC3987E" w14:textId="77777777" w:rsidR="00154E32" w:rsidRDefault="00A43E04">
            <w:pPr>
              <w:pStyle w:val="P68B1DB1-Normal11"/>
              <w:jc w:val="center"/>
              <w:rPr>
                <w:noProof/>
              </w:rPr>
            </w:pPr>
            <w:r>
              <w:rPr>
                <w:noProof/>
              </w:rPr>
              <w:t>M4C2–2</w:t>
            </w:r>
          </w:p>
        </w:tc>
        <w:tc>
          <w:tcPr>
            <w:tcW w:w="1596" w:type="dxa"/>
            <w:shd w:val="clear" w:color="auto" w:fill="C6EFCE"/>
            <w:noWrap/>
            <w:vAlign w:val="center"/>
            <w:hideMark/>
          </w:tcPr>
          <w:p w14:paraId="59BDEE71" w14:textId="77777777" w:rsidR="00154E32" w:rsidRDefault="00A43E04">
            <w:pPr>
              <w:pStyle w:val="P68B1DB1-Normal11"/>
              <w:jc w:val="center"/>
              <w:rPr>
                <w:noProof/>
              </w:rPr>
            </w:pPr>
            <w:r>
              <w:rPr>
                <w:noProof/>
              </w:rPr>
              <w:t>Naložba 2.2: Partnerstva na področju raziskav in inovacij – Obzorje Evropa</w:t>
            </w:r>
          </w:p>
        </w:tc>
        <w:tc>
          <w:tcPr>
            <w:tcW w:w="1416" w:type="dxa"/>
            <w:shd w:val="clear" w:color="auto" w:fill="C6EFCE"/>
            <w:noWrap/>
            <w:vAlign w:val="center"/>
            <w:hideMark/>
          </w:tcPr>
          <w:p w14:paraId="667148A1" w14:textId="77777777" w:rsidR="00154E32" w:rsidRDefault="00A43E04">
            <w:pPr>
              <w:pStyle w:val="P68B1DB1-Normal11"/>
              <w:jc w:val="center"/>
              <w:rPr>
                <w:noProof/>
              </w:rPr>
            </w:pPr>
            <w:r>
              <w:rPr>
                <w:noProof/>
              </w:rPr>
              <w:t>Tarča</w:t>
            </w:r>
          </w:p>
        </w:tc>
        <w:tc>
          <w:tcPr>
            <w:tcW w:w="1362" w:type="dxa"/>
            <w:shd w:val="clear" w:color="auto" w:fill="C6EFCE"/>
            <w:noWrap/>
            <w:vAlign w:val="center"/>
            <w:hideMark/>
          </w:tcPr>
          <w:p w14:paraId="22FC31B1" w14:textId="77777777" w:rsidR="00154E32" w:rsidRDefault="00A43E04">
            <w:pPr>
              <w:pStyle w:val="P68B1DB1-Normal11"/>
              <w:jc w:val="center"/>
              <w:rPr>
                <w:noProof/>
              </w:rPr>
            </w:pPr>
            <w:r>
              <w:rPr>
                <w:noProof/>
              </w:rPr>
              <w:t>Število projektov podjetij, ki so jim bila dodeljena sredstva</w:t>
            </w:r>
          </w:p>
        </w:tc>
        <w:tc>
          <w:tcPr>
            <w:tcW w:w="1607" w:type="dxa"/>
            <w:shd w:val="clear" w:color="auto" w:fill="C6EFCE"/>
            <w:noWrap/>
            <w:vAlign w:val="center"/>
            <w:hideMark/>
          </w:tcPr>
          <w:p w14:paraId="400B07AD" w14:textId="77777777" w:rsidR="00154E32" w:rsidRDefault="00A43E04">
            <w:pPr>
              <w:pStyle w:val="P68B1DB1-Normal11"/>
              <w:jc w:val="center"/>
              <w:rPr>
                <w:rFonts w:eastAsia="Calibri"/>
                <w:noProof/>
              </w:rPr>
            </w:pPr>
            <w:r>
              <w:rPr>
                <w:noProof/>
              </w:rPr>
              <w:t>JIH NI</w:t>
            </w:r>
          </w:p>
        </w:tc>
        <w:tc>
          <w:tcPr>
            <w:tcW w:w="1008" w:type="dxa"/>
            <w:shd w:val="clear" w:color="auto" w:fill="C6EFCE"/>
            <w:noWrap/>
            <w:vAlign w:val="center"/>
            <w:hideMark/>
          </w:tcPr>
          <w:p w14:paraId="0232506B" w14:textId="77777777" w:rsidR="00154E32" w:rsidRDefault="00A43E04">
            <w:pPr>
              <w:pStyle w:val="P68B1DB1-Normal11"/>
              <w:jc w:val="center"/>
              <w:rPr>
                <w:noProof/>
              </w:rPr>
            </w:pPr>
            <w:r>
              <w:rPr>
                <w:noProof/>
              </w:rPr>
              <w:t>Število</w:t>
            </w:r>
          </w:p>
        </w:tc>
        <w:tc>
          <w:tcPr>
            <w:tcW w:w="991" w:type="dxa"/>
            <w:shd w:val="clear" w:color="auto" w:fill="C6EFCE"/>
            <w:noWrap/>
            <w:vAlign w:val="center"/>
            <w:hideMark/>
          </w:tcPr>
          <w:p w14:paraId="5F43C0CE" w14:textId="77777777" w:rsidR="00154E32" w:rsidRDefault="00A43E04">
            <w:pPr>
              <w:pStyle w:val="P68B1DB1-Normal11"/>
              <w:jc w:val="center"/>
              <w:rPr>
                <w:noProof/>
              </w:rPr>
            </w:pPr>
            <w:r>
              <w:rPr>
                <w:noProof/>
              </w:rPr>
              <w:t>11</w:t>
            </w:r>
          </w:p>
        </w:tc>
        <w:tc>
          <w:tcPr>
            <w:tcW w:w="792" w:type="dxa"/>
            <w:shd w:val="clear" w:color="auto" w:fill="C6EFCE"/>
            <w:noWrap/>
            <w:vAlign w:val="center"/>
            <w:hideMark/>
          </w:tcPr>
          <w:p w14:paraId="454897EC" w14:textId="2722FFB4" w:rsidR="00154E32" w:rsidRDefault="00A43E04">
            <w:pPr>
              <w:pStyle w:val="P68B1DB1-Normal11"/>
              <w:jc w:val="center"/>
              <w:rPr>
                <w:noProof/>
              </w:rPr>
            </w:pPr>
            <w:r>
              <w:rPr>
                <w:noProof/>
              </w:rPr>
              <w:t>205</w:t>
            </w:r>
          </w:p>
        </w:tc>
        <w:tc>
          <w:tcPr>
            <w:tcW w:w="979" w:type="dxa"/>
            <w:shd w:val="clear" w:color="auto" w:fill="C6EFCE"/>
            <w:noWrap/>
            <w:vAlign w:val="center"/>
            <w:hideMark/>
          </w:tcPr>
          <w:p w14:paraId="0CF91799" w14:textId="77777777" w:rsidR="00154E32" w:rsidRDefault="00A43E04">
            <w:pPr>
              <w:pStyle w:val="P68B1DB1-Normal11"/>
              <w:jc w:val="center"/>
              <w:rPr>
                <w:noProof/>
              </w:rPr>
            </w:pPr>
            <w:r>
              <w:rPr>
                <w:noProof/>
              </w:rPr>
              <w:t>Q4</w:t>
            </w:r>
          </w:p>
        </w:tc>
        <w:tc>
          <w:tcPr>
            <w:tcW w:w="648" w:type="dxa"/>
            <w:shd w:val="clear" w:color="auto" w:fill="C6EFCE"/>
            <w:noWrap/>
            <w:vAlign w:val="center"/>
            <w:hideMark/>
          </w:tcPr>
          <w:p w14:paraId="4B0AFA69" w14:textId="77777777" w:rsidR="00154E32" w:rsidRDefault="00A43E04">
            <w:pPr>
              <w:pStyle w:val="P68B1DB1-Normal11"/>
              <w:jc w:val="center"/>
              <w:rPr>
                <w:noProof/>
              </w:rPr>
            </w:pPr>
            <w:r>
              <w:rPr>
                <w:noProof/>
              </w:rPr>
              <w:t>2025</w:t>
            </w:r>
          </w:p>
        </w:tc>
        <w:tc>
          <w:tcPr>
            <w:tcW w:w="2977" w:type="dxa"/>
            <w:shd w:val="clear" w:color="auto" w:fill="C6EFCE"/>
            <w:noWrap/>
            <w:vAlign w:val="center"/>
            <w:hideMark/>
          </w:tcPr>
          <w:p w14:paraId="7F355FF6" w14:textId="77777777" w:rsidR="00154E32" w:rsidRDefault="00A43E04">
            <w:pPr>
              <w:pStyle w:val="P68B1DB1-Normal11"/>
              <w:rPr>
                <w:noProof/>
              </w:rPr>
            </w:pPr>
            <w:r>
              <w:rPr>
                <w:noProof/>
              </w:rPr>
              <w:t>Dodeli se najmanj 205 projektov. Izbirni postopek za dodelitev vključuje naslednje:</w:t>
            </w:r>
          </w:p>
          <w:p w14:paraId="3DAF6E0F" w14:textId="77777777" w:rsidR="00154E32" w:rsidRDefault="00A43E04">
            <w:pPr>
              <w:pStyle w:val="P68B1DB1-Normal11"/>
              <w:rPr>
                <w:noProof/>
              </w:rPr>
            </w:pPr>
            <w:r>
              <w:rPr>
                <w:noProof/>
              </w:rPr>
              <w:t>merila za upravičenost, ki zagotavljajo, da so izbrani projekti skladni s tehničnimi smernicami, da se ne škoduje bistveno (2021/C58/01), z uporabo seznama za izključitev in zahtevo po skladnosti z ustrezno okoljsko zakonodajo EU in nacionalno okoljsko zakonodajo.</w:t>
            </w:r>
          </w:p>
          <w:p w14:paraId="0E1DFB83" w14:textId="77777777" w:rsidR="00154E32" w:rsidRDefault="00A43E04">
            <w:pPr>
              <w:pStyle w:val="P68B1DB1-Normal11"/>
              <w:rPr>
                <w:noProof/>
              </w:rPr>
            </w:pPr>
            <w:r>
              <w:rPr>
                <w:noProof/>
              </w:rPr>
              <w:t>b) zaveza, da bo podnebni prispevek naložbe v skladu z metodologijo iz Priloge VI k Uredbi (EU) 2021/241 predstavljal vsaj 60 % skupnih stroškov naložbe, ki jo podpira mehanizem za okrevanje in odpornost.</w:t>
            </w:r>
          </w:p>
          <w:p w14:paraId="2F467DB3" w14:textId="77777777" w:rsidR="00154E32" w:rsidRDefault="00A43E04">
            <w:pPr>
              <w:pStyle w:val="P68B1DB1-Normal11"/>
              <w:rPr>
                <w:noProof/>
              </w:rPr>
            </w:pPr>
            <w:r>
              <w:rPr>
                <w:noProof/>
              </w:rPr>
              <w:t>C) zaveza, da digitalni prispevek naložbe v skladu z metodologijo iz Priloge VII k Uredbi (EU) 2021/241 predstavlja vsaj 40 % skupnih stroškov naložbe, ki jo podpira mehanizem za okrevanje in odpornost.</w:t>
            </w:r>
          </w:p>
          <w:p w14:paraId="3E50FCD7" w14:textId="77777777" w:rsidR="00154E32" w:rsidRDefault="00A43E04">
            <w:pPr>
              <w:pStyle w:val="P68B1DB1-Normal11"/>
              <w:rPr>
                <w:noProof/>
              </w:rPr>
            </w:pPr>
            <w:r>
              <w:rPr>
                <w:noProof/>
              </w:rPr>
              <w:t>d) zaveza za poročanje o izvajanju ukrepa na polovici trajanja sheme in konca sheme.</w:t>
            </w:r>
          </w:p>
          <w:p w14:paraId="4400A284" w14:textId="77777777" w:rsidR="00154E32" w:rsidRDefault="00154E32">
            <w:pPr>
              <w:rPr>
                <w:rFonts w:ascii="Arial Narrow" w:hAnsi="Arial Narrow"/>
                <w:noProof/>
                <w:color w:val="006100"/>
                <w:sz w:val="20"/>
              </w:rPr>
            </w:pPr>
          </w:p>
        </w:tc>
      </w:tr>
      <w:tr w:rsidR="00154E32" w14:paraId="6CDE79DE" w14:textId="77777777">
        <w:trPr>
          <w:trHeight w:val="309"/>
          <w:jc w:val="center"/>
        </w:trPr>
        <w:tc>
          <w:tcPr>
            <w:tcW w:w="1503" w:type="dxa"/>
            <w:shd w:val="clear" w:color="auto" w:fill="C6EFCE"/>
            <w:noWrap/>
            <w:vAlign w:val="center"/>
            <w:hideMark/>
          </w:tcPr>
          <w:p w14:paraId="07417537" w14:textId="77777777" w:rsidR="00154E32" w:rsidRDefault="00A43E04">
            <w:pPr>
              <w:pStyle w:val="P68B1DB1-Normal11"/>
              <w:jc w:val="center"/>
              <w:rPr>
                <w:noProof/>
              </w:rPr>
            </w:pPr>
            <w:r>
              <w:rPr>
                <w:noProof/>
              </w:rPr>
              <w:t>M4C2–3</w:t>
            </w:r>
          </w:p>
        </w:tc>
        <w:tc>
          <w:tcPr>
            <w:tcW w:w="1596" w:type="dxa"/>
            <w:shd w:val="clear" w:color="auto" w:fill="C6EFCE"/>
            <w:noWrap/>
            <w:vAlign w:val="center"/>
            <w:hideMark/>
          </w:tcPr>
          <w:p w14:paraId="753A7DB1" w14:textId="77777777" w:rsidR="00154E32" w:rsidRDefault="00A43E04">
            <w:pPr>
              <w:pStyle w:val="P68B1DB1-Normal11"/>
              <w:jc w:val="center"/>
              <w:rPr>
                <w:rFonts w:eastAsia="Calibri"/>
                <w:noProof/>
              </w:rPr>
            </w:pPr>
            <w:r>
              <w:rPr>
                <w:noProof/>
              </w:rPr>
              <w:t>Naložba 3.3: Uvedba inovativnih doktoratov, ki ustrezajo potrebam podjetij po inovacijah in spodbujajo zaposlovanje raziskovalcev s strani podjetij</w:t>
            </w:r>
          </w:p>
        </w:tc>
        <w:tc>
          <w:tcPr>
            <w:tcW w:w="1416" w:type="dxa"/>
            <w:shd w:val="clear" w:color="auto" w:fill="C6EFCE"/>
            <w:noWrap/>
            <w:vAlign w:val="center"/>
            <w:hideMark/>
          </w:tcPr>
          <w:p w14:paraId="5FF4F0C6" w14:textId="77777777" w:rsidR="00154E32" w:rsidRDefault="00A43E04">
            <w:pPr>
              <w:pStyle w:val="P68B1DB1-Normal11"/>
              <w:jc w:val="center"/>
              <w:rPr>
                <w:noProof/>
              </w:rPr>
            </w:pPr>
            <w:r>
              <w:rPr>
                <w:noProof/>
              </w:rPr>
              <w:t>Tarča</w:t>
            </w:r>
          </w:p>
        </w:tc>
        <w:tc>
          <w:tcPr>
            <w:tcW w:w="1362" w:type="dxa"/>
            <w:shd w:val="clear" w:color="auto" w:fill="C6EFCE"/>
            <w:noWrap/>
            <w:vAlign w:val="center"/>
            <w:hideMark/>
          </w:tcPr>
          <w:p w14:paraId="52C5D756" w14:textId="77777777" w:rsidR="00154E32" w:rsidRDefault="00A43E04">
            <w:pPr>
              <w:pStyle w:val="P68B1DB1-Normal11"/>
              <w:jc w:val="center"/>
              <w:rPr>
                <w:noProof/>
              </w:rPr>
            </w:pPr>
            <w:r>
              <w:rPr>
                <w:noProof/>
              </w:rPr>
              <w:t>Število štipendij za inovativne doktorske študijske programe</w:t>
            </w:r>
          </w:p>
        </w:tc>
        <w:tc>
          <w:tcPr>
            <w:tcW w:w="1607" w:type="dxa"/>
            <w:shd w:val="clear" w:color="auto" w:fill="C6EFCE"/>
            <w:noWrap/>
            <w:vAlign w:val="center"/>
            <w:hideMark/>
          </w:tcPr>
          <w:p w14:paraId="0AE2DE4E" w14:textId="77777777" w:rsidR="00154E32" w:rsidRDefault="00A43E04">
            <w:pPr>
              <w:pStyle w:val="P68B1DB1-Normal11"/>
              <w:jc w:val="center"/>
              <w:rPr>
                <w:noProof/>
              </w:rPr>
            </w:pPr>
            <w:r>
              <w:rPr>
                <w:noProof/>
              </w:rPr>
              <w:t>JIH NI</w:t>
            </w:r>
          </w:p>
        </w:tc>
        <w:tc>
          <w:tcPr>
            <w:tcW w:w="1008" w:type="dxa"/>
            <w:shd w:val="clear" w:color="auto" w:fill="C6EFCE"/>
            <w:noWrap/>
            <w:vAlign w:val="center"/>
            <w:hideMark/>
          </w:tcPr>
          <w:p w14:paraId="3CF70B4A" w14:textId="7A3FEC34" w:rsidR="00154E32" w:rsidRDefault="00A43E04">
            <w:pPr>
              <w:pStyle w:val="P68B1DB1-Normal11"/>
              <w:jc w:val="center"/>
              <w:rPr>
                <w:rFonts w:eastAsia="Calibri"/>
                <w:noProof/>
              </w:rPr>
            </w:pPr>
            <w:r>
              <w:rPr>
                <w:noProof/>
              </w:rPr>
              <w:t>Število</w:t>
            </w:r>
          </w:p>
        </w:tc>
        <w:tc>
          <w:tcPr>
            <w:tcW w:w="991" w:type="dxa"/>
            <w:shd w:val="clear" w:color="auto" w:fill="C6EFCE"/>
            <w:noWrap/>
            <w:vAlign w:val="center"/>
            <w:hideMark/>
          </w:tcPr>
          <w:p w14:paraId="6C78DCD6" w14:textId="77777777" w:rsidR="00154E32" w:rsidRDefault="00A43E04">
            <w:pPr>
              <w:pStyle w:val="P68B1DB1-Normal11"/>
              <w:jc w:val="center"/>
              <w:rPr>
                <w:noProof/>
              </w:rPr>
            </w:pPr>
            <w:r>
              <w:rPr>
                <w:noProof/>
              </w:rPr>
              <w:t>0</w:t>
            </w:r>
          </w:p>
        </w:tc>
        <w:tc>
          <w:tcPr>
            <w:tcW w:w="792" w:type="dxa"/>
            <w:shd w:val="clear" w:color="auto" w:fill="C6EFCE"/>
            <w:noWrap/>
            <w:vAlign w:val="center"/>
            <w:hideMark/>
          </w:tcPr>
          <w:p w14:paraId="73BCFE77" w14:textId="2FB9CD3B" w:rsidR="00154E32" w:rsidRDefault="00A43E04">
            <w:pPr>
              <w:pStyle w:val="P68B1DB1-Normal11"/>
              <w:jc w:val="center"/>
              <w:rPr>
                <w:noProof/>
              </w:rPr>
            </w:pPr>
            <w:r>
              <w:rPr>
                <w:noProof/>
              </w:rPr>
              <w:t>6 000</w:t>
            </w:r>
          </w:p>
        </w:tc>
        <w:tc>
          <w:tcPr>
            <w:tcW w:w="979" w:type="dxa"/>
            <w:shd w:val="clear" w:color="auto" w:fill="C6EFCE"/>
            <w:noWrap/>
            <w:vAlign w:val="center"/>
            <w:hideMark/>
          </w:tcPr>
          <w:p w14:paraId="347B1DD5" w14:textId="77777777" w:rsidR="00154E32" w:rsidRDefault="00A43E04">
            <w:pPr>
              <w:pStyle w:val="P68B1DB1-Normal11"/>
              <w:jc w:val="center"/>
              <w:rPr>
                <w:noProof/>
              </w:rPr>
            </w:pPr>
            <w:r>
              <w:rPr>
                <w:noProof/>
              </w:rPr>
              <w:t>Q4</w:t>
            </w:r>
          </w:p>
        </w:tc>
        <w:tc>
          <w:tcPr>
            <w:tcW w:w="648" w:type="dxa"/>
            <w:shd w:val="clear" w:color="auto" w:fill="C6EFCE"/>
            <w:noWrap/>
            <w:vAlign w:val="center"/>
            <w:hideMark/>
          </w:tcPr>
          <w:p w14:paraId="72343EEE" w14:textId="77777777" w:rsidR="00154E32" w:rsidRDefault="00A43E04">
            <w:pPr>
              <w:pStyle w:val="P68B1DB1-Normal11"/>
              <w:jc w:val="center"/>
              <w:rPr>
                <w:noProof/>
              </w:rPr>
            </w:pPr>
            <w:r>
              <w:rPr>
                <w:noProof/>
              </w:rPr>
              <w:t>2024</w:t>
            </w:r>
          </w:p>
        </w:tc>
        <w:tc>
          <w:tcPr>
            <w:tcW w:w="2977" w:type="dxa"/>
            <w:shd w:val="clear" w:color="auto" w:fill="C6EFCE"/>
            <w:noWrap/>
            <w:vAlign w:val="center"/>
            <w:hideMark/>
          </w:tcPr>
          <w:p w14:paraId="3250ED4C" w14:textId="41825C39" w:rsidR="00154E32" w:rsidRDefault="00A43E04">
            <w:pPr>
              <w:pStyle w:val="P68B1DB1-Normal11"/>
              <w:rPr>
                <w:noProof/>
              </w:rPr>
            </w:pPr>
            <w:r>
              <w:rPr>
                <w:noProof/>
              </w:rPr>
              <w:t>Podelitev vsaj 6000 doktorskih štipendij.</w:t>
            </w:r>
          </w:p>
          <w:p w14:paraId="65AC5912" w14:textId="77777777" w:rsidR="00154E32" w:rsidRDefault="00A43E04">
            <w:pPr>
              <w:pStyle w:val="P68B1DB1-Normal11"/>
              <w:rPr>
                <w:noProof/>
              </w:rPr>
            </w:pPr>
            <w:r>
              <w:rPr>
                <w:noProof/>
              </w:rPr>
              <w:t>Kritične zahteve za opredelitev inovativnih doktorskih programov vključujejo:</w:t>
            </w:r>
          </w:p>
          <w:p w14:paraId="1FE1E6ED" w14:textId="77777777" w:rsidR="00154E32" w:rsidRDefault="00A43E04">
            <w:pPr>
              <w:pStyle w:val="P68B1DB1-Normal11"/>
              <w:rPr>
                <w:noProof/>
              </w:rPr>
            </w:pPr>
            <w:r>
              <w:rPr>
                <w:noProof/>
              </w:rPr>
              <w:t>a) zajemajo disciplinska in tematska področja, ki so v smislu visoko usposobljenih osebnosti skladna s potrebami trga dela regij, vključenih v program;</w:t>
            </w:r>
          </w:p>
          <w:p w14:paraId="3864CE57" w14:textId="77777777" w:rsidR="00154E32" w:rsidRDefault="00A43E04">
            <w:pPr>
              <w:pStyle w:val="P68B1DB1-Normal11"/>
              <w:rPr>
                <w:noProof/>
              </w:rPr>
            </w:pPr>
            <w:r>
              <w:rPr>
                <w:noProof/>
              </w:rPr>
              <w:t>b) skupno trajajo tri leta;</w:t>
            </w:r>
          </w:p>
          <w:p w14:paraId="0E4CBAF2" w14:textId="77777777" w:rsidR="00154E32" w:rsidRDefault="00A43E04">
            <w:pPr>
              <w:pStyle w:val="P68B1DB1-Normal11"/>
              <w:rPr>
                <w:noProof/>
              </w:rPr>
            </w:pPr>
            <w:r>
              <w:rPr>
                <w:noProof/>
              </w:rPr>
              <w:t>C) zagotoviti izvajanje celotnega doktorskega, izobraževalnega, raziskovalnega in ocenjevalnega tečaja na upravnem in operativnem sedežu univerze upravičenke, ki se nahaja v ciljnih regijah programa, brez poseganja v študijska in raziskovalna obdobja v podjetju in v tujini, ki je načrtovan v skladu z dejavnostmi usposabljanja in raziskovanja, predvidenimi v pisarnah subjekta predlagatelja;</w:t>
            </w:r>
          </w:p>
          <w:p w14:paraId="30AC9980" w14:textId="77777777" w:rsidR="00154E32" w:rsidRDefault="00A43E04">
            <w:pPr>
              <w:pStyle w:val="P68B1DB1-Normal11"/>
              <w:rPr>
                <w:noProof/>
              </w:rPr>
            </w:pPr>
            <w:r>
              <w:rPr>
                <w:noProof/>
              </w:rPr>
              <w:t>d) določijo obdobja študija in raziskav v podjetju od najmanj šest (6) mesecev do največ osemnajst (18) mesecev;</w:t>
            </w:r>
          </w:p>
          <w:p w14:paraId="68899731" w14:textId="77777777" w:rsidR="00154E32" w:rsidRDefault="00A43E04">
            <w:pPr>
              <w:pStyle w:val="P68B1DB1-Normal11"/>
              <w:rPr>
                <w:noProof/>
              </w:rPr>
            </w:pPr>
            <w:r>
              <w:rPr>
                <w:noProof/>
              </w:rPr>
              <w:t>e) zagotovijo obdobja študija in raziskovanja v tujini od najmanj šestih (6) mesecev do največ osemnajst (18) mesecev;</w:t>
            </w:r>
          </w:p>
          <w:p w14:paraId="017A2EE3" w14:textId="77777777" w:rsidR="00154E32" w:rsidRDefault="00A43E04">
            <w:pPr>
              <w:pStyle w:val="P68B1DB1-Normal11"/>
              <w:rPr>
                <w:noProof/>
              </w:rPr>
            </w:pPr>
            <w:r>
              <w:rPr>
                <w:noProof/>
              </w:rPr>
              <w:t>F) zagotovijo, da lahko študent doktorskega študija uporablja kvalificirane in posebne operativne in znanstvene strukture v skladu z zakonom za študijske in raziskovalne dejavnosti, vključno z znanstvenimi laboratoriji, knjižnicami, podatkovnimi zbirkami itd. (če je to pomembno za vrsto tečaja);</w:t>
            </w:r>
          </w:p>
          <w:p w14:paraId="47656626" w14:textId="77777777" w:rsidR="00154E32" w:rsidRDefault="00A43E04">
            <w:pPr>
              <w:pStyle w:val="P68B1DB1-Normal11"/>
              <w:rPr>
                <w:noProof/>
              </w:rPr>
            </w:pPr>
            <w:r>
              <w:rPr>
                <w:noProof/>
              </w:rPr>
              <w:t>g) zagotoviti izvajanje didaktičnih dejavnosti za jezikovne in informacijske izboljšave, upravljanje raziskav in poznavanje evropskih in mednarodnih raziskovalnih sistemov, izboljšanje rezultatov raziskav in intelektualne lastnine;</w:t>
            </w:r>
          </w:p>
          <w:p w14:paraId="180C95AD" w14:textId="77777777" w:rsidR="00154E32" w:rsidRDefault="00A43E04">
            <w:pPr>
              <w:pStyle w:val="P68B1DB1-Normal11"/>
              <w:rPr>
                <w:noProof/>
              </w:rPr>
            </w:pPr>
            <w:r>
              <w:rPr>
                <w:noProof/>
              </w:rPr>
              <w:t>h) zagotoviti sodelovanje podjetij pri opredelitvi tečaja usposabljanja tudi v okviru širšega sodelovanja z Univerzo;</w:t>
            </w:r>
          </w:p>
          <w:p w14:paraId="35D6D2EF" w14:textId="77777777" w:rsidR="00154E32" w:rsidRDefault="00A43E04">
            <w:pPr>
              <w:pStyle w:val="P68B1DB1-Normal11"/>
              <w:rPr>
                <w:noProof/>
              </w:rPr>
            </w:pPr>
            <w:r>
              <w:rPr>
                <w:noProof/>
              </w:rPr>
              <w:t>I) zagotavljanje skladnosti s horizontalnimi načeli (okoljska trajnost; trajnostni razvoj; enakih možnosti in nediskriminacije; dostopnost za invalide).</w:t>
            </w:r>
          </w:p>
          <w:p w14:paraId="0D66E070" w14:textId="77777777" w:rsidR="00154E32" w:rsidRDefault="00154E32">
            <w:pPr>
              <w:rPr>
                <w:rFonts w:ascii="Arial Narrow" w:hAnsi="Arial Narrow"/>
                <w:noProof/>
                <w:color w:val="006100"/>
                <w:sz w:val="20"/>
              </w:rPr>
            </w:pPr>
          </w:p>
          <w:p w14:paraId="3EBCD259" w14:textId="77777777" w:rsidR="00154E32" w:rsidRDefault="00A43E04">
            <w:pPr>
              <w:pStyle w:val="P68B1DB1-Normal11"/>
              <w:rPr>
                <w:noProof/>
              </w:rPr>
            </w:pPr>
            <w:r>
              <w:rPr>
                <w:noProof/>
              </w:rPr>
              <w:t>Izbirni postopek vključuje merila za upravičenost, ki zagotavljajo, da so izbrani projekti skladni s tehničnimi smernicami, da se ne škoduje bistveno (2021/C58/01), in sicer z uporabo seznama za izključitev in zahtevo po skladnosti z ustrezno okoljsko zakonodajo EU in nacionalno okoljsko zakonodajo.</w:t>
            </w:r>
          </w:p>
        </w:tc>
      </w:tr>
      <w:tr w:rsidR="00154E32" w14:paraId="1FBEBA9C" w14:textId="77777777">
        <w:trPr>
          <w:trHeight w:val="309"/>
          <w:jc w:val="center"/>
        </w:trPr>
        <w:tc>
          <w:tcPr>
            <w:tcW w:w="1503" w:type="dxa"/>
            <w:shd w:val="clear" w:color="auto" w:fill="C6EFCE"/>
            <w:noWrap/>
            <w:vAlign w:val="center"/>
            <w:hideMark/>
          </w:tcPr>
          <w:p w14:paraId="2DF63C2D" w14:textId="77777777" w:rsidR="00154E32" w:rsidRDefault="00A43E04">
            <w:pPr>
              <w:pStyle w:val="P68B1DB1-Normal11"/>
              <w:jc w:val="center"/>
              <w:rPr>
                <w:noProof/>
              </w:rPr>
            </w:pPr>
            <w:r>
              <w:rPr>
                <w:noProof/>
              </w:rPr>
              <w:t>M4C2–4</w:t>
            </w:r>
          </w:p>
        </w:tc>
        <w:tc>
          <w:tcPr>
            <w:tcW w:w="1596" w:type="dxa"/>
            <w:shd w:val="clear" w:color="auto" w:fill="C6EFCE"/>
            <w:noWrap/>
            <w:vAlign w:val="center"/>
            <w:hideMark/>
          </w:tcPr>
          <w:p w14:paraId="5A6F4E02" w14:textId="77777777" w:rsidR="00154E32" w:rsidRDefault="00A43E04">
            <w:pPr>
              <w:pStyle w:val="P68B1DB1-Normal11"/>
              <w:jc w:val="center"/>
              <w:rPr>
                <w:noProof/>
              </w:rPr>
            </w:pPr>
            <w:r>
              <w:rPr>
                <w:noProof/>
              </w:rPr>
              <w:t>Reforma 1.1: Izvajanje podpornih ukrepov za raziskave in razvoj za spodbujanje poenostavitve in mobilnosti</w:t>
            </w:r>
          </w:p>
        </w:tc>
        <w:tc>
          <w:tcPr>
            <w:tcW w:w="1416" w:type="dxa"/>
            <w:shd w:val="clear" w:color="auto" w:fill="C6EFCE"/>
            <w:noWrap/>
            <w:vAlign w:val="center"/>
            <w:hideMark/>
          </w:tcPr>
          <w:p w14:paraId="7B107D63" w14:textId="77777777" w:rsidR="00154E32" w:rsidRDefault="00A43E04">
            <w:pPr>
              <w:pStyle w:val="P68B1DB1-Normal11"/>
              <w:jc w:val="center"/>
              <w:rPr>
                <w:noProof/>
              </w:rPr>
            </w:pPr>
            <w:r>
              <w:rPr>
                <w:noProof/>
              </w:rPr>
              <w:t>Mejnik</w:t>
            </w:r>
          </w:p>
        </w:tc>
        <w:tc>
          <w:tcPr>
            <w:tcW w:w="1362" w:type="dxa"/>
            <w:shd w:val="clear" w:color="auto" w:fill="C6EFCE"/>
            <w:noWrap/>
            <w:vAlign w:val="center"/>
            <w:hideMark/>
          </w:tcPr>
          <w:p w14:paraId="42A736ED" w14:textId="77777777" w:rsidR="00154E32" w:rsidRDefault="00A43E04">
            <w:pPr>
              <w:pStyle w:val="P68B1DB1-Normal11"/>
              <w:jc w:val="center"/>
              <w:rPr>
                <w:noProof/>
              </w:rPr>
            </w:pPr>
            <w:r>
              <w:rPr>
                <w:noProof/>
              </w:rPr>
              <w:t>Začetek veljavnosti ministrskih odlokov o poenostavitvi raziskav in razvoja ter mobilnosti, povezanih z običajnim finančnim skladom.</w:t>
            </w:r>
          </w:p>
        </w:tc>
        <w:tc>
          <w:tcPr>
            <w:tcW w:w="1607" w:type="dxa"/>
            <w:shd w:val="clear" w:color="auto" w:fill="C6EFCE"/>
            <w:noWrap/>
            <w:vAlign w:val="center"/>
            <w:hideMark/>
          </w:tcPr>
          <w:p w14:paraId="23F2F499" w14:textId="77777777" w:rsidR="00154E32" w:rsidRDefault="00A43E04">
            <w:pPr>
              <w:pStyle w:val="P68B1DB1-Normal11"/>
              <w:jc w:val="center"/>
              <w:rPr>
                <w:noProof/>
              </w:rPr>
            </w:pPr>
            <w:r>
              <w:rPr>
                <w:noProof/>
              </w:rPr>
              <w:t>Določba uredbe o začetku veljavnosti zakona</w:t>
            </w:r>
          </w:p>
        </w:tc>
        <w:tc>
          <w:tcPr>
            <w:tcW w:w="1008" w:type="dxa"/>
            <w:shd w:val="clear" w:color="auto" w:fill="C6EFCE"/>
            <w:noWrap/>
            <w:vAlign w:val="center"/>
            <w:hideMark/>
          </w:tcPr>
          <w:p w14:paraId="3A9E4489" w14:textId="77777777" w:rsidR="00154E32" w:rsidRDefault="00A43E04">
            <w:pPr>
              <w:pStyle w:val="P68B1DB1-Normal11"/>
              <w:jc w:val="center"/>
              <w:rPr>
                <w:noProof/>
              </w:rPr>
            </w:pPr>
            <w:r>
              <w:rPr>
                <w:noProof/>
              </w:rPr>
              <w:t>JIH NI</w:t>
            </w:r>
          </w:p>
        </w:tc>
        <w:tc>
          <w:tcPr>
            <w:tcW w:w="991" w:type="dxa"/>
            <w:shd w:val="clear" w:color="auto" w:fill="C6EFCE"/>
            <w:noWrap/>
            <w:vAlign w:val="center"/>
            <w:hideMark/>
          </w:tcPr>
          <w:p w14:paraId="64B80306" w14:textId="77777777" w:rsidR="00154E32" w:rsidRDefault="00A43E04">
            <w:pPr>
              <w:pStyle w:val="P68B1DB1-Normal11"/>
              <w:jc w:val="center"/>
              <w:rPr>
                <w:noProof/>
              </w:rPr>
            </w:pPr>
            <w:r>
              <w:rPr>
                <w:noProof/>
              </w:rPr>
              <w:t>JIH NI</w:t>
            </w:r>
          </w:p>
        </w:tc>
        <w:tc>
          <w:tcPr>
            <w:tcW w:w="792" w:type="dxa"/>
            <w:shd w:val="clear" w:color="auto" w:fill="C6EFCE"/>
            <w:noWrap/>
            <w:vAlign w:val="center"/>
            <w:hideMark/>
          </w:tcPr>
          <w:p w14:paraId="0258F36C" w14:textId="77777777" w:rsidR="00154E32" w:rsidRDefault="00154E32">
            <w:pPr>
              <w:jc w:val="center"/>
              <w:rPr>
                <w:rFonts w:ascii="Arial Narrow" w:hAnsi="Arial Narrow"/>
                <w:noProof/>
                <w:color w:val="006100"/>
                <w:sz w:val="20"/>
              </w:rPr>
            </w:pPr>
          </w:p>
        </w:tc>
        <w:tc>
          <w:tcPr>
            <w:tcW w:w="979" w:type="dxa"/>
            <w:shd w:val="clear" w:color="auto" w:fill="C6EFCE"/>
            <w:noWrap/>
            <w:vAlign w:val="center"/>
            <w:hideMark/>
          </w:tcPr>
          <w:p w14:paraId="297F1B7A" w14:textId="77777777" w:rsidR="00154E32" w:rsidRDefault="00A43E04">
            <w:pPr>
              <w:pStyle w:val="P68B1DB1-Normal11"/>
              <w:jc w:val="center"/>
              <w:rPr>
                <w:noProof/>
              </w:rPr>
            </w:pPr>
            <w:r>
              <w:rPr>
                <w:noProof/>
              </w:rPr>
              <w:t>Q2</w:t>
            </w:r>
          </w:p>
        </w:tc>
        <w:tc>
          <w:tcPr>
            <w:tcW w:w="648" w:type="dxa"/>
            <w:shd w:val="clear" w:color="auto" w:fill="C6EFCE"/>
            <w:noWrap/>
            <w:vAlign w:val="center"/>
            <w:hideMark/>
          </w:tcPr>
          <w:p w14:paraId="0C4DD55E" w14:textId="77777777" w:rsidR="00154E32" w:rsidRDefault="00A43E04">
            <w:pPr>
              <w:pStyle w:val="P68B1DB1-Normal11"/>
              <w:jc w:val="center"/>
              <w:rPr>
                <w:noProof/>
              </w:rPr>
            </w:pPr>
            <w:r>
              <w:rPr>
                <w:noProof/>
              </w:rPr>
              <w:t>2022</w:t>
            </w:r>
          </w:p>
        </w:tc>
        <w:tc>
          <w:tcPr>
            <w:tcW w:w="2977" w:type="dxa"/>
            <w:shd w:val="clear" w:color="auto" w:fill="C6EFCE"/>
            <w:noWrap/>
            <w:vAlign w:val="center"/>
            <w:hideMark/>
          </w:tcPr>
          <w:p w14:paraId="20FF2A8D" w14:textId="77777777" w:rsidR="00154E32" w:rsidRDefault="00A43E04">
            <w:pPr>
              <w:pStyle w:val="P68B1DB1-Normal11"/>
              <w:rPr>
                <w:noProof/>
              </w:rPr>
            </w:pPr>
            <w:r>
              <w:rPr>
                <w:noProof/>
              </w:rPr>
              <w:t>Ministrski odloki vsebujejo naslednje ključne elemente:</w:t>
            </w:r>
          </w:p>
          <w:p w14:paraId="78102DEC" w14:textId="77777777" w:rsidR="00154E32" w:rsidRDefault="00A43E04">
            <w:pPr>
              <w:pStyle w:val="P68B1DB1-Normal11"/>
              <w:rPr>
                <w:noProof/>
              </w:rPr>
            </w:pPr>
            <w:r>
              <w:rPr>
                <w:noProof/>
              </w:rPr>
              <w:t>I) prehod na bolj sistemski pristop k raziskovalnim in razvojnim dejavnostim z novim poenostavljenim modelom, katerega cilj je ustvariti pomemben učinek s preprečevanjem razpršenosti in razdrobljenosti prednostnih nalog; II) reforma zakonodaje za povečanje mobilnosti uglednih osebnosti (kot so raziskovalci in vodstveni delavci) med univerzami, raziskovalnimi infrastrukturami in podjetji; III) poenostavitev upravljanja skladov; reformirati poklicno pot raziskovalcev, da bi se bolj osredotočili na raziskovalne dejavnosti.</w:t>
            </w:r>
          </w:p>
        </w:tc>
      </w:tr>
    </w:tbl>
    <w:p w14:paraId="7309C085" w14:textId="77777777" w:rsidR="00154E32" w:rsidRDefault="00154E32">
      <w:pPr>
        <w:spacing w:before="120" w:after="120"/>
        <w:ind w:left="709"/>
        <w:jc w:val="both"/>
        <w:rPr>
          <w:noProof/>
        </w:rPr>
        <w:sectPr w:rsidR="00154E32" w:rsidSect="000D3774">
          <w:headerReference w:type="even" r:id="rId260"/>
          <w:headerReference w:type="default" r:id="rId261"/>
          <w:footerReference w:type="even" r:id="rId262"/>
          <w:footerReference w:type="default" r:id="rId263"/>
          <w:headerReference w:type="first" r:id="rId264"/>
          <w:footerReference w:type="first" r:id="rId265"/>
          <w:pgSz w:w="16839" w:h="11907" w:orient="landscape"/>
          <w:pgMar w:top="1134" w:right="1134" w:bottom="1134" w:left="1134" w:header="567" w:footer="567" w:gutter="0"/>
          <w:cols w:space="720"/>
          <w:docGrid w:linePitch="360"/>
        </w:sectPr>
      </w:pPr>
    </w:p>
    <w:p w14:paraId="1D3DA860" w14:textId="77777777" w:rsidR="00154E32" w:rsidRDefault="00A43E04">
      <w:pPr>
        <w:pStyle w:val="Heading3"/>
        <w:numPr>
          <w:ilvl w:val="0"/>
          <w:numId w:val="0"/>
        </w:numPr>
        <w:ind w:left="850" w:hanging="850"/>
        <w:rPr>
          <w:b/>
          <w:i w:val="0"/>
          <w:noProof/>
          <w:color w:val="4F81BD" w:themeColor="accent1"/>
          <w:u w:val="single"/>
        </w:rPr>
      </w:pPr>
      <w:r>
        <w:rPr>
          <w:b/>
          <w:i w:val="0"/>
          <w:noProof/>
          <w:u w:val="single"/>
        </w:rPr>
        <w:t xml:space="preserve">K.3. </w:t>
      </w:r>
      <w:r>
        <w:rPr>
          <w:noProof/>
        </w:rPr>
        <w:tab/>
      </w:r>
      <w:r>
        <w:rPr>
          <w:b/>
          <w:i w:val="0"/>
          <w:noProof/>
          <w:u w:val="single"/>
        </w:rPr>
        <w:t xml:space="preserve">Opis reform in naložb za posojilo </w:t>
      </w:r>
    </w:p>
    <w:p w14:paraId="61713175" w14:textId="77777777" w:rsidR="00154E32" w:rsidRDefault="00A43E04">
      <w:pPr>
        <w:pStyle w:val="P68B1DB1-Normal24"/>
        <w:spacing w:before="120" w:after="120"/>
        <w:jc w:val="both"/>
        <w:rPr>
          <w:rFonts w:eastAsia="Calibri"/>
          <w:noProof/>
        </w:rPr>
      </w:pPr>
      <w:r>
        <w:rPr>
          <w:noProof/>
        </w:rPr>
        <w:t>Naložba 1.1: Raziskovalni projekti pomembnega nacionalnega interesa (PRIN)</w:t>
      </w:r>
    </w:p>
    <w:p w14:paraId="4E833363" w14:textId="05CECCE5" w:rsidR="00154E32" w:rsidRDefault="00A43E04">
      <w:pPr>
        <w:pStyle w:val="P68B1DB1-Normal16"/>
        <w:spacing w:before="120" w:after="120"/>
        <w:jc w:val="both"/>
        <w:rPr>
          <w:rFonts w:eastAsia="Calibri"/>
          <w:noProof/>
        </w:rPr>
      </w:pPr>
      <w:r>
        <w:rPr>
          <w:noProof/>
        </w:rPr>
        <w:t>Ukrep zajema financiranje raziskovalnih projektov velikega nacionalnega interesa (PRIN). Projekti trajajo najmanj dve leti in zahtevajo sodelovanje raziskovalnih enot, ki pripadajo univerzam in raziskovalnim organom. Financirane projekte izbere ministrstvo za univerze in raziskave na podlagi kakovosti znanstvenega profila odgovornih ter izvirnosti, metodološke ustreznosti, vpliva in izvedljivosti raziskovalnega projekta. Ta vrsta dejavnosti spodbuja razvoj pobud, ki temeljijo na raziskavah, za pionirske raziskave in tesnejše sodelovanje med univerzami in raziskovalnimi ustanovami.</w:t>
      </w:r>
    </w:p>
    <w:p w14:paraId="1A574DA9" w14:textId="4118D93D" w:rsidR="00154E32" w:rsidRDefault="00A43E04">
      <w:pPr>
        <w:spacing w:before="120" w:after="120"/>
        <w:jc w:val="both"/>
        <w:rPr>
          <w:rFonts w:eastAsia="Calibri"/>
          <w:noProof/>
          <w:color w:val="000000" w:themeColor="text1"/>
        </w:rPr>
      </w:pPr>
      <w:r>
        <w:rPr>
          <w:noProof/>
          <w:color w:val="000000" w:themeColor="text1"/>
        </w:rPr>
        <w:t>Z naložbo naj bi se do leta 2026 financiralo</w:t>
      </w:r>
      <w:r>
        <w:rPr>
          <w:rFonts w:ascii="Arial Narrow" w:hAnsi="Arial Narrow"/>
          <w:noProof/>
          <w:color w:val="006100"/>
          <w:sz w:val="20"/>
        </w:rPr>
        <w:t xml:space="preserve"> </w:t>
      </w:r>
      <w:r>
        <w:rPr>
          <w:noProof/>
          <w:color w:val="000000" w:themeColor="text1"/>
        </w:rPr>
        <w:t>5350 projektov.</w:t>
      </w:r>
    </w:p>
    <w:p w14:paraId="224B0711" w14:textId="77777777" w:rsidR="00154E32" w:rsidRDefault="00A43E04">
      <w:pPr>
        <w:spacing w:before="120" w:after="120"/>
        <w:jc w:val="both"/>
        <w:rPr>
          <w:rFonts w:eastAsia="Calibri"/>
          <w:noProof/>
          <w:color w:val="000000" w:themeColor="text1"/>
        </w:rPr>
      </w:pPr>
      <w:r>
        <w:rPr>
          <w:noProof/>
          <w:color w:val="000000" w:themeColor="text1"/>
        </w:rPr>
        <w:t>Da se zagotovi skladnost ukrepa s tehničnimi smernicami za uporabo načela, da se ne škoduje bistveno (2021/C58/01), merila za upravičenost iz projektne naloge za prihodnje razpise za projekte ne vključujejo naslednjega seznama dejavnosti: (I) dejavnosti, povezane s fosilnimi gorivi, vključno z nadaljnjo uporabo</w:t>
      </w:r>
      <w:r>
        <w:rPr>
          <w:rStyle w:val="FootnoteReference"/>
          <w:rFonts w:eastAsia="Calibri"/>
          <w:noProof/>
          <w:color w:val="000000" w:themeColor="text1"/>
        </w:rPr>
        <w:footnoteReference w:id="79"/>
      </w:r>
      <w:r>
        <w:rPr>
          <w:noProof/>
          <w:color w:val="000000" w:themeColor="text1"/>
        </w:rPr>
        <w:t>; (II) dejavnosti v okviru sistema EU za trgovanje z emisijami (ETS), s katerimi se dosegajo predvidene emisije toplogrednih plinov, ki niso nižje od ustreznih referenčnih vrednosti</w:t>
      </w:r>
      <w:r>
        <w:rPr>
          <w:rStyle w:val="FootnoteReference"/>
          <w:rFonts w:eastAsia="Calibri"/>
          <w:noProof/>
          <w:color w:val="000000" w:themeColor="text1"/>
        </w:rPr>
        <w:footnoteReference w:id="80"/>
      </w:r>
      <w:r>
        <w:rPr>
          <w:noProof/>
          <w:color w:val="000000" w:themeColor="text1"/>
        </w:rPr>
        <w:t>; (III) dejavnosti, povezane z odlagališči odpadkov, sežigalnicami</w:t>
      </w:r>
      <w:r>
        <w:rPr>
          <w:rStyle w:val="FootnoteReference"/>
          <w:rFonts w:eastAsia="Calibri"/>
          <w:noProof/>
          <w:color w:val="000000" w:themeColor="text1"/>
        </w:rPr>
        <w:footnoteReference w:id="81"/>
      </w:r>
      <w:r>
        <w:rPr>
          <w:noProof/>
        </w:rPr>
        <w:t xml:space="preserve"> </w:t>
      </w:r>
      <w:r>
        <w:rPr>
          <w:noProof/>
          <w:color w:val="000000" w:themeColor="text1"/>
        </w:rPr>
        <w:t>in napravami za mehansko-biološko obdelavo</w:t>
      </w:r>
      <w:r>
        <w:rPr>
          <w:rStyle w:val="FootnoteReference"/>
          <w:rFonts w:eastAsia="Calibri"/>
          <w:noProof/>
          <w:color w:val="000000" w:themeColor="text1"/>
        </w:rPr>
        <w:footnoteReference w:id="82"/>
      </w:r>
      <w:r>
        <w:rPr>
          <w:noProof/>
          <w:color w:val="000000" w:themeColor="text1"/>
        </w:rPr>
        <w:t>; ter (iv) dejavnosti, pri katerih lahko dolgotrajno odstranjevanje odpadkov dolgoročno škoduje okolju. Poleg tega se zahteva, da se lahko izberejo samo dejavnosti, ki so skladne z ustrezno okoljsko zakonodajo EU in nacionalno okoljsko zakonodajo.</w:t>
      </w:r>
    </w:p>
    <w:p w14:paraId="335AD345" w14:textId="77777777" w:rsidR="00154E32" w:rsidRDefault="00A43E04">
      <w:pPr>
        <w:pStyle w:val="paragraph"/>
        <w:spacing w:before="120" w:beforeAutospacing="0" w:after="120" w:afterAutospacing="0"/>
        <w:jc w:val="both"/>
        <w:textAlignment w:val="baseline"/>
        <w:rPr>
          <w:rStyle w:val="eop"/>
          <w:rFonts w:eastAsiaTheme="majorEastAsia"/>
          <w:b/>
          <w:noProof/>
          <w:color w:val="000000" w:themeColor="text1"/>
          <w:shd w:val="clear" w:color="auto" w:fill="FFFFFF"/>
        </w:rPr>
      </w:pPr>
      <w:r>
        <w:rPr>
          <w:rStyle w:val="normaltextrun"/>
          <w:b/>
          <w:noProof/>
          <w:color w:val="000000" w:themeColor="text1"/>
          <w:shd w:val="clear" w:color="auto" w:fill="FFFFFF"/>
        </w:rPr>
        <w:t>Naložba 1.3: Partnerstva, razširjena na univerze, raziskovalna središča, podjetja in financiranje temeljnih raziskovalnih projektov</w:t>
      </w:r>
    </w:p>
    <w:p w14:paraId="3E67CB78" w14:textId="77777777" w:rsidR="00154E32" w:rsidRDefault="00A43E04">
      <w:pPr>
        <w:spacing w:before="120" w:after="120"/>
        <w:jc w:val="both"/>
        <w:rPr>
          <w:rFonts w:eastAsia="Calibri"/>
          <w:noProof/>
          <w:color w:val="000000" w:themeColor="text1"/>
        </w:rPr>
      </w:pPr>
      <w:r>
        <w:rPr>
          <w:noProof/>
          <w:color w:val="000000" w:themeColor="text1"/>
        </w:rPr>
        <w:t>V primerjavi z drugimi evropskimi primerljivimi državami se zdi nizka raven patentov in spin-off proizvodnje italijanskih raziskovalnih in univerzitetnih sistemov še posebej kritična</w:t>
      </w:r>
      <w:r>
        <w:rPr>
          <w:rStyle w:val="FootnoteReference"/>
          <w:rFonts w:eastAsia="Calibri"/>
          <w:noProof/>
          <w:color w:val="000000" w:themeColor="text1"/>
        </w:rPr>
        <w:footnoteReference w:id="83"/>
      </w:r>
      <w:r>
        <w:rPr>
          <w:noProof/>
        </w:rPr>
        <w:t>.</w:t>
      </w:r>
      <w:r>
        <w:rPr>
          <w:noProof/>
          <w:color w:val="000000" w:themeColor="text1"/>
        </w:rPr>
        <w:t xml:space="preserve"> To je posledica nekaterih strukturnih izzivov, kot so prevladujoča vloga malih in srednjih podjetij v nacionalnem gospodarstvu, velike regionalne razlike v dohodkih in produktivnosti ter nizka sposobnost univerz, da se povežejo s podjetji. </w:t>
      </w:r>
    </w:p>
    <w:p w14:paraId="2EF5866C" w14:textId="2D10D5BF" w:rsidR="00154E32" w:rsidRDefault="00A43E04">
      <w:pPr>
        <w:pStyle w:val="P68B1DB1-Normal16"/>
        <w:spacing w:before="120" w:after="120"/>
        <w:jc w:val="both"/>
        <w:rPr>
          <w:rFonts w:eastAsia="Calibri"/>
          <w:noProof/>
        </w:rPr>
      </w:pPr>
      <w:r>
        <w:rPr>
          <w:noProof/>
        </w:rPr>
        <w:t xml:space="preserve">Namen naložbe je financiranje vsaj 14 večjih temeljnih raziskovalnih programov, ki jih izvajajo široko razširjene mreže javnih in zasebnih subjektov. Naložba je usklajena z enim od ciljev PNR, tj. spodbujanjem pozitivnih sprememb s spodbujanjem temeljnih raziskav. Za vsak program se izvedejo namenski postopki sodelovanja deležnikov, da se vključijo državljani ter olajša prenos tehnologije in znanja na ozemlja, podjetja in javne uprave. </w:t>
      </w:r>
    </w:p>
    <w:p w14:paraId="1C32B02F" w14:textId="3E38B291" w:rsidR="00154E32" w:rsidRDefault="00A43E04">
      <w:pPr>
        <w:pStyle w:val="P68B1DB1-Normal16"/>
        <w:spacing w:before="120" w:after="120"/>
        <w:jc w:val="both"/>
        <w:rPr>
          <w:rFonts w:eastAsia="Calibri"/>
          <w:noProof/>
        </w:rPr>
      </w:pPr>
      <w:r>
        <w:rPr>
          <w:noProof/>
        </w:rPr>
        <w:t>Pričakuje se, da bodo naložbe okrepile nacionalne tehnološke verige in spodbujale njihovo sodelovanje v strateških evropskih in globalnih vrednostnih verigah. Možni primeri so naslednji: trajnostna mobilnost (trajnostne baterije, materiali, logistika itd.), alternativne energije, superprevodniki, spremljanje in preprečevanje podnebnih sprememb, krožno gospodarstvo v modni industriji, industrijska simbioza, okoljsko primerna zasnova in oblikovanje za trajnostnost, ravnanje z odpadki, recikliranje in recikliranje, biotska raznovrstnost, zeleni proizvodni procesi, samovozna vozila, cepiva, bioreaktorjev, nove surovine, gospodarjenje z vodo in ohranjanje vodnih virov.  Pričakuje se, da bo vsak program spodbujal združevanje malih in srednjih podjetij v okolici velikih zasebnih akterjev in javnih raziskovalnih središč ter spodbujal skupne in dopolnilne raziskovalne dejavnosti. Projekti raziskav in razvoja vključujejo naložbe v človeški kapital in osnovni razvoj raziskav za univerze, raziskovalna središča in podjetja. </w:t>
      </w:r>
    </w:p>
    <w:p w14:paraId="5F9DB178" w14:textId="77777777" w:rsidR="00154E32" w:rsidRDefault="00A43E04">
      <w:pPr>
        <w:spacing w:before="120" w:after="120"/>
        <w:jc w:val="both"/>
        <w:rPr>
          <w:rFonts w:eastAsia="Calibri"/>
          <w:noProof/>
          <w:color w:val="000000" w:themeColor="text1"/>
        </w:rPr>
      </w:pPr>
      <w:r>
        <w:rPr>
          <w:noProof/>
          <w:color w:val="000000" w:themeColor="text1"/>
        </w:rPr>
        <w:t>Za zagotovitev, da je ukrep skladen s tehničnimi smernicami, da se ne škoduje bistveno (2021/C58/01), merila za upravičenost iz opisa prihodnjih razpisov za programe izključujejo naslednji seznam dejavnosti: (I) dejavnosti, povezane s fosilnimi gorivi, vključno z nadaljnjo uporabo</w:t>
      </w:r>
      <w:r>
        <w:rPr>
          <w:rStyle w:val="FootnoteReference"/>
          <w:rFonts w:eastAsia="Calibri"/>
          <w:noProof/>
          <w:color w:val="000000" w:themeColor="text1"/>
        </w:rPr>
        <w:footnoteReference w:id="84"/>
      </w:r>
      <w:r>
        <w:rPr>
          <w:noProof/>
          <w:color w:val="000000" w:themeColor="text1"/>
        </w:rPr>
        <w:t>; (II) dejavnosti v okviru sistema EU za trgovanje z emisijami (ETS), s katerimi se dosegajo predvidene emisije toplogrednih plinov, ki niso nižje od ustreznih referenčnih vrednosti</w:t>
      </w:r>
      <w:r>
        <w:rPr>
          <w:rStyle w:val="FootnoteReference"/>
          <w:rFonts w:eastAsia="Calibri"/>
          <w:noProof/>
          <w:color w:val="000000" w:themeColor="text1"/>
        </w:rPr>
        <w:footnoteReference w:id="85"/>
      </w:r>
      <w:r>
        <w:rPr>
          <w:noProof/>
          <w:color w:val="000000" w:themeColor="text1"/>
        </w:rPr>
        <w:t>; (III) dejavnosti, povezane z odlagališči odpadkov, sežigalnicami</w:t>
      </w:r>
      <w:r>
        <w:rPr>
          <w:rStyle w:val="FootnoteReference"/>
          <w:rFonts w:eastAsia="Calibri"/>
          <w:noProof/>
          <w:color w:val="000000" w:themeColor="text1"/>
        </w:rPr>
        <w:footnoteReference w:id="86"/>
      </w:r>
      <w:r>
        <w:rPr>
          <w:noProof/>
          <w:color w:val="000000" w:themeColor="text1"/>
        </w:rPr>
        <w:t xml:space="preserve"> in napravami za mehansko-biološko obdelavo</w:t>
      </w:r>
      <w:r>
        <w:rPr>
          <w:rStyle w:val="FootnoteReference"/>
          <w:rFonts w:eastAsia="Calibri"/>
          <w:noProof/>
          <w:color w:val="000000" w:themeColor="text1"/>
        </w:rPr>
        <w:footnoteReference w:id="87"/>
      </w:r>
      <w:r>
        <w:rPr>
          <w:noProof/>
          <w:color w:val="000000" w:themeColor="text1"/>
        </w:rPr>
        <w:t>; ter (iv) dejavnosti, pri katerih lahko dolgotrajno odstranjevanje odpadkov dolgoročno škoduje okolju. Poleg tega se zahteva, da se lahko izberejo samo dejavnosti, ki so skladne z ustrezno okoljsko zakonodajo EU in nacionalno okoljsko zakonodajo. </w:t>
      </w:r>
    </w:p>
    <w:p w14:paraId="3FAE43DA" w14:textId="77777777" w:rsidR="00154E32" w:rsidRDefault="00A43E04">
      <w:pPr>
        <w:pStyle w:val="P68B1DB1-Normal24"/>
        <w:spacing w:before="120" w:after="120"/>
        <w:jc w:val="both"/>
        <w:rPr>
          <w:rFonts w:eastAsia="Calibri"/>
          <w:noProof/>
        </w:rPr>
      </w:pPr>
      <w:r>
        <w:rPr>
          <w:noProof/>
        </w:rPr>
        <w:t>Naložba 1.4: Krepitev raziskovalnih struktur in podpiranje oblikovanja „nacionalnih voditeljev na področju raziskav in razvoja“ na področju nekaterih ključnih omogočitvenih tehnologij</w:t>
      </w:r>
    </w:p>
    <w:p w14:paraId="1B6DD452" w14:textId="667305E9" w:rsidR="00154E32" w:rsidRDefault="00A43E04">
      <w:pPr>
        <w:pStyle w:val="P68B1DB1-Normal16"/>
        <w:spacing w:before="120" w:after="120"/>
        <w:jc w:val="both"/>
        <w:rPr>
          <w:rFonts w:eastAsia="Calibri"/>
          <w:noProof/>
        </w:rPr>
      </w:pPr>
      <w:r>
        <w:rPr>
          <w:noProof/>
        </w:rPr>
        <w:t>Namen tega ukrepa je financirati ustanovitev vsaj petih nacionalnih raziskovalnih središč, izbranih s konkurenčnimi postopki, ki lahko s sodelovanjem univerz, raziskovalnih središč in podjetij dosežejo kritično mejno vrednost raziskovalnih in inovacijskih zmogljivosti. Izbor se opravi na podlagi konkurenčnih razpisov, v katerih lahko sodelujejo nacionalni konzorciji, ki jih vodi vodja koordinatorja, pri čemer se upošteva tudi prejšnji pregled stanja.</w:t>
      </w:r>
    </w:p>
    <w:p w14:paraId="5F770443" w14:textId="57C02E9D" w:rsidR="00154E32" w:rsidRDefault="00A43E04">
      <w:pPr>
        <w:pStyle w:val="P68B1DB1-Normal16"/>
        <w:spacing w:before="120" w:after="120"/>
        <w:jc w:val="both"/>
        <w:rPr>
          <w:rFonts w:eastAsia="Calibri"/>
          <w:noProof/>
        </w:rPr>
      </w:pPr>
      <w:r>
        <w:rPr>
          <w:noProof/>
        </w:rPr>
        <w:t>Ključni elementi vsakega nacionalnega centra so a) vzpostavitev in obnova ustreznih raziskovalnih zmogljivosti, b) vključevanje zasebnih akterjev v izvajanje in izvajanje raziskovalnih projektov (c) podpora zagonskim podjetjem in odcepljenim generacijam. Izbor bi bilo treba izvesti z namenskimi razpisi, od katerih se prvi začne do začetka leta 2022. Izbira med predlogi za sodelovanje v razpisih se izvede na podoben način, kot ga je sprejel Evropski svet za inovacije.</w:t>
      </w:r>
    </w:p>
    <w:p w14:paraId="73EB5A33" w14:textId="14F424DA" w:rsidR="00154E32" w:rsidRDefault="00A43E04">
      <w:pPr>
        <w:spacing w:before="120" w:after="120"/>
        <w:jc w:val="both"/>
        <w:rPr>
          <w:rFonts w:eastAsia="Calibri"/>
          <w:noProof/>
          <w:color w:val="000000" w:themeColor="text1"/>
        </w:rPr>
      </w:pPr>
      <w:r>
        <w:rPr>
          <w:noProof/>
          <w:color w:val="000000" w:themeColor="text1"/>
        </w:rPr>
        <w:t>Da se zagotovi skladnost ukrepa s tehničnimi smernicami za uporabo načela, da se ne škoduje bistveno (2021/C58/01), merila za upravičenost iz projektne naloge za prihodnje razpise za projekte ne vključujejo naslednjega seznama dejavnosti: (I) dejavnosti, povezane s fosilnimi gorivi, vključno z nadaljnjo uporabo</w:t>
      </w:r>
      <w:r>
        <w:rPr>
          <w:rStyle w:val="FootnoteReference"/>
          <w:noProof/>
          <w:color w:val="000000" w:themeColor="text1"/>
        </w:rPr>
        <w:footnoteReference w:id="88"/>
      </w:r>
      <w:r>
        <w:rPr>
          <w:noProof/>
          <w:color w:val="000000" w:themeColor="text1"/>
        </w:rPr>
        <w:t>; (II) dejavnosti v okviru sistema EU za trgovanje z emisijami (ETS), s katerimi se dosegajo predvidene emisije toplogrednih plinov, ki niso nižje od ustreznih referenčnih vrednosti</w:t>
      </w:r>
      <w:r>
        <w:rPr>
          <w:rStyle w:val="FootnoteReference"/>
          <w:noProof/>
          <w:color w:val="000000" w:themeColor="text1"/>
        </w:rPr>
        <w:footnoteReference w:id="89"/>
      </w:r>
      <w:r>
        <w:rPr>
          <w:noProof/>
          <w:color w:val="000000" w:themeColor="text1"/>
        </w:rPr>
        <w:t>; (III) dejavnosti, povezane z odlagališči odpadkov, sežigalnicami</w:t>
      </w:r>
      <w:r>
        <w:rPr>
          <w:rStyle w:val="FootnoteReference"/>
          <w:noProof/>
          <w:color w:val="000000" w:themeColor="text1"/>
        </w:rPr>
        <w:footnoteReference w:id="90"/>
      </w:r>
      <w:r>
        <w:rPr>
          <w:noProof/>
          <w:color w:val="000000" w:themeColor="text1"/>
        </w:rPr>
        <w:t xml:space="preserve"> in napravami za mehansko-biološko obdelavo</w:t>
      </w:r>
      <w:r>
        <w:rPr>
          <w:rStyle w:val="FootnoteReference"/>
          <w:noProof/>
          <w:color w:val="000000" w:themeColor="text1"/>
        </w:rPr>
        <w:footnoteReference w:id="91"/>
      </w:r>
      <w:r>
        <w:rPr>
          <w:noProof/>
          <w:color w:val="000000" w:themeColor="text1"/>
        </w:rPr>
        <w:t>; ter (iv) dejavnosti, pri katerih lahko dolgotrajno odstranjevanje odpadkov dolgoročno škoduje okolju. Poleg tega se zahteva, da se lahko izberejo samo dejavnosti, ki so skladne z ustrezno okoljsko zakonodajo EU in nacionalno okoljsko zakonodajo.</w:t>
      </w:r>
    </w:p>
    <w:p w14:paraId="26F04AE5" w14:textId="77777777" w:rsidR="00154E32" w:rsidRDefault="00A43E04">
      <w:pPr>
        <w:pStyle w:val="P68B1DB1-Normal24"/>
        <w:spacing w:before="120" w:after="120"/>
        <w:jc w:val="both"/>
        <w:rPr>
          <w:rFonts w:eastAsia="Calibri"/>
          <w:noProof/>
        </w:rPr>
      </w:pPr>
      <w:r>
        <w:rPr>
          <w:noProof/>
        </w:rPr>
        <w:t xml:space="preserve">Naložba 1.5: Vzpostavitev in krepitev „inovacijskih ekosistemov za trajnostnost“, oblikovanje „ozemeljskih voditeljev raziskav in razvoja“. </w:t>
      </w:r>
    </w:p>
    <w:p w14:paraId="6B75EA1D" w14:textId="471C6E57" w:rsidR="00154E32" w:rsidRDefault="00A43E04">
      <w:pPr>
        <w:pStyle w:val="P68B1DB1-Normal16"/>
        <w:spacing w:before="120" w:after="120"/>
        <w:jc w:val="both"/>
        <w:rPr>
          <w:rFonts w:eastAsia="Calibri"/>
          <w:noProof/>
        </w:rPr>
      </w:pPr>
      <w:r>
        <w:rPr>
          <w:noProof/>
        </w:rPr>
        <w:t>Z ukrepom, ki ga izvaja MUR, se do leta 2026 financira vsaj 10 „teritorialnih vzorcev raziskav in inovacij“ (obstoječih ali novih), ki se izberejo na podlagi posebnih konkurenčnih postopkov, s poudarkom na zmogljivosti za spodbujanje projektov socialne trajnostnosti. Vsak projekt mora vsebovati naslednje elemente:(a) inovativne dejavnosti usposabljanja, ki jih v sinergiji izvajajo univerze in podjetja ter katerih cilj je zmanjšati neskladje med znanji in spretnostmi, ki jih zahtevajo podjetja, ter znanji in spretnostmi, ki jih zagotavljajo univerze in industrijski doktorati;(b) raziskovalne dejavnosti in/ali raziskovalne infrastrukture, ki jih skupaj izvajajo univerze in podjetja, zlasti MSP, ki delujejo na ozemlju;(c) podpora zagonskim podjetjem;(d) vključevanje lokalnih skupnosti v vprašanja inovacij in trajnosti.</w:t>
      </w:r>
    </w:p>
    <w:p w14:paraId="25A339D9" w14:textId="77777777" w:rsidR="00154E32" w:rsidRDefault="00A43E04">
      <w:pPr>
        <w:pStyle w:val="P68B1DB1-Normal16"/>
        <w:spacing w:before="120" w:after="120"/>
        <w:jc w:val="both"/>
        <w:rPr>
          <w:rFonts w:eastAsia="Calibri"/>
          <w:noProof/>
        </w:rPr>
      </w:pPr>
      <w:r>
        <w:rPr>
          <w:noProof/>
        </w:rPr>
        <w:t>Projekti, ki se financirajo, se izberejo na podlagi naslednjih meril: (I) znanstveno in tehnično kakovost ter njeno skladnost s teritorialno usmeritvijo; II) učinkovito sposobnost spodbujanja inovativnih zmogljivosti podjetij, zlasti MSP; sposobnost vzpostavljanja nacionalnih in mednarodnih odnosov z večjimi raziskovalnimi ustanovami in vodilnimi podjetji; (IV) učinkovito sposobnost vključevanja lokalnih skupnosti.</w:t>
      </w:r>
    </w:p>
    <w:p w14:paraId="01EEEF1C" w14:textId="618EA53D" w:rsidR="00154E32" w:rsidRDefault="00A43E04">
      <w:pPr>
        <w:spacing w:before="120" w:after="120"/>
        <w:jc w:val="both"/>
        <w:rPr>
          <w:rFonts w:eastAsiaTheme="minorEastAsia"/>
          <w:noProof/>
        </w:rPr>
      </w:pPr>
      <w:r>
        <w:rPr>
          <w:noProof/>
        </w:rPr>
        <w:t>Da se zagotovi skladnost ukrepa s tehničnimi smernicami za uporabo načela, da se ne škoduje bistveno (2021/C58/01), merila za upravičenost iz projektne naloge za prihodnje razpise za projekte ne vključujejo naslednjega seznama dejavnosti: (I) dejavnosti, povezane s fosilnimi gorivi, vključno z nadaljnjo uporabo</w:t>
      </w:r>
      <w:r>
        <w:rPr>
          <w:rStyle w:val="FootnoteReference"/>
          <w:noProof/>
        </w:rPr>
        <w:footnoteReference w:id="92"/>
      </w:r>
      <w:r>
        <w:rPr>
          <w:noProof/>
        </w:rPr>
        <w:t>; (II) dejavnosti v okviru sistema EU za trgovanje z emisijami (ETS), s katerimi se dosegajo predvidene emisije toplogrednih plinov, ki niso nižje od ustreznih referenčnih vrednosti</w:t>
      </w:r>
      <w:r>
        <w:rPr>
          <w:rStyle w:val="FootnoteReference"/>
          <w:noProof/>
        </w:rPr>
        <w:footnoteReference w:id="93"/>
      </w:r>
      <w:r>
        <w:rPr>
          <w:noProof/>
        </w:rPr>
        <w:t>; (III) dejavnosti, povezane z odlagališči odpadkov, sežigalnicami</w:t>
      </w:r>
      <w:r>
        <w:rPr>
          <w:rStyle w:val="FootnoteReference"/>
          <w:noProof/>
        </w:rPr>
        <w:footnoteReference w:id="94"/>
      </w:r>
      <w:r>
        <w:rPr>
          <w:noProof/>
        </w:rPr>
        <w:t xml:space="preserve"> in napravami za mehansko-biološko obdelavo</w:t>
      </w:r>
      <w:r>
        <w:rPr>
          <w:rStyle w:val="FootnoteReference"/>
          <w:noProof/>
        </w:rPr>
        <w:footnoteReference w:id="95"/>
      </w:r>
      <w:r>
        <w:rPr>
          <w:noProof/>
        </w:rPr>
        <w:t>; ter (iv) dejavnosti, pri katerih lahko dolgotrajno odstranjevanje odpadkov dolgoročno škoduje okolju. Poleg tega se zahteva, da se lahko izberejo samo dejavnosti, ki so skladne z ustrezno okoljsko zakonodajo EU in nacionalno okoljsko zakonodajo.</w:t>
      </w:r>
    </w:p>
    <w:p w14:paraId="4657BE44" w14:textId="77777777" w:rsidR="00154E32" w:rsidRDefault="00A43E04">
      <w:pPr>
        <w:pStyle w:val="P68B1DB1-Normal2"/>
        <w:spacing w:before="120" w:after="120"/>
        <w:jc w:val="both"/>
        <w:rPr>
          <w:rFonts w:eastAsia="Calibri"/>
          <w:noProof/>
        </w:rPr>
      </w:pPr>
      <w:r>
        <w:rPr>
          <w:noProof/>
        </w:rPr>
        <w:t>Naložba 2.1: Pomembni projekt skupnega evropskega interesa</w:t>
      </w:r>
    </w:p>
    <w:p w14:paraId="2F2B2048" w14:textId="77777777" w:rsidR="00154E32" w:rsidRDefault="00A43E04">
      <w:pPr>
        <w:spacing w:before="120" w:after="120" w:line="288" w:lineRule="auto"/>
        <w:jc w:val="both"/>
        <w:rPr>
          <w:rFonts w:eastAsiaTheme="minorEastAsia"/>
          <w:noProof/>
        </w:rPr>
      </w:pPr>
      <w:r>
        <w:rPr>
          <w:noProof/>
        </w:rPr>
        <w:t>Cilj ukrepa je dopolniti sedanji sklad pomembnih projektov skupnega evropskega interesa iz člena 1(232) zakona o proračunu za leto 2020 z dodatnimi sredstvi.</w:t>
      </w:r>
    </w:p>
    <w:p w14:paraId="24823204" w14:textId="77777777" w:rsidR="00154E32" w:rsidRDefault="00A43E04">
      <w:pPr>
        <w:spacing w:before="120" w:after="120"/>
        <w:jc w:val="both"/>
        <w:rPr>
          <w:rFonts w:eastAsia="Calibri"/>
          <w:noProof/>
        </w:rPr>
      </w:pPr>
      <w:r>
        <w:rPr>
          <w:noProof/>
        </w:rPr>
        <w:t>Da se zagotovi skladnost ukrepa s tehničnimi smernicami za uporabo načela, da se ne škoduje bistveno (2021/C58/01), merila za upravičenost iz projektne naloge za prihodnje razpise za projekte ne vključujejo naslednjega seznama dejavnosti: (I) dejavnosti, povezane s fosilnimi gorivi, vključno z nadaljnjo uporabo</w:t>
      </w:r>
      <w:r>
        <w:rPr>
          <w:rStyle w:val="FootnoteReference"/>
          <w:noProof/>
        </w:rPr>
        <w:footnoteReference w:id="96"/>
      </w:r>
      <w:r>
        <w:rPr>
          <w:noProof/>
        </w:rPr>
        <w:t>; (II) dejavnosti v okviru sistema EU za trgovanje z emisijami (ETS), s katerimi se dosegajo predvidene emisije toplogrednih plinov, ki niso nižje od ustreznih referenčnih vrednosti</w:t>
      </w:r>
      <w:r>
        <w:rPr>
          <w:rStyle w:val="FootnoteReference"/>
          <w:noProof/>
        </w:rPr>
        <w:footnoteReference w:id="97"/>
      </w:r>
      <w:r>
        <w:rPr>
          <w:noProof/>
        </w:rPr>
        <w:t>; (III) dejavnosti, povezane z odlagališči odpadkov, sežigalnicami</w:t>
      </w:r>
      <w:r>
        <w:rPr>
          <w:rStyle w:val="FootnoteReference"/>
          <w:noProof/>
        </w:rPr>
        <w:footnoteReference w:id="98"/>
      </w:r>
      <w:r>
        <w:rPr>
          <w:noProof/>
        </w:rPr>
        <w:t xml:space="preserve"> in napravami za mehansko-biološko obdelavo</w:t>
      </w:r>
      <w:r>
        <w:rPr>
          <w:rStyle w:val="FootnoteReference"/>
          <w:noProof/>
        </w:rPr>
        <w:footnoteReference w:id="99"/>
      </w:r>
      <w:r>
        <w:rPr>
          <w:noProof/>
        </w:rPr>
        <w:t>; ter (iv) dejavnosti, pri katerih lahko dolgotrajno odstranjevanje odpadkov dolgoročno škoduje okolju. Poleg tega se zahteva, da se lahko izberejo samo dejavnosti, ki so skladne z ustrezno okoljsko zakonodajo EU in nacionalno okoljsko zakonodajo.</w:t>
      </w:r>
    </w:p>
    <w:p w14:paraId="31C57E59" w14:textId="77777777" w:rsidR="00154E32" w:rsidRDefault="00A43E04">
      <w:pPr>
        <w:pStyle w:val="P68B1DB1-Normal2"/>
        <w:spacing w:before="120" w:after="120"/>
        <w:jc w:val="both"/>
        <w:rPr>
          <w:rFonts w:eastAsia="Calibri"/>
          <w:noProof/>
        </w:rPr>
      </w:pPr>
      <w:r>
        <w:rPr>
          <w:noProof/>
        </w:rPr>
        <w:t>Naložba 2.3: Krepitev in sektorska/ozemeljska razširitev centrov za prenos tehnologije po industrijskih segmentih</w:t>
      </w:r>
    </w:p>
    <w:p w14:paraId="008CED55" w14:textId="77777777" w:rsidR="00154E32" w:rsidRDefault="00A43E04">
      <w:pPr>
        <w:spacing w:before="120" w:after="120"/>
        <w:jc w:val="both"/>
        <w:rPr>
          <w:rFonts w:eastAsia="Calibri"/>
          <w:noProof/>
        </w:rPr>
      </w:pPr>
      <w:r>
        <w:rPr>
          <w:noProof/>
        </w:rPr>
        <w:t xml:space="preserve">Cilj ukrepa, ki ga izvaja MiMIT-Ministrstvo za podjetja in Made v Italiji, je podpreti, tudi s postopkom reorganizacije in racionalizacije, mrežo petdesetih centrov (kompetenčni centri, evropsko vozlišče za digitalne inovacije, pečat odličnosti, center za preskušanje in eksperimentiranje, nacionalni centri za digitalne inovacije), odgovornih za razvoj projektov, zagotavljanje naprednih tehnoloških storitev za podjetja ter inovativne in kvalificirane storitve prenosa tehnologije. Cilj postopka poenostavitve in racionalizacije centrov, ki ga zahteva ukrep, je povečati napredne tehnološke storitve za podjetja s poudarkom na najsodobnejših proizvodnih tehnologijah in specializacijah. </w:t>
      </w:r>
    </w:p>
    <w:p w14:paraId="397996EB" w14:textId="77777777" w:rsidR="00154E32" w:rsidRDefault="00A43E04">
      <w:pPr>
        <w:spacing w:before="120" w:after="120"/>
        <w:jc w:val="both"/>
        <w:rPr>
          <w:rFonts w:eastAsia="Calibri"/>
          <w:noProof/>
        </w:rPr>
      </w:pPr>
      <w:r>
        <w:rPr>
          <w:noProof/>
        </w:rPr>
        <w:t>Storitve, ki jih zagotavljajo centri, vključujejo: (I) digitalno ocenjevanje, ii) preizkus pred vlaganjem, iii) usposabljanje; IV) dostop do financiranja; (IV) finančno in operativno podporo za razvoj inovacijskih projektov (stopnja tehnološke pripravljenosti (TRL) več kot 5); (VI) tehnološko posredništvo; in vii) ozaveščanje na lokalni ravni.</w:t>
      </w:r>
    </w:p>
    <w:p w14:paraId="089F8254" w14:textId="77777777" w:rsidR="00154E32" w:rsidRDefault="00A43E04">
      <w:pPr>
        <w:spacing w:before="120" w:after="120"/>
        <w:jc w:val="both"/>
        <w:rPr>
          <w:rFonts w:eastAsia="Calibri"/>
          <w:noProof/>
        </w:rPr>
      </w:pPr>
      <w:r>
        <w:rPr>
          <w:noProof/>
        </w:rPr>
        <w:t>EDIH in TEF lahko za izvajanje svojih dejavnosti prejmeta sredstva iz drugih skladov EU, vključno s programom za digitalno Evropo</w:t>
      </w:r>
      <w:r>
        <w:rPr>
          <w:noProof/>
          <w:color w:val="D13438"/>
          <w:u w:val="single"/>
        </w:rPr>
        <w:t>.</w:t>
      </w:r>
      <w:r>
        <w:rPr>
          <w:noProof/>
        </w:rPr>
        <w:t xml:space="preserve">  </w:t>
      </w:r>
    </w:p>
    <w:p w14:paraId="6A577DFF" w14:textId="77777777" w:rsidR="00154E32" w:rsidRDefault="00A43E04">
      <w:pPr>
        <w:spacing w:before="120" w:after="120"/>
        <w:jc w:val="both"/>
        <w:rPr>
          <w:rFonts w:eastAsia="Calibri"/>
          <w:noProof/>
        </w:rPr>
      </w:pPr>
      <w:r>
        <w:rPr>
          <w:noProof/>
        </w:rPr>
        <w:t>Naložba je sestavljena iz dveh vrst intervencij:</w:t>
      </w:r>
    </w:p>
    <w:p w14:paraId="3989834B" w14:textId="77777777" w:rsidR="00154E32" w:rsidRDefault="00A43E04">
      <w:pPr>
        <w:spacing w:before="120" w:after="120"/>
        <w:jc w:val="both"/>
        <w:rPr>
          <w:rFonts w:eastAsia="Calibri"/>
          <w:noProof/>
        </w:rPr>
      </w:pPr>
      <w:r>
        <w:rPr>
          <w:noProof/>
        </w:rPr>
        <w:t xml:space="preserve">V okviru prve vrstice se iz mehanizma za okrevanje in odpornost financira izključno 35 centrov brez podpore iz drugih virov EU. </w:t>
      </w:r>
    </w:p>
    <w:p w14:paraId="6B7E9E0C" w14:textId="77777777" w:rsidR="00154E32" w:rsidRDefault="00A43E04">
      <w:pPr>
        <w:spacing w:before="120" w:after="120"/>
        <w:jc w:val="both"/>
        <w:rPr>
          <w:rFonts w:eastAsia="Calibri"/>
          <w:noProof/>
        </w:rPr>
      </w:pPr>
      <w:r>
        <w:rPr>
          <w:noProof/>
          <w:color w:val="000000" w:themeColor="text1"/>
        </w:rPr>
        <w:t xml:space="preserve">V okviru druge vrstice se </w:t>
      </w:r>
      <w:r>
        <w:rPr>
          <w:noProof/>
        </w:rPr>
        <w:t xml:space="preserve">iz mehanizma za okrevanje in odpornost financira del 13 </w:t>
      </w:r>
      <w:r>
        <w:rPr>
          <w:noProof/>
          <w:color w:val="000000" w:themeColor="text1"/>
        </w:rPr>
        <w:t xml:space="preserve">evropskih vozlišč za digitalne inovacije (EDIH) </w:t>
      </w:r>
      <w:r>
        <w:rPr>
          <w:noProof/>
        </w:rPr>
        <w:t xml:space="preserve"> </w:t>
      </w:r>
      <w:r>
        <w:rPr>
          <w:noProof/>
          <w:color w:val="000000" w:themeColor="text1"/>
        </w:rPr>
        <w:t>ter dveh objektov za testiranje in eksperimentiranje (TEF)</w:t>
      </w:r>
      <w:r>
        <w:rPr>
          <w:noProof/>
        </w:rPr>
        <w:t xml:space="preserve">, drugi delež stroškov pa izhaja iz programa za digitalno Evropo. Zlasti </w:t>
      </w:r>
      <w:r>
        <w:rPr>
          <w:noProof/>
          <w:color w:val="000000" w:themeColor="text1"/>
        </w:rPr>
        <w:t xml:space="preserve">delovanje 13 evropskih vozlišč za </w:t>
      </w:r>
      <w:r>
        <w:rPr>
          <w:noProof/>
        </w:rPr>
        <w:t xml:space="preserve">digitalne inovacije </w:t>
      </w:r>
      <w:r>
        <w:rPr>
          <w:noProof/>
          <w:color w:val="000000" w:themeColor="text1"/>
        </w:rPr>
        <w:t>in dveh TEF, ki se financirata iz mehanizma za okrevanje in odpornost ter programa za digitalno Evropo, mora biti strukturirano v delovne sklope</w:t>
      </w:r>
      <w:r>
        <w:rPr>
          <w:rStyle w:val="FootnoteReference"/>
          <w:noProof/>
          <w:color w:val="000000" w:themeColor="text1"/>
        </w:rPr>
        <w:footnoteReference w:id="100"/>
      </w:r>
      <w:r>
        <w:rPr>
          <w:noProof/>
          <w:color w:val="000000" w:themeColor="text1"/>
        </w:rPr>
        <w:t>. Podpora iz mehanizma za okrevanje in odpornost se ne nanaša na delovne sklope, za katere EDIH in TEF prejemata podporo v okviru programa za digitalno Evropo.</w:t>
      </w:r>
    </w:p>
    <w:p w14:paraId="645EF58B" w14:textId="5ED23132" w:rsidR="00154E32" w:rsidRDefault="00A43E04">
      <w:pPr>
        <w:pStyle w:val="P68B1DB1-Normal16"/>
        <w:spacing w:before="120" w:after="120"/>
        <w:jc w:val="both"/>
        <w:rPr>
          <w:noProof/>
        </w:rPr>
      </w:pPr>
      <w:r>
        <w:rPr>
          <w:noProof/>
        </w:rPr>
        <w:t>Da se zagotovi skladnost ukrepa s tehničnimi smernicami za uporabo načela, da se ne škoduje bistveno (2021/C58/01), merila za upravičenost iz projektne naloge za prihodnje razpise za projekte ne vključujejo naslednjega seznama dejavnosti: (I) dejavnosti, povezane s fosilnimi gorivi, vključno z nadaljnjo uporabo</w:t>
      </w:r>
      <w:r>
        <w:rPr>
          <w:noProof/>
        </w:rPr>
        <w:footnoteReference w:id="101"/>
      </w:r>
      <w:r>
        <w:rPr>
          <w:noProof/>
        </w:rPr>
        <w:t>; (II) dejavnosti v okviru sistema EU za trgovanje z emisijami (ETS), s katerimi se dosegajo predvidene emisije toplogrednih plinov, ki niso nižje od ustreznih referenčnih vrednosti</w:t>
      </w:r>
      <w:r>
        <w:rPr>
          <w:noProof/>
        </w:rPr>
        <w:footnoteReference w:id="102"/>
      </w:r>
      <w:r>
        <w:rPr>
          <w:noProof/>
        </w:rPr>
        <w:t>; (III) dejavnosti, povezane z odlagališči odpadkov, sežigalnicami</w:t>
      </w:r>
      <w:r>
        <w:rPr>
          <w:noProof/>
        </w:rPr>
        <w:footnoteReference w:id="103"/>
      </w:r>
      <w:r>
        <w:rPr>
          <w:noProof/>
        </w:rPr>
        <w:t xml:space="preserve"> in napravami za mehansko-biološko obdelavo</w:t>
      </w:r>
      <w:r>
        <w:rPr>
          <w:noProof/>
        </w:rPr>
        <w:footnoteReference w:id="104"/>
      </w:r>
      <w:r>
        <w:rPr>
          <w:noProof/>
        </w:rPr>
        <w:t>; ter (iv) dejavnosti, pri katerih lahko dolgotrajno odstranjevanje odpadkov dolgoročno škoduje okolju. V formalnih pogojih se poleg tega zahteva, da se lahko izberejo samo dejavnosti, ki so skladne z ustrezno okoljsko zakonodajo EU in nacionalno okoljsko zakonodajo.</w:t>
      </w:r>
    </w:p>
    <w:p w14:paraId="29FEC6B7" w14:textId="77777777" w:rsidR="00154E32" w:rsidRDefault="00A43E04">
      <w:pPr>
        <w:pStyle w:val="P68B1DB1-Normal2"/>
        <w:spacing w:before="120" w:after="120" w:line="288" w:lineRule="auto"/>
        <w:jc w:val="both"/>
        <w:rPr>
          <w:rFonts w:eastAsia="Calibri"/>
          <w:noProof/>
        </w:rPr>
      </w:pPr>
      <w:r>
        <w:rPr>
          <w:noProof/>
        </w:rPr>
        <w:t>Naložba 3.1: Sklad za izgradnjo integriranega sistema raziskovalnih in inovacijskih infrastruktur</w:t>
      </w:r>
    </w:p>
    <w:p w14:paraId="2E1A1F91" w14:textId="77777777" w:rsidR="00154E32" w:rsidRDefault="00A43E04">
      <w:pPr>
        <w:spacing w:before="120" w:after="120"/>
        <w:jc w:val="both"/>
        <w:rPr>
          <w:rFonts w:eastAsia="Calibri"/>
          <w:noProof/>
        </w:rPr>
      </w:pPr>
      <w:r>
        <w:rPr>
          <w:noProof/>
        </w:rPr>
        <w:t>Cilj sklada je olajšati osmozo med znanstvenimi spoznanji, pridobljenimi v visokokakovostnih raziskovalnih infrastrukturah, in gospodarskim sektorjem ter spodbujati inovacije. V ta namen ukrep, ki ga izvaja ministrstvo za univerze in raziskave MUR, podpira vzpostavitev raziskovalnih in inovacijskih infrastruktur, ki povezujejo industrijo in akademske kroge. Sklad za gradbeno in raziskovalno infrastrukturo na konkurenčni podlagi podpira vzpostavitev ali krepitev raziskovalnih infrastruktur evropskega pomena in namenskih inovacijskih infrastruktur, pri čemer spodbuja kombiniranje javnih in zasebnih naložb.</w:t>
      </w:r>
    </w:p>
    <w:p w14:paraId="3B39C349" w14:textId="77777777" w:rsidR="00154E32" w:rsidRDefault="00A43E04">
      <w:pPr>
        <w:spacing w:before="120" w:after="120"/>
        <w:jc w:val="both"/>
        <w:rPr>
          <w:rFonts w:eastAsia="Calibri"/>
          <w:noProof/>
        </w:rPr>
      </w:pPr>
      <w:r>
        <w:rPr>
          <w:noProof/>
        </w:rPr>
        <w:t>Ukrep zlasti financira vsaj 30 infrastrukturnih projektov (obstoječih ali na novo financiranih) z upravljavcem raziskav za vsako infrastrukturo.</w:t>
      </w:r>
    </w:p>
    <w:p w14:paraId="3205978B" w14:textId="77777777" w:rsidR="00154E32" w:rsidRDefault="00A43E04">
      <w:pPr>
        <w:spacing w:before="120" w:after="120"/>
        <w:jc w:val="both"/>
        <w:rPr>
          <w:noProof/>
          <w:color w:val="000000" w:themeColor="text1"/>
        </w:rPr>
      </w:pPr>
      <w:r>
        <w:rPr>
          <w:noProof/>
        </w:rPr>
        <w:t>Da se zagotovi skladnost ukrepa s tehničnimi smernicami za uporabo načela, da se ne škoduje bistveno (2021/C58/01), merila za upravičenost iz projektne naloge za prihodnje razpise za projekte ne vključujejo naslednjega seznama dejavnosti: (I) dejavnosti, povezane s fosilnimi gorivi, vključno z nadaljnjo uporabo</w:t>
      </w:r>
      <w:r>
        <w:rPr>
          <w:rStyle w:val="FootnoteReference"/>
          <w:noProof/>
        </w:rPr>
        <w:footnoteReference w:id="105"/>
      </w:r>
      <w:r>
        <w:rPr>
          <w:noProof/>
        </w:rPr>
        <w:t>; (II) dejavnosti v okviru sistema EU za trgovanje z emisijami (ETS), s katerimi se dosegajo predvidene emisije toplogrednih plinov, ki niso nižje od ustreznih referenčnih vrednosti</w:t>
      </w:r>
      <w:r>
        <w:rPr>
          <w:rStyle w:val="FootnoteReference"/>
          <w:noProof/>
        </w:rPr>
        <w:footnoteReference w:id="106"/>
      </w:r>
      <w:r>
        <w:rPr>
          <w:noProof/>
        </w:rPr>
        <w:t>; (III) dejavnosti, povezane z odlagališči odpadkov, sežigalnicami</w:t>
      </w:r>
      <w:r>
        <w:rPr>
          <w:rStyle w:val="FootnoteReference"/>
          <w:noProof/>
        </w:rPr>
        <w:footnoteReference w:id="107"/>
      </w:r>
      <w:r>
        <w:rPr>
          <w:noProof/>
        </w:rPr>
        <w:t xml:space="preserve"> in napravami za mehansko-biološko obdelavo</w:t>
      </w:r>
      <w:r>
        <w:rPr>
          <w:rStyle w:val="FootnoteReference"/>
          <w:noProof/>
        </w:rPr>
        <w:footnoteReference w:id="108"/>
      </w:r>
      <w:r>
        <w:rPr>
          <w:noProof/>
        </w:rPr>
        <w:t>; ter (iv) dejavnosti, pri katerih lahko dolgotrajno odstranjevanje odpadkov dolgoročno škoduje okolju. Poleg tega se zahteva, da se lahko izberejo samo dejavnosti, ki so skladne z ustrezno okoljsko zakonodajo EU in nacionalno okoljsko zakonodajo.</w:t>
      </w:r>
    </w:p>
    <w:p w14:paraId="05FCFA6F" w14:textId="65552FCF" w:rsidR="00154E32" w:rsidRDefault="00A43E04">
      <w:pPr>
        <w:pStyle w:val="P68B1DB1-Normal14"/>
        <w:spacing w:after="120"/>
        <w:jc w:val="both"/>
        <w:rPr>
          <w:noProof/>
        </w:rPr>
      </w:pPr>
      <w:r>
        <w:rPr>
          <w:noProof/>
        </w:rPr>
        <w:t>Naložba 3.2: Financiranje zagonskih podjetij, Sklad za digitalni prehod</w:t>
      </w:r>
    </w:p>
    <w:p w14:paraId="552037D5" w14:textId="5ADF11FA" w:rsidR="00154E32" w:rsidRDefault="00A43E04">
      <w:pPr>
        <w:spacing w:after="120"/>
        <w:jc w:val="both"/>
        <w:rPr>
          <w:noProof/>
        </w:rPr>
      </w:pPr>
      <w:r>
        <w:rPr>
          <w:noProof/>
        </w:rPr>
        <w:t xml:space="preserve">Ta ukrep zajema javne naložbe v mehanizem, tj. sklad za digitalni prehod, da bi spodbudili zasebne naložbe, izboljšali dostop do financiranja v italijanskem ekosistemu digitalnih zagonskih podjetij in razvili trg tveganega kapitala v tem sektorju. Instrument deluje tako, da neposredno ali </w:t>
      </w:r>
      <w:r>
        <w:rPr>
          <w:noProof/>
          <w:color w:val="000000" w:themeColor="text1"/>
        </w:rPr>
        <w:t>posredno zagotavlja podporo za lastniški ali</w:t>
      </w:r>
      <w:r>
        <w:rPr>
          <w:noProof/>
        </w:rPr>
        <w:t xml:space="preserve"> navidezni lastniški kapital. Zlasti v primeru neposrednih naložb DTF deluje tako, da zagonskim podjetjem zagotavlja podporo lastniškega ali navideznega lastniškega kapitala (kot zamenljivi vrednostni papirji); v primeru posrednih naložb SGR deluje s financiranjem skladov tretjih oseb (AIS – alternativni investicijski sklad), ki delujejo z zagotavljanjem lastniških ali navideznih lastniških, dolžniških ali navideznih dolžniških instrumentov. Na podlagi naložb iz mehanizma za okrevanje in odpornost je cilj mehanizma na začetku zagotoviti vsaj 400 000 000 EUR financiranja.</w:t>
      </w:r>
    </w:p>
    <w:p w14:paraId="500AD978" w14:textId="140A6A14" w:rsidR="00154E32" w:rsidRDefault="00A43E04">
      <w:pPr>
        <w:spacing w:after="120"/>
        <w:jc w:val="both"/>
        <w:rPr>
          <w:noProof/>
        </w:rPr>
      </w:pPr>
      <w:r>
        <w:rPr>
          <w:noProof/>
        </w:rPr>
        <w:t>Instrument upravlja SGR tveganega kapitala CDP kot izvajalski partner. DTF traja 15 let, da bi ustrezal trajanju skladov tretjih oseb, in vlaga v naslednje vrste produktov:</w:t>
      </w:r>
    </w:p>
    <w:p w14:paraId="4B45AA6F" w14:textId="3AC18D05" w:rsidR="00154E32" w:rsidRDefault="00A43E04">
      <w:pPr>
        <w:pStyle w:val="ListParagraph"/>
        <w:numPr>
          <w:ilvl w:val="0"/>
          <w:numId w:val="52"/>
        </w:numPr>
        <w:spacing w:before="0"/>
        <w:contextualSpacing w:val="0"/>
        <w:rPr>
          <w:noProof/>
        </w:rPr>
      </w:pPr>
      <w:r>
        <w:rPr>
          <w:noProof/>
        </w:rPr>
        <w:t>Podpora lastniškega kapitala ali navideznega lastniškega kapitala digitalnim zagonskim podjetjem (neposredno);</w:t>
      </w:r>
    </w:p>
    <w:p w14:paraId="4AA835FF" w14:textId="2E4BD38E" w:rsidR="00154E32" w:rsidRDefault="00A43E04">
      <w:pPr>
        <w:pStyle w:val="ListParagraph"/>
        <w:numPr>
          <w:ilvl w:val="0"/>
          <w:numId w:val="52"/>
        </w:numPr>
        <w:spacing w:before="0"/>
        <w:contextualSpacing w:val="0"/>
        <w:rPr>
          <w:noProof/>
        </w:rPr>
      </w:pPr>
      <w:r>
        <w:rPr>
          <w:noProof/>
        </w:rPr>
        <w:t>Podpora lastniškega ali navideznega lastniškega kapitala za sklade tveganega kapitala/sklade zasebnega kapitala (posredno);</w:t>
      </w:r>
    </w:p>
    <w:p w14:paraId="322C5107" w14:textId="77777777" w:rsidR="00154E32" w:rsidRDefault="00A43E04">
      <w:pPr>
        <w:pStyle w:val="ListParagraph"/>
        <w:numPr>
          <w:ilvl w:val="0"/>
          <w:numId w:val="52"/>
        </w:numPr>
        <w:spacing w:before="0"/>
        <w:contextualSpacing w:val="0"/>
        <w:rPr>
          <w:noProof/>
        </w:rPr>
      </w:pPr>
      <w:r>
        <w:rPr>
          <w:noProof/>
        </w:rPr>
        <w:t>Podpora v obliki lastniškega kapitala, navideznega lastniškega financiranja za programe inkubacije/pospeševanja.</w:t>
      </w:r>
    </w:p>
    <w:p w14:paraId="692D47C4" w14:textId="77777777" w:rsidR="00154E32" w:rsidRDefault="00A43E04">
      <w:pPr>
        <w:spacing w:after="120"/>
        <w:jc w:val="both"/>
        <w:rPr>
          <w:noProof/>
        </w:rPr>
      </w:pPr>
      <w:r>
        <w:rPr>
          <w:noProof/>
        </w:rPr>
        <w:t>MIMIT in SGR spremenita dejanski izvedbeni sporazum (v nadaljnjem</w:t>
      </w:r>
      <w:r>
        <w:rPr>
          <w:i/>
          <w:noProof/>
        </w:rPr>
        <w:t>besedilu: Accordo Finanziario</w:t>
      </w:r>
      <w:r>
        <w:rPr>
          <w:noProof/>
        </w:rPr>
        <w:t>) in pravila DTF, da se vključijo naslednje določbe:</w:t>
      </w:r>
    </w:p>
    <w:p w14:paraId="09271C53" w14:textId="77777777" w:rsidR="00154E32" w:rsidRDefault="00A43E04">
      <w:pPr>
        <w:pStyle w:val="LegalNumPar"/>
        <w:numPr>
          <w:ilvl w:val="0"/>
          <w:numId w:val="31"/>
        </w:numPr>
        <w:spacing w:after="120" w:line="240" w:lineRule="auto"/>
        <w:jc w:val="both"/>
        <w:rPr>
          <w:rFonts w:ascii="Times New Roman" w:eastAsia="Times New Roman" w:hAnsi="Times New Roman" w:cs="Times New Roman"/>
          <w:noProof/>
          <w:sz w:val="24"/>
        </w:rPr>
      </w:pPr>
      <w:r>
        <w:rPr>
          <w:rFonts w:ascii="Times New Roman" w:hAnsi="Times New Roman"/>
          <w:noProof/>
          <w:sz w:val="24"/>
        </w:rPr>
        <w:t>Opis postopka odločanja instrumenta: Končno odločitev o naložbah Sklada sprejme upravni odbor ali drug ustrezen enakovreden vodstveni organ in jo z večino glasov potrdijo člani, ki so neodvisni od vlade</w:t>
      </w:r>
      <w:r>
        <w:rPr>
          <w:rStyle w:val="FootnoteReference"/>
          <w:noProof/>
        </w:rPr>
        <w:footnoteReference w:id="109"/>
      </w:r>
      <w:r>
        <w:rPr>
          <w:rFonts w:ascii="Times New Roman" w:hAnsi="Times New Roman"/>
          <w:noProof/>
          <w:sz w:val="24"/>
        </w:rPr>
        <w:t>.</w:t>
      </w:r>
    </w:p>
    <w:p w14:paraId="3C7641C4" w14:textId="77777777" w:rsidR="00154E32" w:rsidRDefault="00A43E04">
      <w:pPr>
        <w:pStyle w:val="P68B1DB1-LegalNumPar27"/>
        <w:spacing w:after="120" w:line="240" w:lineRule="auto"/>
        <w:jc w:val="both"/>
        <w:rPr>
          <w:rFonts w:cs="Times New Roman"/>
          <w:noProof/>
        </w:rPr>
      </w:pPr>
      <w:r>
        <w:rPr>
          <w:noProof/>
        </w:rPr>
        <w:t>Ključne zahteve povezane naložbene politike,</w:t>
      </w:r>
      <w:r>
        <w:rPr>
          <w:b/>
          <w:noProof/>
        </w:rPr>
        <w:t xml:space="preserve"> </w:t>
      </w:r>
      <w:r>
        <w:rPr>
          <w:noProof/>
        </w:rPr>
        <w:t>ki vključujejo:</w:t>
      </w:r>
    </w:p>
    <w:p w14:paraId="1FC5DD16" w14:textId="77777777" w:rsidR="00154E32" w:rsidRDefault="00A43E04">
      <w:pPr>
        <w:pStyle w:val="P68B1DB1-LegalNumPar228"/>
        <w:spacing w:after="120" w:line="240" w:lineRule="auto"/>
        <w:jc w:val="both"/>
        <w:rPr>
          <w:rFonts w:cs="Times New Roman"/>
          <w:noProof/>
        </w:rPr>
      </w:pPr>
      <w:r>
        <w:rPr>
          <w:noProof/>
        </w:rPr>
        <w:t xml:space="preserve">Opis finančnih produktov in upravičenih končnih upravičencev. </w:t>
      </w:r>
    </w:p>
    <w:p w14:paraId="04BF6984" w14:textId="77777777" w:rsidR="00154E32" w:rsidRDefault="00A43E04">
      <w:pPr>
        <w:pStyle w:val="P68B1DB1-LegalNumPar228"/>
        <w:spacing w:after="120" w:line="240" w:lineRule="auto"/>
        <w:jc w:val="both"/>
        <w:rPr>
          <w:rFonts w:cs="Times New Roman"/>
          <w:noProof/>
        </w:rPr>
      </w:pPr>
      <w:r>
        <w:rPr>
          <w:noProof/>
        </w:rPr>
        <w:t>Zahteva, da so vse podprte naložbe ekonomsko upravičene</w:t>
      </w:r>
      <w:r>
        <w:rPr>
          <w:b/>
          <w:noProof/>
        </w:rPr>
        <w:t>.</w:t>
      </w:r>
    </w:p>
    <w:p w14:paraId="3E3F9C3C" w14:textId="77777777" w:rsidR="00154E32" w:rsidRDefault="00A43E04">
      <w:pPr>
        <w:pStyle w:val="P68B1DB1-LegalNumPar228"/>
        <w:spacing w:after="120" w:line="240" w:lineRule="auto"/>
        <w:jc w:val="both"/>
        <w:rPr>
          <w:rFonts w:eastAsia="Times New Roman" w:cs="Times New Roman"/>
          <w:noProof/>
        </w:rPr>
      </w:pPr>
      <w:r>
        <w:rPr>
          <w:noProof/>
        </w:rPr>
        <w:t>Zahtevo po skladnosti z načelom, da se ne škoduje bistveno, kot je določeno v tehničnih smernicah za načelo, da se ne škoduje bistveno (2021/C58/01). Zlasti v primeru splošne podpore zagonskim podjetjem naložbena politika izključuje podjetja s pomembnim poudarkom</w:t>
      </w:r>
      <w:r>
        <w:rPr>
          <w:noProof/>
        </w:rPr>
        <w:footnoteReference w:id="110"/>
      </w:r>
      <w:r>
        <w:rPr>
          <w:noProof/>
        </w:rPr>
        <w:t xml:space="preserve"> na naslednjih sektorjih: (I) proizvodnjo energije iz fosilnih goriv in z njo povezane dejavnosti</w:t>
      </w:r>
      <w:r>
        <w:rPr>
          <w:noProof/>
        </w:rPr>
        <w:footnoteReference w:id="111"/>
      </w:r>
      <w:r>
        <w:rPr>
          <w:noProof/>
        </w:rPr>
        <w:t>; (II) energetsko intenzivne industrije in/ali industrije z visokimi emisijami CO2</w:t>
      </w:r>
      <w:r>
        <w:rPr>
          <w:noProof/>
        </w:rPr>
        <w:footnoteReference w:id="112"/>
      </w:r>
      <w:r>
        <w:rPr>
          <w:noProof/>
        </w:rPr>
        <w:t>; (III) proizvodnjo, najem ali prodajo vozil, ki onesnažujejo okolje</w:t>
      </w:r>
      <w:r>
        <w:rPr>
          <w:noProof/>
        </w:rPr>
        <w:footnoteReference w:id="113"/>
      </w:r>
      <w:r>
        <w:rPr>
          <w:noProof/>
        </w:rPr>
        <w:t>; (IV) zbiranje, obdelava in odlaganje odpadkov</w:t>
      </w:r>
      <w:r>
        <w:rPr>
          <w:noProof/>
        </w:rPr>
        <w:footnoteReference w:id="114"/>
      </w:r>
      <w:r>
        <w:rPr>
          <w:noProof/>
        </w:rPr>
        <w:t>, (v) predelava jedrskega goriva, proizvodnja jedrske energije. Poleg tega se za naložbeno politiko zahteva</w:t>
      </w:r>
      <w:r>
        <w:rPr>
          <w:b/>
          <w:noProof/>
        </w:rPr>
        <w:t xml:space="preserve"> </w:t>
      </w:r>
      <w:r>
        <w:rPr>
          <w:noProof/>
        </w:rPr>
        <w:t>skladnost končnih upravičencev instrumenta z ustrezno okoljsko zakonodajo EU in nacionalno okoljsko zakonodajo.</w:t>
      </w:r>
    </w:p>
    <w:p w14:paraId="295974E0" w14:textId="77777777" w:rsidR="00154E32" w:rsidRDefault="00A43E04">
      <w:pPr>
        <w:pStyle w:val="P68B1DB1-LegalNumPar228"/>
        <w:spacing w:after="120" w:line="240" w:lineRule="auto"/>
        <w:jc w:val="both"/>
        <w:rPr>
          <w:rFonts w:cs="Times New Roman"/>
          <w:noProof/>
        </w:rPr>
      </w:pPr>
      <w:r>
        <w:rPr>
          <w:noProof/>
        </w:rPr>
        <w:t>Zahteva, da končni upravičenci Instrumenta ne prejmejo podpore iz drugih instrumentov Unije za kritje istih stroškov.</w:t>
      </w:r>
    </w:p>
    <w:p w14:paraId="67E58F5D" w14:textId="77777777" w:rsidR="00154E32" w:rsidRDefault="00A43E04">
      <w:pPr>
        <w:pStyle w:val="P68B1DB1-LegalNumPar27"/>
        <w:spacing w:after="120" w:line="240" w:lineRule="auto"/>
        <w:jc w:val="both"/>
        <w:rPr>
          <w:rFonts w:cs="Times New Roman"/>
          <w:noProof/>
        </w:rPr>
      </w:pPr>
      <w:r>
        <w:rPr>
          <w:noProof/>
        </w:rPr>
        <w:t>Znesek, zajet v izvedbenem sporazumu, strukturo pristojbin za izvajalskega partnerja in zahtevo po ponovnem vlaganju vrnjenih sredstev v skladu z naložbeno politiko Sklada za spodbujanje naložb.</w:t>
      </w:r>
    </w:p>
    <w:p w14:paraId="6CB9C264" w14:textId="77777777" w:rsidR="00154E32" w:rsidRDefault="00A43E04">
      <w:pPr>
        <w:pStyle w:val="P68B1DB1-LegalNumPar27"/>
        <w:spacing w:after="120" w:line="240" w:lineRule="auto"/>
        <w:jc w:val="both"/>
        <w:rPr>
          <w:rFonts w:cs="Times New Roman"/>
          <w:noProof/>
        </w:rPr>
      </w:pPr>
      <w:r>
        <w:rPr>
          <w:noProof/>
        </w:rPr>
        <w:t>Zahteve glede spremljanja, revizije in nadzora, vključno z:</w:t>
      </w:r>
    </w:p>
    <w:p w14:paraId="2D636DD7" w14:textId="77777777" w:rsidR="00154E32" w:rsidRDefault="00A43E04">
      <w:pPr>
        <w:numPr>
          <w:ilvl w:val="0"/>
          <w:numId w:val="53"/>
        </w:numPr>
        <w:spacing w:after="120"/>
        <w:jc w:val="both"/>
        <w:rPr>
          <w:noProof/>
        </w:rPr>
      </w:pPr>
      <w:r>
        <w:rPr>
          <w:noProof/>
        </w:rPr>
        <w:t>Opis sistema spremljanja izvajalskega partnerja za poročanje o mobiliziranih naložbah.</w:t>
      </w:r>
    </w:p>
    <w:p w14:paraId="5A79A027" w14:textId="38D243B6" w:rsidR="00154E32" w:rsidRDefault="00A43E04">
      <w:pPr>
        <w:numPr>
          <w:ilvl w:val="0"/>
          <w:numId w:val="53"/>
        </w:numPr>
        <w:spacing w:after="120"/>
        <w:jc w:val="both"/>
        <w:rPr>
          <w:noProof/>
        </w:rPr>
      </w:pPr>
      <w:r>
        <w:rPr>
          <w:noProof/>
        </w:rPr>
        <w:t xml:space="preserve">Opis postopkov izvajalskega partnerja, ki zagotavljajo preprečevanje, odkrivanje in odpravljanje goljufij, korupcije in nasprotij interesov. </w:t>
      </w:r>
    </w:p>
    <w:p w14:paraId="0701EA36" w14:textId="77777777" w:rsidR="00154E32" w:rsidRDefault="00A43E04">
      <w:pPr>
        <w:numPr>
          <w:ilvl w:val="0"/>
          <w:numId w:val="53"/>
        </w:numPr>
        <w:spacing w:after="120"/>
        <w:jc w:val="both"/>
        <w:rPr>
          <w:noProof/>
        </w:rPr>
      </w:pPr>
      <w:r>
        <w:rPr>
          <w:noProof/>
        </w:rPr>
        <w:t>Obveznost preverjanja upravičenosti vsake operacije v skladu z zahtevami iz izvedbenega sporazuma, preden se zaveže k financiranju operacije.</w:t>
      </w:r>
    </w:p>
    <w:p w14:paraId="6F82DEA0" w14:textId="77777777" w:rsidR="00154E32" w:rsidRDefault="00A43E04">
      <w:pPr>
        <w:numPr>
          <w:ilvl w:val="0"/>
          <w:numId w:val="53"/>
        </w:numPr>
        <w:spacing w:after="120"/>
        <w:jc w:val="both"/>
        <w:rPr>
          <w:noProof/>
        </w:rPr>
      </w:pPr>
      <w:r>
        <w:rPr>
          <w:noProof/>
        </w:rPr>
        <w:t xml:space="preserve">Obveznost izvajanja naknadnih revizij na podlagi tveganja v skladu z revizijskim načrtom SGR. S temi revizijami se preveri i) učinkovitost kontrolnih sistemov, vključno z odkrivanjem goljufij, korupcije in navzkrižja interesov; (II) skladnost z načelom, da se ne škoduje bistveno, pravili o državni pomoči in (iii) da se spoštuje zahteva, da končni upravičenci instrumenta niso prejeli podpore iz drugih instrumentov Unije za kritje istih stroškov. Z revizijami se preveri tudi zakonitost transakcij in spoštovanje pogojev iz veljavnega sporazuma o izvajanju in sporazumov o financiranju. </w:t>
      </w:r>
    </w:p>
    <w:p w14:paraId="0AA38522" w14:textId="77777777" w:rsidR="00154E32" w:rsidRDefault="00A43E04">
      <w:pPr>
        <w:numPr>
          <w:ilvl w:val="0"/>
          <w:numId w:val="25"/>
        </w:numPr>
        <w:spacing w:after="120"/>
        <w:ind w:left="720" w:hanging="360"/>
        <w:jc w:val="both"/>
        <w:rPr>
          <w:noProof/>
        </w:rPr>
      </w:pPr>
      <w:r>
        <w:rPr>
          <w:b/>
          <w:noProof/>
        </w:rPr>
        <w:t>Zahteve za izbiro lastniškega kapitala/dolžniških</w:t>
      </w:r>
      <w:r>
        <w:rPr>
          <w:noProof/>
        </w:rPr>
        <w:t xml:space="preserve"> </w:t>
      </w:r>
      <w:r>
        <w:rPr>
          <w:b/>
          <w:noProof/>
        </w:rPr>
        <w:t>skladov: Sklad za</w:t>
      </w:r>
      <w:r>
        <w:rPr>
          <w:noProof/>
        </w:rPr>
        <w:t xml:space="preserve">digitalni prehod izbere finančne posrednike na odprt, pregleden in nediskriminatoren način v skladu s sedanjo prakso, med drugim z objavo vseh zahtev in obrazcev za vlogo na spletiščih SGR in MIMIT. Kontrole v zvezi z odsotnostjo navzkrižja interesov pri finančnih posrednikih se izvajajo in izvajajo </w:t>
      </w:r>
      <w:r>
        <w:rPr>
          <w:i/>
          <w:noProof/>
        </w:rPr>
        <w:t>predhodno</w:t>
      </w:r>
      <w:r>
        <w:rPr>
          <w:noProof/>
        </w:rPr>
        <w:t xml:space="preserve"> za vse udeležene finančne udeležence. Odsotnost navzkrižja interesov se vedno nanaša na „končnega upravičenca“ instrumenta.</w:t>
      </w:r>
    </w:p>
    <w:p w14:paraId="3E371722" w14:textId="77777777" w:rsidR="00154E32" w:rsidRDefault="00A43E04">
      <w:pPr>
        <w:numPr>
          <w:ilvl w:val="0"/>
          <w:numId w:val="25"/>
        </w:numPr>
        <w:spacing w:after="120"/>
        <w:ind w:left="720" w:hanging="360"/>
        <w:jc w:val="both"/>
        <w:rPr>
          <w:noProof/>
        </w:rPr>
      </w:pPr>
      <w:r>
        <w:rPr>
          <w:b/>
          <w:noProof/>
        </w:rPr>
        <w:t>Zahteva po podpisu sporazumov o financiranju</w:t>
      </w:r>
      <w:r>
        <w:rPr>
          <w:noProof/>
        </w:rPr>
        <w:t xml:space="preserve">: Sklad za digitalni prehod podpiše sporazume o financiranju s finančnimi posredniki v skladu s ključnimi zahtevami, ki vključujejo vse zahteve, v skladu s katerimi deluje DTF, vključno z: </w:t>
      </w:r>
    </w:p>
    <w:p w14:paraId="627F4C84" w14:textId="77777777" w:rsidR="00154E32" w:rsidRDefault="00A43E04">
      <w:pPr>
        <w:numPr>
          <w:ilvl w:val="0"/>
          <w:numId w:val="51"/>
        </w:numPr>
        <w:spacing w:after="120"/>
        <w:jc w:val="both"/>
        <w:rPr>
          <w:noProof/>
        </w:rPr>
      </w:pPr>
      <w:r>
        <w:rPr>
          <w:noProof/>
        </w:rPr>
        <w:t xml:space="preserve">Obveznost finančnega posrednika, da sprejema odločitve </w:t>
      </w:r>
      <w:r>
        <w:rPr>
          <w:i/>
          <w:noProof/>
        </w:rPr>
        <w:t>smiselno</w:t>
      </w:r>
      <w:r>
        <w:rPr>
          <w:noProof/>
        </w:rPr>
        <w:t xml:space="preserve"> v skladu z zgoraj navedenimi zahtevami glede odločanja in naložbene politike, vključno v zvezi s spoštovanjem načela, da se ne škoduje bistveno.</w:t>
      </w:r>
    </w:p>
    <w:p w14:paraId="48A743A3" w14:textId="77777777" w:rsidR="00154E32" w:rsidRDefault="00A43E04">
      <w:pPr>
        <w:numPr>
          <w:ilvl w:val="0"/>
          <w:numId w:val="51"/>
        </w:numPr>
        <w:spacing w:after="120"/>
        <w:jc w:val="both"/>
        <w:rPr>
          <w:noProof/>
        </w:rPr>
      </w:pPr>
      <w:r>
        <w:rPr>
          <w:noProof/>
        </w:rPr>
        <w:t xml:space="preserve">Opis okvira spremljanja, revizije in nadzora, ki ga vzpostavi finančni posrednik in za katerega </w:t>
      </w:r>
      <w:r>
        <w:rPr>
          <w:i/>
          <w:noProof/>
        </w:rPr>
        <w:t>smiselno</w:t>
      </w:r>
      <w:r>
        <w:rPr>
          <w:noProof/>
        </w:rPr>
        <w:t xml:space="preserve"> veljajo vse zgoraj navedene zahteve glede spremljanja, revizije in nadzora. </w:t>
      </w:r>
    </w:p>
    <w:p w14:paraId="04AC33BC" w14:textId="77777777" w:rsidR="00154E32" w:rsidRDefault="00A43E04">
      <w:pPr>
        <w:spacing w:before="120" w:after="120"/>
        <w:jc w:val="both"/>
        <w:rPr>
          <w:noProof/>
        </w:rPr>
      </w:pPr>
      <w:r>
        <w:rPr>
          <w:noProof/>
        </w:rPr>
        <w:t>Ukrep se izvede do 31. avgusta 2026.</w:t>
      </w:r>
    </w:p>
    <w:p w14:paraId="5D497861" w14:textId="77777777" w:rsidR="00154E32" w:rsidRDefault="00A43E04">
      <w:pPr>
        <w:pStyle w:val="Heading3"/>
        <w:numPr>
          <w:ilvl w:val="0"/>
          <w:numId w:val="0"/>
        </w:numPr>
        <w:ind w:left="850" w:hanging="850"/>
        <w:rPr>
          <w:b/>
          <w:i w:val="0"/>
          <w:noProof/>
          <w:u w:val="single"/>
        </w:rPr>
      </w:pPr>
      <w:r>
        <w:rPr>
          <w:b/>
          <w:i w:val="0"/>
          <w:noProof/>
          <w:u w:val="single"/>
        </w:rPr>
        <w:t xml:space="preserve">K.4. </w:t>
      </w:r>
      <w:r>
        <w:rPr>
          <w:noProof/>
        </w:rPr>
        <w:tab/>
      </w:r>
      <w:r>
        <w:rPr>
          <w:b/>
          <w:i w:val="0"/>
          <w:noProof/>
          <w:u w:val="single"/>
        </w:rPr>
        <w:t xml:space="preserve">Mejniki, cilji, kazalniki in časovni razpored za spremljanje in izvajanje posojila </w:t>
      </w:r>
    </w:p>
    <w:p w14:paraId="669C0D35" w14:textId="77777777" w:rsidR="00154E32" w:rsidRDefault="00154E32">
      <w:pPr>
        <w:spacing w:before="120" w:after="120"/>
        <w:ind w:left="709"/>
        <w:contextualSpacing/>
        <w:jc w:val="both"/>
        <w:rPr>
          <w:noProof/>
        </w:rPr>
        <w:sectPr w:rsidR="00154E32" w:rsidSect="000D3774">
          <w:headerReference w:type="even" r:id="rId266"/>
          <w:headerReference w:type="default" r:id="rId267"/>
          <w:footerReference w:type="even" r:id="rId268"/>
          <w:footerReference w:type="default" r:id="rId269"/>
          <w:headerReference w:type="first" r:id="rId270"/>
          <w:footerReference w:type="first" r:id="rId271"/>
          <w:pgSz w:w="11907" w:h="16839"/>
          <w:pgMar w:top="1134" w:right="1134" w:bottom="1134" w:left="1134" w:header="567" w:footer="567" w:gutter="0"/>
          <w:cols w:space="720"/>
          <w:docGrid w:linePitch="360"/>
        </w:sectPr>
      </w:pPr>
    </w:p>
    <w:tbl>
      <w:tblPr>
        <w:tblW w:w="5437"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419"/>
        <w:gridCol w:w="1132"/>
        <w:gridCol w:w="1418"/>
        <w:gridCol w:w="1275"/>
        <w:gridCol w:w="1134"/>
        <w:gridCol w:w="993"/>
        <w:gridCol w:w="1275"/>
        <w:gridCol w:w="993"/>
        <w:gridCol w:w="708"/>
        <w:gridCol w:w="3686"/>
      </w:tblGrid>
      <w:tr w:rsidR="00154E32" w14:paraId="57FF187D" w14:textId="77777777">
        <w:trPr>
          <w:trHeight w:val="939"/>
          <w:tblHeader/>
        </w:trPr>
        <w:tc>
          <w:tcPr>
            <w:tcW w:w="1135" w:type="dxa"/>
            <w:vMerge w:val="restart"/>
            <w:shd w:val="clear" w:color="auto" w:fill="BDD7EE"/>
            <w:vAlign w:val="center"/>
            <w:hideMark/>
          </w:tcPr>
          <w:p w14:paraId="0BB3A0A5" w14:textId="77777777" w:rsidR="00154E32" w:rsidRDefault="00A43E04">
            <w:pPr>
              <w:pStyle w:val="P68B1DB1-Normal9"/>
              <w:jc w:val="center"/>
              <w:rPr>
                <w:noProof/>
              </w:rPr>
            </w:pPr>
            <w:r>
              <w:rPr>
                <w:noProof/>
              </w:rPr>
              <w:t>Zaporedna številka</w:t>
            </w:r>
          </w:p>
        </w:tc>
        <w:tc>
          <w:tcPr>
            <w:tcW w:w="1419" w:type="dxa"/>
            <w:vMerge w:val="restart"/>
            <w:shd w:val="clear" w:color="auto" w:fill="BDD7EE"/>
            <w:vAlign w:val="center"/>
            <w:hideMark/>
          </w:tcPr>
          <w:p w14:paraId="05268D1F" w14:textId="77777777" w:rsidR="00154E32" w:rsidRDefault="00A43E04">
            <w:pPr>
              <w:pStyle w:val="P68B1DB1-Normal9"/>
              <w:jc w:val="center"/>
              <w:rPr>
                <w:noProof/>
              </w:rPr>
            </w:pPr>
            <w:r>
              <w:rPr>
                <w:noProof/>
              </w:rPr>
              <w:t>Povezani ukrep (reforma ali naložba)</w:t>
            </w:r>
          </w:p>
        </w:tc>
        <w:tc>
          <w:tcPr>
            <w:tcW w:w="1132" w:type="dxa"/>
            <w:vMerge w:val="restart"/>
            <w:shd w:val="clear" w:color="auto" w:fill="BDD7EE"/>
            <w:vAlign w:val="center"/>
            <w:hideMark/>
          </w:tcPr>
          <w:p w14:paraId="33009410" w14:textId="77777777" w:rsidR="00154E32" w:rsidRDefault="00A43E04">
            <w:pPr>
              <w:pStyle w:val="P68B1DB1-Normal9"/>
              <w:jc w:val="center"/>
              <w:rPr>
                <w:noProof/>
              </w:rPr>
            </w:pPr>
            <w:r>
              <w:rPr>
                <w:noProof/>
              </w:rPr>
              <w:t>Mejnik/cilj</w:t>
            </w:r>
          </w:p>
        </w:tc>
        <w:tc>
          <w:tcPr>
            <w:tcW w:w="1418" w:type="dxa"/>
            <w:vMerge w:val="restart"/>
            <w:shd w:val="clear" w:color="auto" w:fill="BDD7EE"/>
            <w:vAlign w:val="center"/>
            <w:hideMark/>
          </w:tcPr>
          <w:p w14:paraId="383CED53" w14:textId="77777777" w:rsidR="00154E32" w:rsidRDefault="00A43E04">
            <w:pPr>
              <w:pStyle w:val="P68B1DB1-Normal9"/>
              <w:jc w:val="center"/>
              <w:rPr>
                <w:noProof/>
              </w:rPr>
            </w:pPr>
            <w:r>
              <w:rPr>
                <w:noProof/>
              </w:rPr>
              <w:t>Ime</w:t>
            </w:r>
          </w:p>
        </w:tc>
        <w:tc>
          <w:tcPr>
            <w:tcW w:w="1275" w:type="dxa"/>
            <w:vMerge w:val="restart"/>
            <w:shd w:val="clear" w:color="auto" w:fill="BDD7EE"/>
            <w:vAlign w:val="center"/>
            <w:hideMark/>
          </w:tcPr>
          <w:p w14:paraId="146955E2" w14:textId="77777777" w:rsidR="00154E32" w:rsidRDefault="00A43E04">
            <w:pPr>
              <w:pStyle w:val="P68B1DB1-Normal10"/>
              <w:jc w:val="center"/>
              <w:rPr>
                <w:b/>
                <w:noProof/>
                <w:sz w:val="20"/>
              </w:rPr>
            </w:pPr>
            <w:r>
              <w:rPr>
                <w:b/>
                <w:noProof/>
                <w:sz w:val="20"/>
              </w:rPr>
              <w:t>Kakovostni kazalniki</w:t>
            </w:r>
            <w:r>
              <w:rPr>
                <w:noProof/>
              </w:rPr>
              <w:t xml:space="preserve"> </w:t>
            </w:r>
            <w:r>
              <w:rPr>
                <w:noProof/>
              </w:rPr>
              <w:br/>
            </w:r>
            <w:r>
              <w:rPr>
                <w:b/>
                <w:noProof/>
                <w:sz w:val="20"/>
              </w:rPr>
              <w:t>(za mejnike)</w:t>
            </w:r>
          </w:p>
        </w:tc>
        <w:tc>
          <w:tcPr>
            <w:tcW w:w="3402" w:type="dxa"/>
            <w:gridSpan w:val="3"/>
            <w:shd w:val="clear" w:color="auto" w:fill="BDD7EE"/>
            <w:vAlign w:val="center"/>
            <w:hideMark/>
          </w:tcPr>
          <w:p w14:paraId="28107294" w14:textId="77777777" w:rsidR="00154E32" w:rsidRDefault="00A43E04">
            <w:pPr>
              <w:pStyle w:val="P68B1DB1-Normal10"/>
              <w:jc w:val="center"/>
              <w:rPr>
                <w:b/>
                <w:noProof/>
                <w:sz w:val="20"/>
              </w:rPr>
            </w:pPr>
            <w:r>
              <w:rPr>
                <w:b/>
                <w:noProof/>
                <w:sz w:val="20"/>
              </w:rPr>
              <w:t>Kvantitativni kazalniki</w:t>
            </w:r>
            <w:r>
              <w:rPr>
                <w:noProof/>
              </w:rPr>
              <w:t xml:space="preserve"> </w:t>
            </w:r>
            <w:r>
              <w:rPr>
                <w:noProof/>
              </w:rPr>
              <w:br/>
            </w:r>
            <w:r>
              <w:rPr>
                <w:b/>
                <w:noProof/>
                <w:sz w:val="20"/>
              </w:rPr>
              <w:t>(za ciljne vrednosti)</w:t>
            </w:r>
          </w:p>
        </w:tc>
        <w:tc>
          <w:tcPr>
            <w:tcW w:w="1701" w:type="dxa"/>
            <w:gridSpan w:val="2"/>
            <w:shd w:val="clear" w:color="auto" w:fill="BDD7EE"/>
            <w:vAlign w:val="center"/>
            <w:hideMark/>
          </w:tcPr>
          <w:p w14:paraId="1A086971" w14:textId="77777777" w:rsidR="00154E32" w:rsidRDefault="00A43E04">
            <w:pPr>
              <w:pStyle w:val="P68B1DB1-Normal9"/>
              <w:jc w:val="center"/>
              <w:rPr>
                <w:noProof/>
              </w:rPr>
            </w:pPr>
            <w:r>
              <w:rPr>
                <w:noProof/>
              </w:rPr>
              <w:t>Okvirni časovni razpored za dokončanje</w:t>
            </w:r>
          </w:p>
        </w:tc>
        <w:tc>
          <w:tcPr>
            <w:tcW w:w="3686" w:type="dxa"/>
            <w:vMerge w:val="restart"/>
            <w:shd w:val="clear" w:color="auto" w:fill="BDD7EE"/>
            <w:vAlign w:val="center"/>
            <w:hideMark/>
          </w:tcPr>
          <w:p w14:paraId="4FC1C714" w14:textId="77777777" w:rsidR="00154E32" w:rsidRDefault="00A43E04">
            <w:pPr>
              <w:pStyle w:val="P68B1DB1-Normal9"/>
              <w:jc w:val="center"/>
              <w:rPr>
                <w:noProof/>
              </w:rPr>
            </w:pPr>
            <w:r>
              <w:rPr>
                <w:noProof/>
              </w:rPr>
              <w:t>Opis vsakega mejnika in cilja</w:t>
            </w:r>
          </w:p>
        </w:tc>
      </w:tr>
      <w:tr w:rsidR="00154E32" w14:paraId="6D952724" w14:textId="77777777">
        <w:trPr>
          <w:trHeight w:val="741"/>
        </w:trPr>
        <w:tc>
          <w:tcPr>
            <w:tcW w:w="1135" w:type="dxa"/>
            <w:vMerge/>
            <w:vAlign w:val="center"/>
            <w:hideMark/>
          </w:tcPr>
          <w:p w14:paraId="705B6586" w14:textId="77777777" w:rsidR="00154E32" w:rsidRDefault="00154E32">
            <w:pPr>
              <w:jc w:val="center"/>
              <w:rPr>
                <w:rFonts w:ascii="Arial Narrow" w:hAnsi="Arial Narrow"/>
                <w:b/>
                <w:noProof/>
                <w:sz w:val="20"/>
              </w:rPr>
            </w:pPr>
          </w:p>
        </w:tc>
        <w:tc>
          <w:tcPr>
            <w:tcW w:w="1419" w:type="dxa"/>
            <w:vMerge/>
            <w:vAlign w:val="center"/>
            <w:hideMark/>
          </w:tcPr>
          <w:p w14:paraId="7D52B804" w14:textId="77777777" w:rsidR="00154E32" w:rsidRDefault="00154E32">
            <w:pPr>
              <w:jc w:val="center"/>
              <w:rPr>
                <w:rFonts w:ascii="Arial Narrow" w:hAnsi="Arial Narrow"/>
                <w:b/>
                <w:noProof/>
                <w:sz w:val="20"/>
              </w:rPr>
            </w:pPr>
          </w:p>
        </w:tc>
        <w:tc>
          <w:tcPr>
            <w:tcW w:w="1132" w:type="dxa"/>
            <w:vMerge/>
            <w:vAlign w:val="center"/>
            <w:hideMark/>
          </w:tcPr>
          <w:p w14:paraId="696A78D9" w14:textId="77777777" w:rsidR="00154E32" w:rsidRDefault="00154E32">
            <w:pPr>
              <w:jc w:val="center"/>
              <w:rPr>
                <w:rFonts w:ascii="Arial Narrow" w:hAnsi="Arial Narrow"/>
                <w:b/>
                <w:noProof/>
                <w:sz w:val="20"/>
              </w:rPr>
            </w:pPr>
          </w:p>
        </w:tc>
        <w:tc>
          <w:tcPr>
            <w:tcW w:w="1418" w:type="dxa"/>
            <w:vMerge/>
            <w:vAlign w:val="center"/>
            <w:hideMark/>
          </w:tcPr>
          <w:p w14:paraId="34AAFF5D" w14:textId="77777777" w:rsidR="00154E32" w:rsidRDefault="00154E32">
            <w:pPr>
              <w:jc w:val="center"/>
              <w:rPr>
                <w:rFonts w:ascii="Arial Narrow" w:hAnsi="Arial Narrow"/>
                <w:b/>
                <w:noProof/>
                <w:sz w:val="20"/>
              </w:rPr>
            </w:pPr>
          </w:p>
        </w:tc>
        <w:tc>
          <w:tcPr>
            <w:tcW w:w="1275" w:type="dxa"/>
            <w:vMerge/>
            <w:vAlign w:val="center"/>
            <w:hideMark/>
          </w:tcPr>
          <w:p w14:paraId="1F136728" w14:textId="77777777" w:rsidR="00154E32" w:rsidRDefault="00154E32">
            <w:pPr>
              <w:jc w:val="center"/>
              <w:rPr>
                <w:rFonts w:ascii="Arial Narrow" w:hAnsi="Arial Narrow"/>
                <w:b/>
                <w:noProof/>
                <w:sz w:val="20"/>
              </w:rPr>
            </w:pPr>
          </w:p>
        </w:tc>
        <w:tc>
          <w:tcPr>
            <w:tcW w:w="1134" w:type="dxa"/>
            <w:shd w:val="clear" w:color="auto" w:fill="BDD7EE"/>
            <w:vAlign w:val="center"/>
            <w:hideMark/>
          </w:tcPr>
          <w:p w14:paraId="4669313D" w14:textId="77777777" w:rsidR="00154E32" w:rsidRDefault="00A43E04">
            <w:pPr>
              <w:pStyle w:val="P68B1DB1-Normal9"/>
              <w:jc w:val="center"/>
              <w:rPr>
                <w:noProof/>
              </w:rPr>
            </w:pPr>
            <w:r>
              <w:rPr>
                <w:noProof/>
              </w:rPr>
              <w:t>Merska enota</w:t>
            </w:r>
          </w:p>
        </w:tc>
        <w:tc>
          <w:tcPr>
            <w:tcW w:w="993" w:type="dxa"/>
            <w:shd w:val="clear" w:color="auto" w:fill="BDD7EE"/>
            <w:vAlign w:val="center"/>
            <w:hideMark/>
          </w:tcPr>
          <w:p w14:paraId="4C92C47B" w14:textId="77777777" w:rsidR="00154E32" w:rsidRDefault="00A43E04">
            <w:pPr>
              <w:pStyle w:val="P68B1DB1-Normal9"/>
              <w:jc w:val="center"/>
              <w:rPr>
                <w:noProof/>
              </w:rPr>
            </w:pPr>
            <w:r>
              <w:rPr>
                <w:noProof/>
              </w:rPr>
              <w:t>Izhodišče</w:t>
            </w:r>
          </w:p>
        </w:tc>
        <w:tc>
          <w:tcPr>
            <w:tcW w:w="1275" w:type="dxa"/>
            <w:shd w:val="clear" w:color="auto" w:fill="BDD7EE"/>
            <w:vAlign w:val="center"/>
            <w:hideMark/>
          </w:tcPr>
          <w:p w14:paraId="35887BED" w14:textId="77777777" w:rsidR="00154E32" w:rsidRDefault="00A43E04">
            <w:pPr>
              <w:pStyle w:val="P68B1DB1-Normal9"/>
              <w:jc w:val="center"/>
              <w:rPr>
                <w:noProof/>
              </w:rPr>
            </w:pPr>
            <w:r>
              <w:rPr>
                <w:noProof/>
              </w:rPr>
              <w:t>Cilj</w:t>
            </w:r>
          </w:p>
        </w:tc>
        <w:tc>
          <w:tcPr>
            <w:tcW w:w="993" w:type="dxa"/>
            <w:shd w:val="clear" w:color="auto" w:fill="BDD7EE"/>
            <w:vAlign w:val="center"/>
            <w:hideMark/>
          </w:tcPr>
          <w:p w14:paraId="5006F363" w14:textId="77777777" w:rsidR="00154E32" w:rsidRDefault="00A43E04">
            <w:pPr>
              <w:pStyle w:val="P68B1DB1-Normal9"/>
              <w:jc w:val="center"/>
              <w:rPr>
                <w:noProof/>
              </w:rPr>
            </w:pPr>
            <w:r>
              <w:rPr>
                <w:noProof/>
              </w:rPr>
              <w:t>Četrtletje</w:t>
            </w:r>
          </w:p>
        </w:tc>
        <w:tc>
          <w:tcPr>
            <w:tcW w:w="708" w:type="dxa"/>
            <w:shd w:val="clear" w:color="auto" w:fill="BDD7EE"/>
            <w:vAlign w:val="center"/>
            <w:hideMark/>
          </w:tcPr>
          <w:p w14:paraId="35B3F0F6" w14:textId="77777777" w:rsidR="00154E32" w:rsidRDefault="00A43E04">
            <w:pPr>
              <w:pStyle w:val="P68B1DB1-Normal9"/>
              <w:jc w:val="center"/>
              <w:rPr>
                <w:noProof/>
              </w:rPr>
            </w:pPr>
            <w:r>
              <w:rPr>
                <w:noProof/>
              </w:rPr>
              <w:t>Leto</w:t>
            </w:r>
          </w:p>
        </w:tc>
        <w:tc>
          <w:tcPr>
            <w:tcW w:w="3686" w:type="dxa"/>
            <w:vMerge/>
            <w:vAlign w:val="center"/>
            <w:hideMark/>
          </w:tcPr>
          <w:p w14:paraId="532FD898" w14:textId="77777777" w:rsidR="00154E32" w:rsidRDefault="00154E32">
            <w:pPr>
              <w:rPr>
                <w:rFonts w:ascii="Arial Narrow" w:hAnsi="Arial Narrow"/>
                <w:b/>
                <w:noProof/>
                <w:sz w:val="20"/>
              </w:rPr>
            </w:pPr>
          </w:p>
        </w:tc>
      </w:tr>
      <w:tr w:rsidR="00154E32" w14:paraId="22E9B375" w14:textId="77777777">
        <w:trPr>
          <w:trHeight w:val="1740"/>
        </w:trPr>
        <w:tc>
          <w:tcPr>
            <w:tcW w:w="1135" w:type="dxa"/>
            <w:shd w:val="clear" w:color="auto" w:fill="C6EFCE"/>
            <w:noWrap/>
            <w:vAlign w:val="center"/>
            <w:hideMark/>
          </w:tcPr>
          <w:p w14:paraId="0E0B8DD0" w14:textId="77777777" w:rsidR="00154E32" w:rsidRDefault="00A43E04">
            <w:pPr>
              <w:pStyle w:val="P68B1DB1-Normal11"/>
              <w:jc w:val="center"/>
              <w:rPr>
                <w:noProof/>
              </w:rPr>
            </w:pPr>
            <w:r>
              <w:rPr>
                <w:noProof/>
              </w:rPr>
              <w:t>M4C2–5</w:t>
            </w:r>
          </w:p>
          <w:p w14:paraId="6C4C103E" w14:textId="77777777" w:rsidR="00154E32" w:rsidRDefault="00154E32">
            <w:pPr>
              <w:jc w:val="center"/>
              <w:rPr>
                <w:rFonts w:ascii="Arial Narrow" w:hAnsi="Arial Narrow"/>
                <w:noProof/>
                <w:color w:val="006100"/>
                <w:sz w:val="20"/>
              </w:rPr>
            </w:pPr>
          </w:p>
        </w:tc>
        <w:tc>
          <w:tcPr>
            <w:tcW w:w="1419" w:type="dxa"/>
            <w:shd w:val="clear" w:color="auto" w:fill="C6EFCE"/>
            <w:noWrap/>
            <w:vAlign w:val="center"/>
          </w:tcPr>
          <w:p w14:paraId="602DCA3F" w14:textId="0FD59C16" w:rsidR="00154E32" w:rsidRDefault="00A43E04">
            <w:pPr>
              <w:pStyle w:val="P68B1DB1-Normal11"/>
              <w:jc w:val="center"/>
              <w:rPr>
                <w:noProof/>
              </w:rPr>
            </w:pPr>
            <w:r>
              <w:rPr>
                <w:noProof/>
              </w:rPr>
              <w:t>Naložba 1.1: Raziskovalni projekti pomembnega nacionalnega interesa (PRIN)</w:t>
            </w:r>
          </w:p>
        </w:tc>
        <w:tc>
          <w:tcPr>
            <w:tcW w:w="1132" w:type="dxa"/>
            <w:shd w:val="clear" w:color="auto" w:fill="C6EFCE"/>
            <w:noWrap/>
            <w:vAlign w:val="center"/>
            <w:hideMark/>
          </w:tcPr>
          <w:p w14:paraId="57B4AE73" w14:textId="77777777" w:rsidR="00154E32" w:rsidRDefault="00A43E04">
            <w:pPr>
              <w:pStyle w:val="P68B1DB1-Normal11"/>
              <w:jc w:val="center"/>
              <w:rPr>
                <w:noProof/>
              </w:rPr>
            </w:pPr>
            <w:r>
              <w:rPr>
                <w:noProof/>
              </w:rPr>
              <w:t>Tarča</w:t>
            </w:r>
          </w:p>
        </w:tc>
        <w:tc>
          <w:tcPr>
            <w:tcW w:w="1418" w:type="dxa"/>
            <w:shd w:val="clear" w:color="auto" w:fill="C6EFCE"/>
            <w:noWrap/>
            <w:vAlign w:val="center"/>
          </w:tcPr>
          <w:p w14:paraId="7F4F0065" w14:textId="71CB529A" w:rsidR="00154E32" w:rsidRDefault="00A43E04">
            <w:pPr>
              <w:pStyle w:val="P68B1DB1-Normal11"/>
              <w:jc w:val="center"/>
              <w:rPr>
                <w:noProof/>
              </w:rPr>
            </w:pPr>
            <w:r>
              <w:rPr>
                <w:noProof/>
              </w:rPr>
              <w:t>Število dodeljenih raziskovalnih projektov</w:t>
            </w:r>
          </w:p>
        </w:tc>
        <w:tc>
          <w:tcPr>
            <w:tcW w:w="1275" w:type="dxa"/>
            <w:shd w:val="clear" w:color="auto" w:fill="C6EFCE"/>
            <w:noWrap/>
            <w:vAlign w:val="center"/>
            <w:hideMark/>
          </w:tcPr>
          <w:p w14:paraId="14CF1FE6" w14:textId="77777777" w:rsidR="00154E32" w:rsidRDefault="00A43E04">
            <w:pPr>
              <w:pStyle w:val="P68B1DB1-Normal11"/>
              <w:jc w:val="center"/>
              <w:rPr>
                <w:noProof/>
              </w:rPr>
            </w:pPr>
            <w:r>
              <w:rPr>
                <w:noProof/>
              </w:rPr>
              <w:t>JIH NI</w:t>
            </w:r>
          </w:p>
        </w:tc>
        <w:tc>
          <w:tcPr>
            <w:tcW w:w="1134" w:type="dxa"/>
            <w:shd w:val="clear" w:color="auto" w:fill="C6EFCE"/>
            <w:noWrap/>
            <w:vAlign w:val="center"/>
            <w:hideMark/>
          </w:tcPr>
          <w:p w14:paraId="6907821C" w14:textId="77777777" w:rsidR="00154E32" w:rsidRDefault="00A43E04">
            <w:pPr>
              <w:pStyle w:val="P68B1DB1-Normal11"/>
              <w:jc w:val="center"/>
              <w:rPr>
                <w:noProof/>
              </w:rPr>
            </w:pPr>
            <w:r>
              <w:rPr>
                <w:noProof/>
              </w:rPr>
              <w:t>Število</w:t>
            </w:r>
          </w:p>
        </w:tc>
        <w:tc>
          <w:tcPr>
            <w:tcW w:w="993" w:type="dxa"/>
            <w:shd w:val="clear" w:color="auto" w:fill="C6EFCE"/>
            <w:noWrap/>
            <w:vAlign w:val="center"/>
          </w:tcPr>
          <w:p w14:paraId="601757EB" w14:textId="77777777" w:rsidR="00154E32" w:rsidRDefault="00A43E04">
            <w:pPr>
              <w:pStyle w:val="P68B1DB1-Normal11"/>
              <w:jc w:val="center"/>
              <w:rPr>
                <w:noProof/>
              </w:rPr>
            </w:pPr>
            <w:r>
              <w:rPr>
                <w:noProof/>
              </w:rPr>
              <w:t>0</w:t>
            </w:r>
          </w:p>
        </w:tc>
        <w:tc>
          <w:tcPr>
            <w:tcW w:w="1275" w:type="dxa"/>
            <w:shd w:val="clear" w:color="auto" w:fill="C6EFCE"/>
            <w:noWrap/>
            <w:vAlign w:val="center"/>
          </w:tcPr>
          <w:p w14:paraId="7A94B3D9" w14:textId="1304993C" w:rsidR="00154E32" w:rsidRDefault="00A43E04">
            <w:pPr>
              <w:pStyle w:val="P68B1DB1-Normal11"/>
              <w:jc w:val="center"/>
              <w:rPr>
                <w:noProof/>
              </w:rPr>
            </w:pPr>
            <w:r>
              <w:rPr>
                <w:noProof/>
              </w:rPr>
              <w:t>3 150</w:t>
            </w:r>
          </w:p>
        </w:tc>
        <w:tc>
          <w:tcPr>
            <w:tcW w:w="993" w:type="dxa"/>
            <w:shd w:val="clear" w:color="auto" w:fill="C6EFCE"/>
            <w:noWrap/>
            <w:vAlign w:val="center"/>
            <w:hideMark/>
          </w:tcPr>
          <w:p w14:paraId="35C49819" w14:textId="77777777" w:rsidR="00154E32" w:rsidRDefault="00A43E04">
            <w:pPr>
              <w:pStyle w:val="P68B1DB1-Normal11"/>
              <w:jc w:val="center"/>
              <w:rPr>
                <w:noProof/>
              </w:rPr>
            </w:pPr>
            <w:r>
              <w:rPr>
                <w:noProof/>
              </w:rPr>
              <w:t>Q4</w:t>
            </w:r>
          </w:p>
        </w:tc>
        <w:tc>
          <w:tcPr>
            <w:tcW w:w="708" w:type="dxa"/>
            <w:shd w:val="clear" w:color="auto" w:fill="C6EFCE"/>
            <w:noWrap/>
            <w:vAlign w:val="center"/>
            <w:hideMark/>
          </w:tcPr>
          <w:p w14:paraId="520BD21E" w14:textId="77777777" w:rsidR="00154E32" w:rsidRDefault="00A43E04">
            <w:pPr>
              <w:pStyle w:val="P68B1DB1-Normal11"/>
              <w:jc w:val="center"/>
              <w:rPr>
                <w:noProof/>
              </w:rPr>
            </w:pPr>
            <w:r>
              <w:rPr>
                <w:noProof/>
              </w:rPr>
              <w:t>2023</w:t>
            </w:r>
          </w:p>
        </w:tc>
        <w:tc>
          <w:tcPr>
            <w:tcW w:w="3686" w:type="dxa"/>
            <w:shd w:val="clear" w:color="auto" w:fill="C6EFCE"/>
            <w:noWrap/>
            <w:vAlign w:val="center"/>
            <w:hideMark/>
          </w:tcPr>
          <w:p w14:paraId="2A88BD57" w14:textId="45060542" w:rsidR="00154E32" w:rsidRDefault="00A43E04">
            <w:pPr>
              <w:pStyle w:val="P68B1DB1-Normal11"/>
              <w:rPr>
                <w:noProof/>
              </w:rPr>
            </w:pPr>
            <w:r>
              <w:rPr>
                <w:noProof/>
              </w:rPr>
              <w:t xml:space="preserve">Podelitev vsaj 3150 raziskovalnih projektov Progetti di Ricerca di Interesse Nazionale. </w:t>
            </w:r>
          </w:p>
          <w:p w14:paraId="5AD4706C" w14:textId="77777777" w:rsidR="00154E32" w:rsidRDefault="00A43E04">
            <w:pPr>
              <w:pStyle w:val="P68B1DB1-Normal11"/>
              <w:rPr>
                <w:noProof/>
              </w:rPr>
            </w:pPr>
            <w:r>
              <w:rPr>
                <w:noProof/>
              </w:rPr>
              <w:t>Oddaja naročil projektom, izbranim v okviru konkurenčnih razpisov za zbiranje predlogov, se izvede v skladu s tehničnimi smernicami, da se ne škoduje bistveno (2021/C58/01), in sicer z uporabo seznama za izključitev in zahtevo po skladnosti z ustrezno okoljsko zakonodajo EU in nacionalno okoljsko zakonodajo.</w:t>
            </w:r>
          </w:p>
        </w:tc>
      </w:tr>
      <w:tr w:rsidR="00154E32" w14:paraId="152DDC7B" w14:textId="77777777">
        <w:trPr>
          <w:trHeight w:val="313"/>
        </w:trPr>
        <w:tc>
          <w:tcPr>
            <w:tcW w:w="1135" w:type="dxa"/>
            <w:shd w:val="clear" w:color="auto" w:fill="C6EFCE"/>
            <w:noWrap/>
            <w:vAlign w:val="center"/>
            <w:hideMark/>
          </w:tcPr>
          <w:p w14:paraId="7A964945" w14:textId="77777777" w:rsidR="00154E32" w:rsidRDefault="00A43E04">
            <w:pPr>
              <w:pStyle w:val="P68B1DB1-Normal11"/>
              <w:jc w:val="center"/>
              <w:rPr>
                <w:noProof/>
              </w:rPr>
            </w:pPr>
            <w:r>
              <w:rPr>
                <w:noProof/>
              </w:rPr>
              <w:t>M4C2–6</w:t>
            </w:r>
          </w:p>
        </w:tc>
        <w:tc>
          <w:tcPr>
            <w:tcW w:w="1419" w:type="dxa"/>
            <w:shd w:val="clear" w:color="auto" w:fill="C6EFCE"/>
            <w:noWrap/>
            <w:vAlign w:val="center"/>
          </w:tcPr>
          <w:p w14:paraId="7285DDFD" w14:textId="77777777" w:rsidR="00154E32" w:rsidRDefault="00A43E04">
            <w:pPr>
              <w:pStyle w:val="P68B1DB1-Normal11"/>
              <w:jc w:val="center"/>
              <w:rPr>
                <w:noProof/>
              </w:rPr>
            </w:pPr>
            <w:r>
              <w:rPr>
                <w:noProof/>
              </w:rPr>
              <w:t>Naložba 1.1: Raziskovalni projekti pomembnega nacionalnega interesa (PRIN)</w:t>
            </w:r>
          </w:p>
        </w:tc>
        <w:tc>
          <w:tcPr>
            <w:tcW w:w="1132" w:type="dxa"/>
            <w:shd w:val="clear" w:color="auto" w:fill="C6EFCE"/>
            <w:noWrap/>
            <w:vAlign w:val="center"/>
            <w:hideMark/>
          </w:tcPr>
          <w:p w14:paraId="14A231EB" w14:textId="77777777" w:rsidR="00154E32" w:rsidRDefault="00A43E04">
            <w:pPr>
              <w:pStyle w:val="P68B1DB1-Normal11"/>
              <w:jc w:val="center"/>
              <w:rPr>
                <w:noProof/>
              </w:rPr>
            </w:pPr>
            <w:r>
              <w:rPr>
                <w:noProof/>
              </w:rPr>
              <w:t>Tarča</w:t>
            </w:r>
          </w:p>
        </w:tc>
        <w:tc>
          <w:tcPr>
            <w:tcW w:w="1418" w:type="dxa"/>
            <w:shd w:val="clear" w:color="auto" w:fill="C6EFCE"/>
            <w:noWrap/>
            <w:vAlign w:val="center"/>
          </w:tcPr>
          <w:p w14:paraId="2D61B35A" w14:textId="77777777" w:rsidR="00154E32" w:rsidRDefault="00A43E04">
            <w:pPr>
              <w:pStyle w:val="P68B1DB1-Normal11"/>
              <w:jc w:val="center"/>
              <w:rPr>
                <w:noProof/>
              </w:rPr>
            </w:pPr>
            <w:r>
              <w:rPr>
                <w:noProof/>
              </w:rPr>
              <w:t>Število dodeljenih raziskovalnih projektov</w:t>
            </w:r>
          </w:p>
        </w:tc>
        <w:tc>
          <w:tcPr>
            <w:tcW w:w="1275" w:type="dxa"/>
            <w:shd w:val="clear" w:color="auto" w:fill="C6EFCE"/>
            <w:noWrap/>
            <w:vAlign w:val="center"/>
            <w:hideMark/>
          </w:tcPr>
          <w:p w14:paraId="182A5944" w14:textId="77777777" w:rsidR="00154E32" w:rsidRDefault="00A43E04">
            <w:pPr>
              <w:pStyle w:val="P68B1DB1-Normal11"/>
              <w:jc w:val="center"/>
              <w:rPr>
                <w:noProof/>
              </w:rPr>
            </w:pPr>
            <w:r>
              <w:rPr>
                <w:noProof/>
              </w:rPr>
              <w:t>JIH NI</w:t>
            </w:r>
          </w:p>
        </w:tc>
        <w:tc>
          <w:tcPr>
            <w:tcW w:w="1134" w:type="dxa"/>
            <w:shd w:val="clear" w:color="auto" w:fill="C6EFCE"/>
            <w:noWrap/>
            <w:vAlign w:val="center"/>
            <w:hideMark/>
          </w:tcPr>
          <w:p w14:paraId="2BAF49D1" w14:textId="77777777" w:rsidR="00154E32" w:rsidRDefault="00A43E04">
            <w:pPr>
              <w:pStyle w:val="P68B1DB1-Normal11"/>
              <w:jc w:val="center"/>
              <w:rPr>
                <w:noProof/>
              </w:rPr>
            </w:pPr>
            <w:r>
              <w:rPr>
                <w:noProof/>
              </w:rPr>
              <w:t>Število</w:t>
            </w:r>
          </w:p>
        </w:tc>
        <w:tc>
          <w:tcPr>
            <w:tcW w:w="993" w:type="dxa"/>
            <w:shd w:val="clear" w:color="auto" w:fill="C6EFCE"/>
            <w:noWrap/>
            <w:vAlign w:val="center"/>
          </w:tcPr>
          <w:p w14:paraId="7EAF8EAB" w14:textId="0B1514AE" w:rsidR="00154E32" w:rsidRDefault="00A43E04">
            <w:pPr>
              <w:pStyle w:val="P68B1DB1-Normal11"/>
              <w:jc w:val="center"/>
              <w:rPr>
                <w:noProof/>
              </w:rPr>
            </w:pPr>
            <w:r>
              <w:rPr>
                <w:noProof/>
              </w:rPr>
              <w:t>3 150</w:t>
            </w:r>
          </w:p>
        </w:tc>
        <w:tc>
          <w:tcPr>
            <w:tcW w:w="1275" w:type="dxa"/>
            <w:shd w:val="clear" w:color="auto" w:fill="C6EFCE"/>
            <w:noWrap/>
            <w:vAlign w:val="center"/>
          </w:tcPr>
          <w:p w14:paraId="30013BB8" w14:textId="42C70F42" w:rsidR="00154E32" w:rsidRDefault="00A43E04">
            <w:pPr>
              <w:pStyle w:val="P68B1DB1-Normal11"/>
              <w:jc w:val="center"/>
              <w:rPr>
                <w:noProof/>
              </w:rPr>
            </w:pPr>
            <w:r>
              <w:rPr>
                <w:noProof/>
              </w:rPr>
              <w:t>5 350</w:t>
            </w:r>
          </w:p>
        </w:tc>
        <w:tc>
          <w:tcPr>
            <w:tcW w:w="993" w:type="dxa"/>
            <w:shd w:val="clear" w:color="auto" w:fill="C6EFCE"/>
            <w:noWrap/>
            <w:vAlign w:val="center"/>
            <w:hideMark/>
          </w:tcPr>
          <w:p w14:paraId="3A5CD697" w14:textId="77777777" w:rsidR="00154E32" w:rsidRDefault="00A43E04">
            <w:pPr>
              <w:pStyle w:val="P68B1DB1-Normal11"/>
              <w:jc w:val="center"/>
              <w:rPr>
                <w:noProof/>
              </w:rPr>
            </w:pPr>
            <w:r>
              <w:rPr>
                <w:noProof/>
              </w:rPr>
              <w:t>Q2</w:t>
            </w:r>
          </w:p>
        </w:tc>
        <w:tc>
          <w:tcPr>
            <w:tcW w:w="708" w:type="dxa"/>
            <w:shd w:val="clear" w:color="auto" w:fill="C6EFCE"/>
            <w:noWrap/>
            <w:vAlign w:val="center"/>
            <w:hideMark/>
          </w:tcPr>
          <w:p w14:paraId="16A1230B" w14:textId="77777777" w:rsidR="00154E32" w:rsidRDefault="00A43E04">
            <w:pPr>
              <w:pStyle w:val="P68B1DB1-Normal11"/>
              <w:jc w:val="center"/>
              <w:rPr>
                <w:noProof/>
              </w:rPr>
            </w:pPr>
            <w:r>
              <w:rPr>
                <w:noProof/>
              </w:rPr>
              <w:t>2025</w:t>
            </w:r>
          </w:p>
        </w:tc>
        <w:tc>
          <w:tcPr>
            <w:tcW w:w="3686" w:type="dxa"/>
            <w:shd w:val="clear" w:color="auto" w:fill="C6EFCE"/>
            <w:noWrap/>
            <w:vAlign w:val="center"/>
            <w:hideMark/>
          </w:tcPr>
          <w:p w14:paraId="3ECA1BB6" w14:textId="449B0B80" w:rsidR="00154E32" w:rsidRDefault="00A43E04">
            <w:pPr>
              <w:pStyle w:val="P68B1DB1-Normal11"/>
              <w:rPr>
                <w:noProof/>
              </w:rPr>
            </w:pPr>
            <w:r>
              <w:rPr>
                <w:noProof/>
              </w:rPr>
              <w:t>Podelitev vsaj 5350 raziskovalnih projektov Progetti di Ricerca di Interesse Nazionale.</w:t>
            </w:r>
          </w:p>
          <w:p w14:paraId="6A95F03A" w14:textId="622883A1" w:rsidR="00154E32" w:rsidRDefault="00A43E04">
            <w:pPr>
              <w:pStyle w:val="P68B1DB1-Normal11"/>
              <w:rPr>
                <w:noProof/>
              </w:rPr>
            </w:pPr>
            <w:r>
              <w:rPr>
                <w:noProof/>
              </w:rPr>
              <w:t>Oddaja naročil projektom, izbranim v okviru konkurenčnih razpisov za zbiranje predlogov, se izvede v skladu s tehničnimi smernicami, da se ne škoduje bistveno (2021/C58/01), in sicer z uporabo seznama za izključitev in zahtevo po skladnosti z ustrezno okoljsko zakonodajo EU in nacionalno okoljsko zakonodajo.</w:t>
            </w:r>
          </w:p>
        </w:tc>
      </w:tr>
      <w:tr w:rsidR="00154E32" w14:paraId="3CAE0D1E" w14:textId="77777777">
        <w:trPr>
          <w:trHeight w:val="313"/>
        </w:trPr>
        <w:tc>
          <w:tcPr>
            <w:tcW w:w="1135" w:type="dxa"/>
            <w:shd w:val="clear" w:color="auto" w:fill="C6EFCE"/>
            <w:noWrap/>
            <w:vAlign w:val="center"/>
            <w:hideMark/>
          </w:tcPr>
          <w:p w14:paraId="1B701462" w14:textId="77777777" w:rsidR="00154E32" w:rsidRDefault="00A43E04">
            <w:pPr>
              <w:pStyle w:val="P68B1DB1-Normal11"/>
              <w:jc w:val="center"/>
              <w:rPr>
                <w:noProof/>
              </w:rPr>
            </w:pPr>
            <w:r>
              <w:rPr>
                <w:noProof/>
              </w:rPr>
              <w:t>M4C2–7</w:t>
            </w:r>
          </w:p>
        </w:tc>
        <w:tc>
          <w:tcPr>
            <w:tcW w:w="1419" w:type="dxa"/>
            <w:shd w:val="clear" w:color="auto" w:fill="C6EFCE"/>
            <w:noWrap/>
            <w:vAlign w:val="center"/>
            <w:hideMark/>
          </w:tcPr>
          <w:p w14:paraId="35CAA1D5" w14:textId="77777777" w:rsidR="00154E32" w:rsidRDefault="00A43E04">
            <w:pPr>
              <w:pStyle w:val="P68B1DB1-Normal11"/>
              <w:jc w:val="center"/>
              <w:rPr>
                <w:noProof/>
              </w:rPr>
            </w:pPr>
            <w:r>
              <w:rPr>
                <w:noProof/>
              </w:rPr>
              <w:t>Naložba 1.1: Raziskovalni projekti pomembnega nacionalnega interesa (PRIN)</w:t>
            </w:r>
          </w:p>
        </w:tc>
        <w:tc>
          <w:tcPr>
            <w:tcW w:w="1132" w:type="dxa"/>
            <w:shd w:val="clear" w:color="auto" w:fill="C6EFCE"/>
            <w:noWrap/>
            <w:vAlign w:val="center"/>
            <w:hideMark/>
          </w:tcPr>
          <w:p w14:paraId="39AF44FE" w14:textId="77777777" w:rsidR="00154E32" w:rsidRDefault="00A43E04">
            <w:pPr>
              <w:pStyle w:val="P68B1DB1-Normal11"/>
              <w:jc w:val="center"/>
              <w:rPr>
                <w:noProof/>
              </w:rPr>
            </w:pPr>
            <w:r>
              <w:rPr>
                <w:noProof/>
              </w:rPr>
              <w:t>Tarča</w:t>
            </w:r>
          </w:p>
        </w:tc>
        <w:tc>
          <w:tcPr>
            <w:tcW w:w="1418" w:type="dxa"/>
            <w:shd w:val="clear" w:color="auto" w:fill="C6EFCE"/>
            <w:noWrap/>
            <w:vAlign w:val="center"/>
            <w:hideMark/>
          </w:tcPr>
          <w:p w14:paraId="13F68B3C" w14:textId="77777777" w:rsidR="00154E32" w:rsidRDefault="00A43E04">
            <w:pPr>
              <w:pStyle w:val="P68B1DB1-Normal11"/>
              <w:jc w:val="center"/>
              <w:rPr>
                <w:noProof/>
              </w:rPr>
            </w:pPr>
            <w:r>
              <w:rPr>
                <w:noProof/>
              </w:rPr>
              <w:t>Število najetih raziskovalcev za določen čas</w:t>
            </w:r>
          </w:p>
        </w:tc>
        <w:tc>
          <w:tcPr>
            <w:tcW w:w="1275" w:type="dxa"/>
            <w:shd w:val="clear" w:color="auto" w:fill="C6EFCE"/>
            <w:noWrap/>
            <w:vAlign w:val="center"/>
            <w:hideMark/>
          </w:tcPr>
          <w:p w14:paraId="744830CB" w14:textId="77777777" w:rsidR="00154E32" w:rsidRDefault="00A43E04">
            <w:pPr>
              <w:pStyle w:val="P68B1DB1-Normal11"/>
              <w:jc w:val="center"/>
              <w:rPr>
                <w:noProof/>
              </w:rPr>
            </w:pPr>
            <w:r>
              <w:rPr>
                <w:noProof/>
              </w:rPr>
              <w:t>JIH NI</w:t>
            </w:r>
          </w:p>
        </w:tc>
        <w:tc>
          <w:tcPr>
            <w:tcW w:w="1134" w:type="dxa"/>
            <w:shd w:val="clear" w:color="auto" w:fill="C6EFCE"/>
            <w:noWrap/>
            <w:vAlign w:val="center"/>
            <w:hideMark/>
          </w:tcPr>
          <w:p w14:paraId="1084DE33" w14:textId="77777777" w:rsidR="00154E32" w:rsidRDefault="00A43E04">
            <w:pPr>
              <w:pStyle w:val="P68B1DB1-Normal11"/>
              <w:jc w:val="center"/>
              <w:rPr>
                <w:noProof/>
              </w:rPr>
            </w:pPr>
            <w:r>
              <w:rPr>
                <w:noProof/>
              </w:rPr>
              <w:t>Število</w:t>
            </w:r>
          </w:p>
        </w:tc>
        <w:tc>
          <w:tcPr>
            <w:tcW w:w="993" w:type="dxa"/>
            <w:shd w:val="clear" w:color="auto" w:fill="C6EFCE"/>
            <w:noWrap/>
            <w:vAlign w:val="center"/>
            <w:hideMark/>
          </w:tcPr>
          <w:p w14:paraId="544D0725" w14:textId="77777777" w:rsidR="00154E32" w:rsidRDefault="00A43E04">
            <w:pPr>
              <w:pStyle w:val="P68B1DB1-Normal11"/>
              <w:jc w:val="center"/>
              <w:rPr>
                <w:noProof/>
              </w:rPr>
            </w:pPr>
            <w:r>
              <w:rPr>
                <w:noProof/>
              </w:rPr>
              <w:t>0</w:t>
            </w:r>
          </w:p>
        </w:tc>
        <w:tc>
          <w:tcPr>
            <w:tcW w:w="1275" w:type="dxa"/>
            <w:shd w:val="clear" w:color="auto" w:fill="C6EFCE"/>
            <w:noWrap/>
            <w:vAlign w:val="center"/>
            <w:hideMark/>
          </w:tcPr>
          <w:p w14:paraId="2A17EE42" w14:textId="77777777" w:rsidR="00154E32" w:rsidRDefault="00A43E04">
            <w:pPr>
              <w:pStyle w:val="P68B1DB1-Normal11"/>
              <w:jc w:val="center"/>
              <w:rPr>
                <w:noProof/>
              </w:rPr>
            </w:pPr>
            <w:r>
              <w:rPr>
                <w:noProof/>
              </w:rPr>
              <w:t>900</w:t>
            </w:r>
          </w:p>
        </w:tc>
        <w:tc>
          <w:tcPr>
            <w:tcW w:w="993" w:type="dxa"/>
            <w:shd w:val="clear" w:color="auto" w:fill="C6EFCE"/>
            <w:noWrap/>
            <w:vAlign w:val="center"/>
            <w:hideMark/>
          </w:tcPr>
          <w:p w14:paraId="731C2F51" w14:textId="77777777" w:rsidR="00154E32" w:rsidRDefault="00A43E04">
            <w:pPr>
              <w:pStyle w:val="P68B1DB1-Normal11"/>
              <w:jc w:val="center"/>
              <w:rPr>
                <w:noProof/>
              </w:rPr>
            </w:pPr>
            <w:r>
              <w:rPr>
                <w:noProof/>
              </w:rPr>
              <w:t>Q2</w:t>
            </w:r>
          </w:p>
        </w:tc>
        <w:tc>
          <w:tcPr>
            <w:tcW w:w="708" w:type="dxa"/>
            <w:shd w:val="clear" w:color="auto" w:fill="C6EFCE"/>
            <w:noWrap/>
            <w:vAlign w:val="center"/>
            <w:hideMark/>
          </w:tcPr>
          <w:p w14:paraId="1B50325C" w14:textId="77777777" w:rsidR="00154E32" w:rsidRDefault="00A43E04">
            <w:pPr>
              <w:pStyle w:val="P68B1DB1-Normal11"/>
              <w:jc w:val="center"/>
              <w:rPr>
                <w:noProof/>
              </w:rPr>
            </w:pPr>
            <w:r>
              <w:rPr>
                <w:noProof/>
              </w:rPr>
              <w:t>2025</w:t>
            </w:r>
          </w:p>
        </w:tc>
        <w:tc>
          <w:tcPr>
            <w:tcW w:w="3686" w:type="dxa"/>
            <w:shd w:val="clear" w:color="auto" w:fill="C6EFCE"/>
            <w:noWrap/>
            <w:vAlign w:val="center"/>
            <w:hideMark/>
          </w:tcPr>
          <w:p w14:paraId="6EA8B7AE" w14:textId="42C41527" w:rsidR="00154E32" w:rsidRDefault="00A43E04">
            <w:pPr>
              <w:pStyle w:val="P68B1DB1-Normal11"/>
              <w:spacing w:after="120"/>
              <w:rPr>
                <w:noProof/>
              </w:rPr>
            </w:pPr>
            <w:r>
              <w:rPr>
                <w:noProof/>
              </w:rPr>
              <w:t>Najame najmanj 900 novih raziskovalcev, zaposlenih za določen čas.</w:t>
            </w:r>
          </w:p>
          <w:p w14:paraId="599B7A42" w14:textId="69A12BB8" w:rsidR="00154E32" w:rsidRDefault="00A43E04">
            <w:pPr>
              <w:pStyle w:val="P68B1DB1-Normal11"/>
              <w:spacing w:after="120"/>
              <w:rPr>
                <w:noProof/>
              </w:rPr>
            </w:pPr>
            <w:r>
              <w:rPr>
                <w:noProof/>
              </w:rPr>
              <w:t>Najeti raziskovalci se osredotočijo na prednostne naloge, skladne s šestimi sklopi evropskega okvirnega programa za raziskave in inovacije 2021–2027: (I) zdravje; (II) humanistična kultura, ustvarjalnost, družbena preobrazba, družba vključevanja; III) varnost za socialne sisteme; (IV) digitalno, industrijo, letalsko in vesoljsko industrijo; v) podnebje, energijo in trajnostno mobilnost; (VI) živila, bioekonomija, biotska raznovrstnost, kmetijstvo, okolje.</w:t>
            </w:r>
          </w:p>
        </w:tc>
      </w:tr>
      <w:tr w:rsidR="00154E32" w14:paraId="18DA81A2" w14:textId="77777777">
        <w:trPr>
          <w:trHeight w:val="1278"/>
        </w:trPr>
        <w:tc>
          <w:tcPr>
            <w:tcW w:w="1135" w:type="dxa"/>
            <w:shd w:val="clear" w:color="auto" w:fill="C6EFCE"/>
            <w:noWrap/>
            <w:vAlign w:val="center"/>
            <w:hideMark/>
          </w:tcPr>
          <w:p w14:paraId="7C3A1B40" w14:textId="77777777" w:rsidR="00154E32" w:rsidRDefault="00A43E04">
            <w:pPr>
              <w:pStyle w:val="P68B1DB1-Normal11"/>
              <w:jc w:val="center"/>
              <w:rPr>
                <w:noProof/>
              </w:rPr>
            </w:pPr>
            <w:r>
              <w:rPr>
                <w:noProof/>
              </w:rPr>
              <w:t>M4C2–8</w:t>
            </w:r>
          </w:p>
        </w:tc>
        <w:tc>
          <w:tcPr>
            <w:tcW w:w="1419" w:type="dxa"/>
            <w:shd w:val="clear" w:color="auto" w:fill="C6EFCE"/>
            <w:noWrap/>
            <w:vAlign w:val="center"/>
            <w:hideMark/>
          </w:tcPr>
          <w:p w14:paraId="5C3460E8" w14:textId="77777777" w:rsidR="00154E32" w:rsidRDefault="00A43E04">
            <w:pPr>
              <w:pStyle w:val="P68B1DB1-Normal11"/>
              <w:jc w:val="center"/>
              <w:rPr>
                <w:noProof/>
              </w:rPr>
            </w:pPr>
            <w:r>
              <w:rPr>
                <w:noProof/>
              </w:rPr>
              <w:t>Naložba 1.3: Partnerstva, razširjena na univerze, raziskovalna središča, podjetja in financiranje temeljnih raziskovalnih projektov</w:t>
            </w:r>
          </w:p>
        </w:tc>
        <w:tc>
          <w:tcPr>
            <w:tcW w:w="1132" w:type="dxa"/>
            <w:shd w:val="clear" w:color="auto" w:fill="C6EFCE"/>
            <w:noWrap/>
            <w:vAlign w:val="center"/>
            <w:hideMark/>
          </w:tcPr>
          <w:p w14:paraId="60768B75" w14:textId="77777777" w:rsidR="00154E32" w:rsidRDefault="00A43E04">
            <w:pPr>
              <w:pStyle w:val="P68B1DB1-Normal11"/>
              <w:jc w:val="center"/>
              <w:rPr>
                <w:noProof/>
              </w:rPr>
            </w:pPr>
            <w:r>
              <w:rPr>
                <w:noProof/>
              </w:rPr>
              <w:t>Tarča</w:t>
            </w:r>
          </w:p>
        </w:tc>
        <w:tc>
          <w:tcPr>
            <w:tcW w:w="1418" w:type="dxa"/>
            <w:shd w:val="clear" w:color="auto" w:fill="C6EFCE"/>
            <w:noWrap/>
            <w:vAlign w:val="center"/>
            <w:hideMark/>
          </w:tcPr>
          <w:p w14:paraId="3ED0E5EA" w14:textId="77777777" w:rsidR="00154E32" w:rsidRDefault="00A43E04">
            <w:pPr>
              <w:pStyle w:val="P68B1DB1-Normal11"/>
              <w:jc w:val="center"/>
              <w:rPr>
                <w:noProof/>
              </w:rPr>
            </w:pPr>
            <w:r>
              <w:rPr>
                <w:noProof/>
              </w:rPr>
              <w:t>Število raziskovalcev za določen čas, ki so bili najeti za vsako od predvidenih temeljnih raziskovalnih partnerstev, podpisanih med raziskovalnimi inštituti in zasebnimi podjetji</w:t>
            </w:r>
          </w:p>
        </w:tc>
        <w:tc>
          <w:tcPr>
            <w:tcW w:w="1275" w:type="dxa"/>
            <w:shd w:val="clear" w:color="auto" w:fill="C6EFCE"/>
            <w:noWrap/>
            <w:vAlign w:val="center"/>
            <w:hideMark/>
          </w:tcPr>
          <w:p w14:paraId="6F1116C0" w14:textId="77777777" w:rsidR="00154E32" w:rsidRDefault="00A43E04">
            <w:pPr>
              <w:pStyle w:val="P68B1DB1-Normal11"/>
              <w:jc w:val="center"/>
              <w:rPr>
                <w:noProof/>
              </w:rPr>
            </w:pPr>
            <w:r>
              <w:rPr>
                <w:noProof/>
              </w:rPr>
              <w:t>JIH NI</w:t>
            </w:r>
          </w:p>
        </w:tc>
        <w:tc>
          <w:tcPr>
            <w:tcW w:w="1134" w:type="dxa"/>
            <w:shd w:val="clear" w:color="auto" w:fill="C6EFCE"/>
            <w:noWrap/>
            <w:vAlign w:val="center"/>
            <w:hideMark/>
          </w:tcPr>
          <w:p w14:paraId="7DA2AE4B" w14:textId="77777777" w:rsidR="00154E32" w:rsidRDefault="00A43E04">
            <w:pPr>
              <w:pStyle w:val="P68B1DB1-Normal11"/>
              <w:jc w:val="center"/>
              <w:rPr>
                <w:noProof/>
              </w:rPr>
            </w:pPr>
            <w:r>
              <w:rPr>
                <w:noProof/>
              </w:rPr>
              <w:t>Število</w:t>
            </w:r>
          </w:p>
        </w:tc>
        <w:tc>
          <w:tcPr>
            <w:tcW w:w="993" w:type="dxa"/>
            <w:shd w:val="clear" w:color="auto" w:fill="C6EFCE"/>
            <w:noWrap/>
            <w:vAlign w:val="center"/>
            <w:hideMark/>
          </w:tcPr>
          <w:p w14:paraId="65057ED6" w14:textId="77777777" w:rsidR="00154E32" w:rsidRDefault="00A43E04">
            <w:pPr>
              <w:pStyle w:val="P68B1DB1-Normal11"/>
              <w:jc w:val="center"/>
              <w:rPr>
                <w:noProof/>
              </w:rPr>
            </w:pPr>
            <w:r>
              <w:rPr>
                <w:noProof/>
              </w:rPr>
              <w:t>0</w:t>
            </w:r>
          </w:p>
        </w:tc>
        <w:tc>
          <w:tcPr>
            <w:tcW w:w="1275" w:type="dxa"/>
            <w:shd w:val="clear" w:color="auto" w:fill="C6EFCE"/>
            <w:noWrap/>
            <w:vAlign w:val="center"/>
            <w:hideMark/>
          </w:tcPr>
          <w:p w14:paraId="1EDFC0DE" w14:textId="67171C64" w:rsidR="00154E32" w:rsidRDefault="00A43E04">
            <w:pPr>
              <w:pStyle w:val="P68B1DB1-Normal11"/>
              <w:jc w:val="center"/>
              <w:rPr>
                <w:noProof/>
              </w:rPr>
            </w:pPr>
            <w:r>
              <w:rPr>
                <w:noProof/>
              </w:rPr>
              <w:t>1 400</w:t>
            </w:r>
          </w:p>
        </w:tc>
        <w:tc>
          <w:tcPr>
            <w:tcW w:w="993" w:type="dxa"/>
            <w:shd w:val="clear" w:color="auto" w:fill="C6EFCE"/>
            <w:noWrap/>
            <w:vAlign w:val="center"/>
            <w:hideMark/>
          </w:tcPr>
          <w:p w14:paraId="08F6D86C" w14:textId="77777777" w:rsidR="00154E32" w:rsidRDefault="00A43E04">
            <w:pPr>
              <w:pStyle w:val="P68B1DB1-Normal11"/>
              <w:jc w:val="center"/>
              <w:rPr>
                <w:noProof/>
              </w:rPr>
            </w:pPr>
            <w:r>
              <w:rPr>
                <w:noProof/>
              </w:rPr>
              <w:t>Q2</w:t>
            </w:r>
          </w:p>
        </w:tc>
        <w:tc>
          <w:tcPr>
            <w:tcW w:w="708" w:type="dxa"/>
            <w:shd w:val="clear" w:color="auto" w:fill="C6EFCE"/>
            <w:noWrap/>
            <w:vAlign w:val="center"/>
            <w:hideMark/>
          </w:tcPr>
          <w:p w14:paraId="00D95D90" w14:textId="77777777" w:rsidR="00154E32" w:rsidRDefault="00A43E04">
            <w:pPr>
              <w:pStyle w:val="P68B1DB1-Normal11"/>
              <w:jc w:val="center"/>
              <w:rPr>
                <w:noProof/>
              </w:rPr>
            </w:pPr>
            <w:r>
              <w:rPr>
                <w:noProof/>
              </w:rPr>
              <w:t>2025</w:t>
            </w:r>
          </w:p>
        </w:tc>
        <w:tc>
          <w:tcPr>
            <w:tcW w:w="3686" w:type="dxa"/>
            <w:shd w:val="clear" w:color="auto" w:fill="C6EFCE"/>
            <w:noWrap/>
            <w:vAlign w:val="center"/>
            <w:hideMark/>
          </w:tcPr>
          <w:p w14:paraId="2DE704E0" w14:textId="0BCC6F19" w:rsidR="00154E32" w:rsidRDefault="00A43E04">
            <w:pPr>
              <w:pStyle w:val="P68B1DB1-Normal11"/>
              <w:spacing w:after="120"/>
              <w:rPr>
                <w:noProof/>
              </w:rPr>
            </w:pPr>
            <w:r>
              <w:rPr>
                <w:noProof/>
              </w:rPr>
              <w:t xml:space="preserve">Najmanj 100 novih raziskovalcev, zaposlenih za določen čas, se zaposli za vsako od predvidenih temeljnih raziskovalnih partnerstev, podpisanih med raziskovalnimi inštituti in zasebnimi podjetji (1.3). </w:t>
            </w:r>
          </w:p>
          <w:p w14:paraId="12B2DB9F" w14:textId="734CA379" w:rsidR="00154E32" w:rsidRDefault="00A43E04">
            <w:pPr>
              <w:pStyle w:val="P68B1DB1-Normal11"/>
              <w:spacing w:after="120"/>
              <w:rPr>
                <w:noProof/>
              </w:rPr>
            </w:pPr>
            <w:r>
              <w:rPr>
                <w:noProof/>
              </w:rPr>
              <w:t xml:space="preserve">Med raziskovalnimi inštituti in zasebnimi podjetji se podpiše najmanj 14 temeljnih raziskovalnih partnerstev. </w:t>
            </w:r>
          </w:p>
          <w:p w14:paraId="72A0245C" w14:textId="77777777" w:rsidR="00154E32" w:rsidRDefault="00A43E04">
            <w:pPr>
              <w:pStyle w:val="P68B1DB1-Normal11"/>
              <w:spacing w:after="120"/>
              <w:rPr>
                <w:noProof/>
              </w:rPr>
            </w:pPr>
            <w:r>
              <w:rPr>
                <w:noProof/>
              </w:rPr>
              <w:t>Zadovoljivo izpolnjevanje cilja je odvisno od deleža pogodb za določen čas, dodeljenih raziskovalkam: vsaj 40 %.</w:t>
            </w:r>
          </w:p>
          <w:p w14:paraId="049FCB75" w14:textId="77777777" w:rsidR="00154E32" w:rsidRDefault="00A43E04">
            <w:pPr>
              <w:pStyle w:val="P68B1DB1-Normal11"/>
              <w:spacing w:after="120"/>
              <w:rPr>
                <w:noProof/>
              </w:rPr>
            </w:pPr>
            <w:r>
              <w:rPr>
                <w:noProof/>
              </w:rPr>
              <w:t>Projekti se izberejo na podlagi konkurenčnih meril, vključno z i) upoštevanjem ciljev in prednostnih nalog PNR (Piano Nazionale di Ricerca); II) sodelovanje zainteresiranih strani pri združevanju ravni tehnološke pripravljenosti in ravni družbene pripravljenosti;</w:t>
            </w:r>
          </w:p>
          <w:p w14:paraId="014D0446" w14:textId="77777777" w:rsidR="00154E32" w:rsidRDefault="00A43E04">
            <w:pPr>
              <w:pStyle w:val="P68B1DB1-Normal11"/>
              <w:spacing w:after="120"/>
              <w:rPr>
                <w:noProof/>
              </w:rPr>
            </w:pPr>
            <w:r>
              <w:rPr>
                <w:noProof/>
              </w:rPr>
              <w:t>Poleg tega se opredelijo posebna izbirna merila, da se zagotovi i) uravnoteženost vključenih ozemelj (s spodbujanjem vključevanja akterjev iz različnih regij in različnih območij države, vključno z jugom in otoki), ii) vključenost velikih in malih in srednjih podjetij (MSP) s posebnim poudarkom na mlajših (manj kot petih letih od njihove ustanovitve) in inovativnih.</w:t>
            </w:r>
          </w:p>
          <w:p w14:paraId="02A9B0D3" w14:textId="77777777" w:rsidR="00154E32" w:rsidRDefault="00A43E04">
            <w:pPr>
              <w:pStyle w:val="P68B1DB1-paragraph25"/>
              <w:spacing w:before="0" w:beforeAutospacing="0" w:after="120" w:afterAutospacing="0"/>
              <w:textAlignment w:val="baseline"/>
              <w:rPr>
                <w:noProof/>
              </w:rPr>
            </w:pPr>
            <w:r>
              <w:rPr>
                <w:noProof/>
              </w:rPr>
              <w:t>Razpis za zbiranje programov in izbirni postopek vključujeta naslednje:</w:t>
            </w:r>
          </w:p>
          <w:p w14:paraId="42F13564" w14:textId="77777777" w:rsidR="00154E32" w:rsidRDefault="00A43E04">
            <w:pPr>
              <w:pStyle w:val="P68B1DB1-paragraph25"/>
              <w:spacing w:before="0" w:beforeAutospacing="0" w:after="120" w:afterAutospacing="0"/>
              <w:textAlignment w:val="baseline"/>
              <w:rPr>
                <w:noProof/>
              </w:rPr>
            </w:pPr>
            <w:r>
              <w:rPr>
                <w:noProof/>
              </w:rPr>
              <w:t>merila za upravičenost, ki zagotavljajo, da so izbrani projekti skladni s tehničnimi smernicami, da se ne škoduje bistveno (2021/C58/01), z uporabo seznama za izključitev in zahtevo po skladnosti z ustrezno okoljsko zakonodajo EU in nacionalno okoljsko zakonodajo.</w:t>
            </w:r>
          </w:p>
          <w:p w14:paraId="3A9A1F25" w14:textId="77777777" w:rsidR="00154E32" w:rsidRDefault="00A43E04">
            <w:pPr>
              <w:pStyle w:val="P68B1DB1-paragraph25"/>
              <w:spacing w:before="0" w:beforeAutospacing="0" w:after="120" w:afterAutospacing="0"/>
              <w:textAlignment w:val="baseline"/>
              <w:rPr>
                <w:noProof/>
              </w:rPr>
            </w:pPr>
            <w:r>
              <w:rPr>
                <w:noProof/>
              </w:rPr>
              <w:t>b) zaveza, da bo podnebni prispevek naložbe v skladu z metodologijo iz Priloge VI k Uredbi (EU) 2021/241 predstavljal vsaj 42 % skupnih stroškov naložbe, ki jo podpira mehanizem za okrevanje in odpornost.</w:t>
            </w:r>
          </w:p>
          <w:p w14:paraId="45A9A98E" w14:textId="77777777" w:rsidR="00154E32" w:rsidRDefault="00A43E04">
            <w:pPr>
              <w:pStyle w:val="P68B1DB1-paragraph25"/>
              <w:spacing w:before="0" w:beforeAutospacing="0" w:after="120" w:afterAutospacing="0"/>
              <w:textAlignment w:val="baseline"/>
              <w:rPr>
                <w:noProof/>
              </w:rPr>
            </w:pPr>
            <w:r>
              <w:rPr>
                <w:noProof/>
              </w:rPr>
              <w:t>C) zaveza za poročanje o izvajanju ukrepa na polovici trajanja sheme in konca sheme.</w:t>
            </w:r>
          </w:p>
        </w:tc>
      </w:tr>
      <w:tr w:rsidR="00154E32" w14:paraId="6B8F5891" w14:textId="77777777">
        <w:trPr>
          <w:trHeight w:val="313"/>
        </w:trPr>
        <w:tc>
          <w:tcPr>
            <w:tcW w:w="1135" w:type="dxa"/>
            <w:shd w:val="clear" w:color="auto" w:fill="C6EFCE"/>
            <w:noWrap/>
            <w:vAlign w:val="center"/>
            <w:hideMark/>
          </w:tcPr>
          <w:p w14:paraId="11ABDD8D" w14:textId="77777777" w:rsidR="00154E32" w:rsidRDefault="00A43E04">
            <w:pPr>
              <w:pStyle w:val="P68B1DB1-Normal11"/>
              <w:jc w:val="center"/>
              <w:rPr>
                <w:noProof/>
              </w:rPr>
            </w:pPr>
            <w:r>
              <w:rPr>
                <w:noProof/>
              </w:rPr>
              <w:t>M4C2–9</w:t>
            </w:r>
          </w:p>
        </w:tc>
        <w:tc>
          <w:tcPr>
            <w:tcW w:w="1419" w:type="dxa"/>
            <w:shd w:val="clear" w:color="auto" w:fill="C6EFCE"/>
            <w:noWrap/>
            <w:vAlign w:val="center"/>
            <w:hideMark/>
          </w:tcPr>
          <w:p w14:paraId="095F1875" w14:textId="77777777" w:rsidR="00154E32" w:rsidRDefault="00A43E04">
            <w:pPr>
              <w:pStyle w:val="P68B1DB1-Normal11"/>
              <w:jc w:val="center"/>
              <w:rPr>
                <w:noProof/>
              </w:rPr>
            </w:pPr>
            <w:r>
              <w:rPr>
                <w:noProof/>
              </w:rPr>
              <w:t>Naložba 1.4: Krepitev raziskovalnih struktur in podpiranje oblikovanja „nacionalnih voditeljev na področju raziskav in razvoja“ na področju nekaterih ključnih omogočitvenih tehnologij</w:t>
            </w:r>
          </w:p>
        </w:tc>
        <w:tc>
          <w:tcPr>
            <w:tcW w:w="1132" w:type="dxa"/>
            <w:shd w:val="clear" w:color="auto" w:fill="C6EFCE"/>
            <w:noWrap/>
            <w:vAlign w:val="center"/>
            <w:hideMark/>
          </w:tcPr>
          <w:p w14:paraId="2039F6C1" w14:textId="77777777" w:rsidR="00154E32" w:rsidRDefault="00A43E04">
            <w:pPr>
              <w:pStyle w:val="P68B1DB1-Normal11"/>
              <w:jc w:val="center"/>
              <w:rPr>
                <w:noProof/>
              </w:rPr>
            </w:pPr>
            <w:r>
              <w:rPr>
                <w:noProof/>
              </w:rPr>
              <w:t>Tarča</w:t>
            </w:r>
          </w:p>
        </w:tc>
        <w:tc>
          <w:tcPr>
            <w:tcW w:w="1418" w:type="dxa"/>
            <w:shd w:val="clear" w:color="auto" w:fill="C6EFCE"/>
            <w:noWrap/>
            <w:vAlign w:val="center"/>
            <w:hideMark/>
          </w:tcPr>
          <w:p w14:paraId="6ABC1111" w14:textId="77777777" w:rsidR="00154E32" w:rsidRDefault="00154E32">
            <w:pPr>
              <w:jc w:val="center"/>
              <w:rPr>
                <w:rFonts w:ascii="Arial Narrow" w:hAnsi="Arial Narrow"/>
                <w:noProof/>
                <w:color w:val="006100"/>
                <w:sz w:val="20"/>
              </w:rPr>
            </w:pPr>
          </w:p>
          <w:p w14:paraId="13D3AF02" w14:textId="4764485A" w:rsidR="00154E32" w:rsidRDefault="00A43E04">
            <w:pPr>
              <w:pStyle w:val="P68B1DB1-Normal11"/>
              <w:jc w:val="center"/>
              <w:rPr>
                <w:noProof/>
              </w:rPr>
            </w:pPr>
            <w:r>
              <w:rPr>
                <w:noProof/>
              </w:rPr>
              <w:t>Nacionalni centri delujejo in izvajajo dejavnosti nacionalnih centrov na področju ključnih omogočitvenih tehnologij.</w:t>
            </w:r>
          </w:p>
        </w:tc>
        <w:tc>
          <w:tcPr>
            <w:tcW w:w="1275" w:type="dxa"/>
            <w:shd w:val="clear" w:color="auto" w:fill="C6EFCE"/>
            <w:noWrap/>
            <w:vAlign w:val="center"/>
            <w:hideMark/>
          </w:tcPr>
          <w:p w14:paraId="3AED9C45" w14:textId="77777777" w:rsidR="00154E32" w:rsidRDefault="00A43E04">
            <w:pPr>
              <w:pStyle w:val="P68B1DB1-Normal11"/>
              <w:jc w:val="center"/>
              <w:rPr>
                <w:noProof/>
              </w:rPr>
            </w:pPr>
            <w:r>
              <w:rPr>
                <w:noProof/>
              </w:rPr>
              <w:t>JIH NI</w:t>
            </w:r>
          </w:p>
        </w:tc>
        <w:tc>
          <w:tcPr>
            <w:tcW w:w="1134" w:type="dxa"/>
            <w:shd w:val="clear" w:color="auto" w:fill="C6EFCE"/>
            <w:noWrap/>
            <w:vAlign w:val="center"/>
            <w:hideMark/>
          </w:tcPr>
          <w:p w14:paraId="4890D3EA" w14:textId="77777777" w:rsidR="00154E32" w:rsidRDefault="00A43E04">
            <w:pPr>
              <w:pStyle w:val="P68B1DB1-Normal11"/>
              <w:jc w:val="center"/>
              <w:rPr>
                <w:noProof/>
              </w:rPr>
            </w:pPr>
            <w:r>
              <w:rPr>
                <w:noProof/>
              </w:rPr>
              <w:t>Število</w:t>
            </w:r>
          </w:p>
        </w:tc>
        <w:tc>
          <w:tcPr>
            <w:tcW w:w="993" w:type="dxa"/>
            <w:shd w:val="clear" w:color="auto" w:fill="C6EFCE"/>
            <w:noWrap/>
            <w:vAlign w:val="center"/>
            <w:hideMark/>
          </w:tcPr>
          <w:p w14:paraId="771E9178" w14:textId="77777777" w:rsidR="00154E32" w:rsidRDefault="00A43E04">
            <w:pPr>
              <w:pStyle w:val="P68B1DB1-Normal11"/>
              <w:jc w:val="center"/>
              <w:rPr>
                <w:noProof/>
              </w:rPr>
            </w:pPr>
            <w:r>
              <w:rPr>
                <w:noProof/>
              </w:rPr>
              <w:t>0</w:t>
            </w:r>
          </w:p>
        </w:tc>
        <w:tc>
          <w:tcPr>
            <w:tcW w:w="1275" w:type="dxa"/>
            <w:shd w:val="clear" w:color="auto" w:fill="C6EFCE"/>
            <w:noWrap/>
            <w:vAlign w:val="center"/>
            <w:hideMark/>
          </w:tcPr>
          <w:p w14:paraId="6ABFA426" w14:textId="77777777" w:rsidR="00154E32" w:rsidRDefault="00A43E04">
            <w:pPr>
              <w:pStyle w:val="P68B1DB1-Normal11"/>
              <w:jc w:val="center"/>
              <w:rPr>
                <w:noProof/>
              </w:rPr>
            </w:pPr>
            <w:r>
              <w:rPr>
                <w:noProof/>
              </w:rPr>
              <w:t>5</w:t>
            </w:r>
          </w:p>
        </w:tc>
        <w:tc>
          <w:tcPr>
            <w:tcW w:w="993" w:type="dxa"/>
            <w:shd w:val="clear" w:color="auto" w:fill="C6EFCE"/>
            <w:noWrap/>
            <w:vAlign w:val="center"/>
            <w:hideMark/>
          </w:tcPr>
          <w:p w14:paraId="550933E0" w14:textId="77777777" w:rsidR="00154E32" w:rsidRDefault="00A43E04">
            <w:pPr>
              <w:pStyle w:val="P68B1DB1-Normal11"/>
              <w:jc w:val="center"/>
              <w:rPr>
                <w:noProof/>
              </w:rPr>
            </w:pPr>
            <w:r>
              <w:rPr>
                <w:noProof/>
              </w:rPr>
              <w:t>Q2</w:t>
            </w:r>
          </w:p>
        </w:tc>
        <w:tc>
          <w:tcPr>
            <w:tcW w:w="708" w:type="dxa"/>
            <w:shd w:val="clear" w:color="auto" w:fill="C6EFCE"/>
            <w:noWrap/>
            <w:vAlign w:val="center"/>
            <w:hideMark/>
          </w:tcPr>
          <w:p w14:paraId="5D17EBB2" w14:textId="77777777" w:rsidR="00154E32" w:rsidRDefault="00A43E04">
            <w:pPr>
              <w:pStyle w:val="P68B1DB1-Normal11"/>
              <w:jc w:val="center"/>
              <w:rPr>
                <w:noProof/>
              </w:rPr>
            </w:pPr>
            <w:r>
              <w:rPr>
                <w:noProof/>
              </w:rPr>
              <w:t>2026</w:t>
            </w:r>
          </w:p>
        </w:tc>
        <w:tc>
          <w:tcPr>
            <w:tcW w:w="3686" w:type="dxa"/>
            <w:shd w:val="clear" w:color="auto" w:fill="C6EFCE"/>
            <w:noWrap/>
            <w:vAlign w:val="center"/>
            <w:hideMark/>
          </w:tcPr>
          <w:p w14:paraId="79B9E4E7" w14:textId="1F281DBC" w:rsidR="00154E32" w:rsidRDefault="00A43E04">
            <w:pPr>
              <w:pStyle w:val="P68B1DB1-Normal11"/>
              <w:ind w:left="30" w:hanging="30"/>
              <w:jc w:val="both"/>
              <w:rPr>
                <w:noProof/>
              </w:rPr>
            </w:pPr>
            <w:r>
              <w:rPr>
                <w:noProof/>
              </w:rPr>
              <w:t xml:space="preserve">Nacionalni centri, ki so prejeli naročila in so bili ocenjeni z mejnikom M4C2–19, delujejo in so zaključili svoje dejavnosti, kot so opredeljene v zadevnem razpisu za zbiranje projektov. </w:t>
            </w:r>
          </w:p>
        </w:tc>
      </w:tr>
      <w:tr w:rsidR="00154E32" w14:paraId="68A387A9" w14:textId="77777777">
        <w:trPr>
          <w:trHeight w:val="313"/>
        </w:trPr>
        <w:tc>
          <w:tcPr>
            <w:tcW w:w="1135" w:type="dxa"/>
            <w:shd w:val="clear" w:color="auto" w:fill="C6EFCE"/>
            <w:noWrap/>
            <w:vAlign w:val="center"/>
            <w:hideMark/>
          </w:tcPr>
          <w:p w14:paraId="7545AD2E" w14:textId="77777777" w:rsidR="00154E32" w:rsidRDefault="00A43E04">
            <w:pPr>
              <w:pStyle w:val="P68B1DB1-Normal11"/>
              <w:jc w:val="center"/>
              <w:rPr>
                <w:noProof/>
              </w:rPr>
            </w:pPr>
            <w:r>
              <w:rPr>
                <w:noProof/>
              </w:rPr>
              <w:t>M4C2–10</w:t>
            </w:r>
          </w:p>
        </w:tc>
        <w:tc>
          <w:tcPr>
            <w:tcW w:w="1419" w:type="dxa"/>
            <w:shd w:val="clear" w:color="auto" w:fill="C6EFCE"/>
            <w:noWrap/>
            <w:vAlign w:val="center"/>
            <w:hideMark/>
          </w:tcPr>
          <w:p w14:paraId="0D11BD51" w14:textId="77777777" w:rsidR="00154E32" w:rsidRDefault="00A43E04">
            <w:pPr>
              <w:pStyle w:val="P68B1DB1-Normal11"/>
              <w:jc w:val="center"/>
              <w:rPr>
                <w:noProof/>
              </w:rPr>
            </w:pPr>
            <w:r>
              <w:rPr>
                <w:noProof/>
              </w:rPr>
              <w:t>Naložba 2.1: POMEMBNI PROJEKTI SKUPNEGA EVROPSKEGA INTERESA</w:t>
            </w:r>
          </w:p>
        </w:tc>
        <w:tc>
          <w:tcPr>
            <w:tcW w:w="1132" w:type="dxa"/>
            <w:shd w:val="clear" w:color="auto" w:fill="C6EFCE"/>
            <w:noWrap/>
            <w:vAlign w:val="center"/>
            <w:hideMark/>
          </w:tcPr>
          <w:p w14:paraId="7C988CC9" w14:textId="77777777" w:rsidR="00154E32" w:rsidRDefault="00A43E04">
            <w:pPr>
              <w:pStyle w:val="P68B1DB1-Normal11"/>
              <w:jc w:val="center"/>
              <w:rPr>
                <w:noProof/>
              </w:rPr>
            </w:pPr>
            <w:r>
              <w:rPr>
                <w:noProof/>
              </w:rPr>
              <w:t>Mejnik</w:t>
            </w:r>
          </w:p>
        </w:tc>
        <w:tc>
          <w:tcPr>
            <w:tcW w:w="1418" w:type="dxa"/>
            <w:shd w:val="clear" w:color="auto" w:fill="C6EFCE"/>
            <w:noWrap/>
            <w:vAlign w:val="center"/>
            <w:hideMark/>
          </w:tcPr>
          <w:p w14:paraId="035DFC5A" w14:textId="77777777" w:rsidR="00154E32" w:rsidRDefault="00A43E04">
            <w:pPr>
              <w:pStyle w:val="P68B1DB1-Normal11"/>
              <w:jc w:val="center"/>
              <w:rPr>
                <w:noProof/>
              </w:rPr>
            </w:pPr>
            <w:r>
              <w:rPr>
                <w:noProof/>
              </w:rPr>
              <w:t>Objava razpisa za prijavo interesa za opredelitev nacionalnih projektov, vključno s projekti o mikroelektronskih projektih skupnega evropskega interesa</w:t>
            </w:r>
          </w:p>
        </w:tc>
        <w:tc>
          <w:tcPr>
            <w:tcW w:w="1275" w:type="dxa"/>
            <w:shd w:val="clear" w:color="auto" w:fill="C6EFCE"/>
            <w:noWrap/>
            <w:vAlign w:val="center"/>
            <w:hideMark/>
          </w:tcPr>
          <w:p w14:paraId="47A6A997" w14:textId="77777777" w:rsidR="00154E32" w:rsidRDefault="00A43E04">
            <w:pPr>
              <w:pStyle w:val="P68B1DB1-Normal11"/>
              <w:jc w:val="center"/>
              <w:rPr>
                <w:noProof/>
              </w:rPr>
            </w:pPr>
            <w:r>
              <w:rPr>
                <w:noProof/>
              </w:rPr>
              <w:t>Razpis za prijavo interesa je objavljen</w:t>
            </w:r>
          </w:p>
        </w:tc>
        <w:tc>
          <w:tcPr>
            <w:tcW w:w="1134" w:type="dxa"/>
            <w:shd w:val="clear" w:color="auto" w:fill="C6EFCE"/>
            <w:noWrap/>
            <w:vAlign w:val="center"/>
            <w:hideMark/>
          </w:tcPr>
          <w:p w14:paraId="5FC4D5BA" w14:textId="77777777" w:rsidR="00154E32" w:rsidRDefault="00A43E04">
            <w:pPr>
              <w:pStyle w:val="P68B1DB1-Normal11"/>
              <w:jc w:val="center"/>
              <w:rPr>
                <w:noProof/>
              </w:rPr>
            </w:pPr>
            <w:r>
              <w:rPr>
                <w:noProof/>
              </w:rPr>
              <w:t>JIH NI</w:t>
            </w:r>
          </w:p>
        </w:tc>
        <w:tc>
          <w:tcPr>
            <w:tcW w:w="993" w:type="dxa"/>
            <w:shd w:val="clear" w:color="auto" w:fill="C6EFCE"/>
            <w:noWrap/>
            <w:vAlign w:val="center"/>
            <w:hideMark/>
          </w:tcPr>
          <w:p w14:paraId="1D48328A" w14:textId="77777777" w:rsidR="00154E32" w:rsidRDefault="00A43E04">
            <w:pPr>
              <w:pStyle w:val="P68B1DB1-Normal11"/>
              <w:jc w:val="center"/>
              <w:rPr>
                <w:noProof/>
              </w:rPr>
            </w:pPr>
            <w:r>
              <w:rPr>
                <w:noProof/>
              </w:rPr>
              <w:t>JIH NI</w:t>
            </w:r>
          </w:p>
        </w:tc>
        <w:tc>
          <w:tcPr>
            <w:tcW w:w="1275" w:type="dxa"/>
            <w:shd w:val="clear" w:color="auto" w:fill="C6EFCE"/>
            <w:noWrap/>
            <w:vAlign w:val="center"/>
            <w:hideMark/>
          </w:tcPr>
          <w:p w14:paraId="75C7962C" w14:textId="77777777" w:rsidR="00154E32" w:rsidRDefault="00A43E04">
            <w:pPr>
              <w:pStyle w:val="P68B1DB1-Normal11"/>
              <w:jc w:val="center"/>
              <w:rPr>
                <w:noProof/>
              </w:rPr>
            </w:pPr>
            <w:r>
              <w:rPr>
                <w:noProof/>
              </w:rPr>
              <w:t>JIH NI</w:t>
            </w:r>
          </w:p>
        </w:tc>
        <w:tc>
          <w:tcPr>
            <w:tcW w:w="993" w:type="dxa"/>
            <w:shd w:val="clear" w:color="auto" w:fill="C6EFCE"/>
            <w:noWrap/>
            <w:vAlign w:val="center"/>
            <w:hideMark/>
          </w:tcPr>
          <w:p w14:paraId="04D8FF1D" w14:textId="77777777" w:rsidR="00154E32" w:rsidRDefault="00A43E04">
            <w:pPr>
              <w:pStyle w:val="P68B1DB1-Normal11"/>
              <w:jc w:val="center"/>
              <w:rPr>
                <w:noProof/>
              </w:rPr>
            </w:pPr>
            <w:r>
              <w:rPr>
                <w:noProof/>
              </w:rPr>
              <w:t>Q2</w:t>
            </w:r>
          </w:p>
        </w:tc>
        <w:tc>
          <w:tcPr>
            <w:tcW w:w="708" w:type="dxa"/>
            <w:shd w:val="clear" w:color="auto" w:fill="C6EFCE"/>
            <w:noWrap/>
            <w:vAlign w:val="center"/>
            <w:hideMark/>
          </w:tcPr>
          <w:p w14:paraId="13BFA905" w14:textId="77777777" w:rsidR="00154E32" w:rsidRDefault="00A43E04">
            <w:pPr>
              <w:pStyle w:val="P68B1DB1-Normal11"/>
              <w:jc w:val="center"/>
              <w:rPr>
                <w:noProof/>
              </w:rPr>
            </w:pPr>
            <w:r>
              <w:rPr>
                <w:noProof/>
              </w:rPr>
              <w:t>2021</w:t>
            </w:r>
          </w:p>
        </w:tc>
        <w:tc>
          <w:tcPr>
            <w:tcW w:w="3686" w:type="dxa"/>
            <w:shd w:val="clear" w:color="auto" w:fill="C6EFCE"/>
            <w:noWrap/>
            <w:vAlign w:val="center"/>
            <w:hideMark/>
          </w:tcPr>
          <w:p w14:paraId="3AC3E21C" w14:textId="77777777" w:rsidR="00154E32" w:rsidRDefault="00A43E04">
            <w:pPr>
              <w:pStyle w:val="P68B1DB1-Normal11"/>
              <w:rPr>
                <w:noProof/>
              </w:rPr>
            </w:pPr>
            <w:r>
              <w:rPr>
                <w:noProof/>
              </w:rPr>
              <w:t>Pričakuje se, da bodo projekti pomembnih projektov skupnega evropskega interesa, ki bodo podprti, posodobljeni glede na dejansko fazo napredka nacionalnih postopkov v zvezi s pomembnimi projekti skupnega evropskega interesa, ki trenutno potekajo, in fazo napredka postopka priglasitve državne pomoči.</w:t>
            </w:r>
          </w:p>
          <w:p w14:paraId="07C615FB" w14:textId="77777777" w:rsidR="00154E32" w:rsidRDefault="00A43E04">
            <w:pPr>
              <w:pStyle w:val="P68B1DB1-Normal11"/>
              <w:rPr>
                <w:noProof/>
              </w:rPr>
            </w:pPr>
            <w:r>
              <w:rPr>
                <w:noProof/>
              </w:rPr>
              <w:t>Izbrani pomembni projekt skupnega evropskega interesa upošteva specifične industrijske inovativne sektorje v skladu z že opredeljenimi evropskimi vrednostnimi verigami.</w:t>
            </w:r>
          </w:p>
          <w:p w14:paraId="5545EE70" w14:textId="2F071436" w:rsidR="00154E32" w:rsidRDefault="00A43E04">
            <w:pPr>
              <w:pStyle w:val="P68B1DB1-Normal11"/>
              <w:rPr>
                <w:noProof/>
              </w:rPr>
            </w:pPr>
            <w:r>
              <w:rPr>
                <w:noProof/>
              </w:rPr>
              <w:t>To posredovanje vključuje že odobrene pomembne projekte skupnega evropskega interesa in prihodnje projekte, kot so računalništvo v oblaku, zdravje, materiali v vrstah in kibernetska varnost.</w:t>
            </w:r>
          </w:p>
          <w:p w14:paraId="76D917A0" w14:textId="77777777" w:rsidR="00154E32" w:rsidRDefault="00A43E04">
            <w:pPr>
              <w:pStyle w:val="P68B1DB1-Normal11"/>
              <w:spacing w:before="120" w:after="120"/>
              <w:rPr>
                <w:noProof/>
              </w:rPr>
            </w:pPr>
            <w:r>
              <w:rPr>
                <w:noProof/>
              </w:rPr>
              <w:t>Pogoji razpisa vključujejo naslednje:</w:t>
            </w:r>
          </w:p>
          <w:p w14:paraId="016C4645" w14:textId="34B1D365" w:rsidR="00154E32" w:rsidRDefault="00A43E04">
            <w:pPr>
              <w:pStyle w:val="P68B1DB1-Normal11"/>
              <w:spacing w:before="120" w:after="120"/>
              <w:rPr>
                <w:noProof/>
              </w:rPr>
            </w:pPr>
            <w:r>
              <w:rPr>
                <w:noProof/>
              </w:rPr>
              <w:t>merila za upravičenost, ki zagotavljajo, da so izbrani projekti skladni s tehničnimi smernicami, da se ne škoduje bistveno (2021/C58/01), z uporabo seznama za izključitev in zahtevo po skladnosti z ustrezno okoljsko zakonodajo EU in nacionalno okoljsko zakonodajo.</w:t>
            </w:r>
          </w:p>
          <w:p w14:paraId="31D08355" w14:textId="77777777" w:rsidR="00154E32" w:rsidRDefault="00A43E04">
            <w:pPr>
              <w:pStyle w:val="P68B1DB1-paragraph25"/>
              <w:spacing w:before="0" w:beforeAutospacing="0" w:after="0" w:afterAutospacing="0"/>
              <w:textAlignment w:val="baseline"/>
              <w:rPr>
                <w:noProof/>
              </w:rPr>
            </w:pPr>
            <w:r>
              <w:rPr>
                <w:noProof/>
              </w:rPr>
              <w:t>b) zaveza, da bo podnebni prispevek naložbe v skladu z metodologijo iz Priloge VI k Uredbi (EU) 2021/241 predstavljal vsaj 40 % skupnih stroškov naložbe, ki jo podpira mehanizem za okrevanje in odpornost.</w:t>
            </w:r>
          </w:p>
          <w:p w14:paraId="274B2B8C" w14:textId="77777777" w:rsidR="00154E32" w:rsidRDefault="00A43E04">
            <w:pPr>
              <w:pStyle w:val="P68B1DB1-Normal11"/>
              <w:rPr>
                <w:noProof/>
              </w:rPr>
            </w:pPr>
            <w:r>
              <w:rPr>
                <w:noProof/>
              </w:rPr>
              <w:t>C) zaveza, da digitalni prispevek naložbe v skladu z metodologijo iz Priloge VII k Uredbi (EU) 2021/241 predstavlja vsaj 60 % skupnih stroškov naložbe, ki jo podpira mehanizem za okrevanje in odpornost.</w:t>
            </w:r>
          </w:p>
          <w:p w14:paraId="09D26CC5" w14:textId="77777777" w:rsidR="00154E32" w:rsidRDefault="00A43E04">
            <w:pPr>
              <w:pStyle w:val="P68B1DB1-Normal11"/>
              <w:spacing w:before="120" w:after="120"/>
              <w:rPr>
                <w:noProof/>
              </w:rPr>
            </w:pPr>
            <w:r>
              <w:rPr>
                <w:noProof/>
              </w:rPr>
              <w:t>d) zaveza za poročanje o izvajanju ukrepa na polovici trajanja sheme in ob koncu sheme.</w:t>
            </w:r>
          </w:p>
        </w:tc>
      </w:tr>
      <w:tr w:rsidR="00154E32" w14:paraId="5855ABEB" w14:textId="77777777">
        <w:trPr>
          <w:trHeight w:val="313"/>
        </w:trPr>
        <w:tc>
          <w:tcPr>
            <w:tcW w:w="1135" w:type="dxa"/>
            <w:shd w:val="clear" w:color="auto" w:fill="C6EFCE"/>
            <w:noWrap/>
            <w:vAlign w:val="center"/>
            <w:hideMark/>
          </w:tcPr>
          <w:p w14:paraId="64984887" w14:textId="77777777" w:rsidR="00154E32" w:rsidRDefault="00A43E04">
            <w:pPr>
              <w:pStyle w:val="P68B1DB1-Normal11"/>
              <w:jc w:val="center"/>
              <w:rPr>
                <w:noProof/>
              </w:rPr>
            </w:pPr>
            <w:r>
              <w:rPr>
                <w:noProof/>
              </w:rPr>
              <w:t>M4C2–11</w:t>
            </w:r>
          </w:p>
        </w:tc>
        <w:tc>
          <w:tcPr>
            <w:tcW w:w="1419" w:type="dxa"/>
            <w:shd w:val="clear" w:color="auto" w:fill="C6EFCE"/>
            <w:noWrap/>
            <w:vAlign w:val="center"/>
            <w:hideMark/>
          </w:tcPr>
          <w:p w14:paraId="04756724" w14:textId="754D541A" w:rsidR="00154E32" w:rsidRDefault="00A43E04">
            <w:pPr>
              <w:pStyle w:val="P68B1DB1-Normal11"/>
              <w:jc w:val="center"/>
              <w:rPr>
                <w:noProof/>
              </w:rPr>
            </w:pPr>
            <w:r>
              <w:rPr>
                <w:noProof/>
              </w:rPr>
              <w:t>Naložba 2.1: POMEMBNI PROJEKTI SKUPNEGA EVROPSKEGA INTERESA</w:t>
            </w:r>
          </w:p>
        </w:tc>
        <w:tc>
          <w:tcPr>
            <w:tcW w:w="1132" w:type="dxa"/>
            <w:shd w:val="clear" w:color="auto" w:fill="C6EFCE"/>
            <w:noWrap/>
            <w:vAlign w:val="center"/>
            <w:hideMark/>
          </w:tcPr>
          <w:p w14:paraId="28077E8B" w14:textId="599AE9B9" w:rsidR="00154E32" w:rsidRDefault="00A43E04">
            <w:pPr>
              <w:pStyle w:val="P68B1DB1-Normal11"/>
              <w:jc w:val="center"/>
              <w:rPr>
                <w:noProof/>
              </w:rPr>
            </w:pPr>
            <w:r>
              <w:rPr>
                <w:noProof/>
              </w:rPr>
              <w:t>Mejnik</w:t>
            </w:r>
          </w:p>
        </w:tc>
        <w:tc>
          <w:tcPr>
            <w:tcW w:w="1418" w:type="dxa"/>
            <w:shd w:val="clear" w:color="auto" w:fill="C6EFCE"/>
            <w:noWrap/>
            <w:vAlign w:val="center"/>
            <w:hideMark/>
          </w:tcPr>
          <w:p w14:paraId="428E5863" w14:textId="77777777" w:rsidR="00154E32" w:rsidRDefault="00A43E04">
            <w:pPr>
              <w:pStyle w:val="P68B1DB1-Normal11"/>
              <w:jc w:val="center"/>
              <w:rPr>
                <w:noProof/>
              </w:rPr>
            </w:pPr>
            <w:r>
              <w:rPr>
                <w:noProof/>
              </w:rPr>
              <w:t>Začetek veljavnosti nacionalnega pravnega akta o dodelitvi potrebnih sredstev za zagotavljanje podpore udeležencem projekta.</w:t>
            </w:r>
          </w:p>
        </w:tc>
        <w:tc>
          <w:tcPr>
            <w:tcW w:w="1275" w:type="dxa"/>
            <w:shd w:val="clear" w:color="auto" w:fill="C6EFCE"/>
            <w:noWrap/>
            <w:vAlign w:val="center"/>
            <w:hideMark/>
          </w:tcPr>
          <w:p w14:paraId="69E1A926" w14:textId="77777777" w:rsidR="00154E32" w:rsidRDefault="00A43E04">
            <w:pPr>
              <w:pStyle w:val="P68B1DB1-Normal11"/>
              <w:jc w:val="center"/>
              <w:rPr>
                <w:noProof/>
              </w:rPr>
            </w:pPr>
            <w:r>
              <w:rPr>
                <w:noProof/>
              </w:rPr>
              <w:t>Določba nacionalnega pravnega akta o začetku veljavnosti zakona</w:t>
            </w:r>
          </w:p>
        </w:tc>
        <w:tc>
          <w:tcPr>
            <w:tcW w:w="1134" w:type="dxa"/>
            <w:shd w:val="clear" w:color="auto" w:fill="C6EFCE"/>
            <w:noWrap/>
            <w:vAlign w:val="center"/>
            <w:hideMark/>
          </w:tcPr>
          <w:p w14:paraId="1123192F" w14:textId="77777777" w:rsidR="00154E32" w:rsidRDefault="00A43E04">
            <w:pPr>
              <w:pStyle w:val="P68B1DB1-Normal11"/>
              <w:jc w:val="center"/>
              <w:rPr>
                <w:noProof/>
              </w:rPr>
            </w:pPr>
            <w:r>
              <w:rPr>
                <w:noProof/>
              </w:rPr>
              <w:t>JIH NI</w:t>
            </w:r>
          </w:p>
        </w:tc>
        <w:tc>
          <w:tcPr>
            <w:tcW w:w="993" w:type="dxa"/>
            <w:shd w:val="clear" w:color="auto" w:fill="C6EFCE"/>
            <w:noWrap/>
            <w:vAlign w:val="center"/>
            <w:hideMark/>
          </w:tcPr>
          <w:p w14:paraId="0A89D5A7" w14:textId="77777777" w:rsidR="00154E32" w:rsidRDefault="00A43E04">
            <w:pPr>
              <w:pStyle w:val="P68B1DB1-Normal11"/>
              <w:jc w:val="center"/>
              <w:rPr>
                <w:noProof/>
              </w:rPr>
            </w:pPr>
            <w:r>
              <w:rPr>
                <w:noProof/>
              </w:rPr>
              <w:t>JIH NI</w:t>
            </w:r>
          </w:p>
        </w:tc>
        <w:tc>
          <w:tcPr>
            <w:tcW w:w="1275" w:type="dxa"/>
            <w:shd w:val="clear" w:color="auto" w:fill="C6EFCE"/>
            <w:noWrap/>
            <w:vAlign w:val="center"/>
            <w:hideMark/>
          </w:tcPr>
          <w:p w14:paraId="64D61645" w14:textId="77777777" w:rsidR="00154E32" w:rsidRDefault="00A43E04">
            <w:pPr>
              <w:pStyle w:val="P68B1DB1-Normal11"/>
              <w:jc w:val="center"/>
              <w:rPr>
                <w:noProof/>
              </w:rPr>
            </w:pPr>
            <w:r>
              <w:rPr>
                <w:noProof/>
              </w:rPr>
              <w:t>JIH NI</w:t>
            </w:r>
          </w:p>
        </w:tc>
        <w:tc>
          <w:tcPr>
            <w:tcW w:w="993" w:type="dxa"/>
            <w:shd w:val="clear" w:color="auto" w:fill="C6EFCE"/>
            <w:noWrap/>
            <w:vAlign w:val="center"/>
            <w:hideMark/>
          </w:tcPr>
          <w:p w14:paraId="04215486" w14:textId="77777777" w:rsidR="00154E32" w:rsidRDefault="00A43E04">
            <w:pPr>
              <w:pStyle w:val="P68B1DB1-Normal11"/>
              <w:jc w:val="center"/>
              <w:rPr>
                <w:noProof/>
              </w:rPr>
            </w:pPr>
            <w:r>
              <w:rPr>
                <w:noProof/>
              </w:rPr>
              <w:t>Q2</w:t>
            </w:r>
          </w:p>
        </w:tc>
        <w:tc>
          <w:tcPr>
            <w:tcW w:w="708" w:type="dxa"/>
            <w:shd w:val="clear" w:color="auto" w:fill="C6EFCE"/>
            <w:noWrap/>
            <w:vAlign w:val="center"/>
            <w:hideMark/>
          </w:tcPr>
          <w:p w14:paraId="0DB44B09" w14:textId="77777777" w:rsidR="00154E32" w:rsidRDefault="00A43E04">
            <w:pPr>
              <w:pStyle w:val="P68B1DB1-Normal11"/>
              <w:jc w:val="center"/>
              <w:rPr>
                <w:noProof/>
              </w:rPr>
            </w:pPr>
            <w:r>
              <w:rPr>
                <w:noProof/>
              </w:rPr>
              <w:t>2022</w:t>
            </w:r>
          </w:p>
        </w:tc>
        <w:tc>
          <w:tcPr>
            <w:tcW w:w="3686" w:type="dxa"/>
            <w:shd w:val="clear" w:color="auto" w:fill="C6EFCE"/>
            <w:noWrap/>
            <w:vAlign w:val="center"/>
            <w:hideMark/>
          </w:tcPr>
          <w:p w14:paraId="58AF4E24" w14:textId="77777777" w:rsidR="00154E32" w:rsidRDefault="00A43E04">
            <w:pPr>
              <w:pStyle w:val="P68B1DB1-Normal11"/>
              <w:rPr>
                <w:noProof/>
              </w:rPr>
            </w:pPr>
            <w:r>
              <w:rPr>
                <w:noProof/>
              </w:rPr>
              <w:t>V nacionalnem pravnem aktu so navedeni postopki in roki za predložitev projektov ter zahteve za dostop potencialnih upravičencev.</w:t>
            </w:r>
          </w:p>
        </w:tc>
      </w:tr>
      <w:tr w:rsidR="00154E32" w14:paraId="2F4580A0" w14:textId="77777777">
        <w:trPr>
          <w:trHeight w:val="313"/>
        </w:trPr>
        <w:tc>
          <w:tcPr>
            <w:tcW w:w="1135" w:type="dxa"/>
            <w:shd w:val="clear" w:color="auto" w:fill="C6EFCE"/>
            <w:noWrap/>
            <w:vAlign w:val="center"/>
            <w:hideMark/>
          </w:tcPr>
          <w:p w14:paraId="69B14556" w14:textId="77777777" w:rsidR="00154E32" w:rsidRDefault="00A43E04">
            <w:pPr>
              <w:pStyle w:val="P68B1DB1-Normal11"/>
              <w:jc w:val="center"/>
              <w:rPr>
                <w:noProof/>
              </w:rPr>
            </w:pPr>
            <w:r>
              <w:rPr>
                <w:noProof/>
              </w:rPr>
              <w:t>M4C2–12</w:t>
            </w:r>
          </w:p>
        </w:tc>
        <w:tc>
          <w:tcPr>
            <w:tcW w:w="1419" w:type="dxa"/>
            <w:shd w:val="clear" w:color="auto" w:fill="C6EFCE"/>
            <w:noWrap/>
            <w:vAlign w:val="center"/>
            <w:hideMark/>
          </w:tcPr>
          <w:p w14:paraId="50BDF4D2" w14:textId="77777777" w:rsidR="00154E32" w:rsidRDefault="00A43E04">
            <w:pPr>
              <w:pStyle w:val="P68B1DB1-Normal11"/>
              <w:jc w:val="center"/>
              <w:rPr>
                <w:noProof/>
              </w:rPr>
            </w:pPr>
            <w:r>
              <w:rPr>
                <w:noProof/>
              </w:rPr>
              <w:t>Naložba 2.1: POMEMBNI PROJEKTI SKUPNEGA EVROPSKEGA INTERESA</w:t>
            </w:r>
          </w:p>
        </w:tc>
        <w:tc>
          <w:tcPr>
            <w:tcW w:w="1132" w:type="dxa"/>
            <w:shd w:val="clear" w:color="auto" w:fill="C6EFCE"/>
            <w:noWrap/>
            <w:vAlign w:val="center"/>
            <w:hideMark/>
          </w:tcPr>
          <w:p w14:paraId="2265EA71" w14:textId="77777777" w:rsidR="00154E32" w:rsidRDefault="00A43E04">
            <w:pPr>
              <w:pStyle w:val="P68B1DB1-Normal11"/>
              <w:jc w:val="center"/>
              <w:rPr>
                <w:noProof/>
              </w:rPr>
            </w:pPr>
            <w:r>
              <w:rPr>
                <w:noProof/>
              </w:rPr>
              <w:t>Mejnik</w:t>
            </w:r>
          </w:p>
        </w:tc>
        <w:tc>
          <w:tcPr>
            <w:tcW w:w="1418" w:type="dxa"/>
            <w:shd w:val="clear" w:color="auto" w:fill="C6EFCE"/>
            <w:noWrap/>
            <w:vAlign w:val="center"/>
            <w:hideMark/>
          </w:tcPr>
          <w:p w14:paraId="3ADFB5D6" w14:textId="77777777" w:rsidR="00154E32" w:rsidRDefault="00A43E04">
            <w:pPr>
              <w:pStyle w:val="P68B1DB1-Normal11"/>
              <w:jc w:val="center"/>
              <w:rPr>
                <w:noProof/>
              </w:rPr>
            </w:pPr>
            <w:r>
              <w:rPr>
                <w:noProof/>
              </w:rPr>
              <w:t>Seznam udeležencev v projektih pomembnih projektov skupnega evropskega interesa bo dokončan do 30. junija 2023.</w:t>
            </w:r>
          </w:p>
        </w:tc>
        <w:tc>
          <w:tcPr>
            <w:tcW w:w="1275" w:type="dxa"/>
            <w:shd w:val="clear" w:color="auto" w:fill="C6EFCE"/>
            <w:noWrap/>
            <w:vAlign w:val="center"/>
            <w:hideMark/>
          </w:tcPr>
          <w:p w14:paraId="334FA2D7" w14:textId="77777777" w:rsidR="00154E32" w:rsidRDefault="00A43E04">
            <w:pPr>
              <w:pStyle w:val="P68B1DB1-Normal11"/>
              <w:jc w:val="center"/>
              <w:rPr>
                <w:noProof/>
              </w:rPr>
            </w:pPr>
            <w:r>
              <w:rPr>
                <w:noProof/>
              </w:rPr>
              <w:t>Objava seznama udeležencev</w:t>
            </w:r>
          </w:p>
        </w:tc>
        <w:tc>
          <w:tcPr>
            <w:tcW w:w="1134" w:type="dxa"/>
            <w:shd w:val="clear" w:color="auto" w:fill="C6EFCE"/>
            <w:noWrap/>
            <w:vAlign w:val="center"/>
            <w:hideMark/>
          </w:tcPr>
          <w:p w14:paraId="1126F29E" w14:textId="77777777" w:rsidR="00154E32" w:rsidRDefault="00A43E04">
            <w:pPr>
              <w:pStyle w:val="P68B1DB1-Normal11"/>
              <w:jc w:val="center"/>
              <w:rPr>
                <w:noProof/>
              </w:rPr>
            </w:pPr>
            <w:r>
              <w:rPr>
                <w:noProof/>
              </w:rPr>
              <w:t>JIH NI</w:t>
            </w:r>
          </w:p>
        </w:tc>
        <w:tc>
          <w:tcPr>
            <w:tcW w:w="993" w:type="dxa"/>
            <w:shd w:val="clear" w:color="auto" w:fill="C6EFCE"/>
            <w:noWrap/>
            <w:vAlign w:val="center"/>
            <w:hideMark/>
          </w:tcPr>
          <w:p w14:paraId="1E364914" w14:textId="77777777" w:rsidR="00154E32" w:rsidRDefault="00A43E04">
            <w:pPr>
              <w:pStyle w:val="P68B1DB1-Normal11"/>
              <w:jc w:val="center"/>
              <w:rPr>
                <w:noProof/>
              </w:rPr>
            </w:pPr>
            <w:r>
              <w:rPr>
                <w:noProof/>
              </w:rPr>
              <w:t>JIH NI</w:t>
            </w:r>
          </w:p>
        </w:tc>
        <w:tc>
          <w:tcPr>
            <w:tcW w:w="1275" w:type="dxa"/>
            <w:shd w:val="clear" w:color="auto" w:fill="C6EFCE"/>
            <w:noWrap/>
            <w:vAlign w:val="center"/>
            <w:hideMark/>
          </w:tcPr>
          <w:p w14:paraId="239E4827" w14:textId="77777777" w:rsidR="00154E32" w:rsidRDefault="00A43E04">
            <w:pPr>
              <w:pStyle w:val="P68B1DB1-Normal11"/>
              <w:jc w:val="center"/>
              <w:rPr>
                <w:noProof/>
              </w:rPr>
            </w:pPr>
            <w:r>
              <w:rPr>
                <w:noProof/>
              </w:rPr>
              <w:t>JIH NI</w:t>
            </w:r>
          </w:p>
        </w:tc>
        <w:tc>
          <w:tcPr>
            <w:tcW w:w="993" w:type="dxa"/>
            <w:shd w:val="clear" w:color="auto" w:fill="C6EFCE"/>
            <w:noWrap/>
            <w:vAlign w:val="center"/>
            <w:hideMark/>
          </w:tcPr>
          <w:p w14:paraId="0A42C960" w14:textId="77777777" w:rsidR="00154E32" w:rsidRDefault="00A43E04">
            <w:pPr>
              <w:pStyle w:val="P68B1DB1-Normal11"/>
              <w:jc w:val="center"/>
              <w:rPr>
                <w:noProof/>
              </w:rPr>
            </w:pPr>
            <w:r>
              <w:rPr>
                <w:noProof/>
              </w:rPr>
              <w:t>Q2</w:t>
            </w:r>
          </w:p>
        </w:tc>
        <w:tc>
          <w:tcPr>
            <w:tcW w:w="708" w:type="dxa"/>
            <w:shd w:val="clear" w:color="auto" w:fill="C6EFCE"/>
            <w:noWrap/>
            <w:vAlign w:val="center"/>
            <w:hideMark/>
          </w:tcPr>
          <w:p w14:paraId="3F342D1C" w14:textId="77777777" w:rsidR="00154E32" w:rsidRDefault="00A43E04">
            <w:pPr>
              <w:pStyle w:val="P68B1DB1-Normal11"/>
              <w:jc w:val="center"/>
              <w:rPr>
                <w:noProof/>
              </w:rPr>
            </w:pPr>
            <w:r>
              <w:rPr>
                <w:noProof/>
              </w:rPr>
              <w:t>2023</w:t>
            </w:r>
          </w:p>
        </w:tc>
        <w:tc>
          <w:tcPr>
            <w:tcW w:w="3686" w:type="dxa"/>
            <w:shd w:val="clear" w:color="auto" w:fill="C6EFCE"/>
            <w:noWrap/>
            <w:vAlign w:val="center"/>
            <w:hideMark/>
          </w:tcPr>
          <w:p w14:paraId="4FB35EB7" w14:textId="7DF160A4" w:rsidR="00154E32" w:rsidRDefault="00A43E04">
            <w:pPr>
              <w:pStyle w:val="P68B1DB1-Normal11"/>
              <w:rPr>
                <w:noProof/>
              </w:rPr>
            </w:pPr>
            <w:r>
              <w:rPr>
                <w:noProof/>
              </w:rPr>
              <w:t>Seznam vključuje sprejete subjekte, ki sodelujejo v projektih pomembnih projektov skupnega evropskega interesa, po preverjanjih in ocenah predstavljenih projektov, ki se izvedejo v skladu s tehničnimi smernicami o tem, da se ne škoduje bistveno (2021/C58/01), in sicer z uporabo seznama za izključitev in zahtevo po skladnosti z ustreznim okoljem na ravni EU in nacionalni ravni.</w:t>
            </w:r>
          </w:p>
        </w:tc>
      </w:tr>
      <w:tr w:rsidR="00154E32" w14:paraId="3BB2934E" w14:textId="77777777">
        <w:trPr>
          <w:trHeight w:val="313"/>
        </w:trPr>
        <w:tc>
          <w:tcPr>
            <w:tcW w:w="1135" w:type="dxa"/>
            <w:shd w:val="clear" w:color="auto" w:fill="C6EFCE"/>
            <w:noWrap/>
            <w:vAlign w:val="center"/>
            <w:hideMark/>
          </w:tcPr>
          <w:p w14:paraId="1864546B" w14:textId="77777777" w:rsidR="00154E32" w:rsidRDefault="00A43E04">
            <w:pPr>
              <w:pStyle w:val="P68B1DB1-Normal11"/>
              <w:jc w:val="center"/>
              <w:rPr>
                <w:noProof/>
              </w:rPr>
            </w:pPr>
            <w:r>
              <w:rPr>
                <w:noProof/>
              </w:rPr>
              <w:t>M4C2–13</w:t>
            </w:r>
          </w:p>
        </w:tc>
        <w:tc>
          <w:tcPr>
            <w:tcW w:w="1419" w:type="dxa"/>
            <w:shd w:val="clear" w:color="auto" w:fill="C6EFCE"/>
            <w:noWrap/>
            <w:vAlign w:val="center"/>
            <w:hideMark/>
          </w:tcPr>
          <w:p w14:paraId="5C073BA0" w14:textId="77777777" w:rsidR="00154E32" w:rsidRDefault="00A43E04">
            <w:pPr>
              <w:pStyle w:val="P68B1DB1-Normal11"/>
              <w:jc w:val="center"/>
              <w:rPr>
                <w:noProof/>
              </w:rPr>
            </w:pPr>
            <w:r>
              <w:rPr>
                <w:noProof/>
              </w:rPr>
              <w:t>Naložba 2.3: Krepitev in sektorska/ozemeljska razširitev centrov za prenos tehnologije po industrijskih segmentih</w:t>
            </w:r>
          </w:p>
        </w:tc>
        <w:tc>
          <w:tcPr>
            <w:tcW w:w="1132" w:type="dxa"/>
            <w:shd w:val="clear" w:color="auto" w:fill="C6EFCE"/>
            <w:noWrap/>
            <w:vAlign w:val="center"/>
            <w:hideMark/>
          </w:tcPr>
          <w:p w14:paraId="1C875027" w14:textId="77777777" w:rsidR="00154E32" w:rsidRDefault="00A43E04">
            <w:pPr>
              <w:pStyle w:val="P68B1DB1-Normal11"/>
              <w:jc w:val="center"/>
              <w:rPr>
                <w:noProof/>
              </w:rPr>
            </w:pPr>
            <w:r>
              <w:rPr>
                <w:noProof/>
              </w:rPr>
              <w:t>Tarča</w:t>
            </w:r>
          </w:p>
        </w:tc>
        <w:tc>
          <w:tcPr>
            <w:tcW w:w="1418" w:type="dxa"/>
            <w:shd w:val="clear" w:color="auto" w:fill="C6EFCE"/>
            <w:noWrap/>
            <w:vAlign w:val="center"/>
            <w:hideMark/>
          </w:tcPr>
          <w:p w14:paraId="0E1AB8A5" w14:textId="77777777" w:rsidR="00154E32" w:rsidRDefault="00A43E04">
            <w:pPr>
              <w:pStyle w:val="P68B1DB1-Normal11"/>
              <w:jc w:val="center"/>
              <w:rPr>
                <w:noProof/>
              </w:rPr>
            </w:pPr>
            <w:r>
              <w:rPr>
                <w:noProof/>
              </w:rPr>
              <w:t>Število novih vozlišč, ki jih je treba ustvariti</w:t>
            </w:r>
          </w:p>
        </w:tc>
        <w:tc>
          <w:tcPr>
            <w:tcW w:w="1275" w:type="dxa"/>
            <w:shd w:val="clear" w:color="auto" w:fill="C6EFCE"/>
            <w:noWrap/>
            <w:vAlign w:val="center"/>
            <w:hideMark/>
          </w:tcPr>
          <w:p w14:paraId="322A4891" w14:textId="77777777" w:rsidR="00154E32" w:rsidRDefault="00A43E04">
            <w:pPr>
              <w:pStyle w:val="P68B1DB1-Normal11"/>
              <w:jc w:val="center"/>
              <w:rPr>
                <w:noProof/>
              </w:rPr>
            </w:pPr>
            <w:r>
              <w:rPr>
                <w:noProof/>
              </w:rPr>
              <w:t>JIH NI</w:t>
            </w:r>
          </w:p>
        </w:tc>
        <w:tc>
          <w:tcPr>
            <w:tcW w:w="1134" w:type="dxa"/>
            <w:shd w:val="clear" w:color="auto" w:fill="C6EFCE"/>
            <w:noWrap/>
            <w:vAlign w:val="center"/>
            <w:hideMark/>
          </w:tcPr>
          <w:p w14:paraId="1B2EA61D" w14:textId="77777777" w:rsidR="00154E32" w:rsidRDefault="00A43E04">
            <w:pPr>
              <w:pStyle w:val="P68B1DB1-Normal11"/>
              <w:jc w:val="center"/>
              <w:rPr>
                <w:noProof/>
              </w:rPr>
            </w:pPr>
            <w:r>
              <w:rPr>
                <w:noProof/>
              </w:rPr>
              <w:t>Število</w:t>
            </w:r>
          </w:p>
        </w:tc>
        <w:tc>
          <w:tcPr>
            <w:tcW w:w="993" w:type="dxa"/>
            <w:shd w:val="clear" w:color="auto" w:fill="C6EFCE"/>
            <w:noWrap/>
            <w:vAlign w:val="center"/>
            <w:hideMark/>
          </w:tcPr>
          <w:p w14:paraId="67A76C4B" w14:textId="77777777" w:rsidR="00154E32" w:rsidRDefault="00A43E04">
            <w:pPr>
              <w:pStyle w:val="P68B1DB1-Normal11"/>
              <w:jc w:val="center"/>
              <w:rPr>
                <w:noProof/>
              </w:rPr>
            </w:pPr>
            <w:r>
              <w:rPr>
                <w:noProof/>
              </w:rPr>
              <w:t>8</w:t>
            </w:r>
          </w:p>
        </w:tc>
        <w:tc>
          <w:tcPr>
            <w:tcW w:w="1275" w:type="dxa"/>
            <w:shd w:val="clear" w:color="auto" w:fill="C6EFCE"/>
            <w:noWrap/>
            <w:vAlign w:val="center"/>
            <w:hideMark/>
          </w:tcPr>
          <w:p w14:paraId="1CF25735" w14:textId="77777777" w:rsidR="00154E32" w:rsidRDefault="00A43E04">
            <w:pPr>
              <w:pStyle w:val="P68B1DB1-Normal11"/>
              <w:jc w:val="center"/>
              <w:rPr>
                <w:noProof/>
              </w:rPr>
            </w:pPr>
            <w:r>
              <w:rPr>
                <w:noProof/>
              </w:rPr>
              <w:t>35</w:t>
            </w:r>
          </w:p>
        </w:tc>
        <w:tc>
          <w:tcPr>
            <w:tcW w:w="993" w:type="dxa"/>
            <w:shd w:val="clear" w:color="auto" w:fill="C6EFCE"/>
            <w:noWrap/>
            <w:vAlign w:val="center"/>
            <w:hideMark/>
          </w:tcPr>
          <w:p w14:paraId="18085D8E" w14:textId="77777777" w:rsidR="00154E32" w:rsidRDefault="00A43E04">
            <w:pPr>
              <w:pStyle w:val="P68B1DB1-Normal11"/>
              <w:jc w:val="center"/>
              <w:rPr>
                <w:noProof/>
              </w:rPr>
            </w:pPr>
            <w:r>
              <w:rPr>
                <w:noProof/>
              </w:rPr>
              <w:t>Q4</w:t>
            </w:r>
          </w:p>
        </w:tc>
        <w:tc>
          <w:tcPr>
            <w:tcW w:w="708" w:type="dxa"/>
            <w:shd w:val="clear" w:color="auto" w:fill="C6EFCE"/>
            <w:noWrap/>
            <w:vAlign w:val="center"/>
            <w:hideMark/>
          </w:tcPr>
          <w:p w14:paraId="13F9C723" w14:textId="77777777" w:rsidR="00154E32" w:rsidRDefault="00A43E04">
            <w:pPr>
              <w:pStyle w:val="P68B1DB1-Normal11"/>
              <w:jc w:val="center"/>
              <w:rPr>
                <w:noProof/>
              </w:rPr>
            </w:pPr>
            <w:r>
              <w:rPr>
                <w:noProof/>
              </w:rPr>
              <w:t>2025</w:t>
            </w:r>
          </w:p>
        </w:tc>
        <w:tc>
          <w:tcPr>
            <w:tcW w:w="3686" w:type="dxa"/>
            <w:shd w:val="clear" w:color="auto" w:fill="C6EFCE"/>
            <w:noWrap/>
            <w:vAlign w:val="center"/>
            <w:hideMark/>
          </w:tcPr>
          <w:p w14:paraId="7059462E" w14:textId="25078FD4" w:rsidR="00154E32" w:rsidRDefault="00A43E04">
            <w:pPr>
              <w:pStyle w:val="P68B1DB1-Normal11"/>
              <w:rPr>
                <w:noProof/>
              </w:rPr>
            </w:pPr>
            <w:r>
              <w:rPr>
                <w:noProof/>
              </w:rPr>
              <w:t xml:space="preserve">Začetek obratovanja 27 novih vozlišč v okviru prve vrste posredovanja ukrepa.  </w:t>
            </w:r>
          </w:p>
          <w:p w14:paraId="2BE642F5" w14:textId="5E6991BD" w:rsidR="00154E32" w:rsidRDefault="00A43E04">
            <w:pPr>
              <w:pStyle w:val="P68B1DB1-Normal11"/>
              <w:rPr>
                <w:noProof/>
              </w:rPr>
            </w:pPr>
            <w:r>
              <w:rPr>
                <w:noProof/>
              </w:rPr>
              <w:t>Cilj se osredotoča na tri vrste vozlišč:</w:t>
            </w:r>
          </w:p>
          <w:p w14:paraId="3BA36860" w14:textId="77777777" w:rsidR="00154E32" w:rsidRDefault="00A43E04">
            <w:pPr>
              <w:pStyle w:val="P68B1DB1-ListParagraph13"/>
              <w:numPr>
                <w:ilvl w:val="0"/>
                <w:numId w:val="50"/>
              </w:numPr>
              <w:jc w:val="left"/>
              <w:rPr>
                <w:noProof/>
              </w:rPr>
            </w:pPr>
            <w:r>
              <w:rPr>
                <w:noProof/>
              </w:rPr>
              <w:t>Strokovna središča</w:t>
            </w:r>
          </w:p>
          <w:p w14:paraId="06E80DA2" w14:textId="77777777" w:rsidR="00154E32" w:rsidRDefault="00A43E04">
            <w:pPr>
              <w:pStyle w:val="P68B1DB1-ListParagraph13"/>
              <w:numPr>
                <w:ilvl w:val="0"/>
                <w:numId w:val="50"/>
              </w:numPr>
              <w:jc w:val="left"/>
              <w:rPr>
                <w:noProof/>
              </w:rPr>
            </w:pPr>
            <w:r>
              <w:rPr>
                <w:noProof/>
              </w:rPr>
              <w:t>Pečat odličnosti</w:t>
            </w:r>
          </w:p>
          <w:p w14:paraId="0F5FC2C4" w14:textId="77777777" w:rsidR="00154E32" w:rsidRDefault="00A43E04">
            <w:pPr>
              <w:pStyle w:val="P68B1DB1-ListParagraph13"/>
              <w:numPr>
                <w:ilvl w:val="0"/>
                <w:numId w:val="50"/>
              </w:numPr>
              <w:jc w:val="left"/>
              <w:rPr>
                <w:noProof/>
              </w:rPr>
            </w:pPr>
            <w:r>
              <w:rPr>
                <w:noProof/>
              </w:rPr>
              <w:t>Mreža vozlišč za inovacije na terenu.</w:t>
            </w:r>
          </w:p>
          <w:p w14:paraId="67BF948B" w14:textId="77777777" w:rsidR="00154E32" w:rsidRDefault="00154E32">
            <w:pPr>
              <w:jc w:val="both"/>
              <w:rPr>
                <w:rFonts w:ascii="Arial Narrow" w:hAnsi="Arial Narrow"/>
                <w:noProof/>
                <w:color w:val="006100"/>
                <w:sz w:val="20"/>
              </w:rPr>
            </w:pPr>
          </w:p>
        </w:tc>
      </w:tr>
      <w:tr w:rsidR="00154E32" w14:paraId="3ACB71A9" w14:textId="77777777">
        <w:trPr>
          <w:trHeight w:val="313"/>
        </w:trPr>
        <w:tc>
          <w:tcPr>
            <w:tcW w:w="1135" w:type="dxa"/>
            <w:shd w:val="clear" w:color="auto" w:fill="C6EFCE"/>
            <w:noWrap/>
            <w:vAlign w:val="center"/>
            <w:hideMark/>
          </w:tcPr>
          <w:p w14:paraId="4CC9E603" w14:textId="77777777" w:rsidR="00154E32" w:rsidRDefault="00A43E04">
            <w:pPr>
              <w:pStyle w:val="P68B1DB1-Normal11"/>
              <w:jc w:val="center"/>
              <w:rPr>
                <w:noProof/>
              </w:rPr>
            </w:pPr>
            <w:r>
              <w:rPr>
                <w:noProof/>
              </w:rPr>
              <w:t>M4C2–14</w:t>
            </w:r>
          </w:p>
        </w:tc>
        <w:tc>
          <w:tcPr>
            <w:tcW w:w="1419" w:type="dxa"/>
            <w:shd w:val="clear" w:color="auto" w:fill="C6EFCE"/>
            <w:noWrap/>
            <w:vAlign w:val="center"/>
            <w:hideMark/>
          </w:tcPr>
          <w:p w14:paraId="7889D049" w14:textId="77777777" w:rsidR="00154E32" w:rsidRDefault="00A43E04">
            <w:pPr>
              <w:pStyle w:val="P68B1DB1-Normal11"/>
              <w:jc w:val="center"/>
              <w:rPr>
                <w:noProof/>
              </w:rPr>
            </w:pPr>
            <w:r>
              <w:rPr>
                <w:noProof/>
              </w:rPr>
              <w:t>Naložba 2.3: Krepitev in sektorska/ozemeljska razširitev centrov za prenos tehnologije po industrijskih segmentih</w:t>
            </w:r>
          </w:p>
        </w:tc>
        <w:tc>
          <w:tcPr>
            <w:tcW w:w="1132" w:type="dxa"/>
            <w:shd w:val="clear" w:color="auto" w:fill="C6EFCE"/>
            <w:noWrap/>
            <w:vAlign w:val="center"/>
            <w:hideMark/>
          </w:tcPr>
          <w:p w14:paraId="5A08807F" w14:textId="77777777" w:rsidR="00154E32" w:rsidRDefault="00A43E04">
            <w:pPr>
              <w:pStyle w:val="P68B1DB1-Normal11"/>
              <w:jc w:val="center"/>
              <w:rPr>
                <w:noProof/>
              </w:rPr>
            </w:pPr>
            <w:r>
              <w:rPr>
                <w:noProof/>
              </w:rPr>
              <w:t>Tarča</w:t>
            </w:r>
          </w:p>
        </w:tc>
        <w:tc>
          <w:tcPr>
            <w:tcW w:w="1418" w:type="dxa"/>
            <w:shd w:val="clear" w:color="auto" w:fill="C6EFCE"/>
            <w:noWrap/>
            <w:vAlign w:val="center"/>
            <w:hideMark/>
          </w:tcPr>
          <w:p w14:paraId="29BDF575" w14:textId="5BE0A382" w:rsidR="00154E32" w:rsidRDefault="00A43E04">
            <w:pPr>
              <w:pStyle w:val="P68B1DB1-Normal11"/>
              <w:jc w:val="center"/>
              <w:rPr>
                <w:noProof/>
              </w:rPr>
            </w:pPr>
            <w:r>
              <w:rPr>
                <w:noProof/>
              </w:rPr>
              <w:t>Izplačilo finančne vrednosti 307 000 000 EUR</w:t>
            </w:r>
          </w:p>
        </w:tc>
        <w:tc>
          <w:tcPr>
            <w:tcW w:w="1275" w:type="dxa"/>
            <w:shd w:val="clear" w:color="auto" w:fill="C6EFCE"/>
            <w:noWrap/>
            <w:vAlign w:val="center"/>
            <w:hideMark/>
          </w:tcPr>
          <w:p w14:paraId="777E569A" w14:textId="77777777" w:rsidR="00154E32" w:rsidRDefault="00A43E04">
            <w:pPr>
              <w:pStyle w:val="P68B1DB1-Normal11"/>
              <w:jc w:val="center"/>
              <w:rPr>
                <w:noProof/>
              </w:rPr>
            </w:pPr>
            <w:r>
              <w:rPr>
                <w:noProof/>
              </w:rPr>
              <w:t>JIH NI</w:t>
            </w:r>
          </w:p>
        </w:tc>
        <w:tc>
          <w:tcPr>
            <w:tcW w:w="1134" w:type="dxa"/>
            <w:shd w:val="clear" w:color="auto" w:fill="C6EFCE"/>
            <w:noWrap/>
            <w:vAlign w:val="center"/>
            <w:hideMark/>
          </w:tcPr>
          <w:p w14:paraId="44CD4EA0" w14:textId="77777777" w:rsidR="00154E32" w:rsidRDefault="00A43E04">
            <w:pPr>
              <w:pStyle w:val="P68B1DB1-Normal11"/>
              <w:jc w:val="center"/>
              <w:rPr>
                <w:noProof/>
              </w:rPr>
            </w:pPr>
            <w:r>
              <w:rPr>
                <w:noProof/>
              </w:rPr>
              <w:t>EUR</w:t>
            </w:r>
          </w:p>
        </w:tc>
        <w:tc>
          <w:tcPr>
            <w:tcW w:w="993" w:type="dxa"/>
            <w:shd w:val="clear" w:color="auto" w:fill="C6EFCE"/>
            <w:noWrap/>
            <w:vAlign w:val="center"/>
            <w:hideMark/>
          </w:tcPr>
          <w:p w14:paraId="134E338F" w14:textId="77777777" w:rsidR="00154E32" w:rsidRDefault="00A43E04">
            <w:pPr>
              <w:pStyle w:val="P68B1DB1-Normal11"/>
              <w:jc w:val="center"/>
              <w:rPr>
                <w:noProof/>
              </w:rPr>
            </w:pPr>
            <w:r>
              <w:rPr>
                <w:noProof/>
              </w:rPr>
              <w:t>0</w:t>
            </w:r>
          </w:p>
        </w:tc>
        <w:tc>
          <w:tcPr>
            <w:tcW w:w="1275" w:type="dxa"/>
            <w:shd w:val="clear" w:color="auto" w:fill="C6EFCE"/>
            <w:noWrap/>
            <w:vAlign w:val="center"/>
            <w:hideMark/>
          </w:tcPr>
          <w:p w14:paraId="3A1CA9D9" w14:textId="7E8E47AF" w:rsidR="00154E32" w:rsidRDefault="00A43E04">
            <w:pPr>
              <w:pStyle w:val="P68B1DB1-Normal11"/>
              <w:jc w:val="center"/>
              <w:rPr>
                <w:noProof/>
              </w:rPr>
            </w:pPr>
            <w:r>
              <w:rPr>
                <w:noProof/>
              </w:rPr>
              <w:t>307 000 000</w:t>
            </w:r>
          </w:p>
        </w:tc>
        <w:tc>
          <w:tcPr>
            <w:tcW w:w="993" w:type="dxa"/>
            <w:shd w:val="clear" w:color="auto" w:fill="C6EFCE"/>
            <w:noWrap/>
            <w:vAlign w:val="center"/>
            <w:hideMark/>
          </w:tcPr>
          <w:p w14:paraId="78ACCCCF" w14:textId="77777777" w:rsidR="00154E32" w:rsidRDefault="00A43E04">
            <w:pPr>
              <w:pStyle w:val="P68B1DB1-Normal11"/>
              <w:jc w:val="center"/>
              <w:rPr>
                <w:noProof/>
              </w:rPr>
            </w:pPr>
            <w:r>
              <w:rPr>
                <w:noProof/>
              </w:rPr>
              <w:t>Q2</w:t>
            </w:r>
          </w:p>
        </w:tc>
        <w:tc>
          <w:tcPr>
            <w:tcW w:w="708" w:type="dxa"/>
            <w:shd w:val="clear" w:color="auto" w:fill="C6EFCE"/>
            <w:noWrap/>
            <w:vAlign w:val="center"/>
            <w:hideMark/>
          </w:tcPr>
          <w:p w14:paraId="183A1F62" w14:textId="77777777" w:rsidR="00154E32" w:rsidRDefault="00A43E04">
            <w:pPr>
              <w:pStyle w:val="P68B1DB1-Normal11"/>
              <w:jc w:val="center"/>
              <w:rPr>
                <w:noProof/>
              </w:rPr>
            </w:pPr>
            <w:r>
              <w:rPr>
                <w:noProof/>
              </w:rPr>
              <w:t>2026</w:t>
            </w:r>
          </w:p>
        </w:tc>
        <w:tc>
          <w:tcPr>
            <w:tcW w:w="3686" w:type="dxa"/>
            <w:shd w:val="clear" w:color="auto" w:fill="C6EFCE"/>
            <w:noWrap/>
            <w:vAlign w:val="center"/>
            <w:hideMark/>
          </w:tcPr>
          <w:p w14:paraId="08D2A196" w14:textId="040DAA9E" w:rsidR="00154E32" w:rsidRDefault="00A43E04">
            <w:pPr>
              <w:pStyle w:val="P68B1DB1-Normal19"/>
              <w:jc w:val="both"/>
              <w:rPr>
                <w:rFonts w:eastAsia="Calibri"/>
                <w:noProof/>
              </w:rPr>
            </w:pPr>
            <w:r>
              <w:rPr>
                <w:noProof/>
              </w:rPr>
              <w:t xml:space="preserve">307 000 000 EUR se izplača v okviru prve vrstice za posredovanje ukrepa centrom za prenos tehnologije za krepitev nacionalne mreže in zagotavljanje storitev podjetjem.  </w:t>
            </w:r>
          </w:p>
          <w:p w14:paraId="138DA6B3" w14:textId="77777777" w:rsidR="00154E32" w:rsidRDefault="00A43E04">
            <w:pPr>
              <w:pStyle w:val="P68B1DB1-Normal11"/>
              <w:spacing w:before="120" w:after="120"/>
              <w:rPr>
                <w:noProof/>
              </w:rPr>
            </w:pPr>
            <w:r>
              <w:rPr>
                <w:noProof/>
              </w:rPr>
              <w:t>Storitve, ki jih je treba opraviti, vključujejo:</w:t>
            </w:r>
          </w:p>
          <w:p w14:paraId="3C40E523" w14:textId="77777777" w:rsidR="00154E32" w:rsidRDefault="00A43E04">
            <w:pPr>
              <w:pStyle w:val="P68B1DB1-ListParagraph13"/>
              <w:numPr>
                <w:ilvl w:val="0"/>
                <w:numId w:val="49"/>
              </w:numPr>
              <w:jc w:val="left"/>
              <w:rPr>
                <w:noProof/>
              </w:rPr>
            </w:pPr>
            <w:r>
              <w:rPr>
                <w:noProof/>
              </w:rPr>
              <w:t xml:space="preserve">(I) digitalno ocenjevanje, (ii) preizkus pred naložbo, (iii) usposabljanje; </w:t>
            </w:r>
          </w:p>
          <w:p w14:paraId="20A34DD4" w14:textId="77777777" w:rsidR="00154E32" w:rsidRDefault="00A43E04">
            <w:pPr>
              <w:pStyle w:val="P68B1DB1-ListParagraph13"/>
              <w:numPr>
                <w:ilvl w:val="0"/>
                <w:numId w:val="49"/>
              </w:numPr>
              <w:jc w:val="left"/>
              <w:rPr>
                <w:noProof/>
              </w:rPr>
            </w:pPr>
            <w:r>
              <w:rPr>
                <w:noProof/>
              </w:rPr>
              <w:t>IV) dostop do financiranja;</w:t>
            </w:r>
          </w:p>
          <w:p w14:paraId="33ED76E3" w14:textId="77777777" w:rsidR="00154E32" w:rsidRDefault="00A43E04">
            <w:pPr>
              <w:pStyle w:val="P68B1DB1-ListParagraph13"/>
              <w:numPr>
                <w:ilvl w:val="0"/>
                <w:numId w:val="49"/>
              </w:numPr>
              <w:jc w:val="left"/>
              <w:rPr>
                <w:noProof/>
              </w:rPr>
            </w:pPr>
            <w:r>
              <w:rPr>
                <w:noProof/>
              </w:rPr>
              <w:t xml:space="preserve">IV) finančno in operativno podporo za razvoj inovacijskih projektov (TRL več kot 5); </w:t>
            </w:r>
          </w:p>
          <w:p w14:paraId="37F6B722" w14:textId="77777777" w:rsidR="00154E32" w:rsidRDefault="00A43E04">
            <w:pPr>
              <w:pStyle w:val="P68B1DB1-ListParagraph13"/>
              <w:numPr>
                <w:ilvl w:val="0"/>
                <w:numId w:val="49"/>
              </w:numPr>
              <w:jc w:val="left"/>
              <w:rPr>
                <w:noProof/>
              </w:rPr>
            </w:pPr>
            <w:r>
              <w:rPr>
                <w:noProof/>
              </w:rPr>
              <w:t xml:space="preserve">(VI) tehnološko posredništvo </w:t>
            </w:r>
          </w:p>
          <w:p w14:paraId="0EDC76EF" w14:textId="77777777" w:rsidR="00154E32" w:rsidRDefault="00A43E04">
            <w:pPr>
              <w:pStyle w:val="P68B1DB1-ListParagraph13"/>
              <w:numPr>
                <w:ilvl w:val="0"/>
                <w:numId w:val="49"/>
              </w:numPr>
              <w:jc w:val="left"/>
              <w:rPr>
                <w:noProof/>
              </w:rPr>
            </w:pPr>
            <w:r>
              <w:rPr>
                <w:noProof/>
              </w:rPr>
              <w:t>ozaveščanje na lokalni ravni.</w:t>
            </w:r>
          </w:p>
        </w:tc>
      </w:tr>
      <w:tr w:rsidR="00154E32" w14:paraId="0B13C822" w14:textId="77777777">
        <w:trPr>
          <w:trHeight w:val="313"/>
        </w:trPr>
        <w:tc>
          <w:tcPr>
            <w:tcW w:w="1135" w:type="dxa"/>
            <w:shd w:val="clear" w:color="auto" w:fill="C6EFCE"/>
            <w:noWrap/>
            <w:vAlign w:val="center"/>
            <w:hideMark/>
          </w:tcPr>
          <w:p w14:paraId="29D43B22" w14:textId="77777777" w:rsidR="00154E32" w:rsidRDefault="00A43E04">
            <w:pPr>
              <w:pStyle w:val="P68B1DB1-Normal11"/>
              <w:jc w:val="center"/>
              <w:rPr>
                <w:noProof/>
              </w:rPr>
            </w:pPr>
            <w:r>
              <w:rPr>
                <w:noProof/>
              </w:rPr>
              <w:t>M4C2–15</w:t>
            </w:r>
          </w:p>
        </w:tc>
        <w:tc>
          <w:tcPr>
            <w:tcW w:w="1419" w:type="dxa"/>
            <w:shd w:val="clear" w:color="auto" w:fill="C6EFCE"/>
            <w:noWrap/>
            <w:vAlign w:val="center"/>
            <w:hideMark/>
          </w:tcPr>
          <w:p w14:paraId="4DED5FEB" w14:textId="77777777" w:rsidR="00154E32" w:rsidRDefault="00A43E04">
            <w:pPr>
              <w:pStyle w:val="P68B1DB1-Normal11"/>
              <w:jc w:val="center"/>
              <w:rPr>
                <w:noProof/>
              </w:rPr>
            </w:pPr>
            <w:r>
              <w:rPr>
                <w:noProof/>
              </w:rPr>
              <w:t>Naložba 2.3: Krepitev in sektorska/ozemeljska razširitev centrov za prenos tehnologije po industrijskih segmentih</w:t>
            </w:r>
          </w:p>
        </w:tc>
        <w:tc>
          <w:tcPr>
            <w:tcW w:w="1132" w:type="dxa"/>
            <w:shd w:val="clear" w:color="auto" w:fill="C6EFCE"/>
            <w:noWrap/>
            <w:vAlign w:val="center"/>
            <w:hideMark/>
          </w:tcPr>
          <w:p w14:paraId="268588AC" w14:textId="77777777" w:rsidR="00154E32" w:rsidRDefault="00A43E04">
            <w:pPr>
              <w:pStyle w:val="P68B1DB1-Normal11"/>
              <w:jc w:val="center"/>
              <w:rPr>
                <w:noProof/>
              </w:rPr>
            </w:pPr>
            <w:r>
              <w:rPr>
                <w:noProof/>
              </w:rPr>
              <w:t>Tarča</w:t>
            </w:r>
          </w:p>
        </w:tc>
        <w:tc>
          <w:tcPr>
            <w:tcW w:w="1418" w:type="dxa"/>
            <w:shd w:val="clear" w:color="auto" w:fill="C6EFCE"/>
            <w:noWrap/>
            <w:vAlign w:val="center"/>
            <w:hideMark/>
          </w:tcPr>
          <w:p w14:paraId="6BD90134" w14:textId="77777777" w:rsidR="00154E32" w:rsidRDefault="00A43E04">
            <w:pPr>
              <w:pStyle w:val="P68B1DB1-Normal11"/>
              <w:rPr>
                <w:noProof/>
              </w:rPr>
            </w:pPr>
            <w:r>
              <w:rPr>
                <w:noProof/>
              </w:rPr>
              <w:t>Število podprtih MSP</w:t>
            </w:r>
          </w:p>
        </w:tc>
        <w:tc>
          <w:tcPr>
            <w:tcW w:w="1275" w:type="dxa"/>
            <w:shd w:val="clear" w:color="auto" w:fill="C6EFCE"/>
            <w:noWrap/>
            <w:vAlign w:val="center"/>
            <w:hideMark/>
          </w:tcPr>
          <w:p w14:paraId="7F10161B" w14:textId="77777777" w:rsidR="00154E32" w:rsidRDefault="00A43E04">
            <w:pPr>
              <w:pStyle w:val="P68B1DB1-Normal11"/>
              <w:jc w:val="center"/>
              <w:rPr>
                <w:noProof/>
              </w:rPr>
            </w:pPr>
            <w:r>
              <w:rPr>
                <w:noProof/>
              </w:rPr>
              <w:t>JIH NI</w:t>
            </w:r>
          </w:p>
        </w:tc>
        <w:tc>
          <w:tcPr>
            <w:tcW w:w="1134" w:type="dxa"/>
            <w:shd w:val="clear" w:color="auto" w:fill="C6EFCE"/>
            <w:noWrap/>
            <w:vAlign w:val="center"/>
            <w:hideMark/>
          </w:tcPr>
          <w:p w14:paraId="272D1181" w14:textId="77777777" w:rsidR="00154E32" w:rsidRDefault="00A43E04">
            <w:pPr>
              <w:pStyle w:val="P68B1DB1-Normal11"/>
              <w:jc w:val="center"/>
              <w:rPr>
                <w:noProof/>
              </w:rPr>
            </w:pPr>
            <w:r>
              <w:rPr>
                <w:noProof/>
              </w:rPr>
              <w:t>Število</w:t>
            </w:r>
          </w:p>
        </w:tc>
        <w:tc>
          <w:tcPr>
            <w:tcW w:w="993" w:type="dxa"/>
            <w:shd w:val="clear" w:color="auto" w:fill="C6EFCE"/>
            <w:noWrap/>
            <w:vAlign w:val="center"/>
            <w:hideMark/>
          </w:tcPr>
          <w:p w14:paraId="7356DD2A" w14:textId="77777777" w:rsidR="00154E32" w:rsidRDefault="00A43E04">
            <w:pPr>
              <w:pStyle w:val="P68B1DB1-Normal11"/>
              <w:jc w:val="center"/>
              <w:rPr>
                <w:noProof/>
              </w:rPr>
            </w:pPr>
            <w:r>
              <w:rPr>
                <w:noProof/>
              </w:rPr>
              <w:t>0</w:t>
            </w:r>
          </w:p>
        </w:tc>
        <w:tc>
          <w:tcPr>
            <w:tcW w:w="1275" w:type="dxa"/>
            <w:shd w:val="clear" w:color="auto" w:fill="C6EFCE"/>
            <w:noWrap/>
            <w:vAlign w:val="center"/>
            <w:hideMark/>
          </w:tcPr>
          <w:p w14:paraId="666F83D3" w14:textId="2E256C18" w:rsidR="00154E32" w:rsidRDefault="00A43E04">
            <w:pPr>
              <w:pStyle w:val="P68B1DB1-Normal11"/>
              <w:jc w:val="center"/>
              <w:rPr>
                <w:noProof/>
              </w:rPr>
            </w:pPr>
            <w:r>
              <w:rPr>
                <w:noProof/>
              </w:rPr>
              <w:t>5 000</w:t>
            </w:r>
          </w:p>
        </w:tc>
        <w:tc>
          <w:tcPr>
            <w:tcW w:w="993" w:type="dxa"/>
            <w:shd w:val="clear" w:color="auto" w:fill="C6EFCE"/>
            <w:noWrap/>
            <w:vAlign w:val="center"/>
            <w:hideMark/>
          </w:tcPr>
          <w:p w14:paraId="5F212153" w14:textId="77777777" w:rsidR="00154E32" w:rsidRDefault="00A43E04">
            <w:pPr>
              <w:pStyle w:val="P68B1DB1-Normal11"/>
              <w:jc w:val="center"/>
              <w:rPr>
                <w:noProof/>
              </w:rPr>
            </w:pPr>
            <w:r>
              <w:rPr>
                <w:noProof/>
              </w:rPr>
              <w:t>Q2</w:t>
            </w:r>
          </w:p>
        </w:tc>
        <w:tc>
          <w:tcPr>
            <w:tcW w:w="708" w:type="dxa"/>
            <w:shd w:val="clear" w:color="auto" w:fill="C6EFCE"/>
            <w:noWrap/>
            <w:vAlign w:val="center"/>
            <w:hideMark/>
          </w:tcPr>
          <w:p w14:paraId="150847AB" w14:textId="77777777" w:rsidR="00154E32" w:rsidRDefault="00A43E04">
            <w:pPr>
              <w:pStyle w:val="P68B1DB1-Normal11"/>
              <w:jc w:val="center"/>
              <w:rPr>
                <w:noProof/>
              </w:rPr>
            </w:pPr>
            <w:r>
              <w:rPr>
                <w:noProof/>
              </w:rPr>
              <w:t>2026</w:t>
            </w:r>
          </w:p>
        </w:tc>
        <w:tc>
          <w:tcPr>
            <w:tcW w:w="3686" w:type="dxa"/>
            <w:shd w:val="clear" w:color="auto" w:fill="C6EFCE"/>
            <w:noWrap/>
            <w:vAlign w:val="center"/>
            <w:hideMark/>
          </w:tcPr>
          <w:p w14:paraId="79B22EC7" w14:textId="6CB09169" w:rsidR="00154E32" w:rsidRDefault="00A43E04">
            <w:pPr>
              <w:pStyle w:val="P68B1DB1-Normal11"/>
              <w:rPr>
                <w:noProof/>
              </w:rPr>
            </w:pPr>
            <w:r>
              <w:rPr>
                <w:noProof/>
              </w:rPr>
              <w:t>Vsaj 5000 MSP, ki jih podpirajo nacionalni financirani centri (kompetenčni centri; Pečat odličnosti; Nacionalna vozlišča za digitalne inovacije) v okviru prve vrste posredovanja ukrepa z zagotavljanjem storitev, ki vključujejo:</w:t>
            </w:r>
          </w:p>
          <w:p w14:paraId="141F46C3" w14:textId="77777777" w:rsidR="00154E32" w:rsidRDefault="00A43E04">
            <w:pPr>
              <w:pStyle w:val="P68B1DB1-ListParagraph13"/>
              <w:numPr>
                <w:ilvl w:val="0"/>
                <w:numId w:val="55"/>
              </w:numPr>
              <w:spacing w:before="0" w:after="200" w:line="276" w:lineRule="auto"/>
              <w:jc w:val="left"/>
              <w:rPr>
                <w:noProof/>
              </w:rPr>
            </w:pPr>
            <w:r>
              <w:rPr>
                <w:noProof/>
              </w:rPr>
              <w:t xml:space="preserve">Digitalno preverjanje </w:t>
            </w:r>
          </w:p>
          <w:p w14:paraId="27ABB714" w14:textId="77777777" w:rsidR="00154E32" w:rsidRDefault="00A43E04">
            <w:pPr>
              <w:pStyle w:val="P68B1DB1-ListParagraph13"/>
              <w:numPr>
                <w:ilvl w:val="0"/>
                <w:numId w:val="55"/>
              </w:numPr>
              <w:spacing w:before="0" w:after="200" w:line="276" w:lineRule="auto"/>
              <w:jc w:val="left"/>
              <w:rPr>
                <w:noProof/>
              </w:rPr>
            </w:pPr>
            <w:r>
              <w:rPr>
                <w:noProof/>
              </w:rPr>
              <w:t xml:space="preserve">Preizkus – pred naložbo, </w:t>
            </w:r>
          </w:p>
          <w:p w14:paraId="6767003F" w14:textId="77777777" w:rsidR="00154E32" w:rsidRDefault="00A43E04">
            <w:pPr>
              <w:pStyle w:val="P68B1DB1-ListParagraph13"/>
              <w:numPr>
                <w:ilvl w:val="0"/>
                <w:numId w:val="55"/>
              </w:numPr>
              <w:spacing w:before="0" w:after="200" w:line="276" w:lineRule="auto"/>
              <w:jc w:val="left"/>
              <w:rPr>
                <w:noProof/>
              </w:rPr>
            </w:pPr>
            <w:r>
              <w:rPr>
                <w:noProof/>
              </w:rPr>
              <w:t xml:space="preserve">usposabljanje; </w:t>
            </w:r>
          </w:p>
          <w:p w14:paraId="6F9DF040" w14:textId="77777777" w:rsidR="00154E32" w:rsidRDefault="00A43E04">
            <w:pPr>
              <w:pStyle w:val="P68B1DB1-ListParagraph13"/>
              <w:numPr>
                <w:ilvl w:val="0"/>
                <w:numId w:val="55"/>
              </w:numPr>
              <w:spacing w:before="0" w:after="200" w:line="276" w:lineRule="auto"/>
              <w:jc w:val="left"/>
              <w:rPr>
                <w:noProof/>
              </w:rPr>
            </w:pPr>
            <w:r>
              <w:rPr>
                <w:noProof/>
              </w:rPr>
              <w:t xml:space="preserve">dostop do finančnih sredstev; </w:t>
            </w:r>
          </w:p>
          <w:p w14:paraId="7D9AC419" w14:textId="77777777" w:rsidR="00154E32" w:rsidRDefault="00A43E04">
            <w:pPr>
              <w:pStyle w:val="P68B1DB1-ListParagraph13"/>
              <w:numPr>
                <w:ilvl w:val="0"/>
                <w:numId w:val="55"/>
              </w:numPr>
              <w:spacing w:before="0" w:after="200" w:line="276" w:lineRule="auto"/>
              <w:jc w:val="left"/>
              <w:rPr>
                <w:noProof/>
              </w:rPr>
            </w:pPr>
            <w:r>
              <w:rPr>
                <w:noProof/>
              </w:rPr>
              <w:t xml:space="preserve">finančna in operativna podpora za razvoj inovacijskih projektov (TRL več kot 5); </w:t>
            </w:r>
          </w:p>
          <w:p w14:paraId="66511825" w14:textId="77777777" w:rsidR="00154E32" w:rsidRDefault="00A43E04">
            <w:pPr>
              <w:pStyle w:val="P68B1DB1-ListParagraph13"/>
              <w:numPr>
                <w:ilvl w:val="0"/>
                <w:numId w:val="55"/>
              </w:numPr>
              <w:spacing w:before="0" w:after="200" w:line="276" w:lineRule="auto"/>
              <w:jc w:val="left"/>
              <w:rPr>
                <w:noProof/>
              </w:rPr>
            </w:pPr>
            <w:r>
              <w:rPr>
                <w:noProof/>
              </w:rPr>
              <w:t xml:space="preserve">tehnološko posredništvo </w:t>
            </w:r>
          </w:p>
          <w:p w14:paraId="3FD5E089" w14:textId="5CCF58E6" w:rsidR="00154E32" w:rsidRDefault="00A43E04">
            <w:pPr>
              <w:pStyle w:val="P68B1DB1-ListParagraph13"/>
              <w:numPr>
                <w:ilvl w:val="0"/>
                <w:numId w:val="55"/>
              </w:numPr>
              <w:spacing w:before="0" w:after="200" w:line="276" w:lineRule="auto"/>
              <w:jc w:val="left"/>
              <w:rPr>
                <w:noProof/>
              </w:rPr>
            </w:pPr>
            <w:r>
              <w:rPr>
                <w:noProof/>
              </w:rPr>
              <w:t>ozaveščanje na lokalni ravni.</w:t>
            </w:r>
          </w:p>
        </w:tc>
      </w:tr>
      <w:tr w:rsidR="00154E32" w14:paraId="3E0671CE" w14:textId="77777777">
        <w:trPr>
          <w:trHeight w:val="313"/>
        </w:trPr>
        <w:tc>
          <w:tcPr>
            <w:tcW w:w="1135" w:type="dxa"/>
            <w:shd w:val="clear" w:color="auto" w:fill="C6EFCE"/>
            <w:noWrap/>
            <w:vAlign w:val="center"/>
          </w:tcPr>
          <w:p w14:paraId="10F16418" w14:textId="77777777" w:rsidR="00154E32" w:rsidRDefault="00A43E04">
            <w:pPr>
              <w:pStyle w:val="P68B1DB1-Normal11"/>
              <w:jc w:val="center"/>
              <w:rPr>
                <w:noProof/>
              </w:rPr>
            </w:pPr>
            <w:r>
              <w:rPr>
                <w:noProof/>
              </w:rPr>
              <w:t>M4C2–15a</w:t>
            </w:r>
          </w:p>
        </w:tc>
        <w:tc>
          <w:tcPr>
            <w:tcW w:w="1419" w:type="dxa"/>
            <w:shd w:val="clear" w:color="auto" w:fill="C6EFCE"/>
            <w:noWrap/>
            <w:vAlign w:val="center"/>
          </w:tcPr>
          <w:p w14:paraId="1799B8D9" w14:textId="77777777" w:rsidR="00154E32" w:rsidRDefault="00A43E04">
            <w:pPr>
              <w:pStyle w:val="P68B1DB1-Normal11"/>
              <w:jc w:val="center"/>
              <w:rPr>
                <w:noProof/>
              </w:rPr>
            </w:pPr>
            <w:r>
              <w:rPr>
                <w:noProof/>
              </w:rPr>
              <w:t>Naložba 2.3: Krepitev in sektorska/ozemeljska razširitev centrov za prenos tehnologije po industrijskih segmentih</w:t>
            </w:r>
          </w:p>
        </w:tc>
        <w:tc>
          <w:tcPr>
            <w:tcW w:w="1132" w:type="dxa"/>
            <w:shd w:val="clear" w:color="auto" w:fill="C6EFCE"/>
            <w:noWrap/>
            <w:vAlign w:val="center"/>
          </w:tcPr>
          <w:p w14:paraId="7F552549" w14:textId="77777777" w:rsidR="00154E32" w:rsidRDefault="00A43E04">
            <w:pPr>
              <w:pStyle w:val="P68B1DB1-Normal11"/>
              <w:jc w:val="center"/>
              <w:rPr>
                <w:noProof/>
              </w:rPr>
            </w:pPr>
            <w:r>
              <w:rPr>
                <w:noProof/>
              </w:rPr>
              <w:t>Mejnik</w:t>
            </w:r>
          </w:p>
        </w:tc>
        <w:tc>
          <w:tcPr>
            <w:tcW w:w="1418" w:type="dxa"/>
            <w:shd w:val="clear" w:color="auto" w:fill="C6EFCE"/>
            <w:noWrap/>
            <w:vAlign w:val="center"/>
          </w:tcPr>
          <w:p w14:paraId="0084542A" w14:textId="77777777" w:rsidR="00154E32" w:rsidRDefault="00A43E04">
            <w:pPr>
              <w:pStyle w:val="P68B1DB1-Normal11"/>
              <w:jc w:val="center"/>
              <w:rPr>
                <w:noProof/>
              </w:rPr>
            </w:pPr>
            <w:r>
              <w:rPr>
                <w:noProof/>
              </w:rPr>
              <w:t>Zaključek delovnih sklopov EDIH in TEF</w:t>
            </w:r>
          </w:p>
        </w:tc>
        <w:tc>
          <w:tcPr>
            <w:tcW w:w="1275" w:type="dxa"/>
            <w:shd w:val="clear" w:color="auto" w:fill="C6EFCE"/>
            <w:noWrap/>
            <w:vAlign w:val="center"/>
          </w:tcPr>
          <w:p w14:paraId="6F9D7F6F" w14:textId="77777777" w:rsidR="00154E32" w:rsidRDefault="00A43E04">
            <w:pPr>
              <w:pStyle w:val="P68B1DB1-Normal11"/>
              <w:jc w:val="center"/>
              <w:rPr>
                <w:noProof/>
              </w:rPr>
            </w:pPr>
            <w:r>
              <w:rPr>
                <w:noProof/>
              </w:rPr>
              <w:t>Dokončani delovni svežnji evropskega vozlišča za digitalne inovacije (EDIH) ter objektov za testiranje in eksperimentiranje (TEF)</w:t>
            </w:r>
          </w:p>
        </w:tc>
        <w:tc>
          <w:tcPr>
            <w:tcW w:w="1134" w:type="dxa"/>
            <w:shd w:val="clear" w:color="auto" w:fill="C6EFCE"/>
            <w:noWrap/>
            <w:vAlign w:val="center"/>
          </w:tcPr>
          <w:p w14:paraId="082EBDAA" w14:textId="77777777" w:rsidR="00154E32" w:rsidRDefault="00A43E04">
            <w:pPr>
              <w:pStyle w:val="P68B1DB1-Normal11"/>
              <w:jc w:val="center"/>
              <w:rPr>
                <w:noProof/>
              </w:rPr>
            </w:pPr>
            <w:r>
              <w:rPr>
                <w:noProof/>
              </w:rPr>
              <w:t>JIH NI</w:t>
            </w:r>
          </w:p>
        </w:tc>
        <w:tc>
          <w:tcPr>
            <w:tcW w:w="993" w:type="dxa"/>
            <w:shd w:val="clear" w:color="auto" w:fill="C6EFCE"/>
            <w:noWrap/>
            <w:vAlign w:val="center"/>
          </w:tcPr>
          <w:p w14:paraId="042ED6D6" w14:textId="77777777" w:rsidR="00154E32" w:rsidRDefault="00A43E04">
            <w:pPr>
              <w:pStyle w:val="P68B1DB1-Normal11"/>
              <w:jc w:val="center"/>
              <w:rPr>
                <w:noProof/>
              </w:rPr>
            </w:pPr>
            <w:r>
              <w:rPr>
                <w:noProof/>
              </w:rPr>
              <w:t>JIH NI</w:t>
            </w:r>
          </w:p>
        </w:tc>
        <w:tc>
          <w:tcPr>
            <w:tcW w:w="1275" w:type="dxa"/>
            <w:shd w:val="clear" w:color="auto" w:fill="C6EFCE"/>
            <w:noWrap/>
            <w:vAlign w:val="center"/>
          </w:tcPr>
          <w:p w14:paraId="13F48C70" w14:textId="77777777" w:rsidR="00154E32" w:rsidRDefault="00A43E04">
            <w:pPr>
              <w:pStyle w:val="P68B1DB1-Normal11"/>
              <w:jc w:val="center"/>
              <w:rPr>
                <w:noProof/>
              </w:rPr>
            </w:pPr>
            <w:r>
              <w:rPr>
                <w:noProof/>
              </w:rPr>
              <w:t>JIH NI</w:t>
            </w:r>
          </w:p>
        </w:tc>
        <w:tc>
          <w:tcPr>
            <w:tcW w:w="993" w:type="dxa"/>
            <w:shd w:val="clear" w:color="auto" w:fill="C6EFCE"/>
            <w:noWrap/>
            <w:vAlign w:val="center"/>
          </w:tcPr>
          <w:p w14:paraId="27BC5D1C" w14:textId="77777777" w:rsidR="00154E32" w:rsidRDefault="00A43E04">
            <w:pPr>
              <w:pStyle w:val="P68B1DB1-Normal11"/>
              <w:jc w:val="center"/>
              <w:rPr>
                <w:noProof/>
              </w:rPr>
            </w:pPr>
            <w:r>
              <w:rPr>
                <w:noProof/>
              </w:rPr>
              <w:t>Q2</w:t>
            </w:r>
          </w:p>
        </w:tc>
        <w:tc>
          <w:tcPr>
            <w:tcW w:w="708" w:type="dxa"/>
            <w:shd w:val="clear" w:color="auto" w:fill="C6EFCE"/>
            <w:noWrap/>
            <w:vAlign w:val="center"/>
          </w:tcPr>
          <w:p w14:paraId="004CCC66" w14:textId="77777777" w:rsidR="00154E32" w:rsidRDefault="00A43E04">
            <w:pPr>
              <w:pStyle w:val="P68B1DB1-Normal11"/>
              <w:jc w:val="center"/>
              <w:rPr>
                <w:noProof/>
              </w:rPr>
            </w:pPr>
            <w:r>
              <w:rPr>
                <w:noProof/>
              </w:rPr>
              <w:t>2026</w:t>
            </w:r>
          </w:p>
        </w:tc>
        <w:tc>
          <w:tcPr>
            <w:tcW w:w="3686" w:type="dxa"/>
            <w:shd w:val="clear" w:color="auto" w:fill="C6EFCE"/>
            <w:noWrap/>
            <w:vAlign w:val="center"/>
          </w:tcPr>
          <w:p w14:paraId="1D4A14A3" w14:textId="77777777" w:rsidR="00154E32" w:rsidRDefault="00A43E04">
            <w:pPr>
              <w:pStyle w:val="P68B1DB1-Normal11"/>
              <w:spacing w:after="120"/>
              <w:jc w:val="both"/>
              <w:rPr>
                <w:noProof/>
              </w:rPr>
            </w:pPr>
            <w:r>
              <w:rPr>
                <w:noProof/>
              </w:rPr>
              <w:t>Dokončanje vseh delovnih sklopov 13 evropskih vozlišč za digitalne inovacije ter dveh objektov za testiranje in eksperimentiranje v okviru druge vrste posredovanja ukrepa, razen tistih delovnih sklopov, ki se financirajo iz programa za digitalno Evropo.</w:t>
            </w:r>
          </w:p>
        </w:tc>
      </w:tr>
      <w:tr w:rsidR="00154E32" w14:paraId="499FA925" w14:textId="77777777">
        <w:trPr>
          <w:trHeight w:val="313"/>
        </w:trPr>
        <w:tc>
          <w:tcPr>
            <w:tcW w:w="1135" w:type="dxa"/>
            <w:shd w:val="clear" w:color="auto" w:fill="C6EFCE"/>
            <w:noWrap/>
            <w:vAlign w:val="center"/>
            <w:hideMark/>
          </w:tcPr>
          <w:p w14:paraId="1848C3BB" w14:textId="77777777" w:rsidR="00154E32" w:rsidRDefault="00A43E04">
            <w:pPr>
              <w:pStyle w:val="P68B1DB1-Normal11"/>
              <w:jc w:val="center"/>
              <w:rPr>
                <w:noProof/>
              </w:rPr>
            </w:pPr>
            <w:r>
              <w:rPr>
                <w:noProof/>
              </w:rPr>
              <w:t>M4C2–16</w:t>
            </w:r>
          </w:p>
        </w:tc>
        <w:tc>
          <w:tcPr>
            <w:tcW w:w="1419" w:type="dxa"/>
            <w:shd w:val="clear" w:color="auto" w:fill="C6EFCE"/>
            <w:noWrap/>
            <w:vAlign w:val="center"/>
            <w:hideMark/>
          </w:tcPr>
          <w:p w14:paraId="3A8992E2" w14:textId="77777777" w:rsidR="00154E32" w:rsidRDefault="00A43E04">
            <w:pPr>
              <w:pStyle w:val="P68B1DB1-Normal11"/>
              <w:jc w:val="center"/>
              <w:rPr>
                <w:noProof/>
              </w:rPr>
            </w:pPr>
            <w:r>
              <w:rPr>
                <w:noProof/>
              </w:rPr>
              <w:t>Naložba 3.1: Sklad za izgradnjo integriranega sistema raziskovalnih in inovacijskih infrastruktur</w:t>
            </w:r>
          </w:p>
        </w:tc>
        <w:tc>
          <w:tcPr>
            <w:tcW w:w="1132" w:type="dxa"/>
            <w:shd w:val="clear" w:color="auto" w:fill="C6EFCE"/>
            <w:noWrap/>
            <w:vAlign w:val="center"/>
            <w:hideMark/>
          </w:tcPr>
          <w:p w14:paraId="4AD4B98C" w14:textId="77777777" w:rsidR="00154E32" w:rsidRDefault="00A43E04">
            <w:pPr>
              <w:pStyle w:val="P68B1DB1-Normal11"/>
              <w:jc w:val="center"/>
              <w:rPr>
                <w:noProof/>
              </w:rPr>
            </w:pPr>
            <w:r>
              <w:rPr>
                <w:noProof/>
              </w:rPr>
              <w:t>Tarča</w:t>
            </w:r>
          </w:p>
        </w:tc>
        <w:tc>
          <w:tcPr>
            <w:tcW w:w="1418" w:type="dxa"/>
            <w:shd w:val="clear" w:color="auto" w:fill="C6EFCE"/>
            <w:noWrap/>
            <w:vAlign w:val="center"/>
            <w:hideMark/>
          </w:tcPr>
          <w:p w14:paraId="5DDF1AB5" w14:textId="77777777" w:rsidR="00154E32" w:rsidRDefault="00A43E04">
            <w:pPr>
              <w:pStyle w:val="P68B1DB1-Normal11"/>
              <w:jc w:val="center"/>
              <w:rPr>
                <w:noProof/>
              </w:rPr>
            </w:pPr>
            <w:r>
              <w:rPr>
                <w:noProof/>
              </w:rPr>
              <w:t>Število financiranih infrastruktur</w:t>
            </w:r>
          </w:p>
        </w:tc>
        <w:tc>
          <w:tcPr>
            <w:tcW w:w="1275" w:type="dxa"/>
            <w:shd w:val="clear" w:color="auto" w:fill="C6EFCE"/>
            <w:noWrap/>
            <w:vAlign w:val="center"/>
            <w:hideMark/>
          </w:tcPr>
          <w:p w14:paraId="53106C57" w14:textId="77777777" w:rsidR="00154E32" w:rsidRDefault="00A43E04">
            <w:pPr>
              <w:pStyle w:val="P68B1DB1-Normal11"/>
              <w:jc w:val="center"/>
              <w:rPr>
                <w:noProof/>
              </w:rPr>
            </w:pPr>
            <w:r>
              <w:rPr>
                <w:noProof/>
              </w:rPr>
              <w:t>JIH NI</w:t>
            </w:r>
          </w:p>
        </w:tc>
        <w:tc>
          <w:tcPr>
            <w:tcW w:w="1134" w:type="dxa"/>
            <w:shd w:val="clear" w:color="auto" w:fill="C6EFCE"/>
            <w:noWrap/>
            <w:vAlign w:val="center"/>
            <w:hideMark/>
          </w:tcPr>
          <w:p w14:paraId="38193699" w14:textId="77777777" w:rsidR="00154E32" w:rsidRDefault="00A43E04">
            <w:pPr>
              <w:pStyle w:val="P68B1DB1-Normal11"/>
              <w:jc w:val="center"/>
              <w:rPr>
                <w:noProof/>
              </w:rPr>
            </w:pPr>
            <w:r>
              <w:rPr>
                <w:noProof/>
              </w:rPr>
              <w:t>Število</w:t>
            </w:r>
          </w:p>
        </w:tc>
        <w:tc>
          <w:tcPr>
            <w:tcW w:w="993" w:type="dxa"/>
            <w:shd w:val="clear" w:color="auto" w:fill="C6EFCE"/>
            <w:noWrap/>
            <w:vAlign w:val="center"/>
            <w:hideMark/>
          </w:tcPr>
          <w:p w14:paraId="3A506220" w14:textId="77777777" w:rsidR="00154E32" w:rsidRDefault="00A43E04">
            <w:pPr>
              <w:pStyle w:val="P68B1DB1-Normal11"/>
              <w:jc w:val="center"/>
              <w:rPr>
                <w:noProof/>
              </w:rPr>
            </w:pPr>
            <w:r>
              <w:rPr>
                <w:noProof/>
              </w:rPr>
              <w:t>0</w:t>
            </w:r>
          </w:p>
        </w:tc>
        <w:tc>
          <w:tcPr>
            <w:tcW w:w="1275" w:type="dxa"/>
            <w:shd w:val="clear" w:color="auto" w:fill="C6EFCE"/>
            <w:noWrap/>
            <w:vAlign w:val="center"/>
            <w:hideMark/>
          </w:tcPr>
          <w:p w14:paraId="38D13799" w14:textId="77777777" w:rsidR="00154E32" w:rsidRDefault="00A43E04">
            <w:pPr>
              <w:pStyle w:val="P68B1DB1-Normal11"/>
              <w:jc w:val="center"/>
              <w:rPr>
                <w:noProof/>
              </w:rPr>
            </w:pPr>
            <w:r>
              <w:rPr>
                <w:noProof/>
              </w:rPr>
              <w:t>30</w:t>
            </w:r>
          </w:p>
        </w:tc>
        <w:tc>
          <w:tcPr>
            <w:tcW w:w="993" w:type="dxa"/>
            <w:shd w:val="clear" w:color="auto" w:fill="C6EFCE"/>
            <w:noWrap/>
            <w:vAlign w:val="center"/>
            <w:hideMark/>
          </w:tcPr>
          <w:p w14:paraId="4D4EB77B" w14:textId="77777777" w:rsidR="00154E32" w:rsidRDefault="00A43E04">
            <w:pPr>
              <w:pStyle w:val="P68B1DB1-Normal11"/>
              <w:jc w:val="center"/>
              <w:rPr>
                <w:noProof/>
              </w:rPr>
            </w:pPr>
            <w:r>
              <w:rPr>
                <w:noProof/>
              </w:rPr>
              <w:t>Q2</w:t>
            </w:r>
          </w:p>
        </w:tc>
        <w:tc>
          <w:tcPr>
            <w:tcW w:w="708" w:type="dxa"/>
            <w:shd w:val="clear" w:color="auto" w:fill="C6EFCE"/>
            <w:noWrap/>
            <w:vAlign w:val="center"/>
            <w:hideMark/>
          </w:tcPr>
          <w:p w14:paraId="5FE1CDC9" w14:textId="77777777" w:rsidR="00154E32" w:rsidRDefault="00A43E04">
            <w:pPr>
              <w:pStyle w:val="P68B1DB1-Normal11"/>
              <w:jc w:val="center"/>
              <w:rPr>
                <w:noProof/>
              </w:rPr>
            </w:pPr>
            <w:r>
              <w:rPr>
                <w:noProof/>
              </w:rPr>
              <w:t>2023</w:t>
            </w:r>
          </w:p>
        </w:tc>
        <w:tc>
          <w:tcPr>
            <w:tcW w:w="3686" w:type="dxa"/>
            <w:shd w:val="clear" w:color="auto" w:fill="C6EFCE"/>
            <w:noWrap/>
            <w:vAlign w:val="center"/>
            <w:hideMark/>
          </w:tcPr>
          <w:p w14:paraId="74A08BA2" w14:textId="77777777" w:rsidR="00154E32" w:rsidRDefault="00A43E04">
            <w:pPr>
              <w:pStyle w:val="P68B1DB1-Normal10"/>
              <w:spacing w:after="120"/>
              <w:jc w:val="both"/>
              <w:rPr>
                <w:noProof/>
                <w:color w:val="006100"/>
                <w:sz w:val="20"/>
              </w:rPr>
            </w:pPr>
            <w:r>
              <w:rPr>
                <w:noProof/>
                <w:color w:val="006100"/>
                <w:sz w:val="20"/>
              </w:rPr>
              <w:t>Vsaj 30 infrastruktur, financiranih za integrirani sistem infrastrukture za raziskave in inovacije.</w:t>
            </w:r>
            <w:r>
              <w:rPr>
                <w:noProof/>
              </w:rPr>
              <w:t xml:space="preserve"> </w:t>
            </w:r>
            <w:r>
              <w:rPr>
                <w:noProof/>
              </w:rPr>
              <w:br/>
            </w:r>
            <w:r>
              <w:rPr>
                <w:noProof/>
                <w:color w:val="006100"/>
                <w:sz w:val="20"/>
              </w:rPr>
              <w:t>Inovacijska infrastruktura vključuje večnamenske infrastrukture, ki lahko pokrivajo vsaj tri tematska področja, in sicer: (I) kvantni, (ii) napredni materiali, (iii) fotonika, (iv) znanosti o življenju, (v) umetna inteligenca, (vi) energetski prehod.</w:t>
            </w:r>
          </w:p>
          <w:p w14:paraId="4E19AA1B" w14:textId="782F6F10" w:rsidR="00154E32" w:rsidRDefault="00A43E04">
            <w:pPr>
              <w:pStyle w:val="P68B1DB1-Normal11"/>
              <w:spacing w:after="120"/>
              <w:jc w:val="both"/>
              <w:rPr>
                <w:noProof/>
              </w:rPr>
            </w:pPr>
            <w:r>
              <w:rPr>
                <w:noProof/>
              </w:rPr>
              <w:t>Zadovoljivo izpolnjevanje cilja je odvisno tudi od zaposlovanja vsaj 30 upravljavcev raziskav za integrirani sistem raziskovalne in inovacijske infrastrukture.</w:t>
            </w:r>
          </w:p>
        </w:tc>
      </w:tr>
      <w:tr w:rsidR="00154E32" w14:paraId="3830432C" w14:textId="77777777">
        <w:trPr>
          <w:trHeight w:val="313"/>
        </w:trPr>
        <w:tc>
          <w:tcPr>
            <w:tcW w:w="1135" w:type="dxa"/>
            <w:shd w:val="clear" w:color="auto" w:fill="C6EFCE"/>
            <w:noWrap/>
            <w:vAlign w:val="center"/>
            <w:hideMark/>
          </w:tcPr>
          <w:p w14:paraId="0D28DA65" w14:textId="77777777" w:rsidR="00154E32" w:rsidRDefault="00A43E04">
            <w:pPr>
              <w:pStyle w:val="P68B1DB1-Normal11"/>
              <w:jc w:val="center"/>
              <w:rPr>
                <w:noProof/>
              </w:rPr>
            </w:pPr>
            <w:r>
              <w:rPr>
                <w:noProof/>
              </w:rPr>
              <w:t xml:space="preserve">M4C2–16 bis </w:t>
            </w:r>
          </w:p>
        </w:tc>
        <w:tc>
          <w:tcPr>
            <w:tcW w:w="1419" w:type="dxa"/>
            <w:shd w:val="clear" w:color="auto" w:fill="C6EFCE"/>
            <w:noWrap/>
            <w:vAlign w:val="center"/>
            <w:hideMark/>
          </w:tcPr>
          <w:p w14:paraId="734F0205" w14:textId="77777777" w:rsidR="00154E32" w:rsidRDefault="00A43E04">
            <w:pPr>
              <w:pStyle w:val="P68B1DB1-Normal11"/>
              <w:jc w:val="center"/>
              <w:rPr>
                <w:noProof/>
              </w:rPr>
            </w:pPr>
            <w:r>
              <w:rPr>
                <w:noProof/>
              </w:rPr>
              <w:t>Naložba 3.1: Sklad za izgradnjo integriranega sistema raziskovalnih in inovacijskih infrastruktur</w:t>
            </w:r>
          </w:p>
        </w:tc>
        <w:tc>
          <w:tcPr>
            <w:tcW w:w="1132" w:type="dxa"/>
            <w:shd w:val="clear" w:color="auto" w:fill="C6EFCE"/>
            <w:noWrap/>
            <w:vAlign w:val="center"/>
            <w:hideMark/>
          </w:tcPr>
          <w:p w14:paraId="390D75E6" w14:textId="77777777" w:rsidR="00154E32" w:rsidRDefault="00A43E04">
            <w:pPr>
              <w:pStyle w:val="P68B1DB1-Normal11"/>
              <w:jc w:val="center"/>
              <w:rPr>
                <w:noProof/>
              </w:rPr>
            </w:pPr>
            <w:r>
              <w:rPr>
                <w:noProof/>
              </w:rPr>
              <w:t>Tarča</w:t>
            </w:r>
          </w:p>
        </w:tc>
        <w:tc>
          <w:tcPr>
            <w:tcW w:w="1418" w:type="dxa"/>
            <w:shd w:val="clear" w:color="auto" w:fill="C6EFCE"/>
            <w:noWrap/>
            <w:vAlign w:val="center"/>
            <w:hideMark/>
          </w:tcPr>
          <w:p w14:paraId="5470CA9A" w14:textId="77777777" w:rsidR="00154E32" w:rsidRDefault="00A43E04">
            <w:pPr>
              <w:pStyle w:val="P68B1DB1-Normal11"/>
              <w:jc w:val="center"/>
              <w:rPr>
                <w:noProof/>
              </w:rPr>
            </w:pPr>
            <w:r>
              <w:rPr>
                <w:noProof/>
              </w:rPr>
              <w:t xml:space="preserve">Število raziskovalnih in inovacijskih infrastruktur, ki so bile vzpostavljene ali ki so zaključile svoje dejavnosti </w:t>
            </w:r>
          </w:p>
        </w:tc>
        <w:tc>
          <w:tcPr>
            <w:tcW w:w="1275" w:type="dxa"/>
            <w:shd w:val="clear" w:color="auto" w:fill="C6EFCE"/>
            <w:noWrap/>
            <w:vAlign w:val="center"/>
            <w:hideMark/>
          </w:tcPr>
          <w:p w14:paraId="06194BD1" w14:textId="77777777" w:rsidR="00154E32" w:rsidRDefault="00A43E04">
            <w:pPr>
              <w:pStyle w:val="P68B1DB1-Normal11"/>
              <w:jc w:val="center"/>
              <w:rPr>
                <w:noProof/>
              </w:rPr>
            </w:pPr>
            <w:r>
              <w:rPr>
                <w:noProof/>
              </w:rPr>
              <w:t>NI PODATKOV</w:t>
            </w:r>
          </w:p>
        </w:tc>
        <w:tc>
          <w:tcPr>
            <w:tcW w:w="1134" w:type="dxa"/>
            <w:shd w:val="clear" w:color="auto" w:fill="C6EFCE"/>
            <w:noWrap/>
            <w:vAlign w:val="center"/>
            <w:hideMark/>
          </w:tcPr>
          <w:p w14:paraId="137E4A8C" w14:textId="77777777" w:rsidR="00154E32" w:rsidRDefault="00A43E04">
            <w:pPr>
              <w:pStyle w:val="P68B1DB1-Normal11"/>
              <w:jc w:val="center"/>
              <w:rPr>
                <w:noProof/>
              </w:rPr>
            </w:pPr>
            <w:r>
              <w:rPr>
                <w:noProof/>
              </w:rPr>
              <w:t>Število</w:t>
            </w:r>
          </w:p>
        </w:tc>
        <w:tc>
          <w:tcPr>
            <w:tcW w:w="993" w:type="dxa"/>
            <w:shd w:val="clear" w:color="auto" w:fill="C6EFCE"/>
            <w:noWrap/>
            <w:vAlign w:val="center"/>
            <w:hideMark/>
          </w:tcPr>
          <w:p w14:paraId="6EFEAA7C" w14:textId="77777777" w:rsidR="00154E32" w:rsidRDefault="00A43E04">
            <w:pPr>
              <w:pStyle w:val="P68B1DB1-Normal11"/>
              <w:jc w:val="center"/>
              <w:rPr>
                <w:noProof/>
              </w:rPr>
            </w:pPr>
            <w:r>
              <w:rPr>
                <w:noProof/>
              </w:rPr>
              <w:t>0</w:t>
            </w:r>
          </w:p>
        </w:tc>
        <w:tc>
          <w:tcPr>
            <w:tcW w:w="1275" w:type="dxa"/>
            <w:shd w:val="clear" w:color="auto" w:fill="C6EFCE"/>
            <w:noWrap/>
            <w:vAlign w:val="center"/>
            <w:hideMark/>
          </w:tcPr>
          <w:p w14:paraId="3ADF37C8" w14:textId="77777777" w:rsidR="00154E32" w:rsidRDefault="00A43E04">
            <w:pPr>
              <w:pStyle w:val="P68B1DB1-Normal11"/>
              <w:jc w:val="center"/>
              <w:rPr>
                <w:noProof/>
              </w:rPr>
            </w:pPr>
            <w:r>
              <w:rPr>
                <w:noProof/>
              </w:rPr>
              <w:t>30</w:t>
            </w:r>
          </w:p>
        </w:tc>
        <w:tc>
          <w:tcPr>
            <w:tcW w:w="993" w:type="dxa"/>
            <w:shd w:val="clear" w:color="auto" w:fill="C6EFCE"/>
            <w:noWrap/>
            <w:vAlign w:val="center"/>
            <w:hideMark/>
          </w:tcPr>
          <w:p w14:paraId="206BBA51" w14:textId="77777777" w:rsidR="00154E32" w:rsidRDefault="00A43E04">
            <w:pPr>
              <w:pStyle w:val="P68B1DB1-Normal11"/>
              <w:jc w:val="center"/>
              <w:rPr>
                <w:noProof/>
              </w:rPr>
            </w:pPr>
            <w:r>
              <w:rPr>
                <w:noProof/>
              </w:rPr>
              <w:t>Q2</w:t>
            </w:r>
          </w:p>
        </w:tc>
        <w:tc>
          <w:tcPr>
            <w:tcW w:w="708" w:type="dxa"/>
            <w:shd w:val="clear" w:color="auto" w:fill="C6EFCE"/>
            <w:noWrap/>
            <w:vAlign w:val="center"/>
            <w:hideMark/>
          </w:tcPr>
          <w:p w14:paraId="5FD773EA" w14:textId="77777777" w:rsidR="00154E32" w:rsidRDefault="00A43E04">
            <w:pPr>
              <w:pStyle w:val="P68B1DB1-Normal11"/>
              <w:jc w:val="center"/>
              <w:rPr>
                <w:noProof/>
              </w:rPr>
            </w:pPr>
            <w:r>
              <w:rPr>
                <w:noProof/>
              </w:rPr>
              <w:t>2026</w:t>
            </w:r>
          </w:p>
        </w:tc>
        <w:tc>
          <w:tcPr>
            <w:tcW w:w="3686" w:type="dxa"/>
            <w:shd w:val="clear" w:color="auto" w:fill="C6EFCE"/>
            <w:noWrap/>
            <w:vAlign w:val="center"/>
            <w:hideMark/>
          </w:tcPr>
          <w:p w14:paraId="6786C494" w14:textId="77777777" w:rsidR="00154E32" w:rsidRDefault="00A43E04">
            <w:pPr>
              <w:pStyle w:val="P68B1DB1-Normal11"/>
              <w:jc w:val="both"/>
              <w:rPr>
                <w:noProof/>
              </w:rPr>
            </w:pPr>
            <w:r>
              <w:rPr>
                <w:noProof/>
              </w:rPr>
              <w:t xml:space="preserve">Vsaj 30 raziskovalnih in inovacijskih infrastruktur je bilo ustvarjenih ali dokončanih dejavnosti v skladu z ustreznim razpisom za projekte. </w:t>
            </w:r>
          </w:p>
        </w:tc>
      </w:tr>
      <w:tr w:rsidR="00154E32" w14:paraId="20E04A10" w14:textId="77777777">
        <w:trPr>
          <w:trHeight w:val="313"/>
        </w:trPr>
        <w:tc>
          <w:tcPr>
            <w:tcW w:w="1135" w:type="dxa"/>
            <w:shd w:val="clear" w:color="auto" w:fill="C6EFCE"/>
            <w:noWrap/>
            <w:vAlign w:val="center"/>
            <w:hideMark/>
          </w:tcPr>
          <w:p w14:paraId="2E8DCDEB" w14:textId="77777777" w:rsidR="00154E32" w:rsidRDefault="00A43E04">
            <w:pPr>
              <w:pStyle w:val="P68B1DB1-Normal11"/>
              <w:jc w:val="center"/>
              <w:rPr>
                <w:noProof/>
              </w:rPr>
            </w:pPr>
            <w:r>
              <w:rPr>
                <w:noProof/>
              </w:rPr>
              <w:t>M4C2–17</w:t>
            </w:r>
          </w:p>
        </w:tc>
        <w:tc>
          <w:tcPr>
            <w:tcW w:w="1419" w:type="dxa"/>
            <w:shd w:val="clear" w:color="auto" w:fill="C6EFCE"/>
            <w:noWrap/>
            <w:vAlign w:val="center"/>
            <w:hideMark/>
          </w:tcPr>
          <w:p w14:paraId="11218F89" w14:textId="77777777" w:rsidR="00154E32" w:rsidRDefault="00A43E04">
            <w:pPr>
              <w:pStyle w:val="P68B1DB1-Normal11"/>
              <w:jc w:val="center"/>
              <w:rPr>
                <w:noProof/>
              </w:rPr>
            </w:pPr>
            <w:r>
              <w:rPr>
                <w:noProof/>
              </w:rPr>
              <w:t>Naložba 3.1: Sklad za izgradnjo integriranega sistema raziskovalnih in inovacijskih infrastruktur; Naložbe</w:t>
            </w:r>
          </w:p>
        </w:tc>
        <w:tc>
          <w:tcPr>
            <w:tcW w:w="1132" w:type="dxa"/>
            <w:shd w:val="clear" w:color="auto" w:fill="C6EFCE"/>
            <w:noWrap/>
            <w:vAlign w:val="center"/>
            <w:hideMark/>
          </w:tcPr>
          <w:p w14:paraId="4F8C221B" w14:textId="77777777" w:rsidR="00154E32" w:rsidRDefault="00A43E04">
            <w:pPr>
              <w:pStyle w:val="P68B1DB1-Normal11"/>
              <w:jc w:val="center"/>
              <w:rPr>
                <w:noProof/>
              </w:rPr>
            </w:pPr>
            <w:r>
              <w:rPr>
                <w:noProof/>
              </w:rPr>
              <w:t>Mejnik</w:t>
            </w:r>
          </w:p>
        </w:tc>
        <w:tc>
          <w:tcPr>
            <w:tcW w:w="1418" w:type="dxa"/>
            <w:shd w:val="clear" w:color="auto" w:fill="C6EFCE"/>
            <w:noWrap/>
            <w:vAlign w:val="center"/>
            <w:hideMark/>
          </w:tcPr>
          <w:p w14:paraId="4E054D82" w14:textId="77777777" w:rsidR="00154E32" w:rsidRDefault="00A43E04">
            <w:pPr>
              <w:pStyle w:val="P68B1DB1-Normal11"/>
              <w:jc w:val="center"/>
              <w:rPr>
                <w:noProof/>
              </w:rPr>
            </w:pPr>
            <w:r>
              <w:rPr>
                <w:noProof/>
              </w:rPr>
              <w:t>Oddaja naročil za projekte, ki se nanašajo na: a) integrirani sistem raziskovalnih in inovacijskih infrastruktur</w:t>
            </w:r>
          </w:p>
        </w:tc>
        <w:tc>
          <w:tcPr>
            <w:tcW w:w="1275" w:type="dxa"/>
            <w:shd w:val="clear" w:color="auto" w:fill="C6EFCE"/>
            <w:noWrap/>
            <w:vAlign w:val="center"/>
            <w:hideMark/>
          </w:tcPr>
          <w:p w14:paraId="3C7B5D0D" w14:textId="77777777" w:rsidR="00154E32" w:rsidRDefault="00A43E04">
            <w:pPr>
              <w:pStyle w:val="P68B1DB1-Normal11"/>
              <w:jc w:val="center"/>
              <w:rPr>
                <w:noProof/>
              </w:rPr>
            </w:pPr>
            <w:r>
              <w:rPr>
                <w:noProof/>
              </w:rPr>
              <w:t>Obvestilo o oddaji naročil</w:t>
            </w:r>
          </w:p>
        </w:tc>
        <w:tc>
          <w:tcPr>
            <w:tcW w:w="1134" w:type="dxa"/>
            <w:shd w:val="clear" w:color="auto" w:fill="C6EFCE"/>
            <w:noWrap/>
            <w:vAlign w:val="center"/>
            <w:hideMark/>
          </w:tcPr>
          <w:p w14:paraId="63AD99FB" w14:textId="77777777" w:rsidR="00154E32" w:rsidRDefault="00A43E04">
            <w:pPr>
              <w:pStyle w:val="P68B1DB1-Normal11"/>
              <w:jc w:val="center"/>
              <w:rPr>
                <w:noProof/>
              </w:rPr>
            </w:pPr>
            <w:r>
              <w:rPr>
                <w:noProof/>
              </w:rPr>
              <w:t>JIH NI</w:t>
            </w:r>
          </w:p>
        </w:tc>
        <w:tc>
          <w:tcPr>
            <w:tcW w:w="993" w:type="dxa"/>
            <w:shd w:val="clear" w:color="auto" w:fill="C6EFCE"/>
            <w:noWrap/>
            <w:vAlign w:val="center"/>
            <w:hideMark/>
          </w:tcPr>
          <w:p w14:paraId="15F91F5B" w14:textId="77777777" w:rsidR="00154E32" w:rsidRDefault="00A43E04">
            <w:pPr>
              <w:pStyle w:val="P68B1DB1-Normal11"/>
              <w:jc w:val="center"/>
              <w:rPr>
                <w:noProof/>
              </w:rPr>
            </w:pPr>
            <w:r>
              <w:rPr>
                <w:noProof/>
              </w:rPr>
              <w:t>JIH NI</w:t>
            </w:r>
          </w:p>
        </w:tc>
        <w:tc>
          <w:tcPr>
            <w:tcW w:w="1275" w:type="dxa"/>
            <w:shd w:val="clear" w:color="auto" w:fill="C6EFCE"/>
            <w:noWrap/>
            <w:vAlign w:val="center"/>
            <w:hideMark/>
          </w:tcPr>
          <w:p w14:paraId="1134B27D" w14:textId="77777777" w:rsidR="00154E32" w:rsidRDefault="00A43E04">
            <w:pPr>
              <w:pStyle w:val="P68B1DB1-Normal11"/>
              <w:jc w:val="center"/>
              <w:rPr>
                <w:noProof/>
              </w:rPr>
            </w:pPr>
            <w:r>
              <w:rPr>
                <w:noProof/>
              </w:rPr>
              <w:t>JIH NI</w:t>
            </w:r>
          </w:p>
        </w:tc>
        <w:tc>
          <w:tcPr>
            <w:tcW w:w="993" w:type="dxa"/>
            <w:shd w:val="clear" w:color="auto" w:fill="C6EFCE"/>
            <w:noWrap/>
            <w:vAlign w:val="center"/>
            <w:hideMark/>
          </w:tcPr>
          <w:p w14:paraId="2DB02361" w14:textId="77777777" w:rsidR="00154E32" w:rsidRDefault="00A43E04">
            <w:pPr>
              <w:pStyle w:val="P68B1DB1-Normal11"/>
              <w:jc w:val="center"/>
              <w:rPr>
                <w:noProof/>
              </w:rPr>
            </w:pPr>
            <w:r>
              <w:rPr>
                <w:noProof/>
              </w:rPr>
              <w:t>Q2</w:t>
            </w:r>
          </w:p>
        </w:tc>
        <w:tc>
          <w:tcPr>
            <w:tcW w:w="708" w:type="dxa"/>
            <w:shd w:val="clear" w:color="auto" w:fill="C6EFCE"/>
            <w:noWrap/>
            <w:vAlign w:val="center"/>
            <w:hideMark/>
          </w:tcPr>
          <w:p w14:paraId="5949FC08" w14:textId="77777777" w:rsidR="00154E32" w:rsidRDefault="00A43E04">
            <w:pPr>
              <w:pStyle w:val="P68B1DB1-Normal11"/>
              <w:jc w:val="center"/>
              <w:rPr>
                <w:noProof/>
              </w:rPr>
            </w:pPr>
            <w:r>
              <w:rPr>
                <w:noProof/>
              </w:rPr>
              <w:t>2022</w:t>
            </w:r>
          </w:p>
        </w:tc>
        <w:tc>
          <w:tcPr>
            <w:tcW w:w="3686" w:type="dxa"/>
            <w:shd w:val="clear" w:color="auto" w:fill="C6EFCE"/>
            <w:noWrap/>
            <w:vAlign w:val="center"/>
            <w:hideMark/>
          </w:tcPr>
          <w:p w14:paraId="065696CD" w14:textId="77777777" w:rsidR="00154E32" w:rsidRDefault="00A43E04">
            <w:pPr>
              <w:pStyle w:val="P68B1DB1-Normal11"/>
              <w:spacing w:after="120"/>
              <w:jc w:val="both"/>
              <w:rPr>
                <w:noProof/>
              </w:rPr>
            </w:pPr>
            <w:r>
              <w:rPr>
                <w:noProof/>
              </w:rPr>
              <w:t>Uradno obvestilo o oddaji naročil projektom, izbranim v okviru konkurenčnih razpisov za zbiranje predlogov, v skladu s tehničnimi smernicami „da se ne škoduje bistveno“ (2021/C58/01) z uporabo seznama za izključitev in zahtevo po skladnosti z ustrezno okoljsko zakonodajo EU in nacionalno okoljsko zakonodajo.</w:t>
            </w:r>
          </w:p>
          <w:p w14:paraId="203569E7" w14:textId="77777777" w:rsidR="00154E32" w:rsidRDefault="00A43E04">
            <w:pPr>
              <w:pStyle w:val="P68B1DB1-Normal11"/>
              <w:spacing w:after="120"/>
              <w:jc w:val="both"/>
              <w:rPr>
                <w:noProof/>
              </w:rPr>
            </w:pPr>
            <w:r>
              <w:rPr>
                <w:noProof/>
              </w:rPr>
              <w:t xml:space="preserve">Predlogi se izberejo na podlagi naslednjih meril: </w:t>
            </w:r>
          </w:p>
          <w:p w14:paraId="42E3EC6C" w14:textId="199264E5" w:rsidR="00154E32" w:rsidRDefault="00A43E04">
            <w:pPr>
              <w:pStyle w:val="P68B1DB1-Normal11"/>
              <w:spacing w:after="120"/>
              <w:jc w:val="both"/>
              <w:rPr>
                <w:noProof/>
              </w:rPr>
            </w:pPr>
            <w:r>
              <w:rPr>
                <w:noProof/>
              </w:rPr>
              <w:t>vodilni položaj na področju znanosti/tehnologije/inovacije, njihov inovacijski potencial (v smislu odprtih inovacij/odprtih podatkov in za lastniški razvoj), skladnost s tematskimi področji ali za nov prelomni razvoj, njihove translacijske in inovacijske načrte, podporo industrije kot partnerja za odprte inovacije in/ali uporabnike, moč dejavnosti poslovnega razvoja, ustvarjanje intelektualne lastnine, jasna pravila za razlikovanje med odprtimi in zaščitenimi izložki in načrti licenciranja, njihova sposobnost razvoja in gostitve industrijskih doktoratov, povezave s podjetji ali drugimi vrstami skladov za spodbujanje razvoja novih zagonskih podjetij.</w:t>
            </w:r>
          </w:p>
          <w:p w14:paraId="3CF1BCAF" w14:textId="77777777" w:rsidR="00154E32" w:rsidRDefault="00A43E04">
            <w:pPr>
              <w:pStyle w:val="P68B1DB1-Normal11"/>
              <w:spacing w:after="120"/>
              <w:jc w:val="both"/>
              <w:rPr>
                <w:noProof/>
              </w:rPr>
            </w:pPr>
            <w:r>
              <w:rPr>
                <w:noProof/>
              </w:rPr>
              <w:t>Izbirni postopek zahteva oceno skladnosti z načelom, da se ne škoduje bistveno, in po potrebi strateško presojo vplivov na okolje, če se pričakuje, da bo projekt imel dosleden učinek na ozemlju.</w:t>
            </w:r>
          </w:p>
        </w:tc>
      </w:tr>
      <w:tr w:rsidR="00154E32" w14:paraId="7D86B9D5" w14:textId="77777777">
        <w:trPr>
          <w:trHeight w:val="313"/>
        </w:trPr>
        <w:tc>
          <w:tcPr>
            <w:tcW w:w="1135" w:type="dxa"/>
            <w:shd w:val="clear" w:color="auto" w:fill="C6EFCE"/>
            <w:noWrap/>
            <w:vAlign w:val="center"/>
          </w:tcPr>
          <w:p w14:paraId="5785FC09" w14:textId="77777777" w:rsidR="00154E32" w:rsidRDefault="00A43E04">
            <w:pPr>
              <w:pStyle w:val="P68B1DB1-Normal11"/>
              <w:spacing w:after="120"/>
              <w:jc w:val="center"/>
              <w:rPr>
                <w:noProof/>
              </w:rPr>
            </w:pPr>
            <w:r>
              <w:rPr>
                <w:noProof/>
              </w:rPr>
              <w:t>M4C2–18</w:t>
            </w:r>
          </w:p>
        </w:tc>
        <w:tc>
          <w:tcPr>
            <w:tcW w:w="1419" w:type="dxa"/>
            <w:shd w:val="clear" w:color="auto" w:fill="C6EFCE"/>
            <w:noWrap/>
            <w:vAlign w:val="center"/>
          </w:tcPr>
          <w:p w14:paraId="4A22D643" w14:textId="77777777" w:rsidR="00154E32" w:rsidRDefault="00A43E04">
            <w:pPr>
              <w:pStyle w:val="P68B1DB1-Normal11"/>
              <w:spacing w:after="120"/>
              <w:jc w:val="center"/>
              <w:rPr>
                <w:noProof/>
              </w:rPr>
            </w:pPr>
            <w:r>
              <w:rPr>
                <w:noProof/>
              </w:rPr>
              <w:t>Invesment1.5: Vzpostavitev in krepitev „inovacijskih ekosistemov za trajnostnost“ z oblikovanjem „ozemeljskih voditeljev raziskav in razvoja“</w:t>
            </w:r>
          </w:p>
        </w:tc>
        <w:tc>
          <w:tcPr>
            <w:tcW w:w="1132" w:type="dxa"/>
            <w:shd w:val="clear" w:color="auto" w:fill="C6EFCE"/>
            <w:noWrap/>
            <w:vAlign w:val="center"/>
          </w:tcPr>
          <w:p w14:paraId="35829EE2" w14:textId="77777777" w:rsidR="00154E32" w:rsidRDefault="00A43E04">
            <w:pPr>
              <w:pStyle w:val="P68B1DB1-Normal11"/>
              <w:spacing w:after="120"/>
              <w:jc w:val="center"/>
              <w:rPr>
                <w:noProof/>
              </w:rPr>
            </w:pPr>
            <w:r>
              <w:rPr>
                <w:noProof/>
              </w:rPr>
              <w:t>Mejnik</w:t>
            </w:r>
          </w:p>
        </w:tc>
        <w:tc>
          <w:tcPr>
            <w:tcW w:w="1418" w:type="dxa"/>
            <w:shd w:val="clear" w:color="auto" w:fill="C6EFCE"/>
            <w:noWrap/>
            <w:vAlign w:val="center"/>
          </w:tcPr>
          <w:p w14:paraId="6F161612" w14:textId="77777777" w:rsidR="00154E32" w:rsidRDefault="00A43E04">
            <w:pPr>
              <w:pStyle w:val="P68B1DB1-Normal11"/>
              <w:spacing w:after="120"/>
              <w:jc w:val="center"/>
              <w:rPr>
                <w:noProof/>
              </w:rPr>
            </w:pPr>
            <w:r>
              <w:rPr>
                <w:noProof/>
              </w:rPr>
              <w:t>Oddaja naročil za projekte v zvezi z inovacijskimi ekosistemi;</w:t>
            </w:r>
          </w:p>
        </w:tc>
        <w:tc>
          <w:tcPr>
            <w:tcW w:w="1275" w:type="dxa"/>
            <w:shd w:val="clear" w:color="auto" w:fill="C6EFCE"/>
            <w:noWrap/>
            <w:vAlign w:val="center"/>
          </w:tcPr>
          <w:p w14:paraId="3D59A5CD" w14:textId="77777777" w:rsidR="00154E32" w:rsidRDefault="00A43E04">
            <w:pPr>
              <w:pStyle w:val="P68B1DB1-Normal11"/>
              <w:spacing w:after="120"/>
              <w:jc w:val="center"/>
              <w:rPr>
                <w:noProof/>
              </w:rPr>
            </w:pPr>
            <w:r>
              <w:rPr>
                <w:noProof/>
              </w:rPr>
              <w:t>Obvestilo o oddaji naročil</w:t>
            </w:r>
          </w:p>
        </w:tc>
        <w:tc>
          <w:tcPr>
            <w:tcW w:w="1134" w:type="dxa"/>
            <w:shd w:val="clear" w:color="auto" w:fill="C6EFCE"/>
            <w:noWrap/>
            <w:vAlign w:val="center"/>
          </w:tcPr>
          <w:p w14:paraId="333A8DA7" w14:textId="77777777" w:rsidR="00154E32" w:rsidRDefault="00A43E04">
            <w:pPr>
              <w:pStyle w:val="P68B1DB1-Normal11"/>
              <w:spacing w:after="120"/>
              <w:jc w:val="center"/>
              <w:rPr>
                <w:noProof/>
              </w:rPr>
            </w:pPr>
            <w:r>
              <w:rPr>
                <w:noProof/>
              </w:rPr>
              <w:t>JIH NI</w:t>
            </w:r>
          </w:p>
        </w:tc>
        <w:tc>
          <w:tcPr>
            <w:tcW w:w="993" w:type="dxa"/>
            <w:shd w:val="clear" w:color="auto" w:fill="C6EFCE"/>
            <w:noWrap/>
            <w:vAlign w:val="center"/>
          </w:tcPr>
          <w:p w14:paraId="685913E3" w14:textId="77777777" w:rsidR="00154E32" w:rsidRDefault="00A43E04">
            <w:pPr>
              <w:pStyle w:val="P68B1DB1-Normal11"/>
              <w:spacing w:after="120"/>
              <w:jc w:val="center"/>
              <w:rPr>
                <w:noProof/>
              </w:rPr>
            </w:pPr>
            <w:r>
              <w:rPr>
                <w:noProof/>
              </w:rPr>
              <w:t>JIH NI</w:t>
            </w:r>
          </w:p>
        </w:tc>
        <w:tc>
          <w:tcPr>
            <w:tcW w:w="1275" w:type="dxa"/>
            <w:shd w:val="clear" w:color="auto" w:fill="C6EFCE"/>
            <w:noWrap/>
            <w:vAlign w:val="center"/>
          </w:tcPr>
          <w:p w14:paraId="3C5CCB99" w14:textId="77777777" w:rsidR="00154E32" w:rsidRDefault="00A43E04">
            <w:pPr>
              <w:pStyle w:val="P68B1DB1-Normal11"/>
              <w:spacing w:after="120"/>
              <w:jc w:val="center"/>
              <w:rPr>
                <w:noProof/>
              </w:rPr>
            </w:pPr>
            <w:r>
              <w:rPr>
                <w:noProof/>
              </w:rPr>
              <w:t>JIH NI</w:t>
            </w:r>
          </w:p>
        </w:tc>
        <w:tc>
          <w:tcPr>
            <w:tcW w:w="993" w:type="dxa"/>
            <w:shd w:val="clear" w:color="auto" w:fill="C6EFCE"/>
            <w:noWrap/>
            <w:vAlign w:val="center"/>
          </w:tcPr>
          <w:p w14:paraId="4EFB8825" w14:textId="77777777" w:rsidR="00154E32" w:rsidRDefault="00A43E04">
            <w:pPr>
              <w:pStyle w:val="P68B1DB1-Normal11"/>
              <w:spacing w:after="120"/>
              <w:jc w:val="center"/>
              <w:rPr>
                <w:noProof/>
              </w:rPr>
            </w:pPr>
            <w:r>
              <w:rPr>
                <w:noProof/>
              </w:rPr>
              <w:t>Q2</w:t>
            </w:r>
          </w:p>
        </w:tc>
        <w:tc>
          <w:tcPr>
            <w:tcW w:w="708" w:type="dxa"/>
            <w:shd w:val="clear" w:color="auto" w:fill="C6EFCE"/>
            <w:noWrap/>
            <w:vAlign w:val="center"/>
          </w:tcPr>
          <w:p w14:paraId="22A2CBEF" w14:textId="77777777" w:rsidR="00154E32" w:rsidRDefault="00A43E04">
            <w:pPr>
              <w:pStyle w:val="P68B1DB1-Normal11"/>
              <w:spacing w:after="120"/>
              <w:jc w:val="center"/>
              <w:rPr>
                <w:noProof/>
              </w:rPr>
            </w:pPr>
            <w:r>
              <w:rPr>
                <w:noProof/>
              </w:rPr>
              <w:t>2022</w:t>
            </w:r>
          </w:p>
        </w:tc>
        <w:tc>
          <w:tcPr>
            <w:tcW w:w="3686" w:type="dxa"/>
            <w:shd w:val="clear" w:color="auto" w:fill="C6EFCE"/>
            <w:noWrap/>
            <w:vAlign w:val="center"/>
          </w:tcPr>
          <w:p w14:paraId="5A765728" w14:textId="3C2C8C0C" w:rsidR="00154E32" w:rsidRDefault="00A43E04">
            <w:pPr>
              <w:pStyle w:val="P68B1DB1-Normal11"/>
              <w:spacing w:after="120"/>
              <w:jc w:val="both"/>
              <w:rPr>
                <w:noProof/>
              </w:rPr>
            </w:pPr>
            <w:r>
              <w:rPr>
                <w:noProof/>
              </w:rPr>
              <w:t>Uradno obvestilo o oddaji naročil projektom, izbranim v okviru konkurenčnih razpisov za zbiranje predlogov, v skladu s tehničnimi smernicami „da se ne škoduje bistveno“ (2021/C58/01) z uporabo seznama za izključitev in zahtevo po skladnosti z ustrezno okoljsko zakonodajo EU in nacionalno okoljsko zakonodajo.</w:t>
            </w:r>
          </w:p>
          <w:p w14:paraId="08FA7060" w14:textId="77777777" w:rsidR="00154E32" w:rsidRDefault="00A43E04">
            <w:pPr>
              <w:pStyle w:val="P68B1DB1-Normal11"/>
              <w:spacing w:after="120"/>
              <w:jc w:val="both"/>
              <w:rPr>
                <w:noProof/>
              </w:rPr>
            </w:pPr>
            <w:r>
              <w:rPr>
                <w:noProof/>
              </w:rPr>
              <w:t>Izbirni postopek zahteva oceno skladnosti z načelom, da se ne škoduje bistveno, in po potrebi strateško presojo vplivov na okolje, če se pričakuje, da bo projekt imel dosleden učinek na ozemlju.</w:t>
            </w:r>
          </w:p>
          <w:p w14:paraId="0AB5DA5C" w14:textId="77777777" w:rsidR="00154E32" w:rsidRDefault="00A43E04">
            <w:pPr>
              <w:pStyle w:val="P68B1DB1-Normal11"/>
              <w:spacing w:after="120"/>
              <w:jc w:val="both"/>
              <w:rPr>
                <w:noProof/>
              </w:rPr>
            </w:pPr>
            <w:r>
              <w:rPr>
                <w:noProof/>
              </w:rPr>
              <w:t>Nacionalni centri se ustanovijo na podlagi konkurenčnega razpisa z združitvijo obstoječih vodilnih svetovnih laboratorijev, ki so že prisotni na univerzah, ter javnih in zasebnih raziskovalnih središč, pa tudi z vzpostavitvijo nove prilagojene infrastrukture.</w:t>
            </w:r>
          </w:p>
        </w:tc>
      </w:tr>
      <w:tr w:rsidR="00154E32" w14:paraId="4EC166B2" w14:textId="77777777">
        <w:trPr>
          <w:trHeight w:val="313"/>
        </w:trPr>
        <w:tc>
          <w:tcPr>
            <w:tcW w:w="1135" w:type="dxa"/>
            <w:shd w:val="clear" w:color="auto" w:fill="C6EFCE"/>
            <w:noWrap/>
            <w:vAlign w:val="center"/>
          </w:tcPr>
          <w:p w14:paraId="34942C59" w14:textId="77777777" w:rsidR="00154E32" w:rsidRDefault="00A43E04">
            <w:pPr>
              <w:pStyle w:val="P68B1DB1-Normal11"/>
              <w:jc w:val="center"/>
              <w:rPr>
                <w:noProof/>
              </w:rPr>
            </w:pPr>
            <w:r>
              <w:rPr>
                <w:noProof/>
              </w:rPr>
              <w:t>M4C2–18 Bis</w:t>
            </w:r>
          </w:p>
        </w:tc>
        <w:tc>
          <w:tcPr>
            <w:tcW w:w="1419" w:type="dxa"/>
            <w:shd w:val="clear" w:color="auto" w:fill="C6EFCE"/>
            <w:noWrap/>
            <w:vAlign w:val="center"/>
          </w:tcPr>
          <w:p w14:paraId="3376117F" w14:textId="77777777" w:rsidR="00154E32" w:rsidRDefault="00A43E04">
            <w:pPr>
              <w:pStyle w:val="P68B1DB1-Normal11"/>
              <w:jc w:val="center"/>
              <w:rPr>
                <w:noProof/>
              </w:rPr>
            </w:pPr>
            <w:r>
              <w:rPr>
                <w:noProof/>
              </w:rPr>
              <w:t>Invesment1.5: Vzpostavitev in krepitev „inovacijskih ekosistemov za trajnostnost“ z oblikovanjem „ozemeljskih voditeljev raziskav in razvoja“</w:t>
            </w:r>
          </w:p>
        </w:tc>
        <w:tc>
          <w:tcPr>
            <w:tcW w:w="1132" w:type="dxa"/>
            <w:shd w:val="clear" w:color="auto" w:fill="C6EFCE"/>
            <w:noWrap/>
            <w:vAlign w:val="center"/>
          </w:tcPr>
          <w:p w14:paraId="538A13B2" w14:textId="77777777" w:rsidR="00154E32" w:rsidRDefault="00A43E04">
            <w:pPr>
              <w:pStyle w:val="P68B1DB1-Normal11"/>
              <w:jc w:val="center"/>
              <w:rPr>
                <w:noProof/>
              </w:rPr>
            </w:pPr>
            <w:r>
              <w:rPr>
                <w:noProof/>
              </w:rPr>
              <w:t>Tarča</w:t>
            </w:r>
          </w:p>
        </w:tc>
        <w:tc>
          <w:tcPr>
            <w:tcW w:w="1418" w:type="dxa"/>
            <w:shd w:val="clear" w:color="auto" w:fill="C6EFCE"/>
            <w:noWrap/>
            <w:vAlign w:val="center"/>
          </w:tcPr>
          <w:p w14:paraId="73227658" w14:textId="77777777" w:rsidR="00154E32" w:rsidRDefault="00A43E04">
            <w:pPr>
              <w:pStyle w:val="P68B1DB1-Normal11"/>
              <w:jc w:val="center"/>
              <w:rPr>
                <w:noProof/>
              </w:rPr>
            </w:pPr>
            <w:r>
              <w:rPr>
                <w:noProof/>
              </w:rPr>
              <w:t>Dejavnosti, ki jih izvajajo inovacijski ekosistemi</w:t>
            </w:r>
          </w:p>
        </w:tc>
        <w:tc>
          <w:tcPr>
            <w:tcW w:w="1275" w:type="dxa"/>
            <w:shd w:val="clear" w:color="auto" w:fill="C6EFCE"/>
            <w:noWrap/>
            <w:vAlign w:val="center"/>
          </w:tcPr>
          <w:p w14:paraId="0C22F047" w14:textId="77777777" w:rsidR="00154E32" w:rsidRDefault="00A43E04">
            <w:pPr>
              <w:pStyle w:val="P68B1DB1-Normal11"/>
              <w:jc w:val="center"/>
              <w:rPr>
                <w:noProof/>
              </w:rPr>
            </w:pPr>
            <w:r>
              <w:rPr>
                <w:noProof/>
              </w:rPr>
              <w:t>NI PODATKOV</w:t>
            </w:r>
          </w:p>
        </w:tc>
        <w:tc>
          <w:tcPr>
            <w:tcW w:w="1134" w:type="dxa"/>
            <w:shd w:val="clear" w:color="auto" w:fill="C6EFCE"/>
            <w:noWrap/>
            <w:vAlign w:val="center"/>
          </w:tcPr>
          <w:p w14:paraId="33689342" w14:textId="77777777" w:rsidR="00154E32" w:rsidRDefault="00A43E04">
            <w:pPr>
              <w:pStyle w:val="P68B1DB1-Normal11"/>
              <w:jc w:val="center"/>
              <w:rPr>
                <w:noProof/>
              </w:rPr>
            </w:pPr>
            <w:r>
              <w:rPr>
                <w:noProof/>
              </w:rPr>
              <w:t>Število</w:t>
            </w:r>
          </w:p>
        </w:tc>
        <w:tc>
          <w:tcPr>
            <w:tcW w:w="993" w:type="dxa"/>
            <w:shd w:val="clear" w:color="auto" w:fill="C6EFCE"/>
            <w:noWrap/>
            <w:vAlign w:val="center"/>
          </w:tcPr>
          <w:p w14:paraId="4DE61F0C" w14:textId="77777777" w:rsidR="00154E32" w:rsidRDefault="00A43E04">
            <w:pPr>
              <w:pStyle w:val="P68B1DB1-Normal11"/>
              <w:jc w:val="center"/>
              <w:rPr>
                <w:noProof/>
              </w:rPr>
            </w:pPr>
            <w:r>
              <w:rPr>
                <w:noProof/>
              </w:rPr>
              <w:t>0</w:t>
            </w:r>
          </w:p>
        </w:tc>
        <w:tc>
          <w:tcPr>
            <w:tcW w:w="1275" w:type="dxa"/>
            <w:shd w:val="clear" w:color="auto" w:fill="C6EFCE"/>
            <w:noWrap/>
            <w:vAlign w:val="center"/>
          </w:tcPr>
          <w:p w14:paraId="1041E18F" w14:textId="77777777" w:rsidR="00154E32" w:rsidRDefault="00A43E04">
            <w:pPr>
              <w:pStyle w:val="P68B1DB1-Normal11"/>
              <w:jc w:val="center"/>
              <w:rPr>
                <w:noProof/>
              </w:rPr>
            </w:pPr>
            <w:r>
              <w:rPr>
                <w:noProof/>
              </w:rPr>
              <w:t>10</w:t>
            </w:r>
          </w:p>
        </w:tc>
        <w:tc>
          <w:tcPr>
            <w:tcW w:w="993" w:type="dxa"/>
            <w:shd w:val="clear" w:color="auto" w:fill="C6EFCE"/>
            <w:noWrap/>
            <w:vAlign w:val="center"/>
          </w:tcPr>
          <w:p w14:paraId="4A76E864" w14:textId="77777777" w:rsidR="00154E32" w:rsidRDefault="00A43E04">
            <w:pPr>
              <w:pStyle w:val="P68B1DB1-Normal11"/>
              <w:jc w:val="center"/>
              <w:rPr>
                <w:noProof/>
              </w:rPr>
            </w:pPr>
            <w:r>
              <w:rPr>
                <w:noProof/>
              </w:rPr>
              <w:t>Q2</w:t>
            </w:r>
          </w:p>
        </w:tc>
        <w:tc>
          <w:tcPr>
            <w:tcW w:w="708" w:type="dxa"/>
            <w:shd w:val="clear" w:color="auto" w:fill="C6EFCE"/>
            <w:noWrap/>
            <w:vAlign w:val="center"/>
          </w:tcPr>
          <w:p w14:paraId="4EBE1C12" w14:textId="77777777" w:rsidR="00154E32" w:rsidRDefault="00A43E04">
            <w:pPr>
              <w:pStyle w:val="P68B1DB1-Normal11"/>
              <w:jc w:val="center"/>
              <w:rPr>
                <w:noProof/>
              </w:rPr>
            </w:pPr>
            <w:r>
              <w:rPr>
                <w:noProof/>
              </w:rPr>
              <w:t>2026</w:t>
            </w:r>
          </w:p>
        </w:tc>
        <w:tc>
          <w:tcPr>
            <w:tcW w:w="3686" w:type="dxa"/>
            <w:shd w:val="clear" w:color="auto" w:fill="C6EFCE"/>
            <w:noWrap/>
            <w:vAlign w:val="center"/>
          </w:tcPr>
          <w:p w14:paraId="6E47ACE9" w14:textId="2165485E" w:rsidR="00154E32" w:rsidRDefault="00A43E04">
            <w:pPr>
              <w:pStyle w:val="P68B1DB1-Normal11"/>
              <w:jc w:val="both"/>
              <w:rPr>
                <w:noProof/>
              </w:rPr>
            </w:pPr>
            <w:r>
              <w:rPr>
                <w:noProof/>
              </w:rPr>
              <w:t>Vsaj 10 inovacijskih ekosistemov je zaključilo svoje dejavnosti, kot so opredeljene v ustreznem razpisu za zbiranje projektov.</w:t>
            </w:r>
          </w:p>
        </w:tc>
      </w:tr>
      <w:tr w:rsidR="00154E32" w14:paraId="7BE47777" w14:textId="77777777">
        <w:trPr>
          <w:trHeight w:val="313"/>
        </w:trPr>
        <w:tc>
          <w:tcPr>
            <w:tcW w:w="1135" w:type="dxa"/>
            <w:shd w:val="clear" w:color="auto" w:fill="C6EFCE"/>
            <w:noWrap/>
            <w:vAlign w:val="center"/>
          </w:tcPr>
          <w:p w14:paraId="6C8DA4D6" w14:textId="77777777" w:rsidR="00154E32" w:rsidRDefault="00A43E04">
            <w:pPr>
              <w:pStyle w:val="P68B1DB1-Normal11"/>
              <w:jc w:val="center"/>
              <w:rPr>
                <w:noProof/>
              </w:rPr>
            </w:pPr>
            <w:r>
              <w:rPr>
                <w:noProof/>
              </w:rPr>
              <w:t>M4C2–19</w:t>
            </w:r>
          </w:p>
        </w:tc>
        <w:tc>
          <w:tcPr>
            <w:tcW w:w="1419" w:type="dxa"/>
            <w:shd w:val="clear" w:color="auto" w:fill="C6EFCE"/>
            <w:noWrap/>
            <w:vAlign w:val="center"/>
          </w:tcPr>
          <w:p w14:paraId="10F98E58" w14:textId="77777777" w:rsidR="00154E32" w:rsidRDefault="00A43E04">
            <w:pPr>
              <w:pStyle w:val="P68B1DB1-Normal11"/>
              <w:jc w:val="center"/>
              <w:rPr>
                <w:noProof/>
              </w:rPr>
            </w:pPr>
            <w:r>
              <w:rPr>
                <w:noProof/>
              </w:rPr>
              <w:t>Naložba 1.4: Krepitev raziskovalnih struktur in podpiranje oblikovanja „nacionalnih voditeljev na področju raziskav in razvoja“ na področju nekaterih ključnih omogočitvenih tehnologij</w:t>
            </w:r>
          </w:p>
        </w:tc>
        <w:tc>
          <w:tcPr>
            <w:tcW w:w="1132" w:type="dxa"/>
            <w:shd w:val="clear" w:color="auto" w:fill="C6EFCE"/>
            <w:noWrap/>
            <w:vAlign w:val="center"/>
          </w:tcPr>
          <w:p w14:paraId="50D68F53" w14:textId="77777777" w:rsidR="00154E32" w:rsidRDefault="00A43E04">
            <w:pPr>
              <w:pStyle w:val="P68B1DB1-Normal11"/>
              <w:jc w:val="center"/>
              <w:rPr>
                <w:noProof/>
              </w:rPr>
            </w:pPr>
            <w:r>
              <w:rPr>
                <w:noProof/>
              </w:rPr>
              <w:t>Mejnik</w:t>
            </w:r>
          </w:p>
        </w:tc>
        <w:tc>
          <w:tcPr>
            <w:tcW w:w="1418" w:type="dxa"/>
            <w:shd w:val="clear" w:color="auto" w:fill="C6EFCE"/>
            <w:noWrap/>
            <w:vAlign w:val="center"/>
          </w:tcPr>
          <w:p w14:paraId="52453652" w14:textId="77777777" w:rsidR="00154E32" w:rsidRDefault="00A43E04">
            <w:pPr>
              <w:pStyle w:val="P68B1DB1-Normal11"/>
              <w:jc w:val="center"/>
              <w:rPr>
                <w:noProof/>
              </w:rPr>
            </w:pPr>
            <w:r>
              <w:rPr>
                <w:noProof/>
              </w:rPr>
              <w:t>Oddaja naročil za projekte v zvezi z nacionalnimi vodilnimi na področju raziskav in razvoja na področju ključnih omogočitvenih tehnologij</w:t>
            </w:r>
          </w:p>
        </w:tc>
        <w:tc>
          <w:tcPr>
            <w:tcW w:w="1275" w:type="dxa"/>
            <w:shd w:val="clear" w:color="auto" w:fill="C6EFCE"/>
            <w:noWrap/>
            <w:vAlign w:val="center"/>
          </w:tcPr>
          <w:p w14:paraId="4441D975" w14:textId="77777777" w:rsidR="00154E32" w:rsidRDefault="00A43E04">
            <w:pPr>
              <w:pStyle w:val="P68B1DB1-Normal11"/>
              <w:jc w:val="center"/>
              <w:rPr>
                <w:noProof/>
              </w:rPr>
            </w:pPr>
            <w:r>
              <w:rPr>
                <w:noProof/>
              </w:rPr>
              <w:t>Obvestilo o oddaji naročil</w:t>
            </w:r>
          </w:p>
        </w:tc>
        <w:tc>
          <w:tcPr>
            <w:tcW w:w="1134" w:type="dxa"/>
            <w:shd w:val="clear" w:color="auto" w:fill="C6EFCE"/>
            <w:noWrap/>
            <w:vAlign w:val="center"/>
          </w:tcPr>
          <w:p w14:paraId="2D402609" w14:textId="77777777" w:rsidR="00154E32" w:rsidRDefault="00A43E04">
            <w:pPr>
              <w:pStyle w:val="P68B1DB1-Normal11"/>
              <w:jc w:val="center"/>
              <w:rPr>
                <w:noProof/>
              </w:rPr>
            </w:pPr>
            <w:r>
              <w:rPr>
                <w:noProof/>
              </w:rPr>
              <w:t>JIH NI</w:t>
            </w:r>
          </w:p>
        </w:tc>
        <w:tc>
          <w:tcPr>
            <w:tcW w:w="993" w:type="dxa"/>
            <w:shd w:val="clear" w:color="auto" w:fill="C6EFCE"/>
            <w:noWrap/>
            <w:vAlign w:val="center"/>
          </w:tcPr>
          <w:p w14:paraId="10FFFA85" w14:textId="77777777" w:rsidR="00154E32" w:rsidRDefault="00A43E04">
            <w:pPr>
              <w:pStyle w:val="P68B1DB1-Normal11"/>
              <w:jc w:val="center"/>
              <w:rPr>
                <w:noProof/>
              </w:rPr>
            </w:pPr>
            <w:r>
              <w:rPr>
                <w:noProof/>
              </w:rPr>
              <w:t>JIH NI</w:t>
            </w:r>
          </w:p>
        </w:tc>
        <w:tc>
          <w:tcPr>
            <w:tcW w:w="1275" w:type="dxa"/>
            <w:shd w:val="clear" w:color="auto" w:fill="C6EFCE"/>
            <w:noWrap/>
            <w:vAlign w:val="center"/>
          </w:tcPr>
          <w:p w14:paraId="473A6C39" w14:textId="77777777" w:rsidR="00154E32" w:rsidRDefault="00A43E04">
            <w:pPr>
              <w:pStyle w:val="P68B1DB1-Normal11"/>
              <w:jc w:val="center"/>
              <w:rPr>
                <w:noProof/>
              </w:rPr>
            </w:pPr>
            <w:r>
              <w:rPr>
                <w:noProof/>
              </w:rPr>
              <w:t>N</w:t>
            </w:r>
          </w:p>
        </w:tc>
        <w:tc>
          <w:tcPr>
            <w:tcW w:w="993" w:type="dxa"/>
            <w:shd w:val="clear" w:color="auto" w:fill="C6EFCE"/>
            <w:noWrap/>
            <w:vAlign w:val="center"/>
          </w:tcPr>
          <w:p w14:paraId="2756B17B" w14:textId="77777777" w:rsidR="00154E32" w:rsidRDefault="00A43E04">
            <w:pPr>
              <w:pStyle w:val="P68B1DB1-Normal11"/>
              <w:jc w:val="center"/>
              <w:rPr>
                <w:noProof/>
              </w:rPr>
            </w:pPr>
            <w:r>
              <w:rPr>
                <w:noProof/>
              </w:rPr>
              <w:t>Q2</w:t>
            </w:r>
          </w:p>
        </w:tc>
        <w:tc>
          <w:tcPr>
            <w:tcW w:w="708" w:type="dxa"/>
            <w:shd w:val="clear" w:color="auto" w:fill="C6EFCE"/>
            <w:noWrap/>
            <w:vAlign w:val="center"/>
          </w:tcPr>
          <w:p w14:paraId="43E38F4E" w14:textId="77777777" w:rsidR="00154E32" w:rsidRDefault="00A43E04">
            <w:pPr>
              <w:pStyle w:val="P68B1DB1-Normal11"/>
              <w:jc w:val="center"/>
              <w:rPr>
                <w:noProof/>
              </w:rPr>
            </w:pPr>
            <w:r>
              <w:rPr>
                <w:noProof/>
              </w:rPr>
              <w:t>2022</w:t>
            </w:r>
          </w:p>
        </w:tc>
        <w:tc>
          <w:tcPr>
            <w:tcW w:w="3686" w:type="dxa"/>
            <w:shd w:val="clear" w:color="auto" w:fill="C6EFCE"/>
            <w:noWrap/>
            <w:vAlign w:val="center"/>
          </w:tcPr>
          <w:p w14:paraId="0BFD7217" w14:textId="77777777" w:rsidR="00154E32" w:rsidRDefault="00A43E04">
            <w:pPr>
              <w:pStyle w:val="P68B1DB1-Normal11"/>
              <w:spacing w:after="120"/>
              <w:jc w:val="both"/>
              <w:rPr>
                <w:noProof/>
              </w:rPr>
            </w:pPr>
            <w:r>
              <w:rPr>
                <w:noProof/>
              </w:rPr>
              <w:t>Uradno obvestilo o oddaji naročil projektom, izbranim v okviru konkurenčnih razpisov za zbiranje predlogov, v skladu s tehničnimi smernicami „da se ne škoduje bistveno“ (2021/C58/01) z uporabo seznama za izključitev in zahtevo po skladnosti z ustrezno okoljsko zakonodajo EU in nacionalno okoljsko zakonodajo.</w:t>
            </w:r>
          </w:p>
          <w:p w14:paraId="150E8C2A" w14:textId="77777777" w:rsidR="00154E32" w:rsidRDefault="00A43E04">
            <w:pPr>
              <w:pStyle w:val="P68B1DB1-Normal11"/>
              <w:spacing w:after="120"/>
              <w:jc w:val="both"/>
              <w:rPr>
                <w:noProof/>
              </w:rPr>
            </w:pPr>
            <w:r>
              <w:rPr>
                <w:noProof/>
              </w:rPr>
              <w:t>Projekti se izberejo med 30 % sredstev kot intervencije „raziskovalni in inovacijski procesi, prenos tehnologije in sodelovanje med podjetji, ki se osredotočajo na nizkoogljično gospodarstvo, odpornost in prilagajanje podnebnim spremembam“ (IF022), ter za 15 % sredstev kot intervencije „raziskovalni in inovacijski procesi, prenos tehnologije in sodelovanje med podjetji, ki se osredotočajo na krožno gospodarstvo“ (IF023).</w:t>
            </w:r>
          </w:p>
          <w:p w14:paraId="6A23D663" w14:textId="77777777" w:rsidR="00154E32" w:rsidRDefault="00A43E04">
            <w:pPr>
              <w:pStyle w:val="P68B1DB1-Normal11"/>
              <w:spacing w:after="120"/>
              <w:jc w:val="both"/>
              <w:rPr>
                <w:noProof/>
              </w:rPr>
            </w:pPr>
            <w:r>
              <w:rPr>
                <w:noProof/>
              </w:rPr>
              <w:t>Projekti se ocenijo ob upoštevanju njihove izvedljivosti, trajnosti, povezanosti z drugimi viri (kot so regionalni skladi), vključenosti proizvodnega sektorja, kakovosti partnerjev ter vpliva na socialno in okoljsko trajnost. Razpis za financiranje projektov kot inovacijski ekosistemi. Izbirni postopek zahteva oceno skladnosti z načelom, da se ne škoduje bistveno, in po potrebi strateško presojo vplivov na okolje, če se pričakuje, da bo projekt imel dosleden učinek na ozemlju.</w:t>
            </w:r>
          </w:p>
        </w:tc>
      </w:tr>
      <w:tr w:rsidR="00154E32" w14:paraId="222EE43A" w14:textId="77777777">
        <w:trPr>
          <w:trHeight w:val="313"/>
        </w:trPr>
        <w:tc>
          <w:tcPr>
            <w:tcW w:w="1135" w:type="dxa"/>
            <w:shd w:val="clear" w:color="auto" w:fill="C6EFCE"/>
            <w:noWrap/>
            <w:vAlign w:val="center"/>
            <w:hideMark/>
          </w:tcPr>
          <w:p w14:paraId="06C818D4" w14:textId="77777777" w:rsidR="00154E32" w:rsidRDefault="00A43E04">
            <w:pPr>
              <w:pStyle w:val="P68B1DB1-Normal11"/>
              <w:jc w:val="center"/>
              <w:rPr>
                <w:noProof/>
              </w:rPr>
            </w:pPr>
            <w:r>
              <w:rPr>
                <w:noProof/>
              </w:rPr>
              <w:t>M4C2–20</w:t>
            </w:r>
          </w:p>
        </w:tc>
        <w:tc>
          <w:tcPr>
            <w:tcW w:w="1419" w:type="dxa"/>
            <w:shd w:val="clear" w:color="auto" w:fill="C6EFCE"/>
            <w:noWrap/>
            <w:vAlign w:val="center"/>
            <w:hideMark/>
          </w:tcPr>
          <w:p w14:paraId="456D3596" w14:textId="77777777" w:rsidR="00154E32" w:rsidRDefault="00A43E04">
            <w:pPr>
              <w:pStyle w:val="P68B1DB1-Normal11"/>
              <w:jc w:val="center"/>
              <w:rPr>
                <w:noProof/>
              </w:rPr>
            </w:pPr>
            <w:r>
              <w:rPr>
                <w:noProof/>
              </w:rPr>
              <w:t>Naložba 3.2: Financiranje zagonskih podjetij</w:t>
            </w:r>
          </w:p>
        </w:tc>
        <w:tc>
          <w:tcPr>
            <w:tcW w:w="1132" w:type="dxa"/>
            <w:shd w:val="clear" w:color="auto" w:fill="C6EFCE"/>
            <w:noWrap/>
            <w:vAlign w:val="center"/>
            <w:hideMark/>
          </w:tcPr>
          <w:p w14:paraId="09AD9AA8" w14:textId="77777777" w:rsidR="00154E32" w:rsidRDefault="00A43E04">
            <w:pPr>
              <w:pStyle w:val="P68B1DB1-Normal11"/>
              <w:jc w:val="center"/>
              <w:rPr>
                <w:noProof/>
              </w:rPr>
            </w:pPr>
            <w:r>
              <w:rPr>
                <w:noProof/>
              </w:rPr>
              <w:t>Mejnik</w:t>
            </w:r>
          </w:p>
        </w:tc>
        <w:tc>
          <w:tcPr>
            <w:tcW w:w="1418" w:type="dxa"/>
            <w:shd w:val="clear" w:color="auto" w:fill="C6EFCE"/>
            <w:noWrap/>
            <w:vAlign w:val="center"/>
            <w:hideMark/>
          </w:tcPr>
          <w:p w14:paraId="6412C65E" w14:textId="77777777" w:rsidR="00154E32" w:rsidRDefault="00A43E04">
            <w:pPr>
              <w:pStyle w:val="P68B1DB1-Normal11"/>
              <w:jc w:val="center"/>
              <w:rPr>
                <w:noProof/>
              </w:rPr>
            </w:pPr>
            <w:r>
              <w:rPr>
                <w:noProof/>
              </w:rPr>
              <w:t>Sporazum med vlado IT in izvajalskim partnerjem Cassa Depositi e Prestiti (CDP), ki vzpostavlja podpisan finančni instrument</w:t>
            </w:r>
          </w:p>
        </w:tc>
        <w:tc>
          <w:tcPr>
            <w:tcW w:w="1275" w:type="dxa"/>
            <w:shd w:val="clear" w:color="auto" w:fill="C6EFCE"/>
            <w:noWrap/>
            <w:vAlign w:val="center"/>
            <w:hideMark/>
          </w:tcPr>
          <w:p w14:paraId="3F50EBD9" w14:textId="77777777" w:rsidR="00154E32" w:rsidRDefault="00A43E04">
            <w:pPr>
              <w:pStyle w:val="P68B1DB1-Normal11"/>
              <w:jc w:val="center"/>
              <w:rPr>
                <w:noProof/>
              </w:rPr>
            </w:pPr>
            <w:r>
              <w:rPr>
                <w:noProof/>
              </w:rPr>
              <w:t>Sporazum sta podpisala italijanska vlada in Cassa Depositi e Prestiti</w:t>
            </w:r>
          </w:p>
        </w:tc>
        <w:tc>
          <w:tcPr>
            <w:tcW w:w="1134" w:type="dxa"/>
            <w:shd w:val="clear" w:color="auto" w:fill="C6EFCE"/>
            <w:noWrap/>
            <w:vAlign w:val="center"/>
            <w:hideMark/>
          </w:tcPr>
          <w:p w14:paraId="1E74CCA9" w14:textId="77777777" w:rsidR="00154E32" w:rsidRDefault="00A43E04">
            <w:pPr>
              <w:pStyle w:val="P68B1DB1-Normal11"/>
              <w:jc w:val="center"/>
              <w:rPr>
                <w:noProof/>
              </w:rPr>
            </w:pPr>
            <w:r>
              <w:rPr>
                <w:noProof/>
              </w:rPr>
              <w:t>JIH NI</w:t>
            </w:r>
          </w:p>
        </w:tc>
        <w:tc>
          <w:tcPr>
            <w:tcW w:w="993" w:type="dxa"/>
            <w:shd w:val="clear" w:color="auto" w:fill="C6EFCE"/>
            <w:noWrap/>
            <w:vAlign w:val="center"/>
            <w:hideMark/>
          </w:tcPr>
          <w:p w14:paraId="01DC274C" w14:textId="77777777" w:rsidR="00154E32" w:rsidRDefault="00A43E04">
            <w:pPr>
              <w:pStyle w:val="P68B1DB1-Normal11"/>
              <w:jc w:val="center"/>
              <w:rPr>
                <w:noProof/>
              </w:rPr>
            </w:pPr>
            <w:r>
              <w:rPr>
                <w:noProof/>
              </w:rPr>
              <w:t>JIH NI</w:t>
            </w:r>
          </w:p>
        </w:tc>
        <w:tc>
          <w:tcPr>
            <w:tcW w:w="1275" w:type="dxa"/>
            <w:shd w:val="clear" w:color="auto" w:fill="C6EFCE"/>
            <w:noWrap/>
            <w:vAlign w:val="center"/>
            <w:hideMark/>
          </w:tcPr>
          <w:p w14:paraId="75DC2F0D" w14:textId="77777777" w:rsidR="00154E32" w:rsidRDefault="00A43E04">
            <w:pPr>
              <w:pStyle w:val="P68B1DB1-Normal11"/>
              <w:jc w:val="center"/>
              <w:rPr>
                <w:noProof/>
              </w:rPr>
            </w:pPr>
            <w:r>
              <w:rPr>
                <w:noProof/>
              </w:rPr>
              <w:t>JIH NI</w:t>
            </w:r>
          </w:p>
        </w:tc>
        <w:tc>
          <w:tcPr>
            <w:tcW w:w="993" w:type="dxa"/>
            <w:shd w:val="clear" w:color="auto" w:fill="C6EFCE"/>
            <w:noWrap/>
            <w:vAlign w:val="center"/>
            <w:hideMark/>
          </w:tcPr>
          <w:p w14:paraId="1B05F885" w14:textId="77777777" w:rsidR="00154E32" w:rsidRDefault="00A43E04">
            <w:pPr>
              <w:pStyle w:val="P68B1DB1-Normal11"/>
              <w:jc w:val="center"/>
              <w:rPr>
                <w:noProof/>
              </w:rPr>
            </w:pPr>
            <w:r>
              <w:rPr>
                <w:noProof/>
              </w:rPr>
              <w:t>Q2</w:t>
            </w:r>
          </w:p>
        </w:tc>
        <w:tc>
          <w:tcPr>
            <w:tcW w:w="708" w:type="dxa"/>
            <w:shd w:val="clear" w:color="auto" w:fill="C6EFCE"/>
            <w:noWrap/>
            <w:vAlign w:val="center"/>
            <w:hideMark/>
          </w:tcPr>
          <w:p w14:paraId="4F1BB4FF" w14:textId="77777777" w:rsidR="00154E32" w:rsidRDefault="00A43E04">
            <w:pPr>
              <w:pStyle w:val="P68B1DB1-Normal11"/>
              <w:jc w:val="center"/>
              <w:rPr>
                <w:noProof/>
              </w:rPr>
            </w:pPr>
            <w:r>
              <w:rPr>
                <w:noProof/>
              </w:rPr>
              <w:t>2022</w:t>
            </w:r>
          </w:p>
        </w:tc>
        <w:tc>
          <w:tcPr>
            <w:tcW w:w="3686" w:type="dxa"/>
            <w:shd w:val="clear" w:color="auto" w:fill="C6EFCE"/>
            <w:noWrap/>
            <w:vAlign w:val="center"/>
            <w:hideMark/>
          </w:tcPr>
          <w:p w14:paraId="74FB7AB1" w14:textId="77777777" w:rsidR="00154E32" w:rsidRDefault="00A43E04">
            <w:pPr>
              <w:pStyle w:val="P68B1DB1-Normal11"/>
              <w:jc w:val="both"/>
              <w:rPr>
                <w:noProof/>
              </w:rPr>
            </w:pPr>
            <w:r>
              <w:rPr>
                <w:noProof/>
              </w:rPr>
              <w:t>Elementi, ki se vključijo v naložbeno politiko/strategijo finančnega instrumenta, so:</w:t>
            </w:r>
          </w:p>
          <w:p w14:paraId="6E9ED341" w14:textId="77777777" w:rsidR="00154E32" w:rsidRDefault="00A43E04">
            <w:pPr>
              <w:pStyle w:val="P68B1DB1-Normal10"/>
              <w:ind w:left="176" w:hanging="176"/>
              <w:jc w:val="both"/>
              <w:rPr>
                <w:noProof/>
                <w:color w:val="006100"/>
                <w:sz w:val="20"/>
              </w:rPr>
            </w:pPr>
            <w:r>
              <w:rPr>
                <w:noProof/>
                <w:color w:val="006100"/>
                <w:sz w:val="20"/>
              </w:rPr>
              <w:t>-</w:t>
            </w:r>
            <w:r>
              <w:rPr>
                <w:noProof/>
              </w:rPr>
              <w:tab/>
            </w:r>
            <w:r>
              <w:rPr>
                <w:noProof/>
                <w:color w:val="006100"/>
                <w:sz w:val="20"/>
              </w:rPr>
              <w:t>Naložbeni cilji (velikost skladov, število operacij, zneski, ki jih je treba podpreti v daljšem časovnem obdobju, ki se razlikujejo po upravičencih, kot so MSP in podjetja s srednje veliko tržno kapitalizacijo/velika podjetja)</w:t>
            </w:r>
          </w:p>
          <w:p w14:paraId="5E1B67A9" w14:textId="77777777" w:rsidR="00154E32" w:rsidRDefault="00A43E04">
            <w:pPr>
              <w:pStyle w:val="P68B1DB1-Normal10"/>
              <w:ind w:left="176" w:hanging="176"/>
              <w:jc w:val="both"/>
              <w:rPr>
                <w:noProof/>
                <w:color w:val="006100"/>
                <w:sz w:val="20"/>
              </w:rPr>
            </w:pPr>
            <w:r>
              <w:rPr>
                <w:noProof/>
                <w:color w:val="006100"/>
                <w:sz w:val="20"/>
              </w:rPr>
              <w:t>-</w:t>
            </w:r>
            <w:r>
              <w:rPr>
                <w:noProof/>
              </w:rPr>
              <w:tab/>
            </w:r>
            <w:r>
              <w:rPr>
                <w:noProof/>
                <w:color w:val="006100"/>
                <w:sz w:val="20"/>
              </w:rPr>
              <w:t>Področje uporabe in upravičeni upravičenci</w:t>
            </w:r>
          </w:p>
          <w:p w14:paraId="5C64B2C2" w14:textId="77777777" w:rsidR="00154E32" w:rsidRDefault="00A43E04">
            <w:pPr>
              <w:pStyle w:val="P68B1DB1-Normal10"/>
              <w:ind w:left="176" w:hanging="176"/>
              <w:jc w:val="both"/>
              <w:rPr>
                <w:noProof/>
                <w:color w:val="006100"/>
                <w:sz w:val="20"/>
              </w:rPr>
            </w:pPr>
            <w:r>
              <w:rPr>
                <w:noProof/>
                <w:color w:val="006100"/>
                <w:sz w:val="20"/>
              </w:rPr>
              <w:t>-</w:t>
            </w:r>
            <w:r>
              <w:rPr>
                <w:noProof/>
              </w:rPr>
              <w:tab/>
            </w:r>
            <w:r>
              <w:rPr>
                <w:noProof/>
                <w:color w:val="006100"/>
                <w:sz w:val="20"/>
              </w:rPr>
              <w:t>Upravičeni finančni posredniki in izbirni postopek</w:t>
            </w:r>
          </w:p>
          <w:p w14:paraId="1E2A99B1" w14:textId="77777777" w:rsidR="00154E32" w:rsidRDefault="00A43E04">
            <w:pPr>
              <w:pStyle w:val="P68B1DB1-Normal10"/>
              <w:ind w:left="176" w:hanging="176"/>
              <w:jc w:val="both"/>
              <w:rPr>
                <w:noProof/>
                <w:color w:val="006100"/>
                <w:sz w:val="20"/>
              </w:rPr>
            </w:pPr>
            <w:r>
              <w:rPr>
                <w:noProof/>
                <w:color w:val="006100"/>
                <w:sz w:val="20"/>
              </w:rPr>
              <w:t>-</w:t>
            </w:r>
            <w:r>
              <w:rPr>
                <w:noProof/>
              </w:rPr>
              <w:tab/>
            </w:r>
            <w:r>
              <w:rPr>
                <w:noProof/>
                <w:color w:val="006100"/>
                <w:sz w:val="20"/>
              </w:rPr>
              <w:t>Vrsta zagotovljene podpore (kot so jamstva, posojila, lastniški kapital in navidezni lastniški kapital)</w:t>
            </w:r>
          </w:p>
          <w:p w14:paraId="6356CD47" w14:textId="77777777" w:rsidR="00154E32" w:rsidRDefault="00A43E04">
            <w:pPr>
              <w:pStyle w:val="P68B1DB1-Normal10"/>
              <w:ind w:left="176" w:hanging="176"/>
              <w:jc w:val="both"/>
              <w:rPr>
                <w:noProof/>
                <w:color w:val="006100"/>
                <w:sz w:val="20"/>
              </w:rPr>
            </w:pPr>
            <w:r>
              <w:rPr>
                <w:noProof/>
                <w:color w:val="006100"/>
                <w:sz w:val="20"/>
              </w:rPr>
              <w:t>-</w:t>
            </w:r>
            <w:r>
              <w:rPr>
                <w:noProof/>
              </w:rPr>
              <w:tab/>
            </w:r>
            <w:r>
              <w:rPr>
                <w:noProof/>
                <w:color w:val="006100"/>
                <w:sz w:val="20"/>
              </w:rPr>
              <w:t>Ciljno tveganje/donos za vsako vrsto vlagatelja</w:t>
            </w:r>
          </w:p>
          <w:p w14:paraId="140DFC8E" w14:textId="77777777" w:rsidR="00154E32" w:rsidRDefault="00A43E04">
            <w:pPr>
              <w:pStyle w:val="P68B1DB1-Normal10"/>
              <w:ind w:left="176" w:hanging="176"/>
              <w:jc w:val="both"/>
              <w:rPr>
                <w:noProof/>
                <w:color w:val="006100"/>
                <w:sz w:val="20"/>
              </w:rPr>
            </w:pPr>
            <w:r>
              <w:rPr>
                <w:noProof/>
                <w:color w:val="006100"/>
                <w:sz w:val="20"/>
              </w:rPr>
              <w:t>-</w:t>
            </w:r>
            <w:r>
              <w:rPr>
                <w:noProof/>
              </w:rPr>
              <w:tab/>
            </w:r>
            <w:r>
              <w:rPr>
                <w:noProof/>
                <w:color w:val="006100"/>
                <w:sz w:val="20"/>
              </w:rPr>
              <w:t>Politika tveganja in politika preprečevanja pranja denarja</w:t>
            </w:r>
          </w:p>
          <w:p w14:paraId="779E8C4E" w14:textId="77777777" w:rsidR="00154E32" w:rsidRDefault="00A43E04">
            <w:pPr>
              <w:pStyle w:val="P68B1DB1-Normal10"/>
              <w:ind w:left="176" w:hanging="176"/>
              <w:jc w:val="both"/>
              <w:rPr>
                <w:noProof/>
                <w:color w:val="006100"/>
                <w:sz w:val="20"/>
              </w:rPr>
            </w:pPr>
            <w:r>
              <w:rPr>
                <w:noProof/>
                <w:color w:val="006100"/>
                <w:sz w:val="20"/>
              </w:rPr>
              <w:t>-</w:t>
            </w:r>
            <w:r>
              <w:rPr>
                <w:noProof/>
              </w:rPr>
              <w:tab/>
            </w:r>
            <w:r>
              <w:rPr>
                <w:noProof/>
                <w:color w:val="006100"/>
                <w:sz w:val="20"/>
              </w:rPr>
              <w:t>Upravljanje (partnerji, upravitelji skladov, upravni odbor, investicijski odbor, vloga in odgovornosti)</w:t>
            </w:r>
          </w:p>
          <w:p w14:paraId="1879796F" w14:textId="77777777" w:rsidR="00154E32" w:rsidRDefault="00A43E04">
            <w:pPr>
              <w:pStyle w:val="P68B1DB1-Normal10"/>
              <w:ind w:left="176" w:hanging="176"/>
              <w:jc w:val="both"/>
              <w:rPr>
                <w:noProof/>
                <w:color w:val="006100"/>
                <w:sz w:val="20"/>
              </w:rPr>
            </w:pPr>
            <w:r>
              <w:rPr>
                <w:noProof/>
                <w:color w:val="006100"/>
                <w:sz w:val="20"/>
              </w:rPr>
              <w:t>-</w:t>
            </w:r>
            <w:r>
              <w:rPr>
                <w:noProof/>
              </w:rPr>
              <w:tab/>
            </w:r>
            <w:r>
              <w:rPr>
                <w:noProof/>
                <w:color w:val="006100"/>
                <w:sz w:val="20"/>
              </w:rPr>
              <w:t>Diverzifikacija in omejitve koncentracije</w:t>
            </w:r>
          </w:p>
          <w:p w14:paraId="07345CC9" w14:textId="77777777" w:rsidR="00154E32" w:rsidRDefault="00A43E04">
            <w:pPr>
              <w:pStyle w:val="P68B1DB1-Normal10"/>
              <w:ind w:left="176" w:hanging="176"/>
              <w:jc w:val="both"/>
              <w:rPr>
                <w:noProof/>
                <w:color w:val="006100"/>
                <w:sz w:val="20"/>
              </w:rPr>
            </w:pPr>
            <w:r>
              <w:rPr>
                <w:noProof/>
                <w:color w:val="006100"/>
                <w:sz w:val="20"/>
              </w:rPr>
              <w:t>-</w:t>
            </w:r>
            <w:r>
              <w:rPr>
                <w:noProof/>
              </w:rPr>
              <w:tab/>
            </w:r>
            <w:r>
              <w:rPr>
                <w:noProof/>
                <w:color w:val="006100"/>
                <w:sz w:val="20"/>
              </w:rPr>
              <w:t>Politika lastniškega kapitala, vključno z izhodno strategijo za naložbe v lastniške vrednostne papirje</w:t>
            </w:r>
          </w:p>
          <w:p w14:paraId="7ED84D1A" w14:textId="77777777" w:rsidR="00154E32" w:rsidRDefault="00A43E04">
            <w:pPr>
              <w:pStyle w:val="P68B1DB1-Normal10"/>
              <w:ind w:left="176" w:hanging="142"/>
              <w:jc w:val="both"/>
              <w:rPr>
                <w:noProof/>
                <w:color w:val="006100"/>
                <w:sz w:val="20"/>
              </w:rPr>
            </w:pPr>
            <w:r>
              <w:rPr>
                <w:noProof/>
                <w:color w:val="006100"/>
                <w:sz w:val="20"/>
              </w:rPr>
              <w:t>-</w:t>
            </w:r>
            <w:r>
              <w:rPr>
                <w:noProof/>
              </w:rPr>
              <w:tab/>
            </w:r>
            <w:r>
              <w:rPr>
                <w:noProof/>
                <w:color w:val="006100"/>
                <w:sz w:val="20"/>
              </w:rPr>
              <w:t>Politika in seznam izključitev, ki se ne škoduje bistveno, in preverjanja trajnostnosti</w:t>
            </w:r>
          </w:p>
          <w:p w14:paraId="4B12E697" w14:textId="77777777" w:rsidR="00154E32" w:rsidRDefault="00A43E04">
            <w:pPr>
              <w:pStyle w:val="P68B1DB1-Normal10"/>
              <w:ind w:left="176" w:hanging="142"/>
              <w:jc w:val="both"/>
              <w:rPr>
                <w:noProof/>
                <w:color w:val="006100"/>
                <w:sz w:val="20"/>
              </w:rPr>
            </w:pPr>
            <w:r>
              <w:rPr>
                <w:noProof/>
                <w:color w:val="006100"/>
                <w:sz w:val="20"/>
              </w:rPr>
              <w:t>-</w:t>
            </w:r>
            <w:r>
              <w:rPr>
                <w:noProof/>
              </w:rPr>
              <w:tab/>
            </w:r>
            <w:r>
              <w:rPr>
                <w:noProof/>
                <w:color w:val="006100"/>
                <w:sz w:val="20"/>
              </w:rPr>
              <w:t>Posojilna politika za dolžniške naložbe, vključno z zahtevanimi jamstvi in zavarovanjem s premoženjem</w:t>
            </w:r>
          </w:p>
          <w:p w14:paraId="2F250A58" w14:textId="77777777" w:rsidR="00154E32" w:rsidRDefault="00A43E04">
            <w:pPr>
              <w:pStyle w:val="P68B1DB1-Normal10"/>
              <w:ind w:left="176" w:hanging="142"/>
              <w:jc w:val="both"/>
              <w:rPr>
                <w:noProof/>
                <w:color w:val="006100"/>
                <w:sz w:val="20"/>
              </w:rPr>
            </w:pPr>
            <w:r>
              <w:rPr>
                <w:noProof/>
                <w:color w:val="006100"/>
                <w:sz w:val="20"/>
              </w:rPr>
              <w:t>-</w:t>
            </w:r>
            <w:r>
              <w:rPr>
                <w:noProof/>
              </w:rPr>
              <w:tab/>
            </w:r>
            <w:r>
              <w:rPr>
                <w:noProof/>
                <w:color w:val="006100"/>
                <w:sz w:val="20"/>
              </w:rPr>
              <w:t>Časovnica za zbiranje sredstev in izvajanje</w:t>
            </w:r>
          </w:p>
          <w:p w14:paraId="3B0AA37E" w14:textId="77777777" w:rsidR="00154E32" w:rsidRDefault="00154E32">
            <w:pPr>
              <w:ind w:left="176" w:hanging="142"/>
              <w:jc w:val="both"/>
              <w:rPr>
                <w:rFonts w:ascii="Arial Narrow" w:hAnsi="Arial Narrow"/>
                <w:noProof/>
                <w:color w:val="006100"/>
                <w:sz w:val="20"/>
              </w:rPr>
            </w:pPr>
          </w:p>
        </w:tc>
      </w:tr>
      <w:tr w:rsidR="00154E32" w14:paraId="795731B4" w14:textId="77777777">
        <w:trPr>
          <w:trHeight w:val="313"/>
        </w:trPr>
        <w:tc>
          <w:tcPr>
            <w:tcW w:w="1135" w:type="dxa"/>
            <w:shd w:val="clear" w:color="auto" w:fill="C6EFCE"/>
            <w:noWrap/>
            <w:hideMark/>
          </w:tcPr>
          <w:p w14:paraId="7BF65B89" w14:textId="77777777" w:rsidR="00154E32" w:rsidRDefault="00A43E04">
            <w:pPr>
              <w:pStyle w:val="P68B1DB1-Normal11"/>
              <w:jc w:val="center"/>
              <w:rPr>
                <w:noProof/>
              </w:rPr>
            </w:pPr>
            <w:r>
              <w:rPr>
                <w:noProof/>
              </w:rPr>
              <w:t>M4C2–21bis</w:t>
            </w:r>
          </w:p>
        </w:tc>
        <w:tc>
          <w:tcPr>
            <w:tcW w:w="1419" w:type="dxa"/>
            <w:shd w:val="clear" w:color="auto" w:fill="C6EFCE"/>
            <w:noWrap/>
            <w:hideMark/>
          </w:tcPr>
          <w:p w14:paraId="35228823" w14:textId="77777777" w:rsidR="00154E32" w:rsidRDefault="00A43E04">
            <w:pPr>
              <w:pStyle w:val="P68B1DB1-Normal11"/>
              <w:jc w:val="center"/>
              <w:rPr>
                <w:noProof/>
              </w:rPr>
            </w:pPr>
            <w:r>
              <w:rPr>
                <w:noProof/>
              </w:rPr>
              <w:t xml:space="preserve">Naložba 5.4 – Financiranje zagonskih podjetij </w:t>
            </w:r>
          </w:p>
        </w:tc>
        <w:tc>
          <w:tcPr>
            <w:tcW w:w="1132" w:type="dxa"/>
            <w:shd w:val="clear" w:color="auto" w:fill="C6EFCE"/>
            <w:noWrap/>
            <w:hideMark/>
          </w:tcPr>
          <w:p w14:paraId="08CD79D0" w14:textId="4C1E852C" w:rsidR="00154E32" w:rsidRDefault="00A43E04">
            <w:pPr>
              <w:pStyle w:val="P68B1DB1-Normal11"/>
              <w:jc w:val="center"/>
              <w:rPr>
                <w:noProof/>
              </w:rPr>
            </w:pPr>
            <w:r>
              <w:rPr>
                <w:noProof/>
              </w:rPr>
              <w:t>Mejnik</w:t>
            </w:r>
          </w:p>
        </w:tc>
        <w:tc>
          <w:tcPr>
            <w:tcW w:w="1418" w:type="dxa"/>
            <w:shd w:val="clear" w:color="auto" w:fill="C6EFCE"/>
            <w:noWrap/>
            <w:hideMark/>
          </w:tcPr>
          <w:p w14:paraId="4DC6E4E6" w14:textId="77777777" w:rsidR="00154E32" w:rsidRDefault="00A43E04">
            <w:pPr>
              <w:pStyle w:val="P68B1DB1-Normal11"/>
              <w:jc w:val="center"/>
              <w:rPr>
                <w:noProof/>
              </w:rPr>
            </w:pPr>
            <w:r>
              <w:rPr>
                <w:noProof/>
              </w:rPr>
              <w:t>Ministrstvo je zaključilo prenos sredstev na CDP Venture Capital SGR.</w:t>
            </w:r>
          </w:p>
        </w:tc>
        <w:tc>
          <w:tcPr>
            <w:tcW w:w="1275" w:type="dxa"/>
            <w:shd w:val="clear" w:color="auto" w:fill="C6EFCE"/>
            <w:noWrap/>
            <w:hideMark/>
          </w:tcPr>
          <w:p w14:paraId="62481834" w14:textId="77777777" w:rsidR="00154E32" w:rsidRDefault="00A43E04">
            <w:pPr>
              <w:pStyle w:val="P68B1DB1-Normal11"/>
              <w:jc w:val="center"/>
              <w:rPr>
                <w:noProof/>
              </w:rPr>
            </w:pPr>
            <w:r>
              <w:rPr>
                <w:noProof/>
              </w:rPr>
              <w:t>Potrdilo o prenosu</w:t>
            </w:r>
          </w:p>
        </w:tc>
        <w:tc>
          <w:tcPr>
            <w:tcW w:w="1134" w:type="dxa"/>
            <w:shd w:val="clear" w:color="auto" w:fill="C6EFCE"/>
            <w:noWrap/>
            <w:hideMark/>
          </w:tcPr>
          <w:p w14:paraId="02D57C21" w14:textId="77777777" w:rsidR="00154E32" w:rsidRDefault="00154E32">
            <w:pPr>
              <w:jc w:val="center"/>
              <w:rPr>
                <w:rFonts w:ascii="Arial Narrow" w:hAnsi="Arial Narrow"/>
                <w:noProof/>
                <w:color w:val="006100"/>
                <w:sz w:val="20"/>
              </w:rPr>
            </w:pPr>
          </w:p>
        </w:tc>
        <w:tc>
          <w:tcPr>
            <w:tcW w:w="993" w:type="dxa"/>
            <w:shd w:val="clear" w:color="auto" w:fill="C6EFCE"/>
            <w:noWrap/>
            <w:hideMark/>
          </w:tcPr>
          <w:p w14:paraId="5307AD6B" w14:textId="77777777" w:rsidR="00154E32" w:rsidRDefault="00154E32">
            <w:pPr>
              <w:jc w:val="center"/>
              <w:rPr>
                <w:rFonts w:ascii="Arial Narrow" w:hAnsi="Arial Narrow"/>
                <w:noProof/>
                <w:color w:val="006100"/>
                <w:sz w:val="20"/>
              </w:rPr>
            </w:pPr>
          </w:p>
        </w:tc>
        <w:tc>
          <w:tcPr>
            <w:tcW w:w="1275" w:type="dxa"/>
            <w:shd w:val="clear" w:color="auto" w:fill="C6EFCE"/>
            <w:noWrap/>
            <w:hideMark/>
          </w:tcPr>
          <w:p w14:paraId="6894BAE3" w14:textId="77777777" w:rsidR="00154E32" w:rsidRDefault="00154E32">
            <w:pPr>
              <w:jc w:val="center"/>
              <w:rPr>
                <w:rFonts w:ascii="Arial Narrow" w:hAnsi="Arial Narrow"/>
                <w:noProof/>
                <w:color w:val="006100"/>
                <w:sz w:val="20"/>
              </w:rPr>
            </w:pPr>
          </w:p>
        </w:tc>
        <w:tc>
          <w:tcPr>
            <w:tcW w:w="993" w:type="dxa"/>
            <w:shd w:val="clear" w:color="auto" w:fill="C6EFCE"/>
            <w:noWrap/>
            <w:hideMark/>
          </w:tcPr>
          <w:p w14:paraId="2CD27F37" w14:textId="77777777" w:rsidR="00154E32" w:rsidRDefault="00A43E04">
            <w:pPr>
              <w:pStyle w:val="P68B1DB1-Normal11"/>
              <w:jc w:val="center"/>
              <w:rPr>
                <w:noProof/>
              </w:rPr>
            </w:pPr>
            <w:r>
              <w:rPr>
                <w:noProof/>
              </w:rPr>
              <w:t>Q4</w:t>
            </w:r>
          </w:p>
        </w:tc>
        <w:tc>
          <w:tcPr>
            <w:tcW w:w="708" w:type="dxa"/>
            <w:shd w:val="clear" w:color="auto" w:fill="C6EFCE"/>
            <w:noWrap/>
            <w:hideMark/>
          </w:tcPr>
          <w:p w14:paraId="22673846" w14:textId="77777777" w:rsidR="00154E32" w:rsidRDefault="00A43E04">
            <w:pPr>
              <w:pStyle w:val="P68B1DB1-Normal11"/>
              <w:jc w:val="center"/>
              <w:rPr>
                <w:noProof/>
              </w:rPr>
            </w:pPr>
            <w:r>
              <w:rPr>
                <w:noProof/>
              </w:rPr>
              <w:t>2024</w:t>
            </w:r>
          </w:p>
        </w:tc>
        <w:tc>
          <w:tcPr>
            <w:tcW w:w="3686" w:type="dxa"/>
            <w:shd w:val="clear" w:color="auto" w:fill="C6EFCE"/>
            <w:noWrap/>
            <w:hideMark/>
          </w:tcPr>
          <w:p w14:paraId="6CE6A05B" w14:textId="16F6BBCC" w:rsidR="00154E32" w:rsidRDefault="00A43E04">
            <w:pPr>
              <w:pStyle w:val="P68B1DB1-Normal11"/>
              <w:rPr>
                <w:noProof/>
              </w:rPr>
            </w:pPr>
            <w:r>
              <w:rPr>
                <w:noProof/>
              </w:rPr>
              <w:t>Italija prenese 400 000 000 EUR v CDP tvegani kapital za Sklad.</w:t>
            </w:r>
          </w:p>
          <w:p w14:paraId="66A2B579" w14:textId="77777777" w:rsidR="00154E32" w:rsidRDefault="00A43E04">
            <w:pPr>
              <w:pStyle w:val="P68B1DB1-Normal11"/>
              <w:rPr>
                <w:noProof/>
              </w:rPr>
            </w:pPr>
            <w:r>
              <w:rPr>
                <w:noProof/>
              </w:rPr>
              <w:t xml:space="preserve"> </w:t>
            </w:r>
          </w:p>
          <w:p w14:paraId="238D287E" w14:textId="1D4294C0" w:rsidR="00154E32" w:rsidRDefault="00A43E04">
            <w:pPr>
              <w:pStyle w:val="P68B1DB1-Normal11"/>
              <w:rPr>
                <w:noProof/>
              </w:rPr>
            </w:pPr>
            <w:r>
              <w:rPr>
                <w:noProof/>
              </w:rPr>
              <w:t>Za zadovoljivo izpolnitev cilja je treba v skladu s pogoji iz izvedbenega sklepa Sveta spremeniti tudi izvedbeni sporazum med Italijo in SGR v okviru CDP ter statutom instrumenta.</w:t>
            </w:r>
          </w:p>
        </w:tc>
      </w:tr>
      <w:tr w:rsidR="00154E32" w14:paraId="12C84E78" w14:textId="77777777">
        <w:trPr>
          <w:trHeight w:val="313"/>
        </w:trPr>
        <w:tc>
          <w:tcPr>
            <w:tcW w:w="1135" w:type="dxa"/>
            <w:shd w:val="clear" w:color="auto" w:fill="C6EFCE"/>
            <w:noWrap/>
          </w:tcPr>
          <w:p w14:paraId="211AAE9E" w14:textId="77777777" w:rsidR="00154E32" w:rsidRDefault="00A43E04">
            <w:pPr>
              <w:pStyle w:val="P68B1DB1-Normal11"/>
              <w:jc w:val="center"/>
              <w:rPr>
                <w:noProof/>
              </w:rPr>
            </w:pPr>
            <w:r>
              <w:rPr>
                <w:noProof/>
              </w:rPr>
              <w:t>M4C2–21</w:t>
            </w:r>
          </w:p>
        </w:tc>
        <w:tc>
          <w:tcPr>
            <w:tcW w:w="1419" w:type="dxa"/>
            <w:shd w:val="clear" w:color="auto" w:fill="C6EFCE"/>
            <w:noWrap/>
          </w:tcPr>
          <w:p w14:paraId="05040594" w14:textId="1590BA76" w:rsidR="00154E32" w:rsidRDefault="00A43E04">
            <w:pPr>
              <w:pStyle w:val="P68B1DB1-Normal11"/>
              <w:jc w:val="center"/>
              <w:rPr>
                <w:noProof/>
              </w:rPr>
            </w:pPr>
            <w:r>
              <w:rPr>
                <w:noProof/>
              </w:rPr>
              <w:t>Naložba 5.4 – Financiranje zagonskih podjetij.</w:t>
            </w:r>
          </w:p>
        </w:tc>
        <w:tc>
          <w:tcPr>
            <w:tcW w:w="1132" w:type="dxa"/>
            <w:shd w:val="clear" w:color="auto" w:fill="C6EFCE"/>
            <w:noWrap/>
          </w:tcPr>
          <w:p w14:paraId="0656B2EB" w14:textId="322F0AF6" w:rsidR="00154E32" w:rsidRDefault="00A43E04">
            <w:pPr>
              <w:pStyle w:val="P68B1DB1-Normal11"/>
              <w:jc w:val="center"/>
              <w:rPr>
                <w:noProof/>
              </w:rPr>
            </w:pPr>
            <w:r>
              <w:rPr>
                <w:noProof/>
              </w:rPr>
              <w:t>Tarča</w:t>
            </w:r>
          </w:p>
        </w:tc>
        <w:tc>
          <w:tcPr>
            <w:tcW w:w="1418" w:type="dxa"/>
            <w:shd w:val="clear" w:color="auto" w:fill="C6EFCE"/>
            <w:noWrap/>
          </w:tcPr>
          <w:p w14:paraId="6439FE91" w14:textId="0409179E" w:rsidR="00154E32" w:rsidRDefault="00A43E04">
            <w:pPr>
              <w:pStyle w:val="P68B1DB1-Normal11"/>
              <w:jc w:val="center"/>
              <w:rPr>
                <w:noProof/>
              </w:rPr>
            </w:pPr>
            <w:r>
              <w:rPr>
                <w:noProof/>
              </w:rPr>
              <w:t>Podpisani pravni sporazumi z zagonskimi podjetji ali skladi tveganega kapitala</w:t>
            </w:r>
          </w:p>
        </w:tc>
        <w:tc>
          <w:tcPr>
            <w:tcW w:w="1275" w:type="dxa"/>
            <w:shd w:val="clear" w:color="auto" w:fill="C6EFCE"/>
            <w:noWrap/>
          </w:tcPr>
          <w:p w14:paraId="1FE7F8A3" w14:textId="77777777" w:rsidR="00154E32" w:rsidRDefault="00A43E04">
            <w:pPr>
              <w:pStyle w:val="P68B1DB1-Normal11"/>
              <w:jc w:val="center"/>
              <w:rPr>
                <w:noProof/>
              </w:rPr>
            </w:pPr>
            <w:r>
              <w:rPr>
                <w:noProof/>
              </w:rPr>
              <w:t>Začetek veljavnosti pravnih sporazumov o financiranju</w:t>
            </w:r>
          </w:p>
        </w:tc>
        <w:tc>
          <w:tcPr>
            <w:tcW w:w="1134" w:type="dxa"/>
            <w:shd w:val="clear" w:color="auto" w:fill="C6EFCE"/>
            <w:noWrap/>
          </w:tcPr>
          <w:p w14:paraId="213A57A3" w14:textId="77777777" w:rsidR="00154E32" w:rsidRDefault="00A43E04">
            <w:pPr>
              <w:pStyle w:val="P68B1DB1-Normal11"/>
              <w:jc w:val="center"/>
              <w:rPr>
                <w:noProof/>
              </w:rPr>
            </w:pPr>
            <w:r>
              <w:rPr>
                <w:noProof/>
              </w:rPr>
              <w:t>EUR</w:t>
            </w:r>
          </w:p>
        </w:tc>
        <w:tc>
          <w:tcPr>
            <w:tcW w:w="993" w:type="dxa"/>
            <w:shd w:val="clear" w:color="auto" w:fill="C6EFCE"/>
            <w:noWrap/>
          </w:tcPr>
          <w:p w14:paraId="5640DA8F" w14:textId="77777777" w:rsidR="00154E32" w:rsidRDefault="00A43E04">
            <w:pPr>
              <w:pStyle w:val="P68B1DB1-Normal11"/>
              <w:jc w:val="center"/>
              <w:rPr>
                <w:noProof/>
              </w:rPr>
            </w:pPr>
            <w:r>
              <w:rPr>
                <w:noProof/>
              </w:rPr>
              <w:t>0</w:t>
            </w:r>
          </w:p>
        </w:tc>
        <w:tc>
          <w:tcPr>
            <w:tcW w:w="1275" w:type="dxa"/>
            <w:shd w:val="clear" w:color="auto" w:fill="C6EFCE"/>
            <w:noWrap/>
          </w:tcPr>
          <w:p w14:paraId="110D91B2" w14:textId="77777777" w:rsidR="00154E32" w:rsidRDefault="00A43E04">
            <w:pPr>
              <w:pStyle w:val="P68B1DB1-Normal11"/>
              <w:jc w:val="center"/>
              <w:rPr>
                <w:noProof/>
              </w:rPr>
            </w:pPr>
            <w:r>
              <w:rPr>
                <w:noProof/>
              </w:rPr>
              <w:t>100 %</w:t>
            </w:r>
          </w:p>
        </w:tc>
        <w:tc>
          <w:tcPr>
            <w:tcW w:w="993" w:type="dxa"/>
            <w:shd w:val="clear" w:color="auto" w:fill="C6EFCE"/>
            <w:noWrap/>
          </w:tcPr>
          <w:p w14:paraId="509B02CD" w14:textId="77777777" w:rsidR="00154E32" w:rsidRDefault="00A43E04">
            <w:pPr>
              <w:pStyle w:val="P68B1DB1-Normal11"/>
              <w:jc w:val="center"/>
              <w:rPr>
                <w:noProof/>
              </w:rPr>
            </w:pPr>
            <w:r>
              <w:rPr>
                <w:noProof/>
              </w:rPr>
              <w:t>Q2</w:t>
            </w:r>
          </w:p>
        </w:tc>
        <w:tc>
          <w:tcPr>
            <w:tcW w:w="708" w:type="dxa"/>
            <w:shd w:val="clear" w:color="auto" w:fill="C6EFCE"/>
            <w:noWrap/>
          </w:tcPr>
          <w:p w14:paraId="65C74198" w14:textId="77777777" w:rsidR="00154E32" w:rsidRDefault="00A43E04">
            <w:pPr>
              <w:pStyle w:val="P68B1DB1-Normal11"/>
              <w:jc w:val="center"/>
              <w:rPr>
                <w:noProof/>
              </w:rPr>
            </w:pPr>
            <w:r>
              <w:rPr>
                <w:noProof/>
              </w:rPr>
              <w:t>2026</w:t>
            </w:r>
          </w:p>
        </w:tc>
        <w:tc>
          <w:tcPr>
            <w:tcW w:w="3686" w:type="dxa"/>
            <w:shd w:val="clear" w:color="auto" w:fill="C6EFCE"/>
            <w:noWrap/>
          </w:tcPr>
          <w:p w14:paraId="282C5D3B" w14:textId="77777777" w:rsidR="00154E32" w:rsidRDefault="00A43E04">
            <w:pPr>
              <w:pStyle w:val="P68B1DB1-Normal11"/>
              <w:rPr>
                <w:noProof/>
              </w:rPr>
            </w:pPr>
            <w:r>
              <w:rPr>
                <w:noProof/>
              </w:rPr>
              <w:t>Cassa Depositi e Prestiti Venture Capital je sklenila zakonite sporazume o financiranju z zagonskimi podjetji, inkubacijskimi/pospeševalnimi programi ali skladi tveganega kapitala v znesku, potrebnem za uporabo 100 % naložb mehanizma za okrevanje in odpornost (400 milijonov EUR) v mehanizem (vključno s povprečno zgornjo mejo 13 % provizij za upravljanje in stroškov DTF v življenjskem ciklu sklada, vključno s predhodnimi pogojenostmi za naslednje naložbene kroge, z izjemo prenesenih zainteresiranih, provizij za uspešnost ter vseh provizij za stroške in upravljanje, povezanih s skladi tretjih oseb).</w:t>
            </w:r>
          </w:p>
          <w:p w14:paraId="54FF6C2B" w14:textId="0AE4FB7D" w:rsidR="00154E32" w:rsidRDefault="00A43E04">
            <w:pPr>
              <w:pStyle w:val="P68B1DB1-Normal32"/>
              <w:rPr>
                <w:noProof/>
                <w:sz w:val="20"/>
              </w:rPr>
            </w:pPr>
            <w:r>
              <w:rPr>
                <w:noProof/>
              </w:rPr>
              <w:t xml:space="preserve"> </w:t>
            </w:r>
            <w:r>
              <w:rPr>
                <w:noProof/>
              </w:rPr>
              <w:br/>
            </w:r>
            <w:r>
              <w:rPr>
                <w:noProof/>
                <w:sz w:val="20"/>
              </w:rPr>
              <w:t>Naložba se razdeli na naslednji dve vrsti intervencij:</w:t>
            </w:r>
          </w:p>
          <w:p w14:paraId="65E57E3E" w14:textId="77777777" w:rsidR="00154E32" w:rsidRDefault="00154E32">
            <w:pPr>
              <w:jc w:val="center"/>
              <w:rPr>
                <w:rFonts w:ascii="Arial Narrow" w:hAnsi="Arial Narrow"/>
                <w:noProof/>
                <w:color w:val="006100"/>
                <w:sz w:val="20"/>
              </w:rPr>
            </w:pPr>
          </w:p>
          <w:p w14:paraId="3028FB73" w14:textId="77777777" w:rsidR="00154E32" w:rsidRDefault="00A43E04">
            <w:pPr>
              <w:pStyle w:val="P68B1DB1-Normal11"/>
              <w:rPr>
                <w:noProof/>
              </w:rPr>
            </w:pPr>
            <w:r>
              <w:rPr>
                <w:noProof/>
              </w:rPr>
              <w:t>— Neposredne naložbe.</w:t>
            </w:r>
          </w:p>
          <w:p w14:paraId="2F4325F9" w14:textId="77777777" w:rsidR="00154E32" w:rsidRDefault="00A43E04">
            <w:pPr>
              <w:pStyle w:val="P68B1DB1-Normal11"/>
              <w:rPr>
                <w:noProof/>
              </w:rPr>
            </w:pPr>
            <w:r>
              <w:rPr>
                <w:noProof/>
              </w:rPr>
              <w:t>— Posredne naložbe.</w:t>
            </w:r>
          </w:p>
          <w:p w14:paraId="3E1487F7" w14:textId="24A8F36A" w:rsidR="00154E32" w:rsidRDefault="00154E32">
            <w:pPr>
              <w:rPr>
                <w:rFonts w:ascii="Arial Narrow" w:hAnsi="Arial Narrow"/>
                <w:noProof/>
                <w:color w:val="006100"/>
                <w:sz w:val="20"/>
              </w:rPr>
            </w:pPr>
          </w:p>
          <w:p w14:paraId="0166DFC2" w14:textId="233BF477" w:rsidR="00154E32" w:rsidRDefault="00A43E04">
            <w:pPr>
              <w:pStyle w:val="P68B1DB1-Normal11"/>
              <w:rPr>
                <w:noProof/>
              </w:rPr>
            </w:pPr>
            <w:r>
              <w:rPr>
                <w:noProof/>
              </w:rPr>
              <w:t>Za posredne naložbe v sklade tveganega kapitala je Cassa Depositi e Prestiti Venture Capital sklenila zakonite sporazume o financiranju s skladi tveganega kapitala za znesek, ki je potreben za okvirno uporabo približno 60 % naložb mehanizma za okrevanje in odpornost v mehanizem (brez provizij za upravljanje in stroškov DTF v celotnem življenjskem ciklu sklada).</w:t>
            </w:r>
          </w:p>
          <w:p w14:paraId="62A2CFC5" w14:textId="77777777" w:rsidR="00154E32" w:rsidRDefault="00A43E04">
            <w:pPr>
              <w:pStyle w:val="P68B1DB1-Normal11"/>
              <w:rPr>
                <w:noProof/>
              </w:rPr>
            </w:pPr>
            <w:r>
              <w:rPr>
                <w:noProof/>
              </w:rPr>
              <w:t>Za posredne naložbe v zagonska podjetja pravni sporazumi o financiranju s skladi tveganega kapitala vključujejo zavezujočo zavezo za doseganje kumulativnega učinka finančnega vzvoda uporabljenega kapitala tako na ravni skladov kot tudi na ravni zagonskih podjetij vsaj 1x1 za celotno življenjsko dobo sklada.</w:t>
            </w:r>
          </w:p>
          <w:p w14:paraId="1B099E8C" w14:textId="093D32EB" w:rsidR="00154E32" w:rsidRDefault="00154E32">
            <w:pPr>
              <w:rPr>
                <w:rFonts w:ascii="Arial Narrow" w:hAnsi="Arial Narrow"/>
                <w:noProof/>
                <w:color w:val="006100"/>
                <w:sz w:val="20"/>
              </w:rPr>
            </w:pPr>
          </w:p>
          <w:p w14:paraId="5B1427F7" w14:textId="77777777" w:rsidR="00154E32" w:rsidRDefault="00A43E04">
            <w:pPr>
              <w:pStyle w:val="P68B1DB1-Normal11"/>
              <w:rPr>
                <w:noProof/>
              </w:rPr>
            </w:pPr>
            <w:r>
              <w:rPr>
                <w:noProof/>
              </w:rPr>
              <w:t>Za neposredne naložbe je tvegani kapital CDP sklenil zakonite sporazume o financiranju z zagonskimi podjetji/inkubacijskimi/pospeševalnimi programi v znesku, ki je potreben za okvirno uporabo približno 40 % naložb mehanizma za okrevanje in odpornost (400 milijonov EUR) v mehanizem (vključno s provizijami za upravljanje in stroški DTF v celotnem življenjskem ciklu sklada).</w:t>
            </w:r>
          </w:p>
          <w:p w14:paraId="2F4E1708" w14:textId="4B4DF2A0" w:rsidR="00154E32" w:rsidRDefault="00A43E04">
            <w:pPr>
              <w:pStyle w:val="P68B1DB1-Normal11"/>
              <w:rPr>
                <w:noProof/>
              </w:rPr>
            </w:pPr>
            <w:r>
              <w:rPr>
                <w:noProof/>
              </w:rPr>
              <w:t>Za neposredne naložbe lahko pravni sporazum o financiranju z zagonskimi podjetji vključuje tudi predhodne pogojenosti za naslednje naložbene kroge. (tj. pogoji za sprostitev financiranja Serie B ali Serie C).</w:t>
            </w:r>
          </w:p>
          <w:p w14:paraId="7870E667" w14:textId="77777777" w:rsidR="00154E32" w:rsidRDefault="00154E32">
            <w:pPr>
              <w:rPr>
                <w:rFonts w:ascii="Arial Narrow" w:hAnsi="Arial Narrow"/>
                <w:noProof/>
                <w:color w:val="006100"/>
                <w:sz w:val="20"/>
              </w:rPr>
            </w:pPr>
          </w:p>
          <w:p w14:paraId="1E43ED97" w14:textId="77777777" w:rsidR="00154E32" w:rsidRDefault="00A43E04">
            <w:pPr>
              <w:pStyle w:val="P68B1DB1-Normal11"/>
              <w:rPr>
                <w:noProof/>
              </w:rPr>
            </w:pPr>
            <w:r>
              <w:rPr>
                <w:noProof/>
              </w:rPr>
              <w:t xml:space="preserve">Zaveze v okviru tega ukrepa, sklenjene pred začetkom veljavnosti sprememb naložbene politike sporazuma o izvajanju in v skladu s sporazumom v okviru mejnika [M4C2–20] prejšnje naložbene politike, se prav tako upoštevajo pri doseganju cilja. </w:t>
            </w:r>
          </w:p>
          <w:p w14:paraId="2EFE6A30" w14:textId="77777777" w:rsidR="00154E32" w:rsidRDefault="00154E32">
            <w:pPr>
              <w:rPr>
                <w:rFonts w:ascii="Arial Narrow" w:hAnsi="Arial Narrow"/>
                <w:noProof/>
                <w:color w:val="006100"/>
                <w:sz w:val="20"/>
              </w:rPr>
            </w:pPr>
          </w:p>
          <w:p w14:paraId="15199DD2" w14:textId="260A58CB" w:rsidR="00154E32" w:rsidRDefault="00A43E04">
            <w:pPr>
              <w:pStyle w:val="P68B1DB1-Normal11"/>
              <w:rPr>
                <w:noProof/>
              </w:rPr>
            </w:pPr>
            <w:r>
              <w:rPr>
                <w:noProof/>
              </w:rPr>
              <w:t>Od datuma začetka veljavnosti izvedbenega sklepa Sveta začnejo nove obveznosti slediti novi naložbeni politiki v skladu z novim izvedbenim sklepom Sveta.</w:t>
            </w:r>
          </w:p>
        </w:tc>
      </w:tr>
      <w:tr w:rsidR="00154E32" w14:paraId="5A068EDA" w14:textId="77777777">
        <w:trPr>
          <w:trHeight w:val="313"/>
        </w:trPr>
        <w:tc>
          <w:tcPr>
            <w:tcW w:w="1135" w:type="dxa"/>
            <w:shd w:val="clear" w:color="auto" w:fill="C6EFCE"/>
            <w:noWrap/>
            <w:vAlign w:val="center"/>
            <w:hideMark/>
          </w:tcPr>
          <w:p w14:paraId="29770885" w14:textId="77777777" w:rsidR="00154E32" w:rsidRDefault="00A43E04">
            <w:pPr>
              <w:pStyle w:val="P68B1DB1-Normal11"/>
              <w:jc w:val="center"/>
              <w:rPr>
                <w:noProof/>
              </w:rPr>
            </w:pPr>
            <w:r>
              <w:rPr>
                <w:noProof/>
              </w:rPr>
              <w:t>M4C2–22</w:t>
            </w:r>
          </w:p>
        </w:tc>
        <w:tc>
          <w:tcPr>
            <w:tcW w:w="1419" w:type="dxa"/>
            <w:shd w:val="clear" w:color="auto" w:fill="C6EFCE"/>
            <w:noWrap/>
            <w:vAlign w:val="center"/>
            <w:hideMark/>
          </w:tcPr>
          <w:p w14:paraId="568E8F43" w14:textId="77777777" w:rsidR="00154E32" w:rsidRDefault="00A43E04">
            <w:pPr>
              <w:pStyle w:val="P68B1DB1-Normal11"/>
              <w:jc w:val="center"/>
              <w:rPr>
                <w:noProof/>
              </w:rPr>
            </w:pPr>
            <w:r>
              <w:rPr>
                <w:noProof/>
              </w:rPr>
              <w:t>Naložba 2.1: POMEMBNI PROJEKTI SKUPNEGA EVROPSKEGA INTERESA</w:t>
            </w:r>
          </w:p>
        </w:tc>
        <w:tc>
          <w:tcPr>
            <w:tcW w:w="1132" w:type="dxa"/>
            <w:shd w:val="clear" w:color="auto" w:fill="C6EFCE"/>
            <w:noWrap/>
            <w:vAlign w:val="center"/>
            <w:hideMark/>
          </w:tcPr>
          <w:p w14:paraId="361AD8FA" w14:textId="77777777" w:rsidR="00154E32" w:rsidRDefault="00A43E04">
            <w:pPr>
              <w:pStyle w:val="P68B1DB1-Normal11"/>
              <w:jc w:val="center"/>
              <w:rPr>
                <w:noProof/>
              </w:rPr>
            </w:pPr>
            <w:r>
              <w:rPr>
                <w:noProof/>
              </w:rPr>
              <w:t>Tarča</w:t>
            </w:r>
          </w:p>
        </w:tc>
        <w:tc>
          <w:tcPr>
            <w:tcW w:w="1418" w:type="dxa"/>
            <w:shd w:val="clear" w:color="auto" w:fill="C6EFCE"/>
            <w:noWrap/>
            <w:vAlign w:val="center"/>
            <w:hideMark/>
          </w:tcPr>
          <w:p w14:paraId="3F02CE48" w14:textId="77777777" w:rsidR="00154E32" w:rsidRDefault="00A43E04">
            <w:pPr>
              <w:pStyle w:val="P68B1DB1-Normal11"/>
              <w:jc w:val="center"/>
              <w:rPr>
                <w:noProof/>
              </w:rPr>
            </w:pPr>
            <w:r>
              <w:rPr>
                <w:noProof/>
              </w:rPr>
              <w:t>Število projektov, ki so prejeli podporo</w:t>
            </w:r>
          </w:p>
        </w:tc>
        <w:tc>
          <w:tcPr>
            <w:tcW w:w="1275" w:type="dxa"/>
            <w:shd w:val="clear" w:color="auto" w:fill="C6EFCE"/>
            <w:noWrap/>
            <w:vAlign w:val="center"/>
            <w:hideMark/>
          </w:tcPr>
          <w:p w14:paraId="69B0635D" w14:textId="77777777" w:rsidR="00154E32" w:rsidRDefault="00A43E04">
            <w:pPr>
              <w:pStyle w:val="P68B1DB1-Normal11"/>
              <w:jc w:val="center"/>
              <w:rPr>
                <w:noProof/>
              </w:rPr>
            </w:pPr>
            <w:r>
              <w:rPr>
                <w:noProof/>
              </w:rPr>
              <w:t>JIH NI</w:t>
            </w:r>
          </w:p>
        </w:tc>
        <w:tc>
          <w:tcPr>
            <w:tcW w:w="1134" w:type="dxa"/>
            <w:shd w:val="clear" w:color="auto" w:fill="C6EFCE"/>
            <w:noWrap/>
            <w:vAlign w:val="center"/>
            <w:hideMark/>
          </w:tcPr>
          <w:p w14:paraId="2EE0E45E" w14:textId="77777777" w:rsidR="00154E32" w:rsidRDefault="00A43E04">
            <w:pPr>
              <w:pStyle w:val="P68B1DB1-Normal11"/>
              <w:jc w:val="center"/>
              <w:rPr>
                <w:noProof/>
              </w:rPr>
            </w:pPr>
            <w:r>
              <w:rPr>
                <w:noProof/>
              </w:rPr>
              <w:t>Število</w:t>
            </w:r>
          </w:p>
        </w:tc>
        <w:tc>
          <w:tcPr>
            <w:tcW w:w="993" w:type="dxa"/>
            <w:shd w:val="clear" w:color="auto" w:fill="C6EFCE"/>
            <w:noWrap/>
            <w:vAlign w:val="center"/>
            <w:hideMark/>
          </w:tcPr>
          <w:p w14:paraId="04A5AE1D" w14:textId="77777777" w:rsidR="00154E32" w:rsidRDefault="00A43E04">
            <w:pPr>
              <w:pStyle w:val="P68B1DB1-Normal11"/>
              <w:jc w:val="center"/>
              <w:rPr>
                <w:noProof/>
              </w:rPr>
            </w:pPr>
            <w:r>
              <w:rPr>
                <w:noProof/>
              </w:rPr>
              <w:t>1</w:t>
            </w:r>
          </w:p>
        </w:tc>
        <w:tc>
          <w:tcPr>
            <w:tcW w:w="1275" w:type="dxa"/>
            <w:shd w:val="clear" w:color="auto" w:fill="C6EFCE"/>
            <w:noWrap/>
            <w:vAlign w:val="center"/>
            <w:hideMark/>
          </w:tcPr>
          <w:p w14:paraId="63153858" w14:textId="77777777" w:rsidR="00154E32" w:rsidRDefault="00A43E04">
            <w:pPr>
              <w:pStyle w:val="P68B1DB1-Normal11"/>
              <w:jc w:val="center"/>
              <w:rPr>
                <w:noProof/>
              </w:rPr>
            </w:pPr>
            <w:r>
              <w:rPr>
                <w:noProof/>
              </w:rPr>
              <w:t>20</w:t>
            </w:r>
          </w:p>
        </w:tc>
        <w:tc>
          <w:tcPr>
            <w:tcW w:w="993" w:type="dxa"/>
            <w:shd w:val="clear" w:color="auto" w:fill="C6EFCE"/>
            <w:noWrap/>
            <w:vAlign w:val="center"/>
            <w:hideMark/>
          </w:tcPr>
          <w:p w14:paraId="401F6F72" w14:textId="77777777" w:rsidR="00154E32" w:rsidRDefault="00A43E04">
            <w:pPr>
              <w:pStyle w:val="P68B1DB1-Normal11"/>
              <w:jc w:val="center"/>
              <w:rPr>
                <w:noProof/>
              </w:rPr>
            </w:pPr>
            <w:r>
              <w:rPr>
                <w:noProof/>
              </w:rPr>
              <w:t>Q2</w:t>
            </w:r>
          </w:p>
        </w:tc>
        <w:tc>
          <w:tcPr>
            <w:tcW w:w="708" w:type="dxa"/>
            <w:shd w:val="clear" w:color="auto" w:fill="C6EFCE"/>
            <w:noWrap/>
            <w:vAlign w:val="center"/>
            <w:hideMark/>
          </w:tcPr>
          <w:p w14:paraId="11033C56" w14:textId="77777777" w:rsidR="00154E32" w:rsidRDefault="00A43E04">
            <w:pPr>
              <w:pStyle w:val="P68B1DB1-Normal11"/>
              <w:jc w:val="center"/>
              <w:rPr>
                <w:noProof/>
              </w:rPr>
            </w:pPr>
            <w:r>
              <w:rPr>
                <w:noProof/>
              </w:rPr>
              <w:t>2025</w:t>
            </w:r>
          </w:p>
        </w:tc>
        <w:tc>
          <w:tcPr>
            <w:tcW w:w="3686" w:type="dxa"/>
            <w:shd w:val="clear" w:color="auto" w:fill="C6EFCE"/>
            <w:noWrap/>
            <w:vAlign w:val="center"/>
            <w:hideMark/>
          </w:tcPr>
          <w:p w14:paraId="442E7380" w14:textId="77777777" w:rsidR="00154E32" w:rsidRDefault="00A43E04">
            <w:pPr>
              <w:pStyle w:val="P68B1DB1-Normal11"/>
              <w:rPr>
                <w:noProof/>
              </w:rPr>
            </w:pPr>
            <w:r>
              <w:rPr>
                <w:noProof/>
              </w:rPr>
              <w:t>Vsaj 20 projektov, ki prejemajo podporo prek modela pomembnih projektov skupnega evropskega interesa;</w:t>
            </w:r>
          </w:p>
          <w:p w14:paraId="4511E18C" w14:textId="77777777" w:rsidR="00154E32" w:rsidRDefault="00A43E04">
            <w:pPr>
              <w:pStyle w:val="P68B1DB1-Normal11"/>
              <w:rPr>
                <w:noProof/>
              </w:rPr>
            </w:pPr>
            <w:r>
              <w:rPr>
                <w:noProof/>
              </w:rPr>
              <w:t>Ocena ciljnih vrednosti temelji na metodah delovanja projektov pomembnih projektov skupnega evropskega interesa, aktiviranih v Italiji (Mikroelektronika 1, baterije 1, baterije 2).</w:t>
            </w:r>
          </w:p>
        </w:tc>
      </w:tr>
    </w:tbl>
    <w:p w14:paraId="0810DDCD" w14:textId="77777777" w:rsidR="00154E32" w:rsidRDefault="00154E32">
      <w:pPr>
        <w:rPr>
          <w:noProof/>
        </w:rPr>
        <w:sectPr w:rsidR="00154E32" w:rsidSect="005D6828">
          <w:headerReference w:type="even" r:id="rId272"/>
          <w:headerReference w:type="default" r:id="rId273"/>
          <w:footerReference w:type="even" r:id="rId274"/>
          <w:footerReference w:type="default" r:id="rId275"/>
          <w:headerReference w:type="first" r:id="rId276"/>
          <w:footerReference w:type="first" r:id="rId277"/>
          <w:pgSz w:w="16839" w:h="11907" w:orient="landscape"/>
          <w:pgMar w:top="1440" w:right="1440" w:bottom="1440" w:left="1440" w:header="567" w:footer="567" w:gutter="0"/>
          <w:cols w:space="720"/>
          <w:docGrid w:linePitch="360"/>
        </w:sectPr>
      </w:pPr>
    </w:p>
    <w:p w14:paraId="395F6BE8" w14:textId="4805E0E7" w:rsidR="00154E32" w:rsidRDefault="00A43E04">
      <w:pPr>
        <w:pStyle w:val="Heading2"/>
        <w:numPr>
          <w:ilvl w:val="1"/>
          <w:numId w:val="0"/>
        </w:numPr>
        <w:ind w:left="850" w:hanging="850"/>
        <w:rPr>
          <w:noProof/>
          <w:u w:val="single"/>
        </w:rPr>
      </w:pPr>
      <w:r>
        <w:rPr>
          <w:noProof/>
        </w:rPr>
        <w:t xml:space="preserve">MISIJA L. 5 KOMPONENTA 1: </w:t>
      </w:r>
      <w:r>
        <w:rPr>
          <w:noProof/>
          <w:u w:val="single"/>
        </w:rPr>
        <w:t>Politika zaposlovanja</w:t>
      </w:r>
    </w:p>
    <w:p w14:paraId="5F96819D" w14:textId="77777777" w:rsidR="00154E32" w:rsidRDefault="00A43E04">
      <w:pPr>
        <w:spacing w:before="120" w:after="120"/>
        <w:jc w:val="both"/>
        <w:rPr>
          <w:rFonts w:eastAsia="Calibri"/>
          <w:noProof/>
        </w:rPr>
      </w:pPr>
      <w:r>
        <w:rPr>
          <w:noProof/>
        </w:rPr>
        <w:t xml:space="preserve">Ukrepi v okviru </w:t>
      </w:r>
      <w:r>
        <w:rPr>
          <w:noProof/>
          <w:color w:val="000000" w:themeColor="text1"/>
        </w:rPr>
        <w:t xml:space="preserve">te komponente italijanskega načrta za okrevanje in odpornost </w:t>
      </w:r>
      <w:r>
        <w:rPr>
          <w:noProof/>
        </w:rPr>
        <w:t>uvajajo celovito in integrirano reformo aktivnih politik trga dela in poklicnega usposabljanja. Pričakuje se, da se bo z okrepitvijo aktivnih politik trga dela in izboljšanjem zmogljivosti javnih zavodov za zaposlovanje, vključno z njihovim povezovanjem z izvajalci izobraževanja in usposabljanja ter zasebnimi izvajalci, povečala učinkovitost storitev. Poleg tega je cilj ukrepov te komponente zmanjšati socialno ranljivost za pretrese, zlasti z bojem proti neprijavljenemu delu v vseh njegovih oblikah in sektorjih z določitvijo učinkovitejših sankcij ter močnejšimi spodbudami za zakonito delo. Poleg tega ta komponenta prek sistema certificiranja enakosti spolov spodbuja enakost spolov (enako plačilo). Vlaga tudi v mlade s povečanjem količine in kakovosti programov usposabljanja, na primer s sodelovanjem v programu univerzalne javne službe.</w:t>
      </w:r>
    </w:p>
    <w:p w14:paraId="4943D292" w14:textId="69D53C9B" w:rsidR="00154E32" w:rsidRDefault="00A43E04">
      <w:pPr>
        <w:spacing w:before="120" w:after="120"/>
        <w:jc w:val="both"/>
        <w:rPr>
          <w:noProof/>
        </w:rPr>
      </w:pPr>
      <w:r>
        <w:rPr>
          <w:noProof/>
        </w:rPr>
        <w:t>Pričakuje se, da bo izvajanje teh ukrepov prispevalo k reševanju izzivov, zajetih v priporočilu 2 za posamezno državo za leto 2020 o trgu dela, v katerem je Italija pozvana, naj „zmanjša[jo] vpliv krize na zaposlovanje, vključno z [...] aktivno podporo zaposlovanju“, priporočilu 2 za posamezno državo za leto 2020 o „podpiranju znanj in spretnosti (...), tudi digitalnih“, priporočilu za posamezno državo iz leta 2019, naj okrepi prizadevanja za boj proti neprijavljenemu delu ter zagotovi, da aktivne politike trga dela in socialne politike (...) dosežejo zlasti mlade in ranljive skupine. Podpora udeležbi žensk na trgu dela“ in priporočila št. 2 za posamezno državo iz leta 2019 o spodbujanju izpopolnjevanja, vključno s krepitvijo digitalnih znanj in spretnosti.</w:t>
      </w:r>
    </w:p>
    <w:p w14:paraId="49F1FE36" w14:textId="77777777" w:rsidR="00154E32" w:rsidRDefault="00A43E04">
      <w:pPr>
        <w:pStyle w:val="Heading3"/>
        <w:numPr>
          <w:ilvl w:val="0"/>
          <w:numId w:val="0"/>
        </w:numPr>
        <w:ind w:left="850" w:hanging="850"/>
        <w:rPr>
          <w:b/>
          <w:i w:val="0"/>
          <w:noProof/>
          <w:color w:val="4F81BD" w:themeColor="accent1"/>
          <w:u w:val="single"/>
        </w:rPr>
      </w:pPr>
      <w:r>
        <w:rPr>
          <w:b/>
          <w:i w:val="0"/>
          <w:noProof/>
          <w:u w:val="single"/>
        </w:rPr>
        <w:t xml:space="preserve">L.1. </w:t>
      </w:r>
      <w:r>
        <w:rPr>
          <w:noProof/>
        </w:rPr>
        <w:tab/>
      </w:r>
      <w:r>
        <w:rPr>
          <w:b/>
          <w:i w:val="0"/>
          <w:noProof/>
          <w:u w:val="single"/>
        </w:rPr>
        <w:t>Opis reform in naložb za nepovratno finančno podporo</w:t>
      </w:r>
    </w:p>
    <w:p w14:paraId="44D8AE44" w14:textId="77777777" w:rsidR="00154E32" w:rsidRDefault="00A43E04">
      <w:pPr>
        <w:pStyle w:val="P68B1DB1-Normal2"/>
        <w:spacing w:before="120" w:after="120"/>
        <w:jc w:val="both"/>
        <w:rPr>
          <w:noProof/>
          <w:color w:val="006100"/>
        </w:rPr>
      </w:pPr>
      <w:r>
        <w:rPr>
          <w:noProof/>
        </w:rPr>
        <w:t xml:space="preserve">Reforma 1 – aktivne politike trga dela in poklicno usposabljanje </w:t>
      </w:r>
    </w:p>
    <w:p w14:paraId="3595F18D" w14:textId="29087E73" w:rsidR="00154E32" w:rsidRDefault="00A43E04">
      <w:pPr>
        <w:spacing w:before="120" w:after="120"/>
        <w:jc w:val="both"/>
        <w:rPr>
          <w:noProof/>
          <w:color w:val="000000" w:themeColor="text1"/>
        </w:rPr>
      </w:pPr>
      <w:r>
        <w:rPr>
          <w:noProof/>
        </w:rPr>
        <w:t xml:space="preserve">Cilj te reforme je spodbujati učinkovitejši aktivni sistem trga dela z zagotavljanjem posebnih služb za zaposlovanje in prilagojenih načrtov za aktivacijo trga dela. Oblikovanje </w:t>
      </w:r>
      <w:r>
        <w:rPr>
          <w:b/>
          <w:noProof/>
          <w:color w:val="000000" w:themeColor="text1"/>
        </w:rPr>
        <w:t xml:space="preserve">nacionalnega programa za zajamčeno zaposljivost delavcev </w:t>
      </w:r>
      <w:r>
        <w:rPr>
          <w:noProof/>
          <w:color w:val="000000" w:themeColor="text1"/>
        </w:rPr>
        <w:t xml:space="preserve">(GOL) omogoča zagotavljanje prilagojenih storitev brezposelnim in tako krepi njihovo aktivacijo. Program GOL spremljata </w:t>
      </w:r>
      <w:r>
        <w:rPr>
          <w:b/>
          <w:noProof/>
          <w:color w:val="000000" w:themeColor="text1"/>
        </w:rPr>
        <w:t>nacionalni načrt za nova znanja in spretnosti</w:t>
      </w:r>
      <w:r>
        <w:rPr>
          <w:noProof/>
          <w:color w:val="000000" w:themeColor="text1"/>
        </w:rPr>
        <w:t xml:space="preserve"> ter opredelitev bistvenih </w:t>
      </w:r>
      <w:r>
        <w:rPr>
          <w:b/>
          <w:noProof/>
          <w:color w:val="000000" w:themeColor="text1"/>
        </w:rPr>
        <w:t xml:space="preserve">nacionalnih ravni ukrepov poklicnega usposabljanja. </w:t>
      </w:r>
      <w:r>
        <w:rPr>
          <w:noProof/>
          <w:color w:val="000000" w:themeColor="text1"/>
        </w:rPr>
        <w:t xml:space="preserve">Sistem poklicnega izobraževanja in usposabljanja v Italiji se okrepi s spodbujanjem teritorialne mreže služb za izobraževanje, usposabljanje in zaposlovanje ter z razvojem vključujočega sistema vseživljenjskega učenja ter inovativnih poti izpopolnjevanja in preusposabljanja. </w:t>
      </w:r>
    </w:p>
    <w:p w14:paraId="546072A2" w14:textId="77777777" w:rsidR="00154E32" w:rsidRDefault="00A43E04">
      <w:pPr>
        <w:pStyle w:val="P68B1DB1-Normal2"/>
        <w:spacing w:before="120" w:after="120"/>
        <w:jc w:val="both"/>
        <w:rPr>
          <w:noProof/>
        </w:rPr>
      </w:pPr>
      <w:r>
        <w:rPr>
          <w:noProof/>
          <w:color w:val="000000" w:themeColor="text1"/>
        </w:rPr>
        <w:t xml:space="preserve">Naložba 1 – </w:t>
      </w:r>
      <w:r>
        <w:rPr>
          <w:noProof/>
        </w:rPr>
        <w:t>Krepitev javnih zavodov za zaposlovanje (JZZ)</w:t>
      </w:r>
    </w:p>
    <w:p w14:paraId="131A8479" w14:textId="77777777" w:rsidR="00154E32" w:rsidRDefault="00A43E04">
      <w:pPr>
        <w:pStyle w:val="P68B1DB1-Normal16"/>
        <w:spacing w:before="120" w:after="120"/>
        <w:jc w:val="both"/>
        <w:rPr>
          <w:noProof/>
        </w:rPr>
      </w:pPr>
      <w:r>
        <w:rPr>
          <w:noProof/>
        </w:rPr>
        <w:t>Cilj te naložbe je omogočiti učinkovito zagotavljanje storitev zaposlovanja in usposabljanja. Ta ukrep vključuje infrastrukturne naložbe, razvoj regionalnih opazovalnih skupin za trg dela, razvoj interoperabilnosti med regionalnimi in nacionalnimi informacijskimi sistemi, oblikovanje in izvajanje ukrepov usposabljanja za posodobitev znanj in spretnosti zaposlitvenih svetovalcev. Ukrep je predvideval tudi oblikovanje in izvajanje vsebin in komunikacijskih kanalov ponujenih storitev.</w:t>
      </w:r>
    </w:p>
    <w:p w14:paraId="1C4AC9ED" w14:textId="77777777" w:rsidR="00154E32" w:rsidRDefault="00A43E04">
      <w:pPr>
        <w:pStyle w:val="P68B1DB1-Normal24"/>
        <w:spacing w:before="120" w:after="120"/>
        <w:jc w:val="both"/>
        <w:rPr>
          <w:noProof/>
        </w:rPr>
      </w:pPr>
      <w:r>
        <w:rPr>
          <w:noProof/>
        </w:rPr>
        <w:t>Reforma 2 – Nacionalni načrt za boj proti neprijavljenemu delu</w:t>
      </w:r>
    </w:p>
    <w:p w14:paraId="074CAC52" w14:textId="7274A19B" w:rsidR="00154E32" w:rsidRDefault="00A43E04">
      <w:pPr>
        <w:pStyle w:val="P68B1DB1-Normal16"/>
        <w:spacing w:before="120" w:after="120"/>
        <w:jc w:val="both"/>
        <w:rPr>
          <w:noProof/>
        </w:rPr>
      </w:pPr>
      <w:r>
        <w:rPr>
          <w:noProof/>
        </w:rPr>
        <w:t xml:space="preserve">Cilj tega ukrepa je izboljšati kakovost dela in pogojev za delavce. Ta ukrep vključuje ukrepe za </w:t>
      </w:r>
      <w:r>
        <w:rPr>
          <w:b/>
          <w:noProof/>
        </w:rPr>
        <w:t>preprečevanje in ukrepanje proti neprijavljenemu delu</w:t>
      </w:r>
      <w:r>
        <w:rPr>
          <w:noProof/>
        </w:rPr>
        <w:t xml:space="preserve">, izkoriščanju delovne sile (Caporalato) in drugim oblikam nezakonitega dela. Reforma vključuje: (I) uvedbo neposrednih in posrednih ukrepov za preoblikovanje neprijavljenega dela v prijavljeno delo z zagotavljanjem, da koristi dejavnosti v prijavljenem gospodarstvu odtehtajo stroške dela v neprijavljenem gospodarstvu; (II) krepitev inšpekcijskih zmogljivosti nacionalnega inšpektorata za delo; (III) izboljšanje priprave, zbiranja in pravočasnega razširjanja podrobnih podatkov o delu na črno; (IV) podpiranje procesa preoblikovanja dela na črno v redno delo, podpiranje sprejetja odvračilnih ukrepov in spodbud za redno delo; (V) izvajanje komunikacijskih kampanj, dejavnosti obveščanja in ozaveščanja; (V) krepitev sistema upravljanja za boj proti neprijavljenemu delu na nacionalni in lokalni ravni. </w:t>
      </w:r>
    </w:p>
    <w:p w14:paraId="237B7991" w14:textId="77777777" w:rsidR="00154E32" w:rsidRDefault="00A43E04">
      <w:pPr>
        <w:pStyle w:val="P68B1DB1-Normal24"/>
        <w:spacing w:before="120" w:after="120"/>
        <w:jc w:val="both"/>
        <w:rPr>
          <w:noProof/>
        </w:rPr>
      </w:pPr>
      <w:r>
        <w:rPr>
          <w:noProof/>
        </w:rPr>
        <w:t>Naložba 2 – Sistem certificiranja za enakost spolov</w:t>
      </w:r>
    </w:p>
    <w:p w14:paraId="61239ED3" w14:textId="0D4D4956" w:rsidR="00154E32" w:rsidRDefault="00A43E04">
      <w:pPr>
        <w:spacing w:before="120" w:after="120"/>
        <w:jc w:val="both"/>
        <w:rPr>
          <w:noProof/>
        </w:rPr>
      </w:pPr>
      <w:r>
        <w:rPr>
          <w:noProof/>
          <w:color w:val="000000" w:themeColor="text1"/>
        </w:rPr>
        <w:t>Cilj tega ukrepa je zagotoviti ponovno udeležbo</w:t>
      </w:r>
      <w:r>
        <w:rPr>
          <w:noProof/>
        </w:rPr>
        <w:t>žensk na trgu dela</w:t>
      </w:r>
      <w:r>
        <w:rPr>
          <w:noProof/>
          <w:color w:val="000000" w:themeColor="text1"/>
        </w:rPr>
        <w:t xml:space="preserve"> in zmanjšati razlike v plačilu med spoloma. Te naložbe </w:t>
      </w:r>
      <w:r>
        <w:rPr>
          <w:noProof/>
        </w:rPr>
        <w:t xml:space="preserve">vključujejo izvajanje in izvrševanje </w:t>
      </w:r>
      <w:r>
        <w:rPr>
          <w:b/>
          <w:noProof/>
        </w:rPr>
        <w:t>nacionalnega sistema certificiranja za enakost spolov</w:t>
      </w:r>
      <w:r>
        <w:rPr>
          <w:noProof/>
        </w:rPr>
        <w:t>, da se spodbudi preglednost na trgu dela in v poslovnih procesih ter srednje- do dolgoročno prispeva k izboljšanju delovnih pogojev žensk v smislu kakovosti, plačila in opolnomočenja.</w:t>
      </w:r>
    </w:p>
    <w:p w14:paraId="2E90FABE" w14:textId="77777777" w:rsidR="00154E32" w:rsidRDefault="00A43E04">
      <w:pPr>
        <w:pStyle w:val="P68B1DB1-Normal2"/>
        <w:spacing w:before="120" w:after="120"/>
        <w:jc w:val="both"/>
        <w:rPr>
          <w:noProof/>
          <w:color w:val="000000" w:themeColor="text1"/>
        </w:rPr>
      </w:pPr>
      <w:r>
        <w:rPr>
          <w:noProof/>
        </w:rPr>
        <w:t>Naložba 3 – Krepitev dvojnega sistema</w:t>
      </w:r>
    </w:p>
    <w:p w14:paraId="358A3496" w14:textId="5181B406" w:rsidR="00154E32" w:rsidRDefault="00A43E04">
      <w:pPr>
        <w:spacing w:before="120" w:after="120"/>
        <w:jc w:val="both"/>
        <w:rPr>
          <w:noProof/>
        </w:rPr>
      </w:pPr>
      <w:r>
        <w:rPr>
          <w:noProof/>
        </w:rPr>
        <w:t xml:space="preserve">Cilj tega ukrepa je podpreti mlade in odrasle brez srednješolskega izobraževanja pri dostopu do zaposlitvenih možnosti s povečanjem števila ljudi, ki sodelujejo v formalnem izobraževanju ter poklicnem izobraževanju in usposabljanju prek dualnega sistema, vključno z vajeništvom. Te naložbe prispevajo k večji sinergiji sistemov izobraževanja in usposabljanja s trgom dela ter povečanju zaposljivosti mladih s pridobivanjem novih kompetenc v skladu z digitalnim in zelenim prehodom ter učenjem na delovnem mestu. Prispeva k: (I) posodobitev sistema izobraževanja in usposabljanja s spodbujanjem učenja na delovnem mestu in krepitvijo dialoga s podjetji; (II) okrepi dodeljevanje finančnih sredstev za usposabljanje na marginaliziranih območjih; (III) vzpostavitev trdnega in vključujočega upravljanja, ki vključuje gospodarske in socialne partnerje. </w:t>
      </w:r>
    </w:p>
    <w:p w14:paraId="12102082" w14:textId="77777777" w:rsidR="00154E32" w:rsidRDefault="00A43E04">
      <w:pPr>
        <w:pStyle w:val="P68B1DB1-Normal2"/>
        <w:spacing w:before="120" w:after="120"/>
        <w:jc w:val="both"/>
        <w:rPr>
          <w:noProof/>
          <w:color w:val="000000" w:themeColor="text1"/>
        </w:rPr>
      </w:pPr>
      <w:r>
        <w:rPr>
          <w:noProof/>
        </w:rPr>
        <w:t>Naložba 4 –</w:t>
      </w:r>
      <w:r>
        <w:rPr>
          <w:noProof/>
          <w:color w:val="000000" w:themeColor="text1"/>
        </w:rPr>
        <w:t>Okrepitev univerzalne javne službe</w:t>
      </w:r>
    </w:p>
    <w:p w14:paraId="331AFF62" w14:textId="04C0B345" w:rsidR="00154E32" w:rsidRDefault="00A43E04">
      <w:pPr>
        <w:spacing w:before="120" w:after="120"/>
        <w:jc w:val="both"/>
        <w:rPr>
          <w:noProof/>
          <w:color w:val="000000" w:themeColor="text1"/>
        </w:rPr>
      </w:pPr>
      <w:r>
        <w:rPr>
          <w:noProof/>
        </w:rPr>
        <w:t xml:space="preserve">Cilj tega ukrepa je okrepiti univerzalno javno upravo, povečati število mladih, vključenih v neformalno učenje, ter izboljšati njihovo znanje in spretnosti. Te naložbe vključujejo ukrepe za ozaveščanje o pomenu aktivnega državljanstva, spodbujanje </w:t>
      </w:r>
      <w:r>
        <w:rPr>
          <w:noProof/>
          <w:color w:val="000000" w:themeColor="text1"/>
        </w:rPr>
        <w:t>zaposljivosti mladih in socialne kohezije s posebnim poudarkom na zelenem in digitalnem prehodu.</w:t>
      </w:r>
    </w:p>
    <w:p w14:paraId="2DC41CC8" w14:textId="77777777" w:rsidR="00154E32" w:rsidRDefault="00A43E04">
      <w:pPr>
        <w:pStyle w:val="Heading3"/>
        <w:numPr>
          <w:ilvl w:val="0"/>
          <w:numId w:val="0"/>
        </w:numPr>
        <w:ind w:left="850" w:hanging="850"/>
        <w:rPr>
          <w:b/>
          <w:i w:val="0"/>
          <w:noProof/>
          <w:u w:val="single"/>
        </w:rPr>
      </w:pPr>
      <w:r>
        <w:rPr>
          <w:b/>
          <w:i w:val="0"/>
          <w:noProof/>
          <w:u w:val="single"/>
        </w:rPr>
        <w:t xml:space="preserve">L.2. </w:t>
      </w:r>
      <w:r>
        <w:rPr>
          <w:noProof/>
        </w:rPr>
        <w:tab/>
      </w:r>
      <w:r>
        <w:rPr>
          <w:b/>
          <w:i w:val="0"/>
          <w:noProof/>
          <w:u w:val="single"/>
        </w:rPr>
        <w:t>Mejniki, cilji, kazalniki in časovni razpored za spremljanje in izvajanje nepovratne finančne podpore Naslednje;</w:t>
      </w:r>
    </w:p>
    <w:p w14:paraId="5790F7C0" w14:textId="77777777" w:rsidR="00154E32" w:rsidRDefault="00154E32">
      <w:pPr>
        <w:spacing w:before="120" w:after="120"/>
        <w:ind w:left="709"/>
        <w:jc w:val="both"/>
        <w:rPr>
          <w:noProof/>
        </w:rPr>
        <w:sectPr w:rsidR="00154E32">
          <w:headerReference w:type="even" r:id="rId278"/>
          <w:headerReference w:type="default" r:id="rId279"/>
          <w:footerReference w:type="even" r:id="rId280"/>
          <w:footerReference w:type="default" r:id="rId281"/>
          <w:headerReference w:type="first" r:id="rId282"/>
          <w:footerReference w:type="first" r:id="rId283"/>
          <w:pgSz w:w="11907" w:h="16839"/>
          <w:pgMar w:top="1440" w:right="1440" w:bottom="1440" w:left="1440" w:header="567" w:footer="567" w:gutter="0"/>
          <w:cols w:space="720"/>
          <w:docGrid w:linePitch="360"/>
        </w:sect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1513"/>
        <w:gridCol w:w="1281"/>
        <w:gridCol w:w="1597"/>
        <w:gridCol w:w="1470"/>
        <w:gridCol w:w="1275"/>
        <w:gridCol w:w="1134"/>
        <w:gridCol w:w="1134"/>
        <w:gridCol w:w="851"/>
        <w:gridCol w:w="709"/>
        <w:gridCol w:w="2835"/>
      </w:tblGrid>
      <w:tr w:rsidR="00154E32" w14:paraId="7C89DE0E" w14:textId="77777777">
        <w:trPr>
          <w:trHeight w:val="633"/>
          <w:tblHeader/>
          <w:jc w:val="center"/>
        </w:trPr>
        <w:tc>
          <w:tcPr>
            <w:tcW w:w="1364" w:type="dxa"/>
            <w:vMerge w:val="restart"/>
            <w:shd w:val="clear" w:color="auto" w:fill="BDD7EE"/>
            <w:vAlign w:val="center"/>
            <w:hideMark/>
          </w:tcPr>
          <w:p w14:paraId="6F7D6B72" w14:textId="77777777" w:rsidR="00154E32" w:rsidRDefault="00A43E04">
            <w:pPr>
              <w:pStyle w:val="P68B1DB1-Normal9"/>
              <w:jc w:val="center"/>
              <w:rPr>
                <w:noProof/>
              </w:rPr>
            </w:pPr>
            <w:r>
              <w:rPr>
                <w:noProof/>
              </w:rPr>
              <w:t>Zaporedna številka</w:t>
            </w:r>
          </w:p>
        </w:tc>
        <w:tc>
          <w:tcPr>
            <w:tcW w:w="1513" w:type="dxa"/>
            <w:vMerge w:val="restart"/>
            <w:shd w:val="clear" w:color="auto" w:fill="BDD7EE"/>
            <w:vAlign w:val="center"/>
            <w:hideMark/>
          </w:tcPr>
          <w:p w14:paraId="398FE76E" w14:textId="77777777" w:rsidR="00154E32" w:rsidRDefault="00A43E04">
            <w:pPr>
              <w:pStyle w:val="P68B1DB1-Normal9"/>
              <w:jc w:val="center"/>
              <w:rPr>
                <w:noProof/>
              </w:rPr>
            </w:pPr>
            <w:r>
              <w:rPr>
                <w:noProof/>
              </w:rPr>
              <w:t>Povezani ukrep (reforma ali naložba)</w:t>
            </w:r>
          </w:p>
        </w:tc>
        <w:tc>
          <w:tcPr>
            <w:tcW w:w="1281" w:type="dxa"/>
            <w:vMerge w:val="restart"/>
            <w:shd w:val="clear" w:color="auto" w:fill="BDD7EE"/>
            <w:vAlign w:val="center"/>
            <w:hideMark/>
          </w:tcPr>
          <w:p w14:paraId="60AE39E8" w14:textId="77777777" w:rsidR="00154E32" w:rsidRDefault="00A43E04">
            <w:pPr>
              <w:pStyle w:val="P68B1DB1-Normal9"/>
              <w:jc w:val="center"/>
              <w:rPr>
                <w:noProof/>
              </w:rPr>
            </w:pPr>
            <w:r>
              <w:rPr>
                <w:noProof/>
              </w:rPr>
              <w:t>Mejnik/cilj</w:t>
            </w:r>
          </w:p>
        </w:tc>
        <w:tc>
          <w:tcPr>
            <w:tcW w:w="1597" w:type="dxa"/>
            <w:vMerge w:val="restart"/>
            <w:shd w:val="clear" w:color="auto" w:fill="BDD7EE"/>
            <w:vAlign w:val="center"/>
            <w:hideMark/>
          </w:tcPr>
          <w:p w14:paraId="16F0560C" w14:textId="77777777" w:rsidR="00154E32" w:rsidRDefault="00A43E04">
            <w:pPr>
              <w:pStyle w:val="P68B1DB1-Normal9"/>
              <w:jc w:val="center"/>
              <w:rPr>
                <w:noProof/>
              </w:rPr>
            </w:pPr>
            <w:r>
              <w:rPr>
                <w:noProof/>
              </w:rPr>
              <w:t>Ime</w:t>
            </w:r>
          </w:p>
        </w:tc>
        <w:tc>
          <w:tcPr>
            <w:tcW w:w="1470" w:type="dxa"/>
            <w:vMerge w:val="restart"/>
            <w:shd w:val="clear" w:color="auto" w:fill="BDD7EE"/>
            <w:vAlign w:val="center"/>
            <w:hideMark/>
          </w:tcPr>
          <w:p w14:paraId="1D21B8E4" w14:textId="77777777" w:rsidR="00154E32" w:rsidRDefault="00A43E04">
            <w:pPr>
              <w:pStyle w:val="P68B1DB1-Normal19"/>
              <w:jc w:val="center"/>
              <w:rPr>
                <w:b/>
                <w:noProof/>
              </w:rPr>
            </w:pPr>
            <w:r>
              <w:rPr>
                <w:b/>
                <w:noProof/>
              </w:rPr>
              <w:t>Kakovostni kazalniki</w:t>
            </w:r>
            <w:r>
              <w:rPr>
                <w:noProof/>
              </w:rPr>
              <w:t xml:space="preserve"> </w:t>
            </w:r>
            <w:r>
              <w:rPr>
                <w:noProof/>
              </w:rPr>
              <w:br/>
            </w:r>
            <w:r>
              <w:rPr>
                <w:b/>
                <w:noProof/>
              </w:rPr>
              <w:t>(za mejnike)</w:t>
            </w:r>
          </w:p>
        </w:tc>
        <w:tc>
          <w:tcPr>
            <w:tcW w:w="3543" w:type="dxa"/>
            <w:gridSpan w:val="3"/>
            <w:shd w:val="clear" w:color="auto" w:fill="BDD7EE"/>
            <w:vAlign w:val="center"/>
            <w:hideMark/>
          </w:tcPr>
          <w:p w14:paraId="31BED4F3" w14:textId="77777777" w:rsidR="00154E32" w:rsidRDefault="00A43E04">
            <w:pPr>
              <w:pStyle w:val="P68B1DB1-Normal19"/>
              <w:jc w:val="center"/>
              <w:rPr>
                <w:b/>
                <w:noProof/>
              </w:rPr>
            </w:pPr>
            <w:r>
              <w:rPr>
                <w:b/>
                <w:noProof/>
              </w:rPr>
              <w:t>Kvantitativni kazalniki</w:t>
            </w:r>
            <w:r>
              <w:rPr>
                <w:noProof/>
              </w:rPr>
              <w:t xml:space="preserve"> </w:t>
            </w:r>
            <w:r>
              <w:rPr>
                <w:noProof/>
              </w:rPr>
              <w:br/>
            </w:r>
            <w:r>
              <w:rPr>
                <w:b/>
                <w:noProof/>
              </w:rPr>
              <w:t>(za ciljne vrednosti)</w:t>
            </w:r>
          </w:p>
        </w:tc>
        <w:tc>
          <w:tcPr>
            <w:tcW w:w="1560" w:type="dxa"/>
            <w:gridSpan w:val="2"/>
            <w:shd w:val="clear" w:color="auto" w:fill="BDD7EE"/>
            <w:vAlign w:val="center"/>
            <w:hideMark/>
          </w:tcPr>
          <w:p w14:paraId="00FC4B1E" w14:textId="77777777" w:rsidR="00154E32" w:rsidRDefault="00A43E04">
            <w:pPr>
              <w:pStyle w:val="P68B1DB1-Normal9"/>
              <w:jc w:val="center"/>
              <w:rPr>
                <w:noProof/>
              </w:rPr>
            </w:pPr>
            <w:r>
              <w:rPr>
                <w:noProof/>
              </w:rPr>
              <w:t>Okvirni časovni razpored za dokončanje</w:t>
            </w:r>
          </w:p>
        </w:tc>
        <w:tc>
          <w:tcPr>
            <w:tcW w:w="2835" w:type="dxa"/>
            <w:vMerge w:val="restart"/>
            <w:shd w:val="clear" w:color="auto" w:fill="BDD7EE"/>
            <w:vAlign w:val="center"/>
            <w:hideMark/>
          </w:tcPr>
          <w:p w14:paraId="69DA7365" w14:textId="77777777" w:rsidR="00154E32" w:rsidRDefault="00A43E04">
            <w:pPr>
              <w:pStyle w:val="P68B1DB1-Normal9"/>
              <w:jc w:val="center"/>
              <w:rPr>
                <w:noProof/>
              </w:rPr>
            </w:pPr>
            <w:r>
              <w:rPr>
                <w:noProof/>
              </w:rPr>
              <w:t>Opis vsakega mejnika in cilja</w:t>
            </w:r>
          </w:p>
        </w:tc>
      </w:tr>
      <w:tr w:rsidR="00154E32" w14:paraId="76BC4635" w14:textId="77777777">
        <w:trPr>
          <w:trHeight w:val="632"/>
          <w:jc w:val="center"/>
        </w:trPr>
        <w:tc>
          <w:tcPr>
            <w:tcW w:w="1364" w:type="dxa"/>
            <w:vMerge/>
            <w:vAlign w:val="center"/>
          </w:tcPr>
          <w:p w14:paraId="5018A7C3" w14:textId="77777777" w:rsidR="00154E32" w:rsidRDefault="00154E32">
            <w:pPr>
              <w:jc w:val="center"/>
              <w:rPr>
                <w:rFonts w:ascii="Arial Narrow" w:hAnsi="Arial Narrow"/>
                <w:b/>
                <w:noProof/>
                <w:sz w:val="20"/>
              </w:rPr>
            </w:pPr>
          </w:p>
        </w:tc>
        <w:tc>
          <w:tcPr>
            <w:tcW w:w="1513" w:type="dxa"/>
            <w:vMerge/>
            <w:vAlign w:val="center"/>
          </w:tcPr>
          <w:p w14:paraId="5CE8B43D" w14:textId="77777777" w:rsidR="00154E32" w:rsidRDefault="00154E32">
            <w:pPr>
              <w:jc w:val="center"/>
              <w:rPr>
                <w:rFonts w:ascii="Arial Narrow" w:hAnsi="Arial Narrow"/>
                <w:b/>
                <w:noProof/>
                <w:sz w:val="20"/>
              </w:rPr>
            </w:pPr>
          </w:p>
        </w:tc>
        <w:tc>
          <w:tcPr>
            <w:tcW w:w="1281" w:type="dxa"/>
            <w:vMerge/>
            <w:vAlign w:val="center"/>
          </w:tcPr>
          <w:p w14:paraId="66575E2D" w14:textId="77777777" w:rsidR="00154E32" w:rsidRDefault="00154E32">
            <w:pPr>
              <w:jc w:val="center"/>
              <w:rPr>
                <w:rFonts w:ascii="Arial Narrow" w:hAnsi="Arial Narrow"/>
                <w:b/>
                <w:noProof/>
                <w:sz w:val="20"/>
              </w:rPr>
            </w:pPr>
          </w:p>
        </w:tc>
        <w:tc>
          <w:tcPr>
            <w:tcW w:w="1597" w:type="dxa"/>
            <w:vMerge/>
            <w:vAlign w:val="center"/>
          </w:tcPr>
          <w:p w14:paraId="40C4D245" w14:textId="77777777" w:rsidR="00154E32" w:rsidRDefault="00154E32">
            <w:pPr>
              <w:jc w:val="center"/>
              <w:rPr>
                <w:rFonts w:ascii="Arial Narrow" w:hAnsi="Arial Narrow"/>
                <w:b/>
                <w:noProof/>
                <w:sz w:val="20"/>
              </w:rPr>
            </w:pPr>
          </w:p>
        </w:tc>
        <w:tc>
          <w:tcPr>
            <w:tcW w:w="1470" w:type="dxa"/>
            <w:vMerge/>
            <w:vAlign w:val="center"/>
          </w:tcPr>
          <w:p w14:paraId="59C36673" w14:textId="77777777" w:rsidR="00154E32" w:rsidRDefault="00154E32">
            <w:pPr>
              <w:jc w:val="center"/>
              <w:rPr>
                <w:rFonts w:ascii="Arial Narrow" w:hAnsi="Arial Narrow"/>
                <w:b/>
                <w:noProof/>
                <w:sz w:val="20"/>
              </w:rPr>
            </w:pPr>
          </w:p>
        </w:tc>
        <w:tc>
          <w:tcPr>
            <w:tcW w:w="1275" w:type="dxa"/>
            <w:shd w:val="clear" w:color="auto" w:fill="BDD7EE"/>
            <w:vAlign w:val="center"/>
          </w:tcPr>
          <w:p w14:paraId="383E2B43" w14:textId="77777777" w:rsidR="00154E32" w:rsidRDefault="00A43E04">
            <w:pPr>
              <w:pStyle w:val="P68B1DB1-Normal9"/>
              <w:jc w:val="center"/>
              <w:rPr>
                <w:noProof/>
              </w:rPr>
            </w:pPr>
            <w:r>
              <w:rPr>
                <w:noProof/>
              </w:rPr>
              <w:t>Merska enota</w:t>
            </w:r>
          </w:p>
        </w:tc>
        <w:tc>
          <w:tcPr>
            <w:tcW w:w="1134" w:type="dxa"/>
            <w:shd w:val="clear" w:color="auto" w:fill="BDD7EE"/>
            <w:vAlign w:val="center"/>
          </w:tcPr>
          <w:p w14:paraId="440E68E1" w14:textId="77777777" w:rsidR="00154E32" w:rsidRDefault="00A43E04">
            <w:pPr>
              <w:pStyle w:val="P68B1DB1-Normal9"/>
              <w:jc w:val="center"/>
              <w:rPr>
                <w:noProof/>
              </w:rPr>
            </w:pPr>
            <w:r>
              <w:rPr>
                <w:noProof/>
              </w:rPr>
              <w:t>Izhodišče</w:t>
            </w:r>
          </w:p>
        </w:tc>
        <w:tc>
          <w:tcPr>
            <w:tcW w:w="1134" w:type="dxa"/>
            <w:shd w:val="clear" w:color="auto" w:fill="BDD7EE"/>
            <w:vAlign w:val="center"/>
          </w:tcPr>
          <w:p w14:paraId="77DA5AC6" w14:textId="77777777" w:rsidR="00154E32" w:rsidRDefault="00A43E04">
            <w:pPr>
              <w:pStyle w:val="P68B1DB1-Normal9"/>
              <w:jc w:val="center"/>
              <w:rPr>
                <w:noProof/>
              </w:rPr>
            </w:pPr>
            <w:r>
              <w:rPr>
                <w:noProof/>
              </w:rPr>
              <w:t>Cilj</w:t>
            </w:r>
          </w:p>
        </w:tc>
        <w:tc>
          <w:tcPr>
            <w:tcW w:w="851" w:type="dxa"/>
            <w:shd w:val="clear" w:color="auto" w:fill="BDD7EE"/>
            <w:vAlign w:val="center"/>
          </w:tcPr>
          <w:p w14:paraId="0ED9525F" w14:textId="77777777" w:rsidR="00154E32" w:rsidRDefault="00A43E04">
            <w:pPr>
              <w:pStyle w:val="P68B1DB1-Normal9"/>
              <w:jc w:val="center"/>
              <w:rPr>
                <w:noProof/>
              </w:rPr>
            </w:pPr>
            <w:r>
              <w:rPr>
                <w:noProof/>
              </w:rPr>
              <w:t>Četrtletje</w:t>
            </w:r>
          </w:p>
        </w:tc>
        <w:tc>
          <w:tcPr>
            <w:tcW w:w="709" w:type="dxa"/>
            <w:shd w:val="clear" w:color="auto" w:fill="BDD7EE"/>
            <w:vAlign w:val="center"/>
          </w:tcPr>
          <w:p w14:paraId="4239C47A" w14:textId="77777777" w:rsidR="00154E32" w:rsidRDefault="00A43E04">
            <w:pPr>
              <w:pStyle w:val="P68B1DB1-Normal9"/>
              <w:jc w:val="center"/>
              <w:rPr>
                <w:noProof/>
              </w:rPr>
            </w:pPr>
            <w:r>
              <w:rPr>
                <w:noProof/>
              </w:rPr>
              <w:t>Leto</w:t>
            </w:r>
          </w:p>
        </w:tc>
        <w:tc>
          <w:tcPr>
            <w:tcW w:w="2835" w:type="dxa"/>
            <w:vMerge/>
            <w:vAlign w:val="center"/>
          </w:tcPr>
          <w:p w14:paraId="3D335E7A" w14:textId="77777777" w:rsidR="00154E32" w:rsidRDefault="00154E32">
            <w:pPr>
              <w:jc w:val="center"/>
              <w:rPr>
                <w:rFonts w:ascii="Arial Narrow" w:hAnsi="Arial Narrow"/>
                <w:b/>
                <w:noProof/>
                <w:sz w:val="20"/>
              </w:rPr>
            </w:pPr>
          </w:p>
        </w:tc>
      </w:tr>
      <w:tr w:rsidR="00154E32" w14:paraId="580512F7" w14:textId="77777777">
        <w:trPr>
          <w:trHeight w:val="309"/>
          <w:jc w:val="center"/>
        </w:trPr>
        <w:tc>
          <w:tcPr>
            <w:tcW w:w="1364" w:type="dxa"/>
            <w:shd w:val="clear" w:color="auto" w:fill="C6EFCE"/>
            <w:noWrap/>
            <w:vAlign w:val="center"/>
            <w:hideMark/>
          </w:tcPr>
          <w:p w14:paraId="2FDE61EE" w14:textId="77777777" w:rsidR="00154E32" w:rsidRDefault="00A43E04">
            <w:pPr>
              <w:pStyle w:val="P68B1DB1-Normal11"/>
              <w:jc w:val="center"/>
              <w:rPr>
                <w:noProof/>
              </w:rPr>
            </w:pPr>
            <w:r>
              <w:rPr>
                <w:noProof/>
              </w:rPr>
              <w:t xml:space="preserve">M5C1–1 </w:t>
            </w:r>
          </w:p>
        </w:tc>
        <w:tc>
          <w:tcPr>
            <w:tcW w:w="1513" w:type="dxa"/>
            <w:shd w:val="clear" w:color="auto" w:fill="C6EFCE"/>
            <w:noWrap/>
            <w:vAlign w:val="center"/>
            <w:hideMark/>
          </w:tcPr>
          <w:p w14:paraId="015FB8EA" w14:textId="77777777" w:rsidR="00154E32" w:rsidRDefault="00A43E04">
            <w:pPr>
              <w:pStyle w:val="P68B1DB1-Normal11"/>
              <w:jc w:val="center"/>
              <w:rPr>
                <w:noProof/>
              </w:rPr>
            </w:pPr>
            <w:r>
              <w:rPr>
                <w:noProof/>
              </w:rPr>
              <w:t>Reforma 1 – aktivne politike trga dela in poklicno usposabljanje</w:t>
            </w:r>
          </w:p>
        </w:tc>
        <w:tc>
          <w:tcPr>
            <w:tcW w:w="1281" w:type="dxa"/>
            <w:shd w:val="clear" w:color="auto" w:fill="C6EFCE"/>
            <w:noWrap/>
            <w:vAlign w:val="center"/>
            <w:hideMark/>
          </w:tcPr>
          <w:p w14:paraId="50458721" w14:textId="77777777" w:rsidR="00154E32" w:rsidRDefault="00A43E04">
            <w:pPr>
              <w:pStyle w:val="P68B1DB1-Normal11"/>
              <w:jc w:val="center"/>
              <w:rPr>
                <w:noProof/>
              </w:rPr>
            </w:pPr>
            <w:r>
              <w:rPr>
                <w:noProof/>
              </w:rPr>
              <w:t>Mejnik</w:t>
            </w:r>
          </w:p>
        </w:tc>
        <w:tc>
          <w:tcPr>
            <w:tcW w:w="1597" w:type="dxa"/>
            <w:shd w:val="clear" w:color="auto" w:fill="C6EFCE"/>
            <w:noWrap/>
            <w:vAlign w:val="center"/>
            <w:hideMark/>
          </w:tcPr>
          <w:p w14:paraId="165DD795" w14:textId="77777777" w:rsidR="00154E32" w:rsidRDefault="00A43E04">
            <w:pPr>
              <w:pStyle w:val="P68B1DB1-Normal11"/>
              <w:jc w:val="center"/>
              <w:rPr>
                <w:noProof/>
              </w:rPr>
            </w:pPr>
            <w:r>
              <w:rPr>
                <w:noProof/>
              </w:rPr>
              <w:t>Začetek veljavnosti medresorskega odloka o vzpostavitvi nacionalnega programa za zajamčeno zaposljivost delavcev (GOL) in medministrske uredbe o nacionalnem načrtu za nova znanja in spretnosti</w:t>
            </w:r>
          </w:p>
        </w:tc>
        <w:tc>
          <w:tcPr>
            <w:tcW w:w="1470" w:type="dxa"/>
            <w:shd w:val="clear" w:color="auto" w:fill="C6EFCE"/>
            <w:noWrap/>
            <w:vAlign w:val="center"/>
            <w:hideMark/>
          </w:tcPr>
          <w:p w14:paraId="29241EDC" w14:textId="77777777" w:rsidR="00154E32" w:rsidRDefault="00A43E04">
            <w:pPr>
              <w:pStyle w:val="P68B1DB1-Normal11"/>
              <w:jc w:val="center"/>
              <w:rPr>
                <w:noProof/>
              </w:rPr>
            </w:pPr>
            <w:r>
              <w:rPr>
                <w:noProof/>
              </w:rPr>
              <w:t>Določba medresorskih odlokov o začetku veljavnosti dveh medresorskih odlokov po sporazumih na konferenci držav in regij o programu in nacionalnem načrtu za nova znanja in spretnosti</w:t>
            </w:r>
          </w:p>
        </w:tc>
        <w:tc>
          <w:tcPr>
            <w:tcW w:w="1275" w:type="dxa"/>
            <w:shd w:val="clear" w:color="auto" w:fill="C6EFCE"/>
            <w:noWrap/>
            <w:vAlign w:val="center"/>
            <w:hideMark/>
          </w:tcPr>
          <w:p w14:paraId="69C0AC72" w14:textId="77777777" w:rsidR="00154E32" w:rsidRDefault="00A43E04">
            <w:pPr>
              <w:pStyle w:val="P68B1DB1-Normal11"/>
              <w:jc w:val="center"/>
              <w:rPr>
                <w:noProof/>
              </w:rPr>
            </w:pPr>
            <w:r>
              <w:rPr>
                <w:noProof/>
              </w:rPr>
              <w:t>JIH NI</w:t>
            </w:r>
          </w:p>
        </w:tc>
        <w:tc>
          <w:tcPr>
            <w:tcW w:w="1134" w:type="dxa"/>
            <w:shd w:val="clear" w:color="auto" w:fill="C6EFCE"/>
            <w:noWrap/>
            <w:vAlign w:val="center"/>
            <w:hideMark/>
          </w:tcPr>
          <w:p w14:paraId="1FA4790B" w14:textId="77777777" w:rsidR="00154E32" w:rsidRDefault="00A43E04">
            <w:pPr>
              <w:pStyle w:val="P68B1DB1-Normal11"/>
              <w:jc w:val="center"/>
              <w:rPr>
                <w:rFonts w:eastAsia="Calibri"/>
                <w:noProof/>
              </w:rPr>
            </w:pPr>
            <w:r>
              <w:rPr>
                <w:noProof/>
              </w:rPr>
              <w:t>JIH NI</w:t>
            </w:r>
          </w:p>
        </w:tc>
        <w:tc>
          <w:tcPr>
            <w:tcW w:w="1134" w:type="dxa"/>
            <w:shd w:val="clear" w:color="auto" w:fill="C6EFCE"/>
            <w:noWrap/>
            <w:vAlign w:val="center"/>
            <w:hideMark/>
          </w:tcPr>
          <w:p w14:paraId="03C4567E" w14:textId="77777777" w:rsidR="00154E32" w:rsidRDefault="00A43E04">
            <w:pPr>
              <w:pStyle w:val="P68B1DB1-Normal11"/>
              <w:jc w:val="center"/>
              <w:rPr>
                <w:noProof/>
              </w:rPr>
            </w:pPr>
            <w:r>
              <w:rPr>
                <w:noProof/>
              </w:rPr>
              <w:t>JIH NI</w:t>
            </w:r>
          </w:p>
        </w:tc>
        <w:tc>
          <w:tcPr>
            <w:tcW w:w="851" w:type="dxa"/>
            <w:shd w:val="clear" w:color="auto" w:fill="C6EFCE"/>
            <w:noWrap/>
            <w:vAlign w:val="center"/>
            <w:hideMark/>
          </w:tcPr>
          <w:p w14:paraId="1E36DBCB" w14:textId="77777777" w:rsidR="00154E32" w:rsidRDefault="00A43E04">
            <w:pPr>
              <w:pStyle w:val="P68B1DB1-Normal11"/>
              <w:jc w:val="center"/>
              <w:rPr>
                <w:rFonts w:eastAsia="Calibri"/>
                <w:noProof/>
              </w:rPr>
            </w:pPr>
            <w:r>
              <w:rPr>
                <w:noProof/>
              </w:rPr>
              <w:t>Q4</w:t>
            </w:r>
          </w:p>
        </w:tc>
        <w:tc>
          <w:tcPr>
            <w:tcW w:w="709" w:type="dxa"/>
            <w:shd w:val="clear" w:color="auto" w:fill="C6EFCE"/>
            <w:noWrap/>
            <w:vAlign w:val="center"/>
            <w:hideMark/>
          </w:tcPr>
          <w:p w14:paraId="399AC12E" w14:textId="77777777" w:rsidR="00154E32" w:rsidRDefault="00A43E04">
            <w:pPr>
              <w:pStyle w:val="P68B1DB1-Normal11"/>
              <w:jc w:val="center"/>
              <w:rPr>
                <w:noProof/>
              </w:rPr>
            </w:pPr>
            <w:r>
              <w:rPr>
                <w:noProof/>
              </w:rPr>
              <w:t>2021</w:t>
            </w:r>
          </w:p>
        </w:tc>
        <w:tc>
          <w:tcPr>
            <w:tcW w:w="2835" w:type="dxa"/>
            <w:shd w:val="clear" w:color="auto" w:fill="C6EFCE"/>
            <w:noWrap/>
            <w:vAlign w:val="center"/>
            <w:hideMark/>
          </w:tcPr>
          <w:p w14:paraId="00F1D1AA" w14:textId="77777777" w:rsidR="00154E32" w:rsidRDefault="00A43E04">
            <w:pPr>
              <w:pStyle w:val="P68B1DB1-Normal11"/>
              <w:rPr>
                <w:rFonts w:eastAsia="Calibri"/>
                <w:noProof/>
              </w:rPr>
            </w:pPr>
            <w:r>
              <w:rPr>
                <w:noProof/>
              </w:rPr>
              <w:t>Akti za družbo GOL vključujejo vsaj: (I) opredeliti bistvene elemente in njihove standarde javnih zavodov za zaposlovanje (JZZ), vključno z napovedovanjem znanj in spretnosti, individualiziranimi načrti usposabljanja, usmerjanjem in mentorstvom na delovnem mestu, da se zagotovi učinkovito zagotavljanje prilagojenih storitev zaposlovanja v skladu s skupnimi in enotnimi standardi na celotnem nacionalnem ozemlju, (ii) zagotovijo, da so dejavnosti usposabljanja izpopolnjevanja in preusposabljanja, ki jih izvajajo javne službe za zaposlovanje, v celoti skladne z nacionalnim načrtom za nova znanja in spretnosti, vključno z digitalnimi znanji in spretnostmi, (iii) zagotovijo, da so javne službe za zaposlovanje (JZZ) prednostno usmerjene v najbolj ranljive skupine; (v) določiti cilj, da se vsaj 25 % upravičencev programov za zajamčena zaposljivost delavcev obravnava kot prejemnike ustreznega usposabljanja, s posebnim poudarkom na digitalnih znanjih in spretnostih ter s prednostno nalogo za najranljivejše; (VI) vzpostaviti nove mehanizme, ki krepijo in strukturirajo sodelovanje med javnimi in zasebnimi sistemi, tudi v zvezi z ugotavljanjem ustreznih potreb po znanjih in spretnostih ter zagotavljanjem ponudb za zaposlitev. Uredba določa, da imajo prejemniki mrež socialne varnosti dostop do storitev, ki se zagotavljajo v okviru nacionalnega programa Zajamčena zaposljivost delavcev, v štirih mesecih od trenutka, ko dozorejo pravico do mrež socialne varnosti. Akti za nacionalni načrt za nova znanja in spretnosti morajo vsaj: (I) opredeljuje skupne standarde in bistvene ravni poklicnega usposabljanja na celotnem nacionalnem ozemlju, (ii) je usmerjen v zaposlene in brezposelne ter osebe, katerih cilj je izboljšati njihove digitalne spretnosti in spodbujati vseživljenjsko učenje. (III) opredelitev znanj in spretnosti ter ustreznih standardov na podlagi sodelovanja med javnimi in zasebnimi sistemi, (iv) upoštevajo različne potrebe obravnavanih ciljnih skupin, ki vključujejo vsaj najranljivejše, (v) zajemajo vse ustrezne sektorske strategije za celovit pristop, vključno z nacionalnim strateškim načrtom za kompetence odraslih.(vi) vključitev določbe za razvoj sistema napovedovanja novih kompetenc, ki so kratkoročno in srednjeročno potrebne na trgu dela.</w:t>
            </w:r>
          </w:p>
        </w:tc>
      </w:tr>
      <w:tr w:rsidR="00154E32" w14:paraId="74D8E370" w14:textId="77777777">
        <w:trPr>
          <w:trHeight w:val="309"/>
          <w:jc w:val="center"/>
        </w:trPr>
        <w:tc>
          <w:tcPr>
            <w:tcW w:w="1364" w:type="dxa"/>
            <w:shd w:val="clear" w:color="auto" w:fill="C6EFCE"/>
            <w:noWrap/>
            <w:vAlign w:val="center"/>
            <w:hideMark/>
          </w:tcPr>
          <w:p w14:paraId="55B56E03" w14:textId="77777777" w:rsidR="00154E32" w:rsidRDefault="00A43E04">
            <w:pPr>
              <w:pStyle w:val="P68B1DB1-Normal11"/>
              <w:jc w:val="center"/>
              <w:rPr>
                <w:noProof/>
              </w:rPr>
            </w:pPr>
            <w:r>
              <w:rPr>
                <w:noProof/>
              </w:rPr>
              <w:t xml:space="preserve">M5C1–2 </w:t>
            </w:r>
          </w:p>
        </w:tc>
        <w:tc>
          <w:tcPr>
            <w:tcW w:w="1513" w:type="dxa"/>
            <w:shd w:val="clear" w:color="auto" w:fill="C6EFCE"/>
            <w:noWrap/>
            <w:vAlign w:val="center"/>
            <w:hideMark/>
          </w:tcPr>
          <w:p w14:paraId="2C4A5E0E" w14:textId="77777777" w:rsidR="00154E32" w:rsidRDefault="00A43E04">
            <w:pPr>
              <w:pStyle w:val="P68B1DB1-Normal11"/>
              <w:jc w:val="center"/>
              <w:rPr>
                <w:noProof/>
              </w:rPr>
            </w:pPr>
            <w:r>
              <w:rPr>
                <w:noProof/>
              </w:rPr>
              <w:t>Reforma 1 – aktivne politike trga dela in poklicno usposabljanje</w:t>
            </w:r>
          </w:p>
        </w:tc>
        <w:tc>
          <w:tcPr>
            <w:tcW w:w="1281" w:type="dxa"/>
            <w:shd w:val="clear" w:color="auto" w:fill="C6EFCE"/>
            <w:noWrap/>
            <w:vAlign w:val="center"/>
            <w:hideMark/>
          </w:tcPr>
          <w:p w14:paraId="3C070751" w14:textId="77777777" w:rsidR="00154E32" w:rsidRDefault="00A43E04">
            <w:pPr>
              <w:pStyle w:val="P68B1DB1-Normal11"/>
              <w:jc w:val="center"/>
              <w:rPr>
                <w:noProof/>
              </w:rPr>
            </w:pPr>
            <w:r>
              <w:rPr>
                <w:noProof/>
              </w:rPr>
              <w:t>Mejnik</w:t>
            </w:r>
          </w:p>
        </w:tc>
        <w:tc>
          <w:tcPr>
            <w:tcW w:w="1597" w:type="dxa"/>
            <w:shd w:val="clear" w:color="auto" w:fill="C6EFCE"/>
            <w:noWrap/>
            <w:vAlign w:val="center"/>
            <w:hideMark/>
          </w:tcPr>
          <w:p w14:paraId="74B08C28" w14:textId="77777777" w:rsidR="00154E32" w:rsidRDefault="00A43E04">
            <w:pPr>
              <w:pStyle w:val="P68B1DB1-Normal11"/>
              <w:jc w:val="center"/>
              <w:rPr>
                <w:noProof/>
              </w:rPr>
            </w:pPr>
            <w:r>
              <w:rPr>
                <w:noProof/>
              </w:rPr>
              <w:t xml:space="preserve">Začetek veljavnosti vseh načrtov za javne zavode za zaposlovanje na regionalni ravni  </w:t>
            </w:r>
          </w:p>
        </w:tc>
        <w:tc>
          <w:tcPr>
            <w:tcW w:w="1470" w:type="dxa"/>
            <w:shd w:val="clear" w:color="auto" w:fill="C6EFCE"/>
            <w:noWrap/>
            <w:vAlign w:val="center"/>
            <w:hideMark/>
          </w:tcPr>
          <w:p w14:paraId="33FDE3A7" w14:textId="77777777" w:rsidR="00154E32" w:rsidRDefault="00A43E04">
            <w:pPr>
              <w:pStyle w:val="P68B1DB1-Normal11"/>
              <w:jc w:val="center"/>
              <w:rPr>
                <w:noProof/>
              </w:rPr>
            </w:pPr>
            <w:r>
              <w:rPr>
                <w:noProof/>
              </w:rPr>
              <w:t>Določba o začetku veljavnosti načrtov, ki so jih sprejele regije, in izvedenih dejavnosti</w:t>
            </w:r>
          </w:p>
        </w:tc>
        <w:tc>
          <w:tcPr>
            <w:tcW w:w="1275" w:type="dxa"/>
            <w:shd w:val="clear" w:color="auto" w:fill="C6EFCE"/>
            <w:noWrap/>
            <w:vAlign w:val="center"/>
            <w:hideMark/>
          </w:tcPr>
          <w:p w14:paraId="2E1340BB" w14:textId="77777777" w:rsidR="00154E32" w:rsidRDefault="00A43E04">
            <w:pPr>
              <w:pStyle w:val="P68B1DB1-Normal11"/>
              <w:jc w:val="center"/>
              <w:rPr>
                <w:rFonts w:eastAsia="Calibri"/>
                <w:noProof/>
              </w:rPr>
            </w:pPr>
            <w:r>
              <w:rPr>
                <w:noProof/>
              </w:rPr>
              <w:t>JIH NI</w:t>
            </w:r>
          </w:p>
        </w:tc>
        <w:tc>
          <w:tcPr>
            <w:tcW w:w="1134" w:type="dxa"/>
            <w:shd w:val="clear" w:color="auto" w:fill="C6EFCE"/>
            <w:noWrap/>
            <w:vAlign w:val="center"/>
            <w:hideMark/>
          </w:tcPr>
          <w:p w14:paraId="33A70F37" w14:textId="77777777" w:rsidR="00154E32" w:rsidRDefault="00A43E04">
            <w:pPr>
              <w:pStyle w:val="P68B1DB1-Normal11"/>
              <w:jc w:val="center"/>
              <w:rPr>
                <w:noProof/>
              </w:rPr>
            </w:pPr>
            <w:r>
              <w:rPr>
                <w:noProof/>
              </w:rPr>
              <w:t>JIH NI</w:t>
            </w:r>
          </w:p>
        </w:tc>
        <w:tc>
          <w:tcPr>
            <w:tcW w:w="1134" w:type="dxa"/>
            <w:shd w:val="clear" w:color="auto" w:fill="C6EFCE"/>
            <w:noWrap/>
            <w:vAlign w:val="center"/>
            <w:hideMark/>
          </w:tcPr>
          <w:p w14:paraId="2AFF7D2F" w14:textId="77777777" w:rsidR="00154E32" w:rsidRDefault="00A43E04">
            <w:pPr>
              <w:pStyle w:val="P68B1DB1-Normal11"/>
              <w:jc w:val="center"/>
              <w:rPr>
                <w:noProof/>
              </w:rPr>
            </w:pPr>
            <w:r>
              <w:rPr>
                <w:noProof/>
              </w:rPr>
              <w:t>JIH NI</w:t>
            </w:r>
          </w:p>
        </w:tc>
        <w:tc>
          <w:tcPr>
            <w:tcW w:w="851" w:type="dxa"/>
            <w:shd w:val="clear" w:color="auto" w:fill="C6EFCE"/>
            <w:noWrap/>
            <w:vAlign w:val="center"/>
            <w:hideMark/>
          </w:tcPr>
          <w:p w14:paraId="26724380" w14:textId="77777777" w:rsidR="00154E32" w:rsidRDefault="00A43E04">
            <w:pPr>
              <w:pStyle w:val="P68B1DB1-Normal11"/>
              <w:jc w:val="center"/>
              <w:rPr>
                <w:rFonts w:eastAsia="Calibri"/>
                <w:noProof/>
              </w:rPr>
            </w:pPr>
            <w:r>
              <w:rPr>
                <w:noProof/>
              </w:rPr>
              <w:t>Q4</w:t>
            </w:r>
          </w:p>
        </w:tc>
        <w:tc>
          <w:tcPr>
            <w:tcW w:w="709" w:type="dxa"/>
            <w:shd w:val="clear" w:color="auto" w:fill="C6EFCE"/>
            <w:noWrap/>
            <w:vAlign w:val="center"/>
            <w:hideMark/>
          </w:tcPr>
          <w:p w14:paraId="08944DA9" w14:textId="77777777" w:rsidR="00154E32" w:rsidRDefault="00A43E04">
            <w:pPr>
              <w:pStyle w:val="P68B1DB1-Normal11"/>
              <w:jc w:val="center"/>
              <w:rPr>
                <w:noProof/>
              </w:rPr>
            </w:pPr>
            <w:r>
              <w:rPr>
                <w:noProof/>
              </w:rPr>
              <w:t>2022</w:t>
            </w:r>
          </w:p>
        </w:tc>
        <w:tc>
          <w:tcPr>
            <w:tcW w:w="2835" w:type="dxa"/>
            <w:shd w:val="clear" w:color="auto" w:fill="C6EFCE"/>
            <w:noWrap/>
            <w:vAlign w:val="center"/>
            <w:hideMark/>
          </w:tcPr>
          <w:p w14:paraId="3C73FCCC" w14:textId="77777777" w:rsidR="00154E32" w:rsidRDefault="00A43E04">
            <w:pPr>
              <w:pStyle w:val="P68B1DB1-Normal11"/>
              <w:rPr>
                <w:rFonts w:eastAsia="Calibri"/>
                <w:noProof/>
              </w:rPr>
            </w:pPr>
            <w:r>
              <w:rPr>
                <w:noProof/>
              </w:rPr>
              <w:t xml:space="preserve">Nacionalna ureditev programa za zajamčeno zaposljivost delavcev predvideva opredelitev operativnih dejavnosti, potrebnih za izvajanje programa, na regionalni ravni. Za zagotovitev skladnosti med nacionalnimi predpisi in regionalnim izvajanjem se sprejmejo regionalni načrti za javne zavode za zaposlovanje. </w:t>
            </w:r>
          </w:p>
          <w:p w14:paraId="48B604FC" w14:textId="77777777" w:rsidR="00154E32" w:rsidRDefault="00154E32">
            <w:pPr>
              <w:rPr>
                <w:rFonts w:ascii="Arial Narrow" w:eastAsia="Calibri" w:hAnsi="Arial Narrow"/>
                <w:noProof/>
                <w:color w:val="006100"/>
                <w:sz w:val="20"/>
              </w:rPr>
            </w:pPr>
          </w:p>
          <w:p w14:paraId="09EA2073" w14:textId="7F8E84C0" w:rsidR="00154E32" w:rsidRDefault="00A43E04">
            <w:pPr>
              <w:pStyle w:val="P68B1DB1-Normal11"/>
              <w:rPr>
                <w:rFonts w:eastAsia="Calibri"/>
                <w:noProof/>
              </w:rPr>
            </w:pPr>
            <w:r>
              <w:rPr>
                <w:noProof/>
              </w:rPr>
              <w:t>Regije poleg sprejetja načrtov izvajajo dejavnosti na podlagi načrtov, pri čemer dosežejo vsaj 10 % predvidenih upravičencev programa (končni cilj 3000000 oseb).</w:t>
            </w:r>
          </w:p>
          <w:p w14:paraId="6427E7C4" w14:textId="77777777" w:rsidR="00154E32" w:rsidRDefault="00154E32">
            <w:pPr>
              <w:rPr>
                <w:rFonts w:ascii="Arial Narrow" w:hAnsi="Arial Narrow"/>
                <w:noProof/>
                <w:color w:val="006100"/>
                <w:sz w:val="20"/>
              </w:rPr>
            </w:pPr>
          </w:p>
          <w:p w14:paraId="75EB9AA4" w14:textId="484A4438" w:rsidR="00154E32" w:rsidRDefault="00A43E04">
            <w:pPr>
              <w:pStyle w:val="P68B1DB1-Normal11"/>
              <w:rPr>
                <w:noProof/>
              </w:rPr>
            </w:pPr>
            <w:r>
              <w:rPr>
                <w:noProof/>
              </w:rPr>
              <w:t>Začetek veljavnosti načrtov za javne zavode za zaposlovanje (JZZ) bo omogočil celovito izvajanje programa zajamčene zaposljivosti delavcev.</w:t>
            </w:r>
          </w:p>
          <w:p w14:paraId="6A986EA0" w14:textId="77777777" w:rsidR="00154E32" w:rsidRDefault="00154E32">
            <w:pPr>
              <w:rPr>
                <w:rFonts w:ascii="Arial Narrow" w:eastAsia="Calibri" w:hAnsi="Arial Narrow"/>
                <w:noProof/>
                <w:color w:val="006100"/>
                <w:sz w:val="20"/>
              </w:rPr>
            </w:pPr>
          </w:p>
        </w:tc>
      </w:tr>
      <w:tr w:rsidR="00154E32" w14:paraId="79F2B0EF" w14:textId="77777777">
        <w:trPr>
          <w:trHeight w:val="309"/>
          <w:jc w:val="center"/>
        </w:trPr>
        <w:tc>
          <w:tcPr>
            <w:tcW w:w="1364" w:type="dxa"/>
            <w:shd w:val="clear" w:color="auto" w:fill="C6EFCE"/>
            <w:noWrap/>
            <w:vAlign w:val="center"/>
            <w:hideMark/>
          </w:tcPr>
          <w:p w14:paraId="3F9A2E6F" w14:textId="77777777" w:rsidR="00154E32" w:rsidRDefault="00A43E04">
            <w:pPr>
              <w:pStyle w:val="P68B1DB1-Normal11"/>
              <w:jc w:val="center"/>
              <w:rPr>
                <w:noProof/>
              </w:rPr>
            </w:pPr>
            <w:r>
              <w:rPr>
                <w:noProof/>
              </w:rPr>
              <w:t xml:space="preserve">M5C1–3 </w:t>
            </w:r>
          </w:p>
        </w:tc>
        <w:tc>
          <w:tcPr>
            <w:tcW w:w="1513" w:type="dxa"/>
            <w:shd w:val="clear" w:color="auto" w:fill="C6EFCE"/>
            <w:noWrap/>
            <w:vAlign w:val="center"/>
            <w:hideMark/>
          </w:tcPr>
          <w:p w14:paraId="18F41DC9" w14:textId="77777777" w:rsidR="00154E32" w:rsidRDefault="00A43E04">
            <w:pPr>
              <w:pStyle w:val="P68B1DB1-Normal11"/>
              <w:jc w:val="center"/>
              <w:rPr>
                <w:noProof/>
              </w:rPr>
            </w:pPr>
            <w:r>
              <w:rPr>
                <w:noProof/>
              </w:rPr>
              <w:t>Reforma 1 – aktivne politike trga dela in poklicno usposabljanje</w:t>
            </w:r>
          </w:p>
        </w:tc>
        <w:tc>
          <w:tcPr>
            <w:tcW w:w="1281" w:type="dxa"/>
            <w:shd w:val="clear" w:color="auto" w:fill="C6EFCE"/>
            <w:noWrap/>
            <w:vAlign w:val="center"/>
            <w:hideMark/>
          </w:tcPr>
          <w:p w14:paraId="68276A1B" w14:textId="77777777" w:rsidR="00154E32" w:rsidRDefault="00A43E04">
            <w:pPr>
              <w:pStyle w:val="P68B1DB1-Normal11"/>
              <w:jc w:val="center"/>
              <w:rPr>
                <w:noProof/>
              </w:rPr>
            </w:pPr>
            <w:r>
              <w:rPr>
                <w:noProof/>
              </w:rPr>
              <w:t>Tarča</w:t>
            </w:r>
          </w:p>
        </w:tc>
        <w:tc>
          <w:tcPr>
            <w:tcW w:w="1597" w:type="dxa"/>
            <w:shd w:val="clear" w:color="auto" w:fill="C6EFCE"/>
            <w:noWrap/>
            <w:vAlign w:val="center"/>
            <w:hideMark/>
          </w:tcPr>
          <w:p w14:paraId="69ABCF44" w14:textId="7C3FD519" w:rsidR="00154E32" w:rsidRDefault="00A43E04">
            <w:pPr>
              <w:pStyle w:val="P68B1DB1-Normal11"/>
              <w:jc w:val="center"/>
              <w:rPr>
                <w:rFonts w:eastAsia="Calibri"/>
                <w:noProof/>
              </w:rPr>
            </w:pPr>
            <w:r>
              <w:rPr>
                <w:noProof/>
              </w:rPr>
              <w:t>Osebe, krite v okviru programa za zajamčeno zaposljivost delavcev (GOL)</w:t>
            </w:r>
          </w:p>
        </w:tc>
        <w:tc>
          <w:tcPr>
            <w:tcW w:w="1470" w:type="dxa"/>
            <w:shd w:val="clear" w:color="auto" w:fill="C6EFCE"/>
            <w:noWrap/>
            <w:vAlign w:val="center"/>
            <w:hideMark/>
          </w:tcPr>
          <w:p w14:paraId="7F3B549E" w14:textId="77777777" w:rsidR="00154E32" w:rsidRDefault="00A43E04">
            <w:pPr>
              <w:pStyle w:val="P68B1DB1-Normal11"/>
              <w:jc w:val="center"/>
              <w:rPr>
                <w:noProof/>
              </w:rPr>
            </w:pPr>
            <w:r>
              <w:rPr>
                <w:noProof/>
              </w:rPr>
              <w:t>JIH NI</w:t>
            </w:r>
          </w:p>
        </w:tc>
        <w:tc>
          <w:tcPr>
            <w:tcW w:w="1275" w:type="dxa"/>
            <w:shd w:val="clear" w:color="auto" w:fill="C6EFCE"/>
            <w:noWrap/>
            <w:vAlign w:val="center"/>
            <w:hideMark/>
          </w:tcPr>
          <w:p w14:paraId="222A2756" w14:textId="77777777" w:rsidR="00154E32" w:rsidRDefault="00A43E04">
            <w:pPr>
              <w:pStyle w:val="P68B1DB1-Normal11"/>
              <w:jc w:val="center"/>
              <w:rPr>
                <w:rFonts w:eastAsia="Calibri"/>
                <w:noProof/>
              </w:rPr>
            </w:pPr>
            <w:r>
              <w:rPr>
                <w:noProof/>
              </w:rPr>
              <w:t xml:space="preserve">Število </w:t>
            </w:r>
          </w:p>
        </w:tc>
        <w:tc>
          <w:tcPr>
            <w:tcW w:w="1134" w:type="dxa"/>
            <w:shd w:val="clear" w:color="auto" w:fill="C6EFCE"/>
            <w:noWrap/>
            <w:vAlign w:val="center"/>
            <w:hideMark/>
          </w:tcPr>
          <w:p w14:paraId="4633E47C" w14:textId="2A54CB63" w:rsidR="00154E32" w:rsidRDefault="00A43E04">
            <w:pPr>
              <w:pStyle w:val="P68B1DB1-Normal11"/>
              <w:jc w:val="center"/>
              <w:rPr>
                <w:noProof/>
              </w:rPr>
            </w:pPr>
            <w:r>
              <w:rPr>
                <w:noProof/>
              </w:rPr>
              <w:t>300 000</w:t>
            </w:r>
          </w:p>
        </w:tc>
        <w:tc>
          <w:tcPr>
            <w:tcW w:w="1134" w:type="dxa"/>
            <w:shd w:val="clear" w:color="auto" w:fill="C6EFCE"/>
            <w:noWrap/>
            <w:vAlign w:val="center"/>
            <w:hideMark/>
          </w:tcPr>
          <w:p w14:paraId="4FD14582" w14:textId="5DAE42E9" w:rsidR="00154E32" w:rsidRDefault="00A43E04">
            <w:pPr>
              <w:pStyle w:val="P68B1DB1-Normal11"/>
              <w:jc w:val="center"/>
              <w:rPr>
                <w:noProof/>
              </w:rPr>
            </w:pPr>
            <w:r>
              <w:rPr>
                <w:noProof/>
              </w:rPr>
              <w:t>3 000 000</w:t>
            </w:r>
          </w:p>
        </w:tc>
        <w:tc>
          <w:tcPr>
            <w:tcW w:w="851" w:type="dxa"/>
            <w:shd w:val="clear" w:color="auto" w:fill="C6EFCE"/>
            <w:noWrap/>
            <w:vAlign w:val="center"/>
            <w:hideMark/>
          </w:tcPr>
          <w:p w14:paraId="2A646B9D" w14:textId="77777777" w:rsidR="00154E32" w:rsidRDefault="00A43E04">
            <w:pPr>
              <w:pStyle w:val="P68B1DB1-Normal11"/>
              <w:jc w:val="center"/>
              <w:rPr>
                <w:noProof/>
              </w:rPr>
            </w:pPr>
            <w:r>
              <w:rPr>
                <w:noProof/>
              </w:rPr>
              <w:t>Q4</w:t>
            </w:r>
          </w:p>
        </w:tc>
        <w:tc>
          <w:tcPr>
            <w:tcW w:w="709" w:type="dxa"/>
            <w:shd w:val="clear" w:color="auto" w:fill="C6EFCE"/>
            <w:noWrap/>
            <w:vAlign w:val="center"/>
            <w:hideMark/>
          </w:tcPr>
          <w:p w14:paraId="69812246" w14:textId="77777777" w:rsidR="00154E32" w:rsidRDefault="00A43E04">
            <w:pPr>
              <w:pStyle w:val="P68B1DB1-Normal11"/>
              <w:jc w:val="center"/>
              <w:rPr>
                <w:rFonts w:eastAsia="Calibri"/>
                <w:noProof/>
              </w:rPr>
            </w:pPr>
            <w:r>
              <w:rPr>
                <w:noProof/>
              </w:rPr>
              <w:t>2025</w:t>
            </w:r>
          </w:p>
        </w:tc>
        <w:tc>
          <w:tcPr>
            <w:tcW w:w="2835" w:type="dxa"/>
            <w:shd w:val="clear" w:color="auto" w:fill="C6EFCE"/>
            <w:noWrap/>
            <w:vAlign w:val="center"/>
            <w:hideMark/>
          </w:tcPr>
          <w:p w14:paraId="1A0CD922" w14:textId="4D38F64F" w:rsidR="00154E32" w:rsidRDefault="00A43E04">
            <w:pPr>
              <w:pStyle w:val="P68B1DB1-Normal11"/>
              <w:rPr>
                <w:rFonts w:eastAsia="Calibri"/>
                <w:noProof/>
              </w:rPr>
            </w:pPr>
            <w:r>
              <w:rPr>
                <w:noProof/>
              </w:rPr>
              <w:t>Program Zajamčena zaposljivost delavcev (GOL) koristi najmanj 3000000 ljudi. Zadovoljivo izpolnjevanje cilja je odvisno tudi od zadovoljivega izpolnjevanja sekundarnega cilja: vsaj 75 % upravičencev je žensk, dolgotrajno brezposelnih, invalidov ali oseb, mlajših od 30 let ali starejših od 55 let.</w:t>
            </w:r>
          </w:p>
        </w:tc>
      </w:tr>
      <w:tr w:rsidR="00154E32" w14:paraId="4A77873F" w14:textId="77777777">
        <w:trPr>
          <w:trHeight w:val="309"/>
          <w:jc w:val="center"/>
        </w:trPr>
        <w:tc>
          <w:tcPr>
            <w:tcW w:w="1364" w:type="dxa"/>
            <w:shd w:val="clear" w:color="auto" w:fill="C6EFCE"/>
            <w:noWrap/>
            <w:vAlign w:val="center"/>
            <w:hideMark/>
          </w:tcPr>
          <w:p w14:paraId="6E7ABAE1" w14:textId="77777777" w:rsidR="00154E32" w:rsidRDefault="00A43E04">
            <w:pPr>
              <w:pStyle w:val="P68B1DB1-Normal11"/>
              <w:jc w:val="center"/>
              <w:rPr>
                <w:noProof/>
              </w:rPr>
            </w:pPr>
            <w:r>
              <w:rPr>
                <w:noProof/>
              </w:rPr>
              <w:t xml:space="preserve">M5C1–4 </w:t>
            </w:r>
          </w:p>
        </w:tc>
        <w:tc>
          <w:tcPr>
            <w:tcW w:w="1513" w:type="dxa"/>
            <w:shd w:val="clear" w:color="auto" w:fill="C6EFCE"/>
            <w:noWrap/>
            <w:vAlign w:val="center"/>
            <w:hideMark/>
          </w:tcPr>
          <w:p w14:paraId="09663B49" w14:textId="53F77CE6" w:rsidR="00154E32" w:rsidRDefault="00A43E04">
            <w:pPr>
              <w:pStyle w:val="P68B1DB1-Normal11"/>
              <w:jc w:val="center"/>
              <w:rPr>
                <w:rFonts w:eastAsia="Calibri"/>
                <w:noProof/>
              </w:rPr>
            </w:pPr>
            <w:r>
              <w:rPr>
                <w:noProof/>
              </w:rPr>
              <w:t>Reforma 1 – aktivne politike trga dela in poklicno usposabljanje</w:t>
            </w:r>
          </w:p>
        </w:tc>
        <w:tc>
          <w:tcPr>
            <w:tcW w:w="1281" w:type="dxa"/>
            <w:shd w:val="clear" w:color="auto" w:fill="C6EFCE"/>
            <w:noWrap/>
            <w:vAlign w:val="center"/>
            <w:hideMark/>
          </w:tcPr>
          <w:p w14:paraId="31FD11F3" w14:textId="77777777" w:rsidR="00154E32" w:rsidRDefault="00A43E04">
            <w:pPr>
              <w:pStyle w:val="P68B1DB1-Normal11"/>
              <w:jc w:val="center"/>
              <w:rPr>
                <w:noProof/>
              </w:rPr>
            </w:pPr>
            <w:r>
              <w:rPr>
                <w:noProof/>
              </w:rPr>
              <w:t>Tarča</w:t>
            </w:r>
          </w:p>
        </w:tc>
        <w:tc>
          <w:tcPr>
            <w:tcW w:w="1597" w:type="dxa"/>
            <w:shd w:val="clear" w:color="auto" w:fill="C6EFCE"/>
            <w:noWrap/>
            <w:vAlign w:val="center"/>
            <w:hideMark/>
          </w:tcPr>
          <w:p w14:paraId="0BF5EF9F" w14:textId="1380BC07" w:rsidR="00154E32" w:rsidRDefault="00A43E04">
            <w:pPr>
              <w:pStyle w:val="P68B1DB1-Normal11"/>
              <w:jc w:val="center"/>
              <w:rPr>
                <w:noProof/>
              </w:rPr>
            </w:pPr>
            <w:r>
              <w:rPr>
                <w:noProof/>
              </w:rPr>
              <w:t>Zajamčena zaposljivost upravičencev delavcev se je udeležila poklicnega usposabljanja</w:t>
            </w:r>
          </w:p>
        </w:tc>
        <w:tc>
          <w:tcPr>
            <w:tcW w:w="1470" w:type="dxa"/>
            <w:shd w:val="clear" w:color="auto" w:fill="C6EFCE"/>
            <w:noWrap/>
            <w:vAlign w:val="center"/>
            <w:hideMark/>
          </w:tcPr>
          <w:p w14:paraId="74F66FBD" w14:textId="77777777" w:rsidR="00154E32" w:rsidRDefault="00A43E04">
            <w:pPr>
              <w:pStyle w:val="P68B1DB1-Normal11"/>
              <w:jc w:val="center"/>
              <w:rPr>
                <w:noProof/>
              </w:rPr>
            </w:pPr>
            <w:r>
              <w:rPr>
                <w:noProof/>
              </w:rPr>
              <w:t>JIH NI</w:t>
            </w:r>
          </w:p>
        </w:tc>
        <w:tc>
          <w:tcPr>
            <w:tcW w:w="1275" w:type="dxa"/>
            <w:shd w:val="clear" w:color="auto" w:fill="C6EFCE"/>
            <w:noWrap/>
            <w:vAlign w:val="center"/>
            <w:hideMark/>
          </w:tcPr>
          <w:p w14:paraId="2D29A2B8" w14:textId="77777777" w:rsidR="00154E32" w:rsidRDefault="00A43E04">
            <w:pPr>
              <w:pStyle w:val="P68B1DB1-Normal11"/>
              <w:jc w:val="center"/>
              <w:rPr>
                <w:rFonts w:eastAsia="Calibri"/>
                <w:noProof/>
              </w:rPr>
            </w:pPr>
            <w:r>
              <w:rPr>
                <w:noProof/>
              </w:rPr>
              <w:t xml:space="preserve">Število </w:t>
            </w:r>
          </w:p>
        </w:tc>
        <w:tc>
          <w:tcPr>
            <w:tcW w:w="1134" w:type="dxa"/>
            <w:shd w:val="clear" w:color="auto" w:fill="C6EFCE"/>
            <w:noWrap/>
            <w:vAlign w:val="center"/>
            <w:hideMark/>
          </w:tcPr>
          <w:p w14:paraId="31542677" w14:textId="77777777" w:rsidR="00154E32" w:rsidRDefault="00A43E04">
            <w:pPr>
              <w:pStyle w:val="P68B1DB1-Normal11"/>
              <w:jc w:val="center"/>
              <w:rPr>
                <w:rFonts w:eastAsia="Calibri"/>
                <w:noProof/>
              </w:rPr>
            </w:pPr>
            <w:r>
              <w:rPr>
                <w:noProof/>
              </w:rPr>
              <w:t>0</w:t>
            </w:r>
          </w:p>
        </w:tc>
        <w:tc>
          <w:tcPr>
            <w:tcW w:w="1134" w:type="dxa"/>
            <w:shd w:val="clear" w:color="auto" w:fill="C6EFCE"/>
            <w:noWrap/>
            <w:vAlign w:val="center"/>
            <w:hideMark/>
          </w:tcPr>
          <w:p w14:paraId="045470DC" w14:textId="4FDBBD39" w:rsidR="00154E32" w:rsidRDefault="00A43E04">
            <w:pPr>
              <w:pStyle w:val="P68B1DB1-Normal11"/>
              <w:jc w:val="center"/>
              <w:rPr>
                <w:rFonts w:eastAsia="Calibri"/>
                <w:noProof/>
              </w:rPr>
            </w:pPr>
            <w:r>
              <w:rPr>
                <w:noProof/>
              </w:rPr>
              <w:t>800 000</w:t>
            </w:r>
          </w:p>
        </w:tc>
        <w:tc>
          <w:tcPr>
            <w:tcW w:w="851" w:type="dxa"/>
            <w:shd w:val="clear" w:color="auto" w:fill="C6EFCE"/>
            <w:noWrap/>
            <w:vAlign w:val="center"/>
            <w:hideMark/>
          </w:tcPr>
          <w:p w14:paraId="367A624B" w14:textId="77777777" w:rsidR="00154E32" w:rsidRDefault="00A43E04">
            <w:pPr>
              <w:pStyle w:val="P68B1DB1-Normal11"/>
              <w:jc w:val="center"/>
              <w:rPr>
                <w:rFonts w:eastAsia="Calibri"/>
                <w:noProof/>
              </w:rPr>
            </w:pPr>
            <w:r>
              <w:rPr>
                <w:noProof/>
              </w:rPr>
              <w:t>Q4</w:t>
            </w:r>
          </w:p>
        </w:tc>
        <w:tc>
          <w:tcPr>
            <w:tcW w:w="709" w:type="dxa"/>
            <w:shd w:val="clear" w:color="auto" w:fill="C6EFCE"/>
            <w:noWrap/>
            <w:vAlign w:val="center"/>
            <w:hideMark/>
          </w:tcPr>
          <w:p w14:paraId="10199DD5" w14:textId="77777777" w:rsidR="00154E32" w:rsidRDefault="00A43E04">
            <w:pPr>
              <w:pStyle w:val="P68B1DB1-Normal11"/>
              <w:jc w:val="center"/>
              <w:rPr>
                <w:rFonts w:eastAsia="Calibri"/>
                <w:noProof/>
              </w:rPr>
            </w:pPr>
            <w:r>
              <w:rPr>
                <w:noProof/>
              </w:rPr>
              <w:t>2025</w:t>
            </w:r>
          </w:p>
        </w:tc>
        <w:tc>
          <w:tcPr>
            <w:tcW w:w="2835" w:type="dxa"/>
            <w:shd w:val="clear" w:color="auto" w:fill="C6EFCE"/>
            <w:noWrap/>
            <w:vAlign w:val="center"/>
            <w:hideMark/>
          </w:tcPr>
          <w:p w14:paraId="41C8ABE7" w14:textId="0E4A22A2" w:rsidR="00154E32" w:rsidRDefault="00A43E04">
            <w:pPr>
              <w:pStyle w:val="P68B1DB1-Normal11"/>
              <w:rPr>
                <w:noProof/>
              </w:rPr>
            </w:pPr>
            <w:r>
              <w:rPr>
                <w:noProof/>
              </w:rPr>
              <w:t>Poklicno usposabljanje je del programa za 800000 upravičencev aktivnih politik trga dela v petih letih. Zato se je vsaj 800000 od 3000000 upravičencev do zajamčene zaposljivosti delavcev udeležilo poklicnega usposabljanja. Zadovoljivo izpolnjevanje cilja je odvisno tudi od zadovoljivega izpolnjevanja sekundarnega cilja: vsaj 300000 od teh upravičencev se je udeležilo usposabljanj o digitalnih znanjih in spretnostih.</w:t>
            </w:r>
          </w:p>
        </w:tc>
      </w:tr>
      <w:tr w:rsidR="00154E32" w14:paraId="72942FD5" w14:textId="77777777">
        <w:trPr>
          <w:trHeight w:val="309"/>
          <w:jc w:val="center"/>
        </w:trPr>
        <w:tc>
          <w:tcPr>
            <w:tcW w:w="1364" w:type="dxa"/>
            <w:shd w:val="clear" w:color="auto" w:fill="C6EFCE"/>
            <w:noWrap/>
            <w:vAlign w:val="center"/>
            <w:hideMark/>
          </w:tcPr>
          <w:p w14:paraId="668C5CEB" w14:textId="77777777" w:rsidR="00154E32" w:rsidRDefault="00A43E04">
            <w:pPr>
              <w:pStyle w:val="P68B1DB1-Normal11"/>
              <w:jc w:val="center"/>
              <w:rPr>
                <w:noProof/>
              </w:rPr>
            </w:pPr>
            <w:r>
              <w:rPr>
                <w:noProof/>
              </w:rPr>
              <w:t xml:space="preserve">M5C1–5 </w:t>
            </w:r>
          </w:p>
        </w:tc>
        <w:tc>
          <w:tcPr>
            <w:tcW w:w="1513" w:type="dxa"/>
            <w:shd w:val="clear" w:color="auto" w:fill="C6EFCE"/>
            <w:noWrap/>
            <w:vAlign w:val="center"/>
            <w:hideMark/>
          </w:tcPr>
          <w:p w14:paraId="31D585D4" w14:textId="77777777" w:rsidR="00154E32" w:rsidRDefault="00A43E04">
            <w:pPr>
              <w:pStyle w:val="P68B1DB1-Normal11"/>
              <w:jc w:val="center"/>
              <w:rPr>
                <w:noProof/>
              </w:rPr>
            </w:pPr>
            <w:r>
              <w:rPr>
                <w:noProof/>
              </w:rPr>
              <w:t>Reforma 1 – aktivne politike trga dela in poklicno usposabljanje</w:t>
            </w:r>
          </w:p>
        </w:tc>
        <w:tc>
          <w:tcPr>
            <w:tcW w:w="1281" w:type="dxa"/>
            <w:shd w:val="clear" w:color="auto" w:fill="C6EFCE"/>
            <w:noWrap/>
            <w:vAlign w:val="center"/>
            <w:hideMark/>
          </w:tcPr>
          <w:p w14:paraId="677BE36A" w14:textId="77777777" w:rsidR="00154E32" w:rsidRDefault="00A43E04">
            <w:pPr>
              <w:pStyle w:val="P68B1DB1-Normal11"/>
              <w:jc w:val="center"/>
              <w:rPr>
                <w:noProof/>
              </w:rPr>
            </w:pPr>
            <w:r>
              <w:rPr>
                <w:noProof/>
              </w:rPr>
              <w:t>Tarča</w:t>
            </w:r>
          </w:p>
        </w:tc>
        <w:tc>
          <w:tcPr>
            <w:tcW w:w="1597" w:type="dxa"/>
            <w:shd w:val="clear" w:color="auto" w:fill="C6EFCE"/>
            <w:noWrap/>
            <w:vAlign w:val="center"/>
            <w:hideMark/>
          </w:tcPr>
          <w:p w14:paraId="16D04BB4" w14:textId="77777777" w:rsidR="00154E32" w:rsidRDefault="00A43E04">
            <w:pPr>
              <w:pStyle w:val="P68B1DB1-Normal11"/>
              <w:jc w:val="center"/>
              <w:rPr>
                <w:rFonts w:eastAsia="Calibri"/>
                <w:noProof/>
              </w:rPr>
            </w:pPr>
            <w:r>
              <w:rPr>
                <w:noProof/>
              </w:rPr>
              <w:t xml:space="preserve"> Javni zavodi za zaposlovanje (JZZ) v vsaki regiji izpolnjujejo merila osnovne ravni storitev JZZ, kot je opredeljena v programu zajamčene zaposljivosti delavcev (GOL).</w:t>
            </w:r>
          </w:p>
        </w:tc>
        <w:tc>
          <w:tcPr>
            <w:tcW w:w="1470" w:type="dxa"/>
            <w:shd w:val="clear" w:color="auto" w:fill="C6EFCE"/>
            <w:noWrap/>
            <w:vAlign w:val="center"/>
            <w:hideMark/>
          </w:tcPr>
          <w:p w14:paraId="4FF4E4F9" w14:textId="77777777" w:rsidR="00154E32" w:rsidRDefault="00A43E04">
            <w:pPr>
              <w:pStyle w:val="P68B1DB1-Normal11"/>
              <w:jc w:val="center"/>
              <w:rPr>
                <w:noProof/>
              </w:rPr>
            </w:pPr>
            <w:r>
              <w:rPr>
                <w:noProof/>
              </w:rPr>
              <w:t>JIH NI</w:t>
            </w:r>
          </w:p>
        </w:tc>
        <w:tc>
          <w:tcPr>
            <w:tcW w:w="1275" w:type="dxa"/>
            <w:shd w:val="clear" w:color="auto" w:fill="C6EFCE"/>
            <w:noWrap/>
            <w:vAlign w:val="center"/>
            <w:hideMark/>
          </w:tcPr>
          <w:p w14:paraId="01010139" w14:textId="77777777" w:rsidR="00154E32" w:rsidRDefault="00A43E04">
            <w:pPr>
              <w:pStyle w:val="P68B1DB1-Normal11"/>
              <w:jc w:val="center"/>
              <w:rPr>
                <w:noProof/>
              </w:rPr>
            </w:pPr>
            <w:r>
              <w:rPr>
                <w:noProof/>
              </w:rPr>
              <w:t xml:space="preserve">Delež </w:t>
            </w:r>
          </w:p>
        </w:tc>
        <w:tc>
          <w:tcPr>
            <w:tcW w:w="1134" w:type="dxa"/>
            <w:shd w:val="clear" w:color="auto" w:fill="C6EFCE"/>
            <w:noWrap/>
            <w:vAlign w:val="center"/>
            <w:hideMark/>
          </w:tcPr>
          <w:p w14:paraId="1E98963D" w14:textId="77777777" w:rsidR="00154E32" w:rsidRDefault="00A43E04">
            <w:pPr>
              <w:pStyle w:val="P68B1DB1-Normal11"/>
              <w:jc w:val="center"/>
              <w:rPr>
                <w:noProof/>
              </w:rPr>
            </w:pPr>
            <w:r>
              <w:rPr>
                <w:noProof/>
              </w:rPr>
              <w:t>0</w:t>
            </w:r>
          </w:p>
        </w:tc>
        <w:tc>
          <w:tcPr>
            <w:tcW w:w="1134" w:type="dxa"/>
            <w:shd w:val="clear" w:color="auto" w:fill="C6EFCE"/>
            <w:noWrap/>
            <w:vAlign w:val="center"/>
            <w:hideMark/>
          </w:tcPr>
          <w:p w14:paraId="5EC87448" w14:textId="77777777" w:rsidR="00154E32" w:rsidRDefault="00A43E04">
            <w:pPr>
              <w:pStyle w:val="P68B1DB1-Normal11"/>
              <w:jc w:val="center"/>
              <w:rPr>
                <w:rFonts w:eastAsia="Calibri"/>
                <w:noProof/>
              </w:rPr>
            </w:pPr>
            <w:r>
              <w:rPr>
                <w:noProof/>
              </w:rPr>
              <w:t>80</w:t>
            </w:r>
          </w:p>
        </w:tc>
        <w:tc>
          <w:tcPr>
            <w:tcW w:w="851" w:type="dxa"/>
            <w:shd w:val="clear" w:color="auto" w:fill="C6EFCE"/>
            <w:noWrap/>
            <w:vAlign w:val="center"/>
            <w:hideMark/>
          </w:tcPr>
          <w:p w14:paraId="4B21D67E" w14:textId="77777777" w:rsidR="00154E32" w:rsidRDefault="00A43E04">
            <w:pPr>
              <w:pStyle w:val="P68B1DB1-Normal11"/>
              <w:jc w:val="center"/>
              <w:rPr>
                <w:rFonts w:eastAsia="Calibri"/>
                <w:noProof/>
              </w:rPr>
            </w:pPr>
            <w:r>
              <w:rPr>
                <w:noProof/>
              </w:rPr>
              <w:t>Q4</w:t>
            </w:r>
          </w:p>
        </w:tc>
        <w:tc>
          <w:tcPr>
            <w:tcW w:w="709" w:type="dxa"/>
            <w:shd w:val="clear" w:color="auto" w:fill="C6EFCE"/>
            <w:noWrap/>
            <w:vAlign w:val="center"/>
            <w:hideMark/>
          </w:tcPr>
          <w:p w14:paraId="6C2E8A52" w14:textId="77777777" w:rsidR="00154E32" w:rsidRDefault="00A43E04">
            <w:pPr>
              <w:pStyle w:val="P68B1DB1-Normal11"/>
              <w:jc w:val="center"/>
              <w:rPr>
                <w:rFonts w:eastAsia="Calibri"/>
                <w:noProof/>
              </w:rPr>
            </w:pPr>
            <w:r>
              <w:rPr>
                <w:noProof/>
              </w:rPr>
              <w:t>2025</w:t>
            </w:r>
          </w:p>
        </w:tc>
        <w:tc>
          <w:tcPr>
            <w:tcW w:w="2835" w:type="dxa"/>
            <w:shd w:val="clear" w:color="auto" w:fill="C6EFCE"/>
            <w:noWrap/>
            <w:vAlign w:val="center"/>
            <w:hideMark/>
          </w:tcPr>
          <w:p w14:paraId="507D50DE" w14:textId="77777777" w:rsidR="00154E32" w:rsidRDefault="00A43E04">
            <w:pPr>
              <w:pStyle w:val="P68B1DB1-Normal11"/>
              <w:rPr>
                <w:rFonts w:eastAsia="Calibri"/>
                <w:noProof/>
              </w:rPr>
            </w:pPr>
            <w:r>
              <w:rPr>
                <w:noProof/>
              </w:rPr>
              <w:t>Temeljna komponenta programa GOL opredeljuje številne bistvene ravni storitev, ki jih je treba zagotoviti upravičencem do ALMPS, začenši s tistimi, ki so najbolj ranljivi. Do konca leta 2025 je vsaj 80 % javnih zavodov za zaposlovanje v vsaki regiji izpolnilo merila osnovne ravni storitev JZZ, kot je opredeljena v programu zajamčene zaposljivosti delavcev.</w:t>
            </w:r>
          </w:p>
        </w:tc>
      </w:tr>
      <w:tr w:rsidR="00154E32" w14:paraId="38B2A0C7" w14:textId="77777777">
        <w:trPr>
          <w:trHeight w:val="309"/>
          <w:jc w:val="center"/>
        </w:trPr>
        <w:tc>
          <w:tcPr>
            <w:tcW w:w="1364" w:type="dxa"/>
            <w:shd w:val="clear" w:color="auto" w:fill="C6EFCE"/>
            <w:noWrap/>
            <w:vAlign w:val="center"/>
            <w:hideMark/>
          </w:tcPr>
          <w:p w14:paraId="13B5C80E" w14:textId="45E69E94" w:rsidR="00154E32" w:rsidRDefault="00A43E04">
            <w:pPr>
              <w:pStyle w:val="P68B1DB1-Normal11"/>
              <w:spacing w:before="120" w:after="120"/>
              <w:jc w:val="center"/>
              <w:rPr>
                <w:noProof/>
              </w:rPr>
            </w:pPr>
            <w:r>
              <w:rPr>
                <w:noProof/>
              </w:rPr>
              <w:t>M5C1–6</w:t>
            </w:r>
          </w:p>
        </w:tc>
        <w:tc>
          <w:tcPr>
            <w:tcW w:w="1513" w:type="dxa"/>
            <w:shd w:val="clear" w:color="auto" w:fill="C6EFCE"/>
            <w:noWrap/>
            <w:vAlign w:val="center"/>
            <w:hideMark/>
          </w:tcPr>
          <w:p w14:paraId="0771B265" w14:textId="55F59898" w:rsidR="00154E32" w:rsidRDefault="00A43E04">
            <w:pPr>
              <w:pStyle w:val="P68B1DB1-Normal11"/>
              <w:spacing w:before="120" w:after="120"/>
              <w:jc w:val="center"/>
              <w:rPr>
                <w:rFonts w:eastAsia="Calibri"/>
                <w:noProof/>
              </w:rPr>
            </w:pPr>
            <w:r>
              <w:rPr>
                <w:noProof/>
              </w:rPr>
              <w:t>Naložba 1 – Krepitev javnih zavodov za zaposlovanje (JZZ)</w:t>
            </w:r>
          </w:p>
        </w:tc>
        <w:tc>
          <w:tcPr>
            <w:tcW w:w="1281" w:type="dxa"/>
            <w:shd w:val="clear" w:color="auto" w:fill="C6EFCE"/>
            <w:noWrap/>
            <w:vAlign w:val="center"/>
            <w:hideMark/>
          </w:tcPr>
          <w:p w14:paraId="2FD57F0B" w14:textId="77777777" w:rsidR="00154E32" w:rsidRDefault="00A43E04">
            <w:pPr>
              <w:pStyle w:val="P68B1DB1-Normal11"/>
              <w:spacing w:before="120" w:after="120"/>
              <w:jc w:val="center"/>
              <w:rPr>
                <w:rFonts w:eastAsia="Calibri"/>
                <w:noProof/>
              </w:rPr>
            </w:pPr>
            <w:r>
              <w:rPr>
                <w:noProof/>
              </w:rPr>
              <w:t>Tarča</w:t>
            </w:r>
          </w:p>
        </w:tc>
        <w:tc>
          <w:tcPr>
            <w:tcW w:w="1597" w:type="dxa"/>
            <w:shd w:val="clear" w:color="auto" w:fill="C6EFCE"/>
            <w:noWrap/>
            <w:vAlign w:val="center"/>
            <w:hideMark/>
          </w:tcPr>
          <w:p w14:paraId="2C77A53C" w14:textId="77777777" w:rsidR="00154E32" w:rsidRDefault="00A43E04">
            <w:pPr>
              <w:pStyle w:val="P68B1DB1-Normal11"/>
              <w:spacing w:before="120" w:after="120"/>
              <w:jc w:val="center"/>
              <w:rPr>
                <w:rFonts w:eastAsia="Calibri"/>
                <w:noProof/>
              </w:rPr>
            </w:pPr>
            <w:r>
              <w:rPr>
                <w:noProof/>
              </w:rPr>
              <w:t xml:space="preserve"> Javne službe za zaposlovanje (JZZ) izvajajo dejavnosti, predvidene v načrtu za krepitev, v triletnem obdobju 2021–2023.</w:t>
            </w:r>
          </w:p>
        </w:tc>
        <w:tc>
          <w:tcPr>
            <w:tcW w:w="1470" w:type="dxa"/>
            <w:shd w:val="clear" w:color="auto" w:fill="C6EFCE"/>
            <w:noWrap/>
            <w:vAlign w:val="center"/>
            <w:hideMark/>
          </w:tcPr>
          <w:p w14:paraId="050AB948" w14:textId="77777777" w:rsidR="00154E32" w:rsidRDefault="00A43E04">
            <w:pPr>
              <w:pStyle w:val="P68B1DB1-Normal11"/>
              <w:spacing w:before="120" w:after="120"/>
              <w:jc w:val="center"/>
              <w:rPr>
                <w:rFonts w:eastAsia="Calibri"/>
                <w:noProof/>
              </w:rPr>
            </w:pPr>
            <w:r>
              <w:rPr>
                <w:noProof/>
              </w:rPr>
              <w:t>JIH NI</w:t>
            </w:r>
          </w:p>
        </w:tc>
        <w:tc>
          <w:tcPr>
            <w:tcW w:w="1275" w:type="dxa"/>
            <w:shd w:val="clear" w:color="auto" w:fill="C6EFCE"/>
            <w:noWrap/>
            <w:vAlign w:val="center"/>
            <w:hideMark/>
          </w:tcPr>
          <w:p w14:paraId="0772A167" w14:textId="77777777" w:rsidR="00154E32" w:rsidRDefault="00A43E04">
            <w:pPr>
              <w:pStyle w:val="P68B1DB1-Normal11"/>
              <w:spacing w:before="120" w:after="120"/>
              <w:jc w:val="center"/>
              <w:rPr>
                <w:rFonts w:eastAsia="Calibri"/>
                <w:noProof/>
              </w:rPr>
            </w:pPr>
            <w:r>
              <w:rPr>
                <w:noProof/>
              </w:rPr>
              <w:t>Število</w:t>
            </w:r>
          </w:p>
        </w:tc>
        <w:tc>
          <w:tcPr>
            <w:tcW w:w="1134" w:type="dxa"/>
            <w:shd w:val="clear" w:color="auto" w:fill="C6EFCE"/>
            <w:noWrap/>
            <w:vAlign w:val="center"/>
            <w:hideMark/>
          </w:tcPr>
          <w:p w14:paraId="53A6A044" w14:textId="77777777" w:rsidR="00154E32" w:rsidRDefault="00A43E04">
            <w:pPr>
              <w:pStyle w:val="P68B1DB1-Normal11"/>
              <w:spacing w:before="120" w:after="120"/>
              <w:jc w:val="center"/>
              <w:rPr>
                <w:rFonts w:eastAsia="Calibri"/>
                <w:noProof/>
              </w:rPr>
            </w:pPr>
            <w:r>
              <w:rPr>
                <w:noProof/>
              </w:rPr>
              <w:t>0</w:t>
            </w:r>
          </w:p>
        </w:tc>
        <w:tc>
          <w:tcPr>
            <w:tcW w:w="1134" w:type="dxa"/>
            <w:shd w:val="clear" w:color="auto" w:fill="C6EFCE"/>
            <w:noWrap/>
            <w:vAlign w:val="center"/>
            <w:hideMark/>
          </w:tcPr>
          <w:p w14:paraId="3A5F4538" w14:textId="77777777" w:rsidR="00154E32" w:rsidRDefault="00A43E04">
            <w:pPr>
              <w:pStyle w:val="P68B1DB1-Normal11"/>
              <w:spacing w:before="120" w:after="120"/>
              <w:jc w:val="center"/>
              <w:rPr>
                <w:rFonts w:eastAsia="Calibri"/>
                <w:noProof/>
              </w:rPr>
            </w:pPr>
            <w:r>
              <w:rPr>
                <w:noProof/>
              </w:rPr>
              <w:t>250</w:t>
            </w:r>
          </w:p>
        </w:tc>
        <w:tc>
          <w:tcPr>
            <w:tcW w:w="851" w:type="dxa"/>
            <w:shd w:val="clear" w:color="auto" w:fill="C6EFCE"/>
            <w:noWrap/>
            <w:vAlign w:val="center"/>
            <w:hideMark/>
          </w:tcPr>
          <w:p w14:paraId="73EF3A20" w14:textId="77777777" w:rsidR="00154E32" w:rsidRDefault="00A43E04">
            <w:pPr>
              <w:pStyle w:val="P68B1DB1-Normal11"/>
              <w:spacing w:before="120" w:after="120"/>
              <w:jc w:val="center"/>
              <w:rPr>
                <w:rFonts w:eastAsia="Calibri"/>
                <w:noProof/>
              </w:rPr>
            </w:pPr>
            <w:r>
              <w:rPr>
                <w:noProof/>
              </w:rPr>
              <w:t>Q4</w:t>
            </w:r>
          </w:p>
        </w:tc>
        <w:tc>
          <w:tcPr>
            <w:tcW w:w="709" w:type="dxa"/>
            <w:shd w:val="clear" w:color="auto" w:fill="C6EFCE"/>
            <w:noWrap/>
            <w:vAlign w:val="center"/>
            <w:hideMark/>
          </w:tcPr>
          <w:p w14:paraId="3B95D416" w14:textId="77777777" w:rsidR="00154E32" w:rsidRDefault="00A43E04">
            <w:pPr>
              <w:pStyle w:val="P68B1DB1-Normal11"/>
              <w:spacing w:before="120" w:after="120"/>
              <w:jc w:val="center"/>
              <w:rPr>
                <w:rFonts w:eastAsia="Calibri"/>
                <w:noProof/>
              </w:rPr>
            </w:pPr>
            <w:r>
              <w:rPr>
                <w:noProof/>
              </w:rPr>
              <w:t>2022</w:t>
            </w:r>
          </w:p>
        </w:tc>
        <w:tc>
          <w:tcPr>
            <w:tcW w:w="2835" w:type="dxa"/>
            <w:shd w:val="clear" w:color="auto" w:fill="C6EFCE"/>
            <w:noWrap/>
            <w:vAlign w:val="center"/>
            <w:hideMark/>
          </w:tcPr>
          <w:p w14:paraId="7DF63092" w14:textId="77777777" w:rsidR="00154E32" w:rsidRDefault="00A43E04">
            <w:pPr>
              <w:pStyle w:val="P68B1DB1-Normal11"/>
              <w:spacing w:before="120" w:after="120"/>
              <w:rPr>
                <w:rFonts w:eastAsia="Calibri"/>
                <w:noProof/>
              </w:rPr>
            </w:pPr>
            <w:r>
              <w:rPr>
                <w:noProof/>
              </w:rPr>
              <w:t>Vsaj 250 javnih zavodov za zaposlovanje (JZZ) je v triletnem obdobju 2021–2023 zaključilo vsaj 50 % dejavnosti, predvidenih v načrtu za krepitev.</w:t>
            </w:r>
          </w:p>
          <w:p w14:paraId="68B25669" w14:textId="77777777" w:rsidR="00154E32" w:rsidRDefault="00A43E04">
            <w:pPr>
              <w:pStyle w:val="P68B1DB1-Normal11"/>
              <w:spacing w:before="120" w:after="120"/>
              <w:rPr>
                <w:rFonts w:eastAsia="Calibri"/>
                <w:noProof/>
              </w:rPr>
            </w:pPr>
            <w:r>
              <w:rPr>
                <w:noProof/>
              </w:rPr>
              <w:t>Te dejavnosti so v skladu z osrednjim načrtom za krepitev in nadalje opredeljene na regionalni ravni na podlagi analize potreb in dodeljenih sredstev.</w:t>
            </w:r>
          </w:p>
          <w:p w14:paraId="1CA9E046" w14:textId="77777777" w:rsidR="00154E32" w:rsidRDefault="00A43E04">
            <w:pPr>
              <w:pStyle w:val="P68B1DB1-Normal11"/>
              <w:spacing w:before="120" w:after="120"/>
              <w:rPr>
                <w:rFonts w:eastAsia="Calibri"/>
                <w:noProof/>
              </w:rPr>
            </w:pPr>
            <w:r>
              <w:rPr>
                <w:noProof/>
              </w:rPr>
              <w:t xml:space="preserve">Te dejavnosti vključujejo: (I) prenovo in obnovo sedanjih lokacij javnih zavodov za zaposlovanje (JZZ) ter nakup novih; (II) nadaljnje izvajanje informacijskega sistema z vidika nacionalne interoperabilnosti; (III) strokovno usposabljanje osebja; (IV) institucija regionalnih opazovalnih skupin lokalnih trgov dela; (V) institucionalno komuniciranje in ozaveščanje. </w:t>
            </w:r>
          </w:p>
          <w:p w14:paraId="3C0DA703" w14:textId="77777777" w:rsidR="00154E32" w:rsidRDefault="00A43E04">
            <w:pPr>
              <w:pStyle w:val="P68B1DB1-Normal11"/>
              <w:spacing w:before="120" w:after="120"/>
              <w:rPr>
                <w:rFonts w:eastAsia="Calibri"/>
                <w:noProof/>
              </w:rPr>
            </w:pPr>
            <w:r>
              <w:rPr>
                <w:noProof/>
              </w:rPr>
              <w:t>Infrastrukturne dejavnosti niso vključene v ta cilj.</w:t>
            </w:r>
          </w:p>
          <w:p w14:paraId="72CCDFCD" w14:textId="77777777" w:rsidR="00154E32" w:rsidRDefault="00A43E04">
            <w:pPr>
              <w:pStyle w:val="P68B1DB1-Normal11"/>
              <w:spacing w:before="120" w:after="120"/>
              <w:rPr>
                <w:rFonts w:eastAsia="Calibri"/>
                <w:noProof/>
              </w:rPr>
            </w:pPr>
            <w:r>
              <w:rPr>
                <w:noProof/>
              </w:rPr>
              <w:t>Pri doseganju cilja je zagotovljeno enako ravnovesje v smislu ozemeljske porazdelitve (sever, center in jug).</w:t>
            </w:r>
          </w:p>
        </w:tc>
      </w:tr>
      <w:tr w:rsidR="00154E32" w14:paraId="1011EC40" w14:textId="77777777">
        <w:trPr>
          <w:trHeight w:val="309"/>
          <w:jc w:val="center"/>
        </w:trPr>
        <w:tc>
          <w:tcPr>
            <w:tcW w:w="1364" w:type="dxa"/>
            <w:shd w:val="clear" w:color="auto" w:fill="C6EFCE"/>
            <w:noWrap/>
            <w:vAlign w:val="center"/>
            <w:hideMark/>
          </w:tcPr>
          <w:p w14:paraId="110D21F6" w14:textId="3903F19D" w:rsidR="00154E32" w:rsidRDefault="00A43E04">
            <w:pPr>
              <w:pStyle w:val="P68B1DB1-Normal11"/>
              <w:spacing w:before="120" w:after="120"/>
              <w:jc w:val="center"/>
              <w:rPr>
                <w:rFonts w:eastAsia="Calibri"/>
                <w:noProof/>
              </w:rPr>
            </w:pPr>
            <w:r>
              <w:rPr>
                <w:noProof/>
              </w:rPr>
              <w:t>M5C1–7</w:t>
            </w:r>
          </w:p>
        </w:tc>
        <w:tc>
          <w:tcPr>
            <w:tcW w:w="1513" w:type="dxa"/>
            <w:shd w:val="clear" w:color="auto" w:fill="C6EFCE"/>
            <w:noWrap/>
            <w:vAlign w:val="center"/>
            <w:hideMark/>
          </w:tcPr>
          <w:p w14:paraId="0C541C78" w14:textId="2CBF77B7" w:rsidR="00154E32" w:rsidRDefault="00A43E04">
            <w:pPr>
              <w:pStyle w:val="P68B1DB1-Normal11"/>
              <w:spacing w:before="120" w:after="120"/>
              <w:jc w:val="center"/>
              <w:rPr>
                <w:rFonts w:eastAsia="Calibri"/>
                <w:noProof/>
              </w:rPr>
            </w:pPr>
            <w:r>
              <w:rPr>
                <w:noProof/>
              </w:rPr>
              <w:t>Naložba 1 – Krepitev javnih zavodov za zaposlovanje (JZZ)</w:t>
            </w:r>
          </w:p>
        </w:tc>
        <w:tc>
          <w:tcPr>
            <w:tcW w:w="1281" w:type="dxa"/>
            <w:shd w:val="clear" w:color="auto" w:fill="C6EFCE"/>
            <w:noWrap/>
            <w:vAlign w:val="center"/>
            <w:hideMark/>
          </w:tcPr>
          <w:p w14:paraId="11D4ECC1" w14:textId="77777777" w:rsidR="00154E32" w:rsidRDefault="00A43E04">
            <w:pPr>
              <w:pStyle w:val="P68B1DB1-Normal11"/>
              <w:spacing w:before="120" w:after="120"/>
              <w:jc w:val="center"/>
              <w:rPr>
                <w:rFonts w:eastAsia="Calibri"/>
                <w:noProof/>
              </w:rPr>
            </w:pPr>
            <w:r>
              <w:rPr>
                <w:noProof/>
              </w:rPr>
              <w:t>Tarča</w:t>
            </w:r>
          </w:p>
        </w:tc>
        <w:tc>
          <w:tcPr>
            <w:tcW w:w="1597" w:type="dxa"/>
            <w:shd w:val="clear" w:color="auto" w:fill="C6EFCE"/>
            <w:noWrap/>
            <w:vAlign w:val="center"/>
            <w:hideMark/>
          </w:tcPr>
          <w:p w14:paraId="308B74B1" w14:textId="77777777" w:rsidR="00154E32" w:rsidRDefault="00A43E04">
            <w:pPr>
              <w:pStyle w:val="P68B1DB1-Normal11"/>
              <w:spacing w:before="120" w:after="120"/>
              <w:jc w:val="center"/>
              <w:rPr>
                <w:rFonts w:eastAsia="Calibri"/>
                <w:noProof/>
              </w:rPr>
            </w:pPr>
            <w:r>
              <w:rPr>
                <w:noProof/>
              </w:rPr>
              <w:t>Javne službe za zaposlovanje (JZZ) so zaključile dejavnosti, predvidene v načrtu krepitve.</w:t>
            </w:r>
          </w:p>
        </w:tc>
        <w:tc>
          <w:tcPr>
            <w:tcW w:w="1470" w:type="dxa"/>
            <w:shd w:val="clear" w:color="auto" w:fill="C6EFCE"/>
            <w:noWrap/>
            <w:vAlign w:val="center"/>
            <w:hideMark/>
          </w:tcPr>
          <w:p w14:paraId="71087633" w14:textId="77777777" w:rsidR="00154E32" w:rsidRDefault="00A43E04">
            <w:pPr>
              <w:pStyle w:val="P68B1DB1-Normal11"/>
              <w:spacing w:before="120" w:after="120"/>
              <w:jc w:val="center"/>
              <w:rPr>
                <w:rFonts w:eastAsia="Calibri"/>
                <w:noProof/>
              </w:rPr>
            </w:pPr>
            <w:r>
              <w:rPr>
                <w:noProof/>
              </w:rPr>
              <w:t>JIH NI</w:t>
            </w:r>
          </w:p>
        </w:tc>
        <w:tc>
          <w:tcPr>
            <w:tcW w:w="1275" w:type="dxa"/>
            <w:shd w:val="clear" w:color="auto" w:fill="C6EFCE"/>
            <w:noWrap/>
            <w:vAlign w:val="center"/>
            <w:hideMark/>
          </w:tcPr>
          <w:p w14:paraId="6CAB82CD" w14:textId="77777777" w:rsidR="00154E32" w:rsidRDefault="00A43E04">
            <w:pPr>
              <w:pStyle w:val="P68B1DB1-Normal11"/>
              <w:spacing w:before="120" w:after="120"/>
              <w:jc w:val="center"/>
              <w:rPr>
                <w:rFonts w:eastAsia="Calibri"/>
                <w:noProof/>
              </w:rPr>
            </w:pPr>
            <w:r>
              <w:rPr>
                <w:noProof/>
              </w:rPr>
              <w:t xml:space="preserve">Število </w:t>
            </w:r>
          </w:p>
        </w:tc>
        <w:tc>
          <w:tcPr>
            <w:tcW w:w="1134" w:type="dxa"/>
            <w:shd w:val="clear" w:color="auto" w:fill="C6EFCE"/>
            <w:noWrap/>
            <w:vAlign w:val="center"/>
            <w:hideMark/>
          </w:tcPr>
          <w:p w14:paraId="0AC5F17B" w14:textId="77777777" w:rsidR="00154E32" w:rsidRDefault="00A43E04">
            <w:pPr>
              <w:pStyle w:val="P68B1DB1-Normal11"/>
              <w:spacing w:before="120" w:after="120"/>
              <w:jc w:val="center"/>
              <w:rPr>
                <w:rFonts w:eastAsia="Calibri"/>
                <w:noProof/>
              </w:rPr>
            </w:pPr>
            <w:r>
              <w:rPr>
                <w:noProof/>
              </w:rPr>
              <w:t>250</w:t>
            </w:r>
          </w:p>
        </w:tc>
        <w:tc>
          <w:tcPr>
            <w:tcW w:w="1134" w:type="dxa"/>
            <w:shd w:val="clear" w:color="auto" w:fill="C6EFCE"/>
            <w:noWrap/>
            <w:vAlign w:val="center"/>
            <w:hideMark/>
          </w:tcPr>
          <w:p w14:paraId="66CDAAA9" w14:textId="77777777" w:rsidR="00154E32" w:rsidRDefault="00A43E04">
            <w:pPr>
              <w:pStyle w:val="P68B1DB1-Normal11"/>
              <w:spacing w:before="120" w:after="120"/>
              <w:jc w:val="center"/>
              <w:rPr>
                <w:noProof/>
              </w:rPr>
            </w:pPr>
            <w:r>
              <w:rPr>
                <w:noProof/>
              </w:rPr>
              <w:t>500</w:t>
            </w:r>
          </w:p>
        </w:tc>
        <w:tc>
          <w:tcPr>
            <w:tcW w:w="851" w:type="dxa"/>
            <w:shd w:val="clear" w:color="auto" w:fill="C6EFCE"/>
            <w:noWrap/>
            <w:vAlign w:val="center"/>
            <w:hideMark/>
          </w:tcPr>
          <w:p w14:paraId="7B191153" w14:textId="77777777" w:rsidR="00154E32" w:rsidRDefault="00A43E04">
            <w:pPr>
              <w:pStyle w:val="P68B1DB1-Normal11"/>
              <w:spacing w:before="120" w:after="120"/>
              <w:jc w:val="center"/>
              <w:rPr>
                <w:rFonts w:eastAsia="Calibri"/>
                <w:noProof/>
              </w:rPr>
            </w:pPr>
            <w:r>
              <w:rPr>
                <w:noProof/>
              </w:rPr>
              <w:t>Q4</w:t>
            </w:r>
          </w:p>
        </w:tc>
        <w:tc>
          <w:tcPr>
            <w:tcW w:w="709" w:type="dxa"/>
            <w:shd w:val="clear" w:color="auto" w:fill="C6EFCE"/>
            <w:noWrap/>
            <w:vAlign w:val="center"/>
            <w:hideMark/>
          </w:tcPr>
          <w:p w14:paraId="0BBA87A1" w14:textId="77777777" w:rsidR="00154E32" w:rsidRDefault="00A43E04">
            <w:pPr>
              <w:pStyle w:val="P68B1DB1-Normal11"/>
              <w:spacing w:before="120" w:after="120"/>
              <w:jc w:val="center"/>
              <w:rPr>
                <w:rFonts w:eastAsia="Calibri"/>
                <w:noProof/>
              </w:rPr>
            </w:pPr>
            <w:r>
              <w:rPr>
                <w:noProof/>
              </w:rPr>
              <w:t>2025</w:t>
            </w:r>
          </w:p>
        </w:tc>
        <w:tc>
          <w:tcPr>
            <w:tcW w:w="2835" w:type="dxa"/>
            <w:shd w:val="clear" w:color="auto" w:fill="C6EFCE"/>
            <w:noWrap/>
            <w:vAlign w:val="center"/>
            <w:hideMark/>
          </w:tcPr>
          <w:p w14:paraId="0DF1E350" w14:textId="77777777" w:rsidR="00154E32" w:rsidRDefault="00A43E04">
            <w:pPr>
              <w:pStyle w:val="P68B1DB1-Normal11"/>
              <w:spacing w:after="120"/>
              <w:rPr>
                <w:rFonts w:eastAsia="Calibri"/>
                <w:noProof/>
              </w:rPr>
            </w:pPr>
            <w:r>
              <w:rPr>
                <w:noProof/>
              </w:rPr>
              <w:t>Vsaj 500 javnih zavodov za zaposlovanje (JZZ) je zaključilo 100 % dejavnosti, predvidenih v regionalnih načrtih za razvoj javnih zavodov za zaposlovanje (</w:t>
            </w:r>
            <w:r>
              <w:rPr>
                <w:i/>
                <w:noProof/>
              </w:rPr>
              <w:t>Pani regionali di potenziamento deicentri per l’impiego</w:t>
            </w:r>
            <w:r>
              <w:rPr>
                <w:noProof/>
              </w:rPr>
              <w:t>).</w:t>
            </w:r>
          </w:p>
          <w:p w14:paraId="13AA33E8" w14:textId="77777777" w:rsidR="00154E32" w:rsidRDefault="00A43E04">
            <w:pPr>
              <w:pStyle w:val="P68B1DB1-Normal11"/>
              <w:spacing w:before="120" w:after="120"/>
              <w:rPr>
                <w:rFonts w:eastAsia="Calibri"/>
                <w:noProof/>
              </w:rPr>
            </w:pPr>
            <w:r>
              <w:rPr>
                <w:noProof/>
              </w:rPr>
              <w:t>Te dejavnosti so v skladu z osrednjim načrtom za krepitev in nadalje opredeljene na regionalni ravni na podlagi analize potreb in dodeljenih sredstev.</w:t>
            </w:r>
          </w:p>
          <w:p w14:paraId="0395F578" w14:textId="37327A28" w:rsidR="00154E32" w:rsidRDefault="00A43E04">
            <w:pPr>
              <w:pStyle w:val="P68B1DB1-Normal11"/>
              <w:spacing w:before="120" w:after="120"/>
              <w:rPr>
                <w:rFonts w:eastAsia="Calibri"/>
                <w:noProof/>
              </w:rPr>
            </w:pPr>
            <w:r>
              <w:rPr>
                <w:noProof/>
              </w:rPr>
              <w:t xml:space="preserve">Te dejavnosti vključujejo: (I) nadaljnje izvajanje sistema IT zaradi nacionalne interoperabilnosti; (II) strokovno usposabljanje osebja; </w:t>
            </w:r>
            <w:r>
              <w:rPr>
                <w:noProof/>
              </w:rPr>
              <w:br/>
              <w:t>(III) ustanovitev regionalnih opazovalnih skupin za lokalne trge dela; (IV) institucionalno komuniciranje in ozaveščanje.</w:t>
            </w:r>
          </w:p>
          <w:p w14:paraId="2AF6BA30" w14:textId="77777777" w:rsidR="00154E32" w:rsidRDefault="00A43E04">
            <w:pPr>
              <w:pStyle w:val="P68B1DB1-Normal11"/>
              <w:spacing w:before="120" w:after="120"/>
              <w:rPr>
                <w:rFonts w:eastAsia="Calibri"/>
                <w:noProof/>
              </w:rPr>
            </w:pPr>
            <w:r>
              <w:rPr>
                <w:noProof/>
              </w:rPr>
              <w:t xml:space="preserve">Infrastrukturne dejavnosti niso vključene v ta cilj. </w:t>
            </w:r>
          </w:p>
          <w:p w14:paraId="565182C0" w14:textId="77777777" w:rsidR="00154E32" w:rsidRDefault="00A43E04">
            <w:pPr>
              <w:pStyle w:val="P68B1DB1-Normal11"/>
              <w:spacing w:before="120" w:after="120"/>
              <w:rPr>
                <w:rFonts w:eastAsia="Calibri"/>
                <w:noProof/>
              </w:rPr>
            </w:pPr>
            <w:r>
              <w:rPr>
                <w:noProof/>
              </w:rPr>
              <w:t>Pri doseganju cilja je zagotovljeno ravnovesje v smislu ozemeljske porazdelitve (sever, center in jug), tudi z ukrepi subsidiarnosti.</w:t>
            </w:r>
          </w:p>
        </w:tc>
      </w:tr>
      <w:tr w:rsidR="00154E32" w14:paraId="55B164C5" w14:textId="77777777">
        <w:trPr>
          <w:trHeight w:val="309"/>
          <w:jc w:val="center"/>
        </w:trPr>
        <w:tc>
          <w:tcPr>
            <w:tcW w:w="1364" w:type="dxa"/>
            <w:shd w:val="clear" w:color="auto" w:fill="C6EFCE"/>
            <w:noWrap/>
            <w:vAlign w:val="center"/>
          </w:tcPr>
          <w:p w14:paraId="1AA10754" w14:textId="77777777" w:rsidR="00154E32" w:rsidRDefault="00A43E04">
            <w:pPr>
              <w:pStyle w:val="P68B1DB1-Normal11"/>
              <w:jc w:val="center"/>
              <w:rPr>
                <w:noProof/>
              </w:rPr>
            </w:pPr>
            <w:r>
              <w:rPr>
                <w:noProof/>
              </w:rPr>
              <w:t>M5C1–7a</w:t>
            </w:r>
          </w:p>
        </w:tc>
        <w:tc>
          <w:tcPr>
            <w:tcW w:w="1513" w:type="dxa"/>
            <w:shd w:val="clear" w:color="auto" w:fill="C6EFCE"/>
            <w:noWrap/>
            <w:vAlign w:val="center"/>
          </w:tcPr>
          <w:p w14:paraId="3933760A" w14:textId="5A640466" w:rsidR="00154E32" w:rsidRDefault="00A43E04">
            <w:pPr>
              <w:pStyle w:val="P68B1DB1-Normal11"/>
              <w:spacing w:before="120" w:after="120"/>
              <w:jc w:val="center"/>
              <w:rPr>
                <w:rFonts w:eastAsia="Calibri"/>
                <w:noProof/>
              </w:rPr>
            </w:pPr>
            <w:r>
              <w:rPr>
                <w:noProof/>
              </w:rPr>
              <w:t>Naložba 1 – Krepitev javnih zavodov za zaposlovanje (JZZ)</w:t>
            </w:r>
          </w:p>
        </w:tc>
        <w:tc>
          <w:tcPr>
            <w:tcW w:w="1281" w:type="dxa"/>
            <w:shd w:val="clear" w:color="auto" w:fill="C6EFCE"/>
            <w:noWrap/>
            <w:vAlign w:val="center"/>
          </w:tcPr>
          <w:p w14:paraId="06442EDC" w14:textId="77777777" w:rsidR="00154E32" w:rsidRDefault="00A43E04">
            <w:pPr>
              <w:pStyle w:val="P68B1DB1-Normal11"/>
              <w:jc w:val="center"/>
              <w:rPr>
                <w:rFonts w:eastAsia="Calibri"/>
                <w:noProof/>
              </w:rPr>
            </w:pPr>
            <w:r>
              <w:rPr>
                <w:noProof/>
              </w:rPr>
              <w:t>Tarča</w:t>
            </w:r>
          </w:p>
        </w:tc>
        <w:tc>
          <w:tcPr>
            <w:tcW w:w="1597" w:type="dxa"/>
            <w:shd w:val="clear" w:color="auto" w:fill="C6EFCE"/>
            <w:noWrap/>
            <w:vAlign w:val="center"/>
          </w:tcPr>
          <w:p w14:paraId="00C65D81" w14:textId="77777777" w:rsidR="00154E32" w:rsidRDefault="00A43E04">
            <w:pPr>
              <w:pStyle w:val="P68B1DB1-Normal11"/>
              <w:jc w:val="center"/>
              <w:rPr>
                <w:noProof/>
              </w:rPr>
            </w:pPr>
            <w:r>
              <w:rPr>
                <w:noProof/>
              </w:rPr>
              <w:t>Javne službe za zaposlovanje (JZZ) so zaključile dejavnosti, predvidene v načrtu krepitve.</w:t>
            </w:r>
          </w:p>
        </w:tc>
        <w:tc>
          <w:tcPr>
            <w:tcW w:w="1470" w:type="dxa"/>
            <w:shd w:val="clear" w:color="auto" w:fill="C6EFCE"/>
            <w:noWrap/>
            <w:vAlign w:val="center"/>
          </w:tcPr>
          <w:p w14:paraId="54FDDE73" w14:textId="77777777" w:rsidR="00154E32" w:rsidRDefault="00A43E04">
            <w:pPr>
              <w:pStyle w:val="P68B1DB1-Normal11"/>
              <w:jc w:val="center"/>
              <w:rPr>
                <w:rFonts w:eastAsia="Calibri"/>
                <w:noProof/>
              </w:rPr>
            </w:pPr>
            <w:r>
              <w:rPr>
                <w:noProof/>
              </w:rPr>
              <w:t>JIH NI</w:t>
            </w:r>
          </w:p>
        </w:tc>
        <w:tc>
          <w:tcPr>
            <w:tcW w:w="1275" w:type="dxa"/>
            <w:shd w:val="clear" w:color="auto" w:fill="C6EFCE"/>
            <w:noWrap/>
            <w:vAlign w:val="center"/>
          </w:tcPr>
          <w:p w14:paraId="2A4BD1A6" w14:textId="77777777" w:rsidR="00154E32" w:rsidRDefault="00A43E04">
            <w:pPr>
              <w:pStyle w:val="P68B1DB1-Normal11"/>
              <w:jc w:val="center"/>
              <w:rPr>
                <w:rFonts w:eastAsia="Calibri"/>
                <w:noProof/>
              </w:rPr>
            </w:pPr>
            <w:r>
              <w:rPr>
                <w:noProof/>
              </w:rPr>
              <w:t xml:space="preserve">Število </w:t>
            </w:r>
          </w:p>
        </w:tc>
        <w:tc>
          <w:tcPr>
            <w:tcW w:w="1134" w:type="dxa"/>
            <w:shd w:val="clear" w:color="auto" w:fill="C6EFCE"/>
            <w:noWrap/>
            <w:vAlign w:val="center"/>
          </w:tcPr>
          <w:p w14:paraId="39B69383" w14:textId="77777777" w:rsidR="00154E32" w:rsidRDefault="00A43E04">
            <w:pPr>
              <w:pStyle w:val="P68B1DB1-Normal11"/>
              <w:jc w:val="center"/>
              <w:rPr>
                <w:rFonts w:eastAsia="Calibri"/>
                <w:noProof/>
              </w:rPr>
            </w:pPr>
            <w:r>
              <w:rPr>
                <w:noProof/>
              </w:rPr>
              <w:t>0</w:t>
            </w:r>
          </w:p>
        </w:tc>
        <w:tc>
          <w:tcPr>
            <w:tcW w:w="1134" w:type="dxa"/>
            <w:shd w:val="clear" w:color="auto" w:fill="C6EFCE"/>
            <w:noWrap/>
            <w:vAlign w:val="center"/>
          </w:tcPr>
          <w:p w14:paraId="2C45EA00" w14:textId="77777777" w:rsidR="00154E32" w:rsidRDefault="00A43E04">
            <w:pPr>
              <w:pStyle w:val="P68B1DB1-Normal11"/>
              <w:jc w:val="center"/>
              <w:rPr>
                <w:rFonts w:eastAsia="Calibri"/>
                <w:noProof/>
              </w:rPr>
            </w:pPr>
            <w:r>
              <w:rPr>
                <w:noProof/>
              </w:rPr>
              <w:t>500</w:t>
            </w:r>
          </w:p>
        </w:tc>
        <w:tc>
          <w:tcPr>
            <w:tcW w:w="851" w:type="dxa"/>
            <w:shd w:val="clear" w:color="auto" w:fill="C6EFCE"/>
            <w:noWrap/>
            <w:vAlign w:val="center"/>
          </w:tcPr>
          <w:p w14:paraId="112EBA93" w14:textId="77777777" w:rsidR="00154E32" w:rsidRDefault="00A43E04">
            <w:pPr>
              <w:pStyle w:val="P68B1DB1-Normal11"/>
              <w:jc w:val="center"/>
              <w:rPr>
                <w:rFonts w:eastAsia="Calibri"/>
                <w:noProof/>
              </w:rPr>
            </w:pPr>
            <w:r>
              <w:rPr>
                <w:noProof/>
              </w:rPr>
              <w:t>Q2</w:t>
            </w:r>
          </w:p>
        </w:tc>
        <w:tc>
          <w:tcPr>
            <w:tcW w:w="709" w:type="dxa"/>
            <w:shd w:val="clear" w:color="auto" w:fill="C6EFCE"/>
            <w:noWrap/>
            <w:vAlign w:val="center"/>
          </w:tcPr>
          <w:p w14:paraId="48B85233" w14:textId="77777777" w:rsidR="00154E32" w:rsidRDefault="00A43E04">
            <w:pPr>
              <w:pStyle w:val="P68B1DB1-Normal11"/>
              <w:jc w:val="center"/>
              <w:rPr>
                <w:rFonts w:eastAsia="Calibri"/>
                <w:noProof/>
              </w:rPr>
            </w:pPr>
            <w:r>
              <w:rPr>
                <w:noProof/>
              </w:rPr>
              <w:t>2026</w:t>
            </w:r>
          </w:p>
        </w:tc>
        <w:tc>
          <w:tcPr>
            <w:tcW w:w="2835" w:type="dxa"/>
            <w:shd w:val="clear" w:color="auto" w:fill="C6EFCE"/>
            <w:noWrap/>
            <w:vAlign w:val="center"/>
          </w:tcPr>
          <w:p w14:paraId="62363C3A" w14:textId="77777777" w:rsidR="00154E32" w:rsidRDefault="00A43E04">
            <w:pPr>
              <w:pStyle w:val="P68B1DB1-Normal11"/>
              <w:spacing w:before="120" w:after="120"/>
              <w:rPr>
                <w:rFonts w:eastAsia="Calibri"/>
                <w:noProof/>
              </w:rPr>
            </w:pPr>
            <w:r>
              <w:rPr>
                <w:noProof/>
              </w:rPr>
              <w:t xml:space="preserve">Vsaj 500 javnih zavodov za zaposlovanje (JZZ) je zaključilo 100 % dejavnosti, predvidenih v regionalnih načrtih za razvoj javnih zavodov za zaposlovanje </w:t>
            </w:r>
            <w:r>
              <w:rPr>
                <w:i/>
                <w:noProof/>
              </w:rPr>
              <w:t xml:space="preserve">(Piani regionali di potenziamento dei centri per l’impiego) </w:t>
            </w:r>
            <w:r>
              <w:rPr>
                <w:noProof/>
              </w:rPr>
              <w:t>v zvezi s prenovo in obnovo sedanjih stavb javnih zavodov za zaposlovanje (JZZ) in regionalnih agencij ter nakupom novih, kot je opisano v odloku generalnega sekretarja ministrstva za delo in socialno politiko DSG št. 123/2020.</w:t>
            </w:r>
          </w:p>
        </w:tc>
      </w:tr>
      <w:tr w:rsidR="00154E32" w14:paraId="789C711D" w14:textId="77777777">
        <w:trPr>
          <w:trHeight w:val="309"/>
          <w:jc w:val="center"/>
        </w:trPr>
        <w:tc>
          <w:tcPr>
            <w:tcW w:w="1364" w:type="dxa"/>
            <w:shd w:val="clear" w:color="auto" w:fill="C6EFCE"/>
            <w:noWrap/>
            <w:vAlign w:val="center"/>
            <w:hideMark/>
          </w:tcPr>
          <w:p w14:paraId="20F55497" w14:textId="20BBF3C9" w:rsidR="00154E32" w:rsidRDefault="00A43E04">
            <w:pPr>
              <w:pStyle w:val="P68B1DB1-Normal11"/>
              <w:jc w:val="center"/>
              <w:rPr>
                <w:rFonts w:eastAsia="Calibri"/>
                <w:noProof/>
              </w:rPr>
            </w:pPr>
            <w:r>
              <w:rPr>
                <w:noProof/>
              </w:rPr>
              <w:t>M5C1–8</w:t>
            </w:r>
          </w:p>
        </w:tc>
        <w:tc>
          <w:tcPr>
            <w:tcW w:w="1513" w:type="dxa"/>
            <w:shd w:val="clear" w:color="auto" w:fill="C6EFCE"/>
            <w:noWrap/>
            <w:vAlign w:val="center"/>
            <w:hideMark/>
          </w:tcPr>
          <w:p w14:paraId="7EBAEBA9" w14:textId="77777777" w:rsidR="00154E32" w:rsidRDefault="00A43E04">
            <w:pPr>
              <w:pStyle w:val="P68B1DB1-Normal11"/>
              <w:jc w:val="center"/>
              <w:rPr>
                <w:rFonts w:eastAsia="Calibri"/>
                <w:noProof/>
              </w:rPr>
            </w:pPr>
            <w:r>
              <w:rPr>
                <w:noProof/>
              </w:rPr>
              <w:t>Reforma 2 – Neprijavljeno delo</w:t>
            </w:r>
          </w:p>
        </w:tc>
        <w:tc>
          <w:tcPr>
            <w:tcW w:w="1281" w:type="dxa"/>
            <w:shd w:val="clear" w:color="auto" w:fill="C6EFCE"/>
            <w:noWrap/>
            <w:vAlign w:val="center"/>
            <w:hideMark/>
          </w:tcPr>
          <w:p w14:paraId="63EFA52F" w14:textId="77777777" w:rsidR="00154E32" w:rsidRDefault="00A43E04">
            <w:pPr>
              <w:pStyle w:val="P68B1DB1-Normal11"/>
              <w:jc w:val="center"/>
              <w:rPr>
                <w:rFonts w:eastAsia="Calibri"/>
                <w:noProof/>
              </w:rPr>
            </w:pPr>
            <w:r>
              <w:rPr>
                <w:noProof/>
              </w:rPr>
              <w:t>Mejnik</w:t>
            </w:r>
          </w:p>
        </w:tc>
        <w:tc>
          <w:tcPr>
            <w:tcW w:w="1597" w:type="dxa"/>
            <w:shd w:val="clear" w:color="auto" w:fill="C6EFCE"/>
            <w:noWrap/>
            <w:vAlign w:val="center"/>
            <w:hideMark/>
          </w:tcPr>
          <w:p w14:paraId="7BA0E066" w14:textId="77777777" w:rsidR="00154E32" w:rsidRDefault="00A43E04">
            <w:pPr>
              <w:pStyle w:val="P68B1DB1-Normal11"/>
              <w:jc w:val="center"/>
              <w:rPr>
                <w:noProof/>
              </w:rPr>
            </w:pPr>
            <w:r>
              <w:rPr>
                <w:noProof/>
              </w:rPr>
              <w:t>Začetek veljavnosti nacionalnega načrta in časovnega načrta za izvajanje za boj proti neprijavljenemu delu v vseh gospodarskih sektorjih.</w:t>
            </w:r>
          </w:p>
        </w:tc>
        <w:tc>
          <w:tcPr>
            <w:tcW w:w="1470" w:type="dxa"/>
            <w:shd w:val="clear" w:color="auto" w:fill="C6EFCE"/>
            <w:noWrap/>
            <w:vAlign w:val="center"/>
            <w:hideMark/>
          </w:tcPr>
          <w:p w14:paraId="7D0FD54C" w14:textId="08B0F3AB" w:rsidR="00154E32" w:rsidRDefault="00A43E04">
            <w:pPr>
              <w:pStyle w:val="P68B1DB1-Normal11"/>
              <w:jc w:val="center"/>
              <w:rPr>
                <w:rFonts w:eastAsia="Calibri"/>
                <w:noProof/>
              </w:rPr>
            </w:pPr>
            <w:r>
              <w:rPr>
                <w:noProof/>
              </w:rPr>
              <w:t>Določbe zakona o začetku veljavnosti nacionalnega načrta in ustanovitvi medinstitucionalne delovne skupine, ki bo odgovorna za oblikovanje nacionalnega načrta in časovnega načrta izvajanja</w:t>
            </w:r>
          </w:p>
        </w:tc>
        <w:tc>
          <w:tcPr>
            <w:tcW w:w="1275" w:type="dxa"/>
            <w:shd w:val="clear" w:color="auto" w:fill="C6EFCE"/>
            <w:noWrap/>
            <w:vAlign w:val="center"/>
            <w:hideMark/>
          </w:tcPr>
          <w:p w14:paraId="6376B42D" w14:textId="77777777" w:rsidR="00154E32" w:rsidRDefault="00A43E04">
            <w:pPr>
              <w:pStyle w:val="P68B1DB1-Normal11"/>
              <w:jc w:val="center"/>
              <w:rPr>
                <w:rFonts w:eastAsia="Calibri"/>
                <w:noProof/>
              </w:rPr>
            </w:pPr>
            <w:r>
              <w:rPr>
                <w:noProof/>
              </w:rPr>
              <w:t>JIH NI</w:t>
            </w:r>
          </w:p>
        </w:tc>
        <w:tc>
          <w:tcPr>
            <w:tcW w:w="1134" w:type="dxa"/>
            <w:shd w:val="clear" w:color="auto" w:fill="C6EFCE"/>
            <w:noWrap/>
            <w:vAlign w:val="center"/>
            <w:hideMark/>
          </w:tcPr>
          <w:p w14:paraId="5BEB0E05" w14:textId="77777777" w:rsidR="00154E32" w:rsidRDefault="00A43E04">
            <w:pPr>
              <w:pStyle w:val="P68B1DB1-Normal11"/>
              <w:jc w:val="center"/>
              <w:rPr>
                <w:rFonts w:eastAsia="Calibri"/>
                <w:noProof/>
              </w:rPr>
            </w:pPr>
            <w:r>
              <w:rPr>
                <w:noProof/>
              </w:rPr>
              <w:t>JIH NI</w:t>
            </w:r>
          </w:p>
        </w:tc>
        <w:tc>
          <w:tcPr>
            <w:tcW w:w="1134" w:type="dxa"/>
            <w:shd w:val="clear" w:color="auto" w:fill="C6EFCE"/>
            <w:noWrap/>
            <w:vAlign w:val="center"/>
            <w:hideMark/>
          </w:tcPr>
          <w:p w14:paraId="6385B054" w14:textId="77777777" w:rsidR="00154E32" w:rsidRDefault="00A43E04">
            <w:pPr>
              <w:pStyle w:val="P68B1DB1-Normal11"/>
              <w:jc w:val="center"/>
              <w:rPr>
                <w:rFonts w:eastAsia="Calibri"/>
                <w:noProof/>
              </w:rPr>
            </w:pPr>
            <w:r>
              <w:rPr>
                <w:noProof/>
              </w:rPr>
              <w:t>JIH NI</w:t>
            </w:r>
          </w:p>
        </w:tc>
        <w:tc>
          <w:tcPr>
            <w:tcW w:w="851" w:type="dxa"/>
            <w:shd w:val="clear" w:color="auto" w:fill="C6EFCE"/>
            <w:noWrap/>
            <w:vAlign w:val="center"/>
            <w:hideMark/>
          </w:tcPr>
          <w:p w14:paraId="1ACA708B" w14:textId="77777777" w:rsidR="00154E32" w:rsidRDefault="00A43E04">
            <w:pPr>
              <w:pStyle w:val="P68B1DB1-Normal11"/>
              <w:jc w:val="center"/>
              <w:rPr>
                <w:rFonts w:eastAsia="Calibri"/>
                <w:noProof/>
              </w:rPr>
            </w:pPr>
            <w:r>
              <w:rPr>
                <w:noProof/>
              </w:rPr>
              <w:t>Q4</w:t>
            </w:r>
          </w:p>
        </w:tc>
        <w:tc>
          <w:tcPr>
            <w:tcW w:w="709" w:type="dxa"/>
            <w:shd w:val="clear" w:color="auto" w:fill="C6EFCE"/>
            <w:noWrap/>
            <w:vAlign w:val="center"/>
            <w:hideMark/>
          </w:tcPr>
          <w:p w14:paraId="634C38CB" w14:textId="77777777" w:rsidR="00154E32" w:rsidRDefault="00A43E04">
            <w:pPr>
              <w:pStyle w:val="P68B1DB1-Normal11"/>
              <w:jc w:val="center"/>
              <w:rPr>
                <w:rFonts w:eastAsia="Calibri"/>
                <w:noProof/>
              </w:rPr>
            </w:pPr>
            <w:r>
              <w:rPr>
                <w:noProof/>
              </w:rPr>
              <w:t>2022</w:t>
            </w:r>
          </w:p>
        </w:tc>
        <w:tc>
          <w:tcPr>
            <w:tcW w:w="2835" w:type="dxa"/>
            <w:shd w:val="clear" w:color="auto" w:fill="C6EFCE"/>
            <w:noWrap/>
            <w:vAlign w:val="center"/>
            <w:hideMark/>
          </w:tcPr>
          <w:p w14:paraId="7E2BBBB4" w14:textId="77777777" w:rsidR="00154E32" w:rsidRDefault="00A43E04">
            <w:pPr>
              <w:pStyle w:val="P68B1DB1-Normal19"/>
              <w:rPr>
                <w:rFonts w:eastAsia="Calibri"/>
                <w:noProof/>
                <w:color w:val="006100"/>
              </w:rPr>
            </w:pPr>
            <w:r>
              <w:rPr>
                <w:noProof/>
                <w:color w:val="006100"/>
              </w:rPr>
              <w:t xml:space="preserve">Sprejetje nacionalnega načrta in časovnega načrta (enoletnega) izvajanja za boj proti neprijavljenemu delu v vseh gospodarskih sektorjih. Nacionalni načrt temelji na splošni strategiji za boj proti neprijavljenemu delu in večagencijskem pristopu, ki se uporablja za sprejetje nacionalnega načrta proti izkoriščanju dela v kmetijskem sektorju – „Piano triennale di contrasto allo sfruttamento lavorativo in agricoltura e al caporalato (2020–2022)“. Nacionalni načrt in časovni načrt za izvajanje vključujeta vsaj naslednje: </w:t>
            </w:r>
            <w:r>
              <w:rPr>
                <w:noProof/>
              </w:rPr>
              <w:t xml:space="preserve"> </w:t>
            </w:r>
            <w:r>
              <w:rPr>
                <w:noProof/>
              </w:rPr>
              <w:br/>
            </w:r>
            <w:r>
              <w:rPr>
                <w:noProof/>
                <w:color w:val="006100"/>
              </w:rPr>
              <w:t xml:space="preserve">(I) ukrepe za izboljšanje priprave, zbiranja in pravočasnega razširjanja podrobnih podatkov o delu na črno; </w:t>
            </w:r>
            <w:r>
              <w:rPr>
                <w:noProof/>
              </w:rPr>
              <w:t xml:space="preserve"> </w:t>
            </w:r>
            <w:r>
              <w:rPr>
                <w:noProof/>
              </w:rPr>
              <w:br/>
            </w:r>
            <w:r>
              <w:rPr>
                <w:noProof/>
                <w:color w:val="006100"/>
              </w:rPr>
              <w:t xml:space="preserve">(II) uvedba neposrednih in posrednih ukrepov za preoblikovanje neprijavljenega dela v prijavljeno delo z zagotavljanjem, da koristi dejavnosti v prijavljenem gospodarstvu odtehtajo stroške dela v neprijavljenem gospodarstvu. Na primer (a) odvračilni ukrepi, kot so krepitev inšpekcijskih pregledov in sankcij, ter preventivni ukrepi za spodbujanje prijavljenega dela, kot so ciljno usmerjene finančne spodbude, tudi s pregledom in racionalizacijo obstoječih; (b) krepitev povezave s politiko zaposlovanja in socialno politiko; </w:t>
            </w:r>
            <w:r>
              <w:rPr>
                <w:noProof/>
              </w:rPr>
              <w:t xml:space="preserve"> </w:t>
            </w:r>
            <w:r>
              <w:rPr>
                <w:noProof/>
              </w:rPr>
              <w:br/>
            </w:r>
            <w:r>
              <w:rPr>
                <w:noProof/>
                <w:color w:val="006100"/>
              </w:rPr>
              <w:t xml:space="preserve">(III) nacionalno informacijsko kampanjo o „razvrednotenju“ dela na črno, namenjeno delodajalcem in delavcem, ob dejavnem sodelovanju socialnih partnerjev; </w:t>
            </w:r>
            <w:r>
              <w:rPr>
                <w:noProof/>
              </w:rPr>
              <w:t xml:space="preserve"> </w:t>
            </w:r>
            <w:r>
              <w:rPr>
                <w:noProof/>
              </w:rPr>
              <w:br/>
            </w:r>
            <w:r>
              <w:rPr>
                <w:noProof/>
                <w:color w:val="006100"/>
              </w:rPr>
              <w:t xml:space="preserve">(IV) strukturo upravljanja za zagotavljanje učinkovitega izvajanja ukrepov; </w:t>
            </w:r>
          </w:p>
          <w:p w14:paraId="6ECCE12C" w14:textId="77777777" w:rsidR="00154E32" w:rsidRDefault="00A43E04">
            <w:pPr>
              <w:pStyle w:val="P68B1DB1-Normal11"/>
              <w:rPr>
                <w:rFonts w:eastAsia="Calibri"/>
                <w:noProof/>
              </w:rPr>
            </w:pPr>
            <w:r>
              <w:rPr>
                <w:noProof/>
              </w:rPr>
              <w:t>(V) ukrepe za premagovanje nezakonitih naselbin za boj proti izkoriščanju delovne sile v kmetijstvu.</w:t>
            </w:r>
          </w:p>
          <w:p w14:paraId="44E74DB2" w14:textId="77777777" w:rsidR="00154E32" w:rsidRDefault="00154E32">
            <w:pPr>
              <w:rPr>
                <w:rFonts w:ascii="Arial Narrow" w:eastAsia="Calibri" w:hAnsi="Arial Narrow"/>
                <w:noProof/>
                <w:color w:val="006100"/>
                <w:sz w:val="20"/>
              </w:rPr>
            </w:pPr>
          </w:p>
        </w:tc>
      </w:tr>
      <w:tr w:rsidR="00154E32" w14:paraId="179179CF" w14:textId="77777777">
        <w:trPr>
          <w:trHeight w:val="309"/>
          <w:jc w:val="center"/>
        </w:trPr>
        <w:tc>
          <w:tcPr>
            <w:tcW w:w="1364" w:type="dxa"/>
            <w:shd w:val="clear" w:color="auto" w:fill="C6EFCE"/>
            <w:noWrap/>
            <w:vAlign w:val="center"/>
            <w:hideMark/>
          </w:tcPr>
          <w:p w14:paraId="04467B4E" w14:textId="7A0B3771" w:rsidR="00154E32" w:rsidRDefault="00A43E04">
            <w:pPr>
              <w:pStyle w:val="P68B1DB1-Normal11"/>
              <w:jc w:val="center"/>
              <w:rPr>
                <w:rFonts w:eastAsia="Calibri"/>
                <w:noProof/>
              </w:rPr>
            </w:pPr>
            <w:r>
              <w:rPr>
                <w:noProof/>
              </w:rPr>
              <w:t>M5C1–9</w:t>
            </w:r>
          </w:p>
        </w:tc>
        <w:tc>
          <w:tcPr>
            <w:tcW w:w="1513" w:type="dxa"/>
            <w:shd w:val="clear" w:color="auto" w:fill="C6EFCE"/>
            <w:noWrap/>
            <w:vAlign w:val="center"/>
            <w:hideMark/>
          </w:tcPr>
          <w:p w14:paraId="1EF519EF" w14:textId="77777777" w:rsidR="00154E32" w:rsidRDefault="00A43E04">
            <w:pPr>
              <w:pStyle w:val="P68B1DB1-Normal11"/>
              <w:jc w:val="center"/>
              <w:rPr>
                <w:rFonts w:eastAsia="Calibri"/>
                <w:noProof/>
              </w:rPr>
            </w:pPr>
            <w:r>
              <w:rPr>
                <w:noProof/>
              </w:rPr>
              <w:t>Reforma 2 – Neprijavljeno delo</w:t>
            </w:r>
          </w:p>
        </w:tc>
        <w:tc>
          <w:tcPr>
            <w:tcW w:w="1281" w:type="dxa"/>
            <w:shd w:val="clear" w:color="auto" w:fill="C6EFCE"/>
            <w:noWrap/>
            <w:vAlign w:val="center"/>
            <w:hideMark/>
          </w:tcPr>
          <w:p w14:paraId="3BF09AF3" w14:textId="77777777" w:rsidR="00154E32" w:rsidRDefault="00A43E04">
            <w:pPr>
              <w:pStyle w:val="P68B1DB1-Normal11"/>
              <w:jc w:val="center"/>
              <w:rPr>
                <w:rFonts w:eastAsia="Calibri"/>
                <w:noProof/>
              </w:rPr>
            </w:pPr>
            <w:r>
              <w:rPr>
                <w:noProof/>
              </w:rPr>
              <w:t>Mejnik</w:t>
            </w:r>
          </w:p>
        </w:tc>
        <w:tc>
          <w:tcPr>
            <w:tcW w:w="1597" w:type="dxa"/>
            <w:shd w:val="clear" w:color="auto" w:fill="C6EFCE"/>
            <w:noWrap/>
            <w:vAlign w:val="center"/>
            <w:hideMark/>
          </w:tcPr>
          <w:p w14:paraId="18752DCD" w14:textId="77777777" w:rsidR="00154E32" w:rsidRDefault="00A43E04">
            <w:pPr>
              <w:pStyle w:val="P68B1DB1-Normal11"/>
              <w:jc w:val="center"/>
              <w:rPr>
                <w:noProof/>
              </w:rPr>
            </w:pPr>
            <w:r>
              <w:rPr>
                <w:noProof/>
              </w:rPr>
              <w:t>Popolno izvajanje ukrepov, vključenih v nacionalni načrt, v skladu s časovnim načrtom</w:t>
            </w:r>
          </w:p>
        </w:tc>
        <w:tc>
          <w:tcPr>
            <w:tcW w:w="1470" w:type="dxa"/>
            <w:shd w:val="clear" w:color="auto" w:fill="C6EFCE"/>
            <w:noWrap/>
            <w:vAlign w:val="center"/>
            <w:hideMark/>
          </w:tcPr>
          <w:p w14:paraId="626ADCEC" w14:textId="77777777" w:rsidR="00154E32" w:rsidRDefault="00A43E04">
            <w:pPr>
              <w:pStyle w:val="P68B1DB1-Normal11"/>
              <w:jc w:val="center"/>
              <w:rPr>
                <w:noProof/>
              </w:rPr>
            </w:pPr>
            <w:r>
              <w:rPr>
                <w:noProof/>
              </w:rPr>
              <w:t>Izvedeni ukrepi nacionalnega načrta</w:t>
            </w:r>
          </w:p>
        </w:tc>
        <w:tc>
          <w:tcPr>
            <w:tcW w:w="1275" w:type="dxa"/>
            <w:shd w:val="clear" w:color="auto" w:fill="C6EFCE"/>
            <w:noWrap/>
            <w:vAlign w:val="center"/>
            <w:hideMark/>
          </w:tcPr>
          <w:p w14:paraId="38AA4691" w14:textId="77777777" w:rsidR="00154E32" w:rsidRDefault="00A43E04">
            <w:pPr>
              <w:pStyle w:val="P68B1DB1-Normal11"/>
              <w:jc w:val="center"/>
              <w:rPr>
                <w:rFonts w:eastAsia="Calibri"/>
                <w:noProof/>
              </w:rPr>
            </w:pPr>
            <w:r>
              <w:rPr>
                <w:noProof/>
              </w:rPr>
              <w:t>JIH NI</w:t>
            </w:r>
          </w:p>
        </w:tc>
        <w:tc>
          <w:tcPr>
            <w:tcW w:w="1134" w:type="dxa"/>
            <w:shd w:val="clear" w:color="auto" w:fill="C6EFCE"/>
            <w:noWrap/>
            <w:vAlign w:val="center"/>
            <w:hideMark/>
          </w:tcPr>
          <w:p w14:paraId="7761F3AD" w14:textId="77777777" w:rsidR="00154E32" w:rsidRDefault="00A43E04">
            <w:pPr>
              <w:pStyle w:val="P68B1DB1-Normal11"/>
              <w:jc w:val="center"/>
              <w:rPr>
                <w:rFonts w:eastAsia="Calibri"/>
                <w:noProof/>
              </w:rPr>
            </w:pPr>
            <w:r>
              <w:rPr>
                <w:noProof/>
              </w:rPr>
              <w:t>JIH NI</w:t>
            </w:r>
          </w:p>
        </w:tc>
        <w:tc>
          <w:tcPr>
            <w:tcW w:w="1134" w:type="dxa"/>
            <w:shd w:val="clear" w:color="auto" w:fill="C6EFCE"/>
            <w:noWrap/>
            <w:vAlign w:val="center"/>
            <w:hideMark/>
          </w:tcPr>
          <w:p w14:paraId="03CE2D3C" w14:textId="77777777" w:rsidR="00154E32" w:rsidRDefault="00A43E04">
            <w:pPr>
              <w:pStyle w:val="P68B1DB1-Normal11"/>
              <w:jc w:val="center"/>
              <w:rPr>
                <w:rFonts w:eastAsia="Calibri"/>
                <w:noProof/>
              </w:rPr>
            </w:pPr>
            <w:r>
              <w:rPr>
                <w:noProof/>
              </w:rPr>
              <w:t>JIH NI</w:t>
            </w:r>
          </w:p>
        </w:tc>
        <w:tc>
          <w:tcPr>
            <w:tcW w:w="851" w:type="dxa"/>
            <w:shd w:val="clear" w:color="auto" w:fill="C6EFCE"/>
            <w:noWrap/>
            <w:vAlign w:val="center"/>
            <w:hideMark/>
          </w:tcPr>
          <w:p w14:paraId="17AA142A" w14:textId="77777777" w:rsidR="00154E32" w:rsidRDefault="00A43E04">
            <w:pPr>
              <w:pStyle w:val="P68B1DB1-Normal11"/>
              <w:jc w:val="center"/>
              <w:rPr>
                <w:rFonts w:eastAsia="Calibri"/>
                <w:noProof/>
              </w:rPr>
            </w:pPr>
            <w:r>
              <w:rPr>
                <w:noProof/>
              </w:rPr>
              <w:t>ČETRTLETJE 1</w:t>
            </w:r>
          </w:p>
        </w:tc>
        <w:tc>
          <w:tcPr>
            <w:tcW w:w="709" w:type="dxa"/>
            <w:shd w:val="clear" w:color="auto" w:fill="C6EFCE"/>
            <w:noWrap/>
            <w:vAlign w:val="center"/>
            <w:hideMark/>
          </w:tcPr>
          <w:p w14:paraId="72D46007" w14:textId="77777777" w:rsidR="00154E32" w:rsidRDefault="00A43E04">
            <w:pPr>
              <w:pStyle w:val="P68B1DB1-Normal11"/>
              <w:jc w:val="center"/>
              <w:rPr>
                <w:rFonts w:eastAsia="Calibri"/>
                <w:noProof/>
              </w:rPr>
            </w:pPr>
            <w:r>
              <w:rPr>
                <w:noProof/>
              </w:rPr>
              <w:t>2024</w:t>
            </w:r>
          </w:p>
        </w:tc>
        <w:tc>
          <w:tcPr>
            <w:tcW w:w="2835" w:type="dxa"/>
            <w:shd w:val="clear" w:color="auto" w:fill="C6EFCE"/>
            <w:noWrap/>
            <w:vAlign w:val="center"/>
            <w:hideMark/>
          </w:tcPr>
          <w:p w14:paraId="5874E567" w14:textId="77777777" w:rsidR="00154E32" w:rsidRDefault="00A43E04">
            <w:pPr>
              <w:pStyle w:val="P68B1DB1-Normal11"/>
              <w:rPr>
                <w:rFonts w:eastAsia="Calibri"/>
                <w:noProof/>
              </w:rPr>
            </w:pPr>
            <w:r>
              <w:rPr>
                <w:noProof/>
              </w:rPr>
              <w:t>Popolno izvajanje vseh ukrepov, vključenih v nacionalni načrt, v skladu s časovnim načrtom.</w:t>
            </w:r>
          </w:p>
        </w:tc>
      </w:tr>
      <w:tr w:rsidR="00154E32" w14:paraId="7EB24EA1" w14:textId="77777777">
        <w:trPr>
          <w:trHeight w:val="309"/>
          <w:jc w:val="center"/>
        </w:trPr>
        <w:tc>
          <w:tcPr>
            <w:tcW w:w="1364" w:type="dxa"/>
            <w:shd w:val="clear" w:color="auto" w:fill="C6EFCE"/>
            <w:noWrap/>
            <w:vAlign w:val="center"/>
            <w:hideMark/>
          </w:tcPr>
          <w:p w14:paraId="42FAC86D" w14:textId="77777777" w:rsidR="00154E32" w:rsidRDefault="00A43E04">
            <w:pPr>
              <w:pStyle w:val="P68B1DB1-Normal11"/>
              <w:jc w:val="center"/>
              <w:rPr>
                <w:noProof/>
              </w:rPr>
            </w:pPr>
            <w:r>
              <w:rPr>
                <w:noProof/>
              </w:rPr>
              <w:t xml:space="preserve">M5C1–10 </w:t>
            </w:r>
          </w:p>
        </w:tc>
        <w:tc>
          <w:tcPr>
            <w:tcW w:w="1513" w:type="dxa"/>
            <w:shd w:val="clear" w:color="auto" w:fill="C6EFCE"/>
            <w:noWrap/>
            <w:vAlign w:val="center"/>
            <w:hideMark/>
          </w:tcPr>
          <w:p w14:paraId="3C244DAC" w14:textId="53E40940" w:rsidR="00154E32" w:rsidRDefault="00A43E04">
            <w:pPr>
              <w:pStyle w:val="P68B1DB1-Normal11"/>
              <w:jc w:val="center"/>
              <w:rPr>
                <w:rFonts w:eastAsia="Calibri"/>
                <w:noProof/>
              </w:rPr>
            </w:pPr>
            <w:r>
              <w:rPr>
                <w:noProof/>
              </w:rPr>
              <w:t>Reforma 2 – Neprijavljeno delo</w:t>
            </w:r>
          </w:p>
        </w:tc>
        <w:tc>
          <w:tcPr>
            <w:tcW w:w="1281" w:type="dxa"/>
            <w:shd w:val="clear" w:color="auto" w:fill="C6EFCE"/>
            <w:noWrap/>
            <w:vAlign w:val="center"/>
            <w:hideMark/>
          </w:tcPr>
          <w:p w14:paraId="57C4A05E" w14:textId="77777777" w:rsidR="00154E32" w:rsidRDefault="00A43E04">
            <w:pPr>
              <w:pStyle w:val="P68B1DB1-Normal11"/>
              <w:jc w:val="center"/>
              <w:rPr>
                <w:rFonts w:eastAsia="Calibri"/>
                <w:noProof/>
              </w:rPr>
            </w:pPr>
            <w:r>
              <w:rPr>
                <w:noProof/>
              </w:rPr>
              <w:t>Tarča</w:t>
            </w:r>
          </w:p>
        </w:tc>
        <w:tc>
          <w:tcPr>
            <w:tcW w:w="1597" w:type="dxa"/>
            <w:shd w:val="clear" w:color="auto" w:fill="C6EFCE"/>
            <w:noWrap/>
            <w:vAlign w:val="center"/>
            <w:hideMark/>
          </w:tcPr>
          <w:p w14:paraId="2D490AAB" w14:textId="77777777" w:rsidR="00154E32" w:rsidRDefault="00A43E04">
            <w:pPr>
              <w:pStyle w:val="P68B1DB1-Normal11"/>
              <w:jc w:val="center"/>
              <w:rPr>
                <w:rFonts w:eastAsia="Calibri"/>
                <w:noProof/>
              </w:rPr>
            </w:pPr>
            <w:r>
              <w:rPr>
                <w:noProof/>
              </w:rPr>
              <w:t>Večje število delovnih inšpekcij</w:t>
            </w:r>
          </w:p>
        </w:tc>
        <w:tc>
          <w:tcPr>
            <w:tcW w:w="1470" w:type="dxa"/>
            <w:shd w:val="clear" w:color="auto" w:fill="C6EFCE"/>
            <w:noWrap/>
            <w:vAlign w:val="center"/>
            <w:hideMark/>
          </w:tcPr>
          <w:p w14:paraId="662B17C3" w14:textId="77777777" w:rsidR="00154E32" w:rsidRDefault="00A43E04">
            <w:pPr>
              <w:pStyle w:val="P68B1DB1-Normal11"/>
              <w:jc w:val="center"/>
              <w:rPr>
                <w:rFonts w:eastAsia="Calibri"/>
                <w:noProof/>
              </w:rPr>
            </w:pPr>
            <w:r>
              <w:rPr>
                <w:noProof/>
              </w:rPr>
              <w:t>JIH NI</w:t>
            </w:r>
          </w:p>
        </w:tc>
        <w:tc>
          <w:tcPr>
            <w:tcW w:w="1275" w:type="dxa"/>
            <w:shd w:val="clear" w:color="auto" w:fill="C6EFCE"/>
            <w:noWrap/>
            <w:vAlign w:val="center"/>
            <w:hideMark/>
          </w:tcPr>
          <w:p w14:paraId="1E3B8549" w14:textId="77777777" w:rsidR="00154E32" w:rsidRDefault="00A43E04">
            <w:pPr>
              <w:pStyle w:val="P68B1DB1-Normal11"/>
              <w:jc w:val="center"/>
              <w:rPr>
                <w:noProof/>
              </w:rPr>
            </w:pPr>
            <w:r>
              <w:rPr>
                <w:noProof/>
              </w:rPr>
              <w:t xml:space="preserve">Delež </w:t>
            </w:r>
          </w:p>
        </w:tc>
        <w:tc>
          <w:tcPr>
            <w:tcW w:w="1134" w:type="dxa"/>
            <w:shd w:val="clear" w:color="auto" w:fill="C6EFCE"/>
            <w:noWrap/>
            <w:vAlign w:val="center"/>
            <w:hideMark/>
          </w:tcPr>
          <w:p w14:paraId="6C74F525" w14:textId="77777777" w:rsidR="00154E32" w:rsidRDefault="00A43E04">
            <w:pPr>
              <w:pStyle w:val="P68B1DB1-Normal11"/>
              <w:jc w:val="center"/>
              <w:rPr>
                <w:noProof/>
              </w:rPr>
            </w:pPr>
            <w:r>
              <w:rPr>
                <w:noProof/>
              </w:rPr>
              <w:t>0</w:t>
            </w:r>
          </w:p>
        </w:tc>
        <w:tc>
          <w:tcPr>
            <w:tcW w:w="1134" w:type="dxa"/>
            <w:shd w:val="clear" w:color="auto" w:fill="C6EFCE"/>
            <w:noWrap/>
            <w:vAlign w:val="center"/>
            <w:hideMark/>
          </w:tcPr>
          <w:p w14:paraId="5DED6C0C" w14:textId="77777777" w:rsidR="00154E32" w:rsidRDefault="00A43E04">
            <w:pPr>
              <w:pStyle w:val="P68B1DB1-Normal11"/>
              <w:jc w:val="center"/>
              <w:rPr>
                <w:noProof/>
              </w:rPr>
            </w:pPr>
            <w:r>
              <w:rPr>
                <w:noProof/>
              </w:rPr>
              <w:t>20</w:t>
            </w:r>
          </w:p>
        </w:tc>
        <w:tc>
          <w:tcPr>
            <w:tcW w:w="851" w:type="dxa"/>
            <w:shd w:val="clear" w:color="auto" w:fill="C6EFCE"/>
            <w:noWrap/>
            <w:vAlign w:val="center"/>
            <w:hideMark/>
          </w:tcPr>
          <w:p w14:paraId="7856FFDE" w14:textId="77777777" w:rsidR="00154E32" w:rsidRDefault="00A43E04">
            <w:pPr>
              <w:pStyle w:val="P68B1DB1-Normal11"/>
              <w:jc w:val="center"/>
              <w:rPr>
                <w:rFonts w:eastAsia="Calibri"/>
                <w:noProof/>
              </w:rPr>
            </w:pPr>
            <w:r>
              <w:rPr>
                <w:noProof/>
              </w:rPr>
              <w:t>Q2</w:t>
            </w:r>
          </w:p>
        </w:tc>
        <w:tc>
          <w:tcPr>
            <w:tcW w:w="709" w:type="dxa"/>
            <w:shd w:val="clear" w:color="auto" w:fill="C6EFCE"/>
            <w:noWrap/>
            <w:vAlign w:val="center"/>
            <w:hideMark/>
          </w:tcPr>
          <w:p w14:paraId="3CA2DCFD" w14:textId="77777777" w:rsidR="00154E32" w:rsidRDefault="00A43E04">
            <w:pPr>
              <w:pStyle w:val="P68B1DB1-Normal11"/>
              <w:jc w:val="center"/>
              <w:rPr>
                <w:rFonts w:eastAsia="Calibri"/>
                <w:noProof/>
              </w:rPr>
            </w:pPr>
            <w:r>
              <w:rPr>
                <w:noProof/>
              </w:rPr>
              <w:t>2025</w:t>
            </w:r>
          </w:p>
        </w:tc>
        <w:tc>
          <w:tcPr>
            <w:tcW w:w="2835" w:type="dxa"/>
            <w:shd w:val="clear" w:color="auto" w:fill="C6EFCE"/>
            <w:noWrap/>
            <w:vAlign w:val="center"/>
            <w:hideMark/>
          </w:tcPr>
          <w:p w14:paraId="4F049AC5" w14:textId="47E715AF" w:rsidR="00154E32" w:rsidRDefault="00A43E04">
            <w:pPr>
              <w:pStyle w:val="P68B1DB1-Normal11"/>
              <w:rPr>
                <w:noProof/>
              </w:rPr>
            </w:pPr>
            <w:r>
              <w:rPr>
                <w:noProof/>
              </w:rPr>
              <w:t>Vsaj +20-odstotno povečanje števila inšpekcijskih pregledov za obdobje 2019–2021. V dveletnem obdobju 2019–2020 so delovne inšpekcije v povprečju znašale približno 85000.</w:t>
            </w:r>
          </w:p>
        </w:tc>
      </w:tr>
      <w:tr w:rsidR="00154E32" w14:paraId="5172D08C" w14:textId="77777777">
        <w:trPr>
          <w:trHeight w:val="309"/>
          <w:jc w:val="center"/>
        </w:trPr>
        <w:tc>
          <w:tcPr>
            <w:tcW w:w="1364" w:type="dxa"/>
            <w:shd w:val="clear" w:color="auto" w:fill="C6EFCE"/>
            <w:noWrap/>
            <w:vAlign w:val="center"/>
            <w:hideMark/>
          </w:tcPr>
          <w:p w14:paraId="197F793E" w14:textId="77777777" w:rsidR="00154E32" w:rsidRDefault="00A43E04">
            <w:pPr>
              <w:pStyle w:val="P68B1DB1-Normal11"/>
              <w:jc w:val="center"/>
              <w:rPr>
                <w:rFonts w:eastAsia="Calibri"/>
                <w:noProof/>
              </w:rPr>
            </w:pPr>
            <w:r>
              <w:rPr>
                <w:noProof/>
              </w:rPr>
              <w:t xml:space="preserve">M5C1–11 </w:t>
            </w:r>
          </w:p>
        </w:tc>
        <w:tc>
          <w:tcPr>
            <w:tcW w:w="1513" w:type="dxa"/>
            <w:shd w:val="clear" w:color="auto" w:fill="C6EFCE"/>
            <w:noWrap/>
            <w:vAlign w:val="center"/>
            <w:hideMark/>
          </w:tcPr>
          <w:p w14:paraId="1DF55B01" w14:textId="090B4F09" w:rsidR="00154E32" w:rsidRDefault="00A43E04">
            <w:pPr>
              <w:pStyle w:val="P68B1DB1-Normal11"/>
              <w:jc w:val="center"/>
              <w:rPr>
                <w:rFonts w:eastAsia="Calibri"/>
                <w:noProof/>
              </w:rPr>
            </w:pPr>
            <w:r>
              <w:rPr>
                <w:noProof/>
              </w:rPr>
              <w:t>Reforma 2 – Neprijavljeno delo</w:t>
            </w:r>
          </w:p>
        </w:tc>
        <w:tc>
          <w:tcPr>
            <w:tcW w:w="1281" w:type="dxa"/>
            <w:shd w:val="clear" w:color="auto" w:fill="C6EFCE"/>
            <w:noWrap/>
            <w:vAlign w:val="center"/>
            <w:hideMark/>
          </w:tcPr>
          <w:p w14:paraId="68B0E5D7" w14:textId="77777777" w:rsidR="00154E32" w:rsidRDefault="00A43E04">
            <w:pPr>
              <w:pStyle w:val="P68B1DB1-Normal11"/>
              <w:jc w:val="center"/>
              <w:rPr>
                <w:rFonts w:eastAsia="Calibri"/>
                <w:noProof/>
              </w:rPr>
            </w:pPr>
            <w:r>
              <w:rPr>
                <w:noProof/>
              </w:rPr>
              <w:t>Tarča</w:t>
            </w:r>
          </w:p>
        </w:tc>
        <w:tc>
          <w:tcPr>
            <w:tcW w:w="1597" w:type="dxa"/>
            <w:shd w:val="clear" w:color="auto" w:fill="C6EFCE"/>
            <w:noWrap/>
            <w:vAlign w:val="center"/>
            <w:hideMark/>
          </w:tcPr>
          <w:p w14:paraId="656E56F3" w14:textId="77777777" w:rsidR="00154E32" w:rsidRDefault="00A43E04">
            <w:pPr>
              <w:pStyle w:val="P68B1DB1-Normal11"/>
              <w:jc w:val="center"/>
              <w:rPr>
                <w:rFonts w:eastAsia="Calibri"/>
                <w:noProof/>
              </w:rPr>
            </w:pPr>
            <w:r>
              <w:rPr>
                <w:noProof/>
              </w:rPr>
              <w:t>Manjša pogostost neprijavljenega dela</w:t>
            </w:r>
          </w:p>
        </w:tc>
        <w:tc>
          <w:tcPr>
            <w:tcW w:w="1470" w:type="dxa"/>
            <w:shd w:val="clear" w:color="auto" w:fill="C6EFCE"/>
            <w:noWrap/>
            <w:vAlign w:val="center"/>
            <w:hideMark/>
          </w:tcPr>
          <w:p w14:paraId="550A8D0E" w14:textId="77777777" w:rsidR="00154E32" w:rsidRDefault="00A43E04">
            <w:pPr>
              <w:pStyle w:val="P68B1DB1-Normal11"/>
              <w:jc w:val="center"/>
              <w:rPr>
                <w:noProof/>
              </w:rPr>
            </w:pPr>
            <w:r>
              <w:rPr>
                <w:noProof/>
              </w:rPr>
              <w:t>JIH NI</w:t>
            </w:r>
          </w:p>
        </w:tc>
        <w:tc>
          <w:tcPr>
            <w:tcW w:w="1275" w:type="dxa"/>
            <w:shd w:val="clear" w:color="auto" w:fill="C6EFCE"/>
            <w:noWrap/>
            <w:vAlign w:val="center"/>
            <w:hideMark/>
          </w:tcPr>
          <w:p w14:paraId="10D237B1" w14:textId="77777777" w:rsidR="00154E32" w:rsidRDefault="00A43E04">
            <w:pPr>
              <w:pStyle w:val="P68B1DB1-Normal11"/>
              <w:jc w:val="center"/>
              <w:rPr>
                <w:noProof/>
              </w:rPr>
            </w:pPr>
            <w:r>
              <w:rPr>
                <w:noProof/>
              </w:rPr>
              <w:t xml:space="preserve">Delež </w:t>
            </w:r>
          </w:p>
        </w:tc>
        <w:tc>
          <w:tcPr>
            <w:tcW w:w="1134" w:type="dxa"/>
            <w:shd w:val="clear" w:color="auto" w:fill="C6EFCE"/>
            <w:noWrap/>
            <w:vAlign w:val="center"/>
            <w:hideMark/>
          </w:tcPr>
          <w:p w14:paraId="6BAF4077" w14:textId="77777777" w:rsidR="00154E32" w:rsidRDefault="00A43E04">
            <w:pPr>
              <w:pStyle w:val="P68B1DB1-Normal11"/>
              <w:jc w:val="center"/>
              <w:rPr>
                <w:rFonts w:eastAsia="Calibri"/>
                <w:noProof/>
              </w:rPr>
            </w:pPr>
            <w:r>
              <w:rPr>
                <w:noProof/>
              </w:rPr>
              <w:t>0</w:t>
            </w:r>
          </w:p>
        </w:tc>
        <w:tc>
          <w:tcPr>
            <w:tcW w:w="1134" w:type="dxa"/>
            <w:shd w:val="clear" w:color="auto" w:fill="C6EFCE"/>
            <w:noWrap/>
            <w:vAlign w:val="center"/>
            <w:hideMark/>
          </w:tcPr>
          <w:p w14:paraId="3D48F3CA" w14:textId="77777777" w:rsidR="00154E32" w:rsidRDefault="00A43E04">
            <w:pPr>
              <w:pStyle w:val="P68B1DB1-Normal11"/>
              <w:jc w:val="center"/>
              <w:rPr>
                <w:noProof/>
              </w:rPr>
            </w:pPr>
            <w:r>
              <w:rPr>
                <w:noProof/>
              </w:rPr>
              <w:t>2</w:t>
            </w:r>
          </w:p>
        </w:tc>
        <w:tc>
          <w:tcPr>
            <w:tcW w:w="851" w:type="dxa"/>
            <w:shd w:val="clear" w:color="auto" w:fill="C6EFCE"/>
            <w:noWrap/>
            <w:vAlign w:val="center"/>
            <w:hideMark/>
          </w:tcPr>
          <w:p w14:paraId="32BD6F37" w14:textId="77777777" w:rsidR="00154E32" w:rsidRDefault="00A43E04">
            <w:pPr>
              <w:pStyle w:val="P68B1DB1-Normal11"/>
              <w:jc w:val="center"/>
              <w:rPr>
                <w:rFonts w:eastAsia="Calibri"/>
                <w:noProof/>
              </w:rPr>
            </w:pPr>
            <w:r>
              <w:rPr>
                <w:noProof/>
              </w:rPr>
              <w:t>ČETRTLETJE 1</w:t>
            </w:r>
          </w:p>
        </w:tc>
        <w:tc>
          <w:tcPr>
            <w:tcW w:w="709" w:type="dxa"/>
            <w:shd w:val="clear" w:color="auto" w:fill="C6EFCE"/>
            <w:noWrap/>
            <w:vAlign w:val="center"/>
            <w:hideMark/>
          </w:tcPr>
          <w:p w14:paraId="28605ADD" w14:textId="77777777" w:rsidR="00154E32" w:rsidRDefault="00A43E04">
            <w:pPr>
              <w:pStyle w:val="P68B1DB1-Normal11"/>
              <w:jc w:val="center"/>
              <w:rPr>
                <w:rFonts w:eastAsia="Calibri"/>
                <w:noProof/>
              </w:rPr>
            </w:pPr>
            <w:r>
              <w:rPr>
                <w:noProof/>
              </w:rPr>
              <w:t>2026</w:t>
            </w:r>
          </w:p>
        </w:tc>
        <w:tc>
          <w:tcPr>
            <w:tcW w:w="2835" w:type="dxa"/>
            <w:shd w:val="clear" w:color="auto" w:fill="C6EFCE"/>
            <w:noWrap/>
            <w:vAlign w:val="center"/>
            <w:hideMark/>
          </w:tcPr>
          <w:p w14:paraId="138A8783" w14:textId="77777777" w:rsidR="00154E32" w:rsidRDefault="00A43E04">
            <w:pPr>
              <w:pStyle w:val="P68B1DB1-Normal11"/>
              <w:rPr>
                <w:noProof/>
              </w:rPr>
            </w:pPr>
            <w:r>
              <w:rPr>
                <w:noProof/>
              </w:rPr>
              <w:t xml:space="preserve">Zmanjša pogostost dela na črno za vsaj 2 odstotni točki, odvisno od ciljnih sektorjev. </w:t>
            </w:r>
          </w:p>
          <w:p w14:paraId="447D5B0C" w14:textId="77777777" w:rsidR="00154E32" w:rsidRDefault="00A43E04">
            <w:pPr>
              <w:pStyle w:val="P68B1DB1-Normal11"/>
              <w:rPr>
                <w:noProof/>
              </w:rPr>
            </w:pPr>
            <w:r>
              <w:rPr>
                <w:noProof/>
              </w:rPr>
              <w:t>Glavni cilj cilja je določiti raven ambicioznosti nacionalnega načrta, ki naj bi bil sprejet do leta 2022. V zvezi s tem se zagotovijo analitične specifikacije ter opredelijo ustrezni in izvedljivi kazalniki.</w:t>
            </w:r>
          </w:p>
          <w:p w14:paraId="181AA684" w14:textId="77777777" w:rsidR="00154E32" w:rsidRDefault="00154E32">
            <w:pPr>
              <w:rPr>
                <w:rFonts w:ascii="Arial Narrow" w:hAnsi="Arial Narrow"/>
                <w:noProof/>
                <w:color w:val="006100"/>
                <w:sz w:val="20"/>
              </w:rPr>
            </w:pPr>
          </w:p>
        </w:tc>
      </w:tr>
      <w:tr w:rsidR="00154E32" w14:paraId="00699AE5" w14:textId="77777777">
        <w:trPr>
          <w:trHeight w:val="309"/>
          <w:jc w:val="center"/>
        </w:trPr>
        <w:tc>
          <w:tcPr>
            <w:tcW w:w="1364" w:type="dxa"/>
            <w:shd w:val="clear" w:color="auto" w:fill="C6EFCE"/>
            <w:noWrap/>
            <w:vAlign w:val="center"/>
            <w:hideMark/>
          </w:tcPr>
          <w:p w14:paraId="62DE35DA" w14:textId="25894342" w:rsidR="00154E32" w:rsidRDefault="00A43E04">
            <w:pPr>
              <w:pStyle w:val="P68B1DB1-Normal11"/>
              <w:spacing w:before="120" w:after="120"/>
              <w:jc w:val="center"/>
              <w:rPr>
                <w:rFonts w:eastAsia="Calibri"/>
                <w:noProof/>
              </w:rPr>
            </w:pPr>
            <w:r>
              <w:rPr>
                <w:noProof/>
              </w:rPr>
              <w:t>M5C1–12</w:t>
            </w:r>
          </w:p>
        </w:tc>
        <w:tc>
          <w:tcPr>
            <w:tcW w:w="1513" w:type="dxa"/>
            <w:shd w:val="clear" w:color="auto" w:fill="C6EFCE"/>
            <w:noWrap/>
            <w:vAlign w:val="center"/>
            <w:hideMark/>
          </w:tcPr>
          <w:p w14:paraId="01C4DE04" w14:textId="77777777" w:rsidR="00154E32" w:rsidRDefault="00A43E04">
            <w:pPr>
              <w:pStyle w:val="P68B1DB1-Normal11"/>
              <w:spacing w:before="120" w:after="120"/>
              <w:jc w:val="center"/>
              <w:rPr>
                <w:noProof/>
              </w:rPr>
            </w:pPr>
            <w:r>
              <w:rPr>
                <w:noProof/>
              </w:rPr>
              <w:t>Naložba 2 – Sistem certificiranja za enakost spolov</w:t>
            </w:r>
          </w:p>
        </w:tc>
        <w:tc>
          <w:tcPr>
            <w:tcW w:w="1281" w:type="dxa"/>
            <w:shd w:val="clear" w:color="auto" w:fill="C6EFCE"/>
            <w:noWrap/>
            <w:vAlign w:val="center"/>
            <w:hideMark/>
          </w:tcPr>
          <w:p w14:paraId="7885EF8E" w14:textId="77777777" w:rsidR="00154E32" w:rsidRDefault="00A43E04">
            <w:pPr>
              <w:pStyle w:val="P68B1DB1-Normal11"/>
              <w:spacing w:before="120" w:after="120"/>
              <w:jc w:val="center"/>
              <w:rPr>
                <w:rFonts w:eastAsia="Calibri"/>
                <w:noProof/>
              </w:rPr>
            </w:pPr>
            <w:r>
              <w:rPr>
                <w:noProof/>
              </w:rPr>
              <w:t>Mejnik</w:t>
            </w:r>
          </w:p>
        </w:tc>
        <w:tc>
          <w:tcPr>
            <w:tcW w:w="1597" w:type="dxa"/>
            <w:shd w:val="clear" w:color="auto" w:fill="C6EFCE"/>
            <w:noWrap/>
            <w:vAlign w:val="center"/>
            <w:hideMark/>
          </w:tcPr>
          <w:p w14:paraId="45440BF4" w14:textId="77777777" w:rsidR="00154E32" w:rsidRDefault="00A43E04">
            <w:pPr>
              <w:pStyle w:val="P68B1DB1-Normal11"/>
              <w:spacing w:before="120" w:after="120"/>
              <w:jc w:val="center"/>
              <w:rPr>
                <w:rFonts w:eastAsia="Calibri"/>
                <w:noProof/>
              </w:rPr>
            </w:pPr>
            <w:r>
              <w:rPr>
                <w:noProof/>
              </w:rPr>
              <w:t xml:space="preserve">Začetek veljavnosti certifikacijskega sistema za enakost spolov in spremljevalnih mehanizmov spodbud za podjetja </w:t>
            </w:r>
          </w:p>
        </w:tc>
        <w:tc>
          <w:tcPr>
            <w:tcW w:w="1470" w:type="dxa"/>
            <w:shd w:val="clear" w:color="auto" w:fill="C6EFCE"/>
            <w:noWrap/>
            <w:vAlign w:val="center"/>
            <w:hideMark/>
          </w:tcPr>
          <w:p w14:paraId="5E8B79AA" w14:textId="77777777" w:rsidR="00154E32" w:rsidRDefault="00A43E04">
            <w:pPr>
              <w:pStyle w:val="P68B1DB1-Normal11"/>
              <w:spacing w:before="120" w:after="120"/>
              <w:jc w:val="center"/>
              <w:rPr>
                <w:rFonts w:eastAsia="Calibri"/>
                <w:noProof/>
              </w:rPr>
            </w:pPr>
            <w:r>
              <w:rPr>
                <w:noProof/>
              </w:rPr>
              <w:t>Določbe zakona o začetku veljavnosti zakonodajnih aktov in izvedbenih ukrepov, ki urejajo opredelitev sistema certificiranja</w:t>
            </w:r>
          </w:p>
        </w:tc>
        <w:tc>
          <w:tcPr>
            <w:tcW w:w="1275" w:type="dxa"/>
            <w:shd w:val="clear" w:color="auto" w:fill="C6EFCE"/>
            <w:noWrap/>
            <w:vAlign w:val="center"/>
            <w:hideMark/>
          </w:tcPr>
          <w:p w14:paraId="27C7496C" w14:textId="77777777" w:rsidR="00154E32" w:rsidRDefault="00A43E04">
            <w:pPr>
              <w:pStyle w:val="P68B1DB1-Normal11"/>
              <w:spacing w:before="120" w:after="120"/>
              <w:jc w:val="center"/>
              <w:rPr>
                <w:rFonts w:eastAsia="Calibri"/>
                <w:noProof/>
              </w:rPr>
            </w:pPr>
            <w:r>
              <w:rPr>
                <w:noProof/>
              </w:rPr>
              <w:t>JIH NI</w:t>
            </w:r>
          </w:p>
        </w:tc>
        <w:tc>
          <w:tcPr>
            <w:tcW w:w="1134" w:type="dxa"/>
            <w:shd w:val="clear" w:color="auto" w:fill="C6EFCE"/>
            <w:noWrap/>
            <w:vAlign w:val="center"/>
            <w:hideMark/>
          </w:tcPr>
          <w:p w14:paraId="235885D5" w14:textId="77777777" w:rsidR="00154E32" w:rsidRDefault="00A43E04">
            <w:pPr>
              <w:pStyle w:val="P68B1DB1-Normal11"/>
              <w:spacing w:before="120" w:after="120"/>
              <w:jc w:val="center"/>
              <w:rPr>
                <w:rFonts w:eastAsia="Calibri"/>
                <w:noProof/>
              </w:rPr>
            </w:pPr>
            <w:r>
              <w:rPr>
                <w:noProof/>
              </w:rPr>
              <w:t>JIH NI</w:t>
            </w:r>
          </w:p>
        </w:tc>
        <w:tc>
          <w:tcPr>
            <w:tcW w:w="1134" w:type="dxa"/>
            <w:shd w:val="clear" w:color="auto" w:fill="C6EFCE"/>
            <w:noWrap/>
            <w:vAlign w:val="center"/>
            <w:hideMark/>
          </w:tcPr>
          <w:p w14:paraId="16130ECE" w14:textId="77777777" w:rsidR="00154E32" w:rsidRDefault="00A43E04">
            <w:pPr>
              <w:pStyle w:val="P68B1DB1-Normal11"/>
              <w:spacing w:before="120" w:after="120"/>
              <w:jc w:val="center"/>
              <w:rPr>
                <w:rFonts w:eastAsia="Calibri"/>
                <w:noProof/>
              </w:rPr>
            </w:pPr>
            <w:r>
              <w:rPr>
                <w:noProof/>
              </w:rPr>
              <w:t>JIH NI</w:t>
            </w:r>
          </w:p>
        </w:tc>
        <w:tc>
          <w:tcPr>
            <w:tcW w:w="851" w:type="dxa"/>
            <w:shd w:val="clear" w:color="auto" w:fill="C6EFCE"/>
            <w:noWrap/>
            <w:vAlign w:val="center"/>
            <w:hideMark/>
          </w:tcPr>
          <w:p w14:paraId="742BA0D1" w14:textId="77777777" w:rsidR="00154E32" w:rsidRDefault="00A43E04">
            <w:pPr>
              <w:pStyle w:val="P68B1DB1-Normal11"/>
              <w:spacing w:before="120" w:after="120"/>
              <w:jc w:val="center"/>
              <w:rPr>
                <w:rFonts w:eastAsia="Calibri"/>
                <w:noProof/>
              </w:rPr>
            </w:pPr>
            <w:r>
              <w:rPr>
                <w:noProof/>
              </w:rPr>
              <w:t>Q4</w:t>
            </w:r>
          </w:p>
        </w:tc>
        <w:tc>
          <w:tcPr>
            <w:tcW w:w="709" w:type="dxa"/>
            <w:shd w:val="clear" w:color="auto" w:fill="C6EFCE"/>
            <w:noWrap/>
            <w:vAlign w:val="center"/>
            <w:hideMark/>
          </w:tcPr>
          <w:p w14:paraId="48C563AB" w14:textId="77777777" w:rsidR="00154E32" w:rsidRDefault="00A43E04">
            <w:pPr>
              <w:pStyle w:val="P68B1DB1-Normal11"/>
              <w:spacing w:before="120" w:after="120"/>
              <w:jc w:val="center"/>
              <w:rPr>
                <w:rFonts w:eastAsia="Calibri"/>
                <w:noProof/>
              </w:rPr>
            </w:pPr>
            <w:r>
              <w:rPr>
                <w:noProof/>
              </w:rPr>
              <w:t>2022</w:t>
            </w:r>
          </w:p>
        </w:tc>
        <w:tc>
          <w:tcPr>
            <w:tcW w:w="2835" w:type="dxa"/>
            <w:shd w:val="clear" w:color="auto" w:fill="C6EFCE"/>
            <w:noWrap/>
            <w:vAlign w:val="center"/>
            <w:hideMark/>
          </w:tcPr>
          <w:p w14:paraId="578D66C5" w14:textId="77777777" w:rsidR="00154E32" w:rsidRDefault="00A43E04">
            <w:pPr>
              <w:pStyle w:val="P68B1DB1-Normal11"/>
              <w:spacing w:before="120" w:after="120"/>
              <w:rPr>
                <w:rFonts w:eastAsia="Calibri"/>
                <w:noProof/>
              </w:rPr>
            </w:pPr>
            <w:r>
              <w:rPr>
                <w:noProof/>
              </w:rPr>
              <w:t>Certifikacijski sistem za enakost spolov in spremljajoči mehanizmi spodbud za podjetja zajemajo vsaj naslednje razsežnosti: priložnosti za rast za ženske, enako plačilo za enako delo, politike upravljanja za raznolikost spolov, varstvo materinstva.</w:t>
            </w:r>
          </w:p>
          <w:p w14:paraId="66AC70A0" w14:textId="6D581F8D" w:rsidR="00154E32" w:rsidRDefault="00A43E04">
            <w:pPr>
              <w:pStyle w:val="P68B1DB1-Normal11"/>
              <w:spacing w:before="120" w:after="120"/>
              <w:rPr>
                <w:rFonts w:eastAsia="Calibri"/>
                <w:noProof/>
              </w:rPr>
            </w:pPr>
            <w:r>
              <w:rPr>
                <w:noProof/>
              </w:rPr>
              <w:t>Opredelitev mehanizmov spodbud za organizacije, ki izvajajo postopek certificiranja, in tehničnih smernic. Vključno z: (I) pripravo tehničnih standardov sistema certificiranja glede na spol za podjetja; (II) opredelitev spodbujevalnega mehanizma; (III) ukrep spremlja vzpostavitev informacijskega sistema.</w:t>
            </w:r>
          </w:p>
        </w:tc>
      </w:tr>
      <w:tr w:rsidR="00154E32" w14:paraId="1CE4271B" w14:textId="77777777">
        <w:trPr>
          <w:trHeight w:val="309"/>
          <w:jc w:val="center"/>
        </w:trPr>
        <w:tc>
          <w:tcPr>
            <w:tcW w:w="1364" w:type="dxa"/>
            <w:shd w:val="clear" w:color="auto" w:fill="C6EFCE"/>
            <w:noWrap/>
            <w:vAlign w:val="center"/>
            <w:hideMark/>
          </w:tcPr>
          <w:p w14:paraId="278E175B" w14:textId="43D92601" w:rsidR="00154E32" w:rsidRDefault="00A43E04">
            <w:pPr>
              <w:pStyle w:val="P68B1DB1-Normal11"/>
              <w:spacing w:before="120" w:after="120"/>
              <w:jc w:val="center"/>
              <w:rPr>
                <w:rFonts w:eastAsia="Calibri"/>
                <w:noProof/>
              </w:rPr>
            </w:pPr>
            <w:r>
              <w:rPr>
                <w:noProof/>
              </w:rPr>
              <w:t>M5C1–13</w:t>
            </w:r>
          </w:p>
        </w:tc>
        <w:tc>
          <w:tcPr>
            <w:tcW w:w="1513" w:type="dxa"/>
            <w:shd w:val="clear" w:color="auto" w:fill="C6EFCE"/>
            <w:noWrap/>
            <w:vAlign w:val="center"/>
            <w:hideMark/>
          </w:tcPr>
          <w:p w14:paraId="1122B3EF" w14:textId="77777777" w:rsidR="00154E32" w:rsidRDefault="00A43E04">
            <w:pPr>
              <w:pStyle w:val="P68B1DB1-Normal11"/>
              <w:spacing w:before="120" w:after="120"/>
              <w:jc w:val="center"/>
              <w:rPr>
                <w:noProof/>
              </w:rPr>
            </w:pPr>
            <w:r>
              <w:rPr>
                <w:noProof/>
              </w:rPr>
              <w:t>Naložba 2 – Sistem certificiranja za enakost spolov</w:t>
            </w:r>
          </w:p>
        </w:tc>
        <w:tc>
          <w:tcPr>
            <w:tcW w:w="1281" w:type="dxa"/>
            <w:shd w:val="clear" w:color="auto" w:fill="C6EFCE"/>
            <w:noWrap/>
            <w:vAlign w:val="center"/>
            <w:hideMark/>
          </w:tcPr>
          <w:p w14:paraId="7B5DA24D" w14:textId="77777777" w:rsidR="00154E32" w:rsidRDefault="00A43E04">
            <w:pPr>
              <w:pStyle w:val="P68B1DB1-Normal11"/>
              <w:spacing w:before="120" w:after="120"/>
              <w:jc w:val="center"/>
              <w:rPr>
                <w:rFonts w:eastAsia="Calibri"/>
                <w:noProof/>
              </w:rPr>
            </w:pPr>
            <w:r>
              <w:rPr>
                <w:noProof/>
              </w:rPr>
              <w:t>Tarča</w:t>
            </w:r>
          </w:p>
        </w:tc>
        <w:tc>
          <w:tcPr>
            <w:tcW w:w="1597" w:type="dxa"/>
            <w:shd w:val="clear" w:color="auto" w:fill="C6EFCE"/>
            <w:noWrap/>
            <w:vAlign w:val="center"/>
            <w:hideMark/>
          </w:tcPr>
          <w:p w14:paraId="522852F1" w14:textId="77777777" w:rsidR="00154E32" w:rsidRDefault="00A43E04">
            <w:pPr>
              <w:pStyle w:val="P68B1DB1-Normal11"/>
              <w:spacing w:before="120" w:after="120"/>
              <w:jc w:val="center"/>
              <w:rPr>
                <w:rFonts w:eastAsia="Calibri"/>
                <w:noProof/>
              </w:rPr>
            </w:pPr>
            <w:r>
              <w:rPr>
                <w:noProof/>
              </w:rPr>
              <w:t>Podjetja so pridobila potrdilo o enakosti spolov</w:t>
            </w:r>
          </w:p>
        </w:tc>
        <w:tc>
          <w:tcPr>
            <w:tcW w:w="1470" w:type="dxa"/>
            <w:shd w:val="clear" w:color="auto" w:fill="C6EFCE"/>
            <w:noWrap/>
            <w:vAlign w:val="center"/>
            <w:hideMark/>
          </w:tcPr>
          <w:p w14:paraId="7002C1D6" w14:textId="77777777" w:rsidR="00154E32" w:rsidRDefault="00A43E04">
            <w:pPr>
              <w:pStyle w:val="P68B1DB1-Normal11"/>
              <w:spacing w:before="120" w:after="120"/>
              <w:jc w:val="center"/>
              <w:rPr>
                <w:rFonts w:eastAsia="Calibri"/>
                <w:noProof/>
              </w:rPr>
            </w:pPr>
            <w:r>
              <w:rPr>
                <w:noProof/>
              </w:rPr>
              <w:t>JIH NI</w:t>
            </w:r>
          </w:p>
        </w:tc>
        <w:tc>
          <w:tcPr>
            <w:tcW w:w="1275" w:type="dxa"/>
            <w:shd w:val="clear" w:color="auto" w:fill="C6EFCE"/>
            <w:noWrap/>
            <w:vAlign w:val="center"/>
            <w:hideMark/>
          </w:tcPr>
          <w:p w14:paraId="34D32A3A" w14:textId="77777777" w:rsidR="00154E32" w:rsidRDefault="00A43E04">
            <w:pPr>
              <w:pStyle w:val="P68B1DB1-Normal11"/>
              <w:spacing w:before="120" w:after="120"/>
              <w:jc w:val="center"/>
              <w:rPr>
                <w:rFonts w:eastAsia="Calibri"/>
                <w:noProof/>
              </w:rPr>
            </w:pPr>
            <w:r>
              <w:rPr>
                <w:noProof/>
              </w:rPr>
              <w:t xml:space="preserve">Število </w:t>
            </w:r>
          </w:p>
        </w:tc>
        <w:tc>
          <w:tcPr>
            <w:tcW w:w="1134" w:type="dxa"/>
            <w:shd w:val="clear" w:color="auto" w:fill="C6EFCE"/>
            <w:noWrap/>
            <w:vAlign w:val="center"/>
            <w:hideMark/>
          </w:tcPr>
          <w:p w14:paraId="2407B3BC" w14:textId="77777777" w:rsidR="00154E32" w:rsidRDefault="00A43E04">
            <w:pPr>
              <w:pStyle w:val="P68B1DB1-Normal11"/>
              <w:spacing w:before="120" w:after="120"/>
              <w:jc w:val="center"/>
              <w:rPr>
                <w:rFonts w:eastAsia="Calibri"/>
                <w:noProof/>
              </w:rPr>
            </w:pPr>
            <w:r>
              <w:rPr>
                <w:noProof/>
              </w:rPr>
              <w:t>0</w:t>
            </w:r>
          </w:p>
        </w:tc>
        <w:tc>
          <w:tcPr>
            <w:tcW w:w="1134" w:type="dxa"/>
            <w:shd w:val="clear" w:color="auto" w:fill="C6EFCE"/>
            <w:noWrap/>
            <w:vAlign w:val="center"/>
            <w:hideMark/>
          </w:tcPr>
          <w:p w14:paraId="568703C5" w14:textId="77777777" w:rsidR="00154E32" w:rsidRDefault="00A43E04">
            <w:pPr>
              <w:pStyle w:val="P68B1DB1-Normal11"/>
              <w:spacing w:before="120" w:after="120"/>
              <w:jc w:val="center"/>
              <w:rPr>
                <w:rFonts w:eastAsia="Calibri"/>
                <w:noProof/>
              </w:rPr>
            </w:pPr>
            <w:r>
              <w:rPr>
                <w:noProof/>
              </w:rPr>
              <w:t>800</w:t>
            </w:r>
          </w:p>
        </w:tc>
        <w:tc>
          <w:tcPr>
            <w:tcW w:w="851" w:type="dxa"/>
            <w:shd w:val="clear" w:color="auto" w:fill="C6EFCE"/>
            <w:noWrap/>
            <w:vAlign w:val="center"/>
            <w:hideMark/>
          </w:tcPr>
          <w:p w14:paraId="14A8798E" w14:textId="77777777" w:rsidR="00154E32" w:rsidRDefault="00A43E04">
            <w:pPr>
              <w:pStyle w:val="P68B1DB1-Normal11"/>
              <w:spacing w:before="120" w:after="120"/>
              <w:jc w:val="center"/>
              <w:rPr>
                <w:rFonts w:eastAsia="Calibri"/>
                <w:noProof/>
              </w:rPr>
            </w:pPr>
            <w:r>
              <w:rPr>
                <w:noProof/>
              </w:rPr>
              <w:t>Q2</w:t>
            </w:r>
          </w:p>
        </w:tc>
        <w:tc>
          <w:tcPr>
            <w:tcW w:w="709" w:type="dxa"/>
            <w:shd w:val="clear" w:color="auto" w:fill="C6EFCE"/>
            <w:noWrap/>
            <w:vAlign w:val="center"/>
            <w:hideMark/>
          </w:tcPr>
          <w:p w14:paraId="1E4C0006" w14:textId="77777777" w:rsidR="00154E32" w:rsidRDefault="00A43E04">
            <w:pPr>
              <w:pStyle w:val="P68B1DB1-Normal11"/>
              <w:spacing w:before="120" w:after="120"/>
              <w:jc w:val="center"/>
              <w:rPr>
                <w:rFonts w:eastAsia="Calibri"/>
                <w:noProof/>
              </w:rPr>
            </w:pPr>
            <w:r>
              <w:rPr>
                <w:noProof/>
              </w:rPr>
              <w:t>2026</w:t>
            </w:r>
          </w:p>
        </w:tc>
        <w:tc>
          <w:tcPr>
            <w:tcW w:w="2835" w:type="dxa"/>
            <w:shd w:val="clear" w:color="auto" w:fill="C6EFCE"/>
            <w:noWrap/>
            <w:vAlign w:val="center"/>
            <w:hideMark/>
          </w:tcPr>
          <w:p w14:paraId="64A9ABF0" w14:textId="77777777" w:rsidR="00154E32" w:rsidRDefault="00A43E04">
            <w:pPr>
              <w:pStyle w:val="P68B1DB1-Normal11"/>
              <w:spacing w:before="120" w:after="120"/>
              <w:rPr>
                <w:rFonts w:eastAsia="Calibri"/>
                <w:noProof/>
              </w:rPr>
            </w:pPr>
            <w:r>
              <w:rPr>
                <w:noProof/>
              </w:rPr>
              <w:t>Potrdilo o enakosti spolov je prejelo vsaj 800 podjetij (od tega 450 MSP).</w:t>
            </w:r>
          </w:p>
          <w:p w14:paraId="5C35F425" w14:textId="77777777" w:rsidR="00154E32" w:rsidRDefault="00A43E04">
            <w:pPr>
              <w:pStyle w:val="P68B1DB1-Normal11"/>
              <w:spacing w:before="120" w:after="120"/>
              <w:rPr>
                <w:rFonts w:eastAsia="Calibri"/>
                <w:noProof/>
              </w:rPr>
            </w:pPr>
            <w:r>
              <w:rPr>
                <w:noProof/>
              </w:rPr>
              <w:t xml:space="preserve">Podjetja same krijejo stroške postopka certifikacije.  </w:t>
            </w:r>
          </w:p>
        </w:tc>
      </w:tr>
      <w:tr w:rsidR="00154E32" w14:paraId="35166D9E" w14:textId="77777777">
        <w:trPr>
          <w:trHeight w:val="309"/>
          <w:jc w:val="center"/>
        </w:trPr>
        <w:tc>
          <w:tcPr>
            <w:tcW w:w="1364" w:type="dxa"/>
            <w:shd w:val="clear" w:color="auto" w:fill="C6EFCE"/>
            <w:noWrap/>
            <w:vAlign w:val="center"/>
            <w:hideMark/>
          </w:tcPr>
          <w:p w14:paraId="77BCED5A" w14:textId="53C8FD24" w:rsidR="00154E32" w:rsidRDefault="00A43E04">
            <w:pPr>
              <w:pStyle w:val="P68B1DB1-Normal11"/>
              <w:spacing w:before="120" w:after="120"/>
              <w:jc w:val="center"/>
              <w:rPr>
                <w:noProof/>
              </w:rPr>
            </w:pPr>
            <w:r>
              <w:rPr>
                <w:noProof/>
              </w:rPr>
              <w:t>M5C1–14</w:t>
            </w:r>
          </w:p>
        </w:tc>
        <w:tc>
          <w:tcPr>
            <w:tcW w:w="1513" w:type="dxa"/>
            <w:shd w:val="clear" w:color="auto" w:fill="C6EFCE"/>
            <w:noWrap/>
            <w:vAlign w:val="center"/>
            <w:hideMark/>
          </w:tcPr>
          <w:p w14:paraId="34DE5AC9" w14:textId="0AE2D6F1" w:rsidR="00154E32" w:rsidRDefault="00A43E04">
            <w:pPr>
              <w:pStyle w:val="P68B1DB1-Normal11"/>
              <w:spacing w:before="120" w:after="120"/>
              <w:jc w:val="center"/>
              <w:rPr>
                <w:rFonts w:eastAsia="Calibri"/>
                <w:noProof/>
              </w:rPr>
            </w:pPr>
            <w:r>
              <w:rPr>
                <w:noProof/>
              </w:rPr>
              <w:t>Naložba 2 – Sistem certificiranja za enakost spolov</w:t>
            </w:r>
          </w:p>
        </w:tc>
        <w:tc>
          <w:tcPr>
            <w:tcW w:w="1281" w:type="dxa"/>
            <w:shd w:val="clear" w:color="auto" w:fill="C6EFCE"/>
            <w:noWrap/>
            <w:vAlign w:val="center"/>
            <w:hideMark/>
          </w:tcPr>
          <w:p w14:paraId="514D8F36" w14:textId="77777777" w:rsidR="00154E32" w:rsidRDefault="00A43E04">
            <w:pPr>
              <w:pStyle w:val="P68B1DB1-Normal11"/>
              <w:spacing w:before="120" w:after="120"/>
              <w:jc w:val="center"/>
              <w:rPr>
                <w:rFonts w:eastAsia="Calibri"/>
                <w:noProof/>
              </w:rPr>
            </w:pPr>
            <w:r>
              <w:rPr>
                <w:noProof/>
              </w:rPr>
              <w:t>Tarča</w:t>
            </w:r>
          </w:p>
        </w:tc>
        <w:tc>
          <w:tcPr>
            <w:tcW w:w="1597" w:type="dxa"/>
            <w:shd w:val="clear" w:color="auto" w:fill="C6EFCE"/>
            <w:noWrap/>
            <w:vAlign w:val="center"/>
            <w:hideMark/>
          </w:tcPr>
          <w:p w14:paraId="277BDB51" w14:textId="77777777" w:rsidR="00154E32" w:rsidRDefault="00A43E04">
            <w:pPr>
              <w:pStyle w:val="P68B1DB1-Normal11"/>
              <w:spacing w:before="120" w:after="120"/>
              <w:jc w:val="center"/>
              <w:rPr>
                <w:rFonts w:eastAsia="Calibri"/>
                <w:noProof/>
              </w:rPr>
            </w:pPr>
            <w:r>
              <w:rPr>
                <w:noProof/>
              </w:rPr>
              <w:t>Podjetja, ki prejemajo tehnično pomoč, so pridobila potrdilo o enakosti spolov</w:t>
            </w:r>
          </w:p>
        </w:tc>
        <w:tc>
          <w:tcPr>
            <w:tcW w:w="1470" w:type="dxa"/>
            <w:shd w:val="clear" w:color="auto" w:fill="C6EFCE"/>
            <w:noWrap/>
            <w:vAlign w:val="center"/>
            <w:hideMark/>
          </w:tcPr>
          <w:p w14:paraId="55997DF4" w14:textId="77777777" w:rsidR="00154E32" w:rsidRDefault="00A43E04">
            <w:pPr>
              <w:pStyle w:val="P68B1DB1-Normal11"/>
              <w:spacing w:before="120" w:after="120"/>
              <w:jc w:val="center"/>
              <w:rPr>
                <w:rFonts w:eastAsia="Calibri"/>
                <w:noProof/>
              </w:rPr>
            </w:pPr>
            <w:r>
              <w:rPr>
                <w:noProof/>
              </w:rPr>
              <w:t>JIH NI</w:t>
            </w:r>
          </w:p>
        </w:tc>
        <w:tc>
          <w:tcPr>
            <w:tcW w:w="1275" w:type="dxa"/>
            <w:shd w:val="clear" w:color="auto" w:fill="C6EFCE"/>
            <w:noWrap/>
            <w:vAlign w:val="center"/>
            <w:hideMark/>
          </w:tcPr>
          <w:p w14:paraId="7C81D713" w14:textId="77777777" w:rsidR="00154E32" w:rsidRDefault="00A43E04">
            <w:pPr>
              <w:pStyle w:val="P68B1DB1-Normal11"/>
              <w:spacing w:before="120" w:after="120"/>
              <w:jc w:val="center"/>
              <w:rPr>
                <w:rFonts w:eastAsia="Calibri"/>
                <w:noProof/>
              </w:rPr>
            </w:pPr>
            <w:r>
              <w:rPr>
                <w:noProof/>
              </w:rPr>
              <w:t xml:space="preserve">Število </w:t>
            </w:r>
          </w:p>
        </w:tc>
        <w:tc>
          <w:tcPr>
            <w:tcW w:w="1134" w:type="dxa"/>
            <w:shd w:val="clear" w:color="auto" w:fill="C6EFCE"/>
            <w:noWrap/>
            <w:vAlign w:val="center"/>
            <w:hideMark/>
          </w:tcPr>
          <w:p w14:paraId="1C24E126" w14:textId="77777777" w:rsidR="00154E32" w:rsidRDefault="00A43E04">
            <w:pPr>
              <w:pStyle w:val="P68B1DB1-Normal11"/>
              <w:spacing w:before="120" w:after="120"/>
              <w:jc w:val="center"/>
              <w:rPr>
                <w:rFonts w:eastAsia="Calibri"/>
                <w:noProof/>
              </w:rPr>
            </w:pPr>
            <w:r>
              <w:rPr>
                <w:noProof/>
              </w:rPr>
              <w:t>0</w:t>
            </w:r>
          </w:p>
        </w:tc>
        <w:tc>
          <w:tcPr>
            <w:tcW w:w="1134" w:type="dxa"/>
            <w:shd w:val="clear" w:color="auto" w:fill="C6EFCE"/>
            <w:noWrap/>
            <w:vAlign w:val="center"/>
            <w:hideMark/>
          </w:tcPr>
          <w:p w14:paraId="4DDE4259" w14:textId="1FE4307F" w:rsidR="00154E32" w:rsidRDefault="00A43E04">
            <w:pPr>
              <w:pStyle w:val="P68B1DB1-Normal11"/>
              <w:spacing w:before="120" w:after="120"/>
              <w:jc w:val="center"/>
              <w:rPr>
                <w:rFonts w:eastAsia="Calibri"/>
                <w:noProof/>
              </w:rPr>
            </w:pPr>
            <w:r>
              <w:rPr>
                <w:noProof/>
              </w:rPr>
              <w:t>1 000</w:t>
            </w:r>
          </w:p>
        </w:tc>
        <w:tc>
          <w:tcPr>
            <w:tcW w:w="851" w:type="dxa"/>
            <w:shd w:val="clear" w:color="auto" w:fill="C6EFCE"/>
            <w:noWrap/>
            <w:vAlign w:val="center"/>
            <w:hideMark/>
          </w:tcPr>
          <w:p w14:paraId="62A43E7A" w14:textId="77777777" w:rsidR="00154E32" w:rsidRDefault="00A43E04">
            <w:pPr>
              <w:pStyle w:val="P68B1DB1-Normal11"/>
              <w:spacing w:before="120" w:after="120"/>
              <w:jc w:val="center"/>
              <w:rPr>
                <w:rFonts w:eastAsia="Calibri"/>
                <w:noProof/>
              </w:rPr>
            </w:pPr>
            <w:r>
              <w:rPr>
                <w:noProof/>
              </w:rPr>
              <w:t>Q2</w:t>
            </w:r>
          </w:p>
        </w:tc>
        <w:tc>
          <w:tcPr>
            <w:tcW w:w="709" w:type="dxa"/>
            <w:shd w:val="clear" w:color="auto" w:fill="C6EFCE"/>
            <w:noWrap/>
            <w:vAlign w:val="center"/>
            <w:hideMark/>
          </w:tcPr>
          <w:p w14:paraId="51FDA89C" w14:textId="77777777" w:rsidR="00154E32" w:rsidRDefault="00A43E04">
            <w:pPr>
              <w:pStyle w:val="P68B1DB1-Normal11"/>
              <w:spacing w:before="120" w:after="120"/>
              <w:jc w:val="center"/>
              <w:rPr>
                <w:rFonts w:eastAsia="Calibri"/>
                <w:noProof/>
              </w:rPr>
            </w:pPr>
            <w:r>
              <w:rPr>
                <w:noProof/>
              </w:rPr>
              <w:t>2026</w:t>
            </w:r>
          </w:p>
        </w:tc>
        <w:tc>
          <w:tcPr>
            <w:tcW w:w="2835" w:type="dxa"/>
            <w:shd w:val="clear" w:color="auto" w:fill="C6EFCE"/>
            <w:noWrap/>
            <w:vAlign w:val="center"/>
            <w:hideMark/>
          </w:tcPr>
          <w:p w14:paraId="0B3A3DCB" w14:textId="00C60487" w:rsidR="00154E32" w:rsidRDefault="00A43E04">
            <w:pPr>
              <w:pStyle w:val="P68B1DB1-Normal11"/>
              <w:spacing w:before="120" w:after="120"/>
              <w:rPr>
                <w:rFonts w:eastAsia="Calibri"/>
                <w:noProof/>
              </w:rPr>
            </w:pPr>
            <w:r>
              <w:rPr>
                <w:noProof/>
              </w:rPr>
              <w:t>Vsaj 1000 podjetij, podprtih s tehnično pomočjo, je pridobilo potrdilo o enakosti spolov.</w:t>
            </w:r>
          </w:p>
          <w:p w14:paraId="54615569" w14:textId="1131189F" w:rsidR="00154E32" w:rsidRDefault="00A43E04">
            <w:pPr>
              <w:pStyle w:val="P68B1DB1-Normal11"/>
              <w:spacing w:before="120" w:after="120"/>
              <w:rPr>
                <w:rFonts w:eastAsia="Calibri"/>
                <w:noProof/>
              </w:rPr>
            </w:pPr>
            <w:r>
              <w:rPr>
                <w:noProof/>
              </w:rPr>
              <w:t>Za zagotavljanje spremljevalnih ukrepov v obliki mentorstva, tehnične in vodstvene podpore, ukrepov za usklajevanje poklicnega in zasebnega življenja ter podjetniškega izobraževanja se uporablja sistem bonov.</w:t>
            </w:r>
          </w:p>
        </w:tc>
      </w:tr>
      <w:tr w:rsidR="00154E32" w14:paraId="350BA10E" w14:textId="77777777">
        <w:trPr>
          <w:trHeight w:val="309"/>
          <w:jc w:val="center"/>
        </w:trPr>
        <w:tc>
          <w:tcPr>
            <w:tcW w:w="1364" w:type="dxa"/>
            <w:shd w:val="clear" w:color="auto" w:fill="C6EFCE"/>
            <w:noWrap/>
            <w:vAlign w:val="center"/>
            <w:hideMark/>
          </w:tcPr>
          <w:p w14:paraId="3203452D" w14:textId="19E3C91E" w:rsidR="00154E32" w:rsidRDefault="00A43E04">
            <w:pPr>
              <w:pStyle w:val="P68B1DB1-Normal11"/>
              <w:spacing w:before="120" w:after="120"/>
              <w:jc w:val="center"/>
              <w:rPr>
                <w:rFonts w:eastAsia="Calibri"/>
                <w:noProof/>
              </w:rPr>
            </w:pPr>
            <w:r>
              <w:rPr>
                <w:noProof/>
              </w:rPr>
              <w:t>M5C1–15</w:t>
            </w:r>
          </w:p>
        </w:tc>
        <w:tc>
          <w:tcPr>
            <w:tcW w:w="1513" w:type="dxa"/>
            <w:shd w:val="clear" w:color="auto" w:fill="C6EFCE"/>
            <w:noWrap/>
            <w:vAlign w:val="center"/>
            <w:hideMark/>
          </w:tcPr>
          <w:p w14:paraId="4281AD62" w14:textId="77777777" w:rsidR="00154E32" w:rsidRDefault="00A43E04">
            <w:pPr>
              <w:pStyle w:val="P68B1DB1-Normal11"/>
              <w:spacing w:before="120" w:after="120"/>
              <w:jc w:val="center"/>
              <w:rPr>
                <w:rFonts w:eastAsia="Calibri"/>
                <w:noProof/>
              </w:rPr>
            </w:pPr>
            <w:r>
              <w:rPr>
                <w:noProof/>
              </w:rPr>
              <w:t>Naložba 3 – Krepitev dvojnega sistema</w:t>
            </w:r>
          </w:p>
        </w:tc>
        <w:tc>
          <w:tcPr>
            <w:tcW w:w="1281" w:type="dxa"/>
            <w:shd w:val="clear" w:color="auto" w:fill="C6EFCE"/>
            <w:noWrap/>
            <w:vAlign w:val="center"/>
            <w:hideMark/>
          </w:tcPr>
          <w:p w14:paraId="03E560DF" w14:textId="77777777" w:rsidR="00154E32" w:rsidRDefault="00A43E04">
            <w:pPr>
              <w:pStyle w:val="P68B1DB1-Normal11"/>
              <w:spacing w:before="120" w:after="120"/>
              <w:jc w:val="center"/>
              <w:rPr>
                <w:rFonts w:eastAsia="Calibri"/>
                <w:noProof/>
              </w:rPr>
            </w:pPr>
            <w:r>
              <w:rPr>
                <w:noProof/>
              </w:rPr>
              <w:t>Tarča</w:t>
            </w:r>
          </w:p>
        </w:tc>
        <w:tc>
          <w:tcPr>
            <w:tcW w:w="1597" w:type="dxa"/>
            <w:shd w:val="clear" w:color="auto" w:fill="C6EFCE"/>
            <w:noWrap/>
            <w:vAlign w:val="center"/>
            <w:hideMark/>
          </w:tcPr>
          <w:p w14:paraId="11C1FD71" w14:textId="77777777" w:rsidR="00154E32" w:rsidRDefault="00A43E04">
            <w:pPr>
              <w:pStyle w:val="P68B1DB1-Normal11"/>
              <w:spacing w:before="120" w:after="120"/>
              <w:jc w:val="center"/>
              <w:rPr>
                <w:rFonts w:eastAsia="Calibri"/>
                <w:noProof/>
              </w:rPr>
            </w:pPr>
            <w:r>
              <w:rPr>
                <w:noProof/>
              </w:rPr>
              <w:t>Osebe, ki so sodelovale v dvojnem sistemu in pridobile ustrezno potrdilo v petletnem obdobju 2021–2025</w:t>
            </w:r>
          </w:p>
        </w:tc>
        <w:tc>
          <w:tcPr>
            <w:tcW w:w="1470" w:type="dxa"/>
            <w:shd w:val="clear" w:color="auto" w:fill="C6EFCE"/>
            <w:noWrap/>
            <w:vAlign w:val="center"/>
            <w:hideMark/>
          </w:tcPr>
          <w:p w14:paraId="5A2494E4" w14:textId="77777777" w:rsidR="00154E32" w:rsidRDefault="00A43E04">
            <w:pPr>
              <w:pStyle w:val="P68B1DB1-Normal11"/>
              <w:spacing w:before="120" w:after="120"/>
              <w:jc w:val="center"/>
              <w:rPr>
                <w:rFonts w:eastAsia="Calibri"/>
                <w:noProof/>
              </w:rPr>
            </w:pPr>
            <w:r>
              <w:rPr>
                <w:noProof/>
              </w:rPr>
              <w:t>JIH NI</w:t>
            </w:r>
          </w:p>
        </w:tc>
        <w:tc>
          <w:tcPr>
            <w:tcW w:w="1275" w:type="dxa"/>
            <w:shd w:val="clear" w:color="auto" w:fill="C6EFCE"/>
            <w:noWrap/>
            <w:vAlign w:val="center"/>
            <w:hideMark/>
          </w:tcPr>
          <w:p w14:paraId="4870DB8D" w14:textId="77777777" w:rsidR="00154E32" w:rsidRDefault="00A43E04">
            <w:pPr>
              <w:pStyle w:val="P68B1DB1-Normal11"/>
              <w:spacing w:before="120" w:after="120"/>
              <w:jc w:val="center"/>
              <w:rPr>
                <w:rFonts w:eastAsia="Calibri"/>
                <w:noProof/>
              </w:rPr>
            </w:pPr>
            <w:r>
              <w:rPr>
                <w:noProof/>
              </w:rPr>
              <w:t xml:space="preserve">Število </w:t>
            </w:r>
          </w:p>
        </w:tc>
        <w:tc>
          <w:tcPr>
            <w:tcW w:w="1134" w:type="dxa"/>
            <w:shd w:val="clear" w:color="auto" w:fill="C6EFCE"/>
            <w:noWrap/>
            <w:vAlign w:val="center"/>
            <w:hideMark/>
          </w:tcPr>
          <w:p w14:paraId="2CA37934" w14:textId="7CE75920" w:rsidR="00154E32" w:rsidRDefault="00A43E04">
            <w:pPr>
              <w:pStyle w:val="P68B1DB1-Normal11"/>
              <w:spacing w:before="120" w:after="120"/>
              <w:jc w:val="center"/>
              <w:rPr>
                <w:rFonts w:eastAsia="Calibri"/>
                <w:noProof/>
              </w:rPr>
            </w:pPr>
            <w:r>
              <w:rPr>
                <w:noProof/>
              </w:rPr>
              <w:t>39 000</w:t>
            </w:r>
          </w:p>
        </w:tc>
        <w:tc>
          <w:tcPr>
            <w:tcW w:w="1134" w:type="dxa"/>
            <w:shd w:val="clear" w:color="auto" w:fill="C6EFCE"/>
            <w:noWrap/>
            <w:vAlign w:val="center"/>
            <w:hideMark/>
          </w:tcPr>
          <w:p w14:paraId="166D9696" w14:textId="5B194B96" w:rsidR="00154E32" w:rsidRDefault="00A43E04">
            <w:pPr>
              <w:pStyle w:val="P68B1DB1-Normal11"/>
              <w:spacing w:before="120" w:after="120"/>
              <w:jc w:val="center"/>
              <w:rPr>
                <w:rFonts w:eastAsia="Calibri"/>
                <w:noProof/>
              </w:rPr>
            </w:pPr>
            <w:r>
              <w:rPr>
                <w:noProof/>
              </w:rPr>
              <w:t>129 000</w:t>
            </w:r>
          </w:p>
        </w:tc>
        <w:tc>
          <w:tcPr>
            <w:tcW w:w="851" w:type="dxa"/>
            <w:shd w:val="clear" w:color="auto" w:fill="C6EFCE"/>
            <w:noWrap/>
            <w:vAlign w:val="center"/>
            <w:hideMark/>
          </w:tcPr>
          <w:p w14:paraId="0536B20B" w14:textId="77777777" w:rsidR="00154E32" w:rsidRDefault="00A43E04">
            <w:pPr>
              <w:pStyle w:val="P68B1DB1-Normal11"/>
              <w:spacing w:before="120" w:after="120"/>
              <w:jc w:val="center"/>
              <w:rPr>
                <w:rFonts w:eastAsia="Calibri"/>
                <w:noProof/>
              </w:rPr>
            </w:pPr>
            <w:r>
              <w:rPr>
                <w:noProof/>
              </w:rPr>
              <w:t>Q4</w:t>
            </w:r>
          </w:p>
        </w:tc>
        <w:tc>
          <w:tcPr>
            <w:tcW w:w="709" w:type="dxa"/>
            <w:shd w:val="clear" w:color="auto" w:fill="C6EFCE"/>
            <w:noWrap/>
            <w:vAlign w:val="center"/>
            <w:hideMark/>
          </w:tcPr>
          <w:p w14:paraId="1E58F04B" w14:textId="77777777" w:rsidR="00154E32" w:rsidRDefault="00A43E04">
            <w:pPr>
              <w:pStyle w:val="P68B1DB1-Normal11"/>
              <w:spacing w:before="120" w:after="120"/>
              <w:jc w:val="center"/>
              <w:rPr>
                <w:rFonts w:eastAsia="Calibri"/>
                <w:noProof/>
              </w:rPr>
            </w:pPr>
            <w:r>
              <w:rPr>
                <w:noProof/>
              </w:rPr>
              <w:t>2025</w:t>
            </w:r>
          </w:p>
        </w:tc>
        <w:tc>
          <w:tcPr>
            <w:tcW w:w="2835" w:type="dxa"/>
            <w:shd w:val="clear" w:color="auto" w:fill="C6EFCE"/>
            <w:noWrap/>
            <w:vAlign w:val="center"/>
            <w:hideMark/>
          </w:tcPr>
          <w:p w14:paraId="55072BBC" w14:textId="5DAA9529" w:rsidR="00154E32" w:rsidRDefault="00A43E04">
            <w:pPr>
              <w:pStyle w:val="P68B1DB1-Normal11"/>
              <w:spacing w:before="120" w:after="120"/>
              <w:rPr>
                <w:rFonts w:eastAsia="Calibri"/>
                <w:noProof/>
              </w:rPr>
            </w:pPr>
            <w:r>
              <w:rPr>
                <w:noProof/>
              </w:rPr>
              <w:t>V primerjavi z izhodiščnim scenarijem je bilo opravljenih vsaj 90000 dodatnih vpisov v dualni sistem, v petletnem obdobju 2021–2025 pa so bila pridobljena ustrezna potrdila, ki dokazujejo zaključek tečaja.</w:t>
            </w:r>
          </w:p>
          <w:p w14:paraId="0F25B7DF" w14:textId="77777777" w:rsidR="00154E32" w:rsidRDefault="00A43E04">
            <w:pPr>
              <w:pStyle w:val="P68B1DB1-Normal11"/>
              <w:spacing w:before="120" w:after="120"/>
              <w:rPr>
                <w:rFonts w:eastAsia="Calibri"/>
                <w:noProof/>
              </w:rPr>
            </w:pPr>
            <w:r>
              <w:rPr>
                <w:noProof/>
              </w:rPr>
              <w:t>Porazdelitev sredstev regijam za krepitev dualnega sistema se opravi na podlagi števila študentov, vpisanih v tečaje poklicnega izobraževanja in usposabljanja.</w:t>
            </w:r>
          </w:p>
        </w:tc>
      </w:tr>
      <w:tr w:rsidR="00154E32" w14:paraId="3E7E90B6" w14:textId="77777777">
        <w:trPr>
          <w:trHeight w:val="309"/>
          <w:jc w:val="center"/>
        </w:trPr>
        <w:tc>
          <w:tcPr>
            <w:tcW w:w="1364" w:type="dxa"/>
            <w:shd w:val="clear" w:color="auto" w:fill="C6EFCE"/>
            <w:noWrap/>
            <w:vAlign w:val="center"/>
          </w:tcPr>
          <w:p w14:paraId="1A2E7506" w14:textId="77777777" w:rsidR="00154E32" w:rsidRDefault="00A43E04">
            <w:pPr>
              <w:pStyle w:val="P68B1DB1-Normal11"/>
              <w:spacing w:before="120" w:after="120"/>
              <w:jc w:val="center"/>
              <w:rPr>
                <w:rFonts w:eastAsia="Calibri"/>
                <w:noProof/>
              </w:rPr>
            </w:pPr>
            <w:r>
              <w:rPr>
                <w:noProof/>
              </w:rPr>
              <w:t>M5C1–15a</w:t>
            </w:r>
          </w:p>
        </w:tc>
        <w:tc>
          <w:tcPr>
            <w:tcW w:w="1513" w:type="dxa"/>
            <w:shd w:val="clear" w:color="auto" w:fill="C6EFCE"/>
            <w:noWrap/>
            <w:vAlign w:val="center"/>
          </w:tcPr>
          <w:p w14:paraId="034C1FFB" w14:textId="77777777" w:rsidR="00154E32" w:rsidRDefault="00A43E04">
            <w:pPr>
              <w:pStyle w:val="P68B1DB1-Normal11"/>
              <w:spacing w:before="120" w:after="120"/>
              <w:jc w:val="center"/>
              <w:rPr>
                <w:rFonts w:eastAsia="Calibri"/>
                <w:noProof/>
              </w:rPr>
            </w:pPr>
            <w:r>
              <w:rPr>
                <w:noProof/>
              </w:rPr>
              <w:t>Naložba 4 – Univerzalna javna služba</w:t>
            </w:r>
          </w:p>
        </w:tc>
        <w:tc>
          <w:tcPr>
            <w:tcW w:w="1281" w:type="dxa"/>
            <w:shd w:val="clear" w:color="auto" w:fill="C6EFCE"/>
            <w:noWrap/>
            <w:vAlign w:val="center"/>
          </w:tcPr>
          <w:p w14:paraId="1A738786" w14:textId="77777777" w:rsidR="00154E32" w:rsidRDefault="00A43E04">
            <w:pPr>
              <w:pStyle w:val="P68B1DB1-Normal11"/>
              <w:spacing w:before="120" w:after="120"/>
              <w:jc w:val="center"/>
              <w:rPr>
                <w:rFonts w:eastAsia="Calibri"/>
                <w:noProof/>
              </w:rPr>
            </w:pPr>
            <w:r>
              <w:rPr>
                <w:noProof/>
              </w:rPr>
              <w:t>Mejnik</w:t>
            </w:r>
          </w:p>
        </w:tc>
        <w:tc>
          <w:tcPr>
            <w:tcW w:w="1597" w:type="dxa"/>
            <w:shd w:val="clear" w:color="auto" w:fill="C6EFCE"/>
            <w:noWrap/>
            <w:vAlign w:val="center"/>
          </w:tcPr>
          <w:p w14:paraId="5D22E105" w14:textId="7DADC4CE" w:rsidR="00154E32" w:rsidRDefault="00A43E04">
            <w:pPr>
              <w:pStyle w:val="P68B1DB1-Normal11"/>
              <w:spacing w:before="120" w:after="120"/>
              <w:jc w:val="center"/>
              <w:rPr>
                <w:rFonts w:eastAsia="Calibri"/>
                <w:noProof/>
              </w:rPr>
            </w:pPr>
            <w:bookmarkStart w:id="4" w:name="_Hlk149581877"/>
            <w:r>
              <w:rPr>
                <w:noProof/>
              </w:rPr>
              <w:t>Zakonodajna revizija sedanjega „Disposizioni concernenti la disciplina dei rapporti tra enti e operatori Volontari del servizio civile Universale“, ki je bila 14.</w:t>
            </w:r>
            <w:r>
              <w:rPr>
                <w:noProof/>
                <w:vertAlign w:val="superscript"/>
              </w:rPr>
              <w:t>januarja</w:t>
            </w:r>
            <w:r>
              <w:rPr>
                <w:noProof/>
              </w:rPr>
              <w:t xml:space="preserve"> 2019 sprejeta kot dpcm (decreto del Presidente del Consiglio dei ministri), da bi okrepili univerzalno javno službo </w:t>
            </w:r>
            <w:bookmarkEnd w:id="4"/>
          </w:p>
        </w:tc>
        <w:tc>
          <w:tcPr>
            <w:tcW w:w="1470" w:type="dxa"/>
            <w:shd w:val="clear" w:color="auto" w:fill="C6EFCE"/>
            <w:noWrap/>
            <w:vAlign w:val="center"/>
          </w:tcPr>
          <w:p w14:paraId="1E1F5648" w14:textId="77777777" w:rsidR="00154E32" w:rsidRDefault="00A43E04">
            <w:pPr>
              <w:pStyle w:val="P68B1DB1-Normal11"/>
              <w:spacing w:before="120" w:after="120"/>
              <w:jc w:val="center"/>
              <w:rPr>
                <w:rFonts w:eastAsia="Calibri"/>
                <w:noProof/>
              </w:rPr>
            </w:pPr>
            <w:r>
              <w:rPr>
                <w:noProof/>
              </w:rPr>
              <w:t>Sprejetje zadevnega akta</w:t>
            </w:r>
          </w:p>
        </w:tc>
        <w:tc>
          <w:tcPr>
            <w:tcW w:w="1275" w:type="dxa"/>
            <w:shd w:val="clear" w:color="auto" w:fill="C6EFCE"/>
            <w:noWrap/>
            <w:vAlign w:val="center"/>
          </w:tcPr>
          <w:p w14:paraId="333DDD5A" w14:textId="77777777" w:rsidR="00154E32" w:rsidRDefault="00A43E04">
            <w:pPr>
              <w:pStyle w:val="P68B1DB1-Normal11"/>
              <w:spacing w:before="120" w:after="120"/>
              <w:jc w:val="center"/>
              <w:rPr>
                <w:rFonts w:eastAsia="Calibri"/>
                <w:noProof/>
              </w:rPr>
            </w:pPr>
            <w:r>
              <w:rPr>
                <w:noProof/>
              </w:rPr>
              <w:t>JIH NI</w:t>
            </w:r>
          </w:p>
        </w:tc>
        <w:tc>
          <w:tcPr>
            <w:tcW w:w="1134" w:type="dxa"/>
            <w:shd w:val="clear" w:color="auto" w:fill="C6EFCE"/>
            <w:noWrap/>
            <w:vAlign w:val="center"/>
          </w:tcPr>
          <w:p w14:paraId="67618D53" w14:textId="77777777" w:rsidR="00154E32" w:rsidRDefault="00A43E04">
            <w:pPr>
              <w:pStyle w:val="P68B1DB1-Normal11"/>
              <w:spacing w:before="120" w:after="120"/>
              <w:jc w:val="center"/>
              <w:rPr>
                <w:rFonts w:eastAsia="Calibri"/>
                <w:noProof/>
              </w:rPr>
            </w:pPr>
            <w:r>
              <w:rPr>
                <w:noProof/>
              </w:rPr>
              <w:t>JIH NI</w:t>
            </w:r>
          </w:p>
        </w:tc>
        <w:tc>
          <w:tcPr>
            <w:tcW w:w="1134" w:type="dxa"/>
            <w:shd w:val="clear" w:color="auto" w:fill="C6EFCE"/>
            <w:noWrap/>
            <w:vAlign w:val="center"/>
          </w:tcPr>
          <w:p w14:paraId="24779BDF" w14:textId="77777777" w:rsidR="00154E32" w:rsidRDefault="00A43E04">
            <w:pPr>
              <w:pStyle w:val="P68B1DB1-Normal11"/>
              <w:spacing w:before="120" w:after="120"/>
              <w:jc w:val="center"/>
              <w:rPr>
                <w:rFonts w:eastAsia="Calibri"/>
                <w:noProof/>
              </w:rPr>
            </w:pPr>
            <w:r>
              <w:rPr>
                <w:noProof/>
              </w:rPr>
              <w:t>JIH NI</w:t>
            </w:r>
          </w:p>
        </w:tc>
        <w:tc>
          <w:tcPr>
            <w:tcW w:w="851" w:type="dxa"/>
            <w:shd w:val="clear" w:color="auto" w:fill="C6EFCE"/>
            <w:noWrap/>
            <w:vAlign w:val="center"/>
          </w:tcPr>
          <w:p w14:paraId="1BA37103" w14:textId="77777777" w:rsidR="00154E32" w:rsidRDefault="00A43E04">
            <w:pPr>
              <w:pStyle w:val="P68B1DB1-Normal11"/>
              <w:spacing w:before="120" w:after="120"/>
              <w:jc w:val="center"/>
              <w:rPr>
                <w:rFonts w:eastAsia="Calibri"/>
                <w:noProof/>
              </w:rPr>
            </w:pPr>
            <w:r>
              <w:rPr>
                <w:noProof/>
              </w:rPr>
              <w:t>Q4</w:t>
            </w:r>
          </w:p>
        </w:tc>
        <w:tc>
          <w:tcPr>
            <w:tcW w:w="709" w:type="dxa"/>
            <w:shd w:val="clear" w:color="auto" w:fill="C6EFCE"/>
            <w:noWrap/>
            <w:vAlign w:val="center"/>
          </w:tcPr>
          <w:p w14:paraId="68334000" w14:textId="77777777" w:rsidR="00154E32" w:rsidRDefault="00A43E04">
            <w:pPr>
              <w:pStyle w:val="P68B1DB1-Normal11"/>
              <w:spacing w:before="120" w:after="120"/>
              <w:jc w:val="center"/>
              <w:rPr>
                <w:rFonts w:eastAsia="Calibri"/>
                <w:noProof/>
              </w:rPr>
            </w:pPr>
            <w:r>
              <w:rPr>
                <w:noProof/>
              </w:rPr>
              <w:t>2024</w:t>
            </w:r>
          </w:p>
        </w:tc>
        <w:tc>
          <w:tcPr>
            <w:tcW w:w="2835" w:type="dxa"/>
            <w:shd w:val="clear" w:color="auto" w:fill="C6EFCE"/>
            <w:noWrap/>
            <w:vAlign w:val="center"/>
          </w:tcPr>
          <w:p w14:paraId="112B3DE2" w14:textId="6BF69697" w:rsidR="00154E32" w:rsidRDefault="00A43E04">
            <w:pPr>
              <w:pStyle w:val="P68B1DB1-Normal11"/>
              <w:spacing w:before="120" w:after="120"/>
              <w:rPr>
                <w:rFonts w:eastAsia="Calibri"/>
                <w:noProof/>
              </w:rPr>
            </w:pPr>
            <w:r>
              <w:rPr>
                <w:noProof/>
              </w:rPr>
              <w:t xml:space="preserve">Začetek veljavnosti revidiranega akta o odnosih med subjekti in prostovoljnimi operaterji ob upoštevanju rezultatov projekta TSI (20IT06 – „Podpora zasnovi in izvajanju načrta za okrevanje in odpornost univerzalne javne službe (UCS) za sprostitev zaposlitvenih možnosti za mlade“). </w:t>
            </w:r>
          </w:p>
          <w:p w14:paraId="42F1C092" w14:textId="5078844C" w:rsidR="00154E32" w:rsidRDefault="00A43E04">
            <w:pPr>
              <w:pStyle w:val="P68B1DB1-Normal11"/>
              <w:spacing w:before="120"/>
              <w:rPr>
                <w:rFonts w:eastAsia="Calibri"/>
                <w:noProof/>
              </w:rPr>
            </w:pPr>
            <w:r>
              <w:rPr>
                <w:noProof/>
              </w:rPr>
              <w:t>Revidirani akt:</w:t>
            </w:r>
          </w:p>
          <w:p w14:paraId="4F758717" w14:textId="4D7486B4" w:rsidR="00154E32" w:rsidRDefault="00A43E04">
            <w:pPr>
              <w:pStyle w:val="P68B1DB1-Normal11"/>
              <w:rPr>
                <w:rFonts w:eastAsia="Calibri"/>
                <w:noProof/>
              </w:rPr>
            </w:pPr>
            <w:r>
              <w:rPr>
                <w:noProof/>
              </w:rPr>
              <w:t>povečati udeležbo mladih;</w:t>
            </w:r>
          </w:p>
          <w:p w14:paraId="6ACC6654" w14:textId="5E1BF379" w:rsidR="00154E32" w:rsidRDefault="00A43E04">
            <w:pPr>
              <w:pStyle w:val="P68B1DB1-Normal10"/>
              <w:rPr>
                <w:rFonts w:eastAsia="Calibri"/>
                <w:noProof/>
                <w:color w:val="006100"/>
                <w:sz w:val="20"/>
              </w:rPr>
            </w:pPr>
            <w:r>
              <w:rPr>
                <w:noProof/>
                <w:color w:val="006100"/>
                <w:sz w:val="20"/>
              </w:rPr>
              <w:t>poenostavitev postopkov; in</w:t>
            </w:r>
            <w:r>
              <w:rPr>
                <w:noProof/>
              </w:rPr>
              <w:br/>
            </w:r>
            <w:r>
              <w:rPr>
                <w:noProof/>
                <w:color w:val="006100"/>
                <w:sz w:val="20"/>
              </w:rPr>
              <w:t>izboljšati kakovost projektov UCS.</w:t>
            </w:r>
          </w:p>
        </w:tc>
      </w:tr>
      <w:tr w:rsidR="00154E32" w14:paraId="2ED33151" w14:textId="77777777">
        <w:trPr>
          <w:trHeight w:val="309"/>
          <w:jc w:val="center"/>
        </w:trPr>
        <w:tc>
          <w:tcPr>
            <w:tcW w:w="1364" w:type="dxa"/>
            <w:shd w:val="clear" w:color="auto" w:fill="C6EFCE"/>
            <w:noWrap/>
            <w:vAlign w:val="center"/>
            <w:hideMark/>
          </w:tcPr>
          <w:p w14:paraId="60B74889" w14:textId="29C5169C" w:rsidR="00154E32" w:rsidRDefault="00A43E04">
            <w:pPr>
              <w:pStyle w:val="P68B1DB1-Normal11"/>
              <w:spacing w:before="120" w:after="120"/>
              <w:jc w:val="center"/>
              <w:rPr>
                <w:rFonts w:eastAsia="Calibri"/>
                <w:noProof/>
              </w:rPr>
            </w:pPr>
            <w:r>
              <w:rPr>
                <w:noProof/>
              </w:rPr>
              <w:t>M5C1–16</w:t>
            </w:r>
          </w:p>
        </w:tc>
        <w:tc>
          <w:tcPr>
            <w:tcW w:w="1513" w:type="dxa"/>
            <w:shd w:val="clear" w:color="auto" w:fill="C6EFCE"/>
            <w:noWrap/>
            <w:vAlign w:val="center"/>
            <w:hideMark/>
          </w:tcPr>
          <w:p w14:paraId="72668D0D" w14:textId="77777777" w:rsidR="00154E32" w:rsidRDefault="00A43E04">
            <w:pPr>
              <w:pStyle w:val="P68B1DB1-Normal11"/>
              <w:spacing w:before="120" w:after="120"/>
              <w:jc w:val="center"/>
              <w:rPr>
                <w:rFonts w:eastAsia="Calibri"/>
                <w:noProof/>
              </w:rPr>
            </w:pPr>
            <w:r>
              <w:rPr>
                <w:noProof/>
              </w:rPr>
              <w:t>Naložba 4 – Univerzalna javna služba</w:t>
            </w:r>
          </w:p>
        </w:tc>
        <w:tc>
          <w:tcPr>
            <w:tcW w:w="1281" w:type="dxa"/>
            <w:shd w:val="clear" w:color="auto" w:fill="C6EFCE"/>
            <w:noWrap/>
            <w:vAlign w:val="center"/>
            <w:hideMark/>
          </w:tcPr>
          <w:p w14:paraId="633E3165" w14:textId="77777777" w:rsidR="00154E32" w:rsidRDefault="00A43E04">
            <w:pPr>
              <w:pStyle w:val="P68B1DB1-Normal11"/>
              <w:spacing w:before="120" w:after="120"/>
              <w:jc w:val="center"/>
              <w:rPr>
                <w:rFonts w:eastAsia="Calibri"/>
                <w:noProof/>
              </w:rPr>
            </w:pPr>
            <w:r>
              <w:rPr>
                <w:noProof/>
              </w:rPr>
              <w:t>Tarča</w:t>
            </w:r>
          </w:p>
        </w:tc>
        <w:tc>
          <w:tcPr>
            <w:tcW w:w="1597" w:type="dxa"/>
            <w:shd w:val="clear" w:color="auto" w:fill="C6EFCE"/>
            <w:noWrap/>
            <w:vAlign w:val="center"/>
            <w:hideMark/>
          </w:tcPr>
          <w:p w14:paraId="63F9CB54" w14:textId="77777777" w:rsidR="00154E32" w:rsidRDefault="00A43E04">
            <w:pPr>
              <w:pStyle w:val="P68B1DB1-Normal11"/>
              <w:spacing w:before="120" w:after="120"/>
              <w:jc w:val="center"/>
              <w:rPr>
                <w:rFonts w:eastAsia="Calibri"/>
                <w:noProof/>
              </w:rPr>
            </w:pPr>
            <w:r>
              <w:rPr>
                <w:noProof/>
              </w:rPr>
              <w:t xml:space="preserve"> Ljudje so sodelovali v programu univerzalne javne službe in pridobili ustrezno potrdilo v štiriletnem obdobju 2021–2024.</w:t>
            </w:r>
          </w:p>
        </w:tc>
        <w:tc>
          <w:tcPr>
            <w:tcW w:w="1470" w:type="dxa"/>
            <w:shd w:val="clear" w:color="auto" w:fill="C6EFCE"/>
            <w:noWrap/>
            <w:vAlign w:val="center"/>
            <w:hideMark/>
          </w:tcPr>
          <w:p w14:paraId="00FA34FA" w14:textId="77777777" w:rsidR="00154E32" w:rsidRDefault="00A43E04">
            <w:pPr>
              <w:pStyle w:val="P68B1DB1-Normal11"/>
              <w:spacing w:before="120" w:after="120"/>
              <w:jc w:val="center"/>
              <w:rPr>
                <w:rFonts w:eastAsia="Calibri"/>
                <w:noProof/>
              </w:rPr>
            </w:pPr>
            <w:r>
              <w:rPr>
                <w:noProof/>
              </w:rPr>
              <w:t>JIH NI</w:t>
            </w:r>
          </w:p>
        </w:tc>
        <w:tc>
          <w:tcPr>
            <w:tcW w:w="1275" w:type="dxa"/>
            <w:shd w:val="clear" w:color="auto" w:fill="C6EFCE"/>
            <w:noWrap/>
            <w:vAlign w:val="center"/>
            <w:hideMark/>
          </w:tcPr>
          <w:p w14:paraId="19CF1E09" w14:textId="77777777" w:rsidR="00154E32" w:rsidRDefault="00A43E04">
            <w:pPr>
              <w:pStyle w:val="P68B1DB1-Normal11"/>
              <w:spacing w:before="120" w:after="120"/>
              <w:jc w:val="center"/>
              <w:rPr>
                <w:rFonts w:eastAsia="Calibri"/>
                <w:noProof/>
              </w:rPr>
            </w:pPr>
            <w:r>
              <w:rPr>
                <w:noProof/>
              </w:rPr>
              <w:t xml:space="preserve">Število </w:t>
            </w:r>
          </w:p>
        </w:tc>
        <w:tc>
          <w:tcPr>
            <w:tcW w:w="1134" w:type="dxa"/>
            <w:shd w:val="clear" w:color="auto" w:fill="C6EFCE"/>
            <w:noWrap/>
            <w:vAlign w:val="center"/>
            <w:hideMark/>
          </w:tcPr>
          <w:p w14:paraId="39BFF020" w14:textId="77777777" w:rsidR="00154E32" w:rsidRDefault="00A43E04">
            <w:pPr>
              <w:pStyle w:val="P68B1DB1-Normal11"/>
              <w:spacing w:before="120" w:after="120"/>
              <w:jc w:val="center"/>
              <w:rPr>
                <w:noProof/>
              </w:rPr>
            </w:pPr>
            <w:r>
              <w:rPr>
                <w:noProof/>
              </w:rPr>
              <w:t>0</w:t>
            </w:r>
          </w:p>
        </w:tc>
        <w:tc>
          <w:tcPr>
            <w:tcW w:w="1134" w:type="dxa"/>
            <w:shd w:val="clear" w:color="auto" w:fill="C6EFCE"/>
            <w:noWrap/>
            <w:vAlign w:val="center"/>
            <w:hideMark/>
          </w:tcPr>
          <w:p w14:paraId="136BCB17" w14:textId="6C8A54BD" w:rsidR="00154E32" w:rsidRDefault="00A43E04">
            <w:pPr>
              <w:pStyle w:val="P68B1DB1-Normal11"/>
              <w:spacing w:before="120" w:after="120"/>
              <w:jc w:val="center"/>
              <w:rPr>
                <w:rFonts w:eastAsia="Calibri"/>
                <w:noProof/>
              </w:rPr>
            </w:pPr>
            <w:r>
              <w:rPr>
                <w:noProof/>
              </w:rPr>
              <w:t>166 670</w:t>
            </w:r>
          </w:p>
        </w:tc>
        <w:tc>
          <w:tcPr>
            <w:tcW w:w="851" w:type="dxa"/>
            <w:shd w:val="clear" w:color="auto" w:fill="C6EFCE"/>
            <w:noWrap/>
            <w:vAlign w:val="center"/>
            <w:hideMark/>
          </w:tcPr>
          <w:p w14:paraId="295AE9DA" w14:textId="77777777" w:rsidR="00154E32" w:rsidRDefault="00A43E04">
            <w:pPr>
              <w:pStyle w:val="P68B1DB1-Normal11"/>
              <w:spacing w:before="120" w:after="120"/>
              <w:jc w:val="center"/>
              <w:rPr>
                <w:rFonts w:eastAsia="Calibri"/>
                <w:noProof/>
              </w:rPr>
            </w:pPr>
            <w:r>
              <w:rPr>
                <w:noProof/>
              </w:rPr>
              <w:t>Q2</w:t>
            </w:r>
          </w:p>
        </w:tc>
        <w:tc>
          <w:tcPr>
            <w:tcW w:w="709" w:type="dxa"/>
            <w:shd w:val="clear" w:color="auto" w:fill="C6EFCE"/>
            <w:noWrap/>
            <w:vAlign w:val="center"/>
            <w:hideMark/>
          </w:tcPr>
          <w:p w14:paraId="1FCA2863" w14:textId="77777777" w:rsidR="00154E32" w:rsidRDefault="00A43E04">
            <w:pPr>
              <w:pStyle w:val="P68B1DB1-Normal11"/>
              <w:spacing w:before="120" w:after="120"/>
              <w:jc w:val="center"/>
              <w:rPr>
                <w:rFonts w:eastAsia="Calibri"/>
                <w:noProof/>
              </w:rPr>
            </w:pPr>
            <w:r>
              <w:rPr>
                <w:noProof/>
              </w:rPr>
              <w:t>2026</w:t>
            </w:r>
          </w:p>
        </w:tc>
        <w:tc>
          <w:tcPr>
            <w:tcW w:w="2835" w:type="dxa"/>
            <w:shd w:val="clear" w:color="auto" w:fill="C6EFCE"/>
            <w:noWrap/>
            <w:vAlign w:val="center"/>
            <w:hideMark/>
          </w:tcPr>
          <w:p w14:paraId="297C2FCA" w14:textId="1BACDFB2" w:rsidR="00154E32" w:rsidRDefault="00A43E04">
            <w:pPr>
              <w:pStyle w:val="P68B1DB1-Normal11"/>
              <w:spacing w:before="120" w:after="120"/>
              <w:rPr>
                <w:rFonts w:eastAsia="Calibri"/>
                <w:noProof/>
              </w:rPr>
            </w:pPr>
            <w:r>
              <w:rPr>
                <w:noProof/>
              </w:rPr>
              <w:t>V štiriletnem obdobju 2021–2024 je v programu univerzalne javne službe sodelovalo vsaj 166670 ljudi.</w:t>
            </w:r>
          </w:p>
          <w:p w14:paraId="1C421959" w14:textId="77777777" w:rsidR="00154E32" w:rsidRDefault="00A43E04">
            <w:pPr>
              <w:pStyle w:val="P68B1DB1-Normal11"/>
              <w:spacing w:before="120" w:after="120"/>
              <w:rPr>
                <w:rFonts w:eastAsia="Calibri"/>
                <w:noProof/>
              </w:rPr>
            </w:pPr>
            <w:r>
              <w:rPr>
                <w:noProof/>
              </w:rPr>
              <w:t xml:space="preserve">Glavni cilj je okrepiti univerzalno javno upravo, povečati število prostovoljcev ter izboljšati kakovost programov in projektov, v katere so vključeni mladi. </w:t>
            </w:r>
          </w:p>
        </w:tc>
      </w:tr>
    </w:tbl>
    <w:p w14:paraId="7717BCED" w14:textId="77777777" w:rsidR="00154E32" w:rsidRDefault="00154E32">
      <w:pPr>
        <w:rPr>
          <w:noProof/>
        </w:rPr>
      </w:pPr>
    </w:p>
    <w:p w14:paraId="64B7BB65" w14:textId="77777777" w:rsidR="00154E32" w:rsidRDefault="00154E32">
      <w:pPr>
        <w:spacing w:before="120" w:after="120"/>
        <w:ind w:left="709"/>
        <w:jc w:val="both"/>
        <w:rPr>
          <w:noProof/>
        </w:rPr>
      </w:pPr>
    </w:p>
    <w:p w14:paraId="779CEFB9" w14:textId="77777777" w:rsidR="00154E32" w:rsidRDefault="00154E32">
      <w:pPr>
        <w:spacing w:before="120" w:after="120"/>
        <w:ind w:left="709"/>
        <w:jc w:val="both"/>
        <w:rPr>
          <w:noProof/>
        </w:rPr>
        <w:sectPr w:rsidR="00154E32" w:rsidSect="000D3774">
          <w:headerReference w:type="even" r:id="rId284"/>
          <w:headerReference w:type="default" r:id="rId285"/>
          <w:footerReference w:type="even" r:id="rId286"/>
          <w:footerReference w:type="default" r:id="rId287"/>
          <w:headerReference w:type="first" r:id="rId288"/>
          <w:footerReference w:type="first" r:id="rId289"/>
          <w:pgSz w:w="16838" w:h="11906" w:orient="landscape" w:code="9"/>
          <w:pgMar w:top="1134" w:right="1134" w:bottom="1134" w:left="1134" w:header="567" w:footer="567" w:gutter="0"/>
          <w:cols w:space="720"/>
          <w:docGrid w:linePitch="360"/>
        </w:sectPr>
      </w:pPr>
    </w:p>
    <w:p w14:paraId="1BCC0CAF" w14:textId="1A162967" w:rsidR="00154E32" w:rsidRDefault="00A43E04">
      <w:pPr>
        <w:pStyle w:val="Heading3"/>
        <w:numPr>
          <w:ilvl w:val="0"/>
          <w:numId w:val="0"/>
        </w:numPr>
        <w:ind w:left="850" w:hanging="850"/>
        <w:rPr>
          <w:b/>
          <w:i w:val="0"/>
          <w:noProof/>
          <w:color w:val="4F81BD" w:themeColor="accent1"/>
          <w:u w:val="single"/>
        </w:rPr>
      </w:pPr>
      <w:r>
        <w:rPr>
          <w:b/>
          <w:i w:val="0"/>
          <w:noProof/>
          <w:u w:val="single"/>
        </w:rPr>
        <w:t xml:space="preserve">L.3. </w:t>
      </w:r>
      <w:r>
        <w:rPr>
          <w:noProof/>
        </w:rPr>
        <w:tab/>
      </w:r>
      <w:r>
        <w:rPr>
          <w:b/>
          <w:i w:val="0"/>
          <w:noProof/>
          <w:u w:val="single"/>
        </w:rPr>
        <w:t xml:space="preserve">Opis reform in naložb za posojilo </w:t>
      </w:r>
    </w:p>
    <w:p w14:paraId="7E0F6059" w14:textId="77777777" w:rsidR="00154E32" w:rsidRDefault="00A43E04">
      <w:pPr>
        <w:pStyle w:val="P68B1DB1-Normal2"/>
        <w:spacing w:before="120" w:after="120"/>
        <w:jc w:val="both"/>
        <w:rPr>
          <w:noProof/>
        </w:rPr>
      </w:pPr>
      <w:r>
        <w:rPr>
          <w:noProof/>
        </w:rPr>
        <w:t>Naložba 5 – Ustanovitev ženskih podjetij</w:t>
      </w:r>
    </w:p>
    <w:p w14:paraId="52012527" w14:textId="1A7D3869" w:rsidR="00154E32" w:rsidRDefault="00A43E04">
      <w:pPr>
        <w:spacing w:before="120" w:after="120"/>
        <w:jc w:val="both"/>
        <w:rPr>
          <w:noProof/>
        </w:rPr>
      </w:pPr>
      <w:r>
        <w:rPr>
          <w:noProof/>
        </w:rPr>
        <w:t xml:space="preserve">Cilj tega ukrepa je prispevati k povečanju stopnje udeležbe žensk na trgu dela in zlasti podpirati udeležbo žensk v poslovnih dejavnostih. Naložba podpira ustanavljanje </w:t>
      </w:r>
      <w:r>
        <w:rPr>
          <w:b/>
          <w:noProof/>
        </w:rPr>
        <w:t>ženskih podjetij</w:t>
      </w:r>
      <w:r>
        <w:rPr>
          <w:noProof/>
        </w:rPr>
        <w:t xml:space="preserve">. Glavni cilji ukrepa so: (I) sistematizacijo in preoblikovanje sedanjih podpornih ukrepov v podporo ženskemu podjetništvu, da se poveča njihova učinkovitost; (II) podpiranje izvajanja že vzpostavljenih in delujočih inovativnih poslovnih projektov; (III) podpiranje zagona podjetniških dejavnosti žensk z mentorstvom, tehnično-vodstveno podporo, ukrepi za usklajevanje poklicnega in zasebnega življenja itd.; (IV) z usmerjenimi komunikacijskimi ukrepi ustvariti ugodno kulturno ozračje za žensko podjetništvo. </w:t>
      </w:r>
    </w:p>
    <w:p w14:paraId="10FB1FCA" w14:textId="77777777" w:rsidR="00154E32" w:rsidRDefault="00A43E04">
      <w:pPr>
        <w:pStyle w:val="Heading3"/>
        <w:numPr>
          <w:ilvl w:val="0"/>
          <w:numId w:val="0"/>
        </w:numPr>
        <w:ind w:left="850" w:hanging="850"/>
        <w:rPr>
          <w:b/>
          <w:i w:val="0"/>
          <w:noProof/>
          <w:u w:val="single"/>
        </w:rPr>
      </w:pPr>
      <w:r>
        <w:rPr>
          <w:b/>
          <w:i w:val="0"/>
          <w:noProof/>
          <w:u w:val="single"/>
        </w:rPr>
        <w:t xml:space="preserve">L.4. </w:t>
      </w:r>
      <w:r>
        <w:rPr>
          <w:noProof/>
        </w:rPr>
        <w:tab/>
      </w:r>
      <w:r>
        <w:rPr>
          <w:b/>
          <w:i w:val="0"/>
          <w:noProof/>
          <w:u w:val="single"/>
        </w:rPr>
        <w:t xml:space="preserve">Mejniki, cilji, kazalniki in časovni razpored za spremljanje in izvajanje posojila </w:t>
      </w:r>
    </w:p>
    <w:p w14:paraId="0CFF3AF6" w14:textId="77777777" w:rsidR="00154E32" w:rsidRDefault="00154E32">
      <w:pPr>
        <w:spacing w:before="120" w:after="120"/>
        <w:ind w:left="709"/>
        <w:contextualSpacing/>
        <w:jc w:val="both"/>
        <w:rPr>
          <w:noProof/>
        </w:rPr>
        <w:sectPr w:rsidR="00154E32" w:rsidSect="000D3774">
          <w:headerReference w:type="even" r:id="rId290"/>
          <w:headerReference w:type="default" r:id="rId291"/>
          <w:footerReference w:type="even" r:id="rId292"/>
          <w:footerReference w:type="default" r:id="rId293"/>
          <w:headerReference w:type="first" r:id="rId294"/>
          <w:footerReference w:type="first" r:id="rId295"/>
          <w:pgSz w:w="11907" w:h="16839"/>
          <w:pgMar w:top="1134" w:right="1134" w:bottom="1134" w:left="1134" w:header="567" w:footer="567" w:gutter="0"/>
          <w:cols w:space="720"/>
          <w:docGrid w:linePitch="360"/>
        </w:sectPr>
      </w:pP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530"/>
        <w:gridCol w:w="1179"/>
        <w:gridCol w:w="1802"/>
        <w:gridCol w:w="1670"/>
        <w:gridCol w:w="1037"/>
        <w:gridCol w:w="999"/>
        <w:gridCol w:w="1189"/>
        <w:gridCol w:w="979"/>
        <w:gridCol w:w="689"/>
        <w:gridCol w:w="2982"/>
      </w:tblGrid>
      <w:tr w:rsidR="00154E32" w14:paraId="3AA0246A" w14:textId="77777777">
        <w:trPr>
          <w:trHeight w:val="701"/>
          <w:tblHeader/>
          <w:jc w:val="center"/>
        </w:trPr>
        <w:tc>
          <w:tcPr>
            <w:tcW w:w="1254" w:type="dxa"/>
            <w:vMerge w:val="restart"/>
            <w:shd w:val="clear" w:color="auto" w:fill="BDD7EE"/>
            <w:vAlign w:val="center"/>
            <w:hideMark/>
          </w:tcPr>
          <w:p w14:paraId="3685BA26" w14:textId="77777777" w:rsidR="00154E32" w:rsidRDefault="00A43E04">
            <w:pPr>
              <w:pStyle w:val="P68B1DB1-Normal33"/>
              <w:jc w:val="center"/>
              <w:rPr>
                <w:noProof/>
              </w:rPr>
            </w:pPr>
            <w:r>
              <w:rPr>
                <w:noProof/>
              </w:rPr>
              <w:t>Zaporedna številka</w:t>
            </w:r>
          </w:p>
        </w:tc>
        <w:tc>
          <w:tcPr>
            <w:tcW w:w="1530" w:type="dxa"/>
            <w:vMerge w:val="restart"/>
            <w:shd w:val="clear" w:color="auto" w:fill="BDD7EE"/>
            <w:vAlign w:val="center"/>
            <w:hideMark/>
          </w:tcPr>
          <w:p w14:paraId="434301EC" w14:textId="77777777" w:rsidR="00154E32" w:rsidRDefault="00A43E04">
            <w:pPr>
              <w:pStyle w:val="P68B1DB1-Normal33"/>
              <w:jc w:val="center"/>
              <w:rPr>
                <w:noProof/>
              </w:rPr>
            </w:pPr>
            <w:r>
              <w:rPr>
                <w:noProof/>
              </w:rPr>
              <w:t>Povezani ukrep (reforma ali naložba)</w:t>
            </w:r>
          </w:p>
        </w:tc>
        <w:tc>
          <w:tcPr>
            <w:tcW w:w="1179" w:type="dxa"/>
            <w:vMerge w:val="restart"/>
            <w:shd w:val="clear" w:color="auto" w:fill="BDD7EE"/>
            <w:vAlign w:val="center"/>
            <w:hideMark/>
          </w:tcPr>
          <w:p w14:paraId="7CAD8476" w14:textId="77777777" w:rsidR="00154E32" w:rsidRDefault="00A43E04">
            <w:pPr>
              <w:pStyle w:val="P68B1DB1-Normal33"/>
              <w:jc w:val="center"/>
              <w:rPr>
                <w:noProof/>
              </w:rPr>
            </w:pPr>
            <w:r>
              <w:rPr>
                <w:noProof/>
              </w:rPr>
              <w:t>Mejnik/cilj</w:t>
            </w:r>
          </w:p>
        </w:tc>
        <w:tc>
          <w:tcPr>
            <w:tcW w:w="1802" w:type="dxa"/>
            <w:vMerge w:val="restart"/>
            <w:shd w:val="clear" w:color="auto" w:fill="BDD7EE"/>
            <w:vAlign w:val="center"/>
            <w:hideMark/>
          </w:tcPr>
          <w:p w14:paraId="27BF98E2" w14:textId="77777777" w:rsidR="00154E32" w:rsidRDefault="00A43E04">
            <w:pPr>
              <w:pStyle w:val="P68B1DB1-Normal33"/>
              <w:jc w:val="center"/>
              <w:rPr>
                <w:noProof/>
              </w:rPr>
            </w:pPr>
            <w:r>
              <w:rPr>
                <w:noProof/>
              </w:rPr>
              <w:t>Ime</w:t>
            </w:r>
          </w:p>
        </w:tc>
        <w:tc>
          <w:tcPr>
            <w:tcW w:w="1670" w:type="dxa"/>
            <w:vMerge w:val="restart"/>
            <w:shd w:val="clear" w:color="auto" w:fill="BDD7EE"/>
            <w:vAlign w:val="center"/>
            <w:hideMark/>
          </w:tcPr>
          <w:p w14:paraId="7C58CCDF" w14:textId="77777777" w:rsidR="00154E32" w:rsidRDefault="00A43E04">
            <w:pPr>
              <w:pStyle w:val="P68B1DB1-Normal19"/>
              <w:jc w:val="center"/>
              <w:rPr>
                <w:b/>
                <w:noProof/>
                <w:color w:val="000000"/>
              </w:rPr>
            </w:pPr>
            <w:r>
              <w:rPr>
                <w:b/>
                <w:noProof/>
                <w:color w:val="000000"/>
              </w:rPr>
              <w:t>Kakovostni kazalniki</w:t>
            </w:r>
            <w:r>
              <w:rPr>
                <w:noProof/>
              </w:rPr>
              <w:t xml:space="preserve"> </w:t>
            </w:r>
            <w:r>
              <w:rPr>
                <w:noProof/>
              </w:rPr>
              <w:br/>
            </w:r>
            <w:r>
              <w:rPr>
                <w:b/>
                <w:noProof/>
                <w:color w:val="000000"/>
              </w:rPr>
              <w:t>(za mejnike)</w:t>
            </w:r>
          </w:p>
        </w:tc>
        <w:tc>
          <w:tcPr>
            <w:tcW w:w="3225" w:type="dxa"/>
            <w:gridSpan w:val="3"/>
            <w:shd w:val="clear" w:color="auto" w:fill="BDD7EE"/>
            <w:vAlign w:val="center"/>
            <w:hideMark/>
          </w:tcPr>
          <w:p w14:paraId="75B87EBF" w14:textId="77777777" w:rsidR="00154E32" w:rsidRDefault="00A43E04">
            <w:pPr>
              <w:pStyle w:val="P68B1DB1-Normal19"/>
              <w:jc w:val="center"/>
              <w:rPr>
                <w:b/>
                <w:noProof/>
                <w:color w:val="000000"/>
              </w:rPr>
            </w:pPr>
            <w:r>
              <w:rPr>
                <w:b/>
                <w:noProof/>
                <w:color w:val="000000"/>
              </w:rPr>
              <w:t>Kvantitativni kazalniki</w:t>
            </w:r>
            <w:r>
              <w:rPr>
                <w:noProof/>
              </w:rPr>
              <w:t xml:space="preserve"> </w:t>
            </w:r>
            <w:r>
              <w:rPr>
                <w:noProof/>
              </w:rPr>
              <w:br/>
            </w:r>
            <w:r>
              <w:rPr>
                <w:b/>
                <w:noProof/>
                <w:color w:val="000000"/>
              </w:rPr>
              <w:t>(za ciljne vrednosti)</w:t>
            </w:r>
          </w:p>
        </w:tc>
        <w:tc>
          <w:tcPr>
            <w:tcW w:w="1668" w:type="dxa"/>
            <w:gridSpan w:val="2"/>
            <w:shd w:val="clear" w:color="auto" w:fill="BDD7EE"/>
            <w:vAlign w:val="center"/>
            <w:hideMark/>
          </w:tcPr>
          <w:p w14:paraId="41E3496B" w14:textId="77777777" w:rsidR="00154E32" w:rsidRDefault="00A43E04">
            <w:pPr>
              <w:pStyle w:val="P68B1DB1-Normal33"/>
              <w:jc w:val="center"/>
              <w:rPr>
                <w:noProof/>
              </w:rPr>
            </w:pPr>
            <w:r>
              <w:rPr>
                <w:noProof/>
              </w:rPr>
              <w:t>Okvirni časovni razpored za dokončanje</w:t>
            </w:r>
          </w:p>
        </w:tc>
        <w:tc>
          <w:tcPr>
            <w:tcW w:w="2982" w:type="dxa"/>
            <w:vMerge w:val="restart"/>
            <w:shd w:val="clear" w:color="auto" w:fill="BDD7EE"/>
            <w:vAlign w:val="center"/>
            <w:hideMark/>
          </w:tcPr>
          <w:p w14:paraId="4784543B" w14:textId="77777777" w:rsidR="00154E32" w:rsidRDefault="00A43E04">
            <w:pPr>
              <w:pStyle w:val="P68B1DB1-Normal33"/>
              <w:jc w:val="center"/>
              <w:rPr>
                <w:noProof/>
              </w:rPr>
            </w:pPr>
            <w:r>
              <w:rPr>
                <w:noProof/>
              </w:rPr>
              <w:t>Opis vsakega mejnika in cilja</w:t>
            </w:r>
          </w:p>
        </w:tc>
      </w:tr>
      <w:tr w:rsidR="00154E32" w14:paraId="010B3DE5" w14:textId="77777777">
        <w:trPr>
          <w:trHeight w:val="701"/>
          <w:jc w:val="center"/>
        </w:trPr>
        <w:tc>
          <w:tcPr>
            <w:tcW w:w="1254" w:type="dxa"/>
            <w:vMerge/>
            <w:vAlign w:val="center"/>
          </w:tcPr>
          <w:p w14:paraId="2CA1CD34" w14:textId="77777777" w:rsidR="00154E32" w:rsidRDefault="00154E32">
            <w:pPr>
              <w:rPr>
                <w:rFonts w:ascii="Arial Narrow" w:hAnsi="Arial Narrow"/>
                <w:b/>
                <w:noProof/>
                <w:color w:val="000000"/>
                <w:sz w:val="20"/>
              </w:rPr>
            </w:pPr>
          </w:p>
        </w:tc>
        <w:tc>
          <w:tcPr>
            <w:tcW w:w="1530" w:type="dxa"/>
            <w:vMerge/>
            <w:vAlign w:val="center"/>
          </w:tcPr>
          <w:p w14:paraId="5649FD6F" w14:textId="77777777" w:rsidR="00154E32" w:rsidRDefault="00154E32">
            <w:pPr>
              <w:rPr>
                <w:rFonts w:ascii="Arial Narrow" w:hAnsi="Arial Narrow"/>
                <w:b/>
                <w:noProof/>
                <w:color w:val="000000"/>
                <w:sz w:val="20"/>
              </w:rPr>
            </w:pPr>
          </w:p>
        </w:tc>
        <w:tc>
          <w:tcPr>
            <w:tcW w:w="1179" w:type="dxa"/>
            <w:vMerge/>
            <w:vAlign w:val="center"/>
          </w:tcPr>
          <w:p w14:paraId="6F8C7858" w14:textId="77777777" w:rsidR="00154E32" w:rsidRDefault="00154E32">
            <w:pPr>
              <w:rPr>
                <w:rFonts w:ascii="Arial Narrow" w:hAnsi="Arial Narrow"/>
                <w:b/>
                <w:noProof/>
                <w:color w:val="000000"/>
                <w:sz w:val="20"/>
              </w:rPr>
            </w:pPr>
          </w:p>
        </w:tc>
        <w:tc>
          <w:tcPr>
            <w:tcW w:w="1802" w:type="dxa"/>
            <w:vMerge/>
            <w:vAlign w:val="center"/>
          </w:tcPr>
          <w:p w14:paraId="7AF1ACD2" w14:textId="77777777" w:rsidR="00154E32" w:rsidRDefault="00154E32">
            <w:pPr>
              <w:rPr>
                <w:rFonts w:ascii="Arial Narrow" w:hAnsi="Arial Narrow"/>
                <w:b/>
                <w:noProof/>
                <w:color w:val="000000"/>
                <w:sz w:val="20"/>
              </w:rPr>
            </w:pPr>
          </w:p>
        </w:tc>
        <w:tc>
          <w:tcPr>
            <w:tcW w:w="1670" w:type="dxa"/>
            <w:vMerge/>
            <w:vAlign w:val="center"/>
          </w:tcPr>
          <w:p w14:paraId="247FE103" w14:textId="77777777" w:rsidR="00154E32" w:rsidRDefault="00154E32">
            <w:pPr>
              <w:jc w:val="center"/>
              <w:rPr>
                <w:rFonts w:ascii="Arial Narrow" w:hAnsi="Arial Narrow"/>
                <w:b/>
                <w:noProof/>
                <w:color w:val="000000"/>
                <w:sz w:val="20"/>
              </w:rPr>
            </w:pPr>
          </w:p>
        </w:tc>
        <w:tc>
          <w:tcPr>
            <w:tcW w:w="1037" w:type="dxa"/>
            <w:shd w:val="clear" w:color="auto" w:fill="BDD7EE"/>
            <w:vAlign w:val="center"/>
          </w:tcPr>
          <w:p w14:paraId="58E7F925" w14:textId="77777777" w:rsidR="00154E32" w:rsidRDefault="00A43E04">
            <w:pPr>
              <w:pStyle w:val="P68B1DB1-Normal33"/>
              <w:jc w:val="center"/>
              <w:rPr>
                <w:noProof/>
              </w:rPr>
            </w:pPr>
            <w:r>
              <w:rPr>
                <w:noProof/>
              </w:rPr>
              <w:t>Merska enota</w:t>
            </w:r>
          </w:p>
        </w:tc>
        <w:tc>
          <w:tcPr>
            <w:tcW w:w="999" w:type="dxa"/>
            <w:shd w:val="clear" w:color="auto" w:fill="BDD7EE"/>
            <w:vAlign w:val="center"/>
          </w:tcPr>
          <w:p w14:paraId="564DDE1A" w14:textId="77777777" w:rsidR="00154E32" w:rsidRDefault="00A43E04">
            <w:pPr>
              <w:pStyle w:val="P68B1DB1-Normal33"/>
              <w:jc w:val="center"/>
              <w:rPr>
                <w:noProof/>
              </w:rPr>
            </w:pPr>
            <w:r>
              <w:rPr>
                <w:noProof/>
              </w:rPr>
              <w:t>Izhodišče</w:t>
            </w:r>
          </w:p>
        </w:tc>
        <w:tc>
          <w:tcPr>
            <w:tcW w:w="1189" w:type="dxa"/>
            <w:shd w:val="clear" w:color="auto" w:fill="BDD7EE"/>
            <w:vAlign w:val="center"/>
          </w:tcPr>
          <w:p w14:paraId="044E673D" w14:textId="77777777" w:rsidR="00154E32" w:rsidRDefault="00A43E04">
            <w:pPr>
              <w:pStyle w:val="P68B1DB1-Normal33"/>
              <w:jc w:val="center"/>
              <w:rPr>
                <w:noProof/>
              </w:rPr>
            </w:pPr>
            <w:r>
              <w:rPr>
                <w:noProof/>
              </w:rPr>
              <w:t>Cilj</w:t>
            </w:r>
          </w:p>
        </w:tc>
        <w:tc>
          <w:tcPr>
            <w:tcW w:w="979" w:type="dxa"/>
            <w:shd w:val="clear" w:color="auto" w:fill="BDD7EE"/>
            <w:vAlign w:val="center"/>
          </w:tcPr>
          <w:p w14:paraId="4EDB2FD4" w14:textId="77777777" w:rsidR="00154E32" w:rsidRDefault="00A43E04">
            <w:pPr>
              <w:pStyle w:val="P68B1DB1-Normal33"/>
              <w:jc w:val="center"/>
              <w:rPr>
                <w:noProof/>
              </w:rPr>
            </w:pPr>
            <w:r>
              <w:rPr>
                <w:noProof/>
              </w:rPr>
              <w:t>Četrtletje</w:t>
            </w:r>
          </w:p>
        </w:tc>
        <w:tc>
          <w:tcPr>
            <w:tcW w:w="689" w:type="dxa"/>
            <w:shd w:val="clear" w:color="auto" w:fill="BDD7EE"/>
            <w:vAlign w:val="center"/>
          </w:tcPr>
          <w:p w14:paraId="49C6B959" w14:textId="77777777" w:rsidR="00154E32" w:rsidRDefault="00A43E04">
            <w:pPr>
              <w:pStyle w:val="P68B1DB1-Normal33"/>
              <w:jc w:val="center"/>
              <w:rPr>
                <w:noProof/>
              </w:rPr>
            </w:pPr>
            <w:r>
              <w:rPr>
                <w:noProof/>
              </w:rPr>
              <w:t>Leto</w:t>
            </w:r>
          </w:p>
        </w:tc>
        <w:tc>
          <w:tcPr>
            <w:tcW w:w="2982" w:type="dxa"/>
            <w:vMerge/>
            <w:vAlign w:val="center"/>
          </w:tcPr>
          <w:p w14:paraId="67C1634C" w14:textId="77777777" w:rsidR="00154E32" w:rsidRDefault="00154E32">
            <w:pPr>
              <w:rPr>
                <w:rFonts w:ascii="Arial Narrow" w:hAnsi="Arial Narrow"/>
                <w:b/>
                <w:noProof/>
                <w:color w:val="000000"/>
                <w:sz w:val="20"/>
              </w:rPr>
            </w:pPr>
          </w:p>
        </w:tc>
      </w:tr>
      <w:tr w:rsidR="00154E32" w14:paraId="7FF01C1E" w14:textId="77777777">
        <w:trPr>
          <w:trHeight w:val="1965"/>
          <w:jc w:val="center"/>
        </w:trPr>
        <w:tc>
          <w:tcPr>
            <w:tcW w:w="1254" w:type="dxa"/>
            <w:shd w:val="clear" w:color="auto" w:fill="C6EFCE"/>
            <w:vAlign w:val="center"/>
            <w:hideMark/>
          </w:tcPr>
          <w:p w14:paraId="27522128" w14:textId="77777777" w:rsidR="00154E32" w:rsidRDefault="00A43E04">
            <w:pPr>
              <w:pStyle w:val="P68B1DB1-Normal11"/>
              <w:jc w:val="center"/>
              <w:rPr>
                <w:noProof/>
              </w:rPr>
            </w:pPr>
            <w:r>
              <w:rPr>
                <w:noProof/>
              </w:rPr>
              <w:t>M5C1–17</w:t>
            </w:r>
          </w:p>
        </w:tc>
        <w:tc>
          <w:tcPr>
            <w:tcW w:w="1530" w:type="dxa"/>
            <w:shd w:val="clear" w:color="auto" w:fill="C6EFCE"/>
            <w:vAlign w:val="center"/>
            <w:hideMark/>
          </w:tcPr>
          <w:p w14:paraId="14CEC065" w14:textId="77777777" w:rsidR="00154E32" w:rsidRDefault="00A43E04">
            <w:pPr>
              <w:pStyle w:val="P68B1DB1-Normal11"/>
              <w:jc w:val="center"/>
              <w:rPr>
                <w:noProof/>
              </w:rPr>
            </w:pPr>
            <w:r>
              <w:rPr>
                <w:noProof/>
              </w:rPr>
              <w:t>Naložba 5 – Ustanovitev ženskih podjetij</w:t>
            </w:r>
          </w:p>
        </w:tc>
        <w:tc>
          <w:tcPr>
            <w:tcW w:w="1179" w:type="dxa"/>
            <w:shd w:val="clear" w:color="auto" w:fill="C6EFCE"/>
            <w:vAlign w:val="center"/>
            <w:hideMark/>
          </w:tcPr>
          <w:p w14:paraId="5AB79EE5" w14:textId="77777777" w:rsidR="00154E32" w:rsidRDefault="00A43E04">
            <w:pPr>
              <w:pStyle w:val="P68B1DB1-Normal11"/>
              <w:jc w:val="center"/>
              <w:rPr>
                <w:noProof/>
              </w:rPr>
            </w:pPr>
            <w:r>
              <w:rPr>
                <w:noProof/>
              </w:rPr>
              <w:t>Mejnik</w:t>
            </w:r>
          </w:p>
        </w:tc>
        <w:tc>
          <w:tcPr>
            <w:tcW w:w="1802" w:type="dxa"/>
            <w:shd w:val="clear" w:color="auto" w:fill="C6EFCE"/>
            <w:vAlign w:val="center"/>
            <w:hideMark/>
          </w:tcPr>
          <w:p w14:paraId="5157A23A" w14:textId="77777777" w:rsidR="00154E32" w:rsidRDefault="00A43E04">
            <w:pPr>
              <w:pStyle w:val="P68B1DB1-Normal11"/>
              <w:jc w:val="center"/>
              <w:rPr>
                <w:noProof/>
              </w:rPr>
            </w:pPr>
            <w:r>
              <w:rPr>
                <w:noProof/>
              </w:rPr>
              <w:t>Sprejet je sklad za podporo ženskemu podjetništvu.</w:t>
            </w:r>
          </w:p>
        </w:tc>
        <w:tc>
          <w:tcPr>
            <w:tcW w:w="1670" w:type="dxa"/>
            <w:shd w:val="clear" w:color="auto" w:fill="C6EFCE"/>
            <w:vAlign w:val="center"/>
            <w:hideMark/>
          </w:tcPr>
          <w:p w14:paraId="29F763F0" w14:textId="77777777" w:rsidR="00154E32" w:rsidRDefault="00A43E04">
            <w:pPr>
              <w:pStyle w:val="P68B1DB1-Normal11"/>
              <w:jc w:val="center"/>
              <w:rPr>
                <w:noProof/>
              </w:rPr>
            </w:pPr>
            <w:r>
              <w:rPr>
                <w:noProof/>
              </w:rPr>
              <w:t>Ministrski odlok za ustanovitev „Fondo Impresa Donna“ se odobri.</w:t>
            </w:r>
          </w:p>
        </w:tc>
        <w:tc>
          <w:tcPr>
            <w:tcW w:w="1037" w:type="dxa"/>
            <w:shd w:val="clear" w:color="auto" w:fill="C6EFCE"/>
            <w:vAlign w:val="center"/>
            <w:hideMark/>
          </w:tcPr>
          <w:p w14:paraId="12C1B200" w14:textId="77777777" w:rsidR="00154E32" w:rsidRDefault="00A43E04">
            <w:pPr>
              <w:pStyle w:val="P68B1DB1-Normal11"/>
              <w:jc w:val="center"/>
              <w:rPr>
                <w:noProof/>
              </w:rPr>
            </w:pPr>
            <w:r>
              <w:rPr>
                <w:noProof/>
              </w:rPr>
              <w:t>JIH NI</w:t>
            </w:r>
          </w:p>
        </w:tc>
        <w:tc>
          <w:tcPr>
            <w:tcW w:w="999" w:type="dxa"/>
            <w:shd w:val="clear" w:color="auto" w:fill="C6EFCE"/>
            <w:vAlign w:val="center"/>
            <w:hideMark/>
          </w:tcPr>
          <w:p w14:paraId="2BD66C3D" w14:textId="77777777" w:rsidR="00154E32" w:rsidRDefault="00A43E04">
            <w:pPr>
              <w:pStyle w:val="P68B1DB1-Normal11"/>
              <w:jc w:val="center"/>
              <w:rPr>
                <w:noProof/>
              </w:rPr>
            </w:pPr>
            <w:r>
              <w:rPr>
                <w:noProof/>
              </w:rPr>
              <w:t>JIH NI</w:t>
            </w:r>
          </w:p>
        </w:tc>
        <w:tc>
          <w:tcPr>
            <w:tcW w:w="1189" w:type="dxa"/>
            <w:shd w:val="clear" w:color="auto" w:fill="C6EFCE"/>
            <w:vAlign w:val="center"/>
            <w:hideMark/>
          </w:tcPr>
          <w:p w14:paraId="5C032983" w14:textId="77777777" w:rsidR="00154E32" w:rsidRDefault="00A43E04">
            <w:pPr>
              <w:pStyle w:val="P68B1DB1-Normal11"/>
              <w:jc w:val="center"/>
              <w:rPr>
                <w:noProof/>
              </w:rPr>
            </w:pPr>
            <w:r>
              <w:rPr>
                <w:noProof/>
              </w:rPr>
              <w:t>JIH NI</w:t>
            </w:r>
          </w:p>
        </w:tc>
        <w:tc>
          <w:tcPr>
            <w:tcW w:w="979" w:type="dxa"/>
            <w:shd w:val="clear" w:color="auto" w:fill="C6EFCE"/>
            <w:vAlign w:val="center"/>
            <w:hideMark/>
          </w:tcPr>
          <w:p w14:paraId="005C8021" w14:textId="77777777" w:rsidR="00154E32" w:rsidRDefault="00A43E04">
            <w:pPr>
              <w:pStyle w:val="P68B1DB1-Normal11"/>
              <w:jc w:val="center"/>
              <w:rPr>
                <w:noProof/>
              </w:rPr>
            </w:pPr>
            <w:r>
              <w:rPr>
                <w:noProof/>
              </w:rPr>
              <w:t>Q3</w:t>
            </w:r>
          </w:p>
        </w:tc>
        <w:tc>
          <w:tcPr>
            <w:tcW w:w="689" w:type="dxa"/>
            <w:shd w:val="clear" w:color="auto" w:fill="C6EFCE"/>
            <w:vAlign w:val="center"/>
            <w:hideMark/>
          </w:tcPr>
          <w:p w14:paraId="77AC16ED" w14:textId="77777777" w:rsidR="00154E32" w:rsidRDefault="00A43E04">
            <w:pPr>
              <w:pStyle w:val="P68B1DB1-Normal11"/>
              <w:jc w:val="center"/>
              <w:rPr>
                <w:noProof/>
              </w:rPr>
            </w:pPr>
            <w:r>
              <w:rPr>
                <w:noProof/>
              </w:rPr>
              <w:t>2021</w:t>
            </w:r>
          </w:p>
        </w:tc>
        <w:tc>
          <w:tcPr>
            <w:tcW w:w="2982" w:type="dxa"/>
            <w:shd w:val="clear" w:color="auto" w:fill="C6EFCE"/>
            <w:vAlign w:val="center"/>
            <w:hideMark/>
          </w:tcPr>
          <w:p w14:paraId="1FF870FF" w14:textId="77777777" w:rsidR="00154E32" w:rsidRDefault="00A43E04">
            <w:pPr>
              <w:pStyle w:val="P68B1DB1-Normal11"/>
              <w:rPr>
                <w:noProof/>
              </w:rPr>
            </w:pPr>
            <w:r>
              <w:rPr>
                <w:noProof/>
              </w:rPr>
              <w:t>Sklad za podporo ženskemu podjetništvu se sprejme z ministrskim odlokom, ki določa sklop meril za upravičenost v skladu s cilji mehanizma za okrevanje in odpornost, vključno z načelom, da se ne škoduje bistveno, ter podpisom sporazuma o financiranju in operativnih sporazumov s finančnimi posredniki.</w:t>
            </w:r>
          </w:p>
          <w:p w14:paraId="1913A1E8" w14:textId="77777777" w:rsidR="00154E32" w:rsidRDefault="00154E32">
            <w:pPr>
              <w:rPr>
                <w:rFonts w:ascii="Arial Narrow" w:hAnsi="Arial Narrow"/>
                <w:noProof/>
                <w:color w:val="006100"/>
                <w:sz w:val="20"/>
              </w:rPr>
            </w:pPr>
          </w:p>
          <w:p w14:paraId="21370EC2" w14:textId="77777777" w:rsidR="00154E32" w:rsidRDefault="00A43E04">
            <w:pPr>
              <w:pStyle w:val="P68B1DB1-Normal11"/>
              <w:rPr>
                <w:noProof/>
              </w:rPr>
            </w:pPr>
            <w:r>
              <w:rPr>
                <w:noProof/>
              </w:rPr>
              <w:t>Ti skladi sestavljajo „Fondo Impresa Donna“, ki izvaja poseben ukrep za podporo ženskemu podjetništvu. O izvedbenih ukrepih se predhodno dogovorita Ministrstvo za gospodarski razvoj in Ministrstvo za enake možnosti PCM, katerih cilj je:</w:t>
            </w:r>
          </w:p>
          <w:p w14:paraId="583DFB45" w14:textId="77777777" w:rsidR="00154E32" w:rsidRDefault="00A43E04">
            <w:pPr>
              <w:pStyle w:val="P68B1DB1-Normal11"/>
              <w:rPr>
                <w:noProof/>
              </w:rPr>
            </w:pPr>
            <w:r>
              <w:rPr>
                <w:noProof/>
              </w:rPr>
              <w:t>— okrepitev obstoječih ukrepov, ki jih že upravljajo notranji organi ministrstva za gospodarski razvoj (kot so NITO-ON, Smart &amp; Start), s kapitalskim vložkom, ki bo namenjen samo ženskim podjetjem;</w:t>
            </w:r>
          </w:p>
          <w:p w14:paraId="5CDD7B41" w14:textId="3204B780" w:rsidR="00154E32" w:rsidRDefault="00A43E04">
            <w:pPr>
              <w:pStyle w:val="P68B1DB1-Normal11"/>
              <w:rPr>
                <w:noProof/>
              </w:rPr>
            </w:pPr>
            <w:r>
              <w:rPr>
                <w:noProof/>
              </w:rPr>
              <w:t>— zagotovitev dodatnih sredstev za sklad za podjetništvo žensk, ustanovljen z zakonom o proračunu za leto 2021 (od tretjega četrtletja 2022 dalje);</w:t>
            </w:r>
          </w:p>
          <w:p w14:paraId="37CE49C0" w14:textId="77777777" w:rsidR="00154E32" w:rsidRDefault="00A43E04">
            <w:pPr>
              <w:pStyle w:val="P68B1DB1-Normal11"/>
              <w:rPr>
                <w:noProof/>
              </w:rPr>
            </w:pPr>
            <w:r>
              <w:rPr>
                <w:noProof/>
              </w:rPr>
              <w:t>oblikovanje spremljevalnih ukrepov, kampanj za spremljanje in obveščanje. Oddelek PCM za enake možnosti izvaja večletno informacijsko kampanjo za spodbujanje ženskega podjetništva, dejavnosti poklicnega usmerjanja za ženske vseh starosti in študentke na univerzah za predmete in poklice, v katerih so ženske premalo zastopane, ter vzpostavitev komunikacijske platforme.</w:t>
            </w:r>
          </w:p>
        </w:tc>
      </w:tr>
      <w:tr w:rsidR="00154E32" w14:paraId="0C11C86A" w14:textId="77777777">
        <w:trPr>
          <w:trHeight w:val="845"/>
          <w:jc w:val="center"/>
        </w:trPr>
        <w:tc>
          <w:tcPr>
            <w:tcW w:w="1254" w:type="dxa"/>
            <w:shd w:val="clear" w:color="auto" w:fill="C6EFCE"/>
            <w:vAlign w:val="center"/>
            <w:hideMark/>
          </w:tcPr>
          <w:p w14:paraId="3973B524" w14:textId="77777777" w:rsidR="00154E32" w:rsidRDefault="00A43E04">
            <w:pPr>
              <w:pStyle w:val="P68B1DB1-Normal11"/>
              <w:jc w:val="center"/>
              <w:rPr>
                <w:noProof/>
              </w:rPr>
            </w:pPr>
            <w:r>
              <w:rPr>
                <w:noProof/>
              </w:rPr>
              <w:t>M5C1–18</w:t>
            </w:r>
          </w:p>
        </w:tc>
        <w:tc>
          <w:tcPr>
            <w:tcW w:w="1530" w:type="dxa"/>
            <w:shd w:val="clear" w:color="auto" w:fill="C6EFCE"/>
            <w:vAlign w:val="center"/>
            <w:hideMark/>
          </w:tcPr>
          <w:p w14:paraId="26F904DD" w14:textId="77777777" w:rsidR="00154E32" w:rsidRDefault="00A43E04">
            <w:pPr>
              <w:pStyle w:val="P68B1DB1-Normal11"/>
              <w:jc w:val="center"/>
              <w:rPr>
                <w:noProof/>
              </w:rPr>
            </w:pPr>
            <w:r>
              <w:rPr>
                <w:noProof/>
              </w:rPr>
              <w:t>Naložba 5 – Ustanovitev ženskih podjetij</w:t>
            </w:r>
          </w:p>
        </w:tc>
        <w:tc>
          <w:tcPr>
            <w:tcW w:w="1179" w:type="dxa"/>
            <w:shd w:val="clear" w:color="auto" w:fill="C6EFCE"/>
            <w:vAlign w:val="center"/>
            <w:hideMark/>
          </w:tcPr>
          <w:p w14:paraId="3A3C6382" w14:textId="77777777" w:rsidR="00154E32" w:rsidRDefault="00A43E04">
            <w:pPr>
              <w:pStyle w:val="P68B1DB1-Normal11"/>
              <w:jc w:val="center"/>
              <w:rPr>
                <w:noProof/>
              </w:rPr>
            </w:pPr>
            <w:r>
              <w:rPr>
                <w:noProof/>
              </w:rPr>
              <w:t>Tarča</w:t>
            </w:r>
          </w:p>
        </w:tc>
        <w:tc>
          <w:tcPr>
            <w:tcW w:w="1802" w:type="dxa"/>
            <w:shd w:val="clear" w:color="auto" w:fill="C6EFCE"/>
            <w:vAlign w:val="center"/>
            <w:hideMark/>
          </w:tcPr>
          <w:p w14:paraId="39C2482C" w14:textId="77777777" w:rsidR="00154E32" w:rsidRDefault="00A43E04">
            <w:pPr>
              <w:pStyle w:val="P68B1DB1-Normal11"/>
              <w:jc w:val="center"/>
              <w:rPr>
                <w:noProof/>
              </w:rPr>
            </w:pPr>
            <w:r>
              <w:rPr>
                <w:noProof/>
              </w:rPr>
              <w:t xml:space="preserve"> Dodeljena je bila finančna podpora podjetjem </w:t>
            </w:r>
          </w:p>
        </w:tc>
        <w:tc>
          <w:tcPr>
            <w:tcW w:w="1670" w:type="dxa"/>
            <w:shd w:val="clear" w:color="auto" w:fill="C6EFCE"/>
            <w:vAlign w:val="center"/>
            <w:hideMark/>
          </w:tcPr>
          <w:p w14:paraId="6D578092" w14:textId="77777777" w:rsidR="00154E32" w:rsidRDefault="00A43E04">
            <w:pPr>
              <w:pStyle w:val="P68B1DB1-Normal11"/>
              <w:jc w:val="center"/>
              <w:rPr>
                <w:noProof/>
              </w:rPr>
            </w:pPr>
            <w:r>
              <w:rPr>
                <w:noProof/>
              </w:rPr>
              <w:t>JIH NI</w:t>
            </w:r>
          </w:p>
        </w:tc>
        <w:tc>
          <w:tcPr>
            <w:tcW w:w="1037" w:type="dxa"/>
            <w:shd w:val="clear" w:color="auto" w:fill="C6EFCE"/>
            <w:vAlign w:val="center"/>
            <w:hideMark/>
          </w:tcPr>
          <w:p w14:paraId="50EC50E8" w14:textId="77777777" w:rsidR="00154E32" w:rsidRDefault="00A43E04">
            <w:pPr>
              <w:pStyle w:val="P68B1DB1-Normal11"/>
              <w:jc w:val="center"/>
              <w:rPr>
                <w:noProof/>
              </w:rPr>
            </w:pPr>
            <w:r>
              <w:rPr>
                <w:noProof/>
              </w:rPr>
              <w:t>Število</w:t>
            </w:r>
          </w:p>
        </w:tc>
        <w:tc>
          <w:tcPr>
            <w:tcW w:w="999" w:type="dxa"/>
            <w:shd w:val="clear" w:color="auto" w:fill="C6EFCE"/>
            <w:vAlign w:val="center"/>
            <w:hideMark/>
          </w:tcPr>
          <w:p w14:paraId="14E8B577" w14:textId="77777777" w:rsidR="00154E32" w:rsidRDefault="00A43E04">
            <w:pPr>
              <w:pStyle w:val="P68B1DB1-Normal11"/>
              <w:jc w:val="center"/>
              <w:rPr>
                <w:noProof/>
              </w:rPr>
            </w:pPr>
            <w:r>
              <w:rPr>
                <w:noProof/>
              </w:rPr>
              <w:t>0</w:t>
            </w:r>
          </w:p>
        </w:tc>
        <w:tc>
          <w:tcPr>
            <w:tcW w:w="1189" w:type="dxa"/>
            <w:shd w:val="clear" w:color="auto" w:fill="C6EFCE"/>
            <w:vAlign w:val="center"/>
            <w:hideMark/>
          </w:tcPr>
          <w:p w14:paraId="3E866043" w14:textId="77777777" w:rsidR="00154E32" w:rsidRDefault="00A43E04">
            <w:pPr>
              <w:pStyle w:val="P68B1DB1-Normal11"/>
              <w:jc w:val="center"/>
              <w:rPr>
                <w:noProof/>
              </w:rPr>
            </w:pPr>
            <w:r>
              <w:rPr>
                <w:noProof/>
              </w:rPr>
              <w:t>700</w:t>
            </w:r>
          </w:p>
        </w:tc>
        <w:tc>
          <w:tcPr>
            <w:tcW w:w="979" w:type="dxa"/>
            <w:shd w:val="clear" w:color="auto" w:fill="C6EFCE"/>
            <w:vAlign w:val="center"/>
            <w:hideMark/>
          </w:tcPr>
          <w:p w14:paraId="4427AF80" w14:textId="77777777" w:rsidR="00154E32" w:rsidRDefault="00A43E04">
            <w:pPr>
              <w:pStyle w:val="P68B1DB1-Normal11"/>
              <w:jc w:val="center"/>
              <w:rPr>
                <w:noProof/>
              </w:rPr>
            </w:pPr>
            <w:r>
              <w:rPr>
                <w:noProof/>
              </w:rPr>
              <w:t>Q2</w:t>
            </w:r>
          </w:p>
        </w:tc>
        <w:tc>
          <w:tcPr>
            <w:tcW w:w="689" w:type="dxa"/>
            <w:shd w:val="clear" w:color="auto" w:fill="C6EFCE"/>
            <w:vAlign w:val="center"/>
            <w:hideMark/>
          </w:tcPr>
          <w:p w14:paraId="41848E14" w14:textId="77777777" w:rsidR="00154E32" w:rsidRDefault="00A43E04">
            <w:pPr>
              <w:pStyle w:val="P68B1DB1-Normal11"/>
              <w:jc w:val="center"/>
              <w:rPr>
                <w:noProof/>
              </w:rPr>
            </w:pPr>
            <w:r>
              <w:rPr>
                <w:noProof/>
              </w:rPr>
              <w:t>2023</w:t>
            </w:r>
          </w:p>
        </w:tc>
        <w:tc>
          <w:tcPr>
            <w:tcW w:w="2982" w:type="dxa"/>
            <w:shd w:val="clear" w:color="auto" w:fill="C6EFCE"/>
            <w:vAlign w:val="center"/>
            <w:hideMark/>
          </w:tcPr>
          <w:p w14:paraId="154B612C" w14:textId="77777777" w:rsidR="00154E32" w:rsidRDefault="00A43E04">
            <w:pPr>
              <w:pStyle w:val="P68B1DB1-Normal11"/>
              <w:rPr>
                <w:noProof/>
              </w:rPr>
            </w:pPr>
            <w:r>
              <w:rPr>
                <w:noProof/>
              </w:rPr>
              <w:t xml:space="preserve">Finančna podpora je bila v primerjavi z izhodiščnim scenarijem dodeljena vsaj 700 dodatnim podjetjem. </w:t>
            </w:r>
          </w:p>
          <w:p w14:paraId="07DB888A" w14:textId="77777777" w:rsidR="00154E32" w:rsidRDefault="00A43E04">
            <w:pPr>
              <w:pStyle w:val="P68B1DB1-Normal11"/>
              <w:rPr>
                <w:noProof/>
              </w:rPr>
            </w:pPr>
            <w:r>
              <w:rPr>
                <w:noProof/>
              </w:rPr>
              <w:t>Podpora ženskemu podjetništvu se izvaja z že aktivnimi instrumenti (NITO-ON, Smart &amp; Start) in novim skladom, ustanovljenim z zakonom o proračunu za leto 2021 (ženska podjetja, ki so do novembra 2020 podpirala obstoječe finančne instrumente kot izhodišče).</w:t>
            </w:r>
          </w:p>
        </w:tc>
      </w:tr>
      <w:tr w:rsidR="00154E32" w14:paraId="632B0D98" w14:textId="77777777">
        <w:trPr>
          <w:trHeight w:val="703"/>
          <w:jc w:val="center"/>
        </w:trPr>
        <w:tc>
          <w:tcPr>
            <w:tcW w:w="1254" w:type="dxa"/>
            <w:shd w:val="clear" w:color="auto" w:fill="C6EFCE"/>
            <w:vAlign w:val="center"/>
            <w:hideMark/>
          </w:tcPr>
          <w:p w14:paraId="2142396A" w14:textId="77777777" w:rsidR="00154E32" w:rsidRDefault="00A43E04">
            <w:pPr>
              <w:pStyle w:val="P68B1DB1-Normal11"/>
              <w:jc w:val="center"/>
              <w:rPr>
                <w:noProof/>
              </w:rPr>
            </w:pPr>
            <w:r>
              <w:rPr>
                <w:noProof/>
              </w:rPr>
              <w:t>M5C1–19</w:t>
            </w:r>
          </w:p>
        </w:tc>
        <w:tc>
          <w:tcPr>
            <w:tcW w:w="1530" w:type="dxa"/>
            <w:shd w:val="clear" w:color="auto" w:fill="C6EFCE"/>
            <w:vAlign w:val="center"/>
            <w:hideMark/>
          </w:tcPr>
          <w:p w14:paraId="04A1661D" w14:textId="77777777" w:rsidR="00154E32" w:rsidRDefault="00A43E04">
            <w:pPr>
              <w:pStyle w:val="P68B1DB1-Normal11"/>
              <w:jc w:val="center"/>
              <w:rPr>
                <w:noProof/>
              </w:rPr>
            </w:pPr>
            <w:r>
              <w:rPr>
                <w:noProof/>
              </w:rPr>
              <w:t>Naložba 5 – Ustanovitev ženskih podjetij</w:t>
            </w:r>
          </w:p>
        </w:tc>
        <w:tc>
          <w:tcPr>
            <w:tcW w:w="1179" w:type="dxa"/>
            <w:shd w:val="clear" w:color="auto" w:fill="C6EFCE"/>
            <w:vAlign w:val="center"/>
            <w:hideMark/>
          </w:tcPr>
          <w:p w14:paraId="3ED70867" w14:textId="77777777" w:rsidR="00154E32" w:rsidRDefault="00A43E04">
            <w:pPr>
              <w:pStyle w:val="P68B1DB1-Normal11"/>
              <w:jc w:val="center"/>
              <w:rPr>
                <w:noProof/>
              </w:rPr>
            </w:pPr>
            <w:r>
              <w:rPr>
                <w:noProof/>
              </w:rPr>
              <w:t>Tarča</w:t>
            </w:r>
          </w:p>
        </w:tc>
        <w:tc>
          <w:tcPr>
            <w:tcW w:w="1802" w:type="dxa"/>
            <w:shd w:val="clear" w:color="auto" w:fill="C6EFCE"/>
            <w:vAlign w:val="center"/>
            <w:hideMark/>
          </w:tcPr>
          <w:p w14:paraId="5A6A3527" w14:textId="77777777" w:rsidR="00154E32" w:rsidRDefault="00A43E04">
            <w:pPr>
              <w:pStyle w:val="P68B1DB1-Normal11"/>
              <w:jc w:val="center"/>
              <w:rPr>
                <w:noProof/>
              </w:rPr>
            </w:pPr>
            <w:r>
              <w:rPr>
                <w:noProof/>
              </w:rPr>
              <w:t>Podjetja, kot so opredeljena v ustrezni naložbeni politiki, so prejela finančno podporo</w:t>
            </w:r>
          </w:p>
        </w:tc>
        <w:tc>
          <w:tcPr>
            <w:tcW w:w="1670" w:type="dxa"/>
            <w:shd w:val="clear" w:color="auto" w:fill="C6EFCE"/>
            <w:vAlign w:val="center"/>
            <w:hideMark/>
          </w:tcPr>
          <w:p w14:paraId="3785FBED" w14:textId="77777777" w:rsidR="00154E32" w:rsidRDefault="00A43E04">
            <w:pPr>
              <w:pStyle w:val="P68B1DB1-Normal11"/>
              <w:jc w:val="center"/>
              <w:rPr>
                <w:noProof/>
              </w:rPr>
            </w:pPr>
            <w:r>
              <w:rPr>
                <w:noProof/>
              </w:rPr>
              <w:t>JIH NI</w:t>
            </w:r>
          </w:p>
        </w:tc>
        <w:tc>
          <w:tcPr>
            <w:tcW w:w="1037" w:type="dxa"/>
            <w:shd w:val="clear" w:color="auto" w:fill="C6EFCE"/>
            <w:vAlign w:val="center"/>
            <w:hideMark/>
          </w:tcPr>
          <w:p w14:paraId="2A1E7603" w14:textId="77777777" w:rsidR="00154E32" w:rsidRDefault="00A43E04">
            <w:pPr>
              <w:pStyle w:val="P68B1DB1-Normal11"/>
              <w:jc w:val="center"/>
              <w:rPr>
                <w:noProof/>
              </w:rPr>
            </w:pPr>
            <w:r>
              <w:rPr>
                <w:noProof/>
              </w:rPr>
              <w:t>Število</w:t>
            </w:r>
          </w:p>
        </w:tc>
        <w:tc>
          <w:tcPr>
            <w:tcW w:w="999" w:type="dxa"/>
            <w:shd w:val="clear" w:color="auto" w:fill="C6EFCE"/>
            <w:vAlign w:val="center"/>
            <w:hideMark/>
          </w:tcPr>
          <w:p w14:paraId="6DA20C6E" w14:textId="77777777" w:rsidR="00154E32" w:rsidRDefault="00A43E04">
            <w:pPr>
              <w:pStyle w:val="P68B1DB1-Normal11"/>
              <w:jc w:val="center"/>
              <w:rPr>
                <w:noProof/>
              </w:rPr>
            </w:pPr>
            <w:r>
              <w:rPr>
                <w:noProof/>
              </w:rPr>
              <w:t>0</w:t>
            </w:r>
          </w:p>
        </w:tc>
        <w:tc>
          <w:tcPr>
            <w:tcW w:w="1189" w:type="dxa"/>
            <w:shd w:val="clear" w:color="auto" w:fill="C6EFCE"/>
            <w:vAlign w:val="center"/>
            <w:hideMark/>
          </w:tcPr>
          <w:p w14:paraId="7CC3D2C4" w14:textId="4B88077F" w:rsidR="00154E32" w:rsidRDefault="00A43E04">
            <w:pPr>
              <w:pStyle w:val="P68B1DB1-Normal11"/>
              <w:jc w:val="center"/>
              <w:rPr>
                <w:noProof/>
              </w:rPr>
            </w:pPr>
            <w:r>
              <w:rPr>
                <w:noProof/>
              </w:rPr>
              <w:t>2 400</w:t>
            </w:r>
          </w:p>
        </w:tc>
        <w:tc>
          <w:tcPr>
            <w:tcW w:w="979" w:type="dxa"/>
            <w:shd w:val="clear" w:color="auto" w:fill="C6EFCE"/>
            <w:vAlign w:val="center"/>
            <w:hideMark/>
          </w:tcPr>
          <w:p w14:paraId="7F799E50" w14:textId="77777777" w:rsidR="00154E32" w:rsidRDefault="00A43E04">
            <w:pPr>
              <w:pStyle w:val="P68B1DB1-Normal11"/>
              <w:jc w:val="center"/>
              <w:rPr>
                <w:noProof/>
              </w:rPr>
            </w:pPr>
            <w:r>
              <w:rPr>
                <w:noProof/>
              </w:rPr>
              <w:t>Q2</w:t>
            </w:r>
          </w:p>
        </w:tc>
        <w:tc>
          <w:tcPr>
            <w:tcW w:w="689" w:type="dxa"/>
            <w:shd w:val="clear" w:color="auto" w:fill="C6EFCE"/>
            <w:vAlign w:val="center"/>
            <w:hideMark/>
          </w:tcPr>
          <w:p w14:paraId="77BB5FAA" w14:textId="77777777" w:rsidR="00154E32" w:rsidRDefault="00A43E04">
            <w:pPr>
              <w:pStyle w:val="P68B1DB1-Normal11"/>
              <w:jc w:val="center"/>
              <w:rPr>
                <w:noProof/>
              </w:rPr>
            </w:pPr>
            <w:r>
              <w:rPr>
                <w:noProof/>
              </w:rPr>
              <w:t>2026</w:t>
            </w:r>
          </w:p>
        </w:tc>
        <w:tc>
          <w:tcPr>
            <w:tcW w:w="2982" w:type="dxa"/>
            <w:shd w:val="clear" w:color="auto" w:fill="C6EFCE"/>
            <w:vAlign w:val="center"/>
            <w:hideMark/>
          </w:tcPr>
          <w:p w14:paraId="6A51FFA8" w14:textId="1793DA60" w:rsidR="00154E32" w:rsidRDefault="00A43E04">
            <w:pPr>
              <w:pStyle w:val="P68B1DB1-Normal11"/>
              <w:rPr>
                <w:noProof/>
              </w:rPr>
            </w:pPr>
            <w:r>
              <w:rPr>
                <w:noProof/>
              </w:rPr>
              <w:t>Finančna podpora je bila izplačana vsaj 2400 podjetjem, kot so opredeljena v ustrezni naložbeni politiki.</w:t>
            </w:r>
          </w:p>
          <w:p w14:paraId="66C9B675" w14:textId="77777777" w:rsidR="00154E32" w:rsidRDefault="00154E32">
            <w:pPr>
              <w:rPr>
                <w:rFonts w:ascii="Arial Narrow" w:hAnsi="Arial Narrow"/>
                <w:noProof/>
                <w:color w:val="006100"/>
                <w:sz w:val="20"/>
              </w:rPr>
            </w:pPr>
          </w:p>
          <w:p w14:paraId="63698BF4" w14:textId="77777777" w:rsidR="00154E32" w:rsidRDefault="00A43E04">
            <w:pPr>
              <w:pStyle w:val="P68B1DB1-Normal11"/>
              <w:rPr>
                <w:noProof/>
              </w:rPr>
            </w:pPr>
            <w:r>
              <w:rPr>
                <w:noProof/>
              </w:rPr>
              <w:t>Podpora ženskemu podjetništvu se izvaja z že aktivnimi instrumenti (NITO-ON, Smart &amp; Start) in novim skladom, ustanovljenim z zakonom o proračunu za leto 2021.</w:t>
            </w:r>
          </w:p>
        </w:tc>
      </w:tr>
    </w:tbl>
    <w:p w14:paraId="05B56706" w14:textId="77777777" w:rsidR="00154E32" w:rsidRDefault="00154E32">
      <w:pPr>
        <w:rPr>
          <w:rFonts w:ascii="Arial Narrow" w:hAnsi="Arial Narrow"/>
          <w:noProof/>
        </w:rPr>
      </w:pPr>
    </w:p>
    <w:p w14:paraId="1B3E0CC0" w14:textId="77777777" w:rsidR="00154E32" w:rsidRDefault="00154E32">
      <w:pPr>
        <w:tabs>
          <w:tab w:val="left" w:pos="4252"/>
        </w:tabs>
        <w:rPr>
          <w:i/>
          <w:noProof/>
        </w:rPr>
      </w:pPr>
    </w:p>
    <w:p w14:paraId="367BE4BD" w14:textId="77777777" w:rsidR="00154E32" w:rsidRDefault="00154E32">
      <w:pPr>
        <w:tabs>
          <w:tab w:val="left" w:pos="4252"/>
        </w:tabs>
        <w:rPr>
          <w:i/>
          <w:noProof/>
        </w:rPr>
        <w:sectPr w:rsidR="00154E32" w:rsidSect="000D3774">
          <w:headerReference w:type="even" r:id="rId296"/>
          <w:headerReference w:type="default" r:id="rId297"/>
          <w:footerReference w:type="even" r:id="rId298"/>
          <w:footerReference w:type="default" r:id="rId299"/>
          <w:headerReference w:type="first" r:id="rId300"/>
          <w:footerReference w:type="first" r:id="rId301"/>
          <w:pgSz w:w="16838" w:h="11906" w:orient="landscape" w:code="9"/>
          <w:pgMar w:top="1134" w:right="1134" w:bottom="1134" w:left="1134" w:header="567" w:footer="567" w:gutter="0"/>
          <w:cols w:space="720"/>
          <w:docGrid w:linePitch="360"/>
        </w:sectPr>
      </w:pPr>
    </w:p>
    <w:p w14:paraId="69C2BFEE" w14:textId="3F2335C4" w:rsidR="00154E32" w:rsidRDefault="00A43E04">
      <w:pPr>
        <w:pStyle w:val="Heading2"/>
        <w:numPr>
          <w:ilvl w:val="0"/>
          <w:numId w:val="0"/>
        </w:numPr>
        <w:ind w:left="850" w:hanging="850"/>
        <w:rPr>
          <w:noProof/>
        </w:rPr>
      </w:pPr>
      <w:r>
        <w:rPr>
          <w:noProof/>
        </w:rPr>
        <w:t>M. MISIJA ŠT. 5, KOMPONENTA 2: Socialna infrastruktura, družine, skupnosti in tretji sektor</w:t>
      </w:r>
    </w:p>
    <w:p w14:paraId="05BBF2CA" w14:textId="77777777" w:rsidR="00154E32" w:rsidRDefault="00A43E04">
      <w:pPr>
        <w:spacing w:before="120" w:after="120"/>
        <w:jc w:val="both"/>
        <w:rPr>
          <w:noProof/>
        </w:rPr>
      </w:pPr>
      <w:r>
        <w:rPr>
          <w:noProof/>
        </w:rPr>
        <w:t>Cilj načrtovanih reform in naložb, vključenih v to komponento, je krepitev odpornosti s podpiranjem vključevanja in vključevanja najranljivejših, skupaj z individualno, družinsko in socialno razsežnostjo. Ta komponenta zagotavlja nacionalno strategijo za dejavno vključevanje ranljivih skupin prebivalstva. Cilji te komponente so: (I) krepitev vloge integriranih socialnih služb za podporo družinam, mladoletnikom in mladostnikom, podporo starševskim spretnostim ter zaščito ranljivih družin in invalidov, tudi s krepitvijo socialne infrastrukture, ki vključuje tretji sektor; (II) izboljšanje samostojnosti invalidov z zagotavljanjem socialnih in zdravstvenih storitev v skupnosti in na domu ter odpravo ovir za dostop do stanovanj in zaposlitvenih možnosti; (III) izboljšanje vključevanja ljudi v skrajno marginalizacijo in stanovanjsko prikrajšanost (npr. brezdomci) s širšo ponudbo objektov in storitev za pomoč pri začasni nastanitvi, prilagojenih poti do samostojnosti in osebne odpornosti; (IV) povečanje razpoložljivosti cenovno dostopnejših javnih in zasebnih stanovanj ter urbane in teritorialne prenove; (V) razvoj odpornosti najranljivejših z razširjanjem kulture športa in vzpostavitvijo športne infrastrukture z vzpostavitvijo mestnih parkov, kjer se lahko športne dejavnosti kombinirajo z zabavnimi dejavnostmi v korist skupnosti.</w:t>
      </w:r>
    </w:p>
    <w:p w14:paraId="2A566949" w14:textId="316D5ED6" w:rsidR="00154E32" w:rsidRDefault="00A43E04">
      <w:pPr>
        <w:spacing w:before="120" w:after="120"/>
        <w:jc w:val="both"/>
        <w:rPr>
          <w:noProof/>
        </w:rPr>
      </w:pPr>
      <w:r>
        <w:rPr>
          <w:noProof/>
        </w:rPr>
        <w:t xml:space="preserve">Pričakuje se, da bo izvajanje teh ukrepov prispevalo k reševanju izzivov, zajetih v priporočilih za posamezne države št. 2 o socialni politiki iz leta 2019, v katerih je bila Italija pozvana, naj „zagotovi, da so socialne politike [...] učinkovito vključene in namenjene zlasti mladim in ranljivim skupinam“, ter v priporočilih za posamezne države št. 2 za leto 2020, naj „zagotovi ustrezen (...) dostop do socialne zaščite“. </w:t>
      </w:r>
    </w:p>
    <w:p w14:paraId="5011E46B" w14:textId="77777777" w:rsidR="00154E32" w:rsidRDefault="00A43E04">
      <w:pPr>
        <w:pStyle w:val="Heading3"/>
        <w:numPr>
          <w:ilvl w:val="0"/>
          <w:numId w:val="0"/>
        </w:numPr>
        <w:ind w:left="850" w:hanging="850"/>
        <w:rPr>
          <w:b/>
          <w:i w:val="0"/>
          <w:noProof/>
          <w:color w:val="4F81BD" w:themeColor="accent1"/>
          <w:u w:val="single"/>
        </w:rPr>
      </w:pPr>
      <w:r>
        <w:rPr>
          <w:b/>
          <w:i w:val="0"/>
          <w:noProof/>
          <w:u w:val="single"/>
        </w:rPr>
        <w:t xml:space="preserve">M.1. </w:t>
      </w:r>
      <w:r>
        <w:rPr>
          <w:noProof/>
        </w:rPr>
        <w:tab/>
      </w:r>
      <w:r>
        <w:rPr>
          <w:b/>
          <w:i w:val="0"/>
          <w:noProof/>
          <w:u w:val="single"/>
        </w:rPr>
        <w:t>Opis reform in naložb za nepovratno finančno podporo</w:t>
      </w:r>
    </w:p>
    <w:p w14:paraId="6F1C0412" w14:textId="77777777" w:rsidR="00154E32" w:rsidRDefault="00A43E04">
      <w:pPr>
        <w:pStyle w:val="P68B1DB1-Normal2"/>
        <w:spacing w:before="120" w:after="120"/>
        <w:jc w:val="both"/>
        <w:rPr>
          <w:rFonts w:eastAsia="Calibri"/>
          <w:noProof/>
        </w:rPr>
      </w:pPr>
      <w:r>
        <w:rPr>
          <w:noProof/>
        </w:rPr>
        <w:t>Reforma 1 – Okvirni zakon o invalidnosti</w:t>
      </w:r>
    </w:p>
    <w:p w14:paraId="280BE916" w14:textId="4B39121D" w:rsidR="00154E32" w:rsidRDefault="00A43E04">
      <w:pPr>
        <w:spacing w:before="120" w:after="120"/>
        <w:jc w:val="both"/>
        <w:rPr>
          <w:rFonts w:eastAsia="Calibri"/>
          <w:noProof/>
        </w:rPr>
      </w:pPr>
      <w:r>
        <w:rPr>
          <w:noProof/>
        </w:rPr>
        <w:t xml:space="preserve">Glavni cilj reforme je spremeniti zakonodajo o invalidnosti ter spodbujati deinstitucionalizacijo (tj. premestitev iz javnih ali zasebnih ustanov v njihove družine ali domove v skupnosti) in samostojnost invalidov. To vključuje (I) krepitev ponudbe socialnih storitev, (II) poenostavitev dostopa do socialnih in zdravstvenih storitev, (III) reforme ocen invalidnosti, (IV) spodbujanje projektov za samostojno življenje, (V) spodbujanje dela skupin strokovnjakov, ki lahko podpirajo invalide z večrazsežnostnimi potrebami. </w:t>
      </w:r>
    </w:p>
    <w:p w14:paraId="6BF9B493" w14:textId="77777777" w:rsidR="00154E32" w:rsidRDefault="00A43E04">
      <w:pPr>
        <w:pStyle w:val="P68B1DB1-Normal2"/>
        <w:spacing w:before="120" w:after="120"/>
        <w:jc w:val="both"/>
        <w:rPr>
          <w:rFonts w:eastAsia="Calibri"/>
          <w:noProof/>
        </w:rPr>
      </w:pPr>
      <w:r>
        <w:rPr>
          <w:noProof/>
        </w:rPr>
        <w:t>Reforma 2 – Reforma za starejše osebe, ki niso samozadostne</w:t>
      </w:r>
    </w:p>
    <w:p w14:paraId="15EE35AA" w14:textId="7C4662BF" w:rsidR="00154E32" w:rsidRDefault="00A43E04">
      <w:pPr>
        <w:spacing w:before="120" w:after="120"/>
        <w:jc w:val="both"/>
        <w:rPr>
          <w:rFonts w:eastAsia="Calibri"/>
          <w:noProof/>
        </w:rPr>
      </w:pPr>
      <w:r>
        <w:rPr>
          <w:noProof/>
        </w:rPr>
        <w:t xml:space="preserve">Cilj tega ukrepa je reforma socialnih storitev in izboljšanje življenjskih razmer starejših, ki niso samozadostni. Ta reforma vključuje: (I) poenostavitev dostopa starejših do storitev z vzpostavitvijo enotnih točk za dostop do socialnih in zdravstvenih storitev, (II) opredelitev načinov za priznavanje nesamozadostnosti na podlagi potrebe po pomoči, (III) zagotavljanje večrazsežnostne ocene, (IV) opredelitev individualiziranih projektov, ki spodbujajo deinstitucionalizacijo.  Ta reforma je predvidena s posebnimi ukrepi, predvidenimi v načrtu, ki so vključeni tako v misijo za zdravje (M6) s sklicevanjem na projekte, ki krepijo lokalne zdravstvene storitve in oskrbo na domu, kot v tej komponenti, s posebnim poudarkom na naložbi 1, ukrepu II za deinstitucionalizacijo. </w:t>
      </w:r>
    </w:p>
    <w:p w14:paraId="6E8D6D68" w14:textId="77777777" w:rsidR="00154E32" w:rsidRDefault="00A43E04">
      <w:pPr>
        <w:pStyle w:val="P68B1DB1-Normal2"/>
        <w:spacing w:before="120" w:after="120"/>
        <w:jc w:val="both"/>
        <w:rPr>
          <w:rFonts w:eastAsia="Calibri"/>
          <w:noProof/>
        </w:rPr>
      </w:pPr>
      <w:r>
        <w:rPr>
          <w:noProof/>
        </w:rPr>
        <w:t>Naložba 1 – Podpora ranljivim osebam in preprečevanje institucionalizacije</w:t>
      </w:r>
    </w:p>
    <w:p w14:paraId="3AFFD943" w14:textId="28667A08" w:rsidR="00154E32" w:rsidRDefault="00A43E04">
      <w:pPr>
        <w:spacing w:before="120" w:after="120"/>
        <w:jc w:val="both"/>
        <w:rPr>
          <w:rFonts w:eastAsia="Calibri"/>
          <w:noProof/>
        </w:rPr>
      </w:pPr>
      <w:r>
        <w:rPr>
          <w:noProof/>
        </w:rPr>
        <w:t xml:space="preserve">Cilj tega ukrepa je podpreti ranljive osebe in preprečiti institucionalizacijo. Ta naložba vključuje naslednje intervencije: (I) podpiranje starševskih spretnosti in preprečevanje ranljivosti družin in otrok; (II) podpiranje samostojnega življenja in deinstitucionalizacije starejših; (II) okrepitev socialnih služb na domu za zagotovitev zgodnjega odpusta in preprečevanje hospitalizacije; (III) krepitev socialnih storitev in preprečevanje izgorelosti med socialnimi delavci. </w:t>
      </w:r>
    </w:p>
    <w:p w14:paraId="043EB06B" w14:textId="77777777" w:rsidR="00154E32" w:rsidRDefault="00A43E04">
      <w:pPr>
        <w:pStyle w:val="P68B1DB1-Normal2"/>
        <w:spacing w:before="120" w:after="120"/>
        <w:jc w:val="both"/>
        <w:rPr>
          <w:rFonts w:eastAsia="Calibri"/>
          <w:noProof/>
        </w:rPr>
      </w:pPr>
      <w:r>
        <w:rPr>
          <w:noProof/>
        </w:rPr>
        <w:t>Naložba 2 – Vzorci avtonomije za invalide</w:t>
      </w:r>
    </w:p>
    <w:p w14:paraId="22EE82C9" w14:textId="55F74C88" w:rsidR="00154E32" w:rsidRDefault="00A43E04">
      <w:pPr>
        <w:spacing w:before="120" w:after="120"/>
        <w:jc w:val="both"/>
        <w:rPr>
          <w:rFonts w:eastAsia="Calibri"/>
          <w:noProof/>
        </w:rPr>
      </w:pPr>
      <w:r>
        <w:rPr>
          <w:noProof/>
        </w:rPr>
        <w:t xml:space="preserve">Cilj tega ukrepa je povečati samostojnost invalidov. Namen naložbe je pospešiti proces deinstitucionalizacije z zagotavljanjem socialnih in zdravstvenih storitev v skupnosti in na domu, da se izboljša samostojnost invalidov. Ukrep spodbuja dostop do stanovanj in zaposlitvenih možnosti, vključno z novimi možnostmi, ki jih ponuja informacijska tehnologija. </w:t>
      </w:r>
    </w:p>
    <w:p w14:paraId="331C21C7" w14:textId="77777777" w:rsidR="00154E32" w:rsidRDefault="00A43E04">
      <w:pPr>
        <w:pStyle w:val="P68B1DB1-Normal2"/>
        <w:spacing w:before="120" w:after="120"/>
        <w:jc w:val="both"/>
        <w:rPr>
          <w:noProof/>
        </w:rPr>
      </w:pPr>
      <w:r>
        <w:rPr>
          <w:noProof/>
        </w:rPr>
        <w:t>Naložba 3 – Najprej stanovanjske in poštne postaje</w:t>
      </w:r>
    </w:p>
    <w:p w14:paraId="28D2ABAB" w14:textId="7B1D313F" w:rsidR="00154E32" w:rsidRDefault="00A43E04">
      <w:pPr>
        <w:spacing w:before="120" w:after="120"/>
        <w:jc w:val="both"/>
        <w:rPr>
          <w:rFonts w:eastAsia="Calibri"/>
          <w:noProof/>
        </w:rPr>
      </w:pPr>
      <w:r>
        <w:rPr>
          <w:noProof/>
        </w:rPr>
        <w:t>Cilj tega ukrepa je zaščititi in podpreti vključevanje marginaliziranih oseb s stanovanjskimi postajami na prvem mestu in po njej. Uvedba pristopa „najprej stanovanje“ pomeni, da občine do 24 mesecev dajo na voljo stanovanje za posamezne posameznike, majhne skupine ali družine. Poleg tega se za vsako posamezno osebo/družino aktivirajo prilagojeni projekti za izvajanje programov za razvoj osebne rasti in pomoč pri doseganju višje stopnje samostojnosti, tudi z usposabljanjem in drugimi storitvami, namenjenimi izboljšanju njihove zaposljivosti. Po drugi strani pa vzpostavitev poštnih postaj pomeni ustanovitev centra za storitve in vključevanje za brezdomce. Takšni centri poleg omejenega nočnega sprejema ponujajo tudi pomembne storitve, kot so zdravstvene storitve, priprava in dostava hrane, distribucija po pošti, kulturno posredovanje, svetovanje, usmerjanje zaposlitve, pravno svetovanje in distribucija blaga.</w:t>
      </w:r>
    </w:p>
    <w:p w14:paraId="3510882D" w14:textId="77777777" w:rsidR="00154E32" w:rsidRDefault="00A43E04">
      <w:pPr>
        <w:pStyle w:val="Heading3"/>
        <w:numPr>
          <w:ilvl w:val="0"/>
          <w:numId w:val="0"/>
        </w:numPr>
        <w:ind w:left="850" w:hanging="850"/>
        <w:rPr>
          <w:b/>
          <w:i w:val="0"/>
          <w:noProof/>
          <w:u w:val="single"/>
        </w:rPr>
      </w:pPr>
      <w:r>
        <w:rPr>
          <w:b/>
          <w:i w:val="0"/>
          <w:noProof/>
          <w:u w:val="single"/>
        </w:rPr>
        <w:t xml:space="preserve">M.2. </w:t>
      </w:r>
      <w:r>
        <w:rPr>
          <w:noProof/>
        </w:rPr>
        <w:tab/>
      </w:r>
      <w:r>
        <w:rPr>
          <w:b/>
          <w:i w:val="0"/>
          <w:noProof/>
          <w:u w:val="single"/>
        </w:rPr>
        <w:t>Mejniki, cilji, kazalniki in časovni razpored za spremljanje in izvajanje nepovratne finančne podpore Naslednje;</w:t>
      </w:r>
    </w:p>
    <w:p w14:paraId="56450402" w14:textId="77777777" w:rsidR="00154E32" w:rsidRDefault="00A43E04">
      <w:pPr>
        <w:pStyle w:val="P68B1DB1-Normal34"/>
        <w:spacing w:before="120" w:after="120"/>
        <w:ind w:left="709"/>
        <w:jc w:val="both"/>
        <w:rPr>
          <w:noProof/>
        </w:rPr>
      </w:pPr>
      <w:r>
        <w:rPr>
          <w:noProof/>
        </w:rPr>
        <w:t>.</w:t>
      </w:r>
    </w:p>
    <w:p w14:paraId="30B79C84" w14:textId="77777777" w:rsidR="00154E32" w:rsidRDefault="00154E32">
      <w:pPr>
        <w:spacing w:before="120" w:after="120"/>
        <w:ind w:left="709"/>
        <w:jc w:val="both"/>
        <w:rPr>
          <w:noProof/>
        </w:rPr>
        <w:sectPr w:rsidR="00154E32">
          <w:headerReference w:type="even" r:id="rId302"/>
          <w:headerReference w:type="default" r:id="rId303"/>
          <w:footerReference w:type="even" r:id="rId304"/>
          <w:footerReference w:type="default" r:id="rId305"/>
          <w:headerReference w:type="first" r:id="rId306"/>
          <w:footerReference w:type="first" r:id="rId307"/>
          <w:pgSz w:w="11907" w:h="16839"/>
          <w:pgMar w:top="1440" w:right="1440" w:bottom="1440" w:left="1440" w:header="567" w:footer="567" w:gutter="0"/>
          <w:cols w:space="720"/>
          <w:docGrid w:linePitch="360"/>
        </w:sectPr>
      </w:pPr>
    </w:p>
    <w:tbl>
      <w:tblPr>
        <w:tblW w:w="17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908"/>
        <w:gridCol w:w="1322"/>
        <w:gridCol w:w="1395"/>
        <w:gridCol w:w="1476"/>
        <w:gridCol w:w="1474"/>
        <w:gridCol w:w="1092"/>
        <w:gridCol w:w="775"/>
        <w:gridCol w:w="1255"/>
        <w:gridCol w:w="755"/>
        <w:gridCol w:w="5046"/>
      </w:tblGrid>
      <w:tr w:rsidR="00154E32" w14:paraId="0AA52FA7" w14:textId="77777777">
        <w:trPr>
          <w:trHeight w:val="927"/>
          <w:tblHeader/>
          <w:jc w:val="center"/>
        </w:trPr>
        <w:tc>
          <w:tcPr>
            <w:tcW w:w="1648" w:type="dxa"/>
            <w:vMerge w:val="restart"/>
            <w:shd w:val="clear" w:color="auto" w:fill="BDD7EE"/>
            <w:vAlign w:val="center"/>
            <w:hideMark/>
          </w:tcPr>
          <w:p w14:paraId="0EFC3AFD" w14:textId="77777777" w:rsidR="00154E32" w:rsidRDefault="00A43E04">
            <w:pPr>
              <w:pStyle w:val="P68B1DB1-Normal9"/>
              <w:jc w:val="center"/>
              <w:rPr>
                <w:noProof/>
              </w:rPr>
            </w:pPr>
            <w:r>
              <w:rPr>
                <w:noProof/>
              </w:rPr>
              <w:t>Zaporedna številka</w:t>
            </w:r>
          </w:p>
        </w:tc>
        <w:tc>
          <w:tcPr>
            <w:tcW w:w="1908" w:type="dxa"/>
            <w:vMerge w:val="restart"/>
            <w:shd w:val="clear" w:color="auto" w:fill="BDD7EE"/>
            <w:vAlign w:val="center"/>
            <w:hideMark/>
          </w:tcPr>
          <w:p w14:paraId="7D6FB6E0" w14:textId="77777777" w:rsidR="00154E32" w:rsidRDefault="00A43E04">
            <w:pPr>
              <w:pStyle w:val="P68B1DB1-Normal9"/>
              <w:jc w:val="center"/>
              <w:rPr>
                <w:noProof/>
              </w:rPr>
            </w:pPr>
            <w:r>
              <w:rPr>
                <w:noProof/>
              </w:rPr>
              <w:t>Povezani ukrep (reforma ali naložba)</w:t>
            </w:r>
          </w:p>
        </w:tc>
        <w:tc>
          <w:tcPr>
            <w:tcW w:w="1322" w:type="dxa"/>
            <w:vMerge w:val="restart"/>
            <w:shd w:val="clear" w:color="auto" w:fill="BDD7EE"/>
            <w:vAlign w:val="center"/>
            <w:hideMark/>
          </w:tcPr>
          <w:p w14:paraId="41C7ADB4" w14:textId="77777777" w:rsidR="00154E32" w:rsidRDefault="00A43E04">
            <w:pPr>
              <w:pStyle w:val="P68B1DB1-Normal9"/>
              <w:jc w:val="center"/>
              <w:rPr>
                <w:noProof/>
              </w:rPr>
            </w:pPr>
            <w:r>
              <w:rPr>
                <w:noProof/>
              </w:rPr>
              <w:t>Mejnik/cilj</w:t>
            </w:r>
          </w:p>
        </w:tc>
        <w:tc>
          <w:tcPr>
            <w:tcW w:w="1395" w:type="dxa"/>
            <w:vMerge w:val="restart"/>
            <w:shd w:val="clear" w:color="auto" w:fill="BDD7EE"/>
            <w:vAlign w:val="center"/>
            <w:hideMark/>
          </w:tcPr>
          <w:p w14:paraId="245FB5D3" w14:textId="77777777" w:rsidR="00154E32" w:rsidRDefault="00A43E04">
            <w:pPr>
              <w:pStyle w:val="P68B1DB1-Normal9"/>
              <w:jc w:val="center"/>
              <w:rPr>
                <w:noProof/>
              </w:rPr>
            </w:pPr>
            <w:r>
              <w:rPr>
                <w:noProof/>
              </w:rPr>
              <w:t>Ime</w:t>
            </w:r>
          </w:p>
        </w:tc>
        <w:tc>
          <w:tcPr>
            <w:tcW w:w="1476" w:type="dxa"/>
            <w:vMerge w:val="restart"/>
            <w:shd w:val="clear" w:color="auto" w:fill="BDD7EE"/>
            <w:vAlign w:val="center"/>
            <w:hideMark/>
          </w:tcPr>
          <w:p w14:paraId="06CF148E" w14:textId="77777777" w:rsidR="00154E32" w:rsidRDefault="00A43E04">
            <w:pPr>
              <w:pStyle w:val="P68B1DB1-Normal19"/>
              <w:jc w:val="center"/>
              <w:rPr>
                <w:b/>
                <w:noProof/>
              </w:rPr>
            </w:pPr>
            <w:r>
              <w:rPr>
                <w:b/>
                <w:noProof/>
              </w:rPr>
              <w:t>Kakovostni kazalniki</w:t>
            </w:r>
            <w:r>
              <w:rPr>
                <w:noProof/>
              </w:rPr>
              <w:t xml:space="preserve"> </w:t>
            </w:r>
            <w:r>
              <w:rPr>
                <w:noProof/>
              </w:rPr>
              <w:br/>
            </w:r>
            <w:r>
              <w:rPr>
                <w:b/>
                <w:noProof/>
              </w:rPr>
              <w:t>(za mejnike)</w:t>
            </w:r>
          </w:p>
        </w:tc>
        <w:tc>
          <w:tcPr>
            <w:tcW w:w="3341" w:type="dxa"/>
            <w:gridSpan w:val="3"/>
            <w:shd w:val="clear" w:color="auto" w:fill="BDD7EE"/>
            <w:vAlign w:val="center"/>
            <w:hideMark/>
          </w:tcPr>
          <w:p w14:paraId="51544834" w14:textId="77777777" w:rsidR="00154E32" w:rsidRDefault="00A43E04">
            <w:pPr>
              <w:pStyle w:val="P68B1DB1-Normal19"/>
              <w:jc w:val="center"/>
              <w:rPr>
                <w:b/>
                <w:noProof/>
              </w:rPr>
            </w:pPr>
            <w:r>
              <w:rPr>
                <w:b/>
                <w:noProof/>
              </w:rPr>
              <w:t>Kvantitativni kazalniki</w:t>
            </w:r>
            <w:r>
              <w:rPr>
                <w:noProof/>
              </w:rPr>
              <w:t xml:space="preserve"> </w:t>
            </w:r>
            <w:r>
              <w:rPr>
                <w:noProof/>
              </w:rPr>
              <w:br/>
            </w:r>
            <w:r>
              <w:rPr>
                <w:b/>
                <w:noProof/>
              </w:rPr>
              <w:t>(za ciljne vrednosti)</w:t>
            </w:r>
          </w:p>
        </w:tc>
        <w:tc>
          <w:tcPr>
            <w:tcW w:w="1833" w:type="dxa"/>
            <w:gridSpan w:val="2"/>
            <w:shd w:val="clear" w:color="auto" w:fill="BDD7EE"/>
            <w:vAlign w:val="center"/>
            <w:hideMark/>
          </w:tcPr>
          <w:p w14:paraId="2962CAB5" w14:textId="77777777" w:rsidR="00154E32" w:rsidRDefault="00A43E04">
            <w:pPr>
              <w:pStyle w:val="P68B1DB1-Normal9"/>
              <w:jc w:val="center"/>
              <w:rPr>
                <w:noProof/>
              </w:rPr>
            </w:pPr>
            <w:r>
              <w:rPr>
                <w:noProof/>
              </w:rPr>
              <w:t>Okvirni časovni razpored za dokončanje</w:t>
            </w:r>
          </w:p>
        </w:tc>
        <w:tc>
          <w:tcPr>
            <w:tcW w:w="5046" w:type="dxa"/>
            <w:vMerge w:val="restart"/>
            <w:shd w:val="clear" w:color="auto" w:fill="BDD7EE"/>
            <w:vAlign w:val="center"/>
            <w:hideMark/>
          </w:tcPr>
          <w:p w14:paraId="4E075719" w14:textId="77777777" w:rsidR="00154E32" w:rsidRDefault="00A43E04">
            <w:pPr>
              <w:pStyle w:val="P68B1DB1-Normal9"/>
              <w:jc w:val="center"/>
              <w:rPr>
                <w:noProof/>
              </w:rPr>
            </w:pPr>
            <w:r>
              <w:rPr>
                <w:noProof/>
              </w:rPr>
              <w:t>Opis vsakega mejnika in cilja</w:t>
            </w:r>
          </w:p>
        </w:tc>
      </w:tr>
      <w:tr w:rsidR="00154E32" w14:paraId="1B3ED9BC" w14:textId="77777777">
        <w:trPr>
          <w:trHeight w:val="654"/>
          <w:jc w:val="center"/>
        </w:trPr>
        <w:tc>
          <w:tcPr>
            <w:tcW w:w="1648" w:type="dxa"/>
            <w:vMerge/>
            <w:vAlign w:val="center"/>
            <w:hideMark/>
          </w:tcPr>
          <w:p w14:paraId="7E21DDC6" w14:textId="77777777" w:rsidR="00154E32" w:rsidRDefault="00154E32">
            <w:pPr>
              <w:jc w:val="center"/>
              <w:rPr>
                <w:rFonts w:ascii="Arial Narrow" w:hAnsi="Arial Narrow"/>
                <w:b/>
                <w:noProof/>
                <w:sz w:val="20"/>
              </w:rPr>
            </w:pPr>
          </w:p>
        </w:tc>
        <w:tc>
          <w:tcPr>
            <w:tcW w:w="1908" w:type="dxa"/>
            <w:vMerge/>
            <w:vAlign w:val="center"/>
            <w:hideMark/>
          </w:tcPr>
          <w:p w14:paraId="7445F966" w14:textId="77777777" w:rsidR="00154E32" w:rsidRDefault="00154E32">
            <w:pPr>
              <w:jc w:val="center"/>
              <w:rPr>
                <w:rFonts w:ascii="Arial Narrow" w:hAnsi="Arial Narrow"/>
                <w:b/>
                <w:noProof/>
                <w:sz w:val="20"/>
              </w:rPr>
            </w:pPr>
          </w:p>
        </w:tc>
        <w:tc>
          <w:tcPr>
            <w:tcW w:w="1322" w:type="dxa"/>
            <w:vMerge/>
            <w:vAlign w:val="center"/>
            <w:hideMark/>
          </w:tcPr>
          <w:p w14:paraId="3B7DC3A7" w14:textId="77777777" w:rsidR="00154E32" w:rsidRDefault="00154E32">
            <w:pPr>
              <w:jc w:val="center"/>
              <w:rPr>
                <w:rFonts w:ascii="Arial Narrow" w:hAnsi="Arial Narrow"/>
                <w:b/>
                <w:noProof/>
                <w:sz w:val="20"/>
              </w:rPr>
            </w:pPr>
          </w:p>
        </w:tc>
        <w:tc>
          <w:tcPr>
            <w:tcW w:w="1395" w:type="dxa"/>
            <w:vMerge/>
            <w:vAlign w:val="center"/>
            <w:hideMark/>
          </w:tcPr>
          <w:p w14:paraId="62C7B269" w14:textId="77777777" w:rsidR="00154E32" w:rsidRDefault="00154E32">
            <w:pPr>
              <w:jc w:val="center"/>
              <w:rPr>
                <w:rFonts w:ascii="Arial Narrow" w:hAnsi="Arial Narrow"/>
                <w:b/>
                <w:noProof/>
                <w:sz w:val="20"/>
              </w:rPr>
            </w:pPr>
          </w:p>
        </w:tc>
        <w:tc>
          <w:tcPr>
            <w:tcW w:w="1476" w:type="dxa"/>
            <w:vMerge/>
            <w:vAlign w:val="center"/>
            <w:hideMark/>
          </w:tcPr>
          <w:p w14:paraId="221450B2" w14:textId="77777777" w:rsidR="00154E32" w:rsidRDefault="00154E32">
            <w:pPr>
              <w:jc w:val="center"/>
              <w:rPr>
                <w:rFonts w:ascii="Arial Narrow" w:hAnsi="Arial Narrow"/>
                <w:b/>
                <w:noProof/>
                <w:sz w:val="20"/>
              </w:rPr>
            </w:pPr>
          </w:p>
        </w:tc>
        <w:tc>
          <w:tcPr>
            <w:tcW w:w="1474" w:type="dxa"/>
            <w:shd w:val="clear" w:color="auto" w:fill="BDD7EE"/>
            <w:vAlign w:val="center"/>
            <w:hideMark/>
          </w:tcPr>
          <w:p w14:paraId="00687B62" w14:textId="77777777" w:rsidR="00154E32" w:rsidRDefault="00A43E04">
            <w:pPr>
              <w:pStyle w:val="P68B1DB1-Normal9"/>
              <w:jc w:val="center"/>
              <w:rPr>
                <w:noProof/>
              </w:rPr>
            </w:pPr>
            <w:r>
              <w:rPr>
                <w:noProof/>
              </w:rPr>
              <w:t>Merska enota</w:t>
            </w:r>
          </w:p>
        </w:tc>
        <w:tc>
          <w:tcPr>
            <w:tcW w:w="1092" w:type="dxa"/>
            <w:shd w:val="clear" w:color="auto" w:fill="BDD7EE"/>
            <w:vAlign w:val="center"/>
            <w:hideMark/>
          </w:tcPr>
          <w:p w14:paraId="4352135A" w14:textId="77777777" w:rsidR="00154E32" w:rsidRDefault="00A43E04">
            <w:pPr>
              <w:pStyle w:val="P68B1DB1-Normal9"/>
              <w:jc w:val="center"/>
              <w:rPr>
                <w:noProof/>
              </w:rPr>
            </w:pPr>
            <w:r>
              <w:rPr>
                <w:noProof/>
              </w:rPr>
              <w:t>Izhodišče</w:t>
            </w:r>
          </w:p>
        </w:tc>
        <w:tc>
          <w:tcPr>
            <w:tcW w:w="775" w:type="dxa"/>
            <w:shd w:val="clear" w:color="auto" w:fill="BDD7EE"/>
            <w:vAlign w:val="center"/>
            <w:hideMark/>
          </w:tcPr>
          <w:p w14:paraId="3EBD38BE" w14:textId="77777777" w:rsidR="00154E32" w:rsidRDefault="00A43E04">
            <w:pPr>
              <w:pStyle w:val="P68B1DB1-Normal9"/>
              <w:jc w:val="center"/>
              <w:rPr>
                <w:noProof/>
              </w:rPr>
            </w:pPr>
            <w:r>
              <w:rPr>
                <w:noProof/>
              </w:rPr>
              <w:t>Cilj</w:t>
            </w:r>
          </w:p>
        </w:tc>
        <w:tc>
          <w:tcPr>
            <w:tcW w:w="1078" w:type="dxa"/>
            <w:shd w:val="clear" w:color="auto" w:fill="BDD7EE"/>
            <w:vAlign w:val="center"/>
            <w:hideMark/>
          </w:tcPr>
          <w:p w14:paraId="7C36991A" w14:textId="77777777" w:rsidR="00154E32" w:rsidRDefault="00A43E04">
            <w:pPr>
              <w:pStyle w:val="P68B1DB1-Normal9"/>
              <w:jc w:val="center"/>
              <w:rPr>
                <w:noProof/>
              </w:rPr>
            </w:pPr>
            <w:r>
              <w:rPr>
                <w:noProof/>
              </w:rPr>
              <w:t>Četrtletje</w:t>
            </w:r>
          </w:p>
        </w:tc>
        <w:tc>
          <w:tcPr>
            <w:tcW w:w="755" w:type="dxa"/>
            <w:shd w:val="clear" w:color="auto" w:fill="BDD7EE"/>
            <w:vAlign w:val="center"/>
            <w:hideMark/>
          </w:tcPr>
          <w:p w14:paraId="559C709B" w14:textId="77777777" w:rsidR="00154E32" w:rsidRDefault="00A43E04">
            <w:pPr>
              <w:pStyle w:val="P68B1DB1-Normal9"/>
              <w:jc w:val="center"/>
              <w:rPr>
                <w:noProof/>
              </w:rPr>
            </w:pPr>
            <w:r>
              <w:rPr>
                <w:noProof/>
              </w:rPr>
              <w:t>Leto</w:t>
            </w:r>
          </w:p>
        </w:tc>
        <w:tc>
          <w:tcPr>
            <w:tcW w:w="5046" w:type="dxa"/>
            <w:vMerge/>
            <w:vAlign w:val="center"/>
            <w:hideMark/>
          </w:tcPr>
          <w:p w14:paraId="6D98D561" w14:textId="77777777" w:rsidR="00154E32" w:rsidRDefault="00154E32">
            <w:pPr>
              <w:rPr>
                <w:rFonts w:ascii="Arial Narrow" w:hAnsi="Arial Narrow"/>
                <w:b/>
                <w:noProof/>
                <w:sz w:val="20"/>
              </w:rPr>
            </w:pPr>
          </w:p>
        </w:tc>
      </w:tr>
      <w:tr w:rsidR="00154E32" w14:paraId="5DB69AB9" w14:textId="77777777">
        <w:trPr>
          <w:trHeight w:val="309"/>
          <w:jc w:val="center"/>
        </w:trPr>
        <w:tc>
          <w:tcPr>
            <w:tcW w:w="1648" w:type="dxa"/>
            <w:shd w:val="clear" w:color="auto" w:fill="C6EFCE"/>
            <w:noWrap/>
            <w:vAlign w:val="center"/>
            <w:hideMark/>
          </w:tcPr>
          <w:p w14:paraId="3D48CEFB" w14:textId="08A07B77" w:rsidR="00154E32" w:rsidRDefault="00A43E04">
            <w:pPr>
              <w:pStyle w:val="P68B1DB1-Normal11"/>
              <w:spacing w:before="120" w:after="120"/>
              <w:jc w:val="center"/>
              <w:rPr>
                <w:noProof/>
              </w:rPr>
            </w:pPr>
            <w:r>
              <w:rPr>
                <w:noProof/>
              </w:rPr>
              <w:t>M5C2–1</w:t>
            </w:r>
          </w:p>
        </w:tc>
        <w:tc>
          <w:tcPr>
            <w:tcW w:w="1908" w:type="dxa"/>
            <w:shd w:val="clear" w:color="auto" w:fill="C6EFCE"/>
            <w:noWrap/>
            <w:vAlign w:val="center"/>
            <w:hideMark/>
          </w:tcPr>
          <w:p w14:paraId="2D393A97" w14:textId="77777777" w:rsidR="00154E32" w:rsidRDefault="00A43E04">
            <w:pPr>
              <w:pStyle w:val="P68B1DB1-Normal11"/>
              <w:jc w:val="center"/>
              <w:rPr>
                <w:noProof/>
              </w:rPr>
            </w:pPr>
            <w:r>
              <w:rPr>
                <w:noProof/>
              </w:rPr>
              <w:t>Reforma 1 – Okvirni zakon o invalidnosti</w:t>
            </w:r>
          </w:p>
        </w:tc>
        <w:tc>
          <w:tcPr>
            <w:tcW w:w="1322" w:type="dxa"/>
            <w:shd w:val="clear" w:color="auto" w:fill="C6EFCE"/>
            <w:noWrap/>
            <w:vAlign w:val="center"/>
            <w:hideMark/>
          </w:tcPr>
          <w:p w14:paraId="078990AB" w14:textId="77777777" w:rsidR="00154E32" w:rsidRDefault="00A43E04">
            <w:pPr>
              <w:pStyle w:val="P68B1DB1-Normal11"/>
              <w:jc w:val="center"/>
              <w:rPr>
                <w:noProof/>
              </w:rPr>
            </w:pPr>
            <w:r>
              <w:rPr>
                <w:noProof/>
              </w:rPr>
              <w:t>Mejnik</w:t>
            </w:r>
          </w:p>
        </w:tc>
        <w:tc>
          <w:tcPr>
            <w:tcW w:w="1395" w:type="dxa"/>
            <w:shd w:val="clear" w:color="auto" w:fill="C6EFCE"/>
            <w:noWrap/>
            <w:vAlign w:val="center"/>
            <w:hideMark/>
          </w:tcPr>
          <w:p w14:paraId="437FB37B" w14:textId="77777777" w:rsidR="00154E32" w:rsidRDefault="00A43E04">
            <w:pPr>
              <w:pStyle w:val="P68B1DB1-Normal11"/>
              <w:jc w:val="center"/>
              <w:rPr>
                <w:noProof/>
              </w:rPr>
            </w:pPr>
            <w:r>
              <w:rPr>
                <w:noProof/>
              </w:rPr>
              <w:t>Začetek veljavnosti okvirnega zakona za krepitev avtonomije invalidov.</w:t>
            </w:r>
          </w:p>
        </w:tc>
        <w:tc>
          <w:tcPr>
            <w:tcW w:w="1476" w:type="dxa"/>
            <w:shd w:val="clear" w:color="auto" w:fill="C6EFCE"/>
            <w:noWrap/>
            <w:vAlign w:val="center"/>
            <w:hideMark/>
          </w:tcPr>
          <w:p w14:paraId="15155AD7" w14:textId="77777777" w:rsidR="00154E32" w:rsidRDefault="00A43E04">
            <w:pPr>
              <w:pStyle w:val="P68B1DB1-Normal11"/>
              <w:jc w:val="center"/>
              <w:rPr>
                <w:rFonts w:eastAsia="Calibri"/>
                <w:noProof/>
              </w:rPr>
            </w:pPr>
            <w:r>
              <w:rPr>
                <w:noProof/>
              </w:rPr>
              <w:t>Določba zakona o začetku veljavnosti okvirnega zakona</w:t>
            </w:r>
          </w:p>
        </w:tc>
        <w:tc>
          <w:tcPr>
            <w:tcW w:w="1474" w:type="dxa"/>
            <w:shd w:val="clear" w:color="auto" w:fill="C6EFCE"/>
            <w:noWrap/>
            <w:vAlign w:val="center"/>
            <w:hideMark/>
          </w:tcPr>
          <w:p w14:paraId="6F4AA5D2" w14:textId="77777777" w:rsidR="00154E32" w:rsidRDefault="00A43E04">
            <w:pPr>
              <w:pStyle w:val="P68B1DB1-Normal11"/>
              <w:jc w:val="center"/>
              <w:rPr>
                <w:rFonts w:eastAsia="Calibri"/>
                <w:noProof/>
              </w:rPr>
            </w:pPr>
            <w:r>
              <w:rPr>
                <w:noProof/>
              </w:rPr>
              <w:t>JIH NI</w:t>
            </w:r>
          </w:p>
        </w:tc>
        <w:tc>
          <w:tcPr>
            <w:tcW w:w="1092" w:type="dxa"/>
            <w:shd w:val="clear" w:color="auto" w:fill="C6EFCE"/>
            <w:noWrap/>
            <w:vAlign w:val="center"/>
            <w:hideMark/>
          </w:tcPr>
          <w:p w14:paraId="1DC86094" w14:textId="77777777" w:rsidR="00154E32" w:rsidRDefault="00A43E04">
            <w:pPr>
              <w:pStyle w:val="P68B1DB1-Normal11"/>
              <w:jc w:val="center"/>
              <w:rPr>
                <w:noProof/>
              </w:rPr>
            </w:pPr>
            <w:r>
              <w:rPr>
                <w:noProof/>
              </w:rPr>
              <w:t>JIH NI</w:t>
            </w:r>
          </w:p>
        </w:tc>
        <w:tc>
          <w:tcPr>
            <w:tcW w:w="775" w:type="dxa"/>
            <w:shd w:val="clear" w:color="auto" w:fill="C6EFCE"/>
            <w:noWrap/>
            <w:vAlign w:val="center"/>
            <w:hideMark/>
          </w:tcPr>
          <w:p w14:paraId="2B2DC7D6" w14:textId="77777777" w:rsidR="00154E32" w:rsidRDefault="00A43E04">
            <w:pPr>
              <w:pStyle w:val="P68B1DB1-Normal11"/>
              <w:jc w:val="center"/>
              <w:rPr>
                <w:rFonts w:eastAsia="Calibri"/>
                <w:noProof/>
              </w:rPr>
            </w:pPr>
            <w:r>
              <w:rPr>
                <w:noProof/>
              </w:rPr>
              <w:t>JIH NI</w:t>
            </w:r>
          </w:p>
        </w:tc>
        <w:tc>
          <w:tcPr>
            <w:tcW w:w="1078" w:type="dxa"/>
            <w:shd w:val="clear" w:color="auto" w:fill="C6EFCE"/>
            <w:noWrap/>
            <w:vAlign w:val="center"/>
            <w:hideMark/>
          </w:tcPr>
          <w:p w14:paraId="16582DD1" w14:textId="77777777" w:rsidR="00154E32" w:rsidRDefault="00A43E04">
            <w:pPr>
              <w:pStyle w:val="P68B1DB1-Normal11"/>
              <w:jc w:val="center"/>
              <w:rPr>
                <w:rFonts w:eastAsia="Calibri"/>
                <w:noProof/>
              </w:rPr>
            </w:pPr>
            <w:r>
              <w:rPr>
                <w:noProof/>
              </w:rPr>
              <w:t>Q4</w:t>
            </w:r>
          </w:p>
        </w:tc>
        <w:tc>
          <w:tcPr>
            <w:tcW w:w="755" w:type="dxa"/>
            <w:shd w:val="clear" w:color="auto" w:fill="C6EFCE"/>
            <w:noWrap/>
            <w:vAlign w:val="center"/>
            <w:hideMark/>
          </w:tcPr>
          <w:p w14:paraId="4FE272EE" w14:textId="77777777" w:rsidR="00154E32" w:rsidRDefault="00A43E04">
            <w:pPr>
              <w:pStyle w:val="P68B1DB1-Normal11"/>
              <w:jc w:val="center"/>
              <w:rPr>
                <w:noProof/>
              </w:rPr>
            </w:pPr>
            <w:r>
              <w:rPr>
                <w:noProof/>
              </w:rPr>
              <w:t>2021</w:t>
            </w:r>
          </w:p>
        </w:tc>
        <w:tc>
          <w:tcPr>
            <w:tcW w:w="5046" w:type="dxa"/>
            <w:shd w:val="clear" w:color="auto" w:fill="C6EFCE"/>
            <w:noWrap/>
            <w:vAlign w:val="center"/>
            <w:hideMark/>
          </w:tcPr>
          <w:p w14:paraId="3D6003A8" w14:textId="77777777" w:rsidR="00154E32" w:rsidRDefault="00A43E04">
            <w:pPr>
              <w:pStyle w:val="P68B1DB1-Normal11"/>
              <w:rPr>
                <w:noProof/>
              </w:rPr>
            </w:pPr>
            <w:r>
              <w:rPr>
                <w:noProof/>
              </w:rPr>
              <w:t>Okvirni zakon, ki ga sestavlja zakon o prenosu pooblastil, krepi avtonomijo invalidov v skladu z načeli Konvencije OZN o pravicah invalidov in evropske strategije za pravice invalidov za obdobje 2021–2030, ki vključuje vsaj: (I) celovita opredelitev in izboljšanje ponudbe socialnih storitev za invalide, skupaj s spodbujanjem deinstitucionalizacije in samostojnega življenja, (ii) poenostavitev postopkov za dostop do zdravstvenih in socialnih storitev ter (iii) pregled postopkov za ocenjevanje invalidnosti za večdimenzionalno oceno stanja vsake osebe.</w:t>
            </w:r>
          </w:p>
          <w:p w14:paraId="27790CCA" w14:textId="77777777" w:rsidR="00154E32" w:rsidRDefault="00A43E04">
            <w:pPr>
              <w:pStyle w:val="P68B1DB1-Normal11"/>
              <w:rPr>
                <w:rFonts w:eastAsia="Calibri"/>
                <w:noProof/>
              </w:rPr>
            </w:pPr>
            <w:r>
              <w:rPr>
                <w:noProof/>
              </w:rPr>
              <w:t>Invalidi so tisti, ki so v skladu z načeli Konvencije ZN o pravicah invalidov opredeljeni v zakonu št. 104/1992. V Italiji je postopek ocenjevanja v pristojnosti regij, osebo pa oceni lokalna zdravstvena služba ali nacionalni inštitut za socialno varstvo.</w:t>
            </w:r>
          </w:p>
          <w:p w14:paraId="69EC632B" w14:textId="77777777" w:rsidR="00154E32" w:rsidRDefault="00A43E04">
            <w:pPr>
              <w:pStyle w:val="P68B1DB1-Normal11"/>
              <w:rPr>
                <w:rFonts w:eastAsia="Calibri"/>
                <w:noProof/>
              </w:rPr>
            </w:pPr>
            <w:r>
              <w:rPr>
                <w:noProof/>
              </w:rPr>
              <w:t>Zakon predlaga minister za invalide v odobritev svetu ministrov v skladu z določenim časovnim načrtom.</w:t>
            </w:r>
          </w:p>
          <w:p w14:paraId="2CA554E5" w14:textId="77777777" w:rsidR="00154E32" w:rsidRDefault="00A43E04">
            <w:pPr>
              <w:pStyle w:val="P68B1DB1-Normal11"/>
              <w:rPr>
                <w:rFonts w:eastAsia="Calibri"/>
                <w:noProof/>
              </w:rPr>
            </w:pPr>
            <w:r>
              <w:rPr>
                <w:noProof/>
              </w:rPr>
              <w:t>Sprejetju okvirnega zakona sledi reorganizacija lokalnih socialnih storitev, opredelitev standardov kakovosti in zagotavljanje platforme IKT za izboljšanje in povečanje učinkovitosti storitev.</w:t>
            </w:r>
          </w:p>
        </w:tc>
      </w:tr>
      <w:tr w:rsidR="00154E32" w14:paraId="489D483B" w14:textId="77777777">
        <w:trPr>
          <w:trHeight w:val="309"/>
          <w:jc w:val="center"/>
        </w:trPr>
        <w:tc>
          <w:tcPr>
            <w:tcW w:w="1648" w:type="dxa"/>
            <w:shd w:val="clear" w:color="auto" w:fill="C6EFCE"/>
            <w:noWrap/>
            <w:vAlign w:val="center"/>
            <w:hideMark/>
          </w:tcPr>
          <w:p w14:paraId="4BEAC9C9" w14:textId="4E64B79E" w:rsidR="00154E32" w:rsidRDefault="00A43E04">
            <w:pPr>
              <w:pStyle w:val="P68B1DB1-Normal11"/>
              <w:spacing w:before="120" w:after="120"/>
              <w:jc w:val="center"/>
              <w:rPr>
                <w:noProof/>
              </w:rPr>
            </w:pPr>
            <w:r>
              <w:rPr>
                <w:noProof/>
              </w:rPr>
              <w:t>M5C2–2</w:t>
            </w:r>
          </w:p>
        </w:tc>
        <w:tc>
          <w:tcPr>
            <w:tcW w:w="1908" w:type="dxa"/>
            <w:shd w:val="clear" w:color="auto" w:fill="C6EFCE"/>
            <w:noWrap/>
            <w:vAlign w:val="center"/>
            <w:hideMark/>
          </w:tcPr>
          <w:p w14:paraId="094BFFCF" w14:textId="77777777" w:rsidR="00154E32" w:rsidRDefault="00A43E04">
            <w:pPr>
              <w:pStyle w:val="P68B1DB1-Normal11"/>
              <w:jc w:val="center"/>
              <w:rPr>
                <w:noProof/>
              </w:rPr>
            </w:pPr>
            <w:r>
              <w:rPr>
                <w:noProof/>
              </w:rPr>
              <w:t>Reforma 1 – Okvirni zakon o invalidnosti</w:t>
            </w:r>
          </w:p>
        </w:tc>
        <w:tc>
          <w:tcPr>
            <w:tcW w:w="1322" w:type="dxa"/>
            <w:shd w:val="clear" w:color="auto" w:fill="C6EFCE"/>
            <w:noWrap/>
            <w:vAlign w:val="center"/>
            <w:hideMark/>
          </w:tcPr>
          <w:p w14:paraId="43A16F3B" w14:textId="77777777" w:rsidR="00154E32" w:rsidRDefault="00A43E04">
            <w:pPr>
              <w:pStyle w:val="P68B1DB1-Normal11"/>
              <w:jc w:val="center"/>
              <w:rPr>
                <w:rFonts w:eastAsia="Calibri"/>
                <w:noProof/>
              </w:rPr>
            </w:pPr>
            <w:r>
              <w:rPr>
                <w:noProof/>
              </w:rPr>
              <w:t>Mejnik</w:t>
            </w:r>
          </w:p>
        </w:tc>
        <w:tc>
          <w:tcPr>
            <w:tcW w:w="1395" w:type="dxa"/>
            <w:shd w:val="clear" w:color="auto" w:fill="C6EFCE"/>
            <w:noWrap/>
            <w:vAlign w:val="center"/>
            <w:hideMark/>
          </w:tcPr>
          <w:p w14:paraId="23350BC4" w14:textId="77777777" w:rsidR="00154E32" w:rsidRDefault="00A43E04">
            <w:pPr>
              <w:pStyle w:val="P68B1DB1-Normal11"/>
              <w:jc w:val="center"/>
              <w:rPr>
                <w:noProof/>
              </w:rPr>
            </w:pPr>
            <w:r>
              <w:rPr>
                <w:noProof/>
              </w:rPr>
              <w:t>Začetek veljavnosti okvirnega zakona in vladno sprejetje zakonodajnih uredb, ki razvijajo določbe okvirnega zakona za krepitev avtonomije invalidov</w:t>
            </w:r>
          </w:p>
        </w:tc>
        <w:tc>
          <w:tcPr>
            <w:tcW w:w="1476" w:type="dxa"/>
            <w:shd w:val="clear" w:color="auto" w:fill="C6EFCE"/>
            <w:noWrap/>
            <w:vAlign w:val="center"/>
            <w:hideMark/>
          </w:tcPr>
          <w:p w14:paraId="4511362B" w14:textId="77777777" w:rsidR="00154E32" w:rsidRDefault="00A43E04">
            <w:pPr>
              <w:pStyle w:val="P68B1DB1-Normal11"/>
              <w:jc w:val="center"/>
              <w:rPr>
                <w:rFonts w:eastAsia="Calibri"/>
                <w:noProof/>
              </w:rPr>
            </w:pPr>
            <w:r>
              <w:rPr>
                <w:noProof/>
              </w:rPr>
              <w:t>Določbe zakona o začetku veljavnosti zakonodajnih uredb</w:t>
            </w:r>
          </w:p>
        </w:tc>
        <w:tc>
          <w:tcPr>
            <w:tcW w:w="1474" w:type="dxa"/>
            <w:shd w:val="clear" w:color="auto" w:fill="C6EFCE"/>
            <w:noWrap/>
            <w:vAlign w:val="center"/>
            <w:hideMark/>
          </w:tcPr>
          <w:p w14:paraId="4057F2E7" w14:textId="77777777" w:rsidR="00154E32" w:rsidRDefault="00A43E04">
            <w:pPr>
              <w:pStyle w:val="P68B1DB1-Normal11"/>
              <w:jc w:val="center"/>
              <w:rPr>
                <w:noProof/>
              </w:rPr>
            </w:pPr>
            <w:r>
              <w:rPr>
                <w:noProof/>
              </w:rPr>
              <w:t>JIH NI</w:t>
            </w:r>
          </w:p>
        </w:tc>
        <w:tc>
          <w:tcPr>
            <w:tcW w:w="1092" w:type="dxa"/>
            <w:shd w:val="clear" w:color="auto" w:fill="C6EFCE"/>
            <w:noWrap/>
            <w:vAlign w:val="center"/>
            <w:hideMark/>
          </w:tcPr>
          <w:p w14:paraId="090E553F" w14:textId="77777777" w:rsidR="00154E32" w:rsidRDefault="00A43E04">
            <w:pPr>
              <w:pStyle w:val="P68B1DB1-Normal11"/>
              <w:jc w:val="center"/>
              <w:rPr>
                <w:rFonts w:eastAsia="Calibri"/>
                <w:noProof/>
              </w:rPr>
            </w:pPr>
            <w:r>
              <w:rPr>
                <w:noProof/>
              </w:rPr>
              <w:t>JIH NI</w:t>
            </w:r>
          </w:p>
        </w:tc>
        <w:tc>
          <w:tcPr>
            <w:tcW w:w="775" w:type="dxa"/>
            <w:shd w:val="clear" w:color="auto" w:fill="C6EFCE"/>
            <w:noWrap/>
            <w:vAlign w:val="center"/>
            <w:hideMark/>
          </w:tcPr>
          <w:p w14:paraId="05E916C0" w14:textId="77777777" w:rsidR="00154E32" w:rsidRDefault="00A43E04">
            <w:pPr>
              <w:pStyle w:val="P68B1DB1-Normal11"/>
              <w:jc w:val="center"/>
              <w:rPr>
                <w:rFonts w:eastAsia="Calibri"/>
                <w:noProof/>
              </w:rPr>
            </w:pPr>
            <w:r>
              <w:rPr>
                <w:noProof/>
              </w:rPr>
              <w:t>JIH NI</w:t>
            </w:r>
          </w:p>
        </w:tc>
        <w:tc>
          <w:tcPr>
            <w:tcW w:w="1078" w:type="dxa"/>
            <w:shd w:val="clear" w:color="auto" w:fill="C6EFCE"/>
            <w:noWrap/>
            <w:vAlign w:val="center"/>
            <w:hideMark/>
          </w:tcPr>
          <w:p w14:paraId="5A1A7474" w14:textId="77777777" w:rsidR="00154E32" w:rsidRDefault="00A43E04">
            <w:pPr>
              <w:pStyle w:val="P68B1DB1-Normal11"/>
              <w:jc w:val="center"/>
              <w:rPr>
                <w:noProof/>
              </w:rPr>
            </w:pPr>
            <w:r>
              <w:rPr>
                <w:noProof/>
              </w:rPr>
              <w:t>Q2</w:t>
            </w:r>
          </w:p>
        </w:tc>
        <w:tc>
          <w:tcPr>
            <w:tcW w:w="755" w:type="dxa"/>
            <w:shd w:val="clear" w:color="auto" w:fill="C6EFCE"/>
            <w:noWrap/>
            <w:vAlign w:val="center"/>
            <w:hideMark/>
          </w:tcPr>
          <w:p w14:paraId="43F26287" w14:textId="77777777" w:rsidR="00154E32" w:rsidRDefault="00A43E04">
            <w:pPr>
              <w:pStyle w:val="P68B1DB1-Normal11"/>
              <w:jc w:val="center"/>
              <w:rPr>
                <w:rFonts w:eastAsia="Calibri"/>
                <w:noProof/>
              </w:rPr>
            </w:pPr>
            <w:r>
              <w:rPr>
                <w:noProof/>
              </w:rPr>
              <w:t>2024</w:t>
            </w:r>
          </w:p>
        </w:tc>
        <w:tc>
          <w:tcPr>
            <w:tcW w:w="5046" w:type="dxa"/>
            <w:shd w:val="clear" w:color="auto" w:fill="C6EFCE"/>
            <w:noWrap/>
            <w:vAlign w:val="center"/>
            <w:hideMark/>
          </w:tcPr>
          <w:p w14:paraId="44BAAD75" w14:textId="77777777" w:rsidR="00154E32" w:rsidRDefault="00A43E04">
            <w:pPr>
              <w:pStyle w:val="P68B1DB1-Normal11"/>
              <w:rPr>
                <w:rFonts w:eastAsia="Calibri"/>
                <w:noProof/>
              </w:rPr>
            </w:pPr>
            <w:r>
              <w:rPr>
                <w:noProof/>
              </w:rPr>
              <w:t>Z zakonskimi uredbami se oblikujejo določbe iz okvirnega zakona za krepitev samostojnosti invalidov. Zakon vsebuje vsaj določbe za (I) krepitev ponudbe socialnih storitev, (II) poenostavitev dostopa do socialnih in zdravstvenih storitev, (III) reforme ocen invalidnosti, (IV) spodbujanje projektov za samostojno življenje, (V) spodbujanje dela strokovnih skupin, ki lahko pomagajo invalidom z večrazsežnostnimi potrebami.</w:t>
            </w:r>
          </w:p>
        </w:tc>
      </w:tr>
      <w:tr w:rsidR="00154E32" w14:paraId="6EAFF7B7" w14:textId="77777777">
        <w:trPr>
          <w:trHeight w:val="309"/>
          <w:jc w:val="center"/>
        </w:trPr>
        <w:tc>
          <w:tcPr>
            <w:tcW w:w="1648" w:type="dxa"/>
            <w:shd w:val="clear" w:color="auto" w:fill="C6EFCE"/>
            <w:noWrap/>
            <w:vAlign w:val="center"/>
            <w:hideMark/>
          </w:tcPr>
          <w:p w14:paraId="040F422A" w14:textId="33238835" w:rsidR="00154E32" w:rsidRDefault="00A43E04">
            <w:pPr>
              <w:pStyle w:val="P68B1DB1-Normal11"/>
              <w:spacing w:before="120" w:after="120"/>
              <w:jc w:val="center"/>
              <w:rPr>
                <w:noProof/>
              </w:rPr>
            </w:pPr>
            <w:r>
              <w:rPr>
                <w:noProof/>
              </w:rPr>
              <w:t>M5C2–3</w:t>
            </w:r>
          </w:p>
        </w:tc>
        <w:tc>
          <w:tcPr>
            <w:tcW w:w="1908" w:type="dxa"/>
            <w:shd w:val="clear" w:color="auto" w:fill="C6EFCE"/>
            <w:noWrap/>
            <w:vAlign w:val="center"/>
            <w:hideMark/>
          </w:tcPr>
          <w:p w14:paraId="586A0732" w14:textId="37B4E1D3" w:rsidR="00154E32" w:rsidRDefault="00A43E04">
            <w:pPr>
              <w:pStyle w:val="P68B1DB1-Normal11"/>
              <w:jc w:val="center"/>
              <w:rPr>
                <w:noProof/>
              </w:rPr>
            </w:pPr>
            <w:r>
              <w:rPr>
                <w:noProof/>
              </w:rPr>
              <w:t>Reforma 2 – Reforma za starejše osebe, ki niso samozadostne</w:t>
            </w:r>
          </w:p>
        </w:tc>
        <w:tc>
          <w:tcPr>
            <w:tcW w:w="1322" w:type="dxa"/>
            <w:shd w:val="clear" w:color="auto" w:fill="C6EFCE"/>
            <w:noWrap/>
            <w:vAlign w:val="center"/>
            <w:hideMark/>
          </w:tcPr>
          <w:p w14:paraId="76A2DD01" w14:textId="77777777" w:rsidR="00154E32" w:rsidRDefault="00A43E04">
            <w:pPr>
              <w:pStyle w:val="P68B1DB1-Normal11"/>
              <w:jc w:val="center"/>
              <w:rPr>
                <w:noProof/>
              </w:rPr>
            </w:pPr>
            <w:r>
              <w:rPr>
                <w:noProof/>
              </w:rPr>
              <w:t>Mejnik</w:t>
            </w:r>
          </w:p>
        </w:tc>
        <w:tc>
          <w:tcPr>
            <w:tcW w:w="1395" w:type="dxa"/>
            <w:shd w:val="clear" w:color="auto" w:fill="C6EFCE"/>
            <w:noWrap/>
            <w:vAlign w:val="center"/>
            <w:hideMark/>
          </w:tcPr>
          <w:p w14:paraId="61057961" w14:textId="77777777" w:rsidR="00154E32" w:rsidRDefault="00A43E04">
            <w:pPr>
              <w:pStyle w:val="P68B1DB1-Normal11"/>
              <w:jc w:val="center"/>
              <w:rPr>
                <w:noProof/>
              </w:rPr>
            </w:pPr>
            <w:r>
              <w:rPr>
                <w:noProof/>
              </w:rPr>
              <w:t>Začetek veljavnosti okvirnega zakona, ki krepi ukrepe v korist starejših oseb, ki niso samozadostne</w:t>
            </w:r>
          </w:p>
        </w:tc>
        <w:tc>
          <w:tcPr>
            <w:tcW w:w="1476" w:type="dxa"/>
            <w:shd w:val="clear" w:color="auto" w:fill="C6EFCE"/>
            <w:noWrap/>
            <w:vAlign w:val="center"/>
            <w:hideMark/>
          </w:tcPr>
          <w:p w14:paraId="2A0E6E8F" w14:textId="77777777" w:rsidR="00154E32" w:rsidRDefault="00A43E04">
            <w:pPr>
              <w:pStyle w:val="P68B1DB1-Normal19"/>
              <w:jc w:val="center"/>
              <w:rPr>
                <w:noProof/>
                <w:color w:val="006100"/>
              </w:rPr>
            </w:pPr>
            <w:r>
              <w:rPr>
                <w:noProof/>
                <w:color w:val="006100"/>
              </w:rPr>
              <w:t xml:space="preserve">Določbe zakona o začetku veljavnosti okvirnega zakona,ki krepi ukrepe v korist starejših oseb, ki niso samozadostne </w:t>
            </w:r>
          </w:p>
        </w:tc>
        <w:tc>
          <w:tcPr>
            <w:tcW w:w="1474" w:type="dxa"/>
            <w:shd w:val="clear" w:color="auto" w:fill="C6EFCE"/>
            <w:noWrap/>
            <w:vAlign w:val="center"/>
            <w:hideMark/>
          </w:tcPr>
          <w:p w14:paraId="06B42225" w14:textId="77777777" w:rsidR="00154E32" w:rsidRDefault="00A43E04">
            <w:pPr>
              <w:pStyle w:val="P68B1DB1-Normal11"/>
              <w:jc w:val="center"/>
              <w:rPr>
                <w:noProof/>
              </w:rPr>
            </w:pPr>
            <w:r>
              <w:rPr>
                <w:noProof/>
              </w:rPr>
              <w:t>JIH NI</w:t>
            </w:r>
          </w:p>
        </w:tc>
        <w:tc>
          <w:tcPr>
            <w:tcW w:w="1092" w:type="dxa"/>
            <w:shd w:val="clear" w:color="auto" w:fill="C6EFCE"/>
            <w:noWrap/>
            <w:vAlign w:val="center"/>
            <w:hideMark/>
          </w:tcPr>
          <w:p w14:paraId="478E8FC7" w14:textId="77777777" w:rsidR="00154E32" w:rsidRDefault="00A43E04">
            <w:pPr>
              <w:pStyle w:val="P68B1DB1-Normal11"/>
              <w:jc w:val="center"/>
              <w:rPr>
                <w:rFonts w:eastAsia="Calibri"/>
                <w:noProof/>
              </w:rPr>
            </w:pPr>
            <w:r>
              <w:rPr>
                <w:noProof/>
              </w:rPr>
              <w:t>JIH NI</w:t>
            </w:r>
          </w:p>
        </w:tc>
        <w:tc>
          <w:tcPr>
            <w:tcW w:w="775" w:type="dxa"/>
            <w:shd w:val="clear" w:color="auto" w:fill="C6EFCE"/>
            <w:noWrap/>
            <w:vAlign w:val="center"/>
            <w:hideMark/>
          </w:tcPr>
          <w:p w14:paraId="432E90D2" w14:textId="77777777" w:rsidR="00154E32" w:rsidRDefault="00A43E04">
            <w:pPr>
              <w:pStyle w:val="P68B1DB1-Normal11"/>
              <w:jc w:val="center"/>
              <w:rPr>
                <w:rFonts w:eastAsia="Calibri"/>
                <w:noProof/>
              </w:rPr>
            </w:pPr>
            <w:r>
              <w:rPr>
                <w:noProof/>
              </w:rPr>
              <w:t>JIH NI</w:t>
            </w:r>
          </w:p>
        </w:tc>
        <w:tc>
          <w:tcPr>
            <w:tcW w:w="1078" w:type="dxa"/>
            <w:shd w:val="clear" w:color="auto" w:fill="C6EFCE"/>
            <w:noWrap/>
            <w:vAlign w:val="center"/>
            <w:hideMark/>
          </w:tcPr>
          <w:p w14:paraId="6C76A5B9" w14:textId="77777777" w:rsidR="00154E32" w:rsidRDefault="00A43E04">
            <w:pPr>
              <w:pStyle w:val="P68B1DB1-Normal11"/>
              <w:jc w:val="center"/>
              <w:rPr>
                <w:noProof/>
              </w:rPr>
            </w:pPr>
            <w:r>
              <w:rPr>
                <w:noProof/>
              </w:rPr>
              <w:t>ČETRTLETJE 1</w:t>
            </w:r>
          </w:p>
        </w:tc>
        <w:tc>
          <w:tcPr>
            <w:tcW w:w="755" w:type="dxa"/>
            <w:shd w:val="clear" w:color="auto" w:fill="C6EFCE"/>
            <w:noWrap/>
            <w:vAlign w:val="center"/>
            <w:hideMark/>
          </w:tcPr>
          <w:p w14:paraId="1EC09774" w14:textId="77777777" w:rsidR="00154E32" w:rsidRDefault="00A43E04">
            <w:pPr>
              <w:pStyle w:val="P68B1DB1-Normal11"/>
              <w:jc w:val="center"/>
              <w:rPr>
                <w:rFonts w:eastAsia="Calibri"/>
                <w:noProof/>
              </w:rPr>
            </w:pPr>
            <w:r>
              <w:rPr>
                <w:noProof/>
              </w:rPr>
              <w:t>2023</w:t>
            </w:r>
          </w:p>
        </w:tc>
        <w:tc>
          <w:tcPr>
            <w:tcW w:w="5046" w:type="dxa"/>
            <w:shd w:val="clear" w:color="auto" w:fill="C6EFCE"/>
            <w:noWrap/>
            <w:vAlign w:val="center"/>
            <w:hideMark/>
          </w:tcPr>
          <w:p w14:paraId="5D7F10AF" w14:textId="77777777" w:rsidR="00154E32" w:rsidRDefault="00A43E04">
            <w:pPr>
              <w:pStyle w:val="P68B1DB1-Normal11"/>
              <w:rPr>
                <w:noProof/>
              </w:rPr>
            </w:pPr>
            <w:r>
              <w:rPr>
                <w:noProof/>
              </w:rPr>
              <w:t>Okvirni zakon, ki ga predlaga vlada, bo okrepil ukrepe v korist starejših, ki niso samozadostni. Zakon poenostavlja in zagotavlja enotne kontaktne točke za socialne in zdravstvene storitve, pregleduje postopke za ocenjevanje stanja starejših oseb, ki niso samozadostne, ter povečuje nabor socialnih in zdravstvenih storitev, ki se lahko zagotavljajo doma. Zakon določa tudi potrebna finančna sredstva.</w:t>
            </w:r>
          </w:p>
        </w:tc>
      </w:tr>
      <w:tr w:rsidR="00154E32" w14:paraId="2D812A08" w14:textId="77777777">
        <w:trPr>
          <w:trHeight w:val="309"/>
          <w:jc w:val="center"/>
        </w:trPr>
        <w:tc>
          <w:tcPr>
            <w:tcW w:w="1648" w:type="dxa"/>
            <w:shd w:val="clear" w:color="auto" w:fill="C6EFCE"/>
            <w:noWrap/>
            <w:vAlign w:val="center"/>
            <w:hideMark/>
          </w:tcPr>
          <w:p w14:paraId="6FBF2821" w14:textId="77777777" w:rsidR="00154E32" w:rsidRDefault="00A43E04">
            <w:pPr>
              <w:pStyle w:val="P68B1DB1-Normal11"/>
              <w:jc w:val="center"/>
              <w:rPr>
                <w:rFonts w:eastAsia="Calibri"/>
                <w:noProof/>
              </w:rPr>
            </w:pPr>
            <w:r>
              <w:rPr>
                <w:noProof/>
              </w:rPr>
              <w:t>M5C2–4</w:t>
            </w:r>
          </w:p>
        </w:tc>
        <w:tc>
          <w:tcPr>
            <w:tcW w:w="1908" w:type="dxa"/>
            <w:shd w:val="clear" w:color="auto" w:fill="C6EFCE"/>
            <w:noWrap/>
            <w:vAlign w:val="center"/>
            <w:hideMark/>
          </w:tcPr>
          <w:p w14:paraId="1373758C" w14:textId="77777777" w:rsidR="00154E32" w:rsidRDefault="00A43E04">
            <w:pPr>
              <w:pStyle w:val="P68B1DB1-Normal11"/>
              <w:jc w:val="center"/>
              <w:rPr>
                <w:noProof/>
              </w:rPr>
            </w:pPr>
            <w:r>
              <w:rPr>
                <w:noProof/>
              </w:rPr>
              <w:t>Reforma 2 – Reforma za starejše osebe, ki niso samozadostne</w:t>
            </w:r>
          </w:p>
        </w:tc>
        <w:tc>
          <w:tcPr>
            <w:tcW w:w="1322" w:type="dxa"/>
            <w:shd w:val="clear" w:color="auto" w:fill="C6EFCE"/>
            <w:noWrap/>
            <w:vAlign w:val="center"/>
            <w:hideMark/>
          </w:tcPr>
          <w:p w14:paraId="4F714391" w14:textId="77777777" w:rsidR="00154E32" w:rsidRDefault="00A43E04">
            <w:pPr>
              <w:pStyle w:val="P68B1DB1-Normal11"/>
              <w:jc w:val="center"/>
              <w:rPr>
                <w:rFonts w:eastAsia="Calibri"/>
                <w:noProof/>
              </w:rPr>
            </w:pPr>
            <w:r>
              <w:rPr>
                <w:noProof/>
              </w:rPr>
              <w:t>Mejnik</w:t>
            </w:r>
          </w:p>
        </w:tc>
        <w:tc>
          <w:tcPr>
            <w:tcW w:w="1395" w:type="dxa"/>
            <w:shd w:val="clear" w:color="auto" w:fill="C6EFCE"/>
            <w:noWrap/>
            <w:vAlign w:val="center"/>
            <w:hideMark/>
          </w:tcPr>
          <w:p w14:paraId="4739E4FF" w14:textId="77777777" w:rsidR="00154E32" w:rsidRDefault="00A43E04">
            <w:pPr>
              <w:pStyle w:val="P68B1DB1-Normal11"/>
              <w:jc w:val="center"/>
              <w:rPr>
                <w:noProof/>
              </w:rPr>
            </w:pPr>
            <w:r>
              <w:rPr>
                <w:noProof/>
              </w:rPr>
              <w:t>Začetek veljavnosti zakonodajnih odlokov, s katerimi se razvijajo določbe okvirnega zakona za okrepitev ukrepov v korist starejših oseb, ki niso samozadostne</w:t>
            </w:r>
          </w:p>
        </w:tc>
        <w:tc>
          <w:tcPr>
            <w:tcW w:w="1476" w:type="dxa"/>
            <w:shd w:val="clear" w:color="auto" w:fill="C6EFCE"/>
            <w:noWrap/>
            <w:vAlign w:val="center"/>
            <w:hideMark/>
          </w:tcPr>
          <w:p w14:paraId="1312E3E1" w14:textId="77777777" w:rsidR="00154E32" w:rsidRDefault="00A43E04">
            <w:pPr>
              <w:pStyle w:val="P68B1DB1-Normal11"/>
              <w:jc w:val="center"/>
              <w:rPr>
                <w:noProof/>
              </w:rPr>
            </w:pPr>
            <w:r>
              <w:rPr>
                <w:noProof/>
              </w:rPr>
              <w:t>Določbe zakona o začetku veljavnosti zakonodajnih uredb</w:t>
            </w:r>
          </w:p>
        </w:tc>
        <w:tc>
          <w:tcPr>
            <w:tcW w:w="1474" w:type="dxa"/>
            <w:shd w:val="clear" w:color="auto" w:fill="C6EFCE"/>
            <w:noWrap/>
            <w:vAlign w:val="center"/>
            <w:hideMark/>
          </w:tcPr>
          <w:p w14:paraId="56BCEF07" w14:textId="77777777" w:rsidR="00154E32" w:rsidRDefault="00A43E04">
            <w:pPr>
              <w:pStyle w:val="P68B1DB1-Normal11"/>
              <w:jc w:val="center"/>
              <w:rPr>
                <w:rFonts w:eastAsia="Calibri"/>
                <w:noProof/>
              </w:rPr>
            </w:pPr>
            <w:r>
              <w:rPr>
                <w:noProof/>
              </w:rPr>
              <w:t>JIH NI</w:t>
            </w:r>
          </w:p>
        </w:tc>
        <w:tc>
          <w:tcPr>
            <w:tcW w:w="1092" w:type="dxa"/>
            <w:shd w:val="clear" w:color="auto" w:fill="C6EFCE"/>
            <w:noWrap/>
            <w:vAlign w:val="center"/>
            <w:hideMark/>
          </w:tcPr>
          <w:p w14:paraId="292AB38A" w14:textId="77777777" w:rsidR="00154E32" w:rsidRDefault="00A43E04">
            <w:pPr>
              <w:pStyle w:val="P68B1DB1-Normal11"/>
              <w:jc w:val="center"/>
              <w:rPr>
                <w:rFonts w:eastAsia="Calibri"/>
                <w:noProof/>
              </w:rPr>
            </w:pPr>
            <w:r>
              <w:rPr>
                <w:noProof/>
              </w:rPr>
              <w:t>JIH NI</w:t>
            </w:r>
          </w:p>
        </w:tc>
        <w:tc>
          <w:tcPr>
            <w:tcW w:w="775" w:type="dxa"/>
            <w:shd w:val="clear" w:color="auto" w:fill="C6EFCE"/>
            <w:noWrap/>
            <w:vAlign w:val="center"/>
            <w:hideMark/>
          </w:tcPr>
          <w:p w14:paraId="6636805C" w14:textId="77777777" w:rsidR="00154E32" w:rsidRDefault="00A43E04">
            <w:pPr>
              <w:pStyle w:val="P68B1DB1-Normal11"/>
              <w:jc w:val="center"/>
              <w:rPr>
                <w:rFonts w:eastAsia="Calibri"/>
                <w:noProof/>
              </w:rPr>
            </w:pPr>
            <w:r>
              <w:rPr>
                <w:noProof/>
              </w:rPr>
              <w:t>JIH NI</w:t>
            </w:r>
          </w:p>
        </w:tc>
        <w:tc>
          <w:tcPr>
            <w:tcW w:w="1078" w:type="dxa"/>
            <w:shd w:val="clear" w:color="auto" w:fill="C6EFCE"/>
            <w:noWrap/>
            <w:vAlign w:val="center"/>
            <w:hideMark/>
          </w:tcPr>
          <w:p w14:paraId="53E73159" w14:textId="77777777" w:rsidR="00154E32" w:rsidRDefault="00A43E04">
            <w:pPr>
              <w:pStyle w:val="P68B1DB1-Normal11"/>
              <w:jc w:val="center"/>
              <w:rPr>
                <w:noProof/>
              </w:rPr>
            </w:pPr>
            <w:r>
              <w:rPr>
                <w:noProof/>
              </w:rPr>
              <w:t>ČETRTLETJE 1</w:t>
            </w:r>
          </w:p>
        </w:tc>
        <w:tc>
          <w:tcPr>
            <w:tcW w:w="755" w:type="dxa"/>
            <w:shd w:val="clear" w:color="auto" w:fill="C6EFCE"/>
            <w:noWrap/>
            <w:vAlign w:val="center"/>
            <w:hideMark/>
          </w:tcPr>
          <w:p w14:paraId="675CFAB2" w14:textId="77777777" w:rsidR="00154E32" w:rsidRDefault="00A43E04">
            <w:pPr>
              <w:pStyle w:val="P68B1DB1-Normal11"/>
              <w:jc w:val="center"/>
              <w:rPr>
                <w:noProof/>
              </w:rPr>
            </w:pPr>
            <w:r>
              <w:rPr>
                <w:noProof/>
              </w:rPr>
              <w:t>2024</w:t>
            </w:r>
          </w:p>
        </w:tc>
        <w:tc>
          <w:tcPr>
            <w:tcW w:w="5046" w:type="dxa"/>
            <w:shd w:val="clear" w:color="auto" w:fill="C6EFCE"/>
            <w:noWrap/>
            <w:vAlign w:val="center"/>
            <w:hideMark/>
          </w:tcPr>
          <w:p w14:paraId="750A76EC" w14:textId="77777777" w:rsidR="00154E32" w:rsidRDefault="00A43E04">
            <w:pPr>
              <w:pStyle w:val="P68B1DB1-Normal11"/>
              <w:rPr>
                <w:noProof/>
              </w:rPr>
            </w:pPr>
            <w:r>
              <w:rPr>
                <w:noProof/>
              </w:rPr>
              <w:t>Z zakonskimi uredbami se konkretizirajo določbe okvirnega zakona za okrepitev ukrepov v korist starejših, ki niso samozadostni, pri čemer se izvajajo različni ukrepi.</w:t>
            </w:r>
          </w:p>
        </w:tc>
      </w:tr>
      <w:tr w:rsidR="00154E32" w14:paraId="3244C784" w14:textId="77777777">
        <w:trPr>
          <w:trHeight w:val="309"/>
          <w:jc w:val="center"/>
        </w:trPr>
        <w:tc>
          <w:tcPr>
            <w:tcW w:w="1648" w:type="dxa"/>
            <w:shd w:val="clear" w:color="auto" w:fill="C6EFCE"/>
            <w:noWrap/>
            <w:vAlign w:val="center"/>
            <w:hideMark/>
          </w:tcPr>
          <w:p w14:paraId="4F3636C5" w14:textId="77777777" w:rsidR="00154E32" w:rsidRDefault="00A43E04">
            <w:pPr>
              <w:pStyle w:val="P68B1DB1-Normal11"/>
              <w:jc w:val="center"/>
              <w:rPr>
                <w:noProof/>
              </w:rPr>
            </w:pPr>
            <w:r>
              <w:rPr>
                <w:noProof/>
              </w:rPr>
              <w:t>M5C2–5</w:t>
            </w:r>
          </w:p>
        </w:tc>
        <w:tc>
          <w:tcPr>
            <w:tcW w:w="1908" w:type="dxa"/>
            <w:shd w:val="clear" w:color="auto" w:fill="C6EFCE"/>
            <w:noWrap/>
            <w:vAlign w:val="center"/>
            <w:hideMark/>
          </w:tcPr>
          <w:p w14:paraId="6DDFF071" w14:textId="77777777" w:rsidR="00154E32" w:rsidRDefault="00A43E04">
            <w:pPr>
              <w:pStyle w:val="P68B1DB1-Normal11"/>
              <w:jc w:val="center"/>
              <w:rPr>
                <w:noProof/>
              </w:rPr>
            </w:pPr>
            <w:r>
              <w:rPr>
                <w:noProof/>
              </w:rPr>
              <w:t>Naložba 1 – Podpora ranljivim osebam in preprečevanje institucionalizacije</w:t>
            </w:r>
          </w:p>
        </w:tc>
        <w:tc>
          <w:tcPr>
            <w:tcW w:w="1322" w:type="dxa"/>
            <w:shd w:val="clear" w:color="auto" w:fill="C6EFCE"/>
            <w:noWrap/>
            <w:vAlign w:val="center"/>
            <w:hideMark/>
          </w:tcPr>
          <w:p w14:paraId="431806D4" w14:textId="77777777" w:rsidR="00154E32" w:rsidRDefault="00A43E04">
            <w:pPr>
              <w:pStyle w:val="P68B1DB1-Normal11"/>
              <w:jc w:val="center"/>
              <w:rPr>
                <w:noProof/>
              </w:rPr>
            </w:pPr>
            <w:r>
              <w:rPr>
                <w:noProof/>
              </w:rPr>
              <w:t>Mejnik</w:t>
            </w:r>
          </w:p>
        </w:tc>
        <w:tc>
          <w:tcPr>
            <w:tcW w:w="1395" w:type="dxa"/>
            <w:shd w:val="clear" w:color="auto" w:fill="C6EFCE"/>
            <w:noWrap/>
            <w:vAlign w:val="center"/>
            <w:hideMark/>
          </w:tcPr>
          <w:p w14:paraId="0BCABC86" w14:textId="77777777" w:rsidR="00154E32" w:rsidRDefault="00A43E04">
            <w:pPr>
              <w:pStyle w:val="P68B1DB1-Normal11"/>
              <w:jc w:val="center"/>
              <w:rPr>
                <w:noProof/>
              </w:rPr>
            </w:pPr>
            <w:r>
              <w:rPr>
                <w:noProof/>
              </w:rPr>
              <w:t>Začetek veljavnosti operativnega načrta</w:t>
            </w:r>
          </w:p>
        </w:tc>
        <w:tc>
          <w:tcPr>
            <w:tcW w:w="1476" w:type="dxa"/>
            <w:shd w:val="clear" w:color="auto" w:fill="C6EFCE"/>
            <w:noWrap/>
            <w:vAlign w:val="center"/>
            <w:hideMark/>
          </w:tcPr>
          <w:p w14:paraId="7BAF1B6C" w14:textId="77777777" w:rsidR="00154E32" w:rsidRDefault="00A43E04">
            <w:pPr>
              <w:pStyle w:val="P68B1DB1-Normal11"/>
              <w:jc w:val="center"/>
              <w:rPr>
                <w:noProof/>
              </w:rPr>
            </w:pPr>
            <w:r>
              <w:rPr>
                <w:noProof/>
              </w:rPr>
              <w:t>Določbe zakona o začetku veljavnosti operativnega načrta intervencij</w:t>
            </w:r>
          </w:p>
        </w:tc>
        <w:tc>
          <w:tcPr>
            <w:tcW w:w="1474" w:type="dxa"/>
            <w:shd w:val="clear" w:color="auto" w:fill="C6EFCE"/>
            <w:noWrap/>
            <w:vAlign w:val="center"/>
            <w:hideMark/>
          </w:tcPr>
          <w:p w14:paraId="07BBE7AA" w14:textId="77777777" w:rsidR="00154E32" w:rsidRDefault="00A43E04">
            <w:pPr>
              <w:pStyle w:val="P68B1DB1-Normal11"/>
              <w:jc w:val="center"/>
              <w:rPr>
                <w:rFonts w:eastAsia="Calibri"/>
                <w:noProof/>
              </w:rPr>
            </w:pPr>
            <w:r>
              <w:rPr>
                <w:noProof/>
              </w:rPr>
              <w:t>JIH NI</w:t>
            </w:r>
          </w:p>
        </w:tc>
        <w:tc>
          <w:tcPr>
            <w:tcW w:w="1092" w:type="dxa"/>
            <w:shd w:val="clear" w:color="auto" w:fill="C6EFCE"/>
            <w:noWrap/>
            <w:vAlign w:val="center"/>
            <w:hideMark/>
          </w:tcPr>
          <w:p w14:paraId="4EB307C0" w14:textId="77777777" w:rsidR="00154E32" w:rsidRDefault="00A43E04">
            <w:pPr>
              <w:pStyle w:val="P68B1DB1-Normal11"/>
              <w:jc w:val="center"/>
              <w:rPr>
                <w:rFonts w:eastAsia="Calibri"/>
                <w:noProof/>
              </w:rPr>
            </w:pPr>
            <w:r>
              <w:rPr>
                <w:noProof/>
              </w:rPr>
              <w:t>JIH NI</w:t>
            </w:r>
          </w:p>
        </w:tc>
        <w:tc>
          <w:tcPr>
            <w:tcW w:w="775" w:type="dxa"/>
            <w:shd w:val="clear" w:color="auto" w:fill="C6EFCE"/>
            <w:noWrap/>
            <w:vAlign w:val="center"/>
            <w:hideMark/>
          </w:tcPr>
          <w:p w14:paraId="453D23EC" w14:textId="77777777" w:rsidR="00154E32" w:rsidRDefault="00A43E04">
            <w:pPr>
              <w:pStyle w:val="P68B1DB1-Normal11"/>
              <w:jc w:val="center"/>
              <w:rPr>
                <w:rFonts w:eastAsia="Calibri"/>
                <w:noProof/>
              </w:rPr>
            </w:pPr>
            <w:r>
              <w:rPr>
                <w:noProof/>
              </w:rPr>
              <w:t>JIH NI</w:t>
            </w:r>
          </w:p>
        </w:tc>
        <w:tc>
          <w:tcPr>
            <w:tcW w:w="1078" w:type="dxa"/>
            <w:shd w:val="clear" w:color="auto" w:fill="C6EFCE"/>
            <w:noWrap/>
            <w:vAlign w:val="center"/>
            <w:hideMark/>
          </w:tcPr>
          <w:p w14:paraId="5597E009" w14:textId="77777777" w:rsidR="00154E32" w:rsidRDefault="00A43E04">
            <w:pPr>
              <w:pStyle w:val="P68B1DB1-Normal11"/>
              <w:jc w:val="center"/>
              <w:rPr>
                <w:rFonts w:eastAsia="Calibri"/>
                <w:noProof/>
              </w:rPr>
            </w:pPr>
            <w:r>
              <w:rPr>
                <w:noProof/>
              </w:rPr>
              <w:t>Q4</w:t>
            </w:r>
          </w:p>
        </w:tc>
        <w:tc>
          <w:tcPr>
            <w:tcW w:w="755" w:type="dxa"/>
            <w:shd w:val="clear" w:color="auto" w:fill="C6EFCE"/>
            <w:noWrap/>
            <w:vAlign w:val="center"/>
            <w:hideMark/>
          </w:tcPr>
          <w:p w14:paraId="3E7AA82A" w14:textId="77777777" w:rsidR="00154E32" w:rsidRDefault="00A43E04">
            <w:pPr>
              <w:pStyle w:val="P68B1DB1-Normal11"/>
              <w:jc w:val="center"/>
              <w:rPr>
                <w:rFonts w:eastAsia="Calibri"/>
                <w:noProof/>
              </w:rPr>
            </w:pPr>
            <w:r>
              <w:rPr>
                <w:noProof/>
              </w:rPr>
              <w:t>2021</w:t>
            </w:r>
          </w:p>
        </w:tc>
        <w:tc>
          <w:tcPr>
            <w:tcW w:w="5046" w:type="dxa"/>
            <w:shd w:val="clear" w:color="auto" w:fill="C6EFCE"/>
            <w:noWrap/>
            <w:vAlign w:val="center"/>
            <w:hideMark/>
          </w:tcPr>
          <w:p w14:paraId="02922682" w14:textId="77777777" w:rsidR="00154E32" w:rsidRDefault="00A43E04">
            <w:pPr>
              <w:pStyle w:val="P68B1DB1-Normal11"/>
              <w:rPr>
                <w:noProof/>
              </w:rPr>
            </w:pPr>
            <w:r>
              <w:rPr>
                <w:noProof/>
              </w:rPr>
              <w:t>V operativnem načrtu so opredeljene zahteve za projekte, ki jih lahko predložijo lokalni subjekti in se nanašajo na štiri razsežnosti: (I) podpora staršem otrok, starih od 0 do 17 let, (ii) podpora za samostojnost starejših, (iii) storitve na domu za starejše in (iv) podpora socialnim delavcem.</w:t>
            </w:r>
          </w:p>
          <w:p w14:paraId="3BDBF523" w14:textId="77777777" w:rsidR="00154E32" w:rsidRDefault="00154E32">
            <w:pPr>
              <w:rPr>
                <w:rFonts w:ascii="Arial Narrow" w:eastAsia="Calibri" w:hAnsi="Arial Narrow"/>
                <w:noProof/>
                <w:color w:val="006100"/>
                <w:sz w:val="20"/>
              </w:rPr>
            </w:pPr>
          </w:p>
          <w:p w14:paraId="00580422" w14:textId="77777777" w:rsidR="00154E32" w:rsidRDefault="00A43E04">
            <w:pPr>
              <w:pStyle w:val="P68B1DB1-Normal11"/>
              <w:rPr>
                <w:noProof/>
              </w:rPr>
            </w:pPr>
            <w:r>
              <w:rPr>
                <w:noProof/>
              </w:rPr>
              <w:t>Ukrep „Podpora staršem“ vključuje vsaj zagotavljanje podpore družinam prejemnicam za najmanj 18 mesecev z (i) predhodno oceno družinskega okolja in položaja otrok, (ii) oceno razmer, ki jo opravi multidisciplinarna skupina usposobljenih strokovnjakov, in (iii) zagotavljanjem vsaj ene od naslednjih storitev: storitve na domu, sodelovanje v podporo skupinam za starše in otroke; sodelovanje med šolami, družinami in socialnimi službami in/ali skupnimi storitvami družinske oskrbe.</w:t>
            </w:r>
          </w:p>
          <w:p w14:paraId="4BA32A3F" w14:textId="77777777" w:rsidR="00154E32" w:rsidRDefault="00A43E04">
            <w:pPr>
              <w:pStyle w:val="P68B1DB1-Normal11"/>
              <w:rPr>
                <w:rFonts w:eastAsia="Calibri"/>
                <w:noProof/>
              </w:rPr>
            </w:pPr>
            <w:r>
              <w:rPr>
                <w:noProof/>
              </w:rPr>
              <w:t>Ukrep „starejša avtonomija“ vključuje vsaj preoblikovanje domov za ostarele za starejše v skupinah avtonomnih stanovanj, opremljenih z vsemi potrebnimi objekti in storitvami, vključno z avtomatizacijo doma, telemedicino in spremljanjem na daljavo.</w:t>
            </w:r>
          </w:p>
          <w:p w14:paraId="4D989EEF" w14:textId="77777777" w:rsidR="00154E32" w:rsidRDefault="00A43E04">
            <w:pPr>
              <w:pStyle w:val="P68B1DB1-Normal11"/>
              <w:rPr>
                <w:rFonts w:eastAsia="Calibri"/>
                <w:noProof/>
              </w:rPr>
            </w:pPr>
            <w:r>
              <w:rPr>
                <w:noProof/>
              </w:rPr>
              <w:t>Cilj ukrepa „domače storitve za starejše“ je zagotoviti posebno usposabljanje strokovnjakov za storitve na domu za starejše.</w:t>
            </w:r>
          </w:p>
          <w:p w14:paraId="73161C33" w14:textId="77777777" w:rsidR="00154E32" w:rsidRDefault="00A43E04">
            <w:pPr>
              <w:pStyle w:val="P68B1DB1-Normal11"/>
              <w:rPr>
                <w:rFonts w:eastAsia="Calibri"/>
                <w:noProof/>
              </w:rPr>
            </w:pPr>
            <w:r>
              <w:rPr>
                <w:noProof/>
              </w:rPr>
              <w:t>Ukrep „podpora socialnim delavcem“ vključuje podpiranje socialnih izvajalcev ter krepitev njihove strokovnosti in delitve kompetenc, predvsem z uvedbo instrumentov za delitev kompetenc in zagotavljanje nadzornih storitev izvajalcem v podporo delu izvajalcev.</w:t>
            </w:r>
          </w:p>
        </w:tc>
      </w:tr>
      <w:tr w:rsidR="00154E32" w14:paraId="6CB376E6" w14:textId="77777777">
        <w:trPr>
          <w:trHeight w:val="309"/>
          <w:jc w:val="center"/>
        </w:trPr>
        <w:tc>
          <w:tcPr>
            <w:tcW w:w="1648" w:type="dxa"/>
            <w:shd w:val="clear" w:color="auto" w:fill="C6EFCE"/>
            <w:noWrap/>
            <w:vAlign w:val="center"/>
            <w:hideMark/>
          </w:tcPr>
          <w:p w14:paraId="02A69E27" w14:textId="10E12C17" w:rsidR="00154E32" w:rsidRDefault="00A43E04">
            <w:pPr>
              <w:pStyle w:val="P68B1DB1-Normal11"/>
              <w:spacing w:before="120"/>
              <w:jc w:val="center"/>
              <w:rPr>
                <w:rFonts w:eastAsia="Calibri"/>
                <w:noProof/>
              </w:rPr>
            </w:pPr>
            <w:r>
              <w:rPr>
                <w:noProof/>
              </w:rPr>
              <w:t>M5C2–6</w:t>
            </w:r>
          </w:p>
        </w:tc>
        <w:tc>
          <w:tcPr>
            <w:tcW w:w="1908" w:type="dxa"/>
            <w:shd w:val="clear" w:color="auto" w:fill="C6EFCE"/>
            <w:noWrap/>
            <w:vAlign w:val="center"/>
            <w:hideMark/>
          </w:tcPr>
          <w:p w14:paraId="4D0DDE50" w14:textId="77777777" w:rsidR="00154E32" w:rsidRDefault="00A43E04">
            <w:pPr>
              <w:pStyle w:val="P68B1DB1-Normal11"/>
              <w:spacing w:before="120" w:after="120"/>
              <w:jc w:val="center"/>
              <w:rPr>
                <w:noProof/>
              </w:rPr>
            </w:pPr>
            <w:r>
              <w:rPr>
                <w:noProof/>
              </w:rPr>
              <w:t>Naložba 1 – Podpora ranljivim osebam in preprečevanje institucionalizacije</w:t>
            </w:r>
          </w:p>
        </w:tc>
        <w:tc>
          <w:tcPr>
            <w:tcW w:w="1322" w:type="dxa"/>
            <w:shd w:val="clear" w:color="auto" w:fill="C6EFCE"/>
            <w:noWrap/>
            <w:vAlign w:val="center"/>
            <w:hideMark/>
          </w:tcPr>
          <w:p w14:paraId="281679FC" w14:textId="77777777" w:rsidR="00154E32" w:rsidRDefault="00A43E04">
            <w:pPr>
              <w:pStyle w:val="P68B1DB1-Normal11"/>
              <w:spacing w:before="120" w:after="120"/>
              <w:jc w:val="center"/>
              <w:rPr>
                <w:rFonts w:eastAsia="Calibri"/>
                <w:noProof/>
              </w:rPr>
            </w:pPr>
            <w:r>
              <w:rPr>
                <w:noProof/>
              </w:rPr>
              <w:t>Tarča</w:t>
            </w:r>
          </w:p>
        </w:tc>
        <w:tc>
          <w:tcPr>
            <w:tcW w:w="1395" w:type="dxa"/>
            <w:shd w:val="clear" w:color="auto" w:fill="C6EFCE"/>
            <w:noWrap/>
            <w:vAlign w:val="center"/>
            <w:hideMark/>
          </w:tcPr>
          <w:p w14:paraId="015277A4" w14:textId="77777777" w:rsidR="00154E32" w:rsidRDefault="00A43E04">
            <w:pPr>
              <w:pStyle w:val="P68B1DB1-Normal11"/>
              <w:spacing w:before="120" w:after="120"/>
              <w:jc w:val="center"/>
              <w:rPr>
                <w:rFonts w:eastAsia="Calibri"/>
                <w:noProof/>
              </w:rPr>
            </w:pPr>
            <w:r>
              <w:rPr>
                <w:noProof/>
              </w:rPr>
              <w:t>Socialna okrožja dosegajo vsaj enega od naslednjih rezultatov: (I) podpora staršem, (ii) samostojnost starejših, (iii) storitve na domu za starejše ali (iv) dajanje prednosti socialnim delavcem za preprečevanje izgorelosti</w:t>
            </w:r>
          </w:p>
        </w:tc>
        <w:tc>
          <w:tcPr>
            <w:tcW w:w="1476" w:type="dxa"/>
            <w:shd w:val="clear" w:color="auto" w:fill="C6EFCE"/>
            <w:noWrap/>
            <w:vAlign w:val="center"/>
            <w:hideMark/>
          </w:tcPr>
          <w:p w14:paraId="53C47FCE" w14:textId="77777777" w:rsidR="00154E32" w:rsidRDefault="00A43E04">
            <w:pPr>
              <w:pStyle w:val="P68B1DB1-Normal11"/>
              <w:spacing w:before="120" w:after="120"/>
              <w:jc w:val="center"/>
              <w:rPr>
                <w:rFonts w:eastAsia="Calibri"/>
                <w:noProof/>
              </w:rPr>
            </w:pPr>
            <w:r>
              <w:rPr>
                <w:noProof/>
              </w:rPr>
              <w:t>JIH NI</w:t>
            </w:r>
          </w:p>
        </w:tc>
        <w:tc>
          <w:tcPr>
            <w:tcW w:w="1474" w:type="dxa"/>
            <w:shd w:val="clear" w:color="auto" w:fill="C6EFCE"/>
            <w:noWrap/>
            <w:vAlign w:val="center"/>
            <w:hideMark/>
          </w:tcPr>
          <w:p w14:paraId="1154A29D" w14:textId="0E146BFA" w:rsidR="00154E32" w:rsidRDefault="00A43E04">
            <w:pPr>
              <w:pStyle w:val="P68B1DB1-Normal11"/>
              <w:spacing w:before="120" w:after="120"/>
              <w:jc w:val="center"/>
              <w:rPr>
                <w:rFonts w:eastAsia="Calibri"/>
                <w:noProof/>
              </w:rPr>
            </w:pPr>
            <w:r>
              <w:rPr>
                <w:noProof/>
              </w:rPr>
              <w:t>Delež</w:t>
            </w:r>
          </w:p>
        </w:tc>
        <w:tc>
          <w:tcPr>
            <w:tcW w:w="1092" w:type="dxa"/>
            <w:shd w:val="clear" w:color="auto" w:fill="C6EFCE"/>
            <w:noWrap/>
            <w:vAlign w:val="center"/>
            <w:hideMark/>
          </w:tcPr>
          <w:p w14:paraId="76EF1C00" w14:textId="77777777" w:rsidR="00154E32" w:rsidRDefault="00A43E04">
            <w:pPr>
              <w:pStyle w:val="P68B1DB1-Normal11"/>
              <w:spacing w:before="120" w:after="120"/>
              <w:jc w:val="center"/>
              <w:rPr>
                <w:rFonts w:eastAsia="Calibri"/>
                <w:noProof/>
              </w:rPr>
            </w:pPr>
            <w:r>
              <w:rPr>
                <w:noProof/>
              </w:rPr>
              <w:t>0</w:t>
            </w:r>
          </w:p>
        </w:tc>
        <w:tc>
          <w:tcPr>
            <w:tcW w:w="775" w:type="dxa"/>
            <w:shd w:val="clear" w:color="auto" w:fill="C6EFCE"/>
            <w:noWrap/>
            <w:vAlign w:val="center"/>
            <w:hideMark/>
          </w:tcPr>
          <w:p w14:paraId="4E122A54" w14:textId="77777777" w:rsidR="00154E32" w:rsidRDefault="00A43E04">
            <w:pPr>
              <w:pStyle w:val="P68B1DB1-Normal11"/>
              <w:spacing w:before="120" w:after="120"/>
              <w:jc w:val="center"/>
              <w:rPr>
                <w:rFonts w:eastAsia="Calibri"/>
                <w:noProof/>
              </w:rPr>
            </w:pPr>
            <w:r>
              <w:rPr>
                <w:noProof/>
              </w:rPr>
              <w:t>85</w:t>
            </w:r>
          </w:p>
        </w:tc>
        <w:tc>
          <w:tcPr>
            <w:tcW w:w="1078" w:type="dxa"/>
            <w:shd w:val="clear" w:color="auto" w:fill="C6EFCE"/>
            <w:noWrap/>
            <w:vAlign w:val="center"/>
            <w:hideMark/>
          </w:tcPr>
          <w:p w14:paraId="29EEBBF2" w14:textId="77777777" w:rsidR="00154E32" w:rsidRDefault="00A43E04">
            <w:pPr>
              <w:pStyle w:val="P68B1DB1-Normal11"/>
              <w:spacing w:before="120" w:after="120"/>
              <w:jc w:val="center"/>
              <w:rPr>
                <w:rFonts w:eastAsia="Calibri"/>
                <w:noProof/>
              </w:rPr>
            </w:pPr>
            <w:r>
              <w:rPr>
                <w:noProof/>
              </w:rPr>
              <w:t>ČETRTLETJE 1</w:t>
            </w:r>
          </w:p>
        </w:tc>
        <w:tc>
          <w:tcPr>
            <w:tcW w:w="755" w:type="dxa"/>
            <w:shd w:val="clear" w:color="auto" w:fill="C6EFCE"/>
            <w:noWrap/>
            <w:vAlign w:val="center"/>
            <w:hideMark/>
          </w:tcPr>
          <w:p w14:paraId="46AD0E2D" w14:textId="77777777" w:rsidR="00154E32" w:rsidRDefault="00A43E04">
            <w:pPr>
              <w:pStyle w:val="P68B1DB1-Normal11"/>
              <w:spacing w:before="120" w:after="120"/>
              <w:jc w:val="center"/>
              <w:rPr>
                <w:rFonts w:eastAsia="Calibri"/>
                <w:noProof/>
              </w:rPr>
            </w:pPr>
            <w:r>
              <w:rPr>
                <w:noProof/>
              </w:rPr>
              <w:t>2026</w:t>
            </w:r>
          </w:p>
        </w:tc>
        <w:tc>
          <w:tcPr>
            <w:tcW w:w="5046" w:type="dxa"/>
            <w:shd w:val="clear" w:color="auto" w:fill="C6EFCE"/>
            <w:noWrap/>
            <w:vAlign w:val="center"/>
            <w:hideMark/>
          </w:tcPr>
          <w:p w14:paraId="7805B753" w14:textId="77777777" w:rsidR="00154E32" w:rsidRDefault="00A43E04">
            <w:pPr>
              <w:pStyle w:val="P68B1DB1-Normal11"/>
              <w:spacing w:before="120" w:after="120"/>
              <w:rPr>
                <w:rFonts w:eastAsia="Calibri"/>
                <w:noProof/>
              </w:rPr>
            </w:pPr>
            <w:r>
              <w:rPr>
                <w:noProof/>
              </w:rPr>
              <w:t>Vsaj 85 % socialnih okrožij doseže vsaj enega od naslednjih rezultatov: (I) podpora staršem otrok, starih od 0 do 17 let, (ii) samostojnost starejših, (iii) storitve na domu za starejše ali (iv) dajanje prednosti socialnim delavcem za preprečevanje izgorelosti.</w:t>
            </w:r>
          </w:p>
          <w:p w14:paraId="0E56E956" w14:textId="77777777" w:rsidR="00154E32" w:rsidRDefault="00A43E04">
            <w:pPr>
              <w:pStyle w:val="P68B1DB1-Normal11"/>
              <w:spacing w:before="120" w:after="120"/>
              <w:rPr>
                <w:rFonts w:eastAsia="Calibri"/>
                <w:noProof/>
              </w:rPr>
            </w:pPr>
            <w:r>
              <w:rPr>
                <w:noProof/>
              </w:rPr>
              <w:t>V projekt je vključenih 85 % italijanskih socialnih okrožij.</w:t>
            </w:r>
          </w:p>
          <w:p w14:paraId="37423739" w14:textId="77777777" w:rsidR="00154E32" w:rsidRDefault="00A43E04">
            <w:pPr>
              <w:pStyle w:val="P68B1DB1-Normal11"/>
              <w:spacing w:before="120" w:after="120"/>
              <w:rPr>
                <w:rFonts w:eastAsia="Calibri"/>
                <w:noProof/>
              </w:rPr>
            </w:pPr>
            <w:r>
              <w:rPr>
                <w:noProof/>
              </w:rPr>
              <w:t>Ukrepi, predvideni v okviru štirih razsežnosti in ustreznih zahtev, so ukrepi, opredeljeni v operativnem načrtu za dejavno vključevanje ranljivih skupin prebivalstva, katerih položaj se je zaradi epidemioloških izrednih razmer zaradi COVID-19 poslabšal.</w:t>
            </w:r>
          </w:p>
          <w:p w14:paraId="024D5B47" w14:textId="35B0E227" w:rsidR="00154E32" w:rsidRDefault="00A43E04">
            <w:pPr>
              <w:pStyle w:val="P68B1DB1-Normal11"/>
              <w:spacing w:before="120" w:after="120"/>
              <w:rPr>
                <w:rFonts w:eastAsia="Calibri"/>
                <w:noProof/>
              </w:rPr>
            </w:pPr>
            <w:r>
              <w:rPr>
                <w:noProof/>
              </w:rPr>
              <w:t>Ukrep zajema celotno nacionalno ozemlje. Pričakuje se, da bodo sodelovala vsa socialna okrožja, strategija pa je, da takšni projekti odpirajo pot za stabilizacijo storitev z uradnim priznanjem osnovne ravni socialne pomoči, ki se dodeli na celotnem ozemlju.</w:t>
            </w:r>
          </w:p>
        </w:tc>
      </w:tr>
      <w:tr w:rsidR="00154E32" w14:paraId="51111E47" w14:textId="77777777">
        <w:trPr>
          <w:trHeight w:val="309"/>
          <w:jc w:val="center"/>
        </w:trPr>
        <w:tc>
          <w:tcPr>
            <w:tcW w:w="1648" w:type="dxa"/>
            <w:shd w:val="clear" w:color="auto" w:fill="C6EFCE"/>
            <w:noWrap/>
            <w:vAlign w:val="center"/>
            <w:hideMark/>
          </w:tcPr>
          <w:p w14:paraId="3BE55A08" w14:textId="77777777" w:rsidR="00154E32" w:rsidRDefault="00A43E04">
            <w:pPr>
              <w:pStyle w:val="P68B1DB1-Normal11"/>
              <w:spacing w:before="120"/>
              <w:jc w:val="center"/>
              <w:rPr>
                <w:rFonts w:eastAsia="Calibri"/>
                <w:noProof/>
              </w:rPr>
            </w:pPr>
            <w:r>
              <w:rPr>
                <w:noProof/>
              </w:rPr>
              <w:t>M5C2–7</w:t>
            </w:r>
          </w:p>
        </w:tc>
        <w:tc>
          <w:tcPr>
            <w:tcW w:w="1908" w:type="dxa"/>
            <w:shd w:val="clear" w:color="auto" w:fill="C6EFCE"/>
            <w:noWrap/>
            <w:vAlign w:val="center"/>
            <w:hideMark/>
          </w:tcPr>
          <w:p w14:paraId="04160822" w14:textId="5FA5D401" w:rsidR="00154E32" w:rsidRDefault="00A43E04">
            <w:pPr>
              <w:pStyle w:val="P68B1DB1-Normal11"/>
              <w:spacing w:before="120"/>
              <w:jc w:val="center"/>
              <w:rPr>
                <w:rFonts w:eastAsia="Calibri"/>
                <w:noProof/>
              </w:rPr>
            </w:pPr>
            <w:r>
              <w:rPr>
                <w:noProof/>
              </w:rPr>
              <w:t>Naložba 2 – Vzorci avtonomije za invalide</w:t>
            </w:r>
          </w:p>
        </w:tc>
        <w:tc>
          <w:tcPr>
            <w:tcW w:w="1322" w:type="dxa"/>
            <w:shd w:val="clear" w:color="auto" w:fill="C6EFCE"/>
            <w:noWrap/>
            <w:vAlign w:val="center"/>
            <w:hideMark/>
          </w:tcPr>
          <w:p w14:paraId="5C42BA45" w14:textId="77777777" w:rsidR="00154E32" w:rsidRDefault="00A43E04">
            <w:pPr>
              <w:pStyle w:val="P68B1DB1-Normal11"/>
              <w:spacing w:before="120" w:after="120"/>
              <w:jc w:val="center"/>
              <w:rPr>
                <w:rFonts w:eastAsia="Calibri"/>
                <w:noProof/>
              </w:rPr>
            </w:pPr>
            <w:r>
              <w:rPr>
                <w:noProof/>
              </w:rPr>
              <w:t>Tarča</w:t>
            </w:r>
          </w:p>
        </w:tc>
        <w:tc>
          <w:tcPr>
            <w:tcW w:w="1395" w:type="dxa"/>
            <w:shd w:val="clear" w:color="auto" w:fill="C6EFCE"/>
            <w:noWrap/>
            <w:vAlign w:val="center"/>
            <w:hideMark/>
          </w:tcPr>
          <w:p w14:paraId="06F0D292" w14:textId="77777777" w:rsidR="00154E32" w:rsidRDefault="00A43E04">
            <w:pPr>
              <w:pStyle w:val="P68B1DB1-Normal11"/>
              <w:spacing w:before="120" w:after="120"/>
              <w:jc w:val="center"/>
              <w:rPr>
                <w:rFonts w:eastAsia="Calibri"/>
                <w:noProof/>
              </w:rPr>
            </w:pPr>
            <w:r>
              <w:rPr>
                <w:noProof/>
              </w:rPr>
              <w:t>Socialna okrožja so izvedla vsaj en projekt v zvezi s prenovo domačih prostorov in/ali zagotavljanjem naprav IKT invalidom, skupaj z usposabljanjem o digitalnih znanjih in spretnostih</w:t>
            </w:r>
          </w:p>
        </w:tc>
        <w:tc>
          <w:tcPr>
            <w:tcW w:w="1476" w:type="dxa"/>
            <w:shd w:val="clear" w:color="auto" w:fill="C6EFCE"/>
            <w:noWrap/>
            <w:vAlign w:val="center"/>
            <w:hideMark/>
          </w:tcPr>
          <w:p w14:paraId="5FCAD4EC" w14:textId="77777777" w:rsidR="00154E32" w:rsidRDefault="00A43E04">
            <w:pPr>
              <w:pStyle w:val="P68B1DB1-Normal11"/>
              <w:spacing w:before="120" w:after="120"/>
              <w:jc w:val="center"/>
              <w:rPr>
                <w:rFonts w:eastAsia="Calibri"/>
                <w:noProof/>
              </w:rPr>
            </w:pPr>
            <w:r>
              <w:rPr>
                <w:noProof/>
              </w:rPr>
              <w:t>JIH NI</w:t>
            </w:r>
          </w:p>
        </w:tc>
        <w:tc>
          <w:tcPr>
            <w:tcW w:w="1474" w:type="dxa"/>
            <w:shd w:val="clear" w:color="auto" w:fill="C6EFCE"/>
            <w:noWrap/>
            <w:vAlign w:val="center"/>
            <w:hideMark/>
          </w:tcPr>
          <w:p w14:paraId="0357502F" w14:textId="77777777" w:rsidR="00154E32" w:rsidRDefault="00A43E04">
            <w:pPr>
              <w:pStyle w:val="P68B1DB1-Normal11"/>
              <w:spacing w:before="120" w:after="120"/>
              <w:jc w:val="center"/>
              <w:rPr>
                <w:rFonts w:eastAsia="Calibri"/>
                <w:noProof/>
              </w:rPr>
            </w:pPr>
            <w:r>
              <w:rPr>
                <w:noProof/>
              </w:rPr>
              <w:t>Število</w:t>
            </w:r>
          </w:p>
        </w:tc>
        <w:tc>
          <w:tcPr>
            <w:tcW w:w="1092" w:type="dxa"/>
            <w:shd w:val="clear" w:color="auto" w:fill="C6EFCE"/>
            <w:noWrap/>
            <w:vAlign w:val="center"/>
            <w:hideMark/>
          </w:tcPr>
          <w:p w14:paraId="47ABC482" w14:textId="77777777" w:rsidR="00154E32" w:rsidRDefault="00A43E04">
            <w:pPr>
              <w:pStyle w:val="P68B1DB1-Normal11"/>
              <w:spacing w:before="120" w:after="120"/>
              <w:jc w:val="center"/>
              <w:rPr>
                <w:rFonts w:eastAsia="Calibri"/>
                <w:noProof/>
              </w:rPr>
            </w:pPr>
            <w:r>
              <w:rPr>
                <w:noProof/>
              </w:rPr>
              <w:t>0</w:t>
            </w:r>
          </w:p>
        </w:tc>
        <w:tc>
          <w:tcPr>
            <w:tcW w:w="775" w:type="dxa"/>
            <w:shd w:val="clear" w:color="auto" w:fill="C6EFCE"/>
            <w:noWrap/>
            <w:vAlign w:val="center"/>
            <w:hideMark/>
          </w:tcPr>
          <w:p w14:paraId="239E9A3A" w14:textId="77777777" w:rsidR="00154E32" w:rsidRDefault="00A43E04">
            <w:pPr>
              <w:pStyle w:val="P68B1DB1-Normal11"/>
              <w:spacing w:before="120" w:after="120"/>
              <w:jc w:val="center"/>
              <w:rPr>
                <w:rFonts w:eastAsia="Calibri"/>
                <w:noProof/>
              </w:rPr>
            </w:pPr>
            <w:r>
              <w:rPr>
                <w:noProof/>
              </w:rPr>
              <w:t>500</w:t>
            </w:r>
          </w:p>
        </w:tc>
        <w:tc>
          <w:tcPr>
            <w:tcW w:w="1078" w:type="dxa"/>
            <w:shd w:val="clear" w:color="auto" w:fill="C6EFCE"/>
            <w:noWrap/>
            <w:vAlign w:val="center"/>
            <w:hideMark/>
          </w:tcPr>
          <w:p w14:paraId="168F653C" w14:textId="77777777" w:rsidR="00154E32" w:rsidRDefault="00A43E04">
            <w:pPr>
              <w:pStyle w:val="P68B1DB1-Normal11"/>
              <w:spacing w:before="120" w:after="120"/>
              <w:jc w:val="center"/>
              <w:rPr>
                <w:rFonts w:eastAsia="Calibri"/>
                <w:noProof/>
              </w:rPr>
            </w:pPr>
            <w:r>
              <w:rPr>
                <w:noProof/>
              </w:rPr>
              <w:t>Q4</w:t>
            </w:r>
          </w:p>
        </w:tc>
        <w:tc>
          <w:tcPr>
            <w:tcW w:w="755" w:type="dxa"/>
            <w:shd w:val="clear" w:color="auto" w:fill="C6EFCE"/>
            <w:noWrap/>
            <w:vAlign w:val="center"/>
            <w:hideMark/>
          </w:tcPr>
          <w:p w14:paraId="162B7130" w14:textId="77777777" w:rsidR="00154E32" w:rsidRDefault="00A43E04">
            <w:pPr>
              <w:pStyle w:val="P68B1DB1-Normal11"/>
              <w:spacing w:before="120" w:after="120"/>
              <w:jc w:val="center"/>
              <w:rPr>
                <w:rFonts w:eastAsia="Calibri"/>
                <w:noProof/>
              </w:rPr>
            </w:pPr>
            <w:r>
              <w:rPr>
                <w:noProof/>
              </w:rPr>
              <w:t>2022</w:t>
            </w:r>
          </w:p>
        </w:tc>
        <w:tc>
          <w:tcPr>
            <w:tcW w:w="5046" w:type="dxa"/>
            <w:shd w:val="clear" w:color="auto" w:fill="C6EFCE"/>
            <w:noWrap/>
            <w:vAlign w:val="center"/>
            <w:hideMark/>
          </w:tcPr>
          <w:p w14:paraId="1BA1EF5E" w14:textId="77777777" w:rsidR="00154E32" w:rsidRDefault="00A43E04">
            <w:pPr>
              <w:pStyle w:val="P68B1DB1-Normal11"/>
              <w:spacing w:before="120" w:after="120"/>
              <w:rPr>
                <w:rFonts w:eastAsia="Calibri"/>
                <w:noProof/>
              </w:rPr>
            </w:pPr>
            <w:r>
              <w:rPr>
                <w:noProof/>
              </w:rPr>
              <w:t xml:space="preserve">Socialna okrožja izvajajo vsaj 500 projektov v zvezi s prenovo domačih prostorov in/ali zagotavljanjem naprav IKT invalidom, ki jih spremlja usposabljanje o digitalnih znanjih in spretnostih. </w:t>
            </w:r>
          </w:p>
          <w:p w14:paraId="2E68B414" w14:textId="77777777" w:rsidR="00154E32" w:rsidRDefault="00A43E04">
            <w:pPr>
              <w:pStyle w:val="P68B1DB1-Normal11"/>
              <w:spacing w:before="120" w:after="120"/>
              <w:rPr>
                <w:rFonts w:eastAsia="Calibri"/>
                <w:noProof/>
              </w:rPr>
            </w:pPr>
            <w:r>
              <w:rPr>
                <w:noProof/>
              </w:rPr>
              <w:t>Zadovoljivo izpolnjevanje cilja je odvisno tudi od zadovoljivega izpolnjevanja sekundarnega cilja: vsaj 500 socialnih okrožij je izvedlo vsaj en projekt v zvezi s prenovo domačih prostorov in/ali zagotavljanjem naprav IKT invalidom, skupaj z usposabljanjem o digitalnih znanjih in spretnostih.</w:t>
            </w:r>
          </w:p>
          <w:p w14:paraId="01D12F52" w14:textId="77777777" w:rsidR="00154E32" w:rsidRDefault="00A43E04">
            <w:pPr>
              <w:pStyle w:val="P68B1DB1-Normal11"/>
              <w:spacing w:before="120" w:after="120"/>
              <w:rPr>
                <w:rFonts w:eastAsia="Calibri"/>
                <w:noProof/>
              </w:rPr>
            </w:pPr>
            <w:r>
              <w:rPr>
                <w:noProof/>
              </w:rPr>
              <w:t>Izvedba vsaj enega projekta iz vsaj 500 socialnih okrožij, ki so sodelovala v nekonkurenčnem postopku.</w:t>
            </w:r>
          </w:p>
        </w:tc>
      </w:tr>
      <w:tr w:rsidR="00154E32" w14:paraId="2EB13AC9" w14:textId="77777777">
        <w:trPr>
          <w:trHeight w:val="309"/>
          <w:jc w:val="center"/>
        </w:trPr>
        <w:tc>
          <w:tcPr>
            <w:tcW w:w="1648" w:type="dxa"/>
            <w:shd w:val="clear" w:color="auto" w:fill="C6EFCE"/>
            <w:noWrap/>
            <w:vAlign w:val="center"/>
            <w:hideMark/>
          </w:tcPr>
          <w:p w14:paraId="1967F6D3" w14:textId="32749780" w:rsidR="00154E32" w:rsidRDefault="00A43E04">
            <w:pPr>
              <w:pStyle w:val="P68B1DB1-Normal11"/>
              <w:spacing w:before="120"/>
              <w:jc w:val="center"/>
              <w:rPr>
                <w:rFonts w:eastAsia="Calibri"/>
                <w:noProof/>
              </w:rPr>
            </w:pPr>
            <w:r>
              <w:rPr>
                <w:noProof/>
              </w:rPr>
              <w:t>M5C2–8</w:t>
            </w:r>
          </w:p>
        </w:tc>
        <w:tc>
          <w:tcPr>
            <w:tcW w:w="1908" w:type="dxa"/>
            <w:shd w:val="clear" w:color="auto" w:fill="C6EFCE"/>
            <w:noWrap/>
            <w:vAlign w:val="center"/>
            <w:hideMark/>
          </w:tcPr>
          <w:p w14:paraId="4474BB25" w14:textId="77777777" w:rsidR="00154E32" w:rsidRDefault="00A43E04">
            <w:pPr>
              <w:pStyle w:val="P68B1DB1-Normal11"/>
              <w:spacing w:before="120" w:after="120"/>
              <w:jc w:val="center"/>
              <w:rPr>
                <w:rFonts w:eastAsia="Calibri"/>
                <w:noProof/>
              </w:rPr>
            </w:pPr>
            <w:r>
              <w:rPr>
                <w:noProof/>
              </w:rPr>
              <w:t>Naložba 2 – Vzorci avtonomije za invalide</w:t>
            </w:r>
          </w:p>
        </w:tc>
        <w:tc>
          <w:tcPr>
            <w:tcW w:w="1322" w:type="dxa"/>
            <w:shd w:val="clear" w:color="auto" w:fill="C6EFCE"/>
            <w:noWrap/>
            <w:vAlign w:val="center"/>
            <w:hideMark/>
          </w:tcPr>
          <w:p w14:paraId="4D3C40A6" w14:textId="77777777" w:rsidR="00154E32" w:rsidRDefault="00A43E04">
            <w:pPr>
              <w:pStyle w:val="P68B1DB1-Normal11"/>
              <w:spacing w:before="120" w:after="120"/>
              <w:jc w:val="center"/>
              <w:rPr>
                <w:rFonts w:eastAsia="Calibri"/>
                <w:noProof/>
              </w:rPr>
            </w:pPr>
            <w:r>
              <w:rPr>
                <w:noProof/>
              </w:rPr>
              <w:t>Tarča</w:t>
            </w:r>
          </w:p>
        </w:tc>
        <w:tc>
          <w:tcPr>
            <w:tcW w:w="1395" w:type="dxa"/>
            <w:shd w:val="clear" w:color="auto" w:fill="C6EFCE"/>
            <w:noWrap/>
            <w:vAlign w:val="center"/>
            <w:hideMark/>
          </w:tcPr>
          <w:p w14:paraId="1B8901B7" w14:textId="77777777" w:rsidR="00154E32" w:rsidRDefault="00A43E04">
            <w:pPr>
              <w:pStyle w:val="P68B1DB1-Normal11"/>
              <w:spacing w:before="120" w:after="120"/>
              <w:jc w:val="center"/>
              <w:rPr>
                <w:rFonts w:eastAsia="Calibri"/>
                <w:noProof/>
              </w:rPr>
            </w:pPr>
            <w:r>
              <w:rPr>
                <w:noProof/>
              </w:rPr>
              <w:t>Invalidi so prejeli prenovo domačega prostora in/ali zagotovitev naprav IKT. Storitve spremlja usposabljanje o digitalnih znanjih in spretnostih.</w:t>
            </w:r>
          </w:p>
        </w:tc>
        <w:tc>
          <w:tcPr>
            <w:tcW w:w="1476" w:type="dxa"/>
            <w:shd w:val="clear" w:color="auto" w:fill="C6EFCE"/>
            <w:noWrap/>
            <w:vAlign w:val="center"/>
            <w:hideMark/>
          </w:tcPr>
          <w:p w14:paraId="7213820C" w14:textId="77777777" w:rsidR="00154E32" w:rsidRDefault="00A43E04">
            <w:pPr>
              <w:pStyle w:val="P68B1DB1-Normal11"/>
              <w:spacing w:before="120" w:after="120"/>
              <w:jc w:val="center"/>
              <w:rPr>
                <w:rFonts w:eastAsia="Calibri"/>
                <w:noProof/>
              </w:rPr>
            </w:pPr>
            <w:r>
              <w:rPr>
                <w:noProof/>
              </w:rPr>
              <w:t>JIH NI</w:t>
            </w:r>
          </w:p>
        </w:tc>
        <w:tc>
          <w:tcPr>
            <w:tcW w:w="1474" w:type="dxa"/>
            <w:shd w:val="clear" w:color="auto" w:fill="C6EFCE"/>
            <w:noWrap/>
            <w:vAlign w:val="center"/>
            <w:hideMark/>
          </w:tcPr>
          <w:p w14:paraId="71710BE1" w14:textId="77777777" w:rsidR="00154E32" w:rsidRDefault="00A43E04">
            <w:pPr>
              <w:pStyle w:val="P68B1DB1-Normal11"/>
              <w:spacing w:before="120" w:after="120"/>
              <w:jc w:val="center"/>
              <w:rPr>
                <w:rFonts w:eastAsia="Calibri"/>
                <w:noProof/>
              </w:rPr>
            </w:pPr>
            <w:r>
              <w:rPr>
                <w:noProof/>
              </w:rPr>
              <w:t>Število</w:t>
            </w:r>
          </w:p>
        </w:tc>
        <w:tc>
          <w:tcPr>
            <w:tcW w:w="1092" w:type="dxa"/>
            <w:shd w:val="clear" w:color="auto" w:fill="C6EFCE"/>
            <w:noWrap/>
            <w:vAlign w:val="center"/>
            <w:hideMark/>
          </w:tcPr>
          <w:p w14:paraId="18E1AAF4" w14:textId="63A412B9" w:rsidR="00154E32" w:rsidRDefault="00A43E04">
            <w:pPr>
              <w:pStyle w:val="P68B1DB1-Normal11"/>
              <w:spacing w:before="120" w:after="120"/>
              <w:jc w:val="center"/>
              <w:rPr>
                <w:rFonts w:eastAsia="Calibri"/>
                <w:noProof/>
              </w:rPr>
            </w:pPr>
            <w:r>
              <w:rPr>
                <w:noProof/>
              </w:rPr>
              <w:t>1 000</w:t>
            </w:r>
          </w:p>
        </w:tc>
        <w:tc>
          <w:tcPr>
            <w:tcW w:w="775" w:type="dxa"/>
            <w:shd w:val="clear" w:color="auto" w:fill="C6EFCE"/>
            <w:noWrap/>
            <w:vAlign w:val="center"/>
            <w:hideMark/>
          </w:tcPr>
          <w:p w14:paraId="246821FE" w14:textId="4BD68EB8" w:rsidR="00154E32" w:rsidRDefault="00A43E04">
            <w:pPr>
              <w:pStyle w:val="P68B1DB1-Normal11"/>
              <w:spacing w:before="120" w:after="120"/>
              <w:jc w:val="center"/>
              <w:rPr>
                <w:rFonts w:eastAsia="Calibri"/>
                <w:noProof/>
              </w:rPr>
            </w:pPr>
            <w:r>
              <w:rPr>
                <w:noProof/>
              </w:rPr>
              <w:t>5 000</w:t>
            </w:r>
          </w:p>
        </w:tc>
        <w:tc>
          <w:tcPr>
            <w:tcW w:w="1078" w:type="dxa"/>
            <w:shd w:val="clear" w:color="auto" w:fill="C6EFCE"/>
            <w:noWrap/>
            <w:vAlign w:val="center"/>
            <w:hideMark/>
          </w:tcPr>
          <w:p w14:paraId="49ECCE76" w14:textId="77777777" w:rsidR="00154E32" w:rsidRDefault="00A43E04">
            <w:pPr>
              <w:pStyle w:val="P68B1DB1-Normal11"/>
              <w:spacing w:before="120" w:after="120"/>
              <w:jc w:val="center"/>
              <w:rPr>
                <w:rFonts w:eastAsia="Calibri"/>
                <w:noProof/>
              </w:rPr>
            </w:pPr>
            <w:r>
              <w:rPr>
                <w:noProof/>
              </w:rPr>
              <w:t>ČETRTLETJE 1</w:t>
            </w:r>
          </w:p>
        </w:tc>
        <w:tc>
          <w:tcPr>
            <w:tcW w:w="755" w:type="dxa"/>
            <w:shd w:val="clear" w:color="auto" w:fill="C6EFCE"/>
            <w:noWrap/>
            <w:vAlign w:val="center"/>
            <w:hideMark/>
          </w:tcPr>
          <w:p w14:paraId="1CB95FC2" w14:textId="77777777" w:rsidR="00154E32" w:rsidRDefault="00A43E04">
            <w:pPr>
              <w:pStyle w:val="P68B1DB1-Normal11"/>
              <w:spacing w:before="120" w:after="120"/>
              <w:jc w:val="center"/>
              <w:rPr>
                <w:rFonts w:eastAsia="Calibri"/>
                <w:noProof/>
              </w:rPr>
            </w:pPr>
            <w:r>
              <w:rPr>
                <w:noProof/>
              </w:rPr>
              <w:t>2026</w:t>
            </w:r>
          </w:p>
        </w:tc>
        <w:tc>
          <w:tcPr>
            <w:tcW w:w="5046" w:type="dxa"/>
            <w:shd w:val="clear" w:color="auto" w:fill="C6EFCE"/>
            <w:noWrap/>
            <w:vAlign w:val="center"/>
            <w:hideMark/>
          </w:tcPr>
          <w:p w14:paraId="0E9B559E" w14:textId="524B0A4C" w:rsidR="00154E32" w:rsidRDefault="00A43E04">
            <w:pPr>
              <w:pStyle w:val="P68B1DB1-Normal11"/>
              <w:spacing w:before="120" w:after="120"/>
              <w:rPr>
                <w:rFonts w:eastAsia="Calibri"/>
                <w:noProof/>
              </w:rPr>
            </w:pPr>
            <w:r>
              <w:rPr>
                <w:noProof/>
              </w:rPr>
              <w:t>Najmanj 5000 invalidov je prejelo prenovo domačega prostora in/ali zagotovitev naprav IKT. Storitve spremlja usposabljanje o digitalnih znanjih in spretnostih.</w:t>
            </w:r>
          </w:p>
          <w:p w14:paraId="78305474" w14:textId="6C2F69A7" w:rsidR="00154E32" w:rsidRDefault="00A43E04">
            <w:pPr>
              <w:pStyle w:val="P68B1DB1-Normal11"/>
              <w:spacing w:before="120" w:after="120"/>
              <w:rPr>
                <w:rFonts w:eastAsia="Calibri"/>
                <w:noProof/>
              </w:rPr>
            </w:pPr>
            <w:r>
              <w:rPr>
                <w:noProof/>
              </w:rPr>
              <w:t>Zajetje vsaj 5000 invalidov (1000 obstoječih in 4000 novih) kot prejemnikov ukrepov tehnične pomoči.</w:t>
            </w:r>
          </w:p>
          <w:p w14:paraId="7124DFF9" w14:textId="77777777" w:rsidR="00154E32" w:rsidRDefault="00A43E04">
            <w:pPr>
              <w:pStyle w:val="P68B1DB1-Normal11"/>
              <w:spacing w:before="120" w:after="120"/>
              <w:rPr>
                <w:rFonts w:eastAsia="Calibri"/>
                <w:noProof/>
              </w:rPr>
            </w:pPr>
            <w:r>
              <w:rPr>
                <w:noProof/>
              </w:rPr>
              <w:t>Opredelitev invalidov (na podlagi ICF) je določena v nacionalnem načrtu za nesamozadostne osebe iz leta 2019. Smernice za projekt samostojnosti invalidov so že pripravljene na podlagi prejšnjih projektov. Odobritev posebnega zakona št. 112/2016 in ustanovitev posebnega nacionalnega sklada za ukrep zajema celotno nacionalno ozemlje. K sodelovanju se pozovejo vsa socialna okrožja, strategija pa je, da takšni projekti odprejo pot za stabilizacijo storitev z uradnim priznanjem osnovne ravni socialne pomoči, ki se dodeli na celotnem ozemlju.</w:t>
            </w:r>
          </w:p>
        </w:tc>
      </w:tr>
      <w:tr w:rsidR="00154E32" w14:paraId="724EC830" w14:textId="77777777">
        <w:trPr>
          <w:trHeight w:val="309"/>
          <w:jc w:val="center"/>
        </w:trPr>
        <w:tc>
          <w:tcPr>
            <w:tcW w:w="1648" w:type="dxa"/>
            <w:shd w:val="clear" w:color="auto" w:fill="C6EFCE"/>
            <w:noWrap/>
            <w:vAlign w:val="center"/>
            <w:hideMark/>
          </w:tcPr>
          <w:p w14:paraId="1E9B8DBD" w14:textId="120B912F" w:rsidR="00154E32" w:rsidRDefault="00A43E04">
            <w:pPr>
              <w:pStyle w:val="P68B1DB1-Normal11"/>
              <w:spacing w:before="120"/>
              <w:jc w:val="center"/>
              <w:rPr>
                <w:rFonts w:eastAsia="Calibri"/>
                <w:noProof/>
              </w:rPr>
            </w:pPr>
            <w:r>
              <w:rPr>
                <w:noProof/>
              </w:rPr>
              <w:t>M5C2–9</w:t>
            </w:r>
          </w:p>
        </w:tc>
        <w:tc>
          <w:tcPr>
            <w:tcW w:w="1908" w:type="dxa"/>
            <w:shd w:val="clear" w:color="auto" w:fill="C6EFCE"/>
            <w:noWrap/>
            <w:vAlign w:val="center"/>
            <w:hideMark/>
          </w:tcPr>
          <w:p w14:paraId="50994C79" w14:textId="77777777" w:rsidR="00154E32" w:rsidRDefault="00A43E04">
            <w:pPr>
              <w:pStyle w:val="P68B1DB1-Normal11"/>
              <w:spacing w:before="120" w:after="120"/>
              <w:jc w:val="center"/>
              <w:rPr>
                <w:rFonts w:eastAsia="Calibri"/>
                <w:noProof/>
              </w:rPr>
            </w:pPr>
            <w:r>
              <w:rPr>
                <w:noProof/>
              </w:rPr>
              <w:t>Naložba 3 – Najprej stanovanjske in poštne postaje</w:t>
            </w:r>
          </w:p>
        </w:tc>
        <w:tc>
          <w:tcPr>
            <w:tcW w:w="1322" w:type="dxa"/>
            <w:shd w:val="clear" w:color="auto" w:fill="C6EFCE"/>
            <w:noWrap/>
            <w:vAlign w:val="center"/>
            <w:hideMark/>
          </w:tcPr>
          <w:p w14:paraId="24179C5E" w14:textId="77777777" w:rsidR="00154E32" w:rsidRDefault="00A43E04">
            <w:pPr>
              <w:pStyle w:val="P68B1DB1-Normal11"/>
              <w:spacing w:before="120" w:after="120"/>
              <w:jc w:val="center"/>
              <w:rPr>
                <w:rFonts w:eastAsia="Calibri"/>
                <w:noProof/>
              </w:rPr>
            </w:pPr>
            <w:r>
              <w:rPr>
                <w:noProof/>
              </w:rPr>
              <w:t>Mejnik</w:t>
            </w:r>
          </w:p>
        </w:tc>
        <w:tc>
          <w:tcPr>
            <w:tcW w:w="1395" w:type="dxa"/>
            <w:shd w:val="clear" w:color="auto" w:fill="C6EFCE"/>
            <w:noWrap/>
            <w:vAlign w:val="center"/>
            <w:hideMark/>
          </w:tcPr>
          <w:p w14:paraId="38D696E5" w14:textId="77777777" w:rsidR="00154E32" w:rsidRDefault="00A43E04">
            <w:pPr>
              <w:pStyle w:val="P68B1DB1-Normal11"/>
              <w:spacing w:before="120" w:after="120"/>
              <w:jc w:val="center"/>
              <w:rPr>
                <w:rFonts w:eastAsia="Calibri"/>
                <w:noProof/>
              </w:rPr>
            </w:pPr>
            <w:r>
              <w:rPr>
                <w:noProof/>
              </w:rPr>
              <w:t>Začetek veljavnosti operativnega načrta v zvezi s projekti v zvezi s stanovanjskimi prvimi in poštnimi postajami, v katerem so opredeljene zahteve za projekte, ki jih lahko predložijo lokalni subjekti, in objava razpisa za zbiranje predlogov</w:t>
            </w:r>
          </w:p>
        </w:tc>
        <w:tc>
          <w:tcPr>
            <w:tcW w:w="1476" w:type="dxa"/>
            <w:shd w:val="clear" w:color="auto" w:fill="C6EFCE"/>
            <w:noWrap/>
            <w:vAlign w:val="center"/>
            <w:hideMark/>
          </w:tcPr>
          <w:p w14:paraId="1B679361" w14:textId="77777777" w:rsidR="00154E32" w:rsidRDefault="00A43E04">
            <w:pPr>
              <w:pStyle w:val="P68B1DB1-Normal11"/>
              <w:spacing w:before="120" w:after="120"/>
              <w:jc w:val="center"/>
              <w:rPr>
                <w:rFonts w:eastAsia="Calibri"/>
                <w:noProof/>
              </w:rPr>
            </w:pPr>
            <w:r>
              <w:rPr>
                <w:noProof/>
              </w:rPr>
              <w:t>Določbe zakona o začetku veljavnosti operativnega načrta intervencij</w:t>
            </w:r>
          </w:p>
        </w:tc>
        <w:tc>
          <w:tcPr>
            <w:tcW w:w="1474" w:type="dxa"/>
            <w:shd w:val="clear" w:color="auto" w:fill="C6EFCE"/>
            <w:noWrap/>
            <w:vAlign w:val="center"/>
            <w:hideMark/>
          </w:tcPr>
          <w:p w14:paraId="6F8DAEF3" w14:textId="77777777" w:rsidR="00154E32" w:rsidRDefault="00A43E04">
            <w:pPr>
              <w:pStyle w:val="P68B1DB1-Normal11"/>
              <w:spacing w:before="120" w:after="120"/>
              <w:jc w:val="center"/>
              <w:rPr>
                <w:rFonts w:eastAsia="Calibri"/>
                <w:noProof/>
              </w:rPr>
            </w:pPr>
            <w:r>
              <w:rPr>
                <w:noProof/>
              </w:rPr>
              <w:t>JIH NI</w:t>
            </w:r>
          </w:p>
        </w:tc>
        <w:tc>
          <w:tcPr>
            <w:tcW w:w="1092" w:type="dxa"/>
            <w:shd w:val="clear" w:color="auto" w:fill="C6EFCE"/>
            <w:noWrap/>
            <w:vAlign w:val="center"/>
            <w:hideMark/>
          </w:tcPr>
          <w:p w14:paraId="297DA1C1" w14:textId="77777777" w:rsidR="00154E32" w:rsidRDefault="00A43E04">
            <w:pPr>
              <w:pStyle w:val="P68B1DB1-Normal11"/>
              <w:spacing w:before="120" w:after="120"/>
              <w:jc w:val="center"/>
              <w:rPr>
                <w:rFonts w:eastAsia="Calibri"/>
                <w:noProof/>
              </w:rPr>
            </w:pPr>
            <w:r>
              <w:rPr>
                <w:noProof/>
              </w:rPr>
              <w:t>JIH NI</w:t>
            </w:r>
          </w:p>
        </w:tc>
        <w:tc>
          <w:tcPr>
            <w:tcW w:w="775" w:type="dxa"/>
            <w:shd w:val="clear" w:color="auto" w:fill="C6EFCE"/>
            <w:noWrap/>
            <w:vAlign w:val="center"/>
            <w:hideMark/>
          </w:tcPr>
          <w:p w14:paraId="53B33E28" w14:textId="77777777" w:rsidR="00154E32" w:rsidRDefault="00A43E04">
            <w:pPr>
              <w:pStyle w:val="P68B1DB1-Normal11"/>
              <w:spacing w:before="120" w:after="120"/>
              <w:jc w:val="center"/>
              <w:rPr>
                <w:rFonts w:eastAsia="Calibri"/>
                <w:noProof/>
              </w:rPr>
            </w:pPr>
            <w:r>
              <w:rPr>
                <w:noProof/>
              </w:rPr>
              <w:t>JIH NI</w:t>
            </w:r>
          </w:p>
        </w:tc>
        <w:tc>
          <w:tcPr>
            <w:tcW w:w="1078" w:type="dxa"/>
            <w:shd w:val="clear" w:color="auto" w:fill="C6EFCE"/>
            <w:noWrap/>
            <w:vAlign w:val="center"/>
            <w:hideMark/>
          </w:tcPr>
          <w:p w14:paraId="1E646497" w14:textId="77777777" w:rsidR="00154E32" w:rsidRDefault="00A43E04">
            <w:pPr>
              <w:pStyle w:val="P68B1DB1-Normal11"/>
              <w:spacing w:before="120" w:after="120"/>
              <w:jc w:val="center"/>
              <w:rPr>
                <w:rFonts w:eastAsia="Calibri"/>
                <w:noProof/>
              </w:rPr>
            </w:pPr>
            <w:r>
              <w:rPr>
                <w:noProof/>
              </w:rPr>
              <w:t>ČETRTLETJE 1</w:t>
            </w:r>
          </w:p>
        </w:tc>
        <w:tc>
          <w:tcPr>
            <w:tcW w:w="755" w:type="dxa"/>
            <w:shd w:val="clear" w:color="auto" w:fill="C6EFCE"/>
            <w:noWrap/>
            <w:vAlign w:val="center"/>
            <w:hideMark/>
          </w:tcPr>
          <w:p w14:paraId="0C73C974" w14:textId="77777777" w:rsidR="00154E32" w:rsidRDefault="00A43E04">
            <w:pPr>
              <w:pStyle w:val="P68B1DB1-Normal11"/>
              <w:spacing w:before="120" w:after="120"/>
              <w:jc w:val="center"/>
              <w:rPr>
                <w:rFonts w:eastAsia="Calibri"/>
                <w:noProof/>
              </w:rPr>
            </w:pPr>
            <w:r>
              <w:rPr>
                <w:noProof/>
              </w:rPr>
              <w:t>2022</w:t>
            </w:r>
          </w:p>
        </w:tc>
        <w:tc>
          <w:tcPr>
            <w:tcW w:w="5046" w:type="dxa"/>
            <w:shd w:val="clear" w:color="auto" w:fill="C6EFCE"/>
            <w:noWrap/>
            <w:vAlign w:val="center"/>
            <w:hideMark/>
          </w:tcPr>
          <w:p w14:paraId="51041D63" w14:textId="77777777" w:rsidR="00154E32" w:rsidRDefault="00A43E04">
            <w:pPr>
              <w:pStyle w:val="P68B1DB1-Normal11"/>
              <w:spacing w:before="120" w:after="120"/>
              <w:rPr>
                <w:rFonts w:eastAsia="Calibri"/>
                <w:noProof/>
              </w:rPr>
            </w:pPr>
            <w:r>
              <w:rPr>
                <w:noProof/>
              </w:rPr>
              <w:t>V operativnem načrtu v zvezi s projekti v zvezi s stanovanjskimi prvimi in poštnimi postajami se opredelijo zahteve za projekte, ki jih lahko predložijo lokalni subjekti, in objavi razpis za zbiranje predlogov.</w:t>
            </w:r>
          </w:p>
          <w:p w14:paraId="25E84C4A" w14:textId="77777777" w:rsidR="00154E32" w:rsidRDefault="00A43E04">
            <w:pPr>
              <w:pStyle w:val="P68B1DB1-Normal11"/>
              <w:spacing w:before="120" w:after="120"/>
              <w:rPr>
                <w:rFonts w:eastAsia="Calibri"/>
                <w:noProof/>
              </w:rPr>
            </w:pPr>
            <w:r>
              <w:rPr>
                <w:noProof/>
              </w:rPr>
              <w:t>Projekti o stanovanjih na prvem mestu predvidevajo, da lokalni subjekti do 24 mesecev dajo na voljo stanovanja za posamezne posameznike, majhne skupine ali družine, po možnosti s prenovo stavb in prenovo državne lastnine. To dopolnjujejo razvojni programi in programi avtonomije.</w:t>
            </w:r>
          </w:p>
          <w:p w14:paraId="5BC366E2" w14:textId="77777777" w:rsidR="00154E32" w:rsidRDefault="00A43E04">
            <w:pPr>
              <w:pStyle w:val="P68B1DB1-Normal11"/>
              <w:spacing w:before="120" w:after="120"/>
              <w:rPr>
                <w:rFonts w:eastAsia="Calibri"/>
                <w:noProof/>
              </w:rPr>
            </w:pPr>
            <w:r>
              <w:rPr>
                <w:noProof/>
              </w:rPr>
              <w:t>Projekti o poštnih postajah predvidevajo razvoj centrov za storitve in vključevanje za brezdomce. To dopolnjujejo programi posredovanja zaposlitve v sodelovanju s centri za zaposlovanje.</w:t>
            </w:r>
          </w:p>
        </w:tc>
      </w:tr>
      <w:tr w:rsidR="00154E32" w14:paraId="4B9D7946" w14:textId="77777777">
        <w:trPr>
          <w:trHeight w:val="309"/>
          <w:jc w:val="center"/>
        </w:trPr>
        <w:tc>
          <w:tcPr>
            <w:tcW w:w="1648" w:type="dxa"/>
            <w:shd w:val="clear" w:color="auto" w:fill="C6EFCE"/>
            <w:noWrap/>
            <w:vAlign w:val="center"/>
            <w:hideMark/>
          </w:tcPr>
          <w:p w14:paraId="0DE04CD2" w14:textId="525818FB" w:rsidR="00154E32" w:rsidRDefault="00A43E04">
            <w:pPr>
              <w:pStyle w:val="P68B1DB1-Normal11"/>
              <w:spacing w:before="120"/>
              <w:jc w:val="center"/>
              <w:rPr>
                <w:rFonts w:eastAsia="Calibri"/>
                <w:noProof/>
              </w:rPr>
            </w:pPr>
            <w:r>
              <w:rPr>
                <w:noProof/>
              </w:rPr>
              <w:t>M5C2–10</w:t>
            </w:r>
          </w:p>
        </w:tc>
        <w:tc>
          <w:tcPr>
            <w:tcW w:w="1908" w:type="dxa"/>
            <w:shd w:val="clear" w:color="auto" w:fill="C6EFCE"/>
            <w:noWrap/>
            <w:vAlign w:val="center"/>
            <w:hideMark/>
          </w:tcPr>
          <w:p w14:paraId="70EFC763" w14:textId="77777777" w:rsidR="00154E32" w:rsidRDefault="00A43E04">
            <w:pPr>
              <w:pStyle w:val="P68B1DB1-Normal11"/>
              <w:spacing w:before="120" w:after="120"/>
              <w:jc w:val="center"/>
              <w:rPr>
                <w:rFonts w:eastAsia="Calibri"/>
                <w:noProof/>
              </w:rPr>
            </w:pPr>
            <w:r>
              <w:rPr>
                <w:noProof/>
              </w:rPr>
              <w:t>Naložba 3 – Najprej stanovanjske in poštne postaje</w:t>
            </w:r>
          </w:p>
        </w:tc>
        <w:tc>
          <w:tcPr>
            <w:tcW w:w="1322" w:type="dxa"/>
            <w:shd w:val="clear" w:color="auto" w:fill="C6EFCE"/>
            <w:noWrap/>
            <w:vAlign w:val="center"/>
            <w:hideMark/>
          </w:tcPr>
          <w:p w14:paraId="39C11C86" w14:textId="77777777" w:rsidR="00154E32" w:rsidRDefault="00A43E04">
            <w:pPr>
              <w:pStyle w:val="P68B1DB1-Normal11"/>
              <w:spacing w:before="120" w:after="120"/>
              <w:jc w:val="center"/>
              <w:rPr>
                <w:rFonts w:eastAsia="Calibri"/>
                <w:noProof/>
              </w:rPr>
            </w:pPr>
            <w:r>
              <w:rPr>
                <w:noProof/>
              </w:rPr>
              <w:t>Tarča</w:t>
            </w:r>
          </w:p>
        </w:tc>
        <w:tc>
          <w:tcPr>
            <w:tcW w:w="1395" w:type="dxa"/>
            <w:shd w:val="clear" w:color="auto" w:fill="C6EFCE"/>
            <w:noWrap/>
            <w:vAlign w:val="center"/>
            <w:hideMark/>
          </w:tcPr>
          <w:p w14:paraId="40700863" w14:textId="77777777" w:rsidR="00154E32" w:rsidRDefault="00A43E04">
            <w:pPr>
              <w:pStyle w:val="P68B1DB1-Normal11"/>
              <w:spacing w:before="120" w:after="120"/>
              <w:jc w:val="center"/>
              <w:rPr>
                <w:rFonts w:eastAsia="Calibri"/>
                <w:noProof/>
              </w:rPr>
            </w:pPr>
            <w:r>
              <w:rPr>
                <w:noProof/>
              </w:rPr>
              <w:t>Ljudje, ki živijo v hudem materialnem pomanjkanju, ki so jih prevzeli projekti o stanovanjih na prvem mestu za vsaj šest mesecev in poštnih postajah</w:t>
            </w:r>
          </w:p>
        </w:tc>
        <w:tc>
          <w:tcPr>
            <w:tcW w:w="1476" w:type="dxa"/>
            <w:shd w:val="clear" w:color="auto" w:fill="C6EFCE"/>
            <w:noWrap/>
            <w:vAlign w:val="center"/>
            <w:hideMark/>
          </w:tcPr>
          <w:p w14:paraId="24FE9149" w14:textId="77777777" w:rsidR="00154E32" w:rsidRDefault="00A43E04">
            <w:pPr>
              <w:pStyle w:val="P68B1DB1-Normal11"/>
              <w:spacing w:before="120" w:after="120"/>
              <w:jc w:val="center"/>
              <w:rPr>
                <w:rFonts w:eastAsia="Calibri"/>
                <w:noProof/>
              </w:rPr>
            </w:pPr>
            <w:r>
              <w:rPr>
                <w:noProof/>
              </w:rPr>
              <w:t>JIH NI</w:t>
            </w:r>
          </w:p>
        </w:tc>
        <w:tc>
          <w:tcPr>
            <w:tcW w:w="1474" w:type="dxa"/>
            <w:shd w:val="clear" w:color="auto" w:fill="C6EFCE"/>
            <w:noWrap/>
            <w:vAlign w:val="center"/>
            <w:hideMark/>
          </w:tcPr>
          <w:p w14:paraId="551876C2" w14:textId="77777777" w:rsidR="00154E32" w:rsidRDefault="00A43E04">
            <w:pPr>
              <w:pStyle w:val="P68B1DB1-Normal11"/>
              <w:spacing w:before="120" w:after="120"/>
              <w:jc w:val="center"/>
              <w:rPr>
                <w:rFonts w:eastAsia="Calibri"/>
                <w:noProof/>
              </w:rPr>
            </w:pPr>
            <w:r>
              <w:rPr>
                <w:noProof/>
              </w:rPr>
              <w:t>Število</w:t>
            </w:r>
          </w:p>
        </w:tc>
        <w:tc>
          <w:tcPr>
            <w:tcW w:w="1092" w:type="dxa"/>
            <w:shd w:val="clear" w:color="auto" w:fill="C6EFCE"/>
            <w:noWrap/>
            <w:vAlign w:val="center"/>
            <w:hideMark/>
          </w:tcPr>
          <w:p w14:paraId="2690D721" w14:textId="77777777" w:rsidR="00154E32" w:rsidRDefault="00A43E04">
            <w:pPr>
              <w:pStyle w:val="P68B1DB1-Normal11"/>
              <w:spacing w:before="120" w:after="120"/>
              <w:jc w:val="center"/>
              <w:rPr>
                <w:rFonts w:eastAsia="Calibri"/>
                <w:noProof/>
              </w:rPr>
            </w:pPr>
            <w:r>
              <w:rPr>
                <w:noProof/>
              </w:rPr>
              <w:t>0</w:t>
            </w:r>
          </w:p>
        </w:tc>
        <w:tc>
          <w:tcPr>
            <w:tcW w:w="775" w:type="dxa"/>
            <w:shd w:val="clear" w:color="auto" w:fill="C6EFCE"/>
            <w:noWrap/>
            <w:vAlign w:val="center"/>
            <w:hideMark/>
          </w:tcPr>
          <w:p w14:paraId="1D99E0FC" w14:textId="5ACFD6FD" w:rsidR="00154E32" w:rsidRDefault="00A43E04">
            <w:pPr>
              <w:pStyle w:val="P68B1DB1-Normal11"/>
              <w:spacing w:before="120" w:after="120"/>
              <w:jc w:val="center"/>
              <w:rPr>
                <w:rFonts w:eastAsia="Calibri"/>
                <w:noProof/>
              </w:rPr>
            </w:pPr>
            <w:r>
              <w:rPr>
                <w:noProof/>
              </w:rPr>
              <w:t>25 000</w:t>
            </w:r>
          </w:p>
        </w:tc>
        <w:tc>
          <w:tcPr>
            <w:tcW w:w="1078" w:type="dxa"/>
            <w:shd w:val="clear" w:color="auto" w:fill="C6EFCE"/>
            <w:noWrap/>
            <w:vAlign w:val="center"/>
            <w:hideMark/>
          </w:tcPr>
          <w:p w14:paraId="3358EEC7" w14:textId="77777777" w:rsidR="00154E32" w:rsidRDefault="00A43E04">
            <w:pPr>
              <w:pStyle w:val="P68B1DB1-Normal11"/>
              <w:spacing w:before="120" w:after="120"/>
              <w:jc w:val="center"/>
              <w:rPr>
                <w:rFonts w:eastAsia="Calibri"/>
                <w:noProof/>
              </w:rPr>
            </w:pPr>
            <w:r>
              <w:rPr>
                <w:noProof/>
              </w:rPr>
              <w:t>ČETRTLETJE 1</w:t>
            </w:r>
          </w:p>
        </w:tc>
        <w:tc>
          <w:tcPr>
            <w:tcW w:w="755" w:type="dxa"/>
            <w:shd w:val="clear" w:color="auto" w:fill="C6EFCE"/>
            <w:noWrap/>
            <w:vAlign w:val="center"/>
            <w:hideMark/>
          </w:tcPr>
          <w:p w14:paraId="75CD09DA" w14:textId="77777777" w:rsidR="00154E32" w:rsidRDefault="00A43E04">
            <w:pPr>
              <w:pStyle w:val="P68B1DB1-Normal11"/>
              <w:spacing w:before="120" w:after="120"/>
              <w:jc w:val="center"/>
              <w:rPr>
                <w:rFonts w:eastAsia="Calibri"/>
                <w:noProof/>
              </w:rPr>
            </w:pPr>
            <w:r>
              <w:rPr>
                <w:noProof/>
              </w:rPr>
              <w:t>2026</w:t>
            </w:r>
          </w:p>
        </w:tc>
        <w:tc>
          <w:tcPr>
            <w:tcW w:w="5046" w:type="dxa"/>
            <w:shd w:val="clear" w:color="auto" w:fill="C6EFCE"/>
            <w:noWrap/>
            <w:vAlign w:val="center"/>
            <w:hideMark/>
          </w:tcPr>
          <w:p w14:paraId="55FFEDED" w14:textId="5BF912F4" w:rsidR="00154E32" w:rsidRDefault="00A43E04">
            <w:pPr>
              <w:pStyle w:val="P68B1DB1-Normal11"/>
              <w:spacing w:before="120" w:after="120"/>
              <w:rPr>
                <w:rFonts w:eastAsia="Calibri"/>
                <w:noProof/>
              </w:rPr>
            </w:pPr>
            <w:r>
              <w:rPr>
                <w:noProof/>
              </w:rPr>
              <w:t>Skrbeti za vsaj 25000 ljudi, ki živijo v resni materialni prikrajšanosti, kot prejemnikov intervencij na prvi in poštni postaji.</w:t>
            </w:r>
          </w:p>
          <w:p w14:paraId="56576F25" w14:textId="68FF9463" w:rsidR="00154E32" w:rsidRDefault="00A43E04">
            <w:pPr>
              <w:pStyle w:val="P68B1DB1-Normal11"/>
              <w:spacing w:before="120" w:after="120"/>
              <w:rPr>
                <w:rFonts w:eastAsia="Calibri"/>
                <w:noProof/>
              </w:rPr>
            </w:pPr>
            <w:r>
              <w:rPr>
                <w:noProof/>
              </w:rPr>
              <w:t>Zadovoljivo izpolnjevanje cilja je odvisno tudi od zadovoljivega izpolnjevanja sekundarnega cilja: najmanj 3000 osebam se zagotovi začasna nastanitev za najmanj 6 mesecev v okviru projektov „Najprej stanovanje“, najmanj 22000 ljudem pa koristi od storitev, ki se ponujajo v okviru projektov poštnih postaj, ki jih izvaja socialno okrožje.</w:t>
            </w:r>
          </w:p>
          <w:p w14:paraId="734FB44E" w14:textId="77777777" w:rsidR="00154E32" w:rsidRDefault="00A43E04">
            <w:pPr>
              <w:pStyle w:val="P68B1DB1-Normal11"/>
              <w:spacing w:before="120" w:after="120"/>
              <w:rPr>
                <w:rFonts w:eastAsia="Calibri"/>
                <w:noProof/>
              </w:rPr>
            </w:pPr>
            <w:r>
              <w:rPr>
                <w:noProof/>
              </w:rPr>
              <w:t>Ljudje, ki trpijo hudo prikrajšanost, so opredeljeni na naslednji način: glej Linee di indirizzo per il contrasto alla grave emarginazione in Italia, ki jo je odobrila Conferenza Unificata il 11. maja 2015, in člen 5 letnega odloka o skladu za revščino za leto 2018, v katerem so (člen 5) za ta namen opredeljene kot a), ki živijo na ulici ali v negotovem zavetišču; b) z uporabo javnega orodja; C) gostujejo v gostiteljskih centrih za prikrajšane osebe; d) izstopajo iz objektov (vključno z zaporno kaznijo) in nimajo prostora za življenje.</w:t>
            </w:r>
          </w:p>
          <w:p w14:paraId="53C51AAE" w14:textId="77777777" w:rsidR="00154E32" w:rsidRDefault="00A43E04">
            <w:pPr>
              <w:pStyle w:val="P68B1DB1-Normal11"/>
              <w:spacing w:before="120" w:after="120"/>
              <w:rPr>
                <w:rFonts w:eastAsia="Calibri"/>
                <w:noProof/>
              </w:rPr>
            </w:pPr>
            <w:r>
              <w:rPr>
                <w:noProof/>
              </w:rPr>
              <w:t>Ukrep zajema celotno nacionalno ozemlje, vendar imajo prednost območja, kjer so težave z brezdomstvom in hudo revščino nujnejše (metropolitanska območja, pa tudi nekatera podeželska območja z velikim številom sezonskih delavcev, od katerih jih je veliko tujcev).</w:t>
            </w:r>
          </w:p>
        </w:tc>
      </w:tr>
    </w:tbl>
    <w:p w14:paraId="73425A21" w14:textId="77777777" w:rsidR="00154E32" w:rsidRDefault="00154E32">
      <w:pPr>
        <w:spacing w:before="120" w:after="120"/>
        <w:ind w:left="709"/>
        <w:jc w:val="both"/>
        <w:rPr>
          <w:noProof/>
        </w:rPr>
      </w:pPr>
    </w:p>
    <w:p w14:paraId="53888CD0" w14:textId="77777777" w:rsidR="00154E32" w:rsidRDefault="00154E32">
      <w:pPr>
        <w:spacing w:before="120" w:after="120"/>
        <w:ind w:left="709"/>
        <w:jc w:val="both"/>
        <w:rPr>
          <w:noProof/>
        </w:rPr>
      </w:pPr>
    </w:p>
    <w:p w14:paraId="388EE5E6" w14:textId="77777777" w:rsidR="00154E32" w:rsidRDefault="00154E32">
      <w:pPr>
        <w:spacing w:before="120" w:after="120"/>
        <w:ind w:left="709"/>
        <w:jc w:val="both"/>
        <w:rPr>
          <w:noProof/>
        </w:rPr>
      </w:pPr>
    </w:p>
    <w:p w14:paraId="5D167654" w14:textId="77777777" w:rsidR="00154E32" w:rsidRDefault="00154E32">
      <w:pPr>
        <w:framePr w:w="19845" w:wrap="auto" w:hAnchor="text"/>
        <w:spacing w:before="120" w:after="120"/>
        <w:ind w:left="709"/>
        <w:jc w:val="both"/>
        <w:rPr>
          <w:noProof/>
        </w:rPr>
        <w:sectPr w:rsidR="00154E32" w:rsidSect="000D3774">
          <w:headerReference w:type="even" r:id="rId308"/>
          <w:headerReference w:type="default" r:id="rId309"/>
          <w:footerReference w:type="even" r:id="rId310"/>
          <w:footerReference w:type="default" r:id="rId311"/>
          <w:headerReference w:type="first" r:id="rId312"/>
          <w:footerReference w:type="first" r:id="rId313"/>
          <w:pgSz w:w="19051" w:h="11907" w:orient="landscape" w:code="9"/>
          <w:pgMar w:top="720" w:right="720" w:bottom="426" w:left="720" w:header="709" w:footer="709" w:gutter="0"/>
          <w:cols w:space="720"/>
          <w:docGrid w:linePitch="360"/>
        </w:sectPr>
      </w:pPr>
    </w:p>
    <w:p w14:paraId="41C6632F" w14:textId="77777777" w:rsidR="00154E32" w:rsidRDefault="00A43E04">
      <w:pPr>
        <w:pStyle w:val="Heading3"/>
        <w:numPr>
          <w:ilvl w:val="2"/>
          <w:numId w:val="0"/>
        </w:numPr>
        <w:ind w:left="850" w:hanging="850"/>
        <w:rPr>
          <w:b/>
          <w:i w:val="0"/>
          <w:noProof/>
          <w:color w:val="4F81BD" w:themeColor="accent1"/>
          <w:u w:val="single"/>
        </w:rPr>
      </w:pPr>
      <w:r>
        <w:rPr>
          <w:b/>
          <w:i w:val="0"/>
          <w:noProof/>
          <w:u w:val="single"/>
        </w:rPr>
        <w:t xml:space="preserve">M.3. </w:t>
      </w:r>
      <w:r>
        <w:rPr>
          <w:noProof/>
        </w:rPr>
        <w:tab/>
      </w:r>
      <w:r>
        <w:rPr>
          <w:b/>
          <w:i w:val="0"/>
          <w:noProof/>
          <w:u w:val="single"/>
        </w:rPr>
        <w:t>Opis reform in naložb za posojilo</w:t>
      </w:r>
    </w:p>
    <w:p w14:paraId="5FBD3EED" w14:textId="77777777" w:rsidR="00154E32" w:rsidRDefault="00A43E04">
      <w:pPr>
        <w:pStyle w:val="P68B1DB1-Normal2"/>
        <w:spacing w:before="120" w:after="120"/>
        <w:jc w:val="both"/>
        <w:rPr>
          <w:noProof/>
          <w:u w:val="single"/>
        </w:rPr>
      </w:pPr>
      <w:r>
        <w:rPr>
          <w:noProof/>
        </w:rPr>
        <w:t>Naložba 4 – Naložbe v projekte oživljanja mest, katerih cilj je zmanjšati marginalizacijo in družbeno degradacijo</w:t>
      </w:r>
    </w:p>
    <w:p w14:paraId="7A23F3D1" w14:textId="45D7765C" w:rsidR="00154E32" w:rsidRDefault="00A43E04">
      <w:pPr>
        <w:spacing w:before="120" w:after="120"/>
        <w:jc w:val="both"/>
        <w:rPr>
          <w:rFonts w:eastAsia="Calibri"/>
          <w:noProof/>
        </w:rPr>
      </w:pPr>
      <w:r>
        <w:rPr>
          <w:noProof/>
        </w:rPr>
        <w:t xml:space="preserve">Cilj tega ukrepa je občinam zagotoviti nepovratna sredstva za naložbe v oživljanje mest, zmanjšati marginalizacijo in družbeno degradacijo ter izboljšati socialni in okoljski okvir mestnih središč ob polnem spoštovanju načela, da se ne škoduje bistveno. Cilj ukrepa je podpreti ponovno uporabo in ponovno delovanje javnih površin in obstoječih javnih stavbnih struktur za namene javnega interesa ter izboljšati mestno krajino s prenovo javnih stavb, s posebnim poudarkom na razvoju socialnih, kulturnih, izobraževalnih in didaktičnih storitev, vključno s športnimi dejavnostmi. </w:t>
      </w:r>
    </w:p>
    <w:p w14:paraId="504DA471" w14:textId="5EC99154" w:rsidR="00154E32" w:rsidRDefault="00A43E04">
      <w:pPr>
        <w:spacing w:before="120" w:after="120"/>
        <w:jc w:val="both"/>
        <w:rPr>
          <w:rFonts w:eastAsia="Calibri"/>
          <w:noProof/>
        </w:rPr>
      </w:pPr>
      <w:r>
        <w:rPr>
          <w:noProof/>
        </w:rPr>
        <w:t>Ukrep ne škoduje bistveno okoljskim ciljem v smislu člena 17 Uredbe (EU) 2020/852, ob upoštevanju opisa ukrepa in blažilnih ukrepov iz načrta za okrevanje in odpornost v skladu s tehničnimi smernicami za načelo, da se ne škoduje bistveno (2021/C58/01). Vključuje plinske kondenzacijske kotle, ki niso upravičeni do intervencij v okviru tega ukrepa.</w:t>
      </w:r>
    </w:p>
    <w:p w14:paraId="1CFC5A05" w14:textId="77777777" w:rsidR="00154E32" w:rsidRDefault="00A43E04">
      <w:pPr>
        <w:pStyle w:val="P68B1DB1-Normal2"/>
        <w:spacing w:before="120" w:after="120"/>
        <w:jc w:val="both"/>
        <w:rPr>
          <w:rFonts w:eastAsia="Calibri"/>
          <w:noProof/>
        </w:rPr>
      </w:pPr>
      <w:r>
        <w:rPr>
          <w:noProof/>
        </w:rPr>
        <w:t>Naložba 5 – Načrti za vključevanje mest (splošni projekti in preprečevanje nezakonitih naselbin za boj proti izkoriščanju delovne sile v kmetijstvu)</w:t>
      </w:r>
    </w:p>
    <w:p w14:paraId="181623A6" w14:textId="4AA32F57" w:rsidR="00154E32" w:rsidRDefault="00A43E04">
      <w:pPr>
        <w:spacing w:before="120" w:after="120"/>
        <w:jc w:val="both"/>
        <w:rPr>
          <w:rFonts w:eastAsiaTheme="minorEastAsia"/>
          <w:noProof/>
        </w:rPr>
      </w:pPr>
      <w:r>
        <w:rPr>
          <w:noProof/>
        </w:rPr>
        <w:t>Cilj tega ukrepa je obnoviti, oživiti in okrepiti velika degradirana mestna območja s posebnim poudarkom na ustvarjanju novih storitev za ljudi ter prekvalifikaciji dostopnosti in intermodalne infrastrukture, kar bo omogočilo preoblikovanje ranljivih območij v pametna in trajnostna mesta. Ta naložba vključuje dva ukrepa: (I) podpora splošnim projektom za izvajanje in izvajanje celostnih mestnih načrtov, kot so vzdrževanje in ponovna uporaba javnih površin in stavb, obnova in vrednotenje premalo izkoriščenih ali neuporabljenih mestnih območij itd. (II) posebni projekti za odpravo nezakonitih naselbin v kmetijstvu. Lokalne uprave se podprejo pri oblikovanju akcijskih načrtov za odpravo nezakonitih naselbin in zagotavljanje dostojnih stanovanjskih rešitev za delavce v kmetijskem sektorju. Poleg tega se v okviru te naložbe v sodelovanju z EIB ustanovi tematski sklad (sklad skladov), ki bo usmerjen v podporo zasebnim intervencijam pri pobudah za oživljanje mest. Ta sklad se uporablja za podporo podnebnemu in digitalnemu prehodu mestnih območij.</w:t>
      </w:r>
    </w:p>
    <w:p w14:paraId="246242C4" w14:textId="2E744A00" w:rsidR="00154E32" w:rsidRDefault="00A43E04">
      <w:pPr>
        <w:spacing w:before="120" w:after="120"/>
        <w:jc w:val="both"/>
        <w:rPr>
          <w:rFonts w:eastAsia="Calibri"/>
          <w:noProof/>
        </w:rPr>
      </w:pPr>
      <w:r>
        <w:rPr>
          <w:noProof/>
        </w:rPr>
        <w:t>Ukrep ne škoduje bistveno okoljskim ciljem v smislu člena 17 Uredbe (EU) 2020/852, ob upoštevanju opisa ukrepa in blažilnih ukrepov iz načrta za okrevanje in odpornost v skladu s tehničnimi smernicami za načelo, da se ne škoduje bistveno (2021/C58/01). Vključuje plinske kondenzacijske kotle, ki niso upravičeni do intervencij v okviru tega ukrepa.</w:t>
      </w:r>
    </w:p>
    <w:p w14:paraId="1400A99B" w14:textId="77777777" w:rsidR="00154E32" w:rsidRDefault="00A43E04">
      <w:pPr>
        <w:pStyle w:val="P68B1DB1-Normal2"/>
        <w:spacing w:before="120" w:after="120"/>
        <w:jc w:val="both"/>
        <w:rPr>
          <w:rFonts w:eastAsia="Calibri"/>
          <w:noProof/>
        </w:rPr>
      </w:pPr>
      <w:r>
        <w:rPr>
          <w:noProof/>
        </w:rPr>
        <w:t>Naložba 6 – Inovativni načrt za kakovost stanovanj</w:t>
      </w:r>
    </w:p>
    <w:p w14:paraId="78776BCF" w14:textId="77777777" w:rsidR="00154E32" w:rsidRDefault="00A43E04">
      <w:pPr>
        <w:spacing w:before="120" w:after="120"/>
        <w:jc w:val="both"/>
        <w:rPr>
          <w:rFonts w:eastAsiaTheme="minorEastAsia"/>
          <w:noProof/>
        </w:rPr>
      </w:pPr>
      <w:r>
        <w:rPr>
          <w:noProof/>
        </w:rPr>
        <w:t xml:space="preserve">Cilj tega ukrepa je zgraditi nove javne stanovanjske nastanitve in ponovno razviti degradirana območja, pri čemer se je treba osredotočiti predvsem na zelene inovacije in trajnostnost. Naložba zagotavlja podporo za: (I) preoblikovanje, reorganizacija in povečanje ponudbe za javna stanovanja; (II) obnavljati območja, prostore ter javne in zasebne nepremičnine; (III) izboljšanje dostopnosti in varnosti mestnih območij ter zagotavljanja storitev; (IV) razvoj participativnih in inovativnih modelov upravljanja v podporo socialni in mestni blaginji. </w:t>
      </w:r>
    </w:p>
    <w:p w14:paraId="1478192D" w14:textId="77777777" w:rsidR="00154E32" w:rsidRDefault="00A43E04">
      <w:pPr>
        <w:pStyle w:val="P68B1DB1-Normal2"/>
        <w:spacing w:before="120" w:after="120"/>
        <w:jc w:val="both"/>
        <w:rPr>
          <w:rFonts w:eastAsia="Calibri"/>
          <w:noProof/>
        </w:rPr>
      </w:pPr>
      <w:r>
        <w:rPr>
          <w:noProof/>
        </w:rPr>
        <w:t>Naložba 7 – Šport in socialna vključenost</w:t>
      </w:r>
    </w:p>
    <w:p w14:paraId="47A87FD6" w14:textId="5DF483B6" w:rsidR="00154E32" w:rsidRDefault="00A43E04">
      <w:pPr>
        <w:spacing w:before="120" w:after="120"/>
        <w:jc w:val="both"/>
        <w:rPr>
          <w:rFonts w:eastAsia="Calibri"/>
          <w:noProof/>
        </w:rPr>
      </w:pPr>
      <w:r>
        <w:rPr>
          <w:noProof/>
        </w:rPr>
        <w:t xml:space="preserve">Cilj tega ukrepa je obnoviti mestna območja s poudarkom na športnih objektih, da se spodbudita socialna vključenost in vključevanje, zlasti na najbolj ogroženih območjih Italije. Financirani projekti podpirajo: (I) gradnja in obnova športnih objektov, ki se nahajajo na prikrajšanih območjih države, vključno z metropolitanskimi predmestji; (II) distribucijo športne opreme za območja z omejenimi možnostmi; (III) dokončanje in prilagoditev obstoječih športnih objektov, kot so: (na primer: funkcionalna obnova, prestrukturiranje, izredno vzdrževanje, odprava arhitekturnih ovir in energetska učinkovitost). </w:t>
      </w:r>
    </w:p>
    <w:p w14:paraId="263D2177" w14:textId="77777777" w:rsidR="00154E32" w:rsidRDefault="00A43E04">
      <w:pPr>
        <w:pStyle w:val="Heading3"/>
        <w:numPr>
          <w:ilvl w:val="2"/>
          <w:numId w:val="0"/>
        </w:numPr>
        <w:ind w:left="850" w:hanging="850"/>
        <w:rPr>
          <w:b/>
          <w:i w:val="0"/>
          <w:noProof/>
          <w:u w:val="single"/>
        </w:rPr>
      </w:pPr>
      <w:r>
        <w:rPr>
          <w:b/>
          <w:i w:val="0"/>
          <w:noProof/>
          <w:u w:val="single"/>
        </w:rPr>
        <w:t xml:space="preserve">M.4. </w:t>
      </w:r>
      <w:r>
        <w:rPr>
          <w:noProof/>
        </w:rPr>
        <w:tab/>
      </w:r>
      <w:r>
        <w:rPr>
          <w:b/>
          <w:i w:val="0"/>
          <w:noProof/>
          <w:u w:val="single"/>
        </w:rPr>
        <w:t>Mejniki, cilji, kazalniki in časovni razpored za spremljanje in izvajanje posojila</w:t>
      </w:r>
    </w:p>
    <w:p w14:paraId="12399B37" w14:textId="77777777" w:rsidR="00154E32" w:rsidRDefault="00A43E04">
      <w:pPr>
        <w:pStyle w:val="P68B1DB1-Normal34"/>
        <w:spacing w:before="120" w:after="120"/>
        <w:ind w:left="709"/>
        <w:jc w:val="both"/>
        <w:rPr>
          <w:noProof/>
        </w:rPr>
      </w:pPr>
      <w:r>
        <w:rPr>
          <w:noProof/>
        </w:rPr>
        <w:t xml:space="preserve"> </w:t>
      </w:r>
    </w:p>
    <w:p w14:paraId="47043D4F" w14:textId="77777777" w:rsidR="00154E32" w:rsidRDefault="00154E32">
      <w:pPr>
        <w:spacing w:before="120" w:after="120"/>
        <w:ind w:left="709"/>
        <w:contextualSpacing/>
        <w:jc w:val="both"/>
        <w:rPr>
          <w:noProof/>
        </w:rPr>
        <w:sectPr w:rsidR="00154E32" w:rsidSect="000D3774">
          <w:headerReference w:type="even" r:id="rId314"/>
          <w:headerReference w:type="default" r:id="rId315"/>
          <w:footerReference w:type="even" r:id="rId316"/>
          <w:footerReference w:type="default" r:id="rId317"/>
          <w:headerReference w:type="first" r:id="rId318"/>
          <w:footerReference w:type="first" r:id="rId319"/>
          <w:pgSz w:w="11907" w:h="16839"/>
          <w:pgMar w:top="1134" w:right="1417" w:bottom="1134" w:left="1417" w:header="709" w:footer="709" w:gutter="0"/>
          <w:cols w:space="720"/>
          <w:docGrid w:linePitch="360"/>
        </w:sectPr>
      </w:pPr>
    </w:p>
    <w:tbl>
      <w:tblPr>
        <w:tblW w:w="5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775"/>
        <w:gridCol w:w="1251"/>
        <w:gridCol w:w="1761"/>
        <w:gridCol w:w="1761"/>
        <w:gridCol w:w="1666"/>
        <w:gridCol w:w="1099"/>
        <w:gridCol w:w="1333"/>
        <w:gridCol w:w="1255"/>
        <w:gridCol w:w="681"/>
        <w:gridCol w:w="3802"/>
      </w:tblGrid>
      <w:tr w:rsidR="00154E32" w14:paraId="009C2F92" w14:textId="77777777">
        <w:trPr>
          <w:trHeight w:val="1190"/>
          <w:tblHeader/>
          <w:jc w:val="center"/>
        </w:trPr>
        <w:tc>
          <w:tcPr>
            <w:tcW w:w="384" w:type="pct"/>
            <w:vMerge w:val="restart"/>
            <w:shd w:val="clear" w:color="auto" w:fill="BDD7EE"/>
            <w:vAlign w:val="center"/>
            <w:hideMark/>
          </w:tcPr>
          <w:p w14:paraId="047F2A55" w14:textId="77777777" w:rsidR="00154E32" w:rsidRDefault="00A43E04">
            <w:pPr>
              <w:pStyle w:val="P68B1DB1-Normal33"/>
              <w:jc w:val="center"/>
              <w:rPr>
                <w:noProof/>
              </w:rPr>
            </w:pPr>
            <w:r>
              <w:rPr>
                <w:noProof/>
              </w:rPr>
              <w:t>Zaporedna številka</w:t>
            </w:r>
          </w:p>
        </w:tc>
        <w:tc>
          <w:tcPr>
            <w:tcW w:w="509" w:type="pct"/>
            <w:vMerge w:val="restart"/>
            <w:shd w:val="clear" w:color="auto" w:fill="BDD7EE"/>
            <w:vAlign w:val="center"/>
            <w:hideMark/>
          </w:tcPr>
          <w:p w14:paraId="1D87BD5F" w14:textId="77777777" w:rsidR="00154E32" w:rsidRDefault="00A43E04">
            <w:pPr>
              <w:pStyle w:val="P68B1DB1-Normal33"/>
              <w:jc w:val="center"/>
              <w:rPr>
                <w:noProof/>
              </w:rPr>
            </w:pPr>
            <w:r>
              <w:rPr>
                <w:noProof/>
              </w:rPr>
              <w:t>Povezani ukrep (reforma ali naložba)</w:t>
            </w:r>
          </w:p>
        </w:tc>
        <w:tc>
          <w:tcPr>
            <w:tcW w:w="361" w:type="pct"/>
            <w:vMerge w:val="restart"/>
            <w:shd w:val="clear" w:color="auto" w:fill="BDD7EE"/>
            <w:vAlign w:val="center"/>
            <w:hideMark/>
          </w:tcPr>
          <w:p w14:paraId="7B78ABB7" w14:textId="77777777" w:rsidR="00154E32" w:rsidRDefault="00A43E04">
            <w:pPr>
              <w:pStyle w:val="P68B1DB1-Normal33"/>
              <w:jc w:val="center"/>
              <w:rPr>
                <w:noProof/>
              </w:rPr>
            </w:pPr>
            <w:r>
              <w:rPr>
                <w:noProof/>
              </w:rPr>
              <w:t>Mejnik/cilj</w:t>
            </w:r>
          </w:p>
        </w:tc>
        <w:tc>
          <w:tcPr>
            <w:tcW w:w="505" w:type="pct"/>
            <w:vMerge w:val="restart"/>
            <w:shd w:val="clear" w:color="auto" w:fill="BDD7EE"/>
            <w:vAlign w:val="center"/>
            <w:hideMark/>
          </w:tcPr>
          <w:p w14:paraId="5F609340" w14:textId="77777777" w:rsidR="00154E32" w:rsidRDefault="00A43E04">
            <w:pPr>
              <w:pStyle w:val="P68B1DB1-Normal33"/>
              <w:jc w:val="center"/>
              <w:rPr>
                <w:noProof/>
              </w:rPr>
            </w:pPr>
            <w:r>
              <w:rPr>
                <w:noProof/>
              </w:rPr>
              <w:t>Ime</w:t>
            </w:r>
          </w:p>
        </w:tc>
        <w:tc>
          <w:tcPr>
            <w:tcW w:w="505" w:type="pct"/>
            <w:vMerge w:val="restart"/>
            <w:shd w:val="clear" w:color="auto" w:fill="BDD7EE"/>
            <w:vAlign w:val="center"/>
            <w:hideMark/>
          </w:tcPr>
          <w:p w14:paraId="16FDDD30" w14:textId="77777777" w:rsidR="00154E32" w:rsidRDefault="00A43E04">
            <w:pPr>
              <w:pStyle w:val="P68B1DB1-Normal35"/>
              <w:jc w:val="center"/>
              <w:rPr>
                <w:b/>
                <w:noProof/>
              </w:rPr>
            </w:pPr>
            <w:r>
              <w:rPr>
                <w:b/>
                <w:noProof/>
              </w:rPr>
              <w:t xml:space="preserve">Kvalitativni kazalniki </w:t>
            </w:r>
            <w:r>
              <w:rPr>
                <w:noProof/>
              </w:rPr>
              <w:t xml:space="preserve"> za mejnike </w:t>
            </w:r>
          </w:p>
        </w:tc>
        <w:tc>
          <w:tcPr>
            <w:tcW w:w="1180" w:type="pct"/>
            <w:gridSpan w:val="3"/>
            <w:shd w:val="clear" w:color="auto" w:fill="BDD7EE"/>
            <w:vAlign w:val="center"/>
            <w:hideMark/>
          </w:tcPr>
          <w:p w14:paraId="241B333C" w14:textId="77777777" w:rsidR="00154E32" w:rsidRDefault="00A43E04">
            <w:pPr>
              <w:pStyle w:val="P68B1DB1-Normal35"/>
              <w:jc w:val="center"/>
              <w:rPr>
                <w:b/>
                <w:noProof/>
              </w:rPr>
            </w:pPr>
            <w:r>
              <w:rPr>
                <w:b/>
                <w:noProof/>
              </w:rPr>
              <w:t xml:space="preserve">Kvantitativni kazalniki </w:t>
            </w:r>
            <w:r>
              <w:rPr>
                <w:noProof/>
              </w:rPr>
              <w:t xml:space="preserve"> </w:t>
            </w:r>
            <w:r>
              <w:rPr>
                <w:b/>
                <w:noProof/>
              </w:rPr>
              <w:t>(za ciljne vrednosti)</w:t>
            </w:r>
          </w:p>
        </w:tc>
        <w:tc>
          <w:tcPr>
            <w:tcW w:w="475" w:type="pct"/>
            <w:gridSpan w:val="2"/>
            <w:shd w:val="clear" w:color="auto" w:fill="BDD7EE"/>
            <w:vAlign w:val="center"/>
            <w:hideMark/>
          </w:tcPr>
          <w:p w14:paraId="4289527F" w14:textId="77777777" w:rsidR="00154E32" w:rsidRDefault="00A43E04">
            <w:pPr>
              <w:pStyle w:val="P68B1DB1-Normal33"/>
              <w:jc w:val="center"/>
              <w:rPr>
                <w:noProof/>
              </w:rPr>
            </w:pPr>
            <w:r>
              <w:rPr>
                <w:noProof/>
              </w:rPr>
              <w:t>Okvirni časovni razpored za dokončanje</w:t>
            </w:r>
          </w:p>
        </w:tc>
        <w:tc>
          <w:tcPr>
            <w:tcW w:w="1081" w:type="pct"/>
            <w:vMerge w:val="restart"/>
            <w:shd w:val="clear" w:color="auto" w:fill="BDD7EE"/>
            <w:vAlign w:val="center"/>
            <w:hideMark/>
          </w:tcPr>
          <w:p w14:paraId="292EB9D7" w14:textId="6C7B00FE" w:rsidR="00154E32" w:rsidRDefault="00A43E04">
            <w:pPr>
              <w:pStyle w:val="P68B1DB1-Normal33"/>
              <w:jc w:val="center"/>
              <w:rPr>
                <w:noProof/>
              </w:rPr>
            </w:pPr>
            <w:r>
              <w:rPr>
                <w:noProof/>
              </w:rPr>
              <w:t>Opis vsakega mejnika in cilja</w:t>
            </w:r>
          </w:p>
        </w:tc>
      </w:tr>
      <w:tr w:rsidR="00154E32" w14:paraId="1C2DF2E4" w14:textId="77777777">
        <w:trPr>
          <w:trHeight w:val="610"/>
          <w:jc w:val="center"/>
        </w:trPr>
        <w:tc>
          <w:tcPr>
            <w:tcW w:w="384" w:type="pct"/>
            <w:vMerge/>
            <w:vAlign w:val="center"/>
            <w:hideMark/>
          </w:tcPr>
          <w:p w14:paraId="02D9ABF1" w14:textId="77777777" w:rsidR="00154E32" w:rsidRDefault="00154E32">
            <w:pPr>
              <w:jc w:val="center"/>
              <w:rPr>
                <w:rFonts w:ascii="Arial Narrow" w:hAnsi="Arial Narrow"/>
                <w:b/>
                <w:noProof/>
                <w:color w:val="000000"/>
                <w:sz w:val="20"/>
              </w:rPr>
            </w:pPr>
          </w:p>
        </w:tc>
        <w:tc>
          <w:tcPr>
            <w:tcW w:w="509" w:type="pct"/>
            <w:vMerge/>
            <w:vAlign w:val="center"/>
            <w:hideMark/>
          </w:tcPr>
          <w:p w14:paraId="73A5DCFE" w14:textId="77777777" w:rsidR="00154E32" w:rsidRDefault="00154E32">
            <w:pPr>
              <w:jc w:val="center"/>
              <w:rPr>
                <w:rFonts w:ascii="Arial Narrow" w:hAnsi="Arial Narrow"/>
                <w:b/>
                <w:noProof/>
                <w:color w:val="000000"/>
                <w:sz w:val="20"/>
              </w:rPr>
            </w:pPr>
          </w:p>
        </w:tc>
        <w:tc>
          <w:tcPr>
            <w:tcW w:w="361" w:type="pct"/>
            <w:vMerge/>
            <w:vAlign w:val="center"/>
            <w:hideMark/>
          </w:tcPr>
          <w:p w14:paraId="3D1BFA90" w14:textId="77777777" w:rsidR="00154E32" w:rsidRDefault="00154E32">
            <w:pPr>
              <w:jc w:val="center"/>
              <w:rPr>
                <w:rFonts w:ascii="Arial Narrow" w:hAnsi="Arial Narrow"/>
                <w:b/>
                <w:noProof/>
                <w:color w:val="000000"/>
                <w:sz w:val="20"/>
              </w:rPr>
            </w:pPr>
          </w:p>
        </w:tc>
        <w:tc>
          <w:tcPr>
            <w:tcW w:w="505" w:type="pct"/>
            <w:vMerge/>
            <w:vAlign w:val="center"/>
            <w:hideMark/>
          </w:tcPr>
          <w:p w14:paraId="75684265" w14:textId="77777777" w:rsidR="00154E32" w:rsidRDefault="00154E32">
            <w:pPr>
              <w:jc w:val="center"/>
              <w:rPr>
                <w:rFonts w:ascii="Arial Narrow" w:hAnsi="Arial Narrow"/>
                <w:b/>
                <w:noProof/>
                <w:color w:val="000000"/>
                <w:sz w:val="20"/>
              </w:rPr>
            </w:pPr>
          </w:p>
        </w:tc>
        <w:tc>
          <w:tcPr>
            <w:tcW w:w="505" w:type="pct"/>
            <w:vMerge/>
            <w:vAlign w:val="center"/>
            <w:hideMark/>
          </w:tcPr>
          <w:p w14:paraId="3BC825F6" w14:textId="77777777" w:rsidR="00154E32" w:rsidRDefault="00154E32">
            <w:pPr>
              <w:jc w:val="center"/>
              <w:rPr>
                <w:rFonts w:ascii="Arial Narrow" w:hAnsi="Arial Narrow"/>
                <w:b/>
                <w:noProof/>
                <w:color w:val="000000"/>
                <w:sz w:val="20"/>
              </w:rPr>
            </w:pPr>
          </w:p>
        </w:tc>
        <w:tc>
          <w:tcPr>
            <w:tcW w:w="478" w:type="pct"/>
            <w:shd w:val="clear" w:color="auto" w:fill="BDD7EE"/>
            <w:vAlign w:val="center"/>
            <w:hideMark/>
          </w:tcPr>
          <w:p w14:paraId="08651F38" w14:textId="77777777" w:rsidR="00154E32" w:rsidRDefault="00A43E04">
            <w:pPr>
              <w:pStyle w:val="P68B1DB1-Normal33"/>
              <w:jc w:val="center"/>
              <w:rPr>
                <w:noProof/>
              </w:rPr>
            </w:pPr>
            <w:r>
              <w:rPr>
                <w:noProof/>
              </w:rPr>
              <w:t>Merska enota</w:t>
            </w:r>
          </w:p>
        </w:tc>
        <w:tc>
          <w:tcPr>
            <w:tcW w:w="318" w:type="pct"/>
            <w:shd w:val="clear" w:color="auto" w:fill="BDD7EE"/>
            <w:vAlign w:val="center"/>
            <w:hideMark/>
          </w:tcPr>
          <w:p w14:paraId="2A6B5A72" w14:textId="77777777" w:rsidR="00154E32" w:rsidRDefault="00A43E04">
            <w:pPr>
              <w:pStyle w:val="P68B1DB1-Normal33"/>
              <w:jc w:val="center"/>
              <w:rPr>
                <w:noProof/>
              </w:rPr>
            </w:pPr>
            <w:r>
              <w:rPr>
                <w:noProof/>
              </w:rPr>
              <w:t>Izhodišče</w:t>
            </w:r>
          </w:p>
        </w:tc>
        <w:tc>
          <w:tcPr>
            <w:tcW w:w="384" w:type="pct"/>
            <w:shd w:val="clear" w:color="auto" w:fill="BDD7EE"/>
            <w:vAlign w:val="center"/>
            <w:hideMark/>
          </w:tcPr>
          <w:p w14:paraId="73799C9B" w14:textId="77777777" w:rsidR="00154E32" w:rsidRDefault="00A43E04">
            <w:pPr>
              <w:pStyle w:val="P68B1DB1-Normal33"/>
              <w:jc w:val="center"/>
              <w:rPr>
                <w:noProof/>
              </w:rPr>
            </w:pPr>
            <w:r>
              <w:rPr>
                <w:noProof/>
              </w:rPr>
              <w:t>Cilj</w:t>
            </w:r>
          </w:p>
        </w:tc>
        <w:tc>
          <w:tcPr>
            <w:tcW w:w="275" w:type="pct"/>
            <w:shd w:val="clear" w:color="auto" w:fill="BDD7EE"/>
            <w:vAlign w:val="center"/>
            <w:hideMark/>
          </w:tcPr>
          <w:p w14:paraId="1B79D44E" w14:textId="77777777" w:rsidR="00154E32" w:rsidRDefault="00A43E04">
            <w:pPr>
              <w:pStyle w:val="P68B1DB1-Normal33"/>
              <w:jc w:val="center"/>
              <w:rPr>
                <w:noProof/>
              </w:rPr>
            </w:pPr>
            <w:r>
              <w:rPr>
                <w:noProof/>
              </w:rPr>
              <w:t>Četrtletje</w:t>
            </w:r>
          </w:p>
        </w:tc>
        <w:tc>
          <w:tcPr>
            <w:tcW w:w="200" w:type="pct"/>
            <w:shd w:val="clear" w:color="auto" w:fill="BDD7EE"/>
            <w:vAlign w:val="center"/>
            <w:hideMark/>
          </w:tcPr>
          <w:p w14:paraId="2BD280B0" w14:textId="77777777" w:rsidR="00154E32" w:rsidRDefault="00A43E04">
            <w:pPr>
              <w:pStyle w:val="P68B1DB1-Normal33"/>
              <w:jc w:val="center"/>
              <w:rPr>
                <w:noProof/>
              </w:rPr>
            </w:pPr>
            <w:r>
              <w:rPr>
                <w:noProof/>
              </w:rPr>
              <w:t>Leto</w:t>
            </w:r>
          </w:p>
        </w:tc>
        <w:tc>
          <w:tcPr>
            <w:tcW w:w="1081" w:type="pct"/>
            <w:vMerge/>
            <w:shd w:val="clear" w:color="auto" w:fill="BDD7EE"/>
            <w:vAlign w:val="center"/>
            <w:hideMark/>
          </w:tcPr>
          <w:p w14:paraId="459FBD4C" w14:textId="0CDF16D9" w:rsidR="00154E32" w:rsidRDefault="00154E32">
            <w:pPr>
              <w:rPr>
                <w:rFonts w:ascii="Arial Narrow" w:hAnsi="Arial Narrow"/>
                <w:b/>
                <w:noProof/>
                <w:color w:val="000000"/>
                <w:sz w:val="20"/>
              </w:rPr>
            </w:pPr>
          </w:p>
        </w:tc>
      </w:tr>
      <w:tr w:rsidR="00154E32" w14:paraId="1053F80E" w14:textId="77777777">
        <w:trPr>
          <w:trHeight w:val="20"/>
          <w:jc w:val="center"/>
        </w:trPr>
        <w:tc>
          <w:tcPr>
            <w:tcW w:w="384" w:type="pct"/>
            <w:shd w:val="clear" w:color="auto" w:fill="C6EFCE"/>
            <w:vAlign w:val="center"/>
            <w:hideMark/>
          </w:tcPr>
          <w:p w14:paraId="29CBC5FC" w14:textId="77777777" w:rsidR="00154E32" w:rsidRDefault="00A43E04">
            <w:pPr>
              <w:pStyle w:val="P68B1DB1-Normal11"/>
              <w:spacing w:before="120" w:after="120"/>
              <w:jc w:val="center"/>
              <w:rPr>
                <w:rFonts w:eastAsia="Calibri"/>
                <w:noProof/>
              </w:rPr>
            </w:pPr>
            <w:r>
              <w:rPr>
                <w:noProof/>
              </w:rPr>
              <w:t>M5C2–11</w:t>
            </w:r>
          </w:p>
        </w:tc>
        <w:tc>
          <w:tcPr>
            <w:tcW w:w="509" w:type="pct"/>
            <w:shd w:val="clear" w:color="auto" w:fill="C6EFCE"/>
            <w:vAlign w:val="center"/>
            <w:hideMark/>
          </w:tcPr>
          <w:p w14:paraId="09770E05" w14:textId="77777777" w:rsidR="00154E32" w:rsidRDefault="00A43E04">
            <w:pPr>
              <w:pStyle w:val="P68B1DB1-Normal11"/>
              <w:spacing w:before="120" w:after="120"/>
              <w:jc w:val="center"/>
              <w:rPr>
                <w:rFonts w:eastAsia="Calibri"/>
                <w:noProof/>
              </w:rPr>
            </w:pPr>
            <w:r>
              <w:rPr>
                <w:noProof/>
              </w:rPr>
              <w:t>Naložba 4 – Naložbe v projekte oživljanja mest, katerih cilj je zmanjšati marginalizacijo in družbeno degradacijo</w:t>
            </w:r>
          </w:p>
        </w:tc>
        <w:tc>
          <w:tcPr>
            <w:tcW w:w="361" w:type="pct"/>
            <w:shd w:val="clear" w:color="auto" w:fill="C6EFCE"/>
            <w:vAlign w:val="center"/>
            <w:hideMark/>
          </w:tcPr>
          <w:p w14:paraId="37619582" w14:textId="77777777" w:rsidR="00154E32" w:rsidRDefault="00A43E04">
            <w:pPr>
              <w:pStyle w:val="P68B1DB1-Normal11"/>
              <w:spacing w:before="120" w:after="120"/>
              <w:jc w:val="center"/>
              <w:rPr>
                <w:rFonts w:eastAsia="Calibri"/>
                <w:noProof/>
              </w:rPr>
            </w:pPr>
            <w:r>
              <w:rPr>
                <w:noProof/>
              </w:rPr>
              <w:t>Mejnik</w:t>
            </w:r>
          </w:p>
        </w:tc>
        <w:tc>
          <w:tcPr>
            <w:tcW w:w="505" w:type="pct"/>
            <w:shd w:val="clear" w:color="auto" w:fill="C6EFCE"/>
            <w:vAlign w:val="center"/>
            <w:hideMark/>
          </w:tcPr>
          <w:p w14:paraId="35B15ED7" w14:textId="77777777" w:rsidR="00154E32" w:rsidRDefault="00A43E04">
            <w:pPr>
              <w:pStyle w:val="P68B1DB1-Normal11"/>
              <w:spacing w:before="120" w:after="120"/>
              <w:jc w:val="center"/>
              <w:rPr>
                <w:rFonts w:eastAsia="Calibri"/>
                <w:noProof/>
              </w:rPr>
            </w:pPr>
            <w:r>
              <w:rPr>
                <w:noProof/>
              </w:rPr>
              <w:t>Oddaja vseh javnih naročil za naložbe v oživljanje mest za zmanjšanje marginalizacije in družbene degradacije s projekti v skladu s cilji mehanizma za okrevanje in odpornost, vključno z načelom, da se ne škoduje bistveno</w:t>
            </w:r>
          </w:p>
        </w:tc>
        <w:tc>
          <w:tcPr>
            <w:tcW w:w="505" w:type="pct"/>
            <w:shd w:val="clear" w:color="auto" w:fill="C6EFCE"/>
            <w:vAlign w:val="center"/>
            <w:hideMark/>
          </w:tcPr>
          <w:p w14:paraId="709023F0" w14:textId="77777777" w:rsidR="00154E32" w:rsidRDefault="00A43E04">
            <w:pPr>
              <w:pStyle w:val="P68B1DB1-Normal11"/>
              <w:spacing w:before="120" w:after="120"/>
              <w:jc w:val="center"/>
              <w:rPr>
                <w:rFonts w:eastAsia="Calibri"/>
                <w:noProof/>
              </w:rPr>
            </w:pPr>
            <w:r>
              <w:rPr>
                <w:noProof/>
              </w:rPr>
              <w:t>Priglasitev vseh javnih naročil za naložbe v oživljanje mest za zmanjšanje marginalizacije in družbene degradacije s projekti v skladu s cilji mehanizma za okrevanje in odpornost, vključno z načelom, da se ne škoduje bistveno</w:t>
            </w:r>
          </w:p>
        </w:tc>
        <w:tc>
          <w:tcPr>
            <w:tcW w:w="478" w:type="pct"/>
            <w:shd w:val="clear" w:color="auto" w:fill="C6EFCE"/>
            <w:vAlign w:val="center"/>
            <w:hideMark/>
          </w:tcPr>
          <w:p w14:paraId="64BF931D" w14:textId="77777777" w:rsidR="00154E32" w:rsidRDefault="00A43E04">
            <w:pPr>
              <w:pStyle w:val="P68B1DB1-Normal11"/>
              <w:spacing w:before="120" w:after="120"/>
              <w:jc w:val="center"/>
              <w:rPr>
                <w:rFonts w:eastAsia="Calibri"/>
                <w:noProof/>
              </w:rPr>
            </w:pPr>
            <w:r>
              <w:rPr>
                <w:noProof/>
              </w:rPr>
              <w:t>JIH NI</w:t>
            </w:r>
          </w:p>
        </w:tc>
        <w:tc>
          <w:tcPr>
            <w:tcW w:w="318" w:type="pct"/>
            <w:shd w:val="clear" w:color="auto" w:fill="C6EFCE"/>
            <w:vAlign w:val="center"/>
            <w:hideMark/>
          </w:tcPr>
          <w:p w14:paraId="247BB327" w14:textId="77777777" w:rsidR="00154E32" w:rsidRDefault="00A43E04">
            <w:pPr>
              <w:pStyle w:val="P68B1DB1-Normal11"/>
              <w:spacing w:before="120" w:after="120"/>
              <w:jc w:val="center"/>
              <w:rPr>
                <w:rFonts w:eastAsia="Calibri"/>
                <w:noProof/>
              </w:rPr>
            </w:pPr>
            <w:r>
              <w:rPr>
                <w:noProof/>
              </w:rPr>
              <w:t>JIH NI</w:t>
            </w:r>
          </w:p>
        </w:tc>
        <w:tc>
          <w:tcPr>
            <w:tcW w:w="384" w:type="pct"/>
            <w:shd w:val="clear" w:color="auto" w:fill="C6EFCE"/>
            <w:vAlign w:val="center"/>
            <w:hideMark/>
          </w:tcPr>
          <w:p w14:paraId="38949D0F" w14:textId="77777777" w:rsidR="00154E32" w:rsidRDefault="00A43E04">
            <w:pPr>
              <w:pStyle w:val="P68B1DB1-Normal11"/>
              <w:spacing w:before="120" w:after="120"/>
              <w:jc w:val="center"/>
              <w:rPr>
                <w:rFonts w:eastAsia="Calibri"/>
                <w:noProof/>
              </w:rPr>
            </w:pPr>
            <w:r>
              <w:rPr>
                <w:noProof/>
              </w:rPr>
              <w:t>JIH NI</w:t>
            </w:r>
          </w:p>
        </w:tc>
        <w:tc>
          <w:tcPr>
            <w:tcW w:w="275" w:type="pct"/>
            <w:shd w:val="clear" w:color="auto" w:fill="C6EFCE"/>
            <w:vAlign w:val="center"/>
            <w:hideMark/>
          </w:tcPr>
          <w:p w14:paraId="385A23A3" w14:textId="77777777" w:rsidR="00154E32" w:rsidRDefault="00A43E04">
            <w:pPr>
              <w:pStyle w:val="P68B1DB1-Normal11"/>
              <w:spacing w:before="120" w:after="120"/>
              <w:jc w:val="center"/>
              <w:rPr>
                <w:rFonts w:eastAsia="Calibri"/>
                <w:noProof/>
              </w:rPr>
            </w:pPr>
            <w:r>
              <w:rPr>
                <w:noProof/>
              </w:rPr>
              <w:t>ČETRTLETJE 1</w:t>
            </w:r>
          </w:p>
        </w:tc>
        <w:tc>
          <w:tcPr>
            <w:tcW w:w="200" w:type="pct"/>
            <w:shd w:val="clear" w:color="auto" w:fill="C6EFCE"/>
            <w:vAlign w:val="center"/>
            <w:hideMark/>
          </w:tcPr>
          <w:p w14:paraId="75160039" w14:textId="77777777" w:rsidR="00154E32" w:rsidRDefault="00A43E04">
            <w:pPr>
              <w:pStyle w:val="P68B1DB1-Normal11"/>
              <w:spacing w:before="120" w:after="120"/>
              <w:jc w:val="center"/>
              <w:rPr>
                <w:rFonts w:eastAsia="Calibri"/>
                <w:noProof/>
              </w:rPr>
            </w:pPr>
            <w:r>
              <w:rPr>
                <w:noProof/>
              </w:rPr>
              <w:t>2022</w:t>
            </w:r>
          </w:p>
        </w:tc>
        <w:tc>
          <w:tcPr>
            <w:tcW w:w="1081" w:type="pct"/>
            <w:shd w:val="clear" w:color="auto" w:fill="C6EFCE"/>
            <w:vAlign w:val="center"/>
            <w:hideMark/>
          </w:tcPr>
          <w:p w14:paraId="68138D01" w14:textId="6DE4323F" w:rsidR="00154E32" w:rsidRDefault="00A43E04">
            <w:pPr>
              <w:pStyle w:val="P68B1DB1-Normal11"/>
              <w:spacing w:before="120" w:after="120"/>
              <w:rPr>
                <w:rFonts w:eastAsia="Calibri"/>
                <w:noProof/>
              </w:rPr>
            </w:pPr>
            <w:r>
              <w:rPr>
                <w:noProof/>
              </w:rPr>
              <w:t>Obvestilo o vseh javnih naročilih, oddanih vsaj 300 občinam z več kot 15000 prebivalci za naložbe v prenovo mest za zmanjšanje marginalizacije in družbene degradacije, pri čemer so projekti v skladu s cilji mehanizma za okrevanje in odpornost, vključno z načelom, da se ne škoduje bistveno.</w:t>
            </w:r>
          </w:p>
          <w:p w14:paraId="51155AC5" w14:textId="54522747" w:rsidR="00154E32" w:rsidRDefault="00A43E04">
            <w:pPr>
              <w:pStyle w:val="P68B1DB1-Normal11"/>
              <w:spacing w:before="120" w:after="120"/>
              <w:rPr>
                <w:rFonts w:eastAsia="Calibri"/>
                <w:noProof/>
              </w:rPr>
            </w:pPr>
            <w:r>
              <w:rPr>
                <w:noProof/>
              </w:rPr>
              <w:t>Nepovratna sredstva se dodelijo občinam z več kot 15000 prebivalci, ki niso prestolnice pokrajin, pokrajinske glavne občine ali sedež metropolitanskega mesta.</w:t>
            </w:r>
          </w:p>
          <w:p w14:paraId="3B4817A0" w14:textId="77777777" w:rsidR="00154E32" w:rsidRDefault="00A43E04">
            <w:pPr>
              <w:pStyle w:val="P68B1DB1-Normal11"/>
              <w:spacing w:before="120" w:after="120"/>
              <w:rPr>
                <w:rFonts w:eastAsia="Calibri"/>
                <w:noProof/>
              </w:rPr>
            </w:pPr>
            <w:r>
              <w:rPr>
                <w:noProof/>
              </w:rPr>
              <w:t>Projekti mestne proizvodnje so sestavljeni iz vsaj enega od naslednjih posegov:</w:t>
            </w:r>
          </w:p>
          <w:p w14:paraId="57BF29B8" w14:textId="77777777" w:rsidR="00154E32" w:rsidRDefault="00A43E04">
            <w:pPr>
              <w:pStyle w:val="P68B1DB1-ListParagraph13"/>
              <w:numPr>
                <w:ilvl w:val="6"/>
                <w:numId w:val="7"/>
              </w:numPr>
              <w:ind w:left="506" w:hanging="237"/>
              <w:jc w:val="left"/>
              <w:rPr>
                <w:rFonts w:eastAsia="Calibri"/>
                <w:noProof/>
              </w:rPr>
            </w:pPr>
            <w:r>
              <w:rPr>
                <w:noProof/>
              </w:rPr>
              <w:t>Ponovna uporaba in ponovna uporaba javnih površin in obstoječih javnih stavbnih objektov za namene javnega interesa, vključno z rušenjem nezakonitih del, ki jih izvajajo fizične osebe v odsotnosti ali popolnem odstopanju od gradbenega dovoljenja, ter ureditvijo zadevnih površin;</w:t>
            </w:r>
          </w:p>
          <w:p w14:paraId="5BB05474" w14:textId="77777777" w:rsidR="00154E32" w:rsidRDefault="00A43E04">
            <w:pPr>
              <w:pStyle w:val="P68B1DB1-ListParagraph13"/>
              <w:numPr>
                <w:ilvl w:val="6"/>
                <w:numId w:val="7"/>
              </w:numPr>
              <w:ind w:left="506" w:hanging="237"/>
              <w:jc w:val="left"/>
              <w:rPr>
                <w:rFonts w:eastAsia="Calibri"/>
                <w:noProof/>
              </w:rPr>
            </w:pPr>
            <w:r>
              <w:rPr>
                <w:noProof/>
              </w:rPr>
              <w:t>Izboljšanje kakovosti mestne krajine ter družbene in okoljske strukture, vključno s prenovo javnih stavb, s posebnim poudarkom na razvoju socialnih in kulturnih, izobraževalnih in didaktičnih storitev;</w:t>
            </w:r>
          </w:p>
          <w:p w14:paraId="16A4D377" w14:textId="77777777" w:rsidR="00154E32" w:rsidRDefault="00A43E04">
            <w:pPr>
              <w:pStyle w:val="P68B1DB1-ListParagraph13"/>
              <w:numPr>
                <w:ilvl w:val="6"/>
                <w:numId w:val="7"/>
              </w:numPr>
              <w:ind w:left="506" w:hanging="237"/>
              <w:jc w:val="left"/>
              <w:rPr>
                <w:rFonts w:eastAsia="Calibri"/>
                <w:noProof/>
              </w:rPr>
            </w:pPr>
            <w:r>
              <w:rPr>
                <w:noProof/>
              </w:rPr>
              <w:t>Zeleni, trajnostni in pametni prometni projekti.</w:t>
            </w:r>
          </w:p>
          <w:p w14:paraId="4C51303B" w14:textId="77777777" w:rsidR="00154E32" w:rsidRDefault="00A43E04">
            <w:pPr>
              <w:pStyle w:val="P68B1DB1-Normal11"/>
              <w:spacing w:before="120" w:after="120"/>
              <w:rPr>
                <w:rFonts w:eastAsia="Calibri"/>
                <w:noProof/>
              </w:rPr>
            </w:pPr>
            <w:r>
              <w:rPr>
                <w:noProof/>
              </w:rPr>
              <w:t>Najvišji zneski na občino so naslednji:</w:t>
            </w:r>
          </w:p>
          <w:p w14:paraId="61B42385" w14:textId="6C574572" w:rsidR="00154E32" w:rsidRDefault="00A43E04">
            <w:pPr>
              <w:pStyle w:val="P68B1DB1-Normal11"/>
              <w:spacing w:before="120" w:after="120"/>
              <w:rPr>
                <w:rFonts w:eastAsia="Calibri"/>
                <w:noProof/>
              </w:rPr>
            </w:pPr>
            <w:r>
              <w:rPr>
                <w:noProof/>
              </w:rPr>
              <w:t>5 000 000 EUR za občine s prebivalstvom med 15000 in 49999 prebivalci;</w:t>
            </w:r>
          </w:p>
          <w:p w14:paraId="56C38838" w14:textId="1CDCA4CE" w:rsidR="00154E32" w:rsidRDefault="00A43E04">
            <w:pPr>
              <w:pStyle w:val="P68B1DB1-Normal11"/>
              <w:spacing w:before="120" w:after="120"/>
              <w:rPr>
                <w:rFonts w:eastAsia="Calibri"/>
                <w:noProof/>
              </w:rPr>
            </w:pPr>
            <w:r>
              <w:rPr>
                <w:noProof/>
              </w:rPr>
              <w:t>10 000 000 EUR za občine z od 50000 do 100000 prebivalci;</w:t>
            </w:r>
          </w:p>
          <w:p w14:paraId="264DC38E" w14:textId="0EC4C96F" w:rsidR="00154E32" w:rsidRDefault="00A43E04">
            <w:pPr>
              <w:pStyle w:val="P68B1DB1-Normal11"/>
              <w:spacing w:before="120" w:after="120"/>
              <w:rPr>
                <w:rFonts w:eastAsia="Calibri"/>
                <w:noProof/>
              </w:rPr>
            </w:pPr>
            <w:r>
              <w:rPr>
                <w:noProof/>
              </w:rPr>
              <w:t>20 000 000 EUR za občine z več kot 100000 prebivalci in občine, ki so pokrajinske prestolnice ali metropolitanska mesta.</w:t>
            </w:r>
          </w:p>
        </w:tc>
      </w:tr>
      <w:tr w:rsidR="00154E32" w14:paraId="64F345F1" w14:textId="77777777">
        <w:trPr>
          <w:trHeight w:val="3113"/>
          <w:jc w:val="center"/>
        </w:trPr>
        <w:tc>
          <w:tcPr>
            <w:tcW w:w="384" w:type="pct"/>
            <w:shd w:val="clear" w:color="auto" w:fill="C6EFCE"/>
            <w:vAlign w:val="center"/>
            <w:hideMark/>
          </w:tcPr>
          <w:p w14:paraId="005FDFEC" w14:textId="77777777" w:rsidR="00154E32" w:rsidRDefault="00A43E04">
            <w:pPr>
              <w:pStyle w:val="P68B1DB1-Normal11"/>
              <w:jc w:val="center"/>
              <w:rPr>
                <w:noProof/>
              </w:rPr>
            </w:pPr>
            <w:r>
              <w:rPr>
                <w:noProof/>
              </w:rPr>
              <w:t>M5C2–12</w:t>
            </w:r>
          </w:p>
        </w:tc>
        <w:tc>
          <w:tcPr>
            <w:tcW w:w="509" w:type="pct"/>
            <w:shd w:val="clear" w:color="auto" w:fill="C6EFCE"/>
            <w:vAlign w:val="center"/>
            <w:hideMark/>
          </w:tcPr>
          <w:p w14:paraId="791E0200" w14:textId="77777777" w:rsidR="00154E32" w:rsidRDefault="00A43E04">
            <w:pPr>
              <w:pStyle w:val="P68B1DB1-Normal11"/>
              <w:jc w:val="center"/>
              <w:rPr>
                <w:noProof/>
              </w:rPr>
            </w:pPr>
            <w:r>
              <w:rPr>
                <w:noProof/>
              </w:rPr>
              <w:t>Naložba 4 – Naložbe v projekte oživljanja mest, katerih cilj je zmanjšati marginalizacijo in družbeno degradacijo</w:t>
            </w:r>
          </w:p>
        </w:tc>
        <w:tc>
          <w:tcPr>
            <w:tcW w:w="361" w:type="pct"/>
            <w:shd w:val="clear" w:color="auto" w:fill="C6EFCE"/>
            <w:vAlign w:val="center"/>
            <w:hideMark/>
          </w:tcPr>
          <w:p w14:paraId="0F3FACB8" w14:textId="77777777" w:rsidR="00154E32" w:rsidRDefault="00A43E04">
            <w:pPr>
              <w:pStyle w:val="P68B1DB1-Normal11"/>
              <w:jc w:val="center"/>
              <w:rPr>
                <w:noProof/>
              </w:rPr>
            </w:pPr>
            <w:r>
              <w:rPr>
                <w:noProof/>
              </w:rPr>
              <w:t>Tarča</w:t>
            </w:r>
          </w:p>
        </w:tc>
        <w:tc>
          <w:tcPr>
            <w:tcW w:w="505" w:type="pct"/>
            <w:shd w:val="clear" w:color="auto" w:fill="C6EFCE"/>
            <w:vAlign w:val="center"/>
            <w:hideMark/>
          </w:tcPr>
          <w:p w14:paraId="18D1D44E" w14:textId="631249C9" w:rsidR="00154E32" w:rsidRDefault="00A43E04">
            <w:pPr>
              <w:pStyle w:val="P68B1DB1-Normal11"/>
              <w:jc w:val="center"/>
              <w:rPr>
                <w:noProof/>
              </w:rPr>
            </w:pPr>
            <w:r>
              <w:rPr>
                <w:noProof/>
              </w:rPr>
              <w:t>Projekti za ukrepe oživljanja mest, ki zajemajo občine</w:t>
            </w:r>
          </w:p>
        </w:tc>
        <w:tc>
          <w:tcPr>
            <w:tcW w:w="505" w:type="pct"/>
            <w:shd w:val="clear" w:color="auto" w:fill="C6EFCE"/>
            <w:vAlign w:val="center"/>
            <w:hideMark/>
          </w:tcPr>
          <w:p w14:paraId="44CA766C" w14:textId="77777777" w:rsidR="00154E32" w:rsidRDefault="00A43E04">
            <w:pPr>
              <w:pStyle w:val="P68B1DB1-Normal11"/>
              <w:jc w:val="center"/>
              <w:rPr>
                <w:noProof/>
              </w:rPr>
            </w:pPr>
            <w:r>
              <w:rPr>
                <w:noProof/>
              </w:rPr>
              <w:t>JIH NI</w:t>
            </w:r>
          </w:p>
        </w:tc>
        <w:tc>
          <w:tcPr>
            <w:tcW w:w="478" w:type="pct"/>
            <w:shd w:val="clear" w:color="auto" w:fill="C6EFCE"/>
            <w:vAlign w:val="center"/>
            <w:hideMark/>
          </w:tcPr>
          <w:p w14:paraId="262DEF05" w14:textId="77777777" w:rsidR="00154E32" w:rsidRDefault="00A43E04">
            <w:pPr>
              <w:pStyle w:val="P68B1DB1-Normal11"/>
              <w:jc w:val="center"/>
              <w:rPr>
                <w:noProof/>
              </w:rPr>
            </w:pPr>
            <w:r>
              <w:rPr>
                <w:noProof/>
              </w:rPr>
              <w:t>Število</w:t>
            </w:r>
          </w:p>
        </w:tc>
        <w:tc>
          <w:tcPr>
            <w:tcW w:w="318" w:type="pct"/>
            <w:shd w:val="clear" w:color="auto" w:fill="C6EFCE"/>
            <w:vAlign w:val="center"/>
            <w:hideMark/>
          </w:tcPr>
          <w:p w14:paraId="4B3747DE" w14:textId="77777777" w:rsidR="00154E32" w:rsidRDefault="00A43E04">
            <w:pPr>
              <w:pStyle w:val="P68B1DB1-Normal11"/>
              <w:jc w:val="center"/>
              <w:rPr>
                <w:noProof/>
              </w:rPr>
            </w:pPr>
            <w:r>
              <w:rPr>
                <w:noProof/>
              </w:rPr>
              <w:t>0</w:t>
            </w:r>
          </w:p>
        </w:tc>
        <w:tc>
          <w:tcPr>
            <w:tcW w:w="384" w:type="pct"/>
            <w:shd w:val="clear" w:color="auto" w:fill="C6EFCE"/>
            <w:vAlign w:val="center"/>
            <w:hideMark/>
          </w:tcPr>
          <w:p w14:paraId="22CCDA34" w14:textId="0D72CA53" w:rsidR="00154E32" w:rsidRDefault="00A43E04">
            <w:pPr>
              <w:pStyle w:val="P68B1DB1-Normal11"/>
              <w:jc w:val="center"/>
              <w:rPr>
                <w:noProof/>
              </w:rPr>
            </w:pPr>
            <w:r>
              <w:rPr>
                <w:noProof/>
              </w:rPr>
              <w:t>1 080</w:t>
            </w:r>
          </w:p>
        </w:tc>
        <w:tc>
          <w:tcPr>
            <w:tcW w:w="275" w:type="pct"/>
            <w:shd w:val="clear" w:color="auto" w:fill="C6EFCE"/>
            <w:vAlign w:val="center"/>
            <w:hideMark/>
          </w:tcPr>
          <w:p w14:paraId="27DBCC77" w14:textId="77777777" w:rsidR="00154E32" w:rsidRDefault="00A43E04">
            <w:pPr>
              <w:pStyle w:val="P68B1DB1-Normal11"/>
              <w:jc w:val="center"/>
              <w:rPr>
                <w:noProof/>
              </w:rPr>
            </w:pPr>
            <w:r>
              <w:rPr>
                <w:noProof/>
              </w:rPr>
              <w:t>Q2</w:t>
            </w:r>
          </w:p>
        </w:tc>
        <w:tc>
          <w:tcPr>
            <w:tcW w:w="200" w:type="pct"/>
            <w:shd w:val="clear" w:color="auto" w:fill="C6EFCE"/>
            <w:vAlign w:val="center"/>
            <w:hideMark/>
          </w:tcPr>
          <w:p w14:paraId="363FC753" w14:textId="77777777" w:rsidR="00154E32" w:rsidRDefault="00A43E04">
            <w:pPr>
              <w:pStyle w:val="P68B1DB1-Normal11"/>
              <w:jc w:val="center"/>
              <w:rPr>
                <w:noProof/>
              </w:rPr>
            </w:pPr>
            <w:r>
              <w:rPr>
                <w:noProof/>
              </w:rPr>
              <w:t>2026</w:t>
            </w:r>
          </w:p>
        </w:tc>
        <w:tc>
          <w:tcPr>
            <w:tcW w:w="1081" w:type="pct"/>
            <w:shd w:val="clear" w:color="auto" w:fill="C6EFCE"/>
            <w:vAlign w:val="center"/>
            <w:hideMark/>
          </w:tcPr>
          <w:p w14:paraId="47CE89AD" w14:textId="5E9F5AA1" w:rsidR="00154E32" w:rsidRDefault="00A43E04">
            <w:pPr>
              <w:pStyle w:val="P68B1DB1-Normal19"/>
              <w:rPr>
                <w:noProof/>
                <w:color w:val="006100"/>
              </w:rPr>
            </w:pPr>
            <w:r>
              <w:rPr>
                <w:noProof/>
                <w:color w:val="006100"/>
              </w:rPr>
              <w:t>Vsaj 1080 zaključenih projektov, ki so jih poslale občine z več kot</w:t>
            </w:r>
            <w:r>
              <w:rPr>
                <w:noProof/>
              </w:rPr>
              <w:t xml:space="preserve"> </w:t>
            </w:r>
            <w:r>
              <w:rPr>
                <w:noProof/>
              </w:rPr>
              <w:br/>
            </w:r>
            <w:r>
              <w:rPr>
                <w:noProof/>
                <w:color w:val="006100"/>
              </w:rPr>
              <w:t>15000 prebivalcev, ki pokrivajo vsaj 1000000 kvadratnih metrov.</w:t>
            </w:r>
          </w:p>
          <w:p w14:paraId="59849979" w14:textId="77777777" w:rsidR="00154E32" w:rsidRDefault="00154E32">
            <w:pPr>
              <w:rPr>
                <w:rFonts w:ascii="Arial Narrow" w:hAnsi="Arial Narrow"/>
                <w:noProof/>
                <w:color w:val="006100"/>
                <w:sz w:val="20"/>
              </w:rPr>
            </w:pPr>
          </w:p>
          <w:p w14:paraId="4F0098D0" w14:textId="77777777" w:rsidR="00154E32" w:rsidRDefault="00A43E04">
            <w:pPr>
              <w:pStyle w:val="P68B1DB1-Normal11"/>
              <w:rPr>
                <w:noProof/>
              </w:rPr>
            </w:pPr>
            <w:r>
              <w:rPr>
                <w:noProof/>
              </w:rPr>
              <w:t>Ukrepi so tisti, ki so opredeljeni v ustreznem mejniku za posege v obnovo mest.</w:t>
            </w:r>
          </w:p>
        </w:tc>
      </w:tr>
      <w:tr w:rsidR="00154E32" w14:paraId="35C02A07" w14:textId="77777777">
        <w:trPr>
          <w:trHeight w:val="4126"/>
          <w:jc w:val="center"/>
        </w:trPr>
        <w:tc>
          <w:tcPr>
            <w:tcW w:w="384" w:type="pct"/>
            <w:shd w:val="clear" w:color="auto" w:fill="C6EFCE"/>
            <w:vAlign w:val="center"/>
            <w:hideMark/>
          </w:tcPr>
          <w:p w14:paraId="63CF1B58" w14:textId="77777777" w:rsidR="00154E32" w:rsidRDefault="00A43E04">
            <w:pPr>
              <w:pStyle w:val="P68B1DB1-Normal11"/>
              <w:jc w:val="center"/>
              <w:rPr>
                <w:noProof/>
              </w:rPr>
            </w:pPr>
            <w:r>
              <w:rPr>
                <w:noProof/>
              </w:rPr>
              <w:t>M5C2–13</w:t>
            </w:r>
          </w:p>
        </w:tc>
        <w:tc>
          <w:tcPr>
            <w:tcW w:w="509" w:type="pct"/>
            <w:shd w:val="clear" w:color="auto" w:fill="C6EFCE"/>
            <w:vAlign w:val="center"/>
            <w:hideMark/>
          </w:tcPr>
          <w:p w14:paraId="1B58F548" w14:textId="77777777" w:rsidR="00154E32" w:rsidRDefault="00A43E04">
            <w:pPr>
              <w:pStyle w:val="P68B1DB1-Normal11"/>
              <w:jc w:val="center"/>
              <w:rPr>
                <w:noProof/>
              </w:rPr>
            </w:pPr>
            <w:r>
              <w:rPr>
                <w:noProof/>
              </w:rPr>
              <w:t>Naložba 5 – Celostni urbanistični načrti – splošni projekti</w:t>
            </w:r>
          </w:p>
        </w:tc>
        <w:tc>
          <w:tcPr>
            <w:tcW w:w="361" w:type="pct"/>
            <w:shd w:val="clear" w:color="auto" w:fill="C6EFCE"/>
            <w:vAlign w:val="center"/>
            <w:hideMark/>
          </w:tcPr>
          <w:p w14:paraId="3EC69DBA" w14:textId="77777777" w:rsidR="00154E32" w:rsidRDefault="00A43E04">
            <w:pPr>
              <w:pStyle w:val="P68B1DB1-Normal11"/>
              <w:jc w:val="center"/>
              <w:rPr>
                <w:noProof/>
              </w:rPr>
            </w:pPr>
            <w:r>
              <w:rPr>
                <w:noProof/>
              </w:rPr>
              <w:t>Mejnik</w:t>
            </w:r>
          </w:p>
        </w:tc>
        <w:tc>
          <w:tcPr>
            <w:tcW w:w="505" w:type="pct"/>
            <w:shd w:val="clear" w:color="auto" w:fill="C6EFCE"/>
            <w:vAlign w:val="center"/>
            <w:hideMark/>
          </w:tcPr>
          <w:p w14:paraId="649DC8DA" w14:textId="77777777" w:rsidR="00154E32" w:rsidRDefault="00A43E04">
            <w:pPr>
              <w:pStyle w:val="P68B1DB1-Normal11"/>
              <w:jc w:val="center"/>
              <w:rPr>
                <w:noProof/>
              </w:rPr>
            </w:pPr>
            <w:r>
              <w:rPr>
                <w:noProof/>
              </w:rPr>
              <w:t>Začetek veljavnosti naložbenega načrta za projekte oživljanja mest na metropolitanskih območjih</w:t>
            </w:r>
          </w:p>
        </w:tc>
        <w:tc>
          <w:tcPr>
            <w:tcW w:w="505" w:type="pct"/>
            <w:shd w:val="clear" w:color="auto" w:fill="C6EFCE"/>
            <w:vAlign w:val="center"/>
            <w:hideMark/>
          </w:tcPr>
          <w:p w14:paraId="142F3CB3" w14:textId="77777777" w:rsidR="00154E32" w:rsidRDefault="00A43E04">
            <w:pPr>
              <w:pStyle w:val="P68B1DB1-Normal11"/>
              <w:jc w:val="center"/>
              <w:rPr>
                <w:noProof/>
              </w:rPr>
            </w:pPr>
            <w:r>
              <w:rPr>
                <w:noProof/>
              </w:rPr>
              <w:t>Določba zakona o začetku veljavnosti načrta za projekte oživljanja mest na metropolitanskih območjih</w:t>
            </w:r>
          </w:p>
        </w:tc>
        <w:tc>
          <w:tcPr>
            <w:tcW w:w="478" w:type="pct"/>
            <w:shd w:val="clear" w:color="auto" w:fill="C6EFCE"/>
            <w:vAlign w:val="center"/>
            <w:hideMark/>
          </w:tcPr>
          <w:p w14:paraId="733848E9" w14:textId="77777777" w:rsidR="00154E32" w:rsidRDefault="00A43E04">
            <w:pPr>
              <w:pStyle w:val="P68B1DB1-Normal11"/>
              <w:jc w:val="center"/>
              <w:rPr>
                <w:noProof/>
              </w:rPr>
            </w:pPr>
            <w:r>
              <w:rPr>
                <w:noProof/>
              </w:rPr>
              <w:t>JIH NI</w:t>
            </w:r>
          </w:p>
        </w:tc>
        <w:tc>
          <w:tcPr>
            <w:tcW w:w="318" w:type="pct"/>
            <w:shd w:val="clear" w:color="auto" w:fill="C6EFCE"/>
            <w:vAlign w:val="center"/>
            <w:hideMark/>
          </w:tcPr>
          <w:p w14:paraId="51520117" w14:textId="77777777" w:rsidR="00154E32" w:rsidRDefault="00A43E04">
            <w:pPr>
              <w:pStyle w:val="P68B1DB1-Normal11"/>
              <w:jc w:val="center"/>
              <w:rPr>
                <w:noProof/>
              </w:rPr>
            </w:pPr>
            <w:r>
              <w:rPr>
                <w:noProof/>
              </w:rPr>
              <w:t>JIH NI</w:t>
            </w:r>
          </w:p>
        </w:tc>
        <w:tc>
          <w:tcPr>
            <w:tcW w:w="384" w:type="pct"/>
            <w:shd w:val="clear" w:color="auto" w:fill="C6EFCE"/>
            <w:vAlign w:val="center"/>
            <w:hideMark/>
          </w:tcPr>
          <w:p w14:paraId="52009F4E" w14:textId="77777777" w:rsidR="00154E32" w:rsidRDefault="00A43E04">
            <w:pPr>
              <w:pStyle w:val="P68B1DB1-Normal11"/>
              <w:jc w:val="center"/>
              <w:rPr>
                <w:noProof/>
              </w:rPr>
            </w:pPr>
            <w:r>
              <w:rPr>
                <w:noProof/>
              </w:rPr>
              <w:t>JIH NI</w:t>
            </w:r>
          </w:p>
        </w:tc>
        <w:tc>
          <w:tcPr>
            <w:tcW w:w="275" w:type="pct"/>
            <w:shd w:val="clear" w:color="auto" w:fill="C6EFCE"/>
            <w:vAlign w:val="center"/>
            <w:hideMark/>
          </w:tcPr>
          <w:p w14:paraId="7CEC45E7" w14:textId="77777777" w:rsidR="00154E32" w:rsidRDefault="00A43E04">
            <w:pPr>
              <w:pStyle w:val="P68B1DB1-Normal11"/>
              <w:jc w:val="center"/>
              <w:rPr>
                <w:noProof/>
              </w:rPr>
            </w:pPr>
            <w:r>
              <w:rPr>
                <w:noProof/>
              </w:rPr>
              <w:t>Q4</w:t>
            </w:r>
          </w:p>
        </w:tc>
        <w:tc>
          <w:tcPr>
            <w:tcW w:w="200" w:type="pct"/>
            <w:shd w:val="clear" w:color="auto" w:fill="C6EFCE"/>
            <w:vAlign w:val="center"/>
            <w:hideMark/>
          </w:tcPr>
          <w:p w14:paraId="0F42B591" w14:textId="77777777" w:rsidR="00154E32" w:rsidRDefault="00A43E04">
            <w:pPr>
              <w:pStyle w:val="P68B1DB1-Normal11"/>
              <w:jc w:val="center"/>
              <w:rPr>
                <w:noProof/>
              </w:rPr>
            </w:pPr>
            <w:r>
              <w:rPr>
                <w:noProof/>
              </w:rPr>
              <w:t>2022</w:t>
            </w:r>
          </w:p>
        </w:tc>
        <w:tc>
          <w:tcPr>
            <w:tcW w:w="1081" w:type="pct"/>
            <w:shd w:val="clear" w:color="auto" w:fill="C6EFCE"/>
            <w:vAlign w:val="center"/>
          </w:tcPr>
          <w:p w14:paraId="0D3C3EE4" w14:textId="77777777" w:rsidR="00154E32" w:rsidRDefault="00A43E04">
            <w:pPr>
              <w:pStyle w:val="P68B1DB1-Normal11"/>
              <w:rPr>
                <w:noProof/>
              </w:rPr>
            </w:pPr>
            <w:r>
              <w:rPr>
                <w:noProof/>
              </w:rPr>
              <w:t>V naložbenem načrtu se določi sklop meril v skladu s cilji mehanizma za okrevanje in odpornost, vključno z načelom, da se ne škoduje bistveno. Projekti se nanašajo na naslednje vrste intervencij:</w:t>
            </w:r>
          </w:p>
          <w:p w14:paraId="5B4561AE" w14:textId="77777777" w:rsidR="00154E32" w:rsidRDefault="00A43E04">
            <w:pPr>
              <w:pStyle w:val="P68B1DB1-Normal11"/>
              <w:rPr>
                <w:noProof/>
              </w:rPr>
            </w:pPr>
            <w:r>
              <w:rPr>
                <w:noProof/>
              </w:rPr>
              <w:t>vzdrževanje za ponovno uporabo in ponovno obratovanje javnih površin.</w:t>
            </w:r>
          </w:p>
          <w:p w14:paraId="0FC13A8A" w14:textId="77777777" w:rsidR="00154E32" w:rsidRDefault="00A43E04">
            <w:pPr>
              <w:pStyle w:val="P68B1DB1-Normal11"/>
              <w:rPr>
                <w:noProof/>
              </w:rPr>
            </w:pPr>
            <w:r>
              <w:rPr>
                <w:noProof/>
              </w:rPr>
              <w:t>b) Izboljšanje kakovosti mestnega décora ter družbene in okoljske strukture.</w:t>
            </w:r>
          </w:p>
          <w:p w14:paraId="02EF69F2" w14:textId="77777777" w:rsidR="00154E32" w:rsidRDefault="00A43E04">
            <w:pPr>
              <w:pStyle w:val="P68B1DB1-Normal11"/>
              <w:rPr>
                <w:noProof/>
              </w:rPr>
            </w:pPr>
            <w:r>
              <w:rPr>
                <w:noProof/>
              </w:rPr>
              <w:t>C) izboljšanje kakovosti okolja in digitalnega profila mestnih območij.</w:t>
            </w:r>
          </w:p>
        </w:tc>
      </w:tr>
      <w:tr w:rsidR="00154E32" w14:paraId="12A17A35" w14:textId="77777777">
        <w:trPr>
          <w:trHeight w:val="20"/>
          <w:jc w:val="center"/>
        </w:trPr>
        <w:tc>
          <w:tcPr>
            <w:tcW w:w="384" w:type="pct"/>
            <w:shd w:val="clear" w:color="auto" w:fill="C6EFCE"/>
            <w:vAlign w:val="center"/>
          </w:tcPr>
          <w:p w14:paraId="28192277" w14:textId="77777777" w:rsidR="00154E32" w:rsidRDefault="00A43E04">
            <w:pPr>
              <w:pStyle w:val="P68B1DB1-Normal11"/>
              <w:jc w:val="center"/>
              <w:rPr>
                <w:noProof/>
              </w:rPr>
            </w:pPr>
            <w:r>
              <w:rPr>
                <w:noProof/>
              </w:rPr>
              <w:t>M5C2–14</w:t>
            </w:r>
          </w:p>
        </w:tc>
        <w:tc>
          <w:tcPr>
            <w:tcW w:w="509" w:type="pct"/>
            <w:shd w:val="clear" w:color="auto" w:fill="C6EFCE"/>
            <w:vAlign w:val="center"/>
          </w:tcPr>
          <w:p w14:paraId="674C0A7E" w14:textId="77777777" w:rsidR="00154E32" w:rsidRDefault="00A43E04">
            <w:pPr>
              <w:pStyle w:val="P68B1DB1-Normal11"/>
              <w:jc w:val="center"/>
              <w:rPr>
                <w:noProof/>
              </w:rPr>
            </w:pPr>
            <w:r>
              <w:rPr>
                <w:noProof/>
              </w:rPr>
              <w:t>Naložba 5 – Celostni urbanistični načrti – splošni projekti</w:t>
            </w:r>
          </w:p>
        </w:tc>
        <w:tc>
          <w:tcPr>
            <w:tcW w:w="361" w:type="pct"/>
            <w:shd w:val="clear" w:color="auto" w:fill="C6EFCE"/>
            <w:vAlign w:val="center"/>
          </w:tcPr>
          <w:p w14:paraId="6B3B66C0" w14:textId="77777777" w:rsidR="00154E32" w:rsidRDefault="00A43E04">
            <w:pPr>
              <w:pStyle w:val="P68B1DB1-Normal11"/>
              <w:jc w:val="center"/>
              <w:rPr>
                <w:noProof/>
              </w:rPr>
            </w:pPr>
            <w:r>
              <w:rPr>
                <w:noProof/>
              </w:rPr>
              <w:t>Tarča</w:t>
            </w:r>
          </w:p>
        </w:tc>
        <w:tc>
          <w:tcPr>
            <w:tcW w:w="505" w:type="pct"/>
            <w:shd w:val="clear" w:color="auto" w:fill="C6EFCE"/>
            <w:vAlign w:val="center"/>
          </w:tcPr>
          <w:p w14:paraId="60E1D1ED" w14:textId="7C7C5F74" w:rsidR="00154E32" w:rsidRDefault="00A43E04">
            <w:pPr>
              <w:pStyle w:val="P68B1DB1-Normal11"/>
              <w:jc w:val="center"/>
              <w:rPr>
                <w:noProof/>
              </w:rPr>
            </w:pPr>
            <w:r>
              <w:rPr>
                <w:noProof/>
              </w:rPr>
              <w:t>Dokončanje projektov integriranega načrtovanja v metropolitanskih mestih</w:t>
            </w:r>
          </w:p>
        </w:tc>
        <w:tc>
          <w:tcPr>
            <w:tcW w:w="505" w:type="pct"/>
            <w:shd w:val="clear" w:color="auto" w:fill="C6EFCE"/>
            <w:vAlign w:val="center"/>
          </w:tcPr>
          <w:p w14:paraId="523F6CCE" w14:textId="77777777" w:rsidR="00154E32" w:rsidRDefault="00A43E04">
            <w:pPr>
              <w:pStyle w:val="P68B1DB1-Normal11"/>
              <w:jc w:val="center"/>
              <w:rPr>
                <w:noProof/>
              </w:rPr>
            </w:pPr>
            <w:r>
              <w:rPr>
                <w:noProof/>
              </w:rPr>
              <w:t>JIH NI</w:t>
            </w:r>
          </w:p>
        </w:tc>
        <w:tc>
          <w:tcPr>
            <w:tcW w:w="478" w:type="pct"/>
            <w:shd w:val="clear" w:color="auto" w:fill="C6EFCE"/>
            <w:vAlign w:val="center"/>
          </w:tcPr>
          <w:p w14:paraId="663DF067" w14:textId="77777777" w:rsidR="00154E32" w:rsidRDefault="00A43E04">
            <w:pPr>
              <w:pStyle w:val="P68B1DB1-Normal11"/>
              <w:jc w:val="center"/>
              <w:rPr>
                <w:noProof/>
              </w:rPr>
            </w:pPr>
            <w:r>
              <w:rPr>
                <w:noProof/>
              </w:rPr>
              <w:t xml:space="preserve">Število </w:t>
            </w:r>
          </w:p>
        </w:tc>
        <w:tc>
          <w:tcPr>
            <w:tcW w:w="318" w:type="pct"/>
            <w:shd w:val="clear" w:color="auto" w:fill="C6EFCE"/>
            <w:vAlign w:val="center"/>
          </w:tcPr>
          <w:p w14:paraId="713C89E3" w14:textId="3A242A38" w:rsidR="00154E32" w:rsidRDefault="00A43E04">
            <w:pPr>
              <w:pStyle w:val="P68B1DB1-Normal11"/>
              <w:jc w:val="center"/>
              <w:rPr>
                <w:noProof/>
              </w:rPr>
            </w:pPr>
            <w:r>
              <w:rPr>
                <w:noProof/>
              </w:rPr>
              <w:t>0</w:t>
            </w:r>
          </w:p>
        </w:tc>
        <w:tc>
          <w:tcPr>
            <w:tcW w:w="384" w:type="pct"/>
            <w:shd w:val="clear" w:color="auto" w:fill="C6EFCE"/>
            <w:vAlign w:val="center"/>
          </w:tcPr>
          <w:p w14:paraId="3A82CDF0" w14:textId="5D059E54" w:rsidR="00154E32" w:rsidRDefault="00A43E04">
            <w:pPr>
              <w:pStyle w:val="P68B1DB1-Normal11"/>
              <w:jc w:val="center"/>
              <w:rPr>
                <w:noProof/>
              </w:rPr>
            </w:pPr>
            <w:r>
              <w:rPr>
                <w:noProof/>
              </w:rPr>
              <w:t>300</w:t>
            </w:r>
          </w:p>
        </w:tc>
        <w:tc>
          <w:tcPr>
            <w:tcW w:w="275" w:type="pct"/>
            <w:shd w:val="clear" w:color="auto" w:fill="C6EFCE"/>
            <w:vAlign w:val="center"/>
          </w:tcPr>
          <w:p w14:paraId="47234F6C" w14:textId="77777777" w:rsidR="00154E32" w:rsidRDefault="00A43E04">
            <w:pPr>
              <w:pStyle w:val="P68B1DB1-Normal11"/>
              <w:jc w:val="center"/>
              <w:rPr>
                <w:noProof/>
              </w:rPr>
            </w:pPr>
            <w:r>
              <w:rPr>
                <w:noProof/>
              </w:rPr>
              <w:t>Q2</w:t>
            </w:r>
          </w:p>
        </w:tc>
        <w:tc>
          <w:tcPr>
            <w:tcW w:w="200" w:type="pct"/>
            <w:shd w:val="clear" w:color="auto" w:fill="C6EFCE"/>
            <w:vAlign w:val="center"/>
          </w:tcPr>
          <w:p w14:paraId="30AAB6E8" w14:textId="77777777" w:rsidR="00154E32" w:rsidRDefault="00A43E04">
            <w:pPr>
              <w:pStyle w:val="P68B1DB1-Normal11"/>
              <w:jc w:val="center"/>
              <w:rPr>
                <w:noProof/>
              </w:rPr>
            </w:pPr>
            <w:r>
              <w:rPr>
                <w:noProof/>
              </w:rPr>
              <w:t>2026</w:t>
            </w:r>
          </w:p>
        </w:tc>
        <w:tc>
          <w:tcPr>
            <w:tcW w:w="1081" w:type="pct"/>
            <w:shd w:val="clear" w:color="auto" w:fill="C6EFCE"/>
            <w:vAlign w:val="center"/>
          </w:tcPr>
          <w:p w14:paraId="20379F80" w14:textId="1D47B969" w:rsidR="00154E32" w:rsidRDefault="00A43E04">
            <w:pPr>
              <w:pStyle w:val="P68B1DB1-Normal11"/>
              <w:rPr>
                <w:noProof/>
              </w:rPr>
            </w:pPr>
            <w:r>
              <w:rPr>
                <w:noProof/>
              </w:rPr>
              <w:t>V vseh 14 metropolitanskih mestih je bilo zaključenih vsaj 300 projektov integriranega načrtovanja v vsaj eni od naslednjih treh razsežnosti:</w:t>
            </w:r>
          </w:p>
          <w:p w14:paraId="10EEB457" w14:textId="77777777" w:rsidR="00154E32" w:rsidRDefault="00A43E04">
            <w:pPr>
              <w:pStyle w:val="P68B1DB1-Normal11"/>
              <w:rPr>
                <w:noProof/>
              </w:rPr>
            </w:pPr>
            <w:r>
              <w:rPr>
                <w:noProof/>
              </w:rPr>
              <w:t xml:space="preserve"> </w:t>
            </w:r>
          </w:p>
          <w:p w14:paraId="308921FB" w14:textId="77777777" w:rsidR="00154E32" w:rsidRDefault="00A43E04">
            <w:pPr>
              <w:pStyle w:val="P68B1DB1-Normal11"/>
              <w:rPr>
                <w:noProof/>
              </w:rPr>
            </w:pPr>
            <w:r>
              <w:rPr>
                <w:noProof/>
              </w:rPr>
              <w:t>— Vzdrževanje za ponovno uporabo in ponovno obratovanje javnih površin in obstoječih javnih stavbnih struktur;</w:t>
            </w:r>
          </w:p>
          <w:p w14:paraId="17E972C0" w14:textId="77777777" w:rsidR="00154E32" w:rsidRDefault="00A43E04">
            <w:pPr>
              <w:pStyle w:val="P68B1DB1-Normal11"/>
              <w:rPr>
                <w:noProof/>
              </w:rPr>
            </w:pPr>
            <w:r>
              <w:rPr>
                <w:noProof/>
              </w:rPr>
              <w:t xml:space="preserve"> </w:t>
            </w:r>
          </w:p>
          <w:p w14:paraId="71E3FE0C" w14:textId="77777777" w:rsidR="00154E32" w:rsidRDefault="00A43E04">
            <w:pPr>
              <w:pStyle w:val="P68B1DB1-Normal11"/>
              <w:rPr>
                <w:noProof/>
              </w:rPr>
            </w:pPr>
            <w:r>
              <w:rPr>
                <w:noProof/>
              </w:rPr>
              <w:t>Izboljšanje kakovosti mestnega décora ter socialne in okoljske strukture, vključno s prenovo javnih stavb;</w:t>
            </w:r>
          </w:p>
          <w:p w14:paraId="52960B71" w14:textId="77777777" w:rsidR="00154E32" w:rsidRDefault="00A43E04">
            <w:pPr>
              <w:pStyle w:val="P68B1DB1-Normal11"/>
              <w:rPr>
                <w:noProof/>
              </w:rPr>
            </w:pPr>
            <w:r>
              <w:rPr>
                <w:noProof/>
              </w:rPr>
              <w:t xml:space="preserve"> </w:t>
            </w:r>
          </w:p>
          <w:p w14:paraId="6141DC45" w14:textId="77777777" w:rsidR="00154E32" w:rsidRDefault="00A43E04">
            <w:pPr>
              <w:pStyle w:val="P68B1DB1-Normal11"/>
              <w:rPr>
                <w:noProof/>
              </w:rPr>
            </w:pPr>
            <w:r>
              <w:rPr>
                <w:noProof/>
              </w:rPr>
              <w:t>Izboljšanje kakovosti okolja in digitalnega profila mestnih območij s temeljito podporo digitalnim tehnologijam in tehnologijam z nižjimi emisijami CO</w:t>
            </w:r>
            <w:r>
              <w:rPr>
                <w:noProof/>
                <w:vertAlign w:val="superscript"/>
              </w:rPr>
              <w:t>2</w:t>
            </w:r>
            <w:r>
              <w:rPr>
                <w:noProof/>
              </w:rPr>
              <w:t>.</w:t>
            </w:r>
          </w:p>
          <w:p w14:paraId="36AC2453" w14:textId="77777777" w:rsidR="00154E32" w:rsidRDefault="00A43E04">
            <w:pPr>
              <w:pStyle w:val="P68B1DB1-Normal11"/>
              <w:rPr>
                <w:noProof/>
              </w:rPr>
            </w:pPr>
            <w:r>
              <w:rPr>
                <w:noProof/>
              </w:rPr>
              <w:t xml:space="preserve"> </w:t>
            </w:r>
          </w:p>
          <w:p w14:paraId="04FA5527" w14:textId="2819740F" w:rsidR="00154E32" w:rsidRDefault="00A43E04">
            <w:pPr>
              <w:pStyle w:val="P68B1DB1-Normal11"/>
              <w:rPr>
                <w:noProof/>
              </w:rPr>
            </w:pPr>
            <w:r>
              <w:rPr>
                <w:noProof/>
              </w:rPr>
              <w:t>Zadovoljivo izpolnjevanje cilja je odvisno tudi od zadovoljivega izpolnjevanja sekundarnega cilja: dokončanje ukrepov celostnega načrtovanja na območju najmanj 3000000 kvadratnih metrov v vseh 14 metropolitanskih mestih.</w:t>
            </w:r>
          </w:p>
        </w:tc>
      </w:tr>
      <w:tr w:rsidR="00154E32" w14:paraId="649BA9AE" w14:textId="77777777">
        <w:trPr>
          <w:trHeight w:val="20"/>
          <w:jc w:val="center"/>
        </w:trPr>
        <w:tc>
          <w:tcPr>
            <w:tcW w:w="384" w:type="pct"/>
            <w:shd w:val="clear" w:color="auto" w:fill="C6EFCE"/>
            <w:vAlign w:val="center"/>
            <w:hideMark/>
          </w:tcPr>
          <w:p w14:paraId="57DA1034" w14:textId="77777777" w:rsidR="00154E32" w:rsidRDefault="00A43E04">
            <w:pPr>
              <w:pStyle w:val="P68B1DB1-Normal11"/>
              <w:jc w:val="center"/>
              <w:rPr>
                <w:noProof/>
              </w:rPr>
            </w:pPr>
            <w:r>
              <w:rPr>
                <w:noProof/>
              </w:rPr>
              <w:t>M5C2–15</w:t>
            </w:r>
          </w:p>
        </w:tc>
        <w:tc>
          <w:tcPr>
            <w:tcW w:w="509" w:type="pct"/>
            <w:shd w:val="clear" w:color="auto" w:fill="C6EFCE"/>
            <w:vAlign w:val="center"/>
            <w:hideMark/>
          </w:tcPr>
          <w:p w14:paraId="63AC89A2" w14:textId="77777777" w:rsidR="00154E32" w:rsidRDefault="00A43E04">
            <w:pPr>
              <w:pStyle w:val="P68B1DB1-Normal11"/>
              <w:jc w:val="center"/>
              <w:rPr>
                <w:noProof/>
              </w:rPr>
            </w:pPr>
            <w:r>
              <w:rPr>
                <w:noProof/>
              </w:rPr>
              <w:t>Naložba 5 – Celostni urbani načrti – Premagovanje nezakonitih naselbin za boj proti izkoriščanju delovne sile v kmetijstvu</w:t>
            </w:r>
          </w:p>
        </w:tc>
        <w:tc>
          <w:tcPr>
            <w:tcW w:w="361" w:type="pct"/>
            <w:shd w:val="clear" w:color="auto" w:fill="C6EFCE"/>
            <w:vAlign w:val="center"/>
            <w:hideMark/>
          </w:tcPr>
          <w:p w14:paraId="6D28F785" w14:textId="77777777" w:rsidR="00154E32" w:rsidRDefault="00A43E04">
            <w:pPr>
              <w:pStyle w:val="P68B1DB1-Normal11"/>
              <w:jc w:val="center"/>
              <w:rPr>
                <w:noProof/>
              </w:rPr>
            </w:pPr>
            <w:r>
              <w:rPr>
                <w:noProof/>
              </w:rPr>
              <w:t>Mejnik</w:t>
            </w:r>
          </w:p>
        </w:tc>
        <w:tc>
          <w:tcPr>
            <w:tcW w:w="505" w:type="pct"/>
            <w:shd w:val="clear" w:color="auto" w:fill="C6EFCE"/>
            <w:vAlign w:val="center"/>
            <w:hideMark/>
          </w:tcPr>
          <w:p w14:paraId="57ACAA31" w14:textId="77777777" w:rsidR="00154E32" w:rsidRDefault="00A43E04">
            <w:pPr>
              <w:pStyle w:val="P68B1DB1-Normal11"/>
              <w:jc w:val="center"/>
              <w:rPr>
                <w:noProof/>
              </w:rPr>
            </w:pPr>
            <w:r>
              <w:rPr>
                <w:noProof/>
              </w:rPr>
              <w:t>Začetek veljavnosti ministrskega odloka o opredelitvi nezakonitih naselbin je bil sprejet s „Tavolo di contrao allo sfruttamento lavorativo in agricoltura“, ministrska uredba o dodelitvi sredstev pa je sprejeta.</w:t>
            </w:r>
          </w:p>
        </w:tc>
        <w:tc>
          <w:tcPr>
            <w:tcW w:w="505" w:type="pct"/>
            <w:shd w:val="clear" w:color="auto" w:fill="C6EFCE"/>
            <w:vAlign w:val="center"/>
            <w:hideMark/>
          </w:tcPr>
          <w:p w14:paraId="160A03D4" w14:textId="77777777" w:rsidR="00154E32" w:rsidRDefault="00A43E04">
            <w:pPr>
              <w:pStyle w:val="P68B1DB1-Normal11"/>
              <w:jc w:val="center"/>
              <w:rPr>
                <w:noProof/>
              </w:rPr>
            </w:pPr>
            <w:r>
              <w:rPr>
                <w:noProof/>
              </w:rPr>
              <w:t>Določba zakona o začetku veljavnosti ministrske uredbe</w:t>
            </w:r>
          </w:p>
        </w:tc>
        <w:tc>
          <w:tcPr>
            <w:tcW w:w="478" w:type="pct"/>
            <w:shd w:val="clear" w:color="auto" w:fill="C6EFCE"/>
            <w:vAlign w:val="center"/>
            <w:hideMark/>
          </w:tcPr>
          <w:p w14:paraId="19419051" w14:textId="77777777" w:rsidR="00154E32" w:rsidRDefault="00A43E04">
            <w:pPr>
              <w:pStyle w:val="P68B1DB1-Normal11"/>
              <w:jc w:val="center"/>
              <w:rPr>
                <w:noProof/>
              </w:rPr>
            </w:pPr>
            <w:r>
              <w:rPr>
                <w:noProof/>
              </w:rPr>
              <w:t>JIH NI</w:t>
            </w:r>
          </w:p>
        </w:tc>
        <w:tc>
          <w:tcPr>
            <w:tcW w:w="318" w:type="pct"/>
            <w:shd w:val="clear" w:color="auto" w:fill="C6EFCE"/>
            <w:vAlign w:val="center"/>
            <w:hideMark/>
          </w:tcPr>
          <w:p w14:paraId="034A4507" w14:textId="77777777" w:rsidR="00154E32" w:rsidRDefault="00A43E04">
            <w:pPr>
              <w:pStyle w:val="P68B1DB1-Normal11"/>
              <w:jc w:val="center"/>
              <w:rPr>
                <w:noProof/>
              </w:rPr>
            </w:pPr>
            <w:r>
              <w:rPr>
                <w:noProof/>
              </w:rPr>
              <w:t>JIH NI</w:t>
            </w:r>
          </w:p>
        </w:tc>
        <w:tc>
          <w:tcPr>
            <w:tcW w:w="384" w:type="pct"/>
            <w:shd w:val="clear" w:color="auto" w:fill="C6EFCE"/>
            <w:vAlign w:val="center"/>
            <w:hideMark/>
          </w:tcPr>
          <w:p w14:paraId="5346C99A" w14:textId="77777777" w:rsidR="00154E32" w:rsidRDefault="00A43E04">
            <w:pPr>
              <w:pStyle w:val="P68B1DB1-Normal11"/>
              <w:jc w:val="center"/>
              <w:rPr>
                <w:noProof/>
              </w:rPr>
            </w:pPr>
            <w:r>
              <w:rPr>
                <w:noProof/>
              </w:rPr>
              <w:t>JIH NI</w:t>
            </w:r>
          </w:p>
        </w:tc>
        <w:tc>
          <w:tcPr>
            <w:tcW w:w="275" w:type="pct"/>
            <w:shd w:val="clear" w:color="auto" w:fill="C6EFCE"/>
            <w:vAlign w:val="center"/>
            <w:hideMark/>
          </w:tcPr>
          <w:p w14:paraId="5DB0EB4B" w14:textId="77777777" w:rsidR="00154E32" w:rsidRDefault="00A43E04">
            <w:pPr>
              <w:pStyle w:val="P68B1DB1-Normal11"/>
              <w:jc w:val="center"/>
              <w:rPr>
                <w:noProof/>
              </w:rPr>
            </w:pPr>
            <w:r>
              <w:rPr>
                <w:noProof/>
              </w:rPr>
              <w:t>ČETRTLETJE 1</w:t>
            </w:r>
          </w:p>
        </w:tc>
        <w:tc>
          <w:tcPr>
            <w:tcW w:w="200" w:type="pct"/>
            <w:shd w:val="clear" w:color="auto" w:fill="C6EFCE"/>
            <w:vAlign w:val="center"/>
            <w:hideMark/>
          </w:tcPr>
          <w:p w14:paraId="673F7EA0" w14:textId="77777777" w:rsidR="00154E32" w:rsidRDefault="00A43E04">
            <w:pPr>
              <w:pStyle w:val="P68B1DB1-Normal11"/>
              <w:jc w:val="center"/>
              <w:rPr>
                <w:noProof/>
              </w:rPr>
            </w:pPr>
            <w:r>
              <w:rPr>
                <w:noProof/>
              </w:rPr>
              <w:t>2022</w:t>
            </w:r>
          </w:p>
        </w:tc>
        <w:tc>
          <w:tcPr>
            <w:tcW w:w="1081" w:type="pct"/>
            <w:shd w:val="clear" w:color="auto" w:fill="C6EFCE"/>
            <w:vAlign w:val="center"/>
            <w:hideMark/>
          </w:tcPr>
          <w:p w14:paraId="09E9ACED" w14:textId="77777777" w:rsidR="00154E32" w:rsidRDefault="00A43E04">
            <w:pPr>
              <w:pStyle w:val="P68B1DB1-Normal11"/>
              <w:rPr>
                <w:noProof/>
              </w:rPr>
            </w:pPr>
            <w:r>
              <w:rPr>
                <w:noProof/>
              </w:rPr>
              <w:t>Z ministrskim odlokom se dodelijo sredstva na podlagi popisa nezakonitih naselbin, ki jih je izvedla „Tavolo di contrasto allo sfruttamento lavorativo in agricoltura“. Določi se standard začasnih in dolgoročnih stanovanjskih rešitev.</w:t>
            </w:r>
          </w:p>
        </w:tc>
      </w:tr>
      <w:tr w:rsidR="00154E32" w14:paraId="148AECC9" w14:textId="77777777">
        <w:trPr>
          <w:trHeight w:val="3046"/>
          <w:jc w:val="center"/>
        </w:trPr>
        <w:tc>
          <w:tcPr>
            <w:tcW w:w="384" w:type="pct"/>
            <w:shd w:val="clear" w:color="auto" w:fill="C6EFCE"/>
            <w:vAlign w:val="center"/>
            <w:hideMark/>
          </w:tcPr>
          <w:p w14:paraId="42C97125" w14:textId="77777777" w:rsidR="00154E32" w:rsidRDefault="00A43E04">
            <w:pPr>
              <w:pStyle w:val="P68B1DB1-Normal11"/>
              <w:jc w:val="center"/>
              <w:rPr>
                <w:noProof/>
              </w:rPr>
            </w:pPr>
            <w:r>
              <w:rPr>
                <w:noProof/>
              </w:rPr>
              <w:t>M5C2–16</w:t>
            </w:r>
          </w:p>
        </w:tc>
        <w:tc>
          <w:tcPr>
            <w:tcW w:w="509" w:type="pct"/>
            <w:shd w:val="clear" w:color="auto" w:fill="C6EFCE"/>
            <w:vAlign w:val="center"/>
            <w:hideMark/>
          </w:tcPr>
          <w:p w14:paraId="450678B9" w14:textId="77777777" w:rsidR="00154E32" w:rsidRDefault="00A43E04">
            <w:pPr>
              <w:pStyle w:val="P68B1DB1-Normal11"/>
              <w:jc w:val="center"/>
              <w:rPr>
                <w:noProof/>
              </w:rPr>
            </w:pPr>
            <w:r>
              <w:rPr>
                <w:noProof/>
              </w:rPr>
              <w:t>Naložba 5 – Celostni urbani načrti – Premagovanje nezakonitih naselbin za boj proti izkoriščanju delovne sile v kmetijstvu</w:t>
            </w:r>
          </w:p>
        </w:tc>
        <w:tc>
          <w:tcPr>
            <w:tcW w:w="361" w:type="pct"/>
            <w:shd w:val="clear" w:color="auto" w:fill="C6EFCE"/>
            <w:vAlign w:val="center"/>
            <w:hideMark/>
          </w:tcPr>
          <w:p w14:paraId="24523AB5" w14:textId="77777777" w:rsidR="00154E32" w:rsidRDefault="00A43E04">
            <w:pPr>
              <w:pStyle w:val="P68B1DB1-Normal11"/>
              <w:jc w:val="center"/>
              <w:rPr>
                <w:noProof/>
              </w:rPr>
            </w:pPr>
            <w:r>
              <w:rPr>
                <w:noProof/>
              </w:rPr>
              <w:t>Tarča</w:t>
            </w:r>
          </w:p>
        </w:tc>
        <w:tc>
          <w:tcPr>
            <w:tcW w:w="505" w:type="pct"/>
            <w:shd w:val="clear" w:color="auto" w:fill="C6EFCE"/>
            <w:vAlign w:val="center"/>
            <w:hideMark/>
          </w:tcPr>
          <w:p w14:paraId="01A30202" w14:textId="77777777" w:rsidR="00154E32" w:rsidRDefault="00A43E04">
            <w:pPr>
              <w:pStyle w:val="P68B1DB1-Normal11"/>
              <w:jc w:val="center"/>
              <w:rPr>
                <w:noProof/>
              </w:rPr>
            </w:pPr>
            <w:r>
              <w:rPr>
                <w:noProof/>
              </w:rPr>
              <w:t>Projektne dejavnosti se zaključijo na območjih, ki so v lokalnih načrtih opredeljena kot nezakonita naselbina.</w:t>
            </w:r>
          </w:p>
        </w:tc>
        <w:tc>
          <w:tcPr>
            <w:tcW w:w="505" w:type="pct"/>
            <w:shd w:val="clear" w:color="auto" w:fill="C6EFCE"/>
            <w:vAlign w:val="center"/>
            <w:hideMark/>
          </w:tcPr>
          <w:p w14:paraId="6590A871" w14:textId="77777777" w:rsidR="00154E32" w:rsidRDefault="00A43E04">
            <w:pPr>
              <w:pStyle w:val="P68B1DB1-Normal11"/>
              <w:jc w:val="center"/>
              <w:rPr>
                <w:noProof/>
              </w:rPr>
            </w:pPr>
            <w:r>
              <w:rPr>
                <w:noProof/>
              </w:rPr>
              <w:t>JIH NI</w:t>
            </w:r>
          </w:p>
        </w:tc>
        <w:tc>
          <w:tcPr>
            <w:tcW w:w="478" w:type="pct"/>
            <w:shd w:val="clear" w:color="auto" w:fill="C6EFCE"/>
            <w:vAlign w:val="center"/>
            <w:hideMark/>
          </w:tcPr>
          <w:p w14:paraId="799AED36" w14:textId="77777777" w:rsidR="00154E32" w:rsidRDefault="00A43E04">
            <w:pPr>
              <w:pStyle w:val="P68B1DB1-Normal11"/>
              <w:jc w:val="center"/>
              <w:rPr>
                <w:noProof/>
              </w:rPr>
            </w:pPr>
            <w:r>
              <w:rPr>
                <w:noProof/>
              </w:rPr>
              <w:t>Delež</w:t>
            </w:r>
          </w:p>
        </w:tc>
        <w:tc>
          <w:tcPr>
            <w:tcW w:w="318" w:type="pct"/>
            <w:shd w:val="clear" w:color="auto" w:fill="C6EFCE"/>
            <w:vAlign w:val="center"/>
            <w:hideMark/>
          </w:tcPr>
          <w:p w14:paraId="478B2714" w14:textId="77777777" w:rsidR="00154E32" w:rsidRDefault="00A43E04">
            <w:pPr>
              <w:pStyle w:val="P68B1DB1-Normal11"/>
              <w:jc w:val="center"/>
              <w:rPr>
                <w:noProof/>
              </w:rPr>
            </w:pPr>
            <w:r>
              <w:rPr>
                <w:noProof/>
              </w:rPr>
              <w:t>0</w:t>
            </w:r>
          </w:p>
        </w:tc>
        <w:tc>
          <w:tcPr>
            <w:tcW w:w="384" w:type="pct"/>
            <w:shd w:val="clear" w:color="auto" w:fill="C6EFCE"/>
            <w:vAlign w:val="center"/>
            <w:hideMark/>
          </w:tcPr>
          <w:p w14:paraId="40670AD9" w14:textId="77777777" w:rsidR="00154E32" w:rsidRDefault="00A43E04">
            <w:pPr>
              <w:pStyle w:val="P68B1DB1-Normal11"/>
              <w:jc w:val="center"/>
              <w:rPr>
                <w:noProof/>
              </w:rPr>
            </w:pPr>
            <w:r>
              <w:rPr>
                <w:noProof/>
              </w:rPr>
              <w:t>90</w:t>
            </w:r>
          </w:p>
        </w:tc>
        <w:tc>
          <w:tcPr>
            <w:tcW w:w="275" w:type="pct"/>
            <w:shd w:val="clear" w:color="auto" w:fill="C6EFCE"/>
            <w:vAlign w:val="center"/>
            <w:hideMark/>
          </w:tcPr>
          <w:p w14:paraId="4C1805D7" w14:textId="77777777" w:rsidR="00154E32" w:rsidRDefault="00A43E04">
            <w:pPr>
              <w:pStyle w:val="P68B1DB1-Normal11"/>
              <w:jc w:val="center"/>
              <w:rPr>
                <w:noProof/>
              </w:rPr>
            </w:pPr>
            <w:r>
              <w:rPr>
                <w:noProof/>
              </w:rPr>
              <w:t>ČETRTLETJE 1</w:t>
            </w:r>
          </w:p>
        </w:tc>
        <w:tc>
          <w:tcPr>
            <w:tcW w:w="200" w:type="pct"/>
            <w:shd w:val="clear" w:color="auto" w:fill="C6EFCE"/>
            <w:vAlign w:val="center"/>
            <w:hideMark/>
          </w:tcPr>
          <w:p w14:paraId="50A4EF3B" w14:textId="77777777" w:rsidR="00154E32" w:rsidRDefault="00A43E04">
            <w:pPr>
              <w:pStyle w:val="P68B1DB1-Normal11"/>
              <w:jc w:val="center"/>
              <w:rPr>
                <w:noProof/>
              </w:rPr>
            </w:pPr>
            <w:r>
              <w:rPr>
                <w:noProof/>
              </w:rPr>
              <w:t>2025</w:t>
            </w:r>
          </w:p>
        </w:tc>
        <w:tc>
          <w:tcPr>
            <w:tcW w:w="1081" w:type="pct"/>
            <w:shd w:val="clear" w:color="auto" w:fill="C6EFCE"/>
            <w:vAlign w:val="center"/>
            <w:hideMark/>
          </w:tcPr>
          <w:p w14:paraId="627A9A60" w14:textId="77777777" w:rsidR="00154E32" w:rsidRDefault="00A43E04">
            <w:pPr>
              <w:pStyle w:val="P68B1DB1-Normal11"/>
              <w:rPr>
                <w:rFonts w:eastAsia="Calibri"/>
                <w:noProof/>
              </w:rPr>
            </w:pPr>
            <w:r>
              <w:rPr>
                <w:noProof/>
              </w:rPr>
              <w:t>Projektne dejavnosti so se zaključile na vsaj 90 % območij, ki so bila v lokalnih načrtih opredeljena kot nezakonita naselbina.</w:t>
            </w:r>
          </w:p>
          <w:p w14:paraId="14813CF4" w14:textId="77777777" w:rsidR="00154E32" w:rsidRDefault="00154E32">
            <w:pPr>
              <w:rPr>
                <w:rFonts w:ascii="Arial Narrow" w:hAnsi="Arial Narrow"/>
                <w:noProof/>
                <w:color w:val="006100"/>
                <w:sz w:val="20"/>
              </w:rPr>
            </w:pPr>
          </w:p>
          <w:p w14:paraId="3D0C1B95" w14:textId="77777777" w:rsidR="00154E32" w:rsidRDefault="00A43E04">
            <w:pPr>
              <w:pStyle w:val="P68B1DB1-Normal11"/>
              <w:rPr>
                <w:noProof/>
              </w:rPr>
            </w:pPr>
            <w:r>
              <w:rPr>
                <w:noProof/>
              </w:rPr>
              <w:t>Po dodelitvi sredstev ustrezna uprava zagotovi „lokalni akcijski načrt“ za vsako ugotovljeno nezakonito naselitev.</w:t>
            </w:r>
          </w:p>
        </w:tc>
      </w:tr>
      <w:tr w:rsidR="00154E32" w14:paraId="4927ED30" w14:textId="77777777">
        <w:trPr>
          <w:trHeight w:val="20"/>
          <w:jc w:val="center"/>
        </w:trPr>
        <w:tc>
          <w:tcPr>
            <w:tcW w:w="384" w:type="pct"/>
            <w:shd w:val="clear" w:color="auto" w:fill="C6EFCE"/>
            <w:vAlign w:val="center"/>
            <w:hideMark/>
          </w:tcPr>
          <w:p w14:paraId="30AAA3B4" w14:textId="77777777" w:rsidR="00154E32" w:rsidRDefault="00A43E04">
            <w:pPr>
              <w:pStyle w:val="P68B1DB1-Normal11"/>
              <w:jc w:val="center"/>
              <w:rPr>
                <w:noProof/>
              </w:rPr>
            </w:pPr>
            <w:r>
              <w:rPr>
                <w:noProof/>
              </w:rPr>
              <w:t>M5C2–17</w:t>
            </w:r>
          </w:p>
        </w:tc>
        <w:tc>
          <w:tcPr>
            <w:tcW w:w="509" w:type="pct"/>
            <w:shd w:val="clear" w:color="auto" w:fill="C6EFCE"/>
            <w:vAlign w:val="center"/>
            <w:hideMark/>
          </w:tcPr>
          <w:p w14:paraId="1D56EB36" w14:textId="77777777" w:rsidR="00154E32" w:rsidRDefault="00A43E04">
            <w:pPr>
              <w:pStyle w:val="P68B1DB1-Normal11"/>
              <w:jc w:val="center"/>
              <w:rPr>
                <w:noProof/>
              </w:rPr>
            </w:pPr>
            <w:r>
              <w:rPr>
                <w:noProof/>
              </w:rPr>
              <w:t>Naložba 5 – Celostni urbanistični načrti – sklad EIB – Sklad</w:t>
            </w:r>
          </w:p>
        </w:tc>
        <w:tc>
          <w:tcPr>
            <w:tcW w:w="361" w:type="pct"/>
            <w:shd w:val="clear" w:color="auto" w:fill="C6EFCE"/>
            <w:vAlign w:val="center"/>
            <w:hideMark/>
          </w:tcPr>
          <w:p w14:paraId="2A8A40A6" w14:textId="77777777" w:rsidR="00154E32" w:rsidRDefault="00A43E04">
            <w:pPr>
              <w:pStyle w:val="P68B1DB1-Normal11"/>
              <w:jc w:val="center"/>
              <w:rPr>
                <w:noProof/>
              </w:rPr>
            </w:pPr>
            <w:r>
              <w:rPr>
                <w:noProof/>
              </w:rPr>
              <w:t>Mejnik</w:t>
            </w:r>
          </w:p>
        </w:tc>
        <w:tc>
          <w:tcPr>
            <w:tcW w:w="505" w:type="pct"/>
            <w:shd w:val="clear" w:color="auto" w:fill="C6EFCE"/>
            <w:vAlign w:val="center"/>
            <w:hideMark/>
          </w:tcPr>
          <w:p w14:paraId="14DEE577" w14:textId="77777777" w:rsidR="00154E32" w:rsidRDefault="00A43E04">
            <w:pPr>
              <w:pStyle w:val="P68B1DB1-Normal11"/>
              <w:jc w:val="center"/>
              <w:rPr>
                <w:noProof/>
              </w:rPr>
            </w:pPr>
            <w:r>
              <w:rPr>
                <w:noProof/>
              </w:rPr>
              <w:t>Naložbeno strategijo sklada odobri Ministrstvo za finance (MEF).</w:t>
            </w:r>
          </w:p>
        </w:tc>
        <w:tc>
          <w:tcPr>
            <w:tcW w:w="505" w:type="pct"/>
            <w:shd w:val="clear" w:color="auto" w:fill="C6EFCE"/>
            <w:vAlign w:val="center"/>
            <w:hideMark/>
          </w:tcPr>
          <w:p w14:paraId="4615D2CF" w14:textId="77777777" w:rsidR="00154E32" w:rsidRDefault="00A43E04">
            <w:pPr>
              <w:pStyle w:val="P68B1DB1-Normal11"/>
              <w:jc w:val="center"/>
              <w:rPr>
                <w:noProof/>
              </w:rPr>
            </w:pPr>
            <w:r>
              <w:rPr>
                <w:noProof/>
              </w:rPr>
              <w:t>Naložbeno strategijo sklada odobri ministrstvo za finance (MEF)</w:t>
            </w:r>
          </w:p>
        </w:tc>
        <w:tc>
          <w:tcPr>
            <w:tcW w:w="478" w:type="pct"/>
            <w:shd w:val="clear" w:color="auto" w:fill="C6EFCE"/>
            <w:vAlign w:val="center"/>
            <w:hideMark/>
          </w:tcPr>
          <w:p w14:paraId="4E451B1A" w14:textId="77777777" w:rsidR="00154E32" w:rsidRDefault="00A43E04">
            <w:pPr>
              <w:pStyle w:val="P68B1DB1-Normal11"/>
              <w:jc w:val="center"/>
              <w:rPr>
                <w:noProof/>
              </w:rPr>
            </w:pPr>
            <w:r>
              <w:rPr>
                <w:noProof/>
              </w:rPr>
              <w:t>JIH NI</w:t>
            </w:r>
          </w:p>
        </w:tc>
        <w:tc>
          <w:tcPr>
            <w:tcW w:w="318" w:type="pct"/>
            <w:shd w:val="clear" w:color="auto" w:fill="C6EFCE"/>
            <w:vAlign w:val="center"/>
            <w:hideMark/>
          </w:tcPr>
          <w:p w14:paraId="4C2D8E5C" w14:textId="77777777" w:rsidR="00154E32" w:rsidRDefault="00A43E04">
            <w:pPr>
              <w:pStyle w:val="P68B1DB1-Normal11"/>
              <w:jc w:val="center"/>
              <w:rPr>
                <w:noProof/>
              </w:rPr>
            </w:pPr>
            <w:r>
              <w:rPr>
                <w:noProof/>
              </w:rPr>
              <w:t>JIH NI</w:t>
            </w:r>
          </w:p>
        </w:tc>
        <w:tc>
          <w:tcPr>
            <w:tcW w:w="384" w:type="pct"/>
            <w:shd w:val="clear" w:color="auto" w:fill="C6EFCE"/>
            <w:vAlign w:val="center"/>
            <w:hideMark/>
          </w:tcPr>
          <w:p w14:paraId="0ABB3811" w14:textId="77777777" w:rsidR="00154E32" w:rsidRDefault="00A43E04">
            <w:pPr>
              <w:pStyle w:val="P68B1DB1-Normal11"/>
              <w:jc w:val="center"/>
              <w:rPr>
                <w:noProof/>
              </w:rPr>
            </w:pPr>
            <w:r>
              <w:rPr>
                <w:noProof/>
              </w:rPr>
              <w:t>JIH NI</w:t>
            </w:r>
          </w:p>
        </w:tc>
        <w:tc>
          <w:tcPr>
            <w:tcW w:w="275" w:type="pct"/>
            <w:shd w:val="clear" w:color="auto" w:fill="C6EFCE"/>
            <w:vAlign w:val="center"/>
            <w:hideMark/>
          </w:tcPr>
          <w:p w14:paraId="4B629315" w14:textId="77777777" w:rsidR="00154E32" w:rsidRDefault="00A43E04">
            <w:pPr>
              <w:pStyle w:val="P68B1DB1-Normal11"/>
              <w:jc w:val="center"/>
              <w:rPr>
                <w:noProof/>
              </w:rPr>
            </w:pPr>
            <w:r>
              <w:rPr>
                <w:noProof/>
              </w:rPr>
              <w:t>Q3</w:t>
            </w:r>
          </w:p>
        </w:tc>
        <w:tc>
          <w:tcPr>
            <w:tcW w:w="200" w:type="pct"/>
            <w:shd w:val="clear" w:color="auto" w:fill="C6EFCE"/>
            <w:vAlign w:val="center"/>
            <w:hideMark/>
          </w:tcPr>
          <w:p w14:paraId="1FB15B3B" w14:textId="77777777" w:rsidR="00154E32" w:rsidRDefault="00A43E04">
            <w:pPr>
              <w:pStyle w:val="P68B1DB1-Normal11"/>
              <w:jc w:val="center"/>
              <w:rPr>
                <w:noProof/>
              </w:rPr>
            </w:pPr>
            <w:r>
              <w:rPr>
                <w:noProof/>
              </w:rPr>
              <w:t>2022</w:t>
            </w:r>
          </w:p>
        </w:tc>
        <w:tc>
          <w:tcPr>
            <w:tcW w:w="1081" w:type="pct"/>
            <w:shd w:val="clear" w:color="auto" w:fill="C6EFCE"/>
            <w:vAlign w:val="center"/>
            <w:hideMark/>
          </w:tcPr>
          <w:p w14:paraId="7205AEA9" w14:textId="73863B7D" w:rsidR="00154E32" w:rsidRDefault="00A43E04">
            <w:pPr>
              <w:pStyle w:val="P68B1DB1-Normal11"/>
              <w:rPr>
                <w:rFonts w:eastAsia="Calibri"/>
                <w:noProof/>
              </w:rPr>
            </w:pPr>
            <w:r>
              <w:rPr>
                <w:noProof/>
              </w:rPr>
              <w:t>Naložbena strategija sklada opredeljuje najmanj: (I) naravo in obseg podprtih naložb, ki spodbujajo projekte trajnostne prenove in razvoja mest ter so v skladu s cilji mehanizma za okrevanje in odpornost, tudi v zvezi s skladnostjo z načelom, da se ne škoduje bistveno, kot je podrobneje opredeljeno v smernicah Komisije z dne 12. februarja 2021, (ii) podprte operacije, (iii) ciljne upravičence, ki so zasebni nosilci finančno samozadostnih projektov, za katere je javna podpora upravičena zaradi nedelovanja trga ali profila tveganja, ter njihovih meril za upravičenost, (iv) meril za upravičenost finančnih upravičencev in njihove izbire na podlagi javnega razpisa; (v) vključitev posebne vrstice za dostojne stanovanjske rešitve za delavce v kmetijskem in industrijskem sektorju ter (vi) določb za ponovno vlaganje morebitnih vrnjenih sredstev za iste cilje politike, tudi po letu 2026.</w:t>
            </w:r>
          </w:p>
          <w:p w14:paraId="5F0A8D7E" w14:textId="77777777" w:rsidR="00154E32" w:rsidRDefault="00154E32">
            <w:pPr>
              <w:rPr>
                <w:rFonts w:ascii="Arial Narrow" w:eastAsia="Calibri" w:hAnsi="Arial Narrow"/>
                <w:noProof/>
                <w:color w:val="006100"/>
                <w:sz w:val="20"/>
              </w:rPr>
            </w:pPr>
          </w:p>
          <w:p w14:paraId="32E2FD9B" w14:textId="77777777" w:rsidR="00154E32" w:rsidRDefault="00A43E04">
            <w:pPr>
              <w:pStyle w:val="P68B1DB1-Normal11"/>
              <w:rPr>
                <w:noProof/>
              </w:rPr>
            </w:pPr>
            <w:r>
              <w:rPr>
                <w:noProof/>
              </w:rPr>
              <w:t>Pogodbeni dogovor s pooblaščenim subjektom, ki zahteva uporabo smernic za načelo, da se ne škoduje bistveno, se zahteva uporaba smernic o načelu, da se ne škoduje bistveno.</w:t>
            </w:r>
          </w:p>
        </w:tc>
      </w:tr>
      <w:tr w:rsidR="00154E32" w14:paraId="717502E7" w14:textId="77777777">
        <w:trPr>
          <w:trHeight w:val="20"/>
          <w:jc w:val="center"/>
        </w:trPr>
        <w:tc>
          <w:tcPr>
            <w:tcW w:w="384" w:type="pct"/>
            <w:shd w:val="clear" w:color="auto" w:fill="C6EFCE"/>
            <w:vAlign w:val="center"/>
          </w:tcPr>
          <w:p w14:paraId="1BC32807" w14:textId="77777777" w:rsidR="00154E32" w:rsidRDefault="00A43E04">
            <w:pPr>
              <w:pStyle w:val="P68B1DB1-Normal11"/>
              <w:jc w:val="center"/>
              <w:rPr>
                <w:noProof/>
              </w:rPr>
            </w:pPr>
            <w:r>
              <w:rPr>
                <w:noProof/>
              </w:rPr>
              <w:t>M5C2–18</w:t>
            </w:r>
          </w:p>
        </w:tc>
        <w:tc>
          <w:tcPr>
            <w:tcW w:w="509" w:type="pct"/>
            <w:shd w:val="clear" w:color="auto" w:fill="C6EFCE"/>
            <w:vAlign w:val="center"/>
          </w:tcPr>
          <w:p w14:paraId="28E34300" w14:textId="77777777" w:rsidR="00154E32" w:rsidRDefault="00A43E04">
            <w:pPr>
              <w:pStyle w:val="P68B1DB1-Normal11"/>
              <w:jc w:val="center"/>
              <w:rPr>
                <w:rFonts w:eastAsia="Calibri"/>
                <w:noProof/>
              </w:rPr>
            </w:pPr>
            <w:r>
              <w:rPr>
                <w:noProof/>
              </w:rPr>
              <w:t>Naložba 5 – Celostni urbanistični načrti – sklad EIB – Sklad</w:t>
            </w:r>
          </w:p>
        </w:tc>
        <w:tc>
          <w:tcPr>
            <w:tcW w:w="361" w:type="pct"/>
            <w:shd w:val="clear" w:color="auto" w:fill="C6EFCE"/>
            <w:vAlign w:val="center"/>
          </w:tcPr>
          <w:p w14:paraId="318E2227" w14:textId="77777777" w:rsidR="00154E32" w:rsidRDefault="00A43E04">
            <w:pPr>
              <w:pStyle w:val="P68B1DB1-Normal11"/>
              <w:jc w:val="center"/>
              <w:rPr>
                <w:rFonts w:eastAsia="Calibri"/>
                <w:noProof/>
              </w:rPr>
            </w:pPr>
            <w:r>
              <w:rPr>
                <w:noProof/>
              </w:rPr>
              <w:t>Tarča</w:t>
            </w:r>
          </w:p>
        </w:tc>
        <w:tc>
          <w:tcPr>
            <w:tcW w:w="505" w:type="pct"/>
            <w:shd w:val="clear" w:color="auto" w:fill="C6EFCE"/>
            <w:vAlign w:val="center"/>
          </w:tcPr>
          <w:p w14:paraId="34C11320" w14:textId="77777777" w:rsidR="00154E32" w:rsidRDefault="00A43E04">
            <w:pPr>
              <w:pStyle w:val="P68B1DB1-Normal11"/>
              <w:jc w:val="center"/>
              <w:rPr>
                <w:rFonts w:eastAsia="Calibri"/>
                <w:noProof/>
              </w:rPr>
            </w:pPr>
            <w:r>
              <w:rPr>
                <w:noProof/>
              </w:rPr>
              <w:t>Denarna vrednost prispevka v tematski sklad in podpora urbanim projektom</w:t>
            </w:r>
          </w:p>
        </w:tc>
        <w:tc>
          <w:tcPr>
            <w:tcW w:w="505" w:type="pct"/>
            <w:shd w:val="clear" w:color="auto" w:fill="C6EFCE"/>
            <w:vAlign w:val="center"/>
          </w:tcPr>
          <w:p w14:paraId="6E078E1C" w14:textId="77777777" w:rsidR="00154E32" w:rsidRDefault="00A43E04">
            <w:pPr>
              <w:pStyle w:val="P68B1DB1-Normal11"/>
              <w:jc w:val="center"/>
              <w:rPr>
                <w:noProof/>
              </w:rPr>
            </w:pPr>
            <w:r>
              <w:rPr>
                <w:noProof/>
              </w:rPr>
              <w:t>JIH NI</w:t>
            </w:r>
          </w:p>
        </w:tc>
        <w:tc>
          <w:tcPr>
            <w:tcW w:w="478" w:type="pct"/>
            <w:shd w:val="clear" w:color="auto" w:fill="C6EFCE"/>
            <w:vAlign w:val="center"/>
          </w:tcPr>
          <w:p w14:paraId="32E3C00F" w14:textId="77777777" w:rsidR="00154E32" w:rsidRDefault="00A43E04">
            <w:pPr>
              <w:pStyle w:val="P68B1DB1-Normal11"/>
              <w:jc w:val="center"/>
              <w:rPr>
                <w:rFonts w:eastAsia="Calibri"/>
                <w:noProof/>
              </w:rPr>
            </w:pPr>
            <w:r>
              <w:rPr>
                <w:noProof/>
              </w:rPr>
              <w:t>EUR</w:t>
            </w:r>
          </w:p>
        </w:tc>
        <w:tc>
          <w:tcPr>
            <w:tcW w:w="318" w:type="pct"/>
            <w:shd w:val="clear" w:color="auto" w:fill="C6EFCE"/>
            <w:vAlign w:val="center"/>
          </w:tcPr>
          <w:p w14:paraId="664BCAE6" w14:textId="77777777" w:rsidR="00154E32" w:rsidRDefault="00A43E04">
            <w:pPr>
              <w:pStyle w:val="P68B1DB1-Normal11"/>
              <w:jc w:val="center"/>
              <w:rPr>
                <w:rFonts w:eastAsia="Calibri"/>
                <w:noProof/>
              </w:rPr>
            </w:pPr>
            <w:r>
              <w:rPr>
                <w:noProof/>
              </w:rPr>
              <w:t>0</w:t>
            </w:r>
          </w:p>
        </w:tc>
        <w:tc>
          <w:tcPr>
            <w:tcW w:w="384" w:type="pct"/>
            <w:shd w:val="clear" w:color="auto" w:fill="C6EFCE"/>
            <w:vAlign w:val="center"/>
          </w:tcPr>
          <w:p w14:paraId="04B3D664" w14:textId="76EFBA2E" w:rsidR="00154E32" w:rsidRDefault="00A43E04">
            <w:pPr>
              <w:pStyle w:val="P68B1DB1-Normal11"/>
              <w:jc w:val="center"/>
              <w:rPr>
                <w:rFonts w:eastAsia="Calibri"/>
                <w:noProof/>
              </w:rPr>
            </w:pPr>
            <w:r>
              <w:rPr>
                <w:noProof/>
              </w:rPr>
              <w:t>545 000 000</w:t>
            </w:r>
          </w:p>
        </w:tc>
        <w:tc>
          <w:tcPr>
            <w:tcW w:w="275" w:type="pct"/>
            <w:shd w:val="clear" w:color="auto" w:fill="C6EFCE"/>
            <w:vAlign w:val="center"/>
          </w:tcPr>
          <w:p w14:paraId="02345EF9" w14:textId="77777777" w:rsidR="00154E32" w:rsidRDefault="00A43E04">
            <w:pPr>
              <w:pStyle w:val="P68B1DB1-Normal11"/>
              <w:jc w:val="center"/>
              <w:rPr>
                <w:rFonts w:eastAsia="Calibri"/>
                <w:noProof/>
              </w:rPr>
            </w:pPr>
            <w:r>
              <w:rPr>
                <w:noProof/>
              </w:rPr>
              <w:t>Q2</w:t>
            </w:r>
          </w:p>
        </w:tc>
        <w:tc>
          <w:tcPr>
            <w:tcW w:w="200" w:type="pct"/>
            <w:shd w:val="clear" w:color="auto" w:fill="C6EFCE"/>
            <w:vAlign w:val="center"/>
          </w:tcPr>
          <w:p w14:paraId="2E2C231E" w14:textId="77777777" w:rsidR="00154E32" w:rsidRDefault="00A43E04">
            <w:pPr>
              <w:pStyle w:val="P68B1DB1-Normal11"/>
              <w:jc w:val="center"/>
              <w:rPr>
                <w:rFonts w:eastAsia="Calibri"/>
                <w:noProof/>
              </w:rPr>
            </w:pPr>
            <w:r>
              <w:rPr>
                <w:noProof/>
              </w:rPr>
              <w:t>2026</w:t>
            </w:r>
          </w:p>
        </w:tc>
        <w:tc>
          <w:tcPr>
            <w:tcW w:w="1081" w:type="pct"/>
            <w:shd w:val="clear" w:color="auto" w:fill="C6EFCE"/>
            <w:vAlign w:val="center"/>
          </w:tcPr>
          <w:p w14:paraId="6E4BF344" w14:textId="6F50A0FB" w:rsidR="00154E32" w:rsidRDefault="00A43E04">
            <w:pPr>
              <w:pStyle w:val="P68B1DB1-Normal11"/>
              <w:rPr>
                <w:rFonts w:eastAsia="Calibri"/>
                <w:noProof/>
              </w:rPr>
            </w:pPr>
            <w:r>
              <w:rPr>
                <w:noProof/>
              </w:rPr>
              <w:t>Vsaj 545 000 000 EUR je bilo prispevanih v tematski sklad.</w:t>
            </w:r>
          </w:p>
          <w:p w14:paraId="72C05F7A" w14:textId="77777777" w:rsidR="00154E32" w:rsidRDefault="00154E32">
            <w:pPr>
              <w:rPr>
                <w:rFonts w:ascii="Arial Narrow" w:hAnsi="Arial Narrow"/>
                <w:noProof/>
                <w:color w:val="006100"/>
                <w:sz w:val="20"/>
              </w:rPr>
            </w:pPr>
          </w:p>
          <w:p w14:paraId="591BBB30" w14:textId="77777777" w:rsidR="00154E32" w:rsidRDefault="00A43E04">
            <w:pPr>
              <w:pStyle w:val="P68B1DB1-Normal11"/>
              <w:rPr>
                <w:rFonts w:eastAsia="Calibri"/>
                <w:noProof/>
              </w:rPr>
            </w:pPr>
            <w:r>
              <w:rPr>
                <w:noProof/>
              </w:rPr>
              <w:t>Zadovoljivo izpolnjevanje cilja je odvisno tudi od zadovoljivega izpolnjevanja sekundarnega cilja: podpora vsaj 10 urbanim projektom.</w:t>
            </w:r>
          </w:p>
          <w:p w14:paraId="17E9019F" w14:textId="77777777" w:rsidR="00154E32" w:rsidRDefault="00154E32">
            <w:pPr>
              <w:rPr>
                <w:rFonts w:ascii="Arial Narrow" w:hAnsi="Arial Narrow"/>
                <w:noProof/>
                <w:color w:val="006100"/>
                <w:sz w:val="20"/>
              </w:rPr>
            </w:pPr>
          </w:p>
          <w:p w14:paraId="60EFFACA" w14:textId="295E15DA" w:rsidR="00154E32" w:rsidRDefault="00A43E04">
            <w:pPr>
              <w:pStyle w:val="P68B1DB1-Normal11"/>
              <w:rPr>
                <w:rFonts w:eastAsia="Calibri"/>
                <w:noProof/>
              </w:rPr>
            </w:pPr>
            <w:r>
              <w:rPr>
                <w:noProof/>
              </w:rPr>
              <w:t>Odobritev projektov v višini najmanj 545 000 000 EUR s strani investicijskega odbora sklada (katerega del je Ministrstvo za finance) in odobritev najmanj 10 projektov s strani investicijskega odbora sklada (katerega del je Ministrstvo za finance).</w:t>
            </w:r>
          </w:p>
        </w:tc>
      </w:tr>
      <w:tr w:rsidR="00154E32" w14:paraId="26366407" w14:textId="77777777">
        <w:trPr>
          <w:trHeight w:val="1291"/>
          <w:jc w:val="center"/>
        </w:trPr>
        <w:tc>
          <w:tcPr>
            <w:tcW w:w="384" w:type="pct"/>
            <w:shd w:val="clear" w:color="auto" w:fill="C6EFCE"/>
            <w:vAlign w:val="center"/>
            <w:hideMark/>
          </w:tcPr>
          <w:p w14:paraId="30FD4ADC" w14:textId="77777777" w:rsidR="00154E32" w:rsidRDefault="00A43E04">
            <w:pPr>
              <w:pStyle w:val="P68B1DB1-Normal11"/>
              <w:jc w:val="center"/>
              <w:rPr>
                <w:noProof/>
              </w:rPr>
            </w:pPr>
            <w:r>
              <w:rPr>
                <w:noProof/>
              </w:rPr>
              <w:t>M5C2–19</w:t>
            </w:r>
          </w:p>
        </w:tc>
        <w:tc>
          <w:tcPr>
            <w:tcW w:w="509" w:type="pct"/>
            <w:shd w:val="clear" w:color="auto" w:fill="C6EFCE"/>
            <w:vAlign w:val="center"/>
            <w:hideMark/>
          </w:tcPr>
          <w:p w14:paraId="002DA5FA" w14:textId="77777777" w:rsidR="00154E32" w:rsidRDefault="00A43E04">
            <w:pPr>
              <w:pStyle w:val="P68B1DB1-Normal11"/>
              <w:jc w:val="center"/>
              <w:rPr>
                <w:noProof/>
              </w:rPr>
            </w:pPr>
            <w:r>
              <w:rPr>
                <w:noProof/>
              </w:rPr>
              <w:t>Naložba 6 – Inovacijski program za kakovost stanovanj</w:t>
            </w:r>
          </w:p>
        </w:tc>
        <w:tc>
          <w:tcPr>
            <w:tcW w:w="361" w:type="pct"/>
            <w:shd w:val="clear" w:color="auto" w:fill="C6EFCE"/>
            <w:vAlign w:val="center"/>
            <w:hideMark/>
          </w:tcPr>
          <w:p w14:paraId="7245294E" w14:textId="77777777" w:rsidR="00154E32" w:rsidRDefault="00A43E04">
            <w:pPr>
              <w:pStyle w:val="P68B1DB1-Normal11"/>
              <w:jc w:val="center"/>
              <w:rPr>
                <w:noProof/>
              </w:rPr>
            </w:pPr>
            <w:r>
              <w:rPr>
                <w:noProof/>
              </w:rPr>
              <w:t>Mejnik</w:t>
            </w:r>
          </w:p>
        </w:tc>
        <w:tc>
          <w:tcPr>
            <w:tcW w:w="505" w:type="pct"/>
            <w:shd w:val="clear" w:color="auto" w:fill="C6EFCE"/>
            <w:vAlign w:val="center"/>
            <w:hideMark/>
          </w:tcPr>
          <w:p w14:paraId="624E8C19" w14:textId="77777777" w:rsidR="00154E32" w:rsidRDefault="00A43E04">
            <w:pPr>
              <w:pStyle w:val="P68B1DB1-Normal11"/>
              <w:jc w:val="center"/>
              <w:rPr>
                <w:noProof/>
              </w:rPr>
            </w:pPr>
            <w:r>
              <w:rPr>
                <w:noProof/>
              </w:rPr>
              <w:t>Regije in avtonomne pokrajine (vključno z občinami in/ali metropolitanskimi mesti na teh ozemljih) so podpisale sporazume o ponovnem razvoju in povečanju socialnih stanovanj</w:t>
            </w:r>
          </w:p>
        </w:tc>
        <w:tc>
          <w:tcPr>
            <w:tcW w:w="505" w:type="pct"/>
            <w:shd w:val="clear" w:color="auto" w:fill="C6EFCE"/>
            <w:vAlign w:val="center"/>
            <w:hideMark/>
          </w:tcPr>
          <w:p w14:paraId="7A617F8F" w14:textId="77777777" w:rsidR="00154E32" w:rsidRDefault="00A43E04">
            <w:pPr>
              <w:pStyle w:val="P68B1DB1-Normal11"/>
              <w:jc w:val="center"/>
              <w:rPr>
                <w:noProof/>
              </w:rPr>
            </w:pPr>
            <w:r>
              <w:rPr>
                <w:noProof/>
              </w:rPr>
              <w:t>Podpis sporazumov z lokalnimi organi</w:t>
            </w:r>
          </w:p>
        </w:tc>
        <w:tc>
          <w:tcPr>
            <w:tcW w:w="478" w:type="pct"/>
            <w:shd w:val="clear" w:color="auto" w:fill="C6EFCE"/>
            <w:vAlign w:val="center"/>
            <w:hideMark/>
          </w:tcPr>
          <w:p w14:paraId="0967810C" w14:textId="77777777" w:rsidR="00154E32" w:rsidRDefault="00A43E04">
            <w:pPr>
              <w:pStyle w:val="P68B1DB1-Normal11"/>
              <w:jc w:val="center"/>
              <w:rPr>
                <w:noProof/>
              </w:rPr>
            </w:pPr>
            <w:r>
              <w:rPr>
                <w:noProof/>
              </w:rPr>
              <w:t>JIH NI</w:t>
            </w:r>
          </w:p>
        </w:tc>
        <w:tc>
          <w:tcPr>
            <w:tcW w:w="318" w:type="pct"/>
            <w:shd w:val="clear" w:color="auto" w:fill="C6EFCE"/>
            <w:vAlign w:val="center"/>
            <w:hideMark/>
          </w:tcPr>
          <w:p w14:paraId="62CE52A5" w14:textId="77777777" w:rsidR="00154E32" w:rsidRDefault="00A43E04">
            <w:pPr>
              <w:pStyle w:val="P68B1DB1-Normal11"/>
              <w:jc w:val="center"/>
              <w:rPr>
                <w:noProof/>
              </w:rPr>
            </w:pPr>
            <w:r>
              <w:rPr>
                <w:noProof/>
              </w:rPr>
              <w:t>JIH NI</w:t>
            </w:r>
          </w:p>
        </w:tc>
        <w:tc>
          <w:tcPr>
            <w:tcW w:w="384" w:type="pct"/>
            <w:shd w:val="clear" w:color="auto" w:fill="C6EFCE"/>
            <w:vAlign w:val="center"/>
            <w:hideMark/>
          </w:tcPr>
          <w:p w14:paraId="20456101" w14:textId="77777777" w:rsidR="00154E32" w:rsidRDefault="00A43E04">
            <w:pPr>
              <w:pStyle w:val="P68B1DB1-Normal11"/>
              <w:jc w:val="center"/>
              <w:rPr>
                <w:noProof/>
              </w:rPr>
            </w:pPr>
            <w:r>
              <w:rPr>
                <w:noProof/>
              </w:rPr>
              <w:t>JIH NI</w:t>
            </w:r>
          </w:p>
        </w:tc>
        <w:tc>
          <w:tcPr>
            <w:tcW w:w="275" w:type="pct"/>
            <w:shd w:val="clear" w:color="auto" w:fill="C6EFCE"/>
            <w:vAlign w:val="center"/>
            <w:hideMark/>
          </w:tcPr>
          <w:p w14:paraId="20A72DC5" w14:textId="77777777" w:rsidR="00154E32" w:rsidRDefault="00A43E04">
            <w:pPr>
              <w:pStyle w:val="P68B1DB1-Normal11"/>
              <w:jc w:val="center"/>
              <w:rPr>
                <w:noProof/>
              </w:rPr>
            </w:pPr>
            <w:r>
              <w:rPr>
                <w:noProof/>
              </w:rPr>
              <w:t>ČETRTLETJE 1</w:t>
            </w:r>
          </w:p>
        </w:tc>
        <w:tc>
          <w:tcPr>
            <w:tcW w:w="200" w:type="pct"/>
            <w:shd w:val="clear" w:color="auto" w:fill="C6EFCE"/>
            <w:vAlign w:val="center"/>
            <w:hideMark/>
          </w:tcPr>
          <w:p w14:paraId="4893A034" w14:textId="77777777" w:rsidR="00154E32" w:rsidRDefault="00A43E04">
            <w:pPr>
              <w:pStyle w:val="P68B1DB1-Normal11"/>
              <w:jc w:val="center"/>
              <w:rPr>
                <w:noProof/>
              </w:rPr>
            </w:pPr>
            <w:r>
              <w:rPr>
                <w:noProof/>
              </w:rPr>
              <w:t>2022</w:t>
            </w:r>
          </w:p>
        </w:tc>
        <w:tc>
          <w:tcPr>
            <w:tcW w:w="1081" w:type="pct"/>
            <w:shd w:val="clear" w:color="auto" w:fill="C6EFCE"/>
            <w:vAlign w:val="center"/>
            <w:hideMark/>
          </w:tcPr>
          <w:p w14:paraId="6275C939" w14:textId="77777777" w:rsidR="00154E32" w:rsidRDefault="00A43E04">
            <w:pPr>
              <w:pStyle w:val="P68B1DB1-Normal11"/>
              <w:rPr>
                <w:noProof/>
              </w:rPr>
            </w:pPr>
            <w:r>
              <w:rPr>
                <w:noProof/>
              </w:rPr>
              <w:t>Sporazume o ponovnem razvoju in povečanju števila socialnih stanovanj je podpisalo vsaj 15 regij in avtonomnih pokrajin (vključno z občinami in/ali metropolitanskimi mesti na teh ozemljih).</w:t>
            </w:r>
          </w:p>
          <w:p w14:paraId="5BB583D8" w14:textId="77777777" w:rsidR="00154E32" w:rsidRDefault="00A43E04">
            <w:pPr>
              <w:pStyle w:val="P68B1DB1-Normal11"/>
              <w:rPr>
                <w:noProof/>
              </w:rPr>
            </w:pPr>
            <w:r>
              <w:rPr>
                <w:noProof/>
              </w:rPr>
              <w:t xml:space="preserve"> </w:t>
            </w:r>
          </w:p>
          <w:p w14:paraId="5D8FE423" w14:textId="77777777" w:rsidR="00154E32" w:rsidRDefault="00A43E04">
            <w:pPr>
              <w:pStyle w:val="P68B1DB1-Normal11"/>
              <w:rPr>
                <w:rFonts w:eastAsia="Calibri"/>
                <w:noProof/>
              </w:rPr>
            </w:pPr>
            <w:r>
              <w:rPr>
                <w:noProof/>
              </w:rPr>
              <w:t>Sporazumi, podpisani z najmanj 15 regijami in avtonomnimi provincami, vključenimi v projekte. </w:t>
            </w:r>
          </w:p>
          <w:p w14:paraId="742FF76A" w14:textId="77777777" w:rsidR="00154E32" w:rsidRDefault="00154E32">
            <w:pPr>
              <w:rPr>
                <w:rFonts w:ascii="Arial Narrow" w:eastAsia="Calibri" w:hAnsi="Arial Narrow"/>
                <w:noProof/>
                <w:color w:val="006100"/>
                <w:sz w:val="20"/>
              </w:rPr>
            </w:pPr>
          </w:p>
          <w:p w14:paraId="6F33A281" w14:textId="77777777" w:rsidR="00154E32" w:rsidRDefault="00A43E04">
            <w:pPr>
              <w:pStyle w:val="P68B1DB1-Normal11"/>
              <w:rPr>
                <w:rFonts w:eastAsia="Calibri"/>
                <w:noProof/>
              </w:rPr>
            </w:pPr>
            <w:r>
              <w:rPr>
                <w:noProof/>
              </w:rPr>
              <w:t>Stavba: nova javna stanovanja za:</w:t>
            </w:r>
          </w:p>
          <w:p w14:paraId="2AEE1897" w14:textId="77777777" w:rsidR="00154E32" w:rsidRDefault="00154E32">
            <w:pPr>
              <w:rPr>
                <w:rFonts w:ascii="Arial Narrow" w:eastAsia="Calibri" w:hAnsi="Arial Narrow"/>
                <w:noProof/>
                <w:color w:val="006100"/>
                <w:sz w:val="20"/>
              </w:rPr>
            </w:pPr>
          </w:p>
          <w:p w14:paraId="2BEA197E" w14:textId="77777777" w:rsidR="00154E32" w:rsidRDefault="00A43E04">
            <w:pPr>
              <w:pStyle w:val="P68B1DB1-Normal11"/>
              <w:rPr>
                <w:noProof/>
              </w:rPr>
            </w:pPr>
            <w:r>
              <w:rPr>
                <w:noProof/>
              </w:rPr>
              <w:t>prenova, reorganizacija in povečanje sredstev, namenjenih za javna stanovanja;</w:t>
            </w:r>
          </w:p>
          <w:p w14:paraId="24BF0D85" w14:textId="77777777" w:rsidR="00154E32" w:rsidRDefault="00A43E04">
            <w:pPr>
              <w:pStyle w:val="P68B1DB1-Normal11"/>
              <w:rPr>
                <w:noProof/>
              </w:rPr>
            </w:pPr>
            <w:r>
              <w:rPr>
                <w:noProof/>
              </w:rPr>
              <w:t>ponovno delovanje območij, prostorov ter javnih in zasebnih nepremičnin, tudi z obnovo mestnega in socialno-ekonomskega tkiva;</w:t>
            </w:r>
          </w:p>
          <w:p w14:paraId="1BAD8E4D" w14:textId="77777777" w:rsidR="00154E32" w:rsidRDefault="00A43E04">
            <w:pPr>
              <w:pStyle w:val="P68B1DB1-Normal11"/>
              <w:rPr>
                <w:noProof/>
              </w:rPr>
            </w:pPr>
            <w:r>
              <w:rPr>
                <w:noProof/>
              </w:rPr>
              <w:t>izboljšati dostopnost in varnost mestnih območij ter zagotavljanje storitev in mestno-lokalne infrastrukture;</w:t>
            </w:r>
          </w:p>
          <w:p w14:paraId="1509A799" w14:textId="77777777" w:rsidR="00154E32" w:rsidRDefault="00A43E04">
            <w:pPr>
              <w:pStyle w:val="P68B1DB1-Normal11"/>
              <w:rPr>
                <w:noProof/>
              </w:rPr>
            </w:pPr>
            <w:r>
              <w:rPr>
                <w:noProof/>
              </w:rPr>
              <w:t>obnavljati že zgrajena območja in prostore, povečati kakovost okolja in izboljšati odpornost proti podnebnim spremembam, tudi z operacijami, ki vplivajo na zgoščevanje mest;</w:t>
            </w:r>
          </w:p>
          <w:p w14:paraId="03C6732F" w14:textId="00D69554" w:rsidR="00154E32" w:rsidRDefault="00A43E04">
            <w:pPr>
              <w:pStyle w:val="P68B1DB1-Normal11"/>
              <w:rPr>
                <w:rFonts w:eastAsia="Calibri"/>
                <w:noProof/>
              </w:rPr>
            </w:pPr>
            <w:r>
              <w:rPr>
                <w:noProof/>
              </w:rPr>
              <w:t>opredelitev in uporaba inovativnih modelov in orodij upravljanja in vključevanja, socialne in mestne blaginje ter participativnih procesov.</w:t>
            </w:r>
          </w:p>
          <w:p w14:paraId="6F3D8579" w14:textId="77777777" w:rsidR="00154E32" w:rsidRDefault="00A43E04">
            <w:pPr>
              <w:pStyle w:val="P68B1DB1-Normal11"/>
              <w:rPr>
                <w:noProof/>
              </w:rPr>
            </w:pPr>
            <w:r>
              <w:rPr>
                <w:noProof/>
              </w:rPr>
              <w:t>Stanovanjske enote in podprti javni prostori naj bi imeli koristi od dejavnosti, opisanih v povezanem mejniku.</w:t>
            </w:r>
          </w:p>
        </w:tc>
      </w:tr>
      <w:tr w:rsidR="00154E32" w14:paraId="360892D4" w14:textId="77777777">
        <w:trPr>
          <w:trHeight w:val="20"/>
          <w:jc w:val="center"/>
        </w:trPr>
        <w:tc>
          <w:tcPr>
            <w:tcW w:w="384" w:type="pct"/>
            <w:shd w:val="clear" w:color="auto" w:fill="C6EFCE"/>
            <w:vAlign w:val="center"/>
            <w:hideMark/>
          </w:tcPr>
          <w:p w14:paraId="0FA817C5" w14:textId="77777777" w:rsidR="00154E32" w:rsidRDefault="00A43E04">
            <w:pPr>
              <w:pStyle w:val="P68B1DB1-Normal11"/>
              <w:jc w:val="center"/>
              <w:rPr>
                <w:noProof/>
              </w:rPr>
            </w:pPr>
            <w:r>
              <w:rPr>
                <w:noProof/>
              </w:rPr>
              <w:t>M5C2–20</w:t>
            </w:r>
          </w:p>
        </w:tc>
        <w:tc>
          <w:tcPr>
            <w:tcW w:w="509" w:type="pct"/>
            <w:shd w:val="clear" w:color="auto" w:fill="C6EFCE"/>
            <w:vAlign w:val="center"/>
            <w:hideMark/>
          </w:tcPr>
          <w:p w14:paraId="3EA48F06" w14:textId="77777777" w:rsidR="00154E32" w:rsidRDefault="00A43E04">
            <w:pPr>
              <w:pStyle w:val="P68B1DB1-Normal11"/>
              <w:jc w:val="center"/>
              <w:rPr>
                <w:noProof/>
              </w:rPr>
            </w:pPr>
            <w:r>
              <w:rPr>
                <w:noProof/>
              </w:rPr>
              <w:t>Naložba 6 – Inovacijski program za kakovost stanovanj</w:t>
            </w:r>
          </w:p>
        </w:tc>
        <w:tc>
          <w:tcPr>
            <w:tcW w:w="361" w:type="pct"/>
            <w:shd w:val="clear" w:color="auto" w:fill="C6EFCE"/>
            <w:vAlign w:val="center"/>
            <w:hideMark/>
          </w:tcPr>
          <w:p w14:paraId="4A0FA455" w14:textId="77777777" w:rsidR="00154E32" w:rsidRDefault="00A43E04">
            <w:pPr>
              <w:pStyle w:val="P68B1DB1-Normal11"/>
              <w:jc w:val="center"/>
              <w:rPr>
                <w:noProof/>
              </w:rPr>
            </w:pPr>
            <w:r>
              <w:rPr>
                <w:noProof/>
              </w:rPr>
              <w:t>Tarča</w:t>
            </w:r>
          </w:p>
        </w:tc>
        <w:tc>
          <w:tcPr>
            <w:tcW w:w="505" w:type="pct"/>
            <w:shd w:val="clear" w:color="auto" w:fill="C6EFCE"/>
            <w:vAlign w:val="center"/>
            <w:hideMark/>
          </w:tcPr>
          <w:p w14:paraId="552031D6" w14:textId="77777777" w:rsidR="00154E32" w:rsidRDefault="00A43E04">
            <w:pPr>
              <w:pStyle w:val="P68B1DB1-Normal11"/>
              <w:jc w:val="center"/>
              <w:rPr>
                <w:noProof/>
              </w:rPr>
            </w:pPr>
            <w:r>
              <w:rPr>
                <w:noProof/>
              </w:rPr>
              <w:t>Število podprtih stanovanjskih enot (v smislu gradnje in sanacije) in kvadratnih metrov podprtih javnih prostorov</w:t>
            </w:r>
          </w:p>
        </w:tc>
        <w:tc>
          <w:tcPr>
            <w:tcW w:w="505" w:type="pct"/>
            <w:shd w:val="clear" w:color="auto" w:fill="C6EFCE"/>
            <w:vAlign w:val="center"/>
            <w:hideMark/>
          </w:tcPr>
          <w:p w14:paraId="4F24BA3B" w14:textId="77777777" w:rsidR="00154E32" w:rsidRDefault="00A43E04">
            <w:pPr>
              <w:pStyle w:val="P68B1DB1-Normal11"/>
              <w:jc w:val="center"/>
              <w:rPr>
                <w:noProof/>
              </w:rPr>
            </w:pPr>
            <w:r>
              <w:rPr>
                <w:noProof/>
              </w:rPr>
              <w:t>JIH NI</w:t>
            </w:r>
          </w:p>
        </w:tc>
        <w:tc>
          <w:tcPr>
            <w:tcW w:w="478" w:type="pct"/>
            <w:shd w:val="clear" w:color="auto" w:fill="C6EFCE"/>
            <w:vAlign w:val="center"/>
            <w:hideMark/>
          </w:tcPr>
          <w:p w14:paraId="4F093AF4" w14:textId="77777777" w:rsidR="00154E32" w:rsidRDefault="00A43E04">
            <w:pPr>
              <w:pStyle w:val="P68B1DB1-Normal11"/>
              <w:jc w:val="center"/>
              <w:rPr>
                <w:noProof/>
              </w:rPr>
            </w:pPr>
            <w:r>
              <w:rPr>
                <w:noProof/>
              </w:rPr>
              <w:t>Število</w:t>
            </w:r>
          </w:p>
        </w:tc>
        <w:tc>
          <w:tcPr>
            <w:tcW w:w="318" w:type="pct"/>
            <w:shd w:val="clear" w:color="auto" w:fill="C6EFCE"/>
            <w:vAlign w:val="center"/>
            <w:hideMark/>
          </w:tcPr>
          <w:p w14:paraId="30279475" w14:textId="77777777" w:rsidR="00154E32" w:rsidRDefault="00A43E04">
            <w:pPr>
              <w:pStyle w:val="P68B1DB1-Normal11"/>
              <w:jc w:val="center"/>
              <w:rPr>
                <w:noProof/>
              </w:rPr>
            </w:pPr>
            <w:r>
              <w:rPr>
                <w:noProof/>
              </w:rPr>
              <w:t>0</w:t>
            </w:r>
          </w:p>
        </w:tc>
        <w:tc>
          <w:tcPr>
            <w:tcW w:w="384" w:type="pct"/>
            <w:shd w:val="clear" w:color="auto" w:fill="C6EFCE"/>
            <w:vAlign w:val="center"/>
            <w:hideMark/>
          </w:tcPr>
          <w:p w14:paraId="797722F8" w14:textId="544280A5" w:rsidR="00154E32" w:rsidRDefault="00A43E04">
            <w:pPr>
              <w:pStyle w:val="P68B1DB1-Normal11"/>
              <w:jc w:val="center"/>
              <w:rPr>
                <w:noProof/>
              </w:rPr>
            </w:pPr>
            <w:r>
              <w:rPr>
                <w:noProof/>
              </w:rPr>
              <w:t>10 000</w:t>
            </w:r>
          </w:p>
        </w:tc>
        <w:tc>
          <w:tcPr>
            <w:tcW w:w="275" w:type="pct"/>
            <w:shd w:val="clear" w:color="auto" w:fill="C6EFCE"/>
            <w:vAlign w:val="center"/>
            <w:hideMark/>
          </w:tcPr>
          <w:p w14:paraId="6A857575" w14:textId="77777777" w:rsidR="00154E32" w:rsidRDefault="00A43E04">
            <w:pPr>
              <w:pStyle w:val="P68B1DB1-Normal11"/>
              <w:jc w:val="center"/>
              <w:rPr>
                <w:noProof/>
              </w:rPr>
            </w:pPr>
            <w:r>
              <w:rPr>
                <w:noProof/>
              </w:rPr>
              <w:t>ČETRTLETJE 1</w:t>
            </w:r>
          </w:p>
        </w:tc>
        <w:tc>
          <w:tcPr>
            <w:tcW w:w="200" w:type="pct"/>
            <w:shd w:val="clear" w:color="auto" w:fill="C6EFCE"/>
            <w:vAlign w:val="center"/>
            <w:hideMark/>
          </w:tcPr>
          <w:p w14:paraId="1CF802F7" w14:textId="77777777" w:rsidR="00154E32" w:rsidRDefault="00A43E04">
            <w:pPr>
              <w:pStyle w:val="P68B1DB1-Normal11"/>
              <w:rPr>
                <w:noProof/>
              </w:rPr>
            </w:pPr>
            <w:r>
              <w:rPr>
                <w:noProof/>
              </w:rPr>
              <w:t>2026</w:t>
            </w:r>
          </w:p>
        </w:tc>
        <w:tc>
          <w:tcPr>
            <w:tcW w:w="1081" w:type="pct"/>
            <w:shd w:val="clear" w:color="auto" w:fill="C6EFCE"/>
            <w:vAlign w:val="center"/>
            <w:hideMark/>
          </w:tcPr>
          <w:p w14:paraId="71968210" w14:textId="3AEE8B0F" w:rsidR="00154E32" w:rsidRDefault="00A43E04">
            <w:pPr>
              <w:pStyle w:val="P68B1DB1-Normal11"/>
              <w:rPr>
                <w:noProof/>
              </w:rPr>
            </w:pPr>
            <w:r>
              <w:rPr>
                <w:noProof/>
              </w:rPr>
              <w:t>Podpora za vsaj 10000 stanovanjskih enot, ki prejemajo podporo (v smislu gradnje in sanacije). Zadovoljivo izpolnjevanje cilja je odvisno tudi od zadovoljivega izpolnjevanja sekundarnega cilja, ki pokriva vsaj 800000 kvadratnih metrov javnih prostorov.</w:t>
            </w:r>
          </w:p>
        </w:tc>
      </w:tr>
      <w:tr w:rsidR="00154E32" w14:paraId="0D32E2A1" w14:textId="77777777">
        <w:trPr>
          <w:trHeight w:val="6917"/>
          <w:jc w:val="center"/>
        </w:trPr>
        <w:tc>
          <w:tcPr>
            <w:tcW w:w="384" w:type="pct"/>
            <w:shd w:val="clear" w:color="auto" w:fill="C6EFCE"/>
            <w:vAlign w:val="center"/>
            <w:hideMark/>
          </w:tcPr>
          <w:p w14:paraId="01F5A1F7" w14:textId="77777777" w:rsidR="00154E32" w:rsidRDefault="00A43E04">
            <w:pPr>
              <w:pStyle w:val="P68B1DB1-Normal11"/>
              <w:jc w:val="center"/>
              <w:rPr>
                <w:noProof/>
              </w:rPr>
            </w:pPr>
            <w:r>
              <w:rPr>
                <w:noProof/>
              </w:rPr>
              <w:t>M5C2–21</w:t>
            </w:r>
          </w:p>
        </w:tc>
        <w:tc>
          <w:tcPr>
            <w:tcW w:w="509" w:type="pct"/>
            <w:shd w:val="clear" w:color="auto" w:fill="C6EFCE"/>
            <w:vAlign w:val="center"/>
            <w:hideMark/>
          </w:tcPr>
          <w:p w14:paraId="47533721" w14:textId="77777777" w:rsidR="00154E32" w:rsidRDefault="00A43E04">
            <w:pPr>
              <w:pStyle w:val="P68B1DB1-Normal11"/>
              <w:jc w:val="center"/>
              <w:rPr>
                <w:noProof/>
              </w:rPr>
            </w:pPr>
            <w:r>
              <w:rPr>
                <w:noProof/>
              </w:rPr>
              <w:t>Naložba 7 – Projekt za šport in socialno vključenost</w:t>
            </w:r>
          </w:p>
        </w:tc>
        <w:tc>
          <w:tcPr>
            <w:tcW w:w="361" w:type="pct"/>
            <w:shd w:val="clear" w:color="auto" w:fill="C6EFCE"/>
            <w:vAlign w:val="center"/>
            <w:hideMark/>
          </w:tcPr>
          <w:p w14:paraId="5E76C1E2" w14:textId="77777777" w:rsidR="00154E32" w:rsidRDefault="00A43E04">
            <w:pPr>
              <w:pStyle w:val="P68B1DB1-Normal11"/>
              <w:jc w:val="center"/>
              <w:rPr>
                <w:noProof/>
              </w:rPr>
            </w:pPr>
            <w:r>
              <w:rPr>
                <w:noProof/>
              </w:rPr>
              <w:t>Mejnik</w:t>
            </w:r>
          </w:p>
        </w:tc>
        <w:tc>
          <w:tcPr>
            <w:tcW w:w="505" w:type="pct"/>
            <w:shd w:val="clear" w:color="auto" w:fill="C6EFCE"/>
            <w:vAlign w:val="center"/>
            <w:hideMark/>
          </w:tcPr>
          <w:p w14:paraId="0CF8E43B" w14:textId="77777777" w:rsidR="00154E32" w:rsidRDefault="00A43E04">
            <w:pPr>
              <w:pStyle w:val="P68B1DB1-Normal11"/>
              <w:jc w:val="center"/>
              <w:rPr>
                <w:noProof/>
              </w:rPr>
            </w:pPr>
            <w:r>
              <w:rPr>
                <w:noProof/>
              </w:rPr>
              <w:t>Oddaja vseh javnih naročil za projekte na področju športa in socialne vključenosti na podlagi javnega razpisa za zbiranje predlogov</w:t>
            </w:r>
          </w:p>
        </w:tc>
        <w:tc>
          <w:tcPr>
            <w:tcW w:w="505" w:type="pct"/>
            <w:shd w:val="clear" w:color="auto" w:fill="C6EFCE"/>
            <w:vAlign w:val="center"/>
            <w:hideMark/>
          </w:tcPr>
          <w:p w14:paraId="435858D7" w14:textId="77777777" w:rsidR="00154E32" w:rsidRDefault="00A43E04">
            <w:pPr>
              <w:pStyle w:val="P68B1DB1-Normal11"/>
              <w:jc w:val="center"/>
              <w:rPr>
                <w:noProof/>
              </w:rPr>
            </w:pPr>
            <w:r>
              <w:rPr>
                <w:noProof/>
              </w:rPr>
              <w:t>Obvestilo o oddaji vseh javnih naročil za projekte na področju športa in socialne vključenosti</w:t>
            </w:r>
          </w:p>
        </w:tc>
        <w:tc>
          <w:tcPr>
            <w:tcW w:w="478" w:type="pct"/>
            <w:shd w:val="clear" w:color="auto" w:fill="C6EFCE"/>
            <w:vAlign w:val="center"/>
            <w:hideMark/>
          </w:tcPr>
          <w:p w14:paraId="2F550CCB" w14:textId="77777777" w:rsidR="00154E32" w:rsidRDefault="00A43E04">
            <w:pPr>
              <w:pStyle w:val="P68B1DB1-Normal11"/>
              <w:jc w:val="center"/>
              <w:rPr>
                <w:noProof/>
              </w:rPr>
            </w:pPr>
            <w:r>
              <w:rPr>
                <w:noProof/>
              </w:rPr>
              <w:t>JIH NI</w:t>
            </w:r>
          </w:p>
        </w:tc>
        <w:tc>
          <w:tcPr>
            <w:tcW w:w="318" w:type="pct"/>
            <w:shd w:val="clear" w:color="auto" w:fill="C6EFCE"/>
            <w:vAlign w:val="center"/>
            <w:hideMark/>
          </w:tcPr>
          <w:p w14:paraId="6CD895AB" w14:textId="77777777" w:rsidR="00154E32" w:rsidRDefault="00A43E04">
            <w:pPr>
              <w:pStyle w:val="P68B1DB1-Normal11"/>
              <w:jc w:val="center"/>
              <w:rPr>
                <w:noProof/>
              </w:rPr>
            </w:pPr>
            <w:r>
              <w:rPr>
                <w:noProof/>
              </w:rPr>
              <w:t>JIH NI</w:t>
            </w:r>
          </w:p>
        </w:tc>
        <w:tc>
          <w:tcPr>
            <w:tcW w:w="384" w:type="pct"/>
            <w:shd w:val="clear" w:color="auto" w:fill="C6EFCE"/>
            <w:vAlign w:val="center"/>
            <w:hideMark/>
          </w:tcPr>
          <w:p w14:paraId="4BF2BDBA" w14:textId="77777777" w:rsidR="00154E32" w:rsidRDefault="00A43E04">
            <w:pPr>
              <w:pStyle w:val="P68B1DB1-Normal11"/>
              <w:jc w:val="center"/>
              <w:rPr>
                <w:noProof/>
              </w:rPr>
            </w:pPr>
            <w:r>
              <w:rPr>
                <w:noProof/>
              </w:rPr>
              <w:t>JIH NI</w:t>
            </w:r>
          </w:p>
        </w:tc>
        <w:tc>
          <w:tcPr>
            <w:tcW w:w="275" w:type="pct"/>
            <w:shd w:val="clear" w:color="auto" w:fill="C6EFCE"/>
            <w:vAlign w:val="center"/>
            <w:hideMark/>
          </w:tcPr>
          <w:p w14:paraId="3A65651B" w14:textId="77777777" w:rsidR="00154E32" w:rsidRDefault="00A43E04">
            <w:pPr>
              <w:pStyle w:val="P68B1DB1-Normal11"/>
              <w:jc w:val="center"/>
              <w:rPr>
                <w:noProof/>
              </w:rPr>
            </w:pPr>
            <w:r>
              <w:rPr>
                <w:noProof/>
              </w:rPr>
              <w:t>ČETRTLETJE 1</w:t>
            </w:r>
          </w:p>
        </w:tc>
        <w:tc>
          <w:tcPr>
            <w:tcW w:w="200" w:type="pct"/>
            <w:shd w:val="clear" w:color="auto" w:fill="C6EFCE"/>
            <w:vAlign w:val="center"/>
            <w:hideMark/>
          </w:tcPr>
          <w:p w14:paraId="5EE4A329" w14:textId="77777777" w:rsidR="00154E32" w:rsidRDefault="00A43E04">
            <w:pPr>
              <w:pStyle w:val="P68B1DB1-Normal11"/>
              <w:jc w:val="center"/>
              <w:rPr>
                <w:noProof/>
              </w:rPr>
            </w:pPr>
            <w:r>
              <w:rPr>
                <w:noProof/>
              </w:rPr>
              <w:t>2023</w:t>
            </w:r>
          </w:p>
        </w:tc>
        <w:tc>
          <w:tcPr>
            <w:tcW w:w="1081" w:type="pct"/>
            <w:shd w:val="clear" w:color="auto" w:fill="C6EFCE"/>
            <w:vAlign w:val="center"/>
            <w:hideMark/>
          </w:tcPr>
          <w:p w14:paraId="04543A62" w14:textId="77777777" w:rsidR="00154E32" w:rsidRDefault="00A43E04">
            <w:pPr>
              <w:pStyle w:val="P68B1DB1-Normal11"/>
              <w:rPr>
                <w:rFonts w:eastAsia="Calibri"/>
                <w:noProof/>
              </w:rPr>
            </w:pPr>
            <w:r>
              <w:rPr>
                <w:noProof/>
              </w:rPr>
              <w:t>Obvestilo o oddaji javnih naročil, ki vsebuje vsaj enega od naslednjih elementov:</w:t>
            </w:r>
          </w:p>
          <w:p w14:paraId="2E5076F4" w14:textId="77777777" w:rsidR="00154E32" w:rsidRDefault="00154E32">
            <w:pPr>
              <w:rPr>
                <w:rFonts w:ascii="Arial Narrow" w:hAnsi="Arial Narrow"/>
                <w:noProof/>
                <w:color w:val="006100"/>
                <w:sz w:val="20"/>
              </w:rPr>
            </w:pPr>
          </w:p>
          <w:p w14:paraId="5FF02EB4" w14:textId="77777777" w:rsidR="00154E32" w:rsidRDefault="00A43E04">
            <w:pPr>
              <w:pStyle w:val="P68B1DB1-Normal11"/>
              <w:rPr>
                <w:noProof/>
              </w:rPr>
            </w:pPr>
            <w:r>
              <w:rPr>
                <w:noProof/>
              </w:rPr>
              <w:t>1. gradnja novih športnih objektov na območjih države z omejenimi možnostmi;</w:t>
            </w:r>
          </w:p>
          <w:p w14:paraId="1C3C94D9" w14:textId="77777777" w:rsidR="00154E32" w:rsidRDefault="00A43E04">
            <w:pPr>
              <w:pStyle w:val="P68B1DB1-Normal11"/>
              <w:rPr>
                <w:noProof/>
              </w:rPr>
            </w:pPr>
            <w:r>
              <w:rPr>
                <w:noProof/>
              </w:rPr>
              <w:t>2. zagotavljanje športne opreme, vključno z uporabo tehnologije v športu);</w:t>
            </w:r>
          </w:p>
          <w:p w14:paraId="5B26FA0F" w14:textId="1832F17B" w:rsidR="00154E32" w:rsidRDefault="00A43E04">
            <w:pPr>
              <w:pStyle w:val="P68B1DB1-Normal11"/>
              <w:rPr>
                <w:rFonts w:eastAsia="Calibri"/>
                <w:noProof/>
              </w:rPr>
            </w:pPr>
            <w:r>
              <w:rPr>
                <w:noProof/>
              </w:rPr>
              <w:t>3. Prekvalificiranje in prilagoditev obstoječih športnih objektov (na primer: odstranitev arhitekturnih ovir, energijska učinkovitost itd.).</w:t>
            </w:r>
          </w:p>
          <w:p w14:paraId="0153F841" w14:textId="77777777" w:rsidR="00154E32" w:rsidRDefault="00154E32">
            <w:pPr>
              <w:rPr>
                <w:rFonts w:ascii="Arial Narrow" w:hAnsi="Arial Narrow"/>
                <w:noProof/>
                <w:color w:val="006100"/>
                <w:sz w:val="20"/>
              </w:rPr>
            </w:pPr>
          </w:p>
          <w:p w14:paraId="0D67912F" w14:textId="77777777" w:rsidR="00154E32" w:rsidRDefault="00A43E04">
            <w:pPr>
              <w:pStyle w:val="P68B1DB1-Normal11"/>
              <w:rPr>
                <w:noProof/>
              </w:rPr>
            </w:pPr>
            <w:r>
              <w:rPr>
                <w:noProof/>
              </w:rPr>
              <w:t>Cilj projekta je zagotoviti obnovo mestnih območij s poudarkom na športnih objektih, da se spodbudita socialna vključenost in vključevanje, zlasti na najbolj ogroženih območjih Italije.</w:t>
            </w:r>
          </w:p>
          <w:p w14:paraId="59397B0F" w14:textId="77777777" w:rsidR="00154E32" w:rsidRDefault="00A43E04">
            <w:pPr>
              <w:pStyle w:val="P68B1DB1-Normal11"/>
              <w:rPr>
                <w:noProof/>
              </w:rPr>
            </w:pPr>
            <w:r>
              <w:rPr>
                <w:noProof/>
              </w:rPr>
              <w:t>Merila za izbor zagotavljajo, da se vsaj 50 % naložbe dodeli novim gradnjam v skladu z ustreznimi zahtevami iz opombe 5 Priloge VI k Uredbi (EU) 2021/241.</w:t>
            </w:r>
          </w:p>
        </w:tc>
      </w:tr>
      <w:tr w:rsidR="00154E32" w14:paraId="09693609" w14:textId="77777777">
        <w:trPr>
          <w:trHeight w:val="20"/>
          <w:jc w:val="center"/>
        </w:trPr>
        <w:tc>
          <w:tcPr>
            <w:tcW w:w="384" w:type="pct"/>
            <w:shd w:val="clear" w:color="auto" w:fill="C6EFCE"/>
            <w:vAlign w:val="center"/>
            <w:hideMark/>
          </w:tcPr>
          <w:p w14:paraId="742CF322" w14:textId="77777777" w:rsidR="00154E32" w:rsidRDefault="00A43E04">
            <w:pPr>
              <w:pStyle w:val="P68B1DB1-Normal11"/>
              <w:jc w:val="center"/>
              <w:rPr>
                <w:noProof/>
              </w:rPr>
            </w:pPr>
            <w:r>
              <w:rPr>
                <w:noProof/>
              </w:rPr>
              <w:t>M5C2–22</w:t>
            </w:r>
          </w:p>
        </w:tc>
        <w:tc>
          <w:tcPr>
            <w:tcW w:w="509" w:type="pct"/>
            <w:shd w:val="clear" w:color="auto" w:fill="C6EFCE"/>
            <w:vAlign w:val="center"/>
            <w:hideMark/>
          </w:tcPr>
          <w:p w14:paraId="7B78457A" w14:textId="77777777" w:rsidR="00154E32" w:rsidRDefault="00A43E04">
            <w:pPr>
              <w:pStyle w:val="P68B1DB1-Normal11"/>
              <w:jc w:val="center"/>
              <w:rPr>
                <w:noProof/>
              </w:rPr>
            </w:pPr>
            <w:r>
              <w:rPr>
                <w:noProof/>
              </w:rPr>
              <w:t>Naložba 7 – Projekt za šport in socialno vključenost</w:t>
            </w:r>
          </w:p>
        </w:tc>
        <w:tc>
          <w:tcPr>
            <w:tcW w:w="361" w:type="pct"/>
            <w:shd w:val="clear" w:color="auto" w:fill="C6EFCE"/>
            <w:vAlign w:val="center"/>
            <w:hideMark/>
          </w:tcPr>
          <w:p w14:paraId="500E4956" w14:textId="77777777" w:rsidR="00154E32" w:rsidRDefault="00A43E04">
            <w:pPr>
              <w:pStyle w:val="P68B1DB1-Normal11"/>
              <w:jc w:val="center"/>
              <w:rPr>
                <w:noProof/>
              </w:rPr>
            </w:pPr>
            <w:r>
              <w:rPr>
                <w:noProof/>
              </w:rPr>
              <w:t>Tarča</w:t>
            </w:r>
          </w:p>
        </w:tc>
        <w:tc>
          <w:tcPr>
            <w:tcW w:w="505" w:type="pct"/>
            <w:shd w:val="clear" w:color="auto" w:fill="C6EFCE"/>
            <w:vAlign w:val="center"/>
            <w:hideMark/>
          </w:tcPr>
          <w:p w14:paraId="4F20575C" w14:textId="77777777" w:rsidR="00154E32" w:rsidRDefault="00A43E04">
            <w:pPr>
              <w:pStyle w:val="P68B1DB1-Normal11"/>
              <w:jc w:val="center"/>
              <w:rPr>
                <w:noProof/>
              </w:rPr>
            </w:pPr>
            <w:r>
              <w:rPr>
                <w:noProof/>
              </w:rPr>
              <w:t>Intervencije v zvezi s pogodbami v zvezi s športnimi objekti</w:t>
            </w:r>
          </w:p>
        </w:tc>
        <w:tc>
          <w:tcPr>
            <w:tcW w:w="505" w:type="pct"/>
            <w:shd w:val="clear" w:color="auto" w:fill="C6EFCE"/>
            <w:vAlign w:val="center"/>
            <w:hideMark/>
          </w:tcPr>
          <w:p w14:paraId="26C44C93" w14:textId="77777777" w:rsidR="00154E32" w:rsidRDefault="00A43E04">
            <w:pPr>
              <w:pStyle w:val="P68B1DB1-Normal11"/>
              <w:jc w:val="center"/>
              <w:rPr>
                <w:noProof/>
              </w:rPr>
            </w:pPr>
            <w:r>
              <w:rPr>
                <w:noProof/>
              </w:rPr>
              <w:t>JIH NI</w:t>
            </w:r>
          </w:p>
        </w:tc>
        <w:tc>
          <w:tcPr>
            <w:tcW w:w="478" w:type="pct"/>
            <w:shd w:val="clear" w:color="auto" w:fill="C6EFCE"/>
            <w:vAlign w:val="center"/>
            <w:hideMark/>
          </w:tcPr>
          <w:p w14:paraId="53BA694F" w14:textId="77777777" w:rsidR="00154E32" w:rsidRDefault="00A43E04">
            <w:pPr>
              <w:pStyle w:val="P68B1DB1-Normal11"/>
              <w:jc w:val="center"/>
              <w:rPr>
                <w:noProof/>
              </w:rPr>
            </w:pPr>
            <w:r>
              <w:rPr>
                <w:noProof/>
              </w:rPr>
              <w:t>Število</w:t>
            </w:r>
          </w:p>
        </w:tc>
        <w:tc>
          <w:tcPr>
            <w:tcW w:w="318" w:type="pct"/>
            <w:shd w:val="clear" w:color="auto" w:fill="C6EFCE"/>
            <w:vAlign w:val="center"/>
            <w:hideMark/>
          </w:tcPr>
          <w:p w14:paraId="3166E799" w14:textId="77777777" w:rsidR="00154E32" w:rsidRDefault="00A43E04">
            <w:pPr>
              <w:pStyle w:val="P68B1DB1-Normal11"/>
              <w:jc w:val="center"/>
              <w:rPr>
                <w:noProof/>
              </w:rPr>
            </w:pPr>
            <w:r>
              <w:rPr>
                <w:noProof/>
              </w:rPr>
              <w:t>0</w:t>
            </w:r>
          </w:p>
        </w:tc>
        <w:tc>
          <w:tcPr>
            <w:tcW w:w="384" w:type="pct"/>
            <w:shd w:val="clear" w:color="auto" w:fill="C6EFCE"/>
            <w:vAlign w:val="center"/>
            <w:hideMark/>
          </w:tcPr>
          <w:p w14:paraId="53CFA1A3" w14:textId="77777777" w:rsidR="00154E32" w:rsidRDefault="00A43E04">
            <w:pPr>
              <w:pStyle w:val="P68B1DB1-Normal11"/>
              <w:jc w:val="center"/>
              <w:rPr>
                <w:noProof/>
              </w:rPr>
            </w:pPr>
            <w:r>
              <w:rPr>
                <w:noProof/>
              </w:rPr>
              <w:t>100</w:t>
            </w:r>
          </w:p>
        </w:tc>
        <w:tc>
          <w:tcPr>
            <w:tcW w:w="275" w:type="pct"/>
            <w:shd w:val="clear" w:color="auto" w:fill="C6EFCE"/>
            <w:vAlign w:val="center"/>
            <w:hideMark/>
          </w:tcPr>
          <w:p w14:paraId="5F78C7E0" w14:textId="77777777" w:rsidR="00154E32" w:rsidRDefault="00A43E04">
            <w:pPr>
              <w:pStyle w:val="P68B1DB1-Normal11"/>
              <w:jc w:val="center"/>
              <w:rPr>
                <w:noProof/>
              </w:rPr>
            </w:pPr>
            <w:r>
              <w:rPr>
                <w:noProof/>
              </w:rPr>
              <w:t>Q2</w:t>
            </w:r>
          </w:p>
        </w:tc>
        <w:tc>
          <w:tcPr>
            <w:tcW w:w="200" w:type="pct"/>
            <w:shd w:val="clear" w:color="auto" w:fill="C6EFCE"/>
            <w:vAlign w:val="center"/>
            <w:hideMark/>
          </w:tcPr>
          <w:p w14:paraId="3798B82A" w14:textId="77777777" w:rsidR="00154E32" w:rsidRDefault="00A43E04">
            <w:pPr>
              <w:pStyle w:val="P68B1DB1-Normal11"/>
              <w:jc w:val="center"/>
              <w:rPr>
                <w:noProof/>
              </w:rPr>
            </w:pPr>
            <w:r>
              <w:rPr>
                <w:noProof/>
              </w:rPr>
              <w:t>2026</w:t>
            </w:r>
          </w:p>
        </w:tc>
        <w:tc>
          <w:tcPr>
            <w:tcW w:w="1081" w:type="pct"/>
            <w:shd w:val="clear" w:color="auto" w:fill="C6EFCE"/>
            <w:vAlign w:val="center"/>
            <w:hideMark/>
          </w:tcPr>
          <w:p w14:paraId="78DDEA49" w14:textId="77777777" w:rsidR="00154E32" w:rsidRDefault="00A43E04">
            <w:pPr>
              <w:pStyle w:val="P68B1DB1-Normal11"/>
              <w:rPr>
                <w:rFonts w:eastAsia="Calibri"/>
                <w:noProof/>
              </w:rPr>
            </w:pPr>
            <w:r>
              <w:rPr>
                <w:noProof/>
              </w:rPr>
              <w:t>Vsaj 100 intervencij, povezanih s pogodbami o športnih objektih.</w:t>
            </w:r>
          </w:p>
          <w:p w14:paraId="7471FA36" w14:textId="77777777" w:rsidR="00154E32" w:rsidRDefault="00154E32">
            <w:pPr>
              <w:rPr>
                <w:rFonts w:ascii="Arial Narrow" w:hAnsi="Arial Narrow"/>
                <w:noProof/>
                <w:color w:val="006100"/>
                <w:sz w:val="20"/>
              </w:rPr>
            </w:pPr>
          </w:p>
          <w:p w14:paraId="5398E805" w14:textId="4550B3C0" w:rsidR="00154E32" w:rsidRDefault="00A43E04">
            <w:pPr>
              <w:pStyle w:val="P68B1DB1-Normal11"/>
              <w:rPr>
                <w:rFonts w:eastAsia="Calibri"/>
                <w:noProof/>
              </w:rPr>
            </w:pPr>
            <w:r>
              <w:rPr>
                <w:noProof/>
              </w:rPr>
              <w:t>Zadovoljivo izpolnjevanje cilja je odvisno tudi od zadovoljivega izpolnjevanja sekundarnega cilja: zaključene intervencije zajemajo površino vsaj 200000 kvadratnih metrov.</w:t>
            </w:r>
          </w:p>
          <w:p w14:paraId="2C09F224" w14:textId="77777777" w:rsidR="00154E32" w:rsidRDefault="00154E32">
            <w:pPr>
              <w:rPr>
                <w:rFonts w:ascii="Arial Narrow" w:hAnsi="Arial Narrow"/>
                <w:noProof/>
                <w:color w:val="006100"/>
                <w:sz w:val="20"/>
              </w:rPr>
            </w:pPr>
          </w:p>
          <w:p w14:paraId="149B1F41" w14:textId="77777777" w:rsidR="00154E32" w:rsidRDefault="00A43E04">
            <w:pPr>
              <w:pStyle w:val="P68B1DB1-Normal11"/>
              <w:rPr>
                <w:rFonts w:eastAsia="Calibri"/>
                <w:noProof/>
              </w:rPr>
            </w:pPr>
            <w:r>
              <w:rPr>
                <w:noProof/>
              </w:rPr>
              <w:t>Projekt obravnava vprašanja oživljanja mest v skladu z načeloma trajnosti in odpornosti, s poudarkom na športnih objektih, da se spodbudita socialna vključenost in vključevanje, zlasti na najbolj ogroženih območjih Italije.</w:t>
            </w:r>
          </w:p>
          <w:p w14:paraId="1E0AC1BA" w14:textId="77777777" w:rsidR="00154E32" w:rsidRDefault="00154E32">
            <w:pPr>
              <w:rPr>
                <w:rFonts w:ascii="Arial Narrow" w:eastAsia="Calibri" w:hAnsi="Arial Narrow"/>
                <w:noProof/>
                <w:color w:val="006100"/>
                <w:sz w:val="20"/>
              </w:rPr>
            </w:pPr>
          </w:p>
          <w:p w14:paraId="1DB6D07E" w14:textId="77777777" w:rsidR="00154E32" w:rsidRDefault="00A43E04">
            <w:pPr>
              <w:pStyle w:val="P68B1DB1-Normal19"/>
              <w:rPr>
                <w:noProof/>
                <w:color w:val="006100"/>
              </w:rPr>
            </w:pPr>
            <w:r>
              <w:rPr>
                <w:noProof/>
                <w:color w:val="006100"/>
              </w:rPr>
              <w:t>Vsaj 50 % naložbe se nameni novim gradnjam, skladnim z ustreznimi zahtevami iz opombe 5 Priloge VI k Uredbi (EU) 2021/241.</w:t>
            </w:r>
            <w:r>
              <w:rPr>
                <w:noProof/>
                <w:color w:val="000000"/>
              </w:rPr>
              <w:t xml:space="preserve"> </w:t>
            </w:r>
          </w:p>
        </w:tc>
      </w:tr>
    </w:tbl>
    <w:p w14:paraId="244ABCF4" w14:textId="77777777" w:rsidR="00154E32" w:rsidRDefault="00154E32">
      <w:pPr>
        <w:keepNext/>
        <w:tabs>
          <w:tab w:val="left" w:pos="4252"/>
        </w:tabs>
        <w:spacing w:before="720"/>
        <w:jc w:val="both"/>
        <w:rPr>
          <w:i/>
          <w:noProof/>
        </w:rPr>
        <w:sectPr w:rsidR="00154E32" w:rsidSect="000D3774">
          <w:headerReference w:type="even" r:id="rId320"/>
          <w:headerReference w:type="default" r:id="rId321"/>
          <w:footerReference w:type="even" r:id="rId322"/>
          <w:footerReference w:type="default" r:id="rId323"/>
          <w:headerReference w:type="first" r:id="rId324"/>
          <w:footerReference w:type="first" r:id="rId325"/>
          <w:pgSz w:w="20160" w:h="12240" w:orient="landscape"/>
          <w:pgMar w:top="1440" w:right="1440" w:bottom="1440" w:left="1440" w:header="709" w:footer="709" w:gutter="0"/>
          <w:cols w:space="720"/>
          <w:docGrid w:linePitch="360"/>
        </w:sectPr>
      </w:pPr>
    </w:p>
    <w:p w14:paraId="1CB4C944" w14:textId="0AEC07E8" w:rsidR="00154E32" w:rsidRDefault="00A43E04">
      <w:pPr>
        <w:pStyle w:val="Heading2"/>
        <w:numPr>
          <w:ilvl w:val="0"/>
          <w:numId w:val="0"/>
        </w:numPr>
        <w:ind w:left="850" w:hanging="850"/>
        <w:rPr>
          <w:noProof/>
        </w:rPr>
      </w:pPr>
      <w:r>
        <w:rPr>
          <w:noProof/>
        </w:rPr>
        <w:t>N. MISIJA ŠT. 5, KOMPONENTA 3: Posebne intervencije za teritorialno kohezijo</w:t>
      </w:r>
    </w:p>
    <w:p w14:paraId="5433FD1F" w14:textId="168CD809" w:rsidR="00154E32" w:rsidRDefault="00A43E04">
      <w:pPr>
        <w:tabs>
          <w:tab w:val="left" w:pos="1134"/>
        </w:tabs>
        <w:spacing w:before="120" w:after="120"/>
        <w:jc w:val="both"/>
        <w:rPr>
          <w:rFonts w:eastAsia="Calibri"/>
          <w:noProof/>
        </w:rPr>
      </w:pPr>
      <w:r>
        <w:rPr>
          <w:noProof/>
        </w:rPr>
        <w:t xml:space="preserve">Ta komponenta načrta za okrevanje in odpornost vključuje dve področji ukrepanja: I) načrt za odpornost notranjih, obrobnih in gorskih območij; II) projekti za razvoj juga, vključno z naložbami za boj proti izobraževalni revščini, utrditev lekarn na podeželju kot lokalnih zdravstvenih storitev, povečanje sredstev, odvzetih organiziranemu kriminalu, in naložbe v infrastrukturo v posebnih ekonomskih conah.  Ti ukrepi so namenjeni odpravljanju ozemeljskega razkoraka na treh področjih: demografija in storitve; razvoj znanj in spretnosti; naložbe. </w:t>
      </w:r>
    </w:p>
    <w:p w14:paraId="69826267" w14:textId="74D9C93D" w:rsidR="00154E32" w:rsidRDefault="00A43E04">
      <w:pPr>
        <w:tabs>
          <w:tab w:val="left" w:pos="1134"/>
        </w:tabs>
        <w:spacing w:before="120" w:after="120"/>
        <w:jc w:val="both"/>
        <w:rPr>
          <w:rFonts w:eastAsia="Calibri"/>
          <w:noProof/>
        </w:rPr>
      </w:pPr>
      <w:r>
        <w:rPr>
          <w:noProof/>
        </w:rPr>
        <w:t xml:space="preserve">Naložbe in reforme v okviru te komponente prispevajo k izvajanju priporočil za posamezne države, naslovljenih na Italijo v letih 2019 in 2020, v zvezi s potrebo, da se ekonomska politika, povezana z naložbami, osredotoči na raziskave in inovacije ter kakovost infrastrukture, ob upoštevanju regionalnih razlik (priporočilo za posamezno državo št. 2019.3); </w:t>
      </w:r>
      <w:r>
        <w:rPr>
          <w:rStyle w:val="normaltextrun"/>
          <w:rFonts w:hAnsi="Calibri"/>
          <w:noProof/>
          <w:shd w:val="clear" w:color="auto" w:fill="FFFFFF"/>
        </w:rPr>
        <w:t>„</w:t>
      </w:r>
      <w:r>
        <w:rPr>
          <w:rStyle w:val="normaltextrun"/>
          <w:rFonts w:hAnsi="Calibri"/>
          <w:noProof/>
          <w:shd w:val="clear" w:color="auto" w:fill="FFFFFF"/>
        </w:rPr>
        <w:t>izbolj</w:t>
      </w:r>
      <w:r>
        <w:rPr>
          <w:rStyle w:val="normaltextrun"/>
          <w:rFonts w:hAnsi="Calibri"/>
          <w:noProof/>
          <w:shd w:val="clear" w:color="auto" w:fill="FFFFFF"/>
        </w:rPr>
        <w:t>š</w:t>
      </w:r>
      <w:r>
        <w:rPr>
          <w:rStyle w:val="normaltextrun"/>
          <w:rFonts w:hAnsi="Calibri"/>
          <w:noProof/>
          <w:shd w:val="clear" w:color="auto" w:fill="FFFFFF"/>
        </w:rPr>
        <w:t>anje rezultatov izobra</w:t>
      </w:r>
      <w:r>
        <w:rPr>
          <w:rStyle w:val="normaltextrun"/>
          <w:rFonts w:hAnsi="Calibri"/>
          <w:noProof/>
          <w:shd w:val="clear" w:color="auto" w:fill="FFFFFF"/>
        </w:rPr>
        <w:t>ž</w:t>
      </w:r>
      <w:r>
        <w:rPr>
          <w:rStyle w:val="normaltextrun"/>
          <w:rFonts w:hAnsi="Calibri"/>
          <w:noProof/>
          <w:shd w:val="clear" w:color="auto" w:fill="FFFFFF"/>
        </w:rPr>
        <w:t>evanja</w:t>
      </w:r>
      <w:r>
        <w:rPr>
          <w:rStyle w:val="normaltextrun"/>
          <w:rFonts w:hAnsi="Calibri"/>
          <w:noProof/>
          <w:shd w:val="clear" w:color="auto" w:fill="FFFFFF"/>
        </w:rPr>
        <w:t>“</w:t>
      </w:r>
      <w:r>
        <w:rPr>
          <w:rStyle w:val="normaltextrun"/>
          <w:rFonts w:hAnsi="Calibri"/>
          <w:noProof/>
          <w:shd w:val="clear" w:color="auto" w:fill="FFFFFF"/>
        </w:rPr>
        <w:t xml:space="preserve"> (priporo</w:t>
      </w:r>
      <w:r>
        <w:rPr>
          <w:rStyle w:val="normaltextrun"/>
          <w:rFonts w:hAnsi="Calibri"/>
          <w:noProof/>
          <w:shd w:val="clear" w:color="auto" w:fill="FFFFFF"/>
        </w:rPr>
        <w:t>č</w:t>
      </w:r>
      <w:r>
        <w:rPr>
          <w:rStyle w:val="normaltextrun"/>
          <w:rFonts w:hAnsi="Calibri"/>
          <w:noProof/>
          <w:shd w:val="clear" w:color="auto" w:fill="FFFFFF"/>
        </w:rPr>
        <w:t>ilo za posamezno dr</w:t>
      </w:r>
      <w:r>
        <w:rPr>
          <w:rStyle w:val="normaltextrun"/>
          <w:rFonts w:hAnsi="Calibri"/>
          <w:noProof/>
          <w:shd w:val="clear" w:color="auto" w:fill="FFFFFF"/>
        </w:rPr>
        <w:t>ž</w:t>
      </w:r>
      <w:r>
        <w:rPr>
          <w:rStyle w:val="normaltextrun"/>
          <w:rFonts w:hAnsi="Calibri"/>
          <w:noProof/>
          <w:shd w:val="clear" w:color="auto" w:fill="FFFFFF"/>
        </w:rPr>
        <w:t xml:space="preserve">avo </w:t>
      </w:r>
      <w:r>
        <w:rPr>
          <w:rStyle w:val="normaltextrun"/>
          <w:rFonts w:hAnsi="Calibri"/>
          <w:noProof/>
          <w:shd w:val="clear" w:color="auto" w:fill="FFFFFF"/>
        </w:rPr>
        <w:t>š</w:t>
      </w:r>
      <w:r>
        <w:rPr>
          <w:rStyle w:val="normaltextrun"/>
          <w:rFonts w:hAnsi="Calibri"/>
          <w:noProof/>
          <w:shd w:val="clear" w:color="auto" w:fill="FFFFFF"/>
        </w:rPr>
        <w:t>t. 2019.2);</w:t>
      </w:r>
      <w:r>
        <w:rPr>
          <w:rStyle w:val="normaltextrun"/>
          <w:rFonts w:hAnsi="Calibri"/>
          <w:noProof/>
          <w:shd w:val="clear" w:color="auto" w:fill="FFFFFF"/>
        </w:rPr>
        <w:t> „</w:t>
      </w:r>
      <w:r>
        <w:rPr>
          <w:rStyle w:val="normaltextrun"/>
          <w:rFonts w:hAnsi="Calibri"/>
          <w:noProof/>
          <w:shd w:val="clear" w:color="auto" w:fill="FFFFFF"/>
        </w:rPr>
        <w:t>Krepitev odpornosti in zmogljivosti zdravstvenega sistema</w:t>
      </w:r>
      <w:r>
        <w:rPr>
          <w:rStyle w:val="normaltextrun"/>
          <w:rFonts w:ascii="Calibri" w:hAnsi="Calibri"/>
          <w:noProof/>
          <w:shd w:val="clear" w:color="auto" w:fill="FFFFFF"/>
        </w:rPr>
        <w:t xml:space="preserve"> [...]“</w:t>
      </w:r>
      <w:r>
        <w:rPr>
          <w:noProof/>
        </w:rPr>
        <w:t>(</w:t>
      </w:r>
      <w:r>
        <w:rPr>
          <w:rStyle w:val="normaltextrun"/>
          <w:noProof/>
          <w:shd w:val="clear" w:color="auto" w:fill="FFFFFF"/>
        </w:rPr>
        <w:t>priporočilo za posamezno državo št. 2020.1)</w:t>
      </w:r>
      <w:r>
        <w:rPr>
          <w:rStyle w:val="normaltextrun"/>
          <w:rFonts w:ascii="Calibri" w:hAnsi="Calibri"/>
          <w:noProof/>
          <w:shd w:val="clear" w:color="auto" w:fill="FFFFFF"/>
        </w:rPr>
        <w:t>; </w:t>
      </w:r>
      <w:r>
        <w:rPr>
          <w:rStyle w:val="normaltextrun"/>
          <w:noProof/>
          <w:shd w:val="clear" w:color="auto" w:fill="FFFFFF"/>
        </w:rPr>
        <w:t>„zagotoviti ustrezno [...] in dostop do socialne zaščite“ (priporočilo za posamezno državo št. 2020.2)</w:t>
      </w:r>
      <w:r>
        <w:rPr>
          <w:rStyle w:val="normaltextrun"/>
          <w:rFonts w:ascii="Calibri" w:hAnsi="Calibri"/>
          <w:noProof/>
          <w:shd w:val="clear" w:color="auto" w:fill="FFFFFF"/>
        </w:rPr>
        <w:t xml:space="preserve">. </w:t>
      </w:r>
    </w:p>
    <w:p w14:paraId="4A0608F2" w14:textId="77777777" w:rsidR="00154E32" w:rsidRDefault="00154E32">
      <w:pPr>
        <w:spacing w:before="120" w:after="120"/>
        <w:jc w:val="both"/>
        <w:rPr>
          <w:noProof/>
        </w:rPr>
      </w:pPr>
    </w:p>
    <w:p w14:paraId="64920B98" w14:textId="77777777" w:rsidR="00154E32" w:rsidRDefault="00A43E04">
      <w:pPr>
        <w:pStyle w:val="Heading3"/>
        <w:numPr>
          <w:ilvl w:val="0"/>
          <w:numId w:val="0"/>
        </w:numPr>
        <w:ind w:left="850" w:hanging="850"/>
        <w:rPr>
          <w:b/>
          <w:i w:val="0"/>
          <w:noProof/>
          <w:color w:val="4F81BD" w:themeColor="accent1"/>
          <w:u w:val="single"/>
        </w:rPr>
      </w:pPr>
      <w:r>
        <w:rPr>
          <w:b/>
          <w:i w:val="0"/>
          <w:noProof/>
          <w:u w:val="single"/>
        </w:rPr>
        <w:t xml:space="preserve">N.1. </w:t>
      </w:r>
      <w:r>
        <w:rPr>
          <w:noProof/>
        </w:rPr>
        <w:tab/>
      </w:r>
      <w:r>
        <w:rPr>
          <w:b/>
          <w:i w:val="0"/>
          <w:noProof/>
          <w:u w:val="single"/>
        </w:rPr>
        <w:t>Opis reform in naložb za nepovratno finančno podporo</w:t>
      </w:r>
    </w:p>
    <w:p w14:paraId="442DD1E1" w14:textId="77777777" w:rsidR="00154E32" w:rsidRDefault="00A43E04">
      <w:pPr>
        <w:pStyle w:val="P68B1DB1-Normal2"/>
        <w:spacing w:before="120" w:after="120"/>
        <w:jc w:val="both"/>
        <w:rPr>
          <w:noProof/>
        </w:rPr>
      </w:pPr>
      <w:r>
        <w:rPr>
          <w:noProof/>
        </w:rPr>
        <w:t>Naložba 1. Notranja območja – 1. Izboljšanje socialnih storitev in infrastrukture v skupnosti</w:t>
      </w:r>
    </w:p>
    <w:p w14:paraId="2CD99030" w14:textId="77777777" w:rsidR="00154E32" w:rsidRDefault="00A43E04">
      <w:pPr>
        <w:spacing w:before="120" w:after="120"/>
        <w:jc w:val="both"/>
        <w:rPr>
          <w:noProof/>
        </w:rPr>
      </w:pPr>
      <w:r>
        <w:rPr>
          <w:noProof/>
        </w:rPr>
        <w:t xml:space="preserve">Ukrep je namenjen reševanju vprašanj socialne izključenosti in marginalizacije z okrepitvijo zagotavljanja storitev s povečanjem sredstev za javne storitve, ki jih zagotavljajo lokalni organi (mehanizem izvajanja je zagotavljanje nepovratnih sredstev občinam). Financirani projekti lahko zadevajo: storitve oskrbe starejših na domu; medicinske sestre in babice v skupnosti; krepitev majhnih bolnišnic (tistih brez prve pomoči) ali nekaterih osnovnih storitev (npr. radiologija, kardiologija, ginekologija) in ambulantnih centrov; infrastrukture za reševanje helikopterjev; krepitev centrov za invalide; svetovalni centri, kulturne storitve, športne storitve in sprejem migrantov. Intervencija predvideva vzpostavitev novih storitev in infrastruktur ali izboljšanje obstoječih s povečanjem števila prejemnikov ali kakovosti dobave. </w:t>
      </w:r>
    </w:p>
    <w:p w14:paraId="317D470C" w14:textId="77777777" w:rsidR="00154E32" w:rsidRDefault="00A43E04">
      <w:pPr>
        <w:spacing w:before="120" w:after="120"/>
        <w:jc w:val="both"/>
        <w:rPr>
          <w:noProof/>
        </w:rPr>
      </w:pPr>
      <w:r>
        <w:rPr>
          <w:noProof/>
        </w:rPr>
        <w:t>Da se zagotovi skladnost ukrepa s tehničnimi smernicami za uporabo načela, da se ne škoduje bistveno (2021/C58/01), merila za upravičenost iz projektne naloge za prihodnje razpise za projekte ne vključujejo naslednjega seznama dejavnosti:</w:t>
      </w:r>
      <w:r>
        <w:rPr>
          <w:noProof/>
          <w:color w:val="FF0000"/>
        </w:rPr>
        <w:t xml:space="preserve"> </w:t>
      </w:r>
      <w:r>
        <w:rPr>
          <w:noProof/>
        </w:rPr>
        <w:t>(I) dejavnosti, povezane s fosilnimi gorivi, vključno z nadaljnjo uporabo</w:t>
      </w:r>
      <w:r>
        <w:rPr>
          <w:rStyle w:val="FootnoteReference"/>
          <w:noProof/>
        </w:rPr>
        <w:footnoteReference w:id="115"/>
      </w:r>
      <w:r>
        <w:rPr>
          <w:noProof/>
        </w:rPr>
        <w:t>; (II) dejavnosti v okviru sistema EU za trgovanje z emisijami (ETS), s katerimi se dosegajo predvidene emisije toplogrednih plinov, ki niso nižje od ustreznih referenčnih vrednosti</w:t>
      </w:r>
      <w:r>
        <w:rPr>
          <w:rStyle w:val="FootnoteReference"/>
          <w:noProof/>
        </w:rPr>
        <w:footnoteReference w:id="116"/>
      </w:r>
      <w:r>
        <w:rPr>
          <w:noProof/>
        </w:rPr>
        <w:t>; (III) dejavnosti, povezane z odlagališči odpadkov, sežigalnicami</w:t>
      </w:r>
      <w:r>
        <w:rPr>
          <w:rStyle w:val="FootnoteReference"/>
          <w:noProof/>
        </w:rPr>
        <w:footnoteReference w:id="117"/>
      </w:r>
      <w:r>
        <w:rPr>
          <w:noProof/>
        </w:rPr>
        <w:t xml:space="preserve"> in napravami za mehansko-biološko obdelavo</w:t>
      </w:r>
      <w:r>
        <w:rPr>
          <w:rStyle w:val="FootnoteReference"/>
          <w:noProof/>
        </w:rPr>
        <w:footnoteReference w:id="118"/>
      </w:r>
      <w:r>
        <w:rPr>
          <w:noProof/>
        </w:rPr>
        <w:t>; ter (iv) dejavnosti, pri katerih lahko dolgotrajno odstranjevanje odpadkov dolgoročno škoduje okolju. Poleg tega se zahteva, da se lahko izberejo samo dejavnosti, ki so skladne z ustrezno okoljsko zakonodajo EU in nacionalno okoljsko zakonodajo.</w:t>
      </w:r>
    </w:p>
    <w:p w14:paraId="689D069D" w14:textId="77777777" w:rsidR="00154E32" w:rsidRDefault="00154E32">
      <w:pPr>
        <w:spacing w:before="120" w:after="120"/>
        <w:jc w:val="both"/>
        <w:rPr>
          <w:b/>
          <w:noProof/>
        </w:rPr>
      </w:pPr>
    </w:p>
    <w:p w14:paraId="6C59F423" w14:textId="5E9931A9" w:rsidR="00154E32" w:rsidRDefault="00A43E04">
      <w:pPr>
        <w:pStyle w:val="P68B1DB1-Normal2"/>
        <w:spacing w:before="120" w:after="120"/>
        <w:jc w:val="both"/>
        <w:rPr>
          <w:noProof/>
        </w:rPr>
      </w:pPr>
      <w:r>
        <w:rPr>
          <w:noProof/>
        </w:rPr>
        <w:t xml:space="preserve">Naložba 2: Zdravstvene ustanove za teritorialno bližino </w:t>
      </w:r>
    </w:p>
    <w:p w14:paraId="51F7E53D" w14:textId="77777777" w:rsidR="00154E32" w:rsidRDefault="00A43E04">
      <w:pPr>
        <w:spacing w:before="120" w:after="120"/>
        <w:jc w:val="both"/>
        <w:rPr>
          <w:noProof/>
        </w:rPr>
      </w:pPr>
      <w:r>
        <w:rPr>
          <w:noProof/>
        </w:rPr>
        <w:t xml:space="preserve">Cilj ukrepa je utrditi podeželske lekarne kot lokalne zdravstvene storitve (podeželske lekarne so opredeljene na podlagi L. 27. marca 1968, št. 221. Ta ukrep zagotavlja takojšnjo podporo podeželskim lekarnam, ki so bile med izrednimi razmerami zaradi COVID-19 temeljna referenčna točka za lokalno prebivalstvo. Lekarne lahko s krepitvijo svoje vloge pri zagotavljanju zdravstvenih ustanov ostanejo osrednji element življenja v skupnosti, s čimer se zdravstveno varstvo čim bolj približa državljanom. Pričakuje se, da bodo te lekarne okrepile svojo vlogo z: (I) sodelovanje v integrirani službi za pomoč na domu; (II) zagotavljanje storitev druge stopnje v skladu z diagnostično-terapevtskimi potmi, predvidenimi za posebne patologije; (III) izdajanje zdravil, ki jih je bolnik zdaj prisiljen vzeti v bolnišnici; (IV) spremljanje pacienta z elektronskim zdravstvenim zapisom in farmacevtsko dokumentacijo. </w:t>
      </w:r>
    </w:p>
    <w:p w14:paraId="5CA2F3A7" w14:textId="77777777" w:rsidR="00154E32" w:rsidRDefault="00154E32">
      <w:pPr>
        <w:spacing w:before="120" w:after="120"/>
        <w:jc w:val="both"/>
        <w:rPr>
          <w:b/>
          <w:noProof/>
        </w:rPr>
      </w:pPr>
    </w:p>
    <w:p w14:paraId="241455B0" w14:textId="77777777" w:rsidR="00154E32" w:rsidRDefault="00A43E04">
      <w:pPr>
        <w:pStyle w:val="P68B1DB1-Normal2"/>
        <w:spacing w:before="120" w:after="120"/>
        <w:jc w:val="both"/>
        <w:rPr>
          <w:noProof/>
        </w:rPr>
      </w:pPr>
      <w:r>
        <w:rPr>
          <w:noProof/>
        </w:rPr>
        <w:t>Naložba 3: Strukturirani socialno-izobraževalni ukrepi za boj proti izobraževalni revščini na jugu, ki podpirajo tretji sektor</w:t>
      </w:r>
    </w:p>
    <w:p w14:paraId="3B2810D0" w14:textId="77777777" w:rsidR="00154E32" w:rsidRDefault="00A43E04">
      <w:pPr>
        <w:spacing w:before="120" w:after="120"/>
        <w:jc w:val="both"/>
        <w:rPr>
          <w:noProof/>
        </w:rPr>
      </w:pPr>
      <w:r>
        <w:rPr>
          <w:noProof/>
        </w:rPr>
        <w:t xml:space="preserve">Cilj ukrepa je spodbujanje tretjega sektorja v južnih regijah (Abruzzo, Bazilikata, Kampanija, Kalabrija, Molise, Apulija, Sardinija in Sicilija) ter zagotavljanje socialno-izobraževalnih storitev mladoletnikom v povezavi z določbami partnerskega sporazuma za programsko obdobje 2021–2027 evropskih kohezijskih politik. </w:t>
      </w:r>
    </w:p>
    <w:p w14:paraId="0B19DE2C" w14:textId="77777777" w:rsidR="00154E32" w:rsidRDefault="00A43E04">
      <w:pPr>
        <w:spacing w:before="120" w:after="120"/>
        <w:jc w:val="both"/>
        <w:rPr>
          <w:noProof/>
        </w:rPr>
      </w:pPr>
      <w:r>
        <w:rPr>
          <w:noProof/>
        </w:rPr>
        <w:t>Socialno-izobraževalno ukrepanje za boj proti izobraževalni revščini in podporo tretjemu sektorju naj bi potekalo na enem od naslednjih področij:</w:t>
      </w:r>
    </w:p>
    <w:p w14:paraId="7A6CF2F5" w14:textId="77777777" w:rsidR="00154E32" w:rsidRDefault="00A43E04">
      <w:pPr>
        <w:pStyle w:val="ListParagraph"/>
        <w:numPr>
          <w:ilvl w:val="0"/>
          <w:numId w:val="48"/>
        </w:numPr>
        <w:ind w:left="360"/>
        <w:rPr>
          <w:noProof/>
        </w:rPr>
      </w:pPr>
      <w:r>
        <w:rPr>
          <w:noProof/>
        </w:rPr>
        <w:t xml:space="preserve"> Intervencije za otroke, stare od nič do šest let, namenjene izboljšanju pogojev za dostop do storitev vrtca in vrtca ter podpiranju starševstva;</w:t>
      </w:r>
    </w:p>
    <w:p w14:paraId="40B18AF4" w14:textId="77777777" w:rsidR="00154E32" w:rsidRDefault="00A43E04">
      <w:pPr>
        <w:pStyle w:val="ListParagraph"/>
        <w:numPr>
          <w:ilvl w:val="0"/>
          <w:numId w:val="48"/>
        </w:numPr>
        <w:ind w:left="360"/>
        <w:rPr>
          <w:noProof/>
        </w:rPr>
      </w:pPr>
      <w:r>
        <w:rPr>
          <w:noProof/>
        </w:rPr>
        <w:t xml:space="preserve">Ukrepi za otroke, stare od pet do deset let, katerih cilj je zagotoviti učinkovite možnosti izobraževanja in zgodnje preprečevanje osipa v šolah, ustrahovanja in drugih pojavov stiske; </w:t>
      </w:r>
    </w:p>
    <w:p w14:paraId="762C867B" w14:textId="77777777" w:rsidR="00154E32" w:rsidRDefault="00A43E04">
      <w:pPr>
        <w:pStyle w:val="ListParagraph"/>
        <w:numPr>
          <w:ilvl w:val="0"/>
          <w:numId w:val="48"/>
        </w:numPr>
        <w:ind w:left="360"/>
        <w:rPr>
          <w:noProof/>
        </w:rPr>
      </w:pPr>
      <w:r>
        <w:rPr>
          <w:noProof/>
        </w:rPr>
        <w:t>Ukrepi za otroke, stare od 11 do 17 let, katerih cilj je izboljšati ponudbo izobraževanja in preprečiti pojav zgodnjega opuščanja šolanja.</w:t>
      </w:r>
    </w:p>
    <w:p w14:paraId="253026B4" w14:textId="77777777" w:rsidR="00154E32" w:rsidRDefault="00A43E04">
      <w:pPr>
        <w:spacing w:before="120" w:after="120"/>
        <w:jc w:val="both"/>
        <w:rPr>
          <w:noProof/>
        </w:rPr>
      </w:pPr>
      <w:r>
        <w:rPr>
          <w:noProof/>
        </w:rPr>
        <w:t>Intervencije zagotavljajo naslednje ključne elemente razpisa:</w:t>
      </w:r>
    </w:p>
    <w:p w14:paraId="43499158" w14:textId="71CE32F1" w:rsidR="00154E32" w:rsidRDefault="00A43E04">
      <w:pPr>
        <w:pStyle w:val="ListParagraph"/>
        <w:numPr>
          <w:ilvl w:val="0"/>
          <w:numId w:val="48"/>
        </w:numPr>
        <w:ind w:left="360"/>
        <w:rPr>
          <w:noProof/>
        </w:rPr>
      </w:pPr>
      <w:r>
        <w:rPr>
          <w:noProof/>
        </w:rPr>
        <w:t>Javna objava znaša najmanj 50000000</w:t>
      </w:r>
      <w:r>
        <w:rPr>
          <w:rFonts w:ascii="Arial Narrow" w:hAnsi="Arial Narrow"/>
          <w:noProof/>
          <w:color w:val="006100"/>
          <w:sz w:val="20"/>
        </w:rPr>
        <w:t xml:space="preserve">  </w:t>
      </w:r>
      <w:r>
        <w:rPr>
          <w:noProof/>
        </w:rPr>
        <w:t xml:space="preserve">EUR na </w:t>
      </w:r>
    </w:p>
    <w:p w14:paraId="06EF2195" w14:textId="6B480491" w:rsidR="00154E32" w:rsidRDefault="00A43E04">
      <w:pPr>
        <w:pStyle w:val="ListParagraph"/>
        <w:numPr>
          <w:ilvl w:val="0"/>
          <w:numId w:val="48"/>
        </w:numPr>
        <w:ind w:left="360"/>
        <w:rPr>
          <w:noProof/>
        </w:rPr>
      </w:pPr>
      <w:r>
        <w:rPr>
          <w:noProof/>
        </w:rPr>
        <w:t>Projekti subjektov tretjega sektorja trajajo najmanj eno leto in največ dve leti.</w:t>
      </w:r>
    </w:p>
    <w:p w14:paraId="7E6BFC23" w14:textId="6598CAE8" w:rsidR="00154E32" w:rsidRDefault="00154E32">
      <w:pPr>
        <w:rPr>
          <w:noProof/>
        </w:rPr>
      </w:pPr>
    </w:p>
    <w:p w14:paraId="730C9644" w14:textId="2FC46B26" w:rsidR="00154E32" w:rsidRDefault="00154E32">
      <w:pPr>
        <w:rPr>
          <w:noProof/>
        </w:rPr>
      </w:pPr>
    </w:p>
    <w:p w14:paraId="7F003281" w14:textId="77777777" w:rsidR="00154E32" w:rsidRDefault="00A43E04">
      <w:pPr>
        <w:pStyle w:val="Heading3"/>
        <w:numPr>
          <w:ilvl w:val="0"/>
          <w:numId w:val="0"/>
        </w:numPr>
        <w:ind w:left="850" w:hanging="850"/>
        <w:rPr>
          <w:b/>
          <w:i w:val="0"/>
          <w:noProof/>
        </w:rPr>
      </w:pPr>
      <w:r>
        <w:rPr>
          <w:b/>
          <w:i w:val="0"/>
          <w:noProof/>
        </w:rPr>
        <w:t xml:space="preserve">N.2. </w:t>
      </w:r>
      <w:r>
        <w:rPr>
          <w:noProof/>
        </w:rPr>
        <w:tab/>
      </w:r>
      <w:r>
        <w:rPr>
          <w:b/>
          <w:i w:val="0"/>
          <w:noProof/>
        </w:rPr>
        <w:t>Mejniki, cilji, kazalniki in časovni razpored za spremljanje in izvajanje nepovratne finančne podpore Naslednje;</w:t>
      </w:r>
    </w:p>
    <w:p w14:paraId="459E8E5A" w14:textId="77777777" w:rsidR="00154E32" w:rsidRDefault="00154E32">
      <w:pPr>
        <w:spacing w:before="120" w:after="120"/>
        <w:ind w:left="709"/>
        <w:jc w:val="both"/>
        <w:rPr>
          <w:noProof/>
        </w:rPr>
        <w:sectPr w:rsidR="00154E32">
          <w:headerReference w:type="even" r:id="rId326"/>
          <w:headerReference w:type="default" r:id="rId327"/>
          <w:footerReference w:type="even" r:id="rId328"/>
          <w:footerReference w:type="default" r:id="rId329"/>
          <w:headerReference w:type="first" r:id="rId330"/>
          <w:footerReference w:type="first" r:id="rId331"/>
          <w:pgSz w:w="11907" w:h="16839"/>
          <w:pgMar w:top="1440" w:right="1440" w:bottom="1440" w:left="1440" w:header="567" w:footer="567" w:gutter="0"/>
          <w:cols w:space="720"/>
          <w:docGrid w:linePitch="360"/>
        </w:sectPr>
      </w:pPr>
    </w:p>
    <w:tbl>
      <w:tblPr>
        <w:tblW w:w="157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1772"/>
        <w:gridCol w:w="1412"/>
        <w:gridCol w:w="1559"/>
        <w:gridCol w:w="1560"/>
        <w:gridCol w:w="1134"/>
        <w:gridCol w:w="1134"/>
        <w:gridCol w:w="992"/>
        <w:gridCol w:w="927"/>
        <w:gridCol w:w="812"/>
        <w:gridCol w:w="3271"/>
      </w:tblGrid>
      <w:tr w:rsidR="00154E32" w14:paraId="751CCF10" w14:textId="77777777">
        <w:trPr>
          <w:trHeight w:val="927"/>
          <w:tblHeader/>
        </w:trPr>
        <w:tc>
          <w:tcPr>
            <w:tcW w:w="1207" w:type="dxa"/>
            <w:vMerge w:val="restart"/>
            <w:shd w:val="clear" w:color="auto" w:fill="BDD7EE"/>
            <w:vAlign w:val="center"/>
            <w:hideMark/>
          </w:tcPr>
          <w:p w14:paraId="6EC7E68A" w14:textId="77777777" w:rsidR="00154E32" w:rsidRDefault="00A43E04">
            <w:pPr>
              <w:pStyle w:val="P68B1DB1-Normal9"/>
              <w:jc w:val="center"/>
              <w:rPr>
                <w:noProof/>
              </w:rPr>
            </w:pPr>
            <w:r>
              <w:rPr>
                <w:noProof/>
              </w:rPr>
              <w:t>Zaporedna številka</w:t>
            </w:r>
          </w:p>
        </w:tc>
        <w:tc>
          <w:tcPr>
            <w:tcW w:w="1772" w:type="dxa"/>
            <w:vMerge w:val="restart"/>
            <w:shd w:val="clear" w:color="auto" w:fill="BDD7EE"/>
            <w:vAlign w:val="center"/>
            <w:hideMark/>
          </w:tcPr>
          <w:p w14:paraId="05E41FCB" w14:textId="77777777" w:rsidR="00154E32" w:rsidRDefault="00A43E04">
            <w:pPr>
              <w:pStyle w:val="P68B1DB1-Normal9"/>
              <w:jc w:val="center"/>
              <w:rPr>
                <w:noProof/>
              </w:rPr>
            </w:pPr>
            <w:r>
              <w:rPr>
                <w:noProof/>
              </w:rPr>
              <w:t>Povezani ukrep (reforma ali naložba)</w:t>
            </w:r>
          </w:p>
        </w:tc>
        <w:tc>
          <w:tcPr>
            <w:tcW w:w="1412" w:type="dxa"/>
            <w:vMerge w:val="restart"/>
            <w:shd w:val="clear" w:color="auto" w:fill="BDD7EE"/>
            <w:vAlign w:val="center"/>
            <w:hideMark/>
          </w:tcPr>
          <w:p w14:paraId="1BA45257" w14:textId="77777777" w:rsidR="00154E32" w:rsidRDefault="00A43E04">
            <w:pPr>
              <w:pStyle w:val="P68B1DB1-Normal9"/>
              <w:jc w:val="center"/>
              <w:rPr>
                <w:noProof/>
              </w:rPr>
            </w:pPr>
            <w:r>
              <w:rPr>
                <w:noProof/>
              </w:rPr>
              <w:t>Mejnik/cilj</w:t>
            </w:r>
          </w:p>
        </w:tc>
        <w:tc>
          <w:tcPr>
            <w:tcW w:w="1559" w:type="dxa"/>
            <w:vMerge w:val="restart"/>
            <w:shd w:val="clear" w:color="auto" w:fill="BDD7EE"/>
            <w:vAlign w:val="center"/>
            <w:hideMark/>
          </w:tcPr>
          <w:p w14:paraId="09F791CD" w14:textId="77777777" w:rsidR="00154E32" w:rsidRDefault="00A43E04">
            <w:pPr>
              <w:pStyle w:val="P68B1DB1-Normal9"/>
              <w:jc w:val="center"/>
              <w:rPr>
                <w:noProof/>
              </w:rPr>
            </w:pPr>
            <w:r>
              <w:rPr>
                <w:noProof/>
              </w:rPr>
              <w:t>Ime</w:t>
            </w:r>
          </w:p>
        </w:tc>
        <w:tc>
          <w:tcPr>
            <w:tcW w:w="1560" w:type="dxa"/>
            <w:vMerge w:val="restart"/>
            <w:shd w:val="clear" w:color="auto" w:fill="BDD7EE"/>
            <w:vAlign w:val="center"/>
            <w:hideMark/>
          </w:tcPr>
          <w:p w14:paraId="79A10FCE" w14:textId="77777777" w:rsidR="00154E32" w:rsidRDefault="00A43E04">
            <w:pPr>
              <w:pStyle w:val="P68B1DB1-Normal19"/>
              <w:jc w:val="center"/>
              <w:rPr>
                <w:b/>
                <w:noProof/>
              </w:rPr>
            </w:pPr>
            <w:r>
              <w:rPr>
                <w:b/>
                <w:noProof/>
              </w:rPr>
              <w:t>Kakovostni kazalniki</w:t>
            </w:r>
            <w:r>
              <w:rPr>
                <w:noProof/>
              </w:rPr>
              <w:t xml:space="preserve"> </w:t>
            </w:r>
            <w:r>
              <w:rPr>
                <w:noProof/>
              </w:rPr>
              <w:br/>
            </w:r>
            <w:r>
              <w:rPr>
                <w:b/>
                <w:noProof/>
              </w:rPr>
              <w:t>(za mejnike)</w:t>
            </w:r>
          </w:p>
        </w:tc>
        <w:tc>
          <w:tcPr>
            <w:tcW w:w="3260" w:type="dxa"/>
            <w:gridSpan w:val="3"/>
            <w:shd w:val="clear" w:color="auto" w:fill="BDD7EE"/>
            <w:vAlign w:val="center"/>
            <w:hideMark/>
          </w:tcPr>
          <w:p w14:paraId="32E843BA" w14:textId="77777777" w:rsidR="00154E32" w:rsidRDefault="00A43E04">
            <w:pPr>
              <w:pStyle w:val="P68B1DB1-Normal19"/>
              <w:jc w:val="center"/>
              <w:rPr>
                <w:b/>
                <w:noProof/>
              </w:rPr>
            </w:pPr>
            <w:r>
              <w:rPr>
                <w:b/>
                <w:noProof/>
              </w:rPr>
              <w:t>Kvantitativni kazalniki</w:t>
            </w:r>
            <w:r>
              <w:rPr>
                <w:noProof/>
              </w:rPr>
              <w:t xml:space="preserve"> </w:t>
            </w:r>
            <w:r>
              <w:rPr>
                <w:noProof/>
              </w:rPr>
              <w:br/>
            </w:r>
            <w:r>
              <w:rPr>
                <w:b/>
                <w:noProof/>
              </w:rPr>
              <w:t>(za ciljne vrednosti)</w:t>
            </w:r>
          </w:p>
        </w:tc>
        <w:tc>
          <w:tcPr>
            <w:tcW w:w="1728" w:type="dxa"/>
            <w:gridSpan w:val="2"/>
            <w:shd w:val="clear" w:color="auto" w:fill="BDD7EE"/>
            <w:vAlign w:val="center"/>
            <w:hideMark/>
          </w:tcPr>
          <w:p w14:paraId="137B1402" w14:textId="77777777" w:rsidR="00154E32" w:rsidRDefault="00A43E04">
            <w:pPr>
              <w:pStyle w:val="P68B1DB1-Normal9"/>
              <w:jc w:val="center"/>
              <w:rPr>
                <w:noProof/>
              </w:rPr>
            </w:pPr>
            <w:r>
              <w:rPr>
                <w:noProof/>
              </w:rPr>
              <w:t>Okvirni časovni razpored za dokončanje</w:t>
            </w:r>
          </w:p>
        </w:tc>
        <w:tc>
          <w:tcPr>
            <w:tcW w:w="3271" w:type="dxa"/>
            <w:vMerge w:val="restart"/>
            <w:shd w:val="clear" w:color="auto" w:fill="BDD7EE"/>
            <w:vAlign w:val="center"/>
            <w:hideMark/>
          </w:tcPr>
          <w:p w14:paraId="73BB579B" w14:textId="77777777" w:rsidR="00154E32" w:rsidRDefault="00A43E04">
            <w:pPr>
              <w:pStyle w:val="P68B1DB1-Normal9"/>
              <w:jc w:val="center"/>
              <w:rPr>
                <w:noProof/>
              </w:rPr>
            </w:pPr>
            <w:r>
              <w:rPr>
                <w:noProof/>
              </w:rPr>
              <w:t>Opis vsakega mejnika in cilja</w:t>
            </w:r>
          </w:p>
        </w:tc>
      </w:tr>
      <w:tr w:rsidR="00154E32" w14:paraId="16AE7983" w14:textId="77777777">
        <w:trPr>
          <w:trHeight w:val="1013"/>
        </w:trPr>
        <w:tc>
          <w:tcPr>
            <w:tcW w:w="1207" w:type="dxa"/>
            <w:vMerge/>
            <w:vAlign w:val="center"/>
            <w:hideMark/>
          </w:tcPr>
          <w:p w14:paraId="6D409F75" w14:textId="77777777" w:rsidR="00154E32" w:rsidRDefault="00154E32">
            <w:pPr>
              <w:jc w:val="center"/>
              <w:rPr>
                <w:rFonts w:ascii="Arial Narrow" w:hAnsi="Arial Narrow"/>
                <w:b/>
                <w:noProof/>
                <w:sz w:val="20"/>
              </w:rPr>
            </w:pPr>
          </w:p>
        </w:tc>
        <w:tc>
          <w:tcPr>
            <w:tcW w:w="1772" w:type="dxa"/>
            <w:vMerge/>
            <w:vAlign w:val="center"/>
            <w:hideMark/>
          </w:tcPr>
          <w:p w14:paraId="63323513" w14:textId="77777777" w:rsidR="00154E32" w:rsidRDefault="00154E32">
            <w:pPr>
              <w:jc w:val="center"/>
              <w:rPr>
                <w:rFonts w:ascii="Arial Narrow" w:hAnsi="Arial Narrow"/>
                <w:b/>
                <w:noProof/>
                <w:sz w:val="20"/>
              </w:rPr>
            </w:pPr>
          </w:p>
        </w:tc>
        <w:tc>
          <w:tcPr>
            <w:tcW w:w="1412" w:type="dxa"/>
            <w:vMerge/>
            <w:vAlign w:val="center"/>
            <w:hideMark/>
          </w:tcPr>
          <w:p w14:paraId="182B178F" w14:textId="77777777" w:rsidR="00154E32" w:rsidRDefault="00154E32">
            <w:pPr>
              <w:jc w:val="center"/>
              <w:rPr>
                <w:rFonts w:ascii="Arial Narrow" w:hAnsi="Arial Narrow"/>
                <w:b/>
                <w:noProof/>
                <w:sz w:val="20"/>
              </w:rPr>
            </w:pPr>
          </w:p>
        </w:tc>
        <w:tc>
          <w:tcPr>
            <w:tcW w:w="1559" w:type="dxa"/>
            <w:vMerge/>
            <w:vAlign w:val="center"/>
            <w:hideMark/>
          </w:tcPr>
          <w:p w14:paraId="483393E1" w14:textId="77777777" w:rsidR="00154E32" w:rsidRDefault="00154E32">
            <w:pPr>
              <w:jc w:val="center"/>
              <w:rPr>
                <w:rFonts w:ascii="Arial Narrow" w:hAnsi="Arial Narrow"/>
                <w:b/>
                <w:noProof/>
                <w:sz w:val="20"/>
              </w:rPr>
            </w:pPr>
          </w:p>
        </w:tc>
        <w:tc>
          <w:tcPr>
            <w:tcW w:w="1560" w:type="dxa"/>
            <w:vMerge/>
            <w:vAlign w:val="center"/>
            <w:hideMark/>
          </w:tcPr>
          <w:p w14:paraId="7DBCEAC9" w14:textId="77777777" w:rsidR="00154E32" w:rsidRDefault="00154E32">
            <w:pPr>
              <w:jc w:val="center"/>
              <w:rPr>
                <w:rFonts w:ascii="Arial Narrow" w:hAnsi="Arial Narrow"/>
                <w:b/>
                <w:noProof/>
                <w:sz w:val="20"/>
              </w:rPr>
            </w:pPr>
          </w:p>
        </w:tc>
        <w:tc>
          <w:tcPr>
            <w:tcW w:w="1134" w:type="dxa"/>
            <w:shd w:val="clear" w:color="auto" w:fill="BDD7EE"/>
            <w:vAlign w:val="center"/>
            <w:hideMark/>
          </w:tcPr>
          <w:p w14:paraId="53882F3C" w14:textId="77777777" w:rsidR="00154E32" w:rsidRDefault="00A43E04">
            <w:pPr>
              <w:pStyle w:val="P68B1DB1-Normal9"/>
              <w:jc w:val="center"/>
              <w:rPr>
                <w:noProof/>
              </w:rPr>
            </w:pPr>
            <w:r>
              <w:rPr>
                <w:noProof/>
              </w:rPr>
              <w:t>Merska enota</w:t>
            </w:r>
          </w:p>
        </w:tc>
        <w:tc>
          <w:tcPr>
            <w:tcW w:w="1134" w:type="dxa"/>
            <w:shd w:val="clear" w:color="auto" w:fill="BDD7EE"/>
            <w:vAlign w:val="center"/>
            <w:hideMark/>
          </w:tcPr>
          <w:p w14:paraId="2A88E159" w14:textId="77777777" w:rsidR="00154E32" w:rsidRDefault="00A43E04">
            <w:pPr>
              <w:pStyle w:val="P68B1DB1-Normal9"/>
              <w:jc w:val="center"/>
              <w:rPr>
                <w:noProof/>
              </w:rPr>
            </w:pPr>
            <w:r>
              <w:rPr>
                <w:noProof/>
              </w:rPr>
              <w:t>Izhodišče</w:t>
            </w:r>
          </w:p>
        </w:tc>
        <w:tc>
          <w:tcPr>
            <w:tcW w:w="992" w:type="dxa"/>
            <w:shd w:val="clear" w:color="auto" w:fill="BDD7EE"/>
            <w:vAlign w:val="center"/>
            <w:hideMark/>
          </w:tcPr>
          <w:p w14:paraId="6039D0EC" w14:textId="77777777" w:rsidR="00154E32" w:rsidRDefault="00A43E04">
            <w:pPr>
              <w:pStyle w:val="P68B1DB1-Normal9"/>
              <w:jc w:val="center"/>
              <w:rPr>
                <w:noProof/>
              </w:rPr>
            </w:pPr>
            <w:r>
              <w:rPr>
                <w:noProof/>
              </w:rPr>
              <w:t>Cilj</w:t>
            </w:r>
          </w:p>
        </w:tc>
        <w:tc>
          <w:tcPr>
            <w:tcW w:w="916" w:type="dxa"/>
            <w:shd w:val="clear" w:color="auto" w:fill="BDD7EE"/>
            <w:vAlign w:val="center"/>
            <w:hideMark/>
          </w:tcPr>
          <w:p w14:paraId="2510D36A" w14:textId="77777777" w:rsidR="00154E32" w:rsidRDefault="00A43E04">
            <w:pPr>
              <w:pStyle w:val="P68B1DB1-Normal9"/>
              <w:jc w:val="center"/>
              <w:rPr>
                <w:noProof/>
              </w:rPr>
            </w:pPr>
            <w:r>
              <w:rPr>
                <w:noProof/>
              </w:rPr>
              <w:t>Četrtletje</w:t>
            </w:r>
          </w:p>
        </w:tc>
        <w:tc>
          <w:tcPr>
            <w:tcW w:w="812" w:type="dxa"/>
            <w:shd w:val="clear" w:color="auto" w:fill="BDD7EE"/>
            <w:vAlign w:val="center"/>
            <w:hideMark/>
          </w:tcPr>
          <w:p w14:paraId="118B4FA5" w14:textId="77777777" w:rsidR="00154E32" w:rsidRDefault="00A43E04">
            <w:pPr>
              <w:pStyle w:val="P68B1DB1-Normal9"/>
              <w:jc w:val="center"/>
              <w:rPr>
                <w:noProof/>
              </w:rPr>
            </w:pPr>
            <w:r>
              <w:rPr>
                <w:noProof/>
              </w:rPr>
              <w:t>Leto</w:t>
            </w:r>
          </w:p>
        </w:tc>
        <w:tc>
          <w:tcPr>
            <w:tcW w:w="3271" w:type="dxa"/>
            <w:vMerge/>
            <w:vAlign w:val="center"/>
            <w:hideMark/>
          </w:tcPr>
          <w:p w14:paraId="287B2105" w14:textId="77777777" w:rsidR="00154E32" w:rsidRDefault="00154E32">
            <w:pPr>
              <w:jc w:val="center"/>
              <w:rPr>
                <w:rFonts w:ascii="Arial Narrow" w:hAnsi="Arial Narrow"/>
                <w:b/>
                <w:noProof/>
                <w:sz w:val="20"/>
              </w:rPr>
            </w:pPr>
          </w:p>
        </w:tc>
      </w:tr>
      <w:tr w:rsidR="00154E32" w14:paraId="2EB57450" w14:textId="77777777">
        <w:trPr>
          <w:trHeight w:val="309"/>
        </w:trPr>
        <w:tc>
          <w:tcPr>
            <w:tcW w:w="1207" w:type="dxa"/>
            <w:shd w:val="clear" w:color="auto" w:fill="C6EFCE"/>
            <w:noWrap/>
            <w:vAlign w:val="center"/>
            <w:hideMark/>
          </w:tcPr>
          <w:p w14:paraId="3E784F03" w14:textId="77777777" w:rsidR="00154E32" w:rsidRDefault="00A43E04">
            <w:pPr>
              <w:pStyle w:val="P68B1DB1-Normal11"/>
              <w:jc w:val="center"/>
              <w:rPr>
                <w:noProof/>
              </w:rPr>
            </w:pPr>
            <w:r>
              <w:rPr>
                <w:noProof/>
              </w:rPr>
              <w:t>M5C3–1</w:t>
            </w:r>
          </w:p>
        </w:tc>
        <w:tc>
          <w:tcPr>
            <w:tcW w:w="1772" w:type="dxa"/>
            <w:shd w:val="clear" w:color="auto" w:fill="C6EFCE"/>
            <w:noWrap/>
            <w:vAlign w:val="center"/>
            <w:hideMark/>
          </w:tcPr>
          <w:p w14:paraId="287BF750" w14:textId="77777777" w:rsidR="00154E32" w:rsidRDefault="00A43E04">
            <w:pPr>
              <w:pStyle w:val="P68B1DB1-Normal11"/>
              <w:jc w:val="center"/>
              <w:rPr>
                <w:noProof/>
              </w:rPr>
            </w:pPr>
            <w:r>
              <w:rPr>
                <w:noProof/>
              </w:rPr>
              <w:t>Naložba 1.1.1: Notranja področja – Izboljšanje socialnih storitev in infrastrukture v skupnosti</w:t>
            </w:r>
          </w:p>
        </w:tc>
        <w:tc>
          <w:tcPr>
            <w:tcW w:w="1412" w:type="dxa"/>
            <w:shd w:val="clear" w:color="auto" w:fill="C6EFCE"/>
            <w:noWrap/>
            <w:vAlign w:val="center"/>
            <w:hideMark/>
          </w:tcPr>
          <w:p w14:paraId="36CB8E02" w14:textId="77777777" w:rsidR="00154E32" w:rsidRDefault="00A43E04">
            <w:pPr>
              <w:pStyle w:val="P68B1DB1-Normal11"/>
              <w:jc w:val="center"/>
              <w:rPr>
                <w:noProof/>
              </w:rPr>
            </w:pPr>
            <w:r>
              <w:rPr>
                <w:noProof/>
              </w:rPr>
              <w:t>Mejnik</w:t>
            </w:r>
          </w:p>
        </w:tc>
        <w:tc>
          <w:tcPr>
            <w:tcW w:w="1559" w:type="dxa"/>
            <w:shd w:val="clear" w:color="auto" w:fill="C6EFCE"/>
            <w:noWrap/>
            <w:vAlign w:val="center"/>
            <w:hideMark/>
          </w:tcPr>
          <w:p w14:paraId="3A13A351" w14:textId="0CD975B4" w:rsidR="00154E32" w:rsidRDefault="00A43E04">
            <w:pPr>
              <w:pStyle w:val="P68B1DB1-Normal11"/>
              <w:jc w:val="center"/>
              <w:rPr>
                <w:noProof/>
              </w:rPr>
            </w:pPr>
            <w:r>
              <w:rPr>
                <w:noProof/>
              </w:rPr>
              <w:t>Oddaja javnega razpisa za ukrepe za izboljšanje socialnih storitev in infrastrukture na notranjih območjih ter za podporo lekarnam v občinah z manj kot 3000 prebivalci</w:t>
            </w:r>
          </w:p>
        </w:tc>
        <w:tc>
          <w:tcPr>
            <w:tcW w:w="1560" w:type="dxa"/>
            <w:shd w:val="clear" w:color="auto" w:fill="C6EFCE"/>
            <w:noWrap/>
            <w:vAlign w:val="center"/>
            <w:hideMark/>
          </w:tcPr>
          <w:p w14:paraId="1E6D23EF" w14:textId="77777777" w:rsidR="00154E32" w:rsidRDefault="00A43E04">
            <w:pPr>
              <w:pStyle w:val="P68B1DB1-Normal11"/>
              <w:jc w:val="center"/>
              <w:rPr>
                <w:noProof/>
              </w:rPr>
            </w:pPr>
            <w:r>
              <w:rPr>
                <w:noProof/>
              </w:rPr>
              <w:t>Obvestilo o oddaji vseh javnih naročil za intervencije</w:t>
            </w:r>
          </w:p>
        </w:tc>
        <w:tc>
          <w:tcPr>
            <w:tcW w:w="1134" w:type="dxa"/>
            <w:shd w:val="clear" w:color="auto" w:fill="C6EFCE"/>
            <w:noWrap/>
            <w:vAlign w:val="center"/>
            <w:hideMark/>
          </w:tcPr>
          <w:p w14:paraId="5C084291" w14:textId="77777777" w:rsidR="00154E32" w:rsidRDefault="00A43E04">
            <w:pPr>
              <w:pStyle w:val="P68B1DB1-Normal11"/>
              <w:jc w:val="center"/>
              <w:rPr>
                <w:noProof/>
              </w:rPr>
            </w:pPr>
            <w:r>
              <w:rPr>
                <w:noProof/>
              </w:rPr>
              <w:t>JIH NI</w:t>
            </w:r>
          </w:p>
        </w:tc>
        <w:tc>
          <w:tcPr>
            <w:tcW w:w="1134" w:type="dxa"/>
            <w:shd w:val="clear" w:color="auto" w:fill="C6EFCE"/>
            <w:noWrap/>
            <w:vAlign w:val="center"/>
            <w:hideMark/>
          </w:tcPr>
          <w:p w14:paraId="43EE9E1A" w14:textId="77777777" w:rsidR="00154E32" w:rsidRDefault="00A43E04">
            <w:pPr>
              <w:pStyle w:val="P68B1DB1-Normal11"/>
              <w:jc w:val="center"/>
              <w:rPr>
                <w:noProof/>
              </w:rPr>
            </w:pPr>
            <w:r>
              <w:rPr>
                <w:noProof/>
              </w:rPr>
              <w:t>JIH NI</w:t>
            </w:r>
          </w:p>
        </w:tc>
        <w:tc>
          <w:tcPr>
            <w:tcW w:w="992" w:type="dxa"/>
            <w:shd w:val="clear" w:color="auto" w:fill="C6EFCE"/>
            <w:noWrap/>
            <w:vAlign w:val="center"/>
            <w:hideMark/>
          </w:tcPr>
          <w:p w14:paraId="343414BA" w14:textId="77777777" w:rsidR="00154E32" w:rsidRDefault="00A43E04">
            <w:pPr>
              <w:pStyle w:val="P68B1DB1-Normal11"/>
              <w:jc w:val="center"/>
              <w:rPr>
                <w:noProof/>
              </w:rPr>
            </w:pPr>
            <w:r>
              <w:rPr>
                <w:noProof/>
              </w:rPr>
              <w:t>JIH NI</w:t>
            </w:r>
          </w:p>
        </w:tc>
        <w:tc>
          <w:tcPr>
            <w:tcW w:w="916" w:type="dxa"/>
            <w:shd w:val="clear" w:color="auto" w:fill="C6EFCE"/>
            <w:noWrap/>
            <w:vAlign w:val="center"/>
            <w:hideMark/>
          </w:tcPr>
          <w:p w14:paraId="4D0BEFC6" w14:textId="77777777" w:rsidR="00154E32" w:rsidRDefault="00A43E04">
            <w:pPr>
              <w:pStyle w:val="P68B1DB1-Normal11"/>
              <w:jc w:val="center"/>
              <w:rPr>
                <w:noProof/>
              </w:rPr>
            </w:pPr>
            <w:r>
              <w:rPr>
                <w:noProof/>
              </w:rPr>
              <w:t>Q4</w:t>
            </w:r>
          </w:p>
        </w:tc>
        <w:tc>
          <w:tcPr>
            <w:tcW w:w="812" w:type="dxa"/>
            <w:shd w:val="clear" w:color="auto" w:fill="C6EFCE"/>
            <w:noWrap/>
            <w:vAlign w:val="center"/>
            <w:hideMark/>
          </w:tcPr>
          <w:p w14:paraId="5DFA4E5A" w14:textId="77777777" w:rsidR="00154E32" w:rsidRDefault="00A43E04">
            <w:pPr>
              <w:pStyle w:val="P68B1DB1-Normal11"/>
              <w:jc w:val="center"/>
              <w:rPr>
                <w:noProof/>
              </w:rPr>
            </w:pPr>
            <w:r>
              <w:rPr>
                <w:noProof/>
              </w:rPr>
              <w:t>2022</w:t>
            </w:r>
          </w:p>
        </w:tc>
        <w:tc>
          <w:tcPr>
            <w:tcW w:w="3271" w:type="dxa"/>
            <w:shd w:val="clear" w:color="auto" w:fill="C6EFCE"/>
            <w:noWrap/>
            <w:vAlign w:val="center"/>
            <w:hideMark/>
          </w:tcPr>
          <w:p w14:paraId="669CC136" w14:textId="77777777" w:rsidR="00154E32" w:rsidRDefault="00154E32">
            <w:pPr>
              <w:jc w:val="center"/>
              <w:rPr>
                <w:rFonts w:ascii="Arial Narrow" w:hAnsi="Arial Narrow"/>
                <w:noProof/>
                <w:sz w:val="20"/>
              </w:rPr>
            </w:pPr>
          </w:p>
          <w:p w14:paraId="26AD31C0" w14:textId="77777777" w:rsidR="00154E32" w:rsidRDefault="00A43E04">
            <w:pPr>
              <w:pStyle w:val="P68B1DB1-Normal11"/>
              <w:rPr>
                <w:noProof/>
              </w:rPr>
            </w:pPr>
            <w:r>
              <w:rPr>
                <w:noProof/>
              </w:rPr>
              <w:t>Z intervencijo se ustvarijo nove storitve in infrastrukture ali izboljšajo obstoječe s povečanjem števila prejemnikov ali kakovosti dobave.</w:t>
            </w:r>
          </w:p>
          <w:p w14:paraId="5D5A5343" w14:textId="77777777" w:rsidR="00154E32" w:rsidRDefault="00154E32">
            <w:pPr>
              <w:rPr>
                <w:rFonts w:ascii="Arial Narrow" w:hAnsi="Arial Narrow"/>
                <w:noProof/>
                <w:sz w:val="20"/>
              </w:rPr>
            </w:pPr>
          </w:p>
          <w:p w14:paraId="6D391A3D" w14:textId="77777777" w:rsidR="00154E32" w:rsidRDefault="00A43E04">
            <w:pPr>
              <w:pStyle w:val="P68B1DB1-Normal11"/>
              <w:rPr>
                <w:noProof/>
              </w:rPr>
            </w:pPr>
            <w:r>
              <w:rPr>
                <w:noProof/>
              </w:rPr>
              <w:t>Vsi konkurenčni razpisi se objavijo na podlagi formalnih pogojev, vključno z merili za upravičenost, ki zagotavljajo, da so izbrani projekti skladni s tehničnimi smernicami za načelo, da se ne škoduje bistveno (2021/C58/01), in sicer z uporabo seznama za izključitev in zahtevo po skladnosti z ustrezno okoljsko zakonodajo EU in nacionalno okoljsko zakonodajo.</w:t>
            </w:r>
          </w:p>
          <w:p w14:paraId="42B07B63" w14:textId="77777777" w:rsidR="00154E32" w:rsidRDefault="00154E32">
            <w:pPr>
              <w:rPr>
                <w:rFonts w:ascii="Arial Narrow" w:hAnsi="Arial Narrow"/>
                <w:noProof/>
                <w:color w:val="006100"/>
                <w:sz w:val="20"/>
              </w:rPr>
            </w:pPr>
          </w:p>
          <w:p w14:paraId="077A6E18" w14:textId="77777777" w:rsidR="00154E32" w:rsidRDefault="00A43E04">
            <w:pPr>
              <w:pStyle w:val="P68B1DB1-Normal11"/>
              <w:rPr>
                <w:noProof/>
              </w:rPr>
            </w:pPr>
            <w:r>
              <w:rPr>
                <w:noProof/>
              </w:rPr>
              <w:t>Notranja območja so območja, opredeljena v Strategia Nazionale Aree Interne; Podeželske lekarne so opredeljene na podlagi zakona. 27. marec 1968, n.221.</w:t>
            </w:r>
          </w:p>
          <w:p w14:paraId="7EDE3C1F" w14:textId="77777777" w:rsidR="00154E32" w:rsidRDefault="00154E32">
            <w:pPr>
              <w:jc w:val="center"/>
              <w:rPr>
                <w:rFonts w:ascii="Arial Narrow" w:hAnsi="Arial Narrow"/>
                <w:noProof/>
                <w:sz w:val="20"/>
              </w:rPr>
            </w:pPr>
          </w:p>
        </w:tc>
      </w:tr>
      <w:tr w:rsidR="00154E32" w14:paraId="728F501E" w14:textId="77777777">
        <w:trPr>
          <w:trHeight w:val="309"/>
        </w:trPr>
        <w:tc>
          <w:tcPr>
            <w:tcW w:w="1207" w:type="dxa"/>
            <w:shd w:val="clear" w:color="auto" w:fill="C6EFCE"/>
            <w:noWrap/>
            <w:vAlign w:val="center"/>
            <w:hideMark/>
          </w:tcPr>
          <w:p w14:paraId="6621A736" w14:textId="3840BE76" w:rsidR="00154E32" w:rsidRDefault="00A43E04">
            <w:pPr>
              <w:pStyle w:val="P68B1DB1-Normal11"/>
              <w:jc w:val="center"/>
              <w:rPr>
                <w:noProof/>
              </w:rPr>
            </w:pPr>
            <w:r>
              <w:rPr>
                <w:noProof/>
              </w:rPr>
              <w:t>M5C3–3</w:t>
            </w:r>
          </w:p>
        </w:tc>
        <w:tc>
          <w:tcPr>
            <w:tcW w:w="1772" w:type="dxa"/>
            <w:shd w:val="clear" w:color="auto" w:fill="C6EFCE"/>
            <w:noWrap/>
            <w:vAlign w:val="center"/>
            <w:hideMark/>
          </w:tcPr>
          <w:p w14:paraId="3383F4A5" w14:textId="665FC632" w:rsidR="00154E32" w:rsidRDefault="00A43E04">
            <w:pPr>
              <w:pStyle w:val="P68B1DB1-Normal11"/>
              <w:jc w:val="center"/>
              <w:rPr>
                <w:noProof/>
              </w:rPr>
            </w:pPr>
            <w:r>
              <w:rPr>
                <w:noProof/>
              </w:rPr>
              <w:t>Naložba 2: Teritorialna bližina zdravstvenih ustanov</w:t>
            </w:r>
          </w:p>
        </w:tc>
        <w:tc>
          <w:tcPr>
            <w:tcW w:w="1412" w:type="dxa"/>
            <w:shd w:val="clear" w:color="auto" w:fill="C6EFCE"/>
            <w:noWrap/>
            <w:vAlign w:val="center"/>
            <w:hideMark/>
          </w:tcPr>
          <w:p w14:paraId="684D31DC" w14:textId="77777777" w:rsidR="00154E32" w:rsidRDefault="00A43E04">
            <w:pPr>
              <w:pStyle w:val="P68B1DB1-Normal11"/>
              <w:jc w:val="center"/>
              <w:rPr>
                <w:noProof/>
              </w:rPr>
            </w:pPr>
            <w:r>
              <w:rPr>
                <w:noProof/>
              </w:rPr>
              <w:t>Tarča</w:t>
            </w:r>
          </w:p>
        </w:tc>
        <w:tc>
          <w:tcPr>
            <w:tcW w:w="1559" w:type="dxa"/>
            <w:shd w:val="clear" w:color="auto" w:fill="C6EFCE"/>
            <w:noWrap/>
            <w:vAlign w:val="center"/>
            <w:hideMark/>
          </w:tcPr>
          <w:p w14:paraId="747EAF8B" w14:textId="4CB2C77D" w:rsidR="00154E32" w:rsidRDefault="00A43E04">
            <w:pPr>
              <w:pStyle w:val="P68B1DB1-Normal11"/>
              <w:jc w:val="center"/>
              <w:rPr>
                <w:noProof/>
              </w:rPr>
            </w:pPr>
            <w:r>
              <w:rPr>
                <w:noProof/>
              </w:rPr>
              <w:t>Podpora podeželskim lekarnam v občinah, zaselkih ali naseljih z manj kot 5000 prebivalci (prva serija)</w:t>
            </w:r>
          </w:p>
        </w:tc>
        <w:tc>
          <w:tcPr>
            <w:tcW w:w="1560" w:type="dxa"/>
            <w:shd w:val="clear" w:color="auto" w:fill="C6EFCE"/>
            <w:noWrap/>
            <w:vAlign w:val="center"/>
            <w:hideMark/>
          </w:tcPr>
          <w:p w14:paraId="088ED2A4" w14:textId="6BB5777B" w:rsidR="00154E32" w:rsidRDefault="00A43E04">
            <w:pPr>
              <w:pStyle w:val="P68B1DB1-Normal11"/>
              <w:jc w:val="center"/>
              <w:rPr>
                <w:noProof/>
              </w:rPr>
            </w:pPr>
            <w:r>
              <w:rPr>
                <w:noProof/>
              </w:rPr>
              <w:t>JIH NI</w:t>
            </w:r>
          </w:p>
        </w:tc>
        <w:tc>
          <w:tcPr>
            <w:tcW w:w="1134" w:type="dxa"/>
            <w:shd w:val="clear" w:color="auto" w:fill="C6EFCE"/>
            <w:noWrap/>
            <w:vAlign w:val="center"/>
            <w:hideMark/>
          </w:tcPr>
          <w:p w14:paraId="6A339A91" w14:textId="77777777" w:rsidR="00154E32" w:rsidRDefault="00A43E04">
            <w:pPr>
              <w:pStyle w:val="P68B1DB1-Normal11"/>
              <w:jc w:val="center"/>
              <w:rPr>
                <w:noProof/>
              </w:rPr>
            </w:pPr>
            <w:r>
              <w:rPr>
                <w:noProof/>
              </w:rPr>
              <w:t>Število</w:t>
            </w:r>
          </w:p>
        </w:tc>
        <w:tc>
          <w:tcPr>
            <w:tcW w:w="1134" w:type="dxa"/>
            <w:shd w:val="clear" w:color="auto" w:fill="C6EFCE"/>
            <w:noWrap/>
            <w:vAlign w:val="center"/>
            <w:hideMark/>
          </w:tcPr>
          <w:p w14:paraId="58BDA755" w14:textId="77777777" w:rsidR="00154E32" w:rsidRDefault="00A43E04">
            <w:pPr>
              <w:pStyle w:val="P68B1DB1-Normal11"/>
              <w:jc w:val="center"/>
              <w:rPr>
                <w:noProof/>
              </w:rPr>
            </w:pPr>
            <w:r>
              <w:rPr>
                <w:noProof/>
              </w:rPr>
              <w:t>0</w:t>
            </w:r>
          </w:p>
        </w:tc>
        <w:tc>
          <w:tcPr>
            <w:tcW w:w="992" w:type="dxa"/>
            <w:shd w:val="clear" w:color="auto" w:fill="C6EFCE"/>
            <w:noWrap/>
            <w:vAlign w:val="center"/>
            <w:hideMark/>
          </w:tcPr>
          <w:p w14:paraId="7EC94EFA" w14:textId="77777777" w:rsidR="00154E32" w:rsidRDefault="00A43E04">
            <w:pPr>
              <w:pStyle w:val="P68B1DB1-Normal11"/>
              <w:jc w:val="center"/>
              <w:rPr>
                <w:noProof/>
              </w:rPr>
            </w:pPr>
            <w:r>
              <w:rPr>
                <w:noProof/>
              </w:rPr>
              <w:t>500</w:t>
            </w:r>
          </w:p>
        </w:tc>
        <w:tc>
          <w:tcPr>
            <w:tcW w:w="916" w:type="dxa"/>
            <w:shd w:val="clear" w:color="auto" w:fill="C6EFCE"/>
            <w:noWrap/>
            <w:vAlign w:val="center"/>
            <w:hideMark/>
          </w:tcPr>
          <w:p w14:paraId="0BE7CAA1" w14:textId="77777777" w:rsidR="00154E32" w:rsidRDefault="00A43E04">
            <w:pPr>
              <w:pStyle w:val="P68B1DB1-Normal11"/>
              <w:jc w:val="center"/>
              <w:rPr>
                <w:noProof/>
              </w:rPr>
            </w:pPr>
            <w:r>
              <w:rPr>
                <w:noProof/>
              </w:rPr>
              <w:t>Q4</w:t>
            </w:r>
          </w:p>
        </w:tc>
        <w:tc>
          <w:tcPr>
            <w:tcW w:w="812" w:type="dxa"/>
            <w:shd w:val="clear" w:color="auto" w:fill="C6EFCE"/>
            <w:noWrap/>
            <w:vAlign w:val="center"/>
            <w:hideMark/>
          </w:tcPr>
          <w:p w14:paraId="56553510" w14:textId="77777777" w:rsidR="00154E32" w:rsidRDefault="00A43E04">
            <w:pPr>
              <w:pStyle w:val="P68B1DB1-Normal11"/>
              <w:jc w:val="center"/>
              <w:rPr>
                <w:noProof/>
              </w:rPr>
            </w:pPr>
            <w:r>
              <w:rPr>
                <w:noProof/>
              </w:rPr>
              <w:t>2023</w:t>
            </w:r>
          </w:p>
        </w:tc>
        <w:tc>
          <w:tcPr>
            <w:tcW w:w="3271" w:type="dxa"/>
            <w:shd w:val="clear" w:color="auto" w:fill="C6EFCE"/>
            <w:noWrap/>
            <w:vAlign w:val="center"/>
            <w:hideMark/>
          </w:tcPr>
          <w:p w14:paraId="1DE197F5" w14:textId="7FE199E2" w:rsidR="00154E32" w:rsidRDefault="00A43E04">
            <w:pPr>
              <w:pStyle w:val="P68B1DB1-Normal11"/>
              <w:rPr>
                <w:noProof/>
              </w:rPr>
            </w:pPr>
            <w:r>
              <w:rPr>
                <w:noProof/>
              </w:rPr>
              <w:t>Do intervencije je upravičenih najmanj 500 podeželskih lekarn v občinah, hamelah ali naseljih z manj kot 5000 prebivalci.</w:t>
            </w:r>
          </w:p>
        </w:tc>
      </w:tr>
      <w:tr w:rsidR="00154E32" w14:paraId="52577EA6" w14:textId="77777777">
        <w:trPr>
          <w:trHeight w:val="309"/>
        </w:trPr>
        <w:tc>
          <w:tcPr>
            <w:tcW w:w="1207" w:type="dxa"/>
            <w:shd w:val="clear" w:color="auto" w:fill="C6EFCE"/>
            <w:noWrap/>
            <w:vAlign w:val="center"/>
            <w:hideMark/>
          </w:tcPr>
          <w:p w14:paraId="7F017EFD" w14:textId="26D78232" w:rsidR="00154E32" w:rsidRDefault="00A43E04">
            <w:pPr>
              <w:pStyle w:val="P68B1DB1-Normal11"/>
              <w:jc w:val="center"/>
              <w:rPr>
                <w:noProof/>
              </w:rPr>
            </w:pPr>
            <w:r>
              <w:rPr>
                <w:noProof/>
              </w:rPr>
              <w:t>M5C3–4</w:t>
            </w:r>
          </w:p>
        </w:tc>
        <w:tc>
          <w:tcPr>
            <w:tcW w:w="1772" w:type="dxa"/>
            <w:shd w:val="clear" w:color="auto" w:fill="C6EFCE"/>
            <w:noWrap/>
            <w:vAlign w:val="center"/>
            <w:hideMark/>
          </w:tcPr>
          <w:p w14:paraId="5DF72BDE" w14:textId="418C108B" w:rsidR="00154E32" w:rsidRDefault="00A43E04">
            <w:pPr>
              <w:pStyle w:val="P68B1DB1-Normal11"/>
              <w:jc w:val="center"/>
              <w:rPr>
                <w:noProof/>
              </w:rPr>
            </w:pPr>
            <w:r>
              <w:rPr>
                <w:noProof/>
              </w:rPr>
              <w:t>Naložba 2: Teritorialna bližina zdravstvenih ustanov</w:t>
            </w:r>
          </w:p>
        </w:tc>
        <w:tc>
          <w:tcPr>
            <w:tcW w:w="1412" w:type="dxa"/>
            <w:shd w:val="clear" w:color="auto" w:fill="C6EFCE"/>
            <w:noWrap/>
            <w:vAlign w:val="center"/>
            <w:hideMark/>
          </w:tcPr>
          <w:p w14:paraId="6E5ADB75" w14:textId="77777777" w:rsidR="00154E32" w:rsidRDefault="00A43E04">
            <w:pPr>
              <w:pStyle w:val="P68B1DB1-Normal11"/>
              <w:jc w:val="center"/>
              <w:rPr>
                <w:noProof/>
              </w:rPr>
            </w:pPr>
            <w:r>
              <w:rPr>
                <w:noProof/>
              </w:rPr>
              <w:t>Tarča</w:t>
            </w:r>
          </w:p>
        </w:tc>
        <w:tc>
          <w:tcPr>
            <w:tcW w:w="1559" w:type="dxa"/>
            <w:shd w:val="clear" w:color="auto" w:fill="C6EFCE"/>
            <w:noWrap/>
            <w:vAlign w:val="center"/>
            <w:hideMark/>
          </w:tcPr>
          <w:p w14:paraId="1346A7E4" w14:textId="7893F1FD" w:rsidR="00154E32" w:rsidRDefault="00A43E04">
            <w:pPr>
              <w:pStyle w:val="P68B1DB1-Normal11"/>
              <w:jc w:val="center"/>
              <w:rPr>
                <w:noProof/>
              </w:rPr>
            </w:pPr>
            <w:r>
              <w:rPr>
                <w:noProof/>
              </w:rPr>
              <w:t>Podpora podeželskim lekarnam v občinah, zaselkih ali naseljih z manj kot 5000 prebivalci (druga serija)</w:t>
            </w:r>
          </w:p>
        </w:tc>
        <w:tc>
          <w:tcPr>
            <w:tcW w:w="1560" w:type="dxa"/>
            <w:shd w:val="clear" w:color="auto" w:fill="C6EFCE"/>
            <w:noWrap/>
            <w:vAlign w:val="center"/>
            <w:hideMark/>
          </w:tcPr>
          <w:p w14:paraId="58DC58B5" w14:textId="388AB265" w:rsidR="00154E32" w:rsidRDefault="00A43E04">
            <w:pPr>
              <w:pStyle w:val="P68B1DB1-Normal11"/>
              <w:jc w:val="center"/>
              <w:rPr>
                <w:noProof/>
              </w:rPr>
            </w:pPr>
            <w:r>
              <w:rPr>
                <w:noProof/>
              </w:rPr>
              <w:t>JIH NI</w:t>
            </w:r>
          </w:p>
        </w:tc>
        <w:tc>
          <w:tcPr>
            <w:tcW w:w="1134" w:type="dxa"/>
            <w:shd w:val="clear" w:color="auto" w:fill="C6EFCE"/>
            <w:noWrap/>
            <w:vAlign w:val="center"/>
            <w:hideMark/>
          </w:tcPr>
          <w:p w14:paraId="04A602B8" w14:textId="5CFC1584" w:rsidR="00154E32" w:rsidRDefault="00A43E04">
            <w:pPr>
              <w:pStyle w:val="P68B1DB1-Normal11"/>
              <w:jc w:val="center"/>
              <w:rPr>
                <w:noProof/>
              </w:rPr>
            </w:pPr>
            <w:r>
              <w:rPr>
                <w:noProof/>
              </w:rPr>
              <w:t>Število</w:t>
            </w:r>
          </w:p>
        </w:tc>
        <w:tc>
          <w:tcPr>
            <w:tcW w:w="1134" w:type="dxa"/>
            <w:shd w:val="clear" w:color="auto" w:fill="C6EFCE"/>
            <w:noWrap/>
            <w:vAlign w:val="center"/>
            <w:hideMark/>
          </w:tcPr>
          <w:p w14:paraId="259CEAB9" w14:textId="57849306" w:rsidR="00154E32" w:rsidRDefault="00A43E04">
            <w:pPr>
              <w:pStyle w:val="P68B1DB1-Normal11"/>
              <w:jc w:val="center"/>
              <w:rPr>
                <w:noProof/>
              </w:rPr>
            </w:pPr>
            <w:r>
              <w:rPr>
                <w:noProof/>
              </w:rPr>
              <w:t>500</w:t>
            </w:r>
          </w:p>
        </w:tc>
        <w:tc>
          <w:tcPr>
            <w:tcW w:w="992" w:type="dxa"/>
            <w:shd w:val="clear" w:color="auto" w:fill="C6EFCE"/>
            <w:noWrap/>
            <w:vAlign w:val="center"/>
            <w:hideMark/>
          </w:tcPr>
          <w:p w14:paraId="73A55546" w14:textId="53670F63" w:rsidR="00154E32" w:rsidRDefault="00A43E04">
            <w:pPr>
              <w:pStyle w:val="P68B1DB1-Normal11"/>
              <w:jc w:val="center"/>
              <w:rPr>
                <w:noProof/>
              </w:rPr>
            </w:pPr>
            <w:r>
              <w:rPr>
                <w:noProof/>
              </w:rPr>
              <w:t>2 000</w:t>
            </w:r>
          </w:p>
        </w:tc>
        <w:tc>
          <w:tcPr>
            <w:tcW w:w="916" w:type="dxa"/>
            <w:shd w:val="clear" w:color="auto" w:fill="C6EFCE"/>
            <w:noWrap/>
            <w:vAlign w:val="center"/>
            <w:hideMark/>
          </w:tcPr>
          <w:p w14:paraId="33B8A209" w14:textId="098A7077" w:rsidR="00154E32" w:rsidRDefault="00A43E04">
            <w:pPr>
              <w:pStyle w:val="P68B1DB1-Normal11"/>
              <w:jc w:val="center"/>
              <w:rPr>
                <w:noProof/>
              </w:rPr>
            </w:pPr>
            <w:r>
              <w:rPr>
                <w:noProof/>
              </w:rPr>
              <w:t>Q2</w:t>
            </w:r>
          </w:p>
        </w:tc>
        <w:tc>
          <w:tcPr>
            <w:tcW w:w="812" w:type="dxa"/>
            <w:shd w:val="clear" w:color="auto" w:fill="C6EFCE"/>
            <w:noWrap/>
            <w:vAlign w:val="center"/>
            <w:hideMark/>
          </w:tcPr>
          <w:p w14:paraId="52153719" w14:textId="1A6781C8" w:rsidR="00154E32" w:rsidRDefault="00A43E04">
            <w:pPr>
              <w:pStyle w:val="P68B1DB1-Normal11"/>
              <w:jc w:val="center"/>
              <w:rPr>
                <w:noProof/>
              </w:rPr>
            </w:pPr>
            <w:r>
              <w:rPr>
                <w:noProof/>
              </w:rPr>
              <w:t>2026</w:t>
            </w:r>
          </w:p>
        </w:tc>
        <w:tc>
          <w:tcPr>
            <w:tcW w:w="3271" w:type="dxa"/>
            <w:shd w:val="clear" w:color="auto" w:fill="C6EFCE"/>
            <w:noWrap/>
            <w:vAlign w:val="center"/>
            <w:hideMark/>
          </w:tcPr>
          <w:p w14:paraId="0ADCC3FD" w14:textId="061DDEB7" w:rsidR="00154E32" w:rsidRDefault="00A43E04">
            <w:pPr>
              <w:pStyle w:val="P68B1DB1-Normal11"/>
              <w:rPr>
                <w:noProof/>
              </w:rPr>
            </w:pPr>
            <w:r>
              <w:rPr>
                <w:noProof/>
              </w:rPr>
              <w:t>Do intervencije je upravičenih vsaj 2000 podeželskih lekarn v občinah hamelet ali naselij z manj kot 5000 prebivalci.</w:t>
            </w:r>
          </w:p>
        </w:tc>
      </w:tr>
      <w:tr w:rsidR="00154E32" w14:paraId="29C3832D" w14:textId="77777777">
        <w:trPr>
          <w:trHeight w:val="309"/>
        </w:trPr>
        <w:tc>
          <w:tcPr>
            <w:tcW w:w="1207" w:type="dxa"/>
            <w:shd w:val="clear" w:color="auto" w:fill="C6EFCE"/>
            <w:noWrap/>
            <w:vAlign w:val="center"/>
          </w:tcPr>
          <w:p w14:paraId="1AEE0AB7" w14:textId="34AA7D06" w:rsidR="00154E32" w:rsidRDefault="00A43E04">
            <w:pPr>
              <w:pStyle w:val="P68B1DB1-Normal11"/>
              <w:jc w:val="center"/>
              <w:rPr>
                <w:noProof/>
              </w:rPr>
            </w:pPr>
            <w:r>
              <w:rPr>
                <w:noProof/>
              </w:rPr>
              <w:t>M5C3–8</w:t>
            </w:r>
          </w:p>
        </w:tc>
        <w:tc>
          <w:tcPr>
            <w:tcW w:w="1772" w:type="dxa"/>
            <w:shd w:val="clear" w:color="auto" w:fill="C6EFCE"/>
            <w:noWrap/>
            <w:vAlign w:val="center"/>
          </w:tcPr>
          <w:p w14:paraId="391DC5C7" w14:textId="77777777" w:rsidR="00154E32" w:rsidRDefault="00A43E04">
            <w:pPr>
              <w:pStyle w:val="P68B1DB1-Normal11"/>
              <w:jc w:val="center"/>
              <w:rPr>
                <w:noProof/>
              </w:rPr>
            </w:pPr>
            <w:r>
              <w:rPr>
                <w:noProof/>
              </w:rPr>
              <w:t>Naložba 1.3: Strukturirani socialno-izobraževalni ukrepi za boj proti izobraževalni revščini na jugu, ki podpirajo tretji sektor</w:t>
            </w:r>
          </w:p>
        </w:tc>
        <w:tc>
          <w:tcPr>
            <w:tcW w:w="1412" w:type="dxa"/>
            <w:shd w:val="clear" w:color="auto" w:fill="C6EFCE"/>
            <w:noWrap/>
            <w:vAlign w:val="center"/>
          </w:tcPr>
          <w:p w14:paraId="46393F14" w14:textId="77777777" w:rsidR="00154E32" w:rsidRDefault="00A43E04">
            <w:pPr>
              <w:pStyle w:val="P68B1DB1-Normal11"/>
              <w:jc w:val="center"/>
              <w:rPr>
                <w:noProof/>
              </w:rPr>
            </w:pPr>
            <w:r>
              <w:rPr>
                <w:noProof/>
              </w:rPr>
              <w:t>Tarča</w:t>
            </w:r>
          </w:p>
        </w:tc>
        <w:tc>
          <w:tcPr>
            <w:tcW w:w="1559" w:type="dxa"/>
            <w:shd w:val="clear" w:color="auto" w:fill="C6EFCE"/>
            <w:noWrap/>
            <w:vAlign w:val="center"/>
          </w:tcPr>
          <w:p w14:paraId="1D35CFAA" w14:textId="77777777" w:rsidR="00154E32" w:rsidRDefault="00A43E04">
            <w:pPr>
              <w:pStyle w:val="P68B1DB1-Normal11"/>
              <w:jc w:val="center"/>
              <w:rPr>
                <w:noProof/>
              </w:rPr>
            </w:pPr>
            <w:r>
              <w:rPr>
                <w:noProof/>
              </w:rPr>
              <w:t>Izobraževalna podpora mladoletnikom (prva serija)</w:t>
            </w:r>
          </w:p>
        </w:tc>
        <w:tc>
          <w:tcPr>
            <w:tcW w:w="1560" w:type="dxa"/>
            <w:shd w:val="clear" w:color="auto" w:fill="C6EFCE"/>
            <w:noWrap/>
            <w:vAlign w:val="center"/>
          </w:tcPr>
          <w:p w14:paraId="346C67BA"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3DD42289" w14:textId="77777777" w:rsidR="00154E32" w:rsidRDefault="00A43E04">
            <w:pPr>
              <w:pStyle w:val="P68B1DB1-Normal11"/>
              <w:jc w:val="center"/>
              <w:rPr>
                <w:noProof/>
              </w:rPr>
            </w:pPr>
            <w:r>
              <w:rPr>
                <w:noProof/>
              </w:rPr>
              <w:t>Število</w:t>
            </w:r>
          </w:p>
        </w:tc>
        <w:tc>
          <w:tcPr>
            <w:tcW w:w="1134" w:type="dxa"/>
            <w:shd w:val="clear" w:color="auto" w:fill="C6EFCE"/>
            <w:noWrap/>
            <w:vAlign w:val="center"/>
          </w:tcPr>
          <w:p w14:paraId="0E3DC50E" w14:textId="77777777" w:rsidR="00154E32" w:rsidRDefault="00A43E04">
            <w:pPr>
              <w:pStyle w:val="P68B1DB1-Normal11"/>
              <w:jc w:val="center"/>
              <w:rPr>
                <w:noProof/>
              </w:rPr>
            </w:pPr>
            <w:r>
              <w:rPr>
                <w:noProof/>
              </w:rPr>
              <w:t>0</w:t>
            </w:r>
          </w:p>
        </w:tc>
        <w:tc>
          <w:tcPr>
            <w:tcW w:w="992" w:type="dxa"/>
            <w:shd w:val="clear" w:color="auto" w:fill="C6EFCE"/>
            <w:noWrap/>
            <w:vAlign w:val="center"/>
          </w:tcPr>
          <w:p w14:paraId="72BD510C" w14:textId="2F81E778" w:rsidR="00154E32" w:rsidRDefault="00A43E04">
            <w:pPr>
              <w:pStyle w:val="P68B1DB1-Normal11"/>
              <w:jc w:val="center"/>
              <w:rPr>
                <w:noProof/>
              </w:rPr>
            </w:pPr>
            <w:r>
              <w:rPr>
                <w:noProof/>
              </w:rPr>
              <w:t>20 000</w:t>
            </w:r>
          </w:p>
        </w:tc>
        <w:tc>
          <w:tcPr>
            <w:tcW w:w="916" w:type="dxa"/>
            <w:shd w:val="clear" w:color="auto" w:fill="C6EFCE"/>
            <w:noWrap/>
            <w:vAlign w:val="center"/>
          </w:tcPr>
          <w:p w14:paraId="63DB2494" w14:textId="77777777" w:rsidR="00154E32" w:rsidRDefault="00A43E04">
            <w:pPr>
              <w:pStyle w:val="P68B1DB1-Normal11"/>
              <w:jc w:val="center"/>
              <w:rPr>
                <w:noProof/>
              </w:rPr>
            </w:pPr>
            <w:r>
              <w:rPr>
                <w:noProof/>
              </w:rPr>
              <w:t>Q2</w:t>
            </w:r>
          </w:p>
        </w:tc>
        <w:tc>
          <w:tcPr>
            <w:tcW w:w="812" w:type="dxa"/>
            <w:shd w:val="clear" w:color="auto" w:fill="C6EFCE"/>
            <w:noWrap/>
            <w:vAlign w:val="center"/>
          </w:tcPr>
          <w:p w14:paraId="69173F45" w14:textId="77777777" w:rsidR="00154E32" w:rsidRDefault="00A43E04">
            <w:pPr>
              <w:pStyle w:val="P68B1DB1-Normal11"/>
              <w:jc w:val="center"/>
              <w:rPr>
                <w:noProof/>
              </w:rPr>
            </w:pPr>
            <w:r>
              <w:rPr>
                <w:noProof/>
              </w:rPr>
              <w:t>2023</w:t>
            </w:r>
          </w:p>
        </w:tc>
        <w:tc>
          <w:tcPr>
            <w:tcW w:w="3271" w:type="dxa"/>
            <w:shd w:val="clear" w:color="auto" w:fill="C6EFCE"/>
            <w:noWrap/>
            <w:vAlign w:val="center"/>
          </w:tcPr>
          <w:p w14:paraId="3BE31D6C" w14:textId="6A0E55CB" w:rsidR="00154E32" w:rsidRDefault="00A43E04">
            <w:pPr>
              <w:pStyle w:val="P68B1DB1-Normal11"/>
              <w:rPr>
                <w:noProof/>
              </w:rPr>
            </w:pPr>
            <w:r>
              <w:rPr>
                <w:noProof/>
              </w:rPr>
              <w:t xml:space="preserve">Vsaj 20000 mladoletnikov, starih do 17 let, prejme izobraževalno podporo. Projekti izobraževalne podpore se osredotočajo na eno od naslednjih področij: </w:t>
            </w:r>
          </w:p>
          <w:p w14:paraId="12EC8C88" w14:textId="77777777" w:rsidR="00154E32" w:rsidRDefault="00154E32">
            <w:pPr>
              <w:rPr>
                <w:rFonts w:ascii="Arial Narrow" w:hAnsi="Arial Narrow"/>
                <w:noProof/>
                <w:color w:val="006100"/>
                <w:sz w:val="20"/>
              </w:rPr>
            </w:pPr>
          </w:p>
          <w:p w14:paraId="17D7FE26" w14:textId="24754767" w:rsidR="00154E32" w:rsidRDefault="00A43E04">
            <w:pPr>
              <w:pStyle w:val="P68B1DB1-Normal11"/>
              <w:rPr>
                <w:noProof/>
              </w:rPr>
            </w:pPr>
            <w:r>
              <w:rPr>
                <w:noProof/>
              </w:rPr>
              <w:t xml:space="preserve">• Ukrepe za otroke, stare od nič do šest let, namenjene izboljšanju pogojev za dostop do storitev vrtca in vrtca ter podpiranju starševstva; </w:t>
            </w:r>
          </w:p>
          <w:p w14:paraId="543DA8E2" w14:textId="77777777" w:rsidR="00154E32" w:rsidRDefault="00154E32">
            <w:pPr>
              <w:rPr>
                <w:rFonts w:ascii="Arial Narrow" w:hAnsi="Arial Narrow"/>
                <w:noProof/>
                <w:color w:val="006100"/>
                <w:sz w:val="20"/>
              </w:rPr>
            </w:pPr>
          </w:p>
          <w:p w14:paraId="5C84BEF7" w14:textId="77777777" w:rsidR="00154E32" w:rsidRDefault="00A43E04">
            <w:pPr>
              <w:pStyle w:val="P68B1DB1-Normal11"/>
              <w:rPr>
                <w:noProof/>
              </w:rPr>
            </w:pPr>
            <w:r>
              <w:rPr>
                <w:noProof/>
              </w:rPr>
              <w:t xml:space="preserve">• Ukrepe za otroke, stare od pet do deset let, katerih cilj je zagotoviti učinkovite možnosti izobraževanja in zgodnje preprečevanje osipa, ustrahovanja in drugih pojavov stiske; </w:t>
            </w:r>
          </w:p>
          <w:p w14:paraId="6B9EF3E7" w14:textId="77777777" w:rsidR="00154E32" w:rsidRDefault="00154E32">
            <w:pPr>
              <w:rPr>
                <w:rFonts w:ascii="Arial Narrow" w:hAnsi="Arial Narrow"/>
                <w:noProof/>
                <w:color w:val="006100"/>
                <w:sz w:val="20"/>
              </w:rPr>
            </w:pPr>
          </w:p>
          <w:p w14:paraId="4BFFCD84" w14:textId="30662B1C" w:rsidR="00154E32" w:rsidRDefault="00A43E04">
            <w:pPr>
              <w:pStyle w:val="P68B1DB1-Normal11"/>
              <w:rPr>
                <w:noProof/>
              </w:rPr>
            </w:pPr>
            <w:r>
              <w:rPr>
                <w:noProof/>
              </w:rPr>
              <w:t>• Ukrepe za otroke v starosti od 11 do 17 let, katerih cilj je izboljšati ponudbo izobraževanja in preprečiti pojav zgodnjega opuščanja šolanja.</w:t>
            </w:r>
          </w:p>
          <w:p w14:paraId="2F7C30AC" w14:textId="77777777" w:rsidR="00154E32" w:rsidRDefault="00154E32">
            <w:pPr>
              <w:rPr>
                <w:rFonts w:ascii="Arial Narrow" w:hAnsi="Arial Narrow"/>
                <w:noProof/>
                <w:color w:val="006100"/>
                <w:sz w:val="20"/>
              </w:rPr>
            </w:pPr>
          </w:p>
          <w:p w14:paraId="4A6409A8" w14:textId="77777777" w:rsidR="00154E32" w:rsidRDefault="00A43E04">
            <w:pPr>
              <w:pStyle w:val="P68B1DB1-Normal11"/>
              <w:rPr>
                <w:noProof/>
              </w:rPr>
            </w:pPr>
            <w:r>
              <w:rPr>
                <w:noProof/>
              </w:rPr>
              <w:t>Ključni elementi razpisa:</w:t>
            </w:r>
          </w:p>
          <w:p w14:paraId="7AD33D55" w14:textId="33864933" w:rsidR="00154E32" w:rsidRDefault="00A43E04">
            <w:pPr>
              <w:pStyle w:val="P68B1DB1-Normal19"/>
              <w:rPr>
                <w:noProof/>
                <w:color w:val="006100"/>
              </w:rPr>
            </w:pPr>
            <w:r>
              <w:rPr>
                <w:noProof/>
              </w:rPr>
              <w:t xml:space="preserve"> </w:t>
            </w:r>
            <w:r>
              <w:rPr>
                <w:noProof/>
              </w:rPr>
              <w:br/>
            </w:r>
            <w:r>
              <w:rPr>
                <w:noProof/>
                <w:color w:val="006100"/>
              </w:rPr>
              <w:t xml:space="preserve"> Javna objava znaša najmanj 50 000 000 EUR na </w:t>
            </w:r>
            <w:r>
              <w:rPr>
                <w:noProof/>
              </w:rPr>
              <w:t xml:space="preserve"> </w:t>
            </w:r>
            <w:r>
              <w:rPr>
                <w:noProof/>
              </w:rPr>
              <w:br/>
              <w:t xml:space="preserve"> </w:t>
            </w:r>
            <w:r>
              <w:rPr>
                <w:noProof/>
                <w:color w:val="006100"/>
              </w:rPr>
              <w:t>— Projekti subjektov tretjega sektorja trajajo najmanj eno leto in največ dve leti.</w:t>
            </w:r>
          </w:p>
          <w:p w14:paraId="14E4D4C7" w14:textId="41B2E971" w:rsidR="00154E32" w:rsidRDefault="00A43E04">
            <w:pPr>
              <w:pStyle w:val="P68B1DB1-Normal19"/>
              <w:rPr>
                <w:noProof/>
                <w:color w:val="006100"/>
              </w:rPr>
            </w:pPr>
            <w:r>
              <w:rPr>
                <w:noProof/>
              </w:rPr>
              <w:t xml:space="preserve"> </w:t>
            </w:r>
            <w:r>
              <w:rPr>
                <w:noProof/>
              </w:rPr>
              <w:br/>
            </w:r>
            <w:r>
              <w:rPr>
                <w:noProof/>
                <w:color w:val="006100"/>
              </w:rPr>
              <w:t>Ukrepi se izvajajo v regijah Abruci, Bazilikata, Kampanija, Kalabrija, Molise, Apulija, Sardinija in Sicilija.</w:t>
            </w:r>
          </w:p>
        </w:tc>
      </w:tr>
      <w:tr w:rsidR="00154E32" w14:paraId="0043C01E" w14:textId="77777777">
        <w:trPr>
          <w:trHeight w:val="309"/>
        </w:trPr>
        <w:tc>
          <w:tcPr>
            <w:tcW w:w="1207" w:type="dxa"/>
            <w:shd w:val="clear" w:color="auto" w:fill="C6EFCE"/>
            <w:noWrap/>
            <w:vAlign w:val="center"/>
          </w:tcPr>
          <w:p w14:paraId="4C8C279E" w14:textId="0B8B2640" w:rsidR="00154E32" w:rsidRDefault="00A43E04">
            <w:pPr>
              <w:pStyle w:val="P68B1DB1-Normal11"/>
              <w:jc w:val="center"/>
              <w:rPr>
                <w:noProof/>
              </w:rPr>
            </w:pPr>
            <w:r>
              <w:rPr>
                <w:noProof/>
              </w:rPr>
              <w:t>M5C3–9</w:t>
            </w:r>
          </w:p>
        </w:tc>
        <w:tc>
          <w:tcPr>
            <w:tcW w:w="1772" w:type="dxa"/>
            <w:shd w:val="clear" w:color="auto" w:fill="C6EFCE"/>
            <w:noWrap/>
            <w:vAlign w:val="center"/>
          </w:tcPr>
          <w:p w14:paraId="37D8C32C" w14:textId="77777777" w:rsidR="00154E32" w:rsidRDefault="00A43E04">
            <w:pPr>
              <w:pStyle w:val="P68B1DB1-Normal11"/>
              <w:jc w:val="center"/>
              <w:rPr>
                <w:noProof/>
              </w:rPr>
            </w:pPr>
            <w:r>
              <w:rPr>
                <w:noProof/>
              </w:rPr>
              <w:t>Naložba1.3: Strukturirani socialno-izobraževalni ukrepi za boj proti izobraževalni revščini na jugu, ki podpirajo tretji sektor</w:t>
            </w:r>
          </w:p>
        </w:tc>
        <w:tc>
          <w:tcPr>
            <w:tcW w:w="1412" w:type="dxa"/>
            <w:shd w:val="clear" w:color="auto" w:fill="C6EFCE"/>
            <w:noWrap/>
            <w:vAlign w:val="center"/>
          </w:tcPr>
          <w:p w14:paraId="11C4429C" w14:textId="77777777" w:rsidR="00154E32" w:rsidRDefault="00A43E04">
            <w:pPr>
              <w:pStyle w:val="P68B1DB1-Normal11"/>
              <w:jc w:val="center"/>
              <w:rPr>
                <w:noProof/>
              </w:rPr>
            </w:pPr>
            <w:r>
              <w:rPr>
                <w:noProof/>
              </w:rPr>
              <w:t>Tarča</w:t>
            </w:r>
          </w:p>
        </w:tc>
        <w:tc>
          <w:tcPr>
            <w:tcW w:w="1559" w:type="dxa"/>
            <w:shd w:val="clear" w:color="auto" w:fill="C6EFCE"/>
            <w:noWrap/>
            <w:vAlign w:val="center"/>
          </w:tcPr>
          <w:p w14:paraId="313C030F" w14:textId="77777777" w:rsidR="00154E32" w:rsidRDefault="00A43E04">
            <w:pPr>
              <w:pStyle w:val="P68B1DB1-Normal11"/>
              <w:jc w:val="center"/>
              <w:rPr>
                <w:noProof/>
              </w:rPr>
            </w:pPr>
            <w:r>
              <w:rPr>
                <w:noProof/>
              </w:rPr>
              <w:t>Izobraževalna podpora mladoletnikom (druga serija)</w:t>
            </w:r>
          </w:p>
        </w:tc>
        <w:tc>
          <w:tcPr>
            <w:tcW w:w="1560" w:type="dxa"/>
            <w:shd w:val="clear" w:color="auto" w:fill="C6EFCE"/>
            <w:noWrap/>
            <w:vAlign w:val="center"/>
          </w:tcPr>
          <w:p w14:paraId="664E2C9D"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60127EE4" w14:textId="77777777" w:rsidR="00154E32" w:rsidRDefault="00A43E04">
            <w:pPr>
              <w:pStyle w:val="P68B1DB1-Normal11"/>
              <w:jc w:val="center"/>
              <w:rPr>
                <w:noProof/>
              </w:rPr>
            </w:pPr>
            <w:r>
              <w:rPr>
                <w:noProof/>
              </w:rPr>
              <w:t>Število</w:t>
            </w:r>
          </w:p>
        </w:tc>
        <w:tc>
          <w:tcPr>
            <w:tcW w:w="1134" w:type="dxa"/>
            <w:shd w:val="clear" w:color="auto" w:fill="C6EFCE"/>
            <w:noWrap/>
            <w:vAlign w:val="center"/>
          </w:tcPr>
          <w:p w14:paraId="409AD455" w14:textId="62D57982" w:rsidR="00154E32" w:rsidRDefault="00A43E04">
            <w:pPr>
              <w:pStyle w:val="P68B1DB1-Normal11"/>
              <w:jc w:val="center"/>
              <w:rPr>
                <w:noProof/>
              </w:rPr>
            </w:pPr>
            <w:r>
              <w:rPr>
                <w:noProof/>
              </w:rPr>
              <w:t>20 000</w:t>
            </w:r>
          </w:p>
        </w:tc>
        <w:tc>
          <w:tcPr>
            <w:tcW w:w="992" w:type="dxa"/>
            <w:shd w:val="clear" w:color="auto" w:fill="C6EFCE"/>
            <w:noWrap/>
            <w:vAlign w:val="center"/>
          </w:tcPr>
          <w:p w14:paraId="0ED0A31D" w14:textId="3F31CAC5" w:rsidR="00154E32" w:rsidRDefault="00A43E04">
            <w:pPr>
              <w:pStyle w:val="P68B1DB1-Normal11"/>
              <w:jc w:val="center"/>
              <w:rPr>
                <w:noProof/>
              </w:rPr>
            </w:pPr>
            <w:r>
              <w:rPr>
                <w:noProof/>
              </w:rPr>
              <w:t>44 000</w:t>
            </w:r>
          </w:p>
        </w:tc>
        <w:tc>
          <w:tcPr>
            <w:tcW w:w="916" w:type="dxa"/>
            <w:shd w:val="clear" w:color="auto" w:fill="C6EFCE"/>
            <w:noWrap/>
            <w:vAlign w:val="center"/>
          </w:tcPr>
          <w:p w14:paraId="750E4807" w14:textId="77777777" w:rsidR="00154E32" w:rsidRDefault="00A43E04">
            <w:pPr>
              <w:pStyle w:val="P68B1DB1-Normal11"/>
              <w:jc w:val="center"/>
              <w:rPr>
                <w:noProof/>
              </w:rPr>
            </w:pPr>
            <w:r>
              <w:rPr>
                <w:noProof/>
              </w:rPr>
              <w:t>Q2</w:t>
            </w:r>
          </w:p>
        </w:tc>
        <w:tc>
          <w:tcPr>
            <w:tcW w:w="812" w:type="dxa"/>
            <w:shd w:val="clear" w:color="auto" w:fill="C6EFCE"/>
            <w:noWrap/>
            <w:vAlign w:val="center"/>
          </w:tcPr>
          <w:p w14:paraId="3FEE3319" w14:textId="77777777" w:rsidR="00154E32" w:rsidRDefault="00A43E04">
            <w:pPr>
              <w:pStyle w:val="P68B1DB1-Normal11"/>
              <w:jc w:val="center"/>
              <w:rPr>
                <w:noProof/>
              </w:rPr>
            </w:pPr>
            <w:r>
              <w:rPr>
                <w:noProof/>
              </w:rPr>
              <w:t>2026</w:t>
            </w:r>
          </w:p>
        </w:tc>
        <w:tc>
          <w:tcPr>
            <w:tcW w:w="3271" w:type="dxa"/>
            <w:shd w:val="clear" w:color="auto" w:fill="C6EFCE"/>
            <w:noWrap/>
            <w:vAlign w:val="center"/>
          </w:tcPr>
          <w:p w14:paraId="302B17FB" w14:textId="56D506FB" w:rsidR="00154E32" w:rsidRDefault="00A43E04">
            <w:pPr>
              <w:pStyle w:val="P68B1DB1-Normal11"/>
              <w:rPr>
                <w:noProof/>
              </w:rPr>
            </w:pPr>
            <w:r>
              <w:rPr>
                <w:noProof/>
              </w:rPr>
              <w:t>Vsaj 44000 mladoletnikom, starim od nič do 17 let, je zagotovljena izobraževalna podpora</w:t>
            </w:r>
          </w:p>
        </w:tc>
      </w:tr>
    </w:tbl>
    <w:p w14:paraId="422E00C3" w14:textId="77777777" w:rsidR="00154E32" w:rsidRDefault="00154E32">
      <w:pPr>
        <w:spacing w:before="120" w:after="120"/>
        <w:ind w:left="709"/>
        <w:jc w:val="both"/>
        <w:rPr>
          <w:noProof/>
        </w:rPr>
        <w:sectPr w:rsidR="00154E32" w:rsidSect="000D3774">
          <w:headerReference w:type="even" r:id="rId332"/>
          <w:headerReference w:type="default" r:id="rId333"/>
          <w:footerReference w:type="even" r:id="rId334"/>
          <w:footerReference w:type="default" r:id="rId335"/>
          <w:headerReference w:type="first" r:id="rId336"/>
          <w:footerReference w:type="first" r:id="rId337"/>
          <w:pgSz w:w="16839" w:h="11907" w:orient="landscape"/>
          <w:pgMar w:top="720" w:right="720" w:bottom="720" w:left="720" w:header="709" w:footer="709" w:gutter="0"/>
          <w:cols w:space="720"/>
          <w:docGrid w:linePitch="360"/>
        </w:sectPr>
      </w:pPr>
    </w:p>
    <w:p w14:paraId="79E005B7" w14:textId="77777777" w:rsidR="00154E32" w:rsidRDefault="00A43E04">
      <w:pPr>
        <w:pStyle w:val="P68B1DB1-Normal14"/>
        <w:spacing w:before="120" w:after="120"/>
        <w:ind w:left="709"/>
        <w:jc w:val="both"/>
        <w:rPr>
          <w:noProof/>
        </w:rPr>
      </w:pPr>
      <w:r>
        <w:rPr>
          <w:noProof/>
        </w:rPr>
        <w:t xml:space="preserve"> </w:t>
      </w:r>
    </w:p>
    <w:p w14:paraId="46F205A7" w14:textId="66C10776" w:rsidR="00154E32" w:rsidRDefault="00A43E04">
      <w:pPr>
        <w:pStyle w:val="Heading3"/>
        <w:numPr>
          <w:ilvl w:val="0"/>
          <w:numId w:val="0"/>
        </w:numPr>
        <w:ind w:left="850" w:hanging="850"/>
        <w:rPr>
          <w:b/>
          <w:i w:val="0"/>
          <w:noProof/>
          <w:u w:val="single"/>
        </w:rPr>
      </w:pPr>
      <w:r>
        <w:rPr>
          <w:b/>
          <w:i w:val="0"/>
          <w:noProof/>
          <w:u w:val="single"/>
        </w:rPr>
        <w:t xml:space="preserve">N.3. </w:t>
      </w:r>
      <w:r>
        <w:rPr>
          <w:noProof/>
        </w:rPr>
        <w:tab/>
      </w:r>
      <w:r>
        <w:rPr>
          <w:b/>
          <w:i w:val="0"/>
          <w:noProof/>
          <w:u w:val="single"/>
        </w:rPr>
        <w:t xml:space="preserve">Opis reform in naložb za posojilo </w:t>
      </w:r>
    </w:p>
    <w:p w14:paraId="4DCFA0CC" w14:textId="77777777" w:rsidR="00154E32" w:rsidRDefault="00A43E04">
      <w:pPr>
        <w:pStyle w:val="P68B1DB1-Normal2"/>
        <w:spacing w:before="120" w:after="120"/>
        <w:jc w:val="both"/>
        <w:rPr>
          <w:noProof/>
        </w:rPr>
      </w:pPr>
      <w:r>
        <w:rPr>
          <w:noProof/>
        </w:rPr>
        <w:t>Reforma 1: Poenostavitev postopkov in okrepitev komisarja v posebnih ekonomskih conah</w:t>
      </w:r>
    </w:p>
    <w:p w14:paraId="2E9BA854" w14:textId="1A08D097" w:rsidR="00154E32" w:rsidRDefault="00A43E04">
      <w:pPr>
        <w:spacing w:before="120" w:after="120"/>
        <w:jc w:val="both"/>
        <w:rPr>
          <w:noProof/>
        </w:rPr>
      </w:pPr>
      <w:r>
        <w:rPr>
          <w:noProof/>
        </w:rPr>
        <w:t xml:space="preserve">Reforma prispeva k poenostavitvi sistema upravljanja in racionalizira čas izvajanja intervencij v posebnih ekonomskih conah. Z reformo se vzpostavi digitalna točka „vse na enem mestu“ za posebne ekonomske cone in okrepi vloga komisarja.  </w:t>
      </w:r>
    </w:p>
    <w:p w14:paraId="249565ED" w14:textId="3FD4B6BF" w:rsidR="00154E32" w:rsidRDefault="00A43E04">
      <w:pPr>
        <w:pStyle w:val="P68B1DB1-Normal2"/>
        <w:spacing w:before="120" w:after="120"/>
        <w:jc w:val="both"/>
        <w:rPr>
          <w:noProof/>
        </w:rPr>
      </w:pPr>
      <w:r>
        <w:rPr>
          <w:noProof/>
        </w:rPr>
        <w:t xml:space="preserve">Naložba 4: Infrastrukturne naložbe za posebne ekonomske cone (SEZ)  </w:t>
      </w:r>
    </w:p>
    <w:p w14:paraId="1273EC8C" w14:textId="77777777" w:rsidR="00154E32" w:rsidRDefault="00A43E04">
      <w:pPr>
        <w:spacing w:before="120" w:after="120"/>
        <w:jc w:val="both"/>
        <w:rPr>
          <w:noProof/>
        </w:rPr>
      </w:pPr>
      <w:r>
        <w:rPr>
          <w:noProof/>
        </w:rPr>
        <w:t xml:space="preserve">Namen teh naložb je zagotoviti učinkovitost reforme, s katero so bile uvedene PEC, tako da se preprečijo nadaljnje zamude pri gospodarskem razvoju na južnih območjih, ki že imajo proizvodno osnovo. </w:t>
      </w:r>
    </w:p>
    <w:p w14:paraId="04467A39" w14:textId="77777777" w:rsidR="00154E32" w:rsidRDefault="00A43E04">
      <w:pPr>
        <w:spacing w:before="120" w:after="120"/>
        <w:jc w:val="both"/>
        <w:rPr>
          <w:noProof/>
        </w:rPr>
      </w:pPr>
      <w:r>
        <w:rPr>
          <w:noProof/>
        </w:rPr>
        <w:t>Projekti, vključeni v ukrep, spodbujajo konkurenčnost in gospodarski razvoj v PEC s primarno urbanizacijo, kot je opredeljeno v italijanski zakonodaji, in s povezovanjem teh območij s cestnim in železniškim omrežjem. Cilj ukrepov je spodbuditi podjetja in podjetja, da svoje proizvodne dejavnosti umestijo na območja posebnih ekonomskih con. Pričakuje se, da bodo infrastrukturne naložbe povezane s povezavami na zadnjem delu poti s pristanišči ali industrijskimi območji; digitalna logistika, urbanizacija ali dela na področju energijske učinkovitosti; krepitev odpornosti pristanišč.</w:t>
      </w:r>
    </w:p>
    <w:p w14:paraId="0B4C419D" w14:textId="77777777" w:rsidR="00154E32" w:rsidRDefault="00A43E04">
      <w:pPr>
        <w:spacing w:before="120" w:after="120"/>
        <w:jc w:val="both"/>
        <w:rPr>
          <w:i/>
          <w:noProof/>
          <w:color w:val="4F81BD" w:themeColor="accent1"/>
        </w:rPr>
      </w:pPr>
      <w:r>
        <w:rPr>
          <w:noProof/>
        </w:rPr>
        <w:t>Da se zagotovi skladnost ukrepa s tehničnimi smernicami za uporabo načela, da se ne škoduje bistveno (2021/C58/01), merila za upravičenost iz projektne naloge za prihodnje razpise za projekte ne vključujejo naslednjega seznama dejavnosti:</w:t>
      </w:r>
      <w:r>
        <w:rPr>
          <w:noProof/>
          <w:color w:val="FF0000"/>
        </w:rPr>
        <w:t xml:space="preserve"> </w:t>
      </w:r>
      <w:r>
        <w:rPr>
          <w:noProof/>
        </w:rPr>
        <w:t>(I) dejavnosti, povezane s fosilnimi gorivi, vključno z nadaljnjo uporabo</w:t>
      </w:r>
      <w:r>
        <w:rPr>
          <w:rStyle w:val="FootnoteReference"/>
          <w:noProof/>
        </w:rPr>
        <w:footnoteReference w:id="119"/>
      </w:r>
      <w:r>
        <w:rPr>
          <w:noProof/>
        </w:rPr>
        <w:t>; (II) dejavnosti v okviru sistema EU za trgovanje z emisijami (ETS), s katerimi se dosegajo predvidene emisije toplogrednih plinov, ki niso nižje od ustreznih referenčnih vrednosti</w:t>
      </w:r>
      <w:r>
        <w:rPr>
          <w:rStyle w:val="FootnoteReference"/>
          <w:noProof/>
        </w:rPr>
        <w:footnoteReference w:id="120"/>
      </w:r>
      <w:r>
        <w:rPr>
          <w:noProof/>
        </w:rPr>
        <w:t>; (III) dejavnosti, povezane z odlagališči odpadkov, sežigalnicami</w:t>
      </w:r>
      <w:r>
        <w:rPr>
          <w:rStyle w:val="FootnoteReference"/>
          <w:noProof/>
        </w:rPr>
        <w:footnoteReference w:id="121"/>
      </w:r>
      <w:r>
        <w:rPr>
          <w:noProof/>
        </w:rPr>
        <w:t xml:space="preserve"> in napravami za mehansko-biološko obdelavo</w:t>
      </w:r>
      <w:r>
        <w:rPr>
          <w:rStyle w:val="FootnoteReference"/>
          <w:noProof/>
        </w:rPr>
        <w:footnoteReference w:id="122"/>
      </w:r>
      <w:r>
        <w:rPr>
          <w:noProof/>
        </w:rPr>
        <w:t>; ter (iv) dejavnosti, pri katerih lahko dolgotrajno odstranjevanje odpadkov dolgoročno škoduje okolju. Poleg tega se zahteva, da se lahko izberejo samo dejavnosti, ki so skladne z ustrezno okoljsko zakonodajo EU in nacionalno okoljsko zakonodajo.</w:t>
      </w:r>
      <w:r>
        <w:rPr>
          <w:i/>
          <w:noProof/>
          <w:color w:val="4F81BD" w:themeColor="accent1"/>
        </w:rPr>
        <w:t xml:space="preserve"> </w:t>
      </w:r>
    </w:p>
    <w:p w14:paraId="077DE347" w14:textId="77777777" w:rsidR="00154E32" w:rsidRDefault="00154E32">
      <w:pPr>
        <w:spacing w:before="120" w:after="120"/>
        <w:ind w:left="709"/>
        <w:contextualSpacing/>
        <w:jc w:val="both"/>
        <w:rPr>
          <w:noProof/>
        </w:rPr>
        <w:sectPr w:rsidR="00154E32" w:rsidSect="000D3774">
          <w:headerReference w:type="even" r:id="rId338"/>
          <w:headerReference w:type="default" r:id="rId339"/>
          <w:footerReference w:type="even" r:id="rId340"/>
          <w:footerReference w:type="default" r:id="rId341"/>
          <w:headerReference w:type="first" r:id="rId342"/>
          <w:footerReference w:type="first" r:id="rId343"/>
          <w:pgSz w:w="11907" w:h="16839"/>
          <w:pgMar w:top="1134" w:right="1417" w:bottom="1134" w:left="1417" w:header="709" w:footer="709" w:gutter="0"/>
          <w:cols w:space="720"/>
          <w:docGrid w:linePitch="360"/>
        </w:sectPr>
      </w:pPr>
    </w:p>
    <w:p w14:paraId="758C1322" w14:textId="77777777" w:rsidR="00154E32" w:rsidRDefault="00A43E04">
      <w:pPr>
        <w:pStyle w:val="Heading3"/>
        <w:numPr>
          <w:ilvl w:val="0"/>
          <w:numId w:val="0"/>
        </w:numPr>
        <w:ind w:left="850" w:hanging="850"/>
        <w:rPr>
          <w:b/>
          <w:i w:val="0"/>
          <w:noProof/>
          <w:u w:val="single"/>
        </w:rPr>
      </w:pPr>
      <w:r>
        <w:rPr>
          <w:b/>
          <w:i w:val="0"/>
          <w:noProof/>
          <w:u w:val="single"/>
        </w:rPr>
        <w:t xml:space="preserve">N.4. </w:t>
      </w:r>
      <w:r>
        <w:rPr>
          <w:noProof/>
        </w:rPr>
        <w:tab/>
      </w:r>
      <w:r>
        <w:rPr>
          <w:b/>
          <w:i w:val="0"/>
          <w:noProof/>
          <w:u w:val="single"/>
        </w:rPr>
        <w:t xml:space="preserve">Mejniki, cilji, kazalniki in časovni razpored za spremljanje in izvajanje posojila </w:t>
      </w:r>
    </w:p>
    <w:tbl>
      <w:tblPr>
        <w:tblW w:w="1535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666"/>
        <w:gridCol w:w="1169"/>
        <w:gridCol w:w="1559"/>
        <w:gridCol w:w="1701"/>
        <w:gridCol w:w="1417"/>
        <w:gridCol w:w="1134"/>
        <w:gridCol w:w="993"/>
        <w:gridCol w:w="992"/>
        <w:gridCol w:w="709"/>
        <w:gridCol w:w="2595"/>
      </w:tblGrid>
      <w:tr w:rsidR="00154E32" w14:paraId="2F8C448A" w14:textId="77777777">
        <w:trPr>
          <w:trHeight w:val="939"/>
          <w:tblHeader/>
        </w:trPr>
        <w:tc>
          <w:tcPr>
            <w:tcW w:w="1419" w:type="dxa"/>
            <w:vMerge w:val="restart"/>
            <w:shd w:val="clear" w:color="auto" w:fill="BDD7EE"/>
            <w:vAlign w:val="center"/>
            <w:hideMark/>
          </w:tcPr>
          <w:p w14:paraId="736D556E" w14:textId="77777777" w:rsidR="00154E32" w:rsidRDefault="00A43E04">
            <w:pPr>
              <w:pStyle w:val="P68B1DB1-Normal9"/>
              <w:jc w:val="center"/>
              <w:rPr>
                <w:rFonts w:eastAsiaTheme="minorEastAsia"/>
                <w:noProof/>
              </w:rPr>
            </w:pPr>
            <w:r>
              <w:rPr>
                <w:noProof/>
              </w:rPr>
              <w:t>Zaporedna številka</w:t>
            </w:r>
          </w:p>
        </w:tc>
        <w:tc>
          <w:tcPr>
            <w:tcW w:w="1666" w:type="dxa"/>
            <w:vMerge w:val="restart"/>
            <w:shd w:val="clear" w:color="auto" w:fill="BDD7EE"/>
            <w:vAlign w:val="center"/>
            <w:hideMark/>
          </w:tcPr>
          <w:p w14:paraId="4473515D" w14:textId="77777777" w:rsidR="00154E32" w:rsidRDefault="00A43E04">
            <w:pPr>
              <w:pStyle w:val="P68B1DB1-Normal9"/>
              <w:jc w:val="center"/>
              <w:rPr>
                <w:rFonts w:eastAsiaTheme="minorEastAsia"/>
                <w:noProof/>
              </w:rPr>
            </w:pPr>
            <w:r>
              <w:rPr>
                <w:noProof/>
              </w:rPr>
              <w:t>Povezani ukrep (reforma ali naložba)</w:t>
            </w:r>
          </w:p>
        </w:tc>
        <w:tc>
          <w:tcPr>
            <w:tcW w:w="1169" w:type="dxa"/>
            <w:vMerge w:val="restart"/>
            <w:shd w:val="clear" w:color="auto" w:fill="BDD7EE"/>
            <w:vAlign w:val="center"/>
            <w:hideMark/>
          </w:tcPr>
          <w:p w14:paraId="17052A57" w14:textId="77777777" w:rsidR="00154E32" w:rsidRDefault="00A43E04">
            <w:pPr>
              <w:pStyle w:val="P68B1DB1-Normal9"/>
              <w:jc w:val="center"/>
              <w:rPr>
                <w:rFonts w:eastAsiaTheme="minorEastAsia"/>
                <w:noProof/>
              </w:rPr>
            </w:pPr>
            <w:r>
              <w:rPr>
                <w:noProof/>
              </w:rPr>
              <w:t>Mejnik/cilj</w:t>
            </w:r>
          </w:p>
        </w:tc>
        <w:tc>
          <w:tcPr>
            <w:tcW w:w="1559" w:type="dxa"/>
            <w:vMerge w:val="restart"/>
            <w:shd w:val="clear" w:color="auto" w:fill="BDD7EE"/>
            <w:vAlign w:val="center"/>
            <w:hideMark/>
          </w:tcPr>
          <w:p w14:paraId="3C35FF02" w14:textId="77777777" w:rsidR="00154E32" w:rsidRDefault="00A43E04">
            <w:pPr>
              <w:pStyle w:val="P68B1DB1-Normal9"/>
              <w:jc w:val="center"/>
              <w:rPr>
                <w:rFonts w:eastAsiaTheme="minorEastAsia"/>
                <w:noProof/>
              </w:rPr>
            </w:pPr>
            <w:r>
              <w:rPr>
                <w:noProof/>
              </w:rPr>
              <w:t>Ime</w:t>
            </w:r>
          </w:p>
        </w:tc>
        <w:tc>
          <w:tcPr>
            <w:tcW w:w="1701" w:type="dxa"/>
            <w:vMerge w:val="restart"/>
            <w:shd w:val="clear" w:color="auto" w:fill="BDD7EE"/>
            <w:vAlign w:val="center"/>
            <w:hideMark/>
          </w:tcPr>
          <w:p w14:paraId="7E84BA6D" w14:textId="77777777" w:rsidR="00154E32" w:rsidRDefault="00A43E04">
            <w:pPr>
              <w:pStyle w:val="P68B1DB1-Normal19"/>
              <w:jc w:val="center"/>
              <w:rPr>
                <w:rFonts w:eastAsiaTheme="minorEastAsia"/>
                <w:b/>
                <w:noProof/>
              </w:rPr>
            </w:pPr>
            <w:r>
              <w:rPr>
                <w:b/>
                <w:noProof/>
              </w:rPr>
              <w:t>Kakovostni kazalniki</w:t>
            </w:r>
            <w:r>
              <w:rPr>
                <w:noProof/>
              </w:rPr>
              <w:t xml:space="preserve"> </w:t>
            </w:r>
            <w:r>
              <w:rPr>
                <w:noProof/>
              </w:rPr>
              <w:br/>
            </w:r>
            <w:r>
              <w:rPr>
                <w:b/>
                <w:noProof/>
              </w:rPr>
              <w:t>(za mejnike)</w:t>
            </w:r>
          </w:p>
        </w:tc>
        <w:tc>
          <w:tcPr>
            <w:tcW w:w="3544" w:type="dxa"/>
            <w:gridSpan w:val="3"/>
            <w:shd w:val="clear" w:color="auto" w:fill="BDD7EE"/>
            <w:vAlign w:val="center"/>
            <w:hideMark/>
          </w:tcPr>
          <w:p w14:paraId="44F0EB79" w14:textId="77777777" w:rsidR="00154E32" w:rsidRDefault="00A43E04">
            <w:pPr>
              <w:pStyle w:val="P68B1DB1-Normal19"/>
              <w:jc w:val="center"/>
              <w:rPr>
                <w:rFonts w:eastAsiaTheme="minorEastAsia"/>
                <w:b/>
                <w:noProof/>
              </w:rPr>
            </w:pPr>
            <w:r>
              <w:rPr>
                <w:b/>
                <w:noProof/>
              </w:rPr>
              <w:t>Kvantitativni kazalniki</w:t>
            </w:r>
            <w:r>
              <w:rPr>
                <w:noProof/>
              </w:rPr>
              <w:t xml:space="preserve"> </w:t>
            </w:r>
            <w:r>
              <w:rPr>
                <w:noProof/>
              </w:rPr>
              <w:br/>
            </w:r>
            <w:r>
              <w:rPr>
                <w:b/>
                <w:noProof/>
              </w:rPr>
              <w:t>(za ciljne vrednosti)</w:t>
            </w:r>
          </w:p>
        </w:tc>
        <w:tc>
          <w:tcPr>
            <w:tcW w:w="1701" w:type="dxa"/>
            <w:gridSpan w:val="2"/>
            <w:shd w:val="clear" w:color="auto" w:fill="BDD7EE"/>
            <w:vAlign w:val="center"/>
            <w:hideMark/>
          </w:tcPr>
          <w:p w14:paraId="69864ECE" w14:textId="77777777" w:rsidR="00154E32" w:rsidRDefault="00A43E04">
            <w:pPr>
              <w:pStyle w:val="P68B1DB1-Normal9"/>
              <w:jc w:val="center"/>
              <w:rPr>
                <w:rFonts w:eastAsiaTheme="minorEastAsia"/>
                <w:noProof/>
              </w:rPr>
            </w:pPr>
            <w:r>
              <w:rPr>
                <w:noProof/>
              </w:rPr>
              <w:t>Okvirni časovni razpored za dokončanje</w:t>
            </w:r>
          </w:p>
        </w:tc>
        <w:tc>
          <w:tcPr>
            <w:tcW w:w="2595" w:type="dxa"/>
            <w:vMerge w:val="restart"/>
            <w:shd w:val="clear" w:color="auto" w:fill="BDD7EE"/>
            <w:vAlign w:val="center"/>
            <w:hideMark/>
          </w:tcPr>
          <w:p w14:paraId="608A2A79" w14:textId="77777777" w:rsidR="00154E32" w:rsidRDefault="00A43E04">
            <w:pPr>
              <w:pStyle w:val="P68B1DB1-Normal9"/>
              <w:jc w:val="center"/>
              <w:rPr>
                <w:rFonts w:eastAsiaTheme="minorEastAsia"/>
                <w:noProof/>
              </w:rPr>
            </w:pPr>
            <w:r>
              <w:rPr>
                <w:noProof/>
              </w:rPr>
              <w:t>Opis vsakega mejnika in cilja</w:t>
            </w:r>
          </w:p>
        </w:tc>
      </w:tr>
      <w:tr w:rsidR="00154E32" w14:paraId="2A285183" w14:textId="77777777">
        <w:trPr>
          <w:trHeight w:val="741"/>
        </w:trPr>
        <w:tc>
          <w:tcPr>
            <w:tcW w:w="1419" w:type="dxa"/>
            <w:vMerge/>
            <w:vAlign w:val="center"/>
            <w:hideMark/>
          </w:tcPr>
          <w:p w14:paraId="332E4125" w14:textId="77777777" w:rsidR="00154E32" w:rsidRDefault="00154E32">
            <w:pPr>
              <w:jc w:val="center"/>
              <w:rPr>
                <w:rFonts w:ascii="Arial Narrow" w:eastAsiaTheme="minorEastAsia" w:hAnsi="Arial Narrow"/>
                <w:b/>
                <w:noProof/>
                <w:sz w:val="20"/>
              </w:rPr>
            </w:pPr>
          </w:p>
        </w:tc>
        <w:tc>
          <w:tcPr>
            <w:tcW w:w="1666" w:type="dxa"/>
            <w:vMerge/>
            <w:vAlign w:val="center"/>
            <w:hideMark/>
          </w:tcPr>
          <w:p w14:paraId="1085E835" w14:textId="77777777" w:rsidR="00154E32" w:rsidRDefault="00154E32">
            <w:pPr>
              <w:jc w:val="center"/>
              <w:rPr>
                <w:rFonts w:ascii="Arial Narrow" w:eastAsiaTheme="minorEastAsia" w:hAnsi="Arial Narrow"/>
                <w:b/>
                <w:noProof/>
                <w:sz w:val="20"/>
              </w:rPr>
            </w:pPr>
          </w:p>
        </w:tc>
        <w:tc>
          <w:tcPr>
            <w:tcW w:w="1169" w:type="dxa"/>
            <w:vMerge/>
            <w:vAlign w:val="center"/>
            <w:hideMark/>
          </w:tcPr>
          <w:p w14:paraId="7C2A02D5" w14:textId="77777777" w:rsidR="00154E32" w:rsidRDefault="00154E32">
            <w:pPr>
              <w:jc w:val="center"/>
              <w:rPr>
                <w:rFonts w:ascii="Arial Narrow" w:eastAsiaTheme="minorEastAsia" w:hAnsi="Arial Narrow"/>
                <w:b/>
                <w:noProof/>
                <w:sz w:val="20"/>
              </w:rPr>
            </w:pPr>
          </w:p>
        </w:tc>
        <w:tc>
          <w:tcPr>
            <w:tcW w:w="1559" w:type="dxa"/>
            <w:vMerge/>
            <w:vAlign w:val="center"/>
            <w:hideMark/>
          </w:tcPr>
          <w:p w14:paraId="72BB8D74" w14:textId="77777777" w:rsidR="00154E32" w:rsidRDefault="00154E32">
            <w:pPr>
              <w:jc w:val="center"/>
              <w:rPr>
                <w:rFonts w:ascii="Arial Narrow" w:eastAsiaTheme="minorEastAsia" w:hAnsi="Arial Narrow"/>
                <w:b/>
                <w:noProof/>
                <w:sz w:val="20"/>
              </w:rPr>
            </w:pPr>
          </w:p>
        </w:tc>
        <w:tc>
          <w:tcPr>
            <w:tcW w:w="1701" w:type="dxa"/>
            <w:vMerge/>
            <w:vAlign w:val="center"/>
            <w:hideMark/>
          </w:tcPr>
          <w:p w14:paraId="202E8085" w14:textId="77777777" w:rsidR="00154E32" w:rsidRDefault="00154E32">
            <w:pPr>
              <w:jc w:val="center"/>
              <w:rPr>
                <w:rFonts w:ascii="Arial Narrow" w:eastAsiaTheme="minorEastAsia" w:hAnsi="Arial Narrow"/>
                <w:b/>
                <w:noProof/>
                <w:sz w:val="20"/>
              </w:rPr>
            </w:pPr>
          </w:p>
        </w:tc>
        <w:tc>
          <w:tcPr>
            <w:tcW w:w="1417" w:type="dxa"/>
            <w:shd w:val="clear" w:color="auto" w:fill="BDD7EE"/>
            <w:vAlign w:val="center"/>
            <w:hideMark/>
          </w:tcPr>
          <w:p w14:paraId="33053F04" w14:textId="77777777" w:rsidR="00154E32" w:rsidRDefault="00A43E04">
            <w:pPr>
              <w:pStyle w:val="P68B1DB1-Normal9"/>
              <w:jc w:val="center"/>
              <w:rPr>
                <w:rFonts w:eastAsiaTheme="minorEastAsia"/>
                <w:noProof/>
              </w:rPr>
            </w:pPr>
            <w:r>
              <w:rPr>
                <w:noProof/>
              </w:rPr>
              <w:t>Merska enota</w:t>
            </w:r>
          </w:p>
        </w:tc>
        <w:tc>
          <w:tcPr>
            <w:tcW w:w="1134" w:type="dxa"/>
            <w:shd w:val="clear" w:color="auto" w:fill="BDD7EE"/>
            <w:vAlign w:val="center"/>
            <w:hideMark/>
          </w:tcPr>
          <w:p w14:paraId="6B4F47FB" w14:textId="77777777" w:rsidR="00154E32" w:rsidRDefault="00A43E04">
            <w:pPr>
              <w:pStyle w:val="P68B1DB1-Normal9"/>
              <w:jc w:val="center"/>
              <w:rPr>
                <w:rFonts w:eastAsiaTheme="minorEastAsia"/>
                <w:noProof/>
              </w:rPr>
            </w:pPr>
            <w:r>
              <w:rPr>
                <w:noProof/>
              </w:rPr>
              <w:t>Izhodišče</w:t>
            </w:r>
          </w:p>
        </w:tc>
        <w:tc>
          <w:tcPr>
            <w:tcW w:w="993" w:type="dxa"/>
            <w:shd w:val="clear" w:color="auto" w:fill="BDD7EE"/>
            <w:vAlign w:val="center"/>
            <w:hideMark/>
          </w:tcPr>
          <w:p w14:paraId="5B89459E" w14:textId="77777777" w:rsidR="00154E32" w:rsidRDefault="00A43E04">
            <w:pPr>
              <w:pStyle w:val="P68B1DB1-Normal9"/>
              <w:jc w:val="center"/>
              <w:rPr>
                <w:rFonts w:eastAsiaTheme="minorEastAsia"/>
                <w:noProof/>
              </w:rPr>
            </w:pPr>
            <w:r>
              <w:rPr>
                <w:noProof/>
              </w:rPr>
              <w:t>Cilj</w:t>
            </w:r>
          </w:p>
        </w:tc>
        <w:tc>
          <w:tcPr>
            <w:tcW w:w="992" w:type="dxa"/>
            <w:shd w:val="clear" w:color="auto" w:fill="BDD7EE"/>
            <w:vAlign w:val="center"/>
            <w:hideMark/>
          </w:tcPr>
          <w:p w14:paraId="3C40ABB8" w14:textId="77777777" w:rsidR="00154E32" w:rsidRDefault="00A43E04">
            <w:pPr>
              <w:pStyle w:val="P68B1DB1-Normal9"/>
              <w:jc w:val="center"/>
              <w:rPr>
                <w:rFonts w:eastAsiaTheme="minorEastAsia"/>
                <w:noProof/>
              </w:rPr>
            </w:pPr>
            <w:r>
              <w:rPr>
                <w:noProof/>
              </w:rPr>
              <w:t>Četrtletje</w:t>
            </w:r>
          </w:p>
        </w:tc>
        <w:tc>
          <w:tcPr>
            <w:tcW w:w="709" w:type="dxa"/>
            <w:shd w:val="clear" w:color="auto" w:fill="BDD7EE"/>
            <w:vAlign w:val="center"/>
            <w:hideMark/>
          </w:tcPr>
          <w:p w14:paraId="18088C36" w14:textId="77777777" w:rsidR="00154E32" w:rsidRDefault="00A43E04">
            <w:pPr>
              <w:pStyle w:val="P68B1DB1-Normal9"/>
              <w:jc w:val="center"/>
              <w:rPr>
                <w:rFonts w:eastAsiaTheme="minorEastAsia"/>
                <w:noProof/>
              </w:rPr>
            </w:pPr>
            <w:r>
              <w:rPr>
                <w:noProof/>
              </w:rPr>
              <w:t>Leto</w:t>
            </w:r>
          </w:p>
        </w:tc>
        <w:tc>
          <w:tcPr>
            <w:tcW w:w="2595" w:type="dxa"/>
            <w:vMerge/>
            <w:vAlign w:val="center"/>
            <w:hideMark/>
          </w:tcPr>
          <w:p w14:paraId="1AF7A958" w14:textId="77777777" w:rsidR="00154E32" w:rsidRDefault="00154E32">
            <w:pPr>
              <w:jc w:val="center"/>
              <w:rPr>
                <w:rFonts w:ascii="Arial Narrow" w:eastAsiaTheme="minorEastAsia" w:hAnsi="Arial Narrow"/>
                <w:b/>
                <w:noProof/>
                <w:sz w:val="20"/>
              </w:rPr>
            </w:pPr>
          </w:p>
        </w:tc>
      </w:tr>
      <w:tr w:rsidR="00154E32" w14:paraId="22E1DB7C" w14:textId="77777777">
        <w:trPr>
          <w:trHeight w:val="313"/>
        </w:trPr>
        <w:tc>
          <w:tcPr>
            <w:tcW w:w="1419" w:type="dxa"/>
            <w:shd w:val="clear" w:color="auto" w:fill="C6EFCE"/>
            <w:noWrap/>
            <w:vAlign w:val="center"/>
          </w:tcPr>
          <w:p w14:paraId="1347A528" w14:textId="54BD9F4D" w:rsidR="00154E32" w:rsidRDefault="00A43E04">
            <w:pPr>
              <w:pStyle w:val="P68B1DB1-Normal11"/>
              <w:jc w:val="center"/>
              <w:rPr>
                <w:rFonts w:eastAsiaTheme="minorEastAsia"/>
                <w:noProof/>
              </w:rPr>
            </w:pPr>
            <w:r>
              <w:rPr>
                <w:noProof/>
              </w:rPr>
              <w:t>M5C3–10</w:t>
            </w:r>
          </w:p>
        </w:tc>
        <w:tc>
          <w:tcPr>
            <w:tcW w:w="1666" w:type="dxa"/>
            <w:shd w:val="clear" w:color="auto" w:fill="C6EFCE"/>
            <w:noWrap/>
            <w:vAlign w:val="center"/>
            <w:hideMark/>
          </w:tcPr>
          <w:p w14:paraId="59A31D6A" w14:textId="27CCFAC9" w:rsidR="00154E32" w:rsidRDefault="00A43E04">
            <w:pPr>
              <w:pStyle w:val="P68B1DB1-Normal11"/>
              <w:jc w:val="center"/>
              <w:rPr>
                <w:rFonts w:eastAsiaTheme="minorEastAsia"/>
                <w:noProof/>
              </w:rPr>
            </w:pPr>
            <w:r>
              <w:rPr>
                <w:noProof/>
              </w:rPr>
              <w:t>Reforma1: Poenostavitev postopkov in okrepitev komisarja v posebnih ekonomskih conah</w:t>
            </w:r>
          </w:p>
        </w:tc>
        <w:tc>
          <w:tcPr>
            <w:tcW w:w="1169" w:type="dxa"/>
            <w:shd w:val="clear" w:color="auto" w:fill="C6EFCE"/>
            <w:noWrap/>
            <w:vAlign w:val="center"/>
            <w:hideMark/>
          </w:tcPr>
          <w:p w14:paraId="61AC5E39" w14:textId="77777777" w:rsidR="00154E32" w:rsidRDefault="00A43E04">
            <w:pPr>
              <w:pStyle w:val="P68B1DB1-Normal11"/>
              <w:jc w:val="center"/>
              <w:rPr>
                <w:rFonts w:eastAsiaTheme="minorEastAsia"/>
                <w:noProof/>
              </w:rPr>
            </w:pPr>
            <w:r>
              <w:rPr>
                <w:noProof/>
              </w:rPr>
              <w:t>Mejnik</w:t>
            </w:r>
          </w:p>
        </w:tc>
        <w:tc>
          <w:tcPr>
            <w:tcW w:w="1559" w:type="dxa"/>
            <w:shd w:val="clear" w:color="auto" w:fill="C6EFCE"/>
            <w:noWrap/>
            <w:vAlign w:val="center"/>
            <w:hideMark/>
          </w:tcPr>
          <w:p w14:paraId="2CA78E12" w14:textId="2FA4A66B" w:rsidR="00154E32" w:rsidRDefault="00A43E04">
            <w:pPr>
              <w:pStyle w:val="P68B1DB1-Normal11"/>
              <w:jc w:val="center"/>
              <w:rPr>
                <w:rFonts w:eastAsiaTheme="minorEastAsia"/>
                <w:noProof/>
              </w:rPr>
            </w:pPr>
            <w:r>
              <w:rPr>
                <w:noProof/>
              </w:rPr>
              <w:t>Začetek veljavnosti uredbe za poenostavitev postopkov in okrepitev vloge komisarja v posebnih ekonomskih conah</w:t>
            </w:r>
          </w:p>
        </w:tc>
        <w:tc>
          <w:tcPr>
            <w:tcW w:w="1701" w:type="dxa"/>
            <w:shd w:val="clear" w:color="auto" w:fill="C6EFCE"/>
            <w:noWrap/>
            <w:vAlign w:val="center"/>
            <w:hideMark/>
          </w:tcPr>
          <w:p w14:paraId="33020874" w14:textId="0D964F2E" w:rsidR="00154E32" w:rsidRDefault="00A43E04">
            <w:pPr>
              <w:pStyle w:val="P68B1DB1-Normal11"/>
              <w:jc w:val="center"/>
              <w:rPr>
                <w:rFonts w:eastAsiaTheme="minorEastAsia"/>
                <w:noProof/>
              </w:rPr>
            </w:pPr>
            <w:r>
              <w:rPr>
                <w:noProof/>
              </w:rPr>
              <w:t>Določba uredbe o začetku veljavnosti uredbe zgolj za postopke in krepitev vloge komisarja v posebnih ekonomskih conah</w:t>
            </w:r>
          </w:p>
        </w:tc>
        <w:tc>
          <w:tcPr>
            <w:tcW w:w="1417" w:type="dxa"/>
            <w:shd w:val="clear" w:color="auto" w:fill="C6EFCE"/>
            <w:noWrap/>
            <w:vAlign w:val="center"/>
          </w:tcPr>
          <w:p w14:paraId="700B21A7"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761709DD" w14:textId="77777777" w:rsidR="00154E32" w:rsidRDefault="00A43E04">
            <w:pPr>
              <w:pStyle w:val="P68B1DB1-Normal11"/>
              <w:jc w:val="center"/>
              <w:rPr>
                <w:noProof/>
              </w:rPr>
            </w:pPr>
            <w:r>
              <w:rPr>
                <w:noProof/>
              </w:rPr>
              <w:t>JIH NI</w:t>
            </w:r>
          </w:p>
        </w:tc>
        <w:tc>
          <w:tcPr>
            <w:tcW w:w="993" w:type="dxa"/>
            <w:shd w:val="clear" w:color="auto" w:fill="C6EFCE"/>
            <w:noWrap/>
            <w:vAlign w:val="center"/>
          </w:tcPr>
          <w:p w14:paraId="6CE24969" w14:textId="77777777" w:rsidR="00154E32" w:rsidRDefault="00A43E04">
            <w:pPr>
              <w:pStyle w:val="P68B1DB1-Normal11"/>
              <w:jc w:val="center"/>
              <w:rPr>
                <w:noProof/>
              </w:rPr>
            </w:pPr>
            <w:r>
              <w:rPr>
                <w:noProof/>
              </w:rPr>
              <w:t>JIH NI</w:t>
            </w:r>
          </w:p>
        </w:tc>
        <w:tc>
          <w:tcPr>
            <w:tcW w:w="992" w:type="dxa"/>
            <w:shd w:val="clear" w:color="auto" w:fill="C6EFCE"/>
            <w:noWrap/>
            <w:vAlign w:val="center"/>
            <w:hideMark/>
          </w:tcPr>
          <w:p w14:paraId="4027312A" w14:textId="77777777" w:rsidR="00154E32" w:rsidRDefault="00A43E04">
            <w:pPr>
              <w:pStyle w:val="P68B1DB1-Normal11"/>
              <w:jc w:val="center"/>
              <w:rPr>
                <w:rFonts w:eastAsiaTheme="minorEastAsia"/>
                <w:noProof/>
              </w:rPr>
            </w:pPr>
            <w:r>
              <w:rPr>
                <w:noProof/>
              </w:rPr>
              <w:t>Q4</w:t>
            </w:r>
          </w:p>
        </w:tc>
        <w:tc>
          <w:tcPr>
            <w:tcW w:w="709" w:type="dxa"/>
            <w:shd w:val="clear" w:color="auto" w:fill="C6EFCE"/>
            <w:noWrap/>
            <w:vAlign w:val="center"/>
            <w:hideMark/>
          </w:tcPr>
          <w:p w14:paraId="3A95E104" w14:textId="77777777" w:rsidR="00154E32" w:rsidRDefault="00A43E04">
            <w:pPr>
              <w:pStyle w:val="P68B1DB1-Normal11"/>
              <w:rPr>
                <w:rFonts w:eastAsiaTheme="minorEastAsia"/>
                <w:noProof/>
              </w:rPr>
            </w:pPr>
            <w:r>
              <w:rPr>
                <w:noProof/>
              </w:rPr>
              <w:t>2021</w:t>
            </w:r>
          </w:p>
        </w:tc>
        <w:tc>
          <w:tcPr>
            <w:tcW w:w="2595" w:type="dxa"/>
            <w:shd w:val="clear" w:color="auto" w:fill="C6EFCE"/>
            <w:noWrap/>
            <w:vAlign w:val="center"/>
            <w:hideMark/>
          </w:tcPr>
          <w:p w14:paraId="22E6183E" w14:textId="77777777" w:rsidR="00154E32" w:rsidRDefault="00A43E04">
            <w:pPr>
              <w:pStyle w:val="P68B1DB1-Normal11"/>
              <w:rPr>
                <w:noProof/>
              </w:rPr>
            </w:pPr>
            <w:r>
              <w:rPr>
                <w:noProof/>
              </w:rPr>
              <w:t>Uredba vključuje: Evropska</w:t>
            </w:r>
          </w:p>
          <w:p w14:paraId="703CC86E" w14:textId="1BCB92A6" w:rsidR="00154E32" w:rsidRDefault="00A43E04">
            <w:pPr>
              <w:pStyle w:val="P68B1DB1-Normal11"/>
              <w:rPr>
                <w:noProof/>
              </w:rPr>
            </w:pPr>
            <w:r>
              <w:rPr>
                <w:noProof/>
              </w:rPr>
              <w:t>vzpostavitev digitalne točke „vse na enem mestu“ za posebne ekonomske cone za poenostavitev postopkov; določbe za okrepitev vloge komisarja v ZES.</w:t>
            </w:r>
          </w:p>
          <w:p w14:paraId="66E20FDB" w14:textId="77777777" w:rsidR="00154E32" w:rsidRDefault="00A43E04">
            <w:pPr>
              <w:pStyle w:val="P68B1DB1-Normal11"/>
              <w:rPr>
                <w:noProof/>
              </w:rPr>
            </w:pPr>
            <w:r>
              <w:rPr>
                <w:noProof/>
              </w:rPr>
              <w:t xml:space="preserve"> </w:t>
            </w:r>
          </w:p>
          <w:p w14:paraId="098733FB" w14:textId="77777777" w:rsidR="00154E32" w:rsidRDefault="00A43E04">
            <w:pPr>
              <w:pStyle w:val="P68B1DB1-Normal11"/>
              <w:rPr>
                <w:rFonts w:eastAsiaTheme="minorEastAsia"/>
                <w:noProof/>
              </w:rPr>
            </w:pPr>
            <w:r>
              <w:rPr>
                <w:noProof/>
              </w:rPr>
              <w:t>Posebne ekonomske cone so posebna območja, opredeljena z zakonskim odlokom št. 91/2017 (objava v Uradnem listu št. 141/2017), ki je bil v zakon preoblikovan z L. 123/2017 (objavljen v Uradnem listu Mezzogiorno 188/2017).</w:t>
            </w:r>
          </w:p>
        </w:tc>
      </w:tr>
      <w:tr w:rsidR="00154E32" w14:paraId="1D3F218D" w14:textId="77777777">
        <w:trPr>
          <w:trHeight w:val="313"/>
        </w:trPr>
        <w:tc>
          <w:tcPr>
            <w:tcW w:w="1419" w:type="dxa"/>
            <w:shd w:val="clear" w:color="auto" w:fill="C6EFCE"/>
            <w:noWrap/>
            <w:vAlign w:val="center"/>
            <w:hideMark/>
          </w:tcPr>
          <w:p w14:paraId="4DADD978" w14:textId="77777777" w:rsidR="00154E32" w:rsidRDefault="00A43E04">
            <w:pPr>
              <w:pStyle w:val="P68B1DB1-Normal11"/>
              <w:jc w:val="center"/>
              <w:rPr>
                <w:rFonts w:eastAsiaTheme="minorEastAsia"/>
                <w:noProof/>
              </w:rPr>
            </w:pPr>
            <w:r>
              <w:rPr>
                <w:noProof/>
              </w:rPr>
              <w:t>M5C3–11</w:t>
            </w:r>
          </w:p>
        </w:tc>
        <w:tc>
          <w:tcPr>
            <w:tcW w:w="1666" w:type="dxa"/>
            <w:shd w:val="clear" w:color="auto" w:fill="C6EFCE"/>
            <w:noWrap/>
            <w:vAlign w:val="center"/>
            <w:hideMark/>
          </w:tcPr>
          <w:p w14:paraId="217CBDFE" w14:textId="77777777" w:rsidR="00154E32" w:rsidRDefault="00A43E04">
            <w:pPr>
              <w:pStyle w:val="P68B1DB1-Normal11"/>
              <w:jc w:val="center"/>
              <w:rPr>
                <w:rFonts w:eastAsiaTheme="minorEastAsia"/>
                <w:noProof/>
              </w:rPr>
            </w:pPr>
            <w:r>
              <w:rPr>
                <w:noProof/>
              </w:rPr>
              <w:t>Naložba 1.4: Infrastrukturne naložbe za posebno ekonomsko cono</w:t>
            </w:r>
            <w:r>
              <w:rPr>
                <w:noProof/>
                <w:shd w:val="clear" w:color="auto" w:fill="E6E6E6"/>
              </w:rPr>
              <w:t xml:space="preserve"> </w:t>
            </w:r>
          </w:p>
        </w:tc>
        <w:tc>
          <w:tcPr>
            <w:tcW w:w="1169" w:type="dxa"/>
            <w:shd w:val="clear" w:color="auto" w:fill="C6EFCE"/>
            <w:noWrap/>
            <w:vAlign w:val="center"/>
            <w:hideMark/>
          </w:tcPr>
          <w:p w14:paraId="4991743E" w14:textId="77777777" w:rsidR="00154E32" w:rsidRDefault="00A43E04">
            <w:pPr>
              <w:pStyle w:val="P68B1DB1-Normal11"/>
              <w:jc w:val="center"/>
              <w:rPr>
                <w:rFonts w:eastAsiaTheme="minorEastAsia"/>
                <w:noProof/>
              </w:rPr>
            </w:pPr>
            <w:r>
              <w:rPr>
                <w:noProof/>
              </w:rPr>
              <w:t>Mejnik</w:t>
            </w:r>
          </w:p>
        </w:tc>
        <w:tc>
          <w:tcPr>
            <w:tcW w:w="1559" w:type="dxa"/>
            <w:shd w:val="clear" w:color="auto" w:fill="C6EFCE"/>
            <w:noWrap/>
            <w:vAlign w:val="center"/>
            <w:hideMark/>
          </w:tcPr>
          <w:p w14:paraId="6C25467D" w14:textId="62EA0B7B" w:rsidR="00154E32" w:rsidRDefault="00A43E04">
            <w:pPr>
              <w:pStyle w:val="P68B1DB1-Normal11"/>
              <w:jc w:val="center"/>
              <w:rPr>
                <w:rFonts w:eastAsiaTheme="minorEastAsia"/>
                <w:noProof/>
              </w:rPr>
            </w:pPr>
            <w:r>
              <w:rPr>
                <w:noProof/>
              </w:rPr>
              <w:t>Začetek veljavnosti uredb ministrstva o odobritvi operativnih načrtov za vseh osem posebnih ekonomskih con</w:t>
            </w:r>
          </w:p>
        </w:tc>
        <w:tc>
          <w:tcPr>
            <w:tcW w:w="1701" w:type="dxa"/>
            <w:shd w:val="clear" w:color="auto" w:fill="C6EFCE"/>
            <w:noWrap/>
            <w:vAlign w:val="center"/>
            <w:hideMark/>
          </w:tcPr>
          <w:p w14:paraId="4F09AFB3" w14:textId="628359D5" w:rsidR="00154E32" w:rsidRDefault="00A43E04">
            <w:pPr>
              <w:pStyle w:val="P68B1DB1-Normal11"/>
              <w:jc w:val="center"/>
              <w:rPr>
                <w:rFonts w:eastAsiaTheme="minorEastAsia"/>
                <w:noProof/>
              </w:rPr>
            </w:pPr>
            <w:r>
              <w:rPr>
                <w:noProof/>
              </w:rPr>
              <w:t>Določba zakona o začetku veljavnosti odlokov ministrstva.</w:t>
            </w:r>
          </w:p>
        </w:tc>
        <w:tc>
          <w:tcPr>
            <w:tcW w:w="1417" w:type="dxa"/>
            <w:shd w:val="clear" w:color="auto" w:fill="C6EFCE"/>
            <w:noWrap/>
            <w:vAlign w:val="center"/>
            <w:hideMark/>
          </w:tcPr>
          <w:p w14:paraId="41A6584B" w14:textId="77777777" w:rsidR="00154E32" w:rsidRDefault="00A43E04">
            <w:pPr>
              <w:pStyle w:val="P68B1DB1-Normal11"/>
              <w:jc w:val="center"/>
              <w:rPr>
                <w:noProof/>
              </w:rPr>
            </w:pPr>
            <w:r>
              <w:rPr>
                <w:noProof/>
              </w:rPr>
              <w:t>JIH NI</w:t>
            </w:r>
          </w:p>
        </w:tc>
        <w:tc>
          <w:tcPr>
            <w:tcW w:w="1134" w:type="dxa"/>
            <w:shd w:val="clear" w:color="auto" w:fill="C6EFCE"/>
            <w:noWrap/>
            <w:vAlign w:val="center"/>
          </w:tcPr>
          <w:p w14:paraId="25960F29" w14:textId="77777777" w:rsidR="00154E32" w:rsidRDefault="00A43E04">
            <w:pPr>
              <w:pStyle w:val="P68B1DB1-Normal11"/>
              <w:jc w:val="center"/>
              <w:rPr>
                <w:noProof/>
              </w:rPr>
            </w:pPr>
            <w:r>
              <w:rPr>
                <w:noProof/>
              </w:rPr>
              <w:t>JIH NI</w:t>
            </w:r>
          </w:p>
        </w:tc>
        <w:tc>
          <w:tcPr>
            <w:tcW w:w="993" w:type="dxa"/>
            <w:shd w:val="clear" w:color="auto" w:fill="C6EFCE"/>
            <w:noWrap/>
            <w:vAlign w:val="center"/>
          </w:tcPr>
          <w:p w14:paraId="08D0708A" w14:textId="77777777" w:rsidR="00154E32" w:rsidRDefault="00A43E04">
            <w:pPr>
              <w:pStyle w:val="P68B1DB1-Normal11"/>
              <w:jc w:val="center"/>
              <w:rPr>
                <w:noProof/>
              </w:rPr>
            </w:pPr>
            <w:r>
              <w:rPr>
                <w:noProof/>
              </w:rPr>
              <w:t>JIH NI</w:t>
            </w:r>
          </w:p>
        </w:tc>
        <w:tc>
          <w:tcPr>
            <w:tcW w:w="992" w:type="dxa"/>
            <w:shd w:val="clear" w:color="auto" w:fill="C6EFCE"/>
            <w:noWrap/>
            <w:vAlign w:val="center"/>
            <w:hideMark/>
          </w:tcPr>
          <w:p w14:paraId="3F7A0D0A" w14:textId="77777777" w:rsidR="00154E32" w:rsidRDefault="00A43E04">
            <w:pPr>
              <w:pStyle w:val="P68B1DB1-Normal11"/>
              <w:jc w:val="center"/>
              <w:rPr>
                <w:rFonts w:eastAsiaTheme="minorEastAsia"/>
                <w:noProof/>
              </w:rPr>
            </w:pPr>
            <w:r>
              <w:rPr>
                <w:noProof/>
              </w:rPr>
              <w:t>Q4</w:t>
            </w:r>
          </w:p>
        </w:tc>
        <w:tc>
          <w:tcPr>
            <w:tcW w:w="709" w:type="dxa"/>
            <w:shd w:val="clear" w:color="auto" w:fill="C6EFCE"/>
            <w:noWrap/>
            <w:vAlign w:val="center"/>
            <w:hideMark/>
          </w:tcPr>
          <w:p w14:paraId="4853073B" w14:textId="77777777" w:rsidR="00154E32" w:rsidRDefault="00A43E04">
            <w:pPr>
              <w:pStyle w:val="P68B1DB1-Normal11"/>
              <w:jc w:val="center"/>
              <w:rPr>
                <w:rFonts w:eastAsiaTheme="minorEastAsia"/>
                <w:noProof/>
              </w:rPr>
            </w:pPr>
            <w:r>
              <w:rPr>
                <w:noProof/>
              </w:rPr>
              <w:t>2021</w:t>
            </w:r>
          </w:p>
        </w:tc>
        <w:tc>
          <w:tcPr>
            <w:tcW w:w="2595" w:type="dxa"/>
            <w:shd w:val="clear" w:color="auto" w:fill="C6EFCE"/>
            <w:noWrap/>
            <w:vAlign w:val="center"/>
            <w:hideMark/>
          </w:tcPr>
          <w:p w14:paraId="34495107" w14:textId="77777777" w:rsidR="00154E32" w:rsidRDefault="00A43E04">
            <w:pPr>
              <w:pStyle w:val="P68B1DB1-Normal11"/>
              <w:rPr>
                <w:rFonts w:eastAsiaTheme="minorEastAsia"/>
                <w:noProof/>
              </w:rPr>
            </w:pPr>
            <w:r>
              <w:rPr>
                <w:noProof/>
              </w:rPr>
              <w:t>Z uredbo se dodelijo sredstva subjektom, ki so odgovorni za izvajanje, in določijo posebni pogoji, da se prepreči kakršen koli vpliv posegov na okolje.</w:t>
            </w:r>
          </w:p>
          <w:p w14:paraId="7BB65746" w14:textId="77777777" w:rsidR="00154E32" w:rsidRDefault="00A43E04">
            <w:pPr>
              <w:pStyle w:val="P68B1DB1-Normal11"/>
              <w:rPr>
                <w:rFonts w:eastAsiaTheme="minorEastAsia"/>
                <w:noProof/>
              </w:rPr>
            </w:pPr>
            <w:r>
              <w:rPr>
                <w:noProof/>
              </w:rPr>
              <w:t>Vsi konkurenčni razpisi se objavijo na podlagi formalnih pogojev, vključno z merili za upravičenost, ki zagotavljajo, da so izbrani projekti skladni s tehničnimi smernicami za načelo, da se ne škoduje bistveno (2021/C58/01), in sicer z uporabo seznama za izključitev in zahtevo po skladnosti z ustrezno okoljsko zakonodajo EU in nacionalno okoljsko zakonodajo.</w:t>
            </w:r>
          </w:p>
        </w:tc>
      </w:tr>
      <w:tr w:rsidR="00154E32" w14:paraId="5194243F" w14:textId="77777777">
        <w:trPr>
          <w:trHeight w:val="313"/>
        </w:trPr>
        <w:tc>
          <w:tcPr>
            <w:tcW w:w="1419" w:type="dxa"/>
            <w:shd w:val="clear" w:color="auto" w:fill="C6EFCE"/>
            <w:noWrap/>
            <w:vAlign w:val="center"/>
            <w:hideMark/>
          </w:tcPr>
          <w:p w14:paraId="19F6E149" w14:textId="77777777" w:rsidR="00154E32" w:rsidRDefault="00A43E04">
            <w:pPr>
              <w:pStyle w:val="P68B1DB1-Normal11"/>
              <w:jc w:val="center"/>
              <w:rPr>
                <w:rFonts w:eastAsiaTheme="minorEastAsia"/>
                <w:noProof/>
              </w:rPr>
            </w:pPr>
            <w:r>
              <w:rPr>
                <w:noProof/>
              </w:rPr>
              <w:t>M5C3–12</w:t>
            </w:r>
          </w:p>
        </w:tc>
        <w:tc>
          <w:tcPr>
            <w:tcW w:w="1666" w:type="dxa"/>
            <w:shd w:val="clear" w:color="auto" w:fill="C6EFCE"/>
            <w:noWrap/>
            <w:vAlign w:val="center"/>
            <w:hideMark/>
          </w:tcPr>
          <w:p w14:paraId="2F2D76CD" w14:textId="25A39455" w:rsidR="00154E32" w:rsidRDefault="00A43E04">
            <w:pPr>
              <w:pStyle w:val="P68B1DB1-Normal11"/>
              <w:jc w:val="center"/>
              <w:rPr>
                <w:rFonts w:eastAsiaTheme="minorEastAsia"/>
                <w:noProof/>
              </w:rPr>
            </w:pPr>
            <w:r>
              <w:rPr>
                <w:noProof/>
              </w:rPr>
              <w:t>Naložba 1.4: Infrastrukturne naložbe za posebno ekonomsko cono</w:t>
            </w:r>
          </w:p>
        </w:tc>
        <w:tc>
          <w:tcPr>
            <w:tcW w:w="1169" w:type="dxa"/>
            <w:shd w:val="clear" w:color="auto" w:fill="C6EFCE"/>
            <w:noWrap/>
            <w:vAlign w:val="center"/>
            <w:hideMark/>
          </w:tcPr>
          <w:p w14:paraId="7E3362AC" w14:textId="77777777" w:rsidR="00154E32" w:rsidRDefault="00A43E04">
            <w:pPr>
              <w:pStyle w:val="P68B1DB1-Normal11"/>
              <w:jc w:val="center"/>
              <w:rPr>
                <w:rFonts w:eastAsiaTheme="minorEastAsia"/>
                <w:noProof/>
              </w:rPr>
            </w:pPr>
            <w:r>
              <w:rPr>
                <w:noProof/>
              </w:rPr>
              <w:t>Tarča</w:t>
            </w:r>
          </w:p>
        </w:tc>
        <w:tc>
          <w:tcPr>
            <w:tcW w:w="1559" w:type="dxa"/>
            <w:shd w:val="clear" w:color="auto" w:fill="C6EFCE"/>
            <w:noWrap/>
            <w:vAlign w:val="center"/>
          </w:tcPr>
          <w:p w14:paraId="145D5646" w14:textId="77777777" w:rsidR="00154E32" w:rsidRDefault="00A43E04">
            <w:pPr>
              <w:pStyle w:val="P68B1DB1-Normal11"/>
              <w:jc w:val="center"/>
              <w:rPr>
                <w:rFonts w:eastAsiaTheme="minorEastAsia"/>
                <w:noProof/>
              </w:rPr>
            </w:pPr>
            <w:r>
              <w:rPr>
                <w:noProof/>
              </w:rPr>
              <w:t>Začetek infrastrukturnih posegov v posebnih ekonomskih conah</w:t>
            </w:r>
          </w:p>
        </w:tc>
        <w:tc>
          <w:tcPr>
            <w:tcW w:w="1701" w:type="dxa"/>
            <w:shd w:val="clear" w:color="auto" w:fill="C6EFCE"/>
            <w:noWrap/>
            <w:vAlign w:val="center"/>
            <w:hideMark/>
          </w:tcPr>
          <w:p w14:paraId="5BC38396" w14:textId="77777777" w:rsidR="00154E32" w:rsidRDefault="00A43E04">
            <w:pPr>
              <w:pStyle w:val="P68B1DB1-Normal11"/>
              <w:jc w:val="center"/>
              <w:rPr>
                <w:noProof/>
              </w:rPr>
            </w:pPr>
            <w:r>
              <w:rPr>
                <w:noProof/>
              </w:rPr>
              <w:t>JIH NI</w:t>
            </w:r>
          </w:p>
        </w:tc>
        <w:tc>
          <w:tcPr>
            <w:tcW w:w="1417" w:type="dxa"/>
            <w:shd w:val="clear" w:color="auto" w:fill="C6EFCE"/>
            <w:noWrap/>
            <w:vAlign w:val="center"/>
            <w:hideMark/>
          </w:tcPr>
          <w:p w14:paraId="769BE842" w14:textId="77777777" w:rsidR="00154E32" w:rsidRDefault="00A43E04">
            <w:pPr>
              <w:pStyle w:val="P68B1DB1-Normal11"/>
              <w:jc w:val="center"/>
              <w:rPr>
                <w:rFonts w:eastAsiaTheme="minorEastAsia"/>
                <w:noProof/>
              </w:rPr>
            </w:pPr>
            <w:r>
              <w:rPr>
                <w:noProof/>
              </w:rPr>
              <w:t>Število</w:t>
            </w:r>
          </w:p>
        </w:tc>
        <w:tc>
          <w:tcPr>
            <w:tcW w:w="1134" w:type="dxa"/>
            <w:shd w:val="clear" w:color="auto" w:fill="C6EFCE"/>
            <w:noWrap/>
            <w:vAlign w:val="center"/>
            <w:hideMark/>
          </w:tcPr>
          <w:p w14:paraId="562A12DA" w14:textId="77777777" w:rsidR="00154E32" w:rsidRDefault="00A43E04">
            <w:pPr>
              <w:pStyle w:val="P68B1DB1-Normal11"/>
              <w:jc w:val="center"/>
              <w:rPr>
                <w:rFonts w:eastAsiaTheme="minorEastAsia"/>
                <w:noProof/>
              </w:rPr>
            </w:pPr>
            <w:r>
              <w:rPr>
                <w:noProof/>
              </w:rPr>
              <w:t>0</w:t>
            </w:r>
          </w:p>
        </w:tc>
        <w:tc>
          <w:tcPr>
            <w:tcW w:w="993" w:type="dxa"/>
            <w:shd w:val="clear" w:color="auto" w:fill="C6EFCE"/>
            <w:noWrap/>
            <w:vAlign w:val="center"/>
            <w:hideMark/>
          </w:tcPr>
          <w:p w14:paraId="27221E2C" w14:textId="77777777" w:rsidR="00154E32" w:rsidRDefault="00A43E04">
            <w:pPr>
              <w:pStyle w:val="P68B1DB1-Normal11"/>
              <w:jc w:val="center"/>
              <w:rPr>
                <w:rFonts w:eastAsiaTheme="minorEastAsia"/>
                <w:noProof/>
              </w:rPr>
            </w:pPr>
            <w:r>
              <w:rPr>
                <w:noProof/>
              </w:rPr>
              <w:t>41</w:t>
            </w:r>
          </w:p>
        </w:tc>
        <w:tc>
          <w:tcPr>
            <w:tcW w:w="992" w:type="dxa"/>
            <w:shd w:val="clear" w:color="auto" w:fill="C6EFCE"/>
            <w:noWrap/>
            <w:vAlign w:val="center"/>
            <w:hideMark/>
          </w:tcPr>
          <w:p w14:paraId="62EC43D1" w14:textId="77777777" w:rsidR="00154E32" w:rsidRDefault="00A43E04">
            <w:pPr>
              <w:pStyle w:val="P68B1DB1-Normal11"/>
              <w:jc w:val="center"/>
              <w:rPr>
                <w:rFonts w:eastAsiaTheme="minorEastAsia"/>
                <w:noProof/>
              </w:rPr>
            </w:pPr>
            <w:r>
              <w:rPr>
                <w:noProof/>
              </w:rPr>
              <w:t>Q2</w:t>
            </w:r>
          </w:p>
        </w:tc>
        <w:tc>
          <w:tcPr>
            <w:tcW w:w="709" w:type="dxa"/>
            <w:shd w:val="clear" w:color="auto" w:fill="C6EFCE"/>
            <w:noWrap/>
            <w:vAlign w:val="center"/>
            <w:hideMark/>
          </w:tcPr>
          <w:p w14:paraId="1CF28DDB" w14:textId="77777777" w:rsidR="00154E32" w:rsidRDefault="00A43E04">
            <w:pPr>
              <w:pStyle w:val="P68B1DB1-Normal11"/>
              <w:jc w:val="center"/>
              <w:rPr>
                <w:rFonts w:eastAsiaTheme="minorEastAsia"/>
                <w:noProof/>
              </w:rPr>
            </w:pPr>
            <w:r>
              <w:rPr>
                <w:noProof/>
              </w:rPr>
              <w:t>2024</w:t>
            </w:r>
          </w:p>
        </w:tc>
        <w:tc>
          <w:tcPr>
            <w:tcW w:w="2595" w:type="dxa"/>
            <w:shd w:val="clear" w:color="auto" w:fill="C6EFCE"/>
            <w:noWrap/>
            <w:vAlign w:val="center"/>
            <w:hideMark/>
          </w:tcPr>
          <w:p w14:paraId="2038D7BD" w14:textId="77777777" w:rsidR="00154E32" w:rsidRDefault="00A43E04">
            <w:pPr>
              <w:pStyle w:val="P68B1DB1-Normal11"/>
              <w:rPr>
                <w:rFonts w:eastAsiaTheme="minorEastAsia"/>
                <w:noProof/>
              </w:rPr>
            </w:pPr>
            <w:r>
              <w:rPr>
                <w:noProof/>
              </w:rPr>
              <w:t>Načrtovani ukrepi so:</w:t>
            </w:r>
          </w:p>
          <w:p w14:paraId="3FB92495" w14:textId="77777777" w:rsidR="00154E32" w:rsidRDefault="00A43E04">
            <w:pPr>
              <w:pStyle w:val="P68B1DB1-Normal11"/>
              <w:rPr>
                <w:rFonts w:eastAsiaTheme="minorEastAsia"/>
                <w:noProof/>
              </w:rPr>
            </w:pPr>
            <w:r>
              <w:rPr>
                <w:noProof/>
              </w:rPr>
              <w:t>— Povezava „zadnji del poti“: vzpostaviti učinkovite povezave med industrijskimi območji in železniškim omrežjem TEN-T;</w:t>
            </w:r>
          </w:p>
          <w:p w14:paraId="3CBD4770" w14:textId="77777777" w:rsidR="00154E32" w:rsidRDefault="00A43E04">
            <w:pPr>
              <w:pStyle w:val="P68B1DB1-Normal11"/>
              <w:rPr>
                <w:rFonts w:eastAsiaTheme="minorEastAsia"/>
                <w:noProof/>
              </w:rPr>
            </w:pPr>
            <w:r>
              <w:rPr>
                <w:noProof/>
              </w:rPr>
              <w:t>Digitalna logistika ter dela na področju energetske in okoljske učinkovitosti;</w:t>
            </w:r>
          </w:p>
          <w:p w14:paraId="446A6F53" w14:textId="77777777" w:rsidR="00154E32" w:rsidRDefault="00A43E04">
            <w:pPr>
              <w:pStyle w:val="P68B1DB1-Normal11"/>
              <w:rPr>
                <w:rFonts w:eastAsiaTheme="minorEastAsia"/>
                <w:noProof/>
              </w:rPr>
            </w:pPr>
            <w:r>
              <w:rPr>
                <w:noProof/>
              </w:rPr>
              <w:t>Krepitev odpornosti in varnosti infrastrukture v zvezi z dostopom do pristanišč.</w:t>
            </w:r>
          </w:p>
          <w:p w14:paraId="423DA29C" w14:textId="77777777" w:rsidR="00154E32" w:rsidRDefault="00A43E04">
            <w:pPr>
              <w:pStyle w:val="P68B1DB1-Normal11"/>
              <w:rPr>
                <w:rFonts w:eastAsiaTheme="minorEastAsia"/>
                <w:noProof/>
              </w:rPr>
            </w:pPr>
            <w:r>
              <w:rPr>
                <w:noProof/>
              </w:rPr>
              <w:t>Posegi so se začeli (kot dokazuje potrdilo o začetku del) za najmanj 22 povezav zadnjega dela poti s pristanišči ali industrijskimi območji ZES; vsaj 15 ukrepov za digitalno logistiko, urbanizacijo ali dela na področju energijske učinkovitosti na istih območjih; štiri intervencije za krepitev odpornosti pristanišč.</w:t>
            </w:r>
          </w:p>
        </w:tc>
      </w:tr>
      <w:tr w:rsidR="00154E32" w14:paraId="02377444" w14:textId="77777777">
        <w:trPr>
          <w:trHeight w:val="313"/>
        </w:trPr>
        <w:tc>
          <w:tcPr>
            <w:tcW w:w="1419" w:type="dxa"/>
            <w:shd w:val="clear" w:color="auto" w:fill="C6EFCE"/>
            <w:noWrap/>
            <w:vAlign w:val="center"/>
            <w:hideMark/>
          </w:tcPr>
          <w:p w14:paraId="3B3F5C1B" w14:textId="77777777" w:rsidR="00154E32" w:rsidRDefault="00A43E04">
            <w:pPr>
              <w:pStyle w:val="P68B1DB1-Normal11"/>
              <w:jc w:val="center"/>
              <w:rPr>
                <w:rFonts w:eastAsiaTheme="minorEastAsia"/>
                <w:noProof/>
              </w:rPr>
            </w:pPr>
            <w:r>
              <w:rPr>
                <w:noProof/>
              </w:rPr>
              <w:t>M5C3–13</w:t>
            </w:r>
          </w:p>
        </w:tc>
        <w:tc>
          <w:tcPr>
            <w:tcW w:w="1666" w:type="dxa"/>
            <w:shd w:val="clear" w:color="auto" w:fill="C6EFCE"/>
            <w:noWrap/>
            <w:vAlign w:val="center"/>
            <w:hideMark/>
          </w:tcPr>
          <w:p w14:paraId="08BD3BC6" w14:textId="3E9BFDAD" w:rsidR="00154E32" w:rsidRDefault="00A43E04">
            <w:pPr>
              <w:pStyle w:val="P68B1DB1-Normal11"/>
              <w:jc w:val="center"/>
              <w:rPr>
                <w:rFonts w:eastAsiaTheme="minorEastAsia"/>
                <w:noProof/>
              </w:rPr>
            </w:pPr>
            <w:r>
              <w:rPr>
                <w:noProof/>
              </w:rPr>
              <w:t>Naložba 1.4: Infrastrukturne naložbe za posebno ekonomsko cono</w:t>
            </w:r>
          </w:p>
        </w:tc>
        <w:tc>
          <w:tcPr>
            <w:tcW w:w="1169" w:type="dxa"/>
            <w:shd w:val="clear" w:color="auto" w:fill="C6EFCE"/>
            <w:noWrap/>
            <w:vAlign w:val="center"/>
            <w:hideMark/>
          </w:tcPr>
          <w:p w14:paraId="5EAAC4BD" w14:textId="77777777" w:rsidR="00154E32" w:rsidRDefault="00A43E04">
            <w:pPr>
              <w:pStyle w:val="P68B1DB1-Normal11"/>
              <w:jc w:val="center"/>
              <w:rPr>
                <w:rFonts w:eastAsiaTheme="minorEastAsia"/>
                <w:noProof/>
              </w:rPr>
            </w:pPr>
            <w:r>
              <w:rPr>
                <w:noProof/>
              </w:rPr>
              <w:t>Tarča</w:t>
            </w:r>
          </w:p>
        </w:tc>
        <w:tc>
          <w:tcPr>
            <w:tcW w:w="1559" w:type="dxa"/>
            <w:shd w:val="clear" w:color="auto" w:fill="C6EFCE"/>
            <w:noWrap/>
            <w:vAlign w:val="center"/>
            <w:hideMark/>
          </w:tcPr>
          <w:p w14:paraId="584A6E23" w14:textId="77777777" w:rsidR="00154E32" w:rsidRDefault="00A43E04">
            <w:pPr>
              <w:pStyle w:val="P68B1DB1-Normal11"/>
              <w:jc w:val="center"/>
              <w:rPr>
                <w:rFonts w:eastAsia="Calibri"/>
                <w:noProof/>
              </w:rPr>
            </w:pPr>
            <w:r>
              <w:rPr>
                <w:noProof/>
              </w:rPr>
              <w:t>Zaključek infrastrukturnih intervencij v posebnih ekonomskih conah.</w:t>
            </w:r>
          </w:p>
        </w:tc>
        <w:tc>
          <w:tcPr>
            <w:tcW w:w="1701" w:type="dxa"/>
            <w:shd w:val="clear" w:color="auto" w:fill="C6EFCE"/>
            <w:noWrap/>
            <w:vAlign w:val="center"/>
            <w:hideMark/>
          </w:tcPr>
          <w:p w14:paraId="3A7008A3" w14:textId="77777777" w:rsidR="00154E32" w:rsidRDefault="00A43E04">
            <w:pPr>
              <w:pStyle w:val="P68B1DB1-Normal11"/>
              <w:jc w:val="center"/>
              <w:rPr>
                <w:noProof/>
              </w:rPr>
            </w:pPr>
            <w:r>
              <w:rPr>
                <w:noProof/>
              </w:rPr>
              <w:t>JIH NI</w:t>
            </w:r>
          </w:p>
        </w:tc>
        <w:tc>
          <w:tcPr>
            <w:tcW w:w="1417" w:type="dxa"/>
            <w:shd w:val="clear" w:color="auto" w:fill="C6EFCE"/>
            <w:noWrap/>
            <w:vAlign w:val="center"/>
            <w:hideMark/>
          </w:tcPr>
          <w:p w14:paraId="77081979" w14:textId="77777777" w:rsidR="00154E32" w:rsidRDefault="00A43E04">
            <w:pPr>
              <w:pStyle w:val="P68B1DB1-Normal11"/>
              <w:jc w:val="center"/>
              <w:rPr>
                <w:rFonts w:eastAsiaTheme="minorEastAsia"/>
                <w:noProof/>
              </w:rPr>
            </w:pPr>
            <w:r>
              <w:rPr>
                <w:noProof/>
              </w:rPr>
              <w:t>Število</w:t>
            </w:r>
          </w:p>
        </w:tc>
        <w:tc>
          <w:tcPr>
            <w:tcW w:w="1134" w:type="dxa"/>
            <w:shd w:val="clear" w:color="auto" w:fill="C6EFCE"/>
            <w:noWrap/>
            <w:vAlign w:val="center"/>
            <w:hideMark/>
          </w:tcPr>
          <w:p w14:paraId="0CC62302" w14:textId="77777777" w:rsidR="00154E32" w:rsidRDefault="00A43E04">
            <w:pPr>
              <w:pStyle w:val="P68B1DB1-Normal11"/>
              <w:jc w:val="center"/>
              <w:rPr>
                <w:rFonts w:eastAsiaTheme="minorEastAsia"/>
                <w:noProof/>
              </w:rPr>
            </w:pPr>
            <w:r>
              <w:rPr>
                <w:noProof/>
              </w:rPr>
              <w:t>0</w:t>
            </w:r>
          </w:p>
        </w:tc>
        <w:tc>
          <w:tcPr>
            <w:tcW w:w="993" w:type="dxa"/>
            <w:shd w:val="clear" w:color="auto" w:fill="C6EFCE"/>
            <w:noWrap/>
            <w:vAlign w:val="center"/>
            <w:hideMark/>
          </w:tcPr>
          <w:p w14:paraId="2839B482" w14:textId="77777777" w:rsidR="00154E32" w:rsidRDefault="00A43E04">
            <w:pPr>
              <w:pStyle w:val="P68B1DB1-Normal11"/>
              <w:jc w:val="center"/>
              <w:rPr>
                <w:rFonts w:eastAsiaTheme="minorEastAsia"/>
                <w:noProof/>
              </w:rPr>
            </w:pPr>
            <w:r>
              <w:rPr>
                <w:noProof/>
              </w:rPr>
              <w:t>41</w:t>
            </w:r>
          </w:p>
        </w:tc>
        <w:tc>
          <w:tcPr>
            <w:tcW w:w="992" w:type="dxa"/>
            <w:shd w:val="clear" w:color="auto" w:fill="C6EFCE"/>
            <w:noWrap/>
            <w:vAlign w:val="center"/>
            <w:hideMark/>
          </w:tcPr>
          <w:p w14:paraId="48CE9C38" w14:textId="77777777" w:rsidR="00154E32" w:rsidRDefault="00A43E04">
            <w:pPr>
              <w:pStyle w:val="P68B1DB1-Normal11"/>
              <w:jc w:val="center"/>
              <w:rPr>
                <w:rFonts w:eastAsiaTheme="minorEastAsia"/>
                <w:noProof/>
              </w:rPr>
            </w:pPr>
            <w:r>
              <w:rPr>
                <w:noProof/>
              </w:rPr>
              <w:t>Q2</w:t>
            </w:r>
          </w:p>
        </w:tc>
        <w:tc>
          <w:tcPr>
            <w:tcW w:w="709" w:type="dxa"/>
            <w:shd w:val="clear" w:color="auto" w:fill="C6EFCE"/>
            <w:noWrap/>
            <w:vAlign w:val="center"/>
            <w:hideMark/>
          </w:tcPr>
          <w:p w14:paraId="394BE4A4" w14:textId="77777777" w:rsidR="00154E32" w:rsidRDefault="00A43E04">
            <w:pPr>
              <w:pStyle w:val="P68B1DB1-Normal11"/>
              <w:jc w:val="center"/>
              <w:rPr>
                <w:rFonts w:eastAsiaTheme="minorEastAsia"/>
                <w:noProof/>
              </w:rPr>
            </w:pPr>
            <w:r>
              <w:rPr>
                <w:noProof/>
              </w:rPr>
              <w:t>2026</w:t>
            </w:r>
          </w:p>
        </w:tc>
        <w:tc>
          <w:tcPr>
            <w:tcW w:w="2595" w:type="dxa"/>
            <w:shd w:val="clear" w:color="auto" w:fill="C6EFCE"/>
            <w:noWrap/>
            <w:vAlign w:val="center"/>
          </w:tcPr>
          <w:p w14:paraId="2F8F2851" w14:textId="7AB4E684" w:rsidR="00154E32" w:rsidRDefault="00A43E04">
            <w:pPr>
              <w:pStyle w:val="P68B1DB1-Normal11"/>
              <w:rPr>
                <w:rFonts w:eastAsia="Calibri"/>
                <w:noProof/>
              </w:rPr>
            </w:pPr>
            <w:r>
              <w:rPr>
                <w:noProof/>
              </w:rPr>
              <w:t>Dokončanje najmanj 22 povezav v zadnjem delu poti s pristanišči ali industrijskimi območji ZES; vsaj 15 intervencij za digitalno logistiko ali urbanizacijo ali dela na področju energijske učinkovitosti na istih območjih; zaključeni pa so bili vsaj štirje ukrepi za krepitev odpornosti pristanišč.</w:t>
            </w:r>
          </w:p>
          <w:p w14:paraId="220A82DF" w14:textId="77777777" w:rsidR="00154E32" w:rsidRDefault="00154E32">
            <w:pPr>
              <w:rPr>
                <w:rFonts w:ascii="Arial Narrow" w:eastAsiaTheme="minorEastAsia" w:hAnsi="Arial Narrow"/>
                <w:noProof/>
                <w:color w:val="006100"/>
                <w:sz w:val="20"/>
              </w:rPr>
            </w:pPr>
          </w:p>
          <w:p w14:paraId="084B5784" w14:textId="2EB6BF99" w:rsidR="00154E32" w:rsidRDefault="00A43E04">
            <w:pPr>
              <w:pStyle w:val="P68B1DB1-Normal11"/>
              <w:rPr>
                <w:rFonts w:eastAsiaTheme="minorEastAsia"/>
                <w:noProof/>
              </w:rPr>
            </w:pPr>
            <w:r>
              <w:rPr>
                <w:noProof/>
              </w:rPr>
              <w:t>E seznam intervencij vključuje na primer naslednje ali enakovredne ukrepe:</w:t>
            </w:r>
          </w:p>
          <w:p w14:paraId="4D6926C3" w14:textId="77777777" w:rsidR="00154E32" w:rsidRDefault="00154E32">
            <w:pPr>
              <w:rPr>
                <w:rFonts w:ascii="Arial Narrow" w:eastAsiaTheme="minorEastAsia" w:hAnsi="Arial Narrow"/>
                <w:noProof/>
                <w:color w:val="006100"/>
                <w:sz w:val="20"/>
              </w:rPr>
            </w:pPr>
          </w:p>
          <w:p w14:paraId="5600EF70" w14:textId="77777777" w:rsidR="00154E32" w:rsidRDefault="00A43E04">
            <w:pPr>
              <w:pStyle w:val="P68B1DB1-Normal11"/>
              <w:rPr>
                <w:rFonts w:eastAsiaTheme="minorEastAsia"/>
                <w:noProof/>
              </w:rPr>
            </w:pPr>
            <w:r>
              <w:rPr>
                <w:noProof/>
              </w:rPr>
              <w:t>• Dokončanje infrastrukture celovitega omrežja TEN-T v pristaniščih Vasto in Ortona ter industrijskih območjih Saletti in Manoppello (Abruzzo)</w:t>
            </w:r>
          </w:p>
          <w:p w14:paraId="7CEE8B67" w14:textId="77777777" w:rsidR="00154E32" w:rsidRDefault="00A43E04">
            <w:pPr>
              <w:pStyle w:val="P68B1DB1-Normal11"/>
              <w:rPr>
                <w:rFonts w:eastAsiaTheme="minorEastAsia"/>
                <w:noProof/>
              </w:rPr>
            </w:pPr>
            <w:r>
              <w:rPr>
                <w:noProof/>
              </w:rPr>
              <w:t>•Infrastruktura v pristanišču Salerno ter industrijskih območjih Uffita, Marcianise, Battipaglia in Nola (Kampanja)</w:t>
            </w:r>
          </w:p>
          <w:p w14:paraId="6666E7F3" w14:textId="77777777" w:rsidR="00154E32" w:rsidRDefault="00A43E04">
            <w:pPr>
              <w:pStyle w:val="P68B1DB1-Normal11"/>
              <w:rPr>
                <w:rFonts w:eastAsiaTheme="minorEastAsia"/>
                <w:noProof/>
              </w:rPr>
            </w:pPr>
            <w:r>
              <w:rPr>
                <w:noProof/>
              </w:rPr>
              <w:t>•Medsebojne povezave med pristaniščem Manfredonia ter mestnimi območji Termoli, Brindisi in Lecce (Apulija in Molise).</w:t>
            </w:r>
          </w:p>
          <w:p w14:paraId="14DD4719" w14:textId="77777777" w:rsidR="00154E32" w:rsidRDefault="00154E32">
            <w:pPr>
              <w:rPr>
                <w:rFonts w:ascii="Arial Narrow" w:eastAsiaTheme="minorEastAsia" w:hAnsi="Arial Narrow"/>
                <w:noProof/>
                <w:color w:val="006100"/>
                <w:sz w:val="20"/>
              </w:rPr>
            </w:pPr>
          </w:p>
          <w:p w14:paraId="07FD3A31" w14:textId="77777777" w:rsidR="00154E32" w:rsidRDefault="00A43E04">
            <w:pPr>
              <w:pStyle w:val="P68B1DB1-Normal11"/>
              <w:rPr>
                <w:rFonts w:eastAsiaTheme="minorEastAsia"/>
                <w:noProof/>
              </w:rPr>
            </w:pPr>
            <w:r>
              <w:rPr>
                <w:noProof/>
              </w:rPr>
              <w:t>• Povezave med pristaniščem Taranto ter mestnimi območji Taranto, Potenza in Matera (Apulija in Bazilikata).</w:t>
            </w:r>
          </w:p>
          <w:p w14:paraId="18AE0E72" w14:textId="77777777" w:rsidR="00154E32" w:rsidRDefault="00154E32">
            <w:pPr>
              <w:jc w:val="center"/>
              <w:rPr>
                <w:rFonts w:ascii="Arial Narrow" w:eastAsiaTheme="minorEastAsia" w:hAnsi="Arial Narrow"/>
                <w:noProof/>
                <w:color w:val="006100"/>
                <w:sz w:val="20"/>
              </w:rPr>
            </w:pPr>
          </w:p>
          <w:p w14:paraId="686CD812" w14:textId="77777777" w:rsidR="00154E32" w:rsidRDefault="00A43E04">
            <w:pPr>
              <w:pStyle w:val="P68B1DB1-Normal11"/>
              <w:rPr>
                <w:rFonts w:eastAsiaTheme="minorEastAsia"/>
                <w:noProof/>
              </w:rPr>
            </w:pPr>
            <w:r>
              <w:rPr>
                <w:noProof/>
              </w:rPr>
              <w:t>• Infrastrukturni posegi za dostopnost do pristanišča Gioia Tauro (Kalabrija).</w:t>
            </w:r>
          </w:p>
          <w:p w14:paraId="32AA0E45" w14:textId="77777777" w:rsidR="00154E32" w:rsidRDefault="00154E32">
            <w:pPr>
              <w:rPr>
                <w:rFonts w:ascii="Arial Narrow" w:eastAsiaTheme="minorEastAsia" w:hAnsi="Arial Narrow"/>
                <w:noProof/>
                <w:color w:val="006100"/>
                <w:sz w:val="20"/>
              </w:rPr>
            </w:pPr>
          </w:p>
          <w:p w14:paraId="40F23DD7" w14:textId="77777777" w:rsidR="00154E32" w:rsidRDefault="00A43E04">
            <w:pPr>
              <w:pStyle w:val="P68B1DB1-Normal11"/>
              <w:rPr>
                <w:rFonts w:eastAsiaTheme="minorEastAsia"/>
                <w:noProof/>
              </w:rPr>
            </w:pPr>
            <w:r>
              <w:rPr>
                <w:noProof/>
              </w:rPr>
              <w:t>•Infrastrukturni dostop do pristanišča Cagliari (Sardegna)</w:t>
            </w:r>
          </w:p>
          <w:p w14:paraId="283B339A" w14:textId="66AB4C8C" w:rsidR="00154E32" w:rsidRDefault="00A43E04">
            <w:pPr>
              <w:pStyle w:val="P68B1DB1-Normal11"/>
              <w:rPr>
                <w:rFonts w:eastAsiaTheme="minorEastAsia"/>
                <w:noProof/>
              </w:rPr>
            </w:pPr>
            <w:r>
              <w:rPr>
                <w:noProof/>
              </w:rPr>
              <w:t>•Infrastrukturni posegi za dostopnost do pristanišč Augusta, Riporto, Sant’Agata di Mitello in Gela (Sicilija)</w:t>
            </w:r>
          </w:p>
        </w:tc>
      </w:tr>
    </w:tbl>
    <w:p w14:paraId="7374AFFA" w14:textId="77777777" w:rsidR="00154E32" w:rsidRDefault="00154E32">
      <w:pPr>
        <w:spacing w:before="120" w:after="120"/>
        <w:rPr>
          <w:noProof/>
        </w:rPr>
        <w:sectPr w:rsidR="00154E32" w:rsidSect="006123E1">
          <w:headerReference w:type="even" r:id="rId344"/>
          <w:headerReference w:type="default" r:id="rId345"/>
          <w:footerReference w:type="even" r:id="rId346"/>
          <w:footerReference w:type="default" r:id="rId347"/>
          <w:headerReference w:type="first" r:id="rId348"/>
          <w:footerReference w:type="first" r:id="rId349"/>
          <w:pgSz w:w="16839" w:h="11907" w:orient="landscape"/>
          <w:pgMar w:top="1440" w:right="1440" w:bottom="1440" w:left="1440" w:header="567" w:footer="567" w:gutter="0"/>
          <w:cols w:space="720"/>
          <w:docGrid w:linePitch="360"/>
        </w:sectPr>
      </w:pPr>
    </w:p>
    <w:p w14:paraId="4445C0A6" w14:textId="1A20A820" w:rsidR="00154E32" w:rsidRDefault="00A43E04">
      <w:pPr>
        <w:pStyle w:val="Heading2"/>
        <w:numPr>
          <w:ilvl w:val="0"/>
          <w:numId w:val="0"/>
        </w:numPr>
        <w:ind w:left="850" w:hanging="850"/>
        <w:rPr>
          <w:noProof/>
        </w:rPr>
      </w:pPr>
      <w:r>
        <w:rPr>
          <w:noProof/>
        </w:rPr>
        <w:t>MISIJA ŠT. 6, KOMPONENTA 1: Bližinska omrežja, objekti in telemedicina za pomoč pri zdravstvenem varstvu na lokalni ravni</w:t>
      </w:r>
    </w:p>
    <w:p w14:paraId="42FC74E6" w14:textId="77777777" w:rsidR="00154E32" w:rsidRDefault="00A43E04">
      <w:pPr>
        <w:spacing w:before="120"/>
        <w:jc w:val="both"/>
        <w:rPr>
          <w:noProof/>
        </w:rPr>
      </w:pPr>
      <w:r>
        <w:rPr>
          <w:noProof/>
        </w:rPr>
        <w:t xml:space="preserve">Cilj te komponente je okrepiti italijansko nacionalno zdravstveno službo, med drugim z izboljšanjem zaščite pred tveganji za zdravje, povezanimi z okoljem in podnebnimi spremembami, ter boljšim odzivanjem na potrebe skupnosti glede lokalne oskrbe in pomoči. Lokalna zdravstvena pomoč je razdrobljena in izpostavljena regionalnim razlikam, ki povzročajo različne ravni zagotavljanja zdravstvenega varstva in zdravstvene rezultate po regijah. Zagotavljanje integriranih storitev oskrbe na domu se šteje za nizko, različni izvajalci zdravstvenih in socialnih storitev pa so le slabo povezani. Poleg tega je bila zmogljivost italijanske nacionalne zdravstvene službe za obravnavanje zdravstvenih tveganj, povezanih z okoljsko izpostavljenostjo in podnebnimi spremembami, preskušena z več okoljskimi krizami in izrednimi razmerami, ki so izpostavile izzive zaradi pomanjkanja zadostnih preventivnih ukrepov. Cilj te komponente italijanskega načrta za okrevanje in odpornost je okrepiti italijansko nacionalno zdravstveno službo, med drugim z izboljšanjem zaščite pred zdravstvenimi tveganji, povezanimi z okoljem in podnebnimi spremembami, ter boljšim odzivanjem na potrebe skupnosti glede lokalne oskrbe in pomoči. </w:t>
      </w:r>
    </w:p>
    <w:p w14:paraId="6A1D782A" w14:textId="77777777" w:rsidR="00154E32" w:rsidRDefault="00A43E04">
      <w:pPr>
        <w:spacing w:before="120"/>
        <w:jc w:val="both"/>
        <w:rPr>
          <w:noProof/>
        </w:rPr>
      </w:pPr>
      <w:r>
        <w:rPr>
          <w:noProof/>
        </w:rPr>
        <w:t>Naložbe in reforme te komponente prispevajo k obravnavanju priporočil za posamezne države, naslovljenih na Italijo v letih 2019 in 2020, v zvezi s potrebo, da se</w:t>
      </w:r>
      <w:r>
        <w:rPr>
          <w:noProof/>
          <w:color w:val="333333"/>
        </w:rPr>
        <w:t xml:space="preserve"> ekonomska politika, povezana z naložbami, osredotoči na raziskave in inovacije ter kakovost infrastrukture, ob upoštevanju regionalnih razlik</w:t>
      </w:r>
      <w:r>
        <w:rPr>
          <w:noProof/>
        </w:rPr>
        <w:t xml:space="preserve"> (priporočilo za posamezno državo št. 3 iz leta 2019), „krepitev odpornosti in zmogljivosti zdravstvenega sistema na področju zdravstvenih delavcev, kritičnih medicinskih proizvodov in infrastrukture“ (priporočilo za posamezno državo št. 1, 2020) ter „usmerjene naložbe v zeleni in digitalni prehod, zlasti na [...] okrepljeno digitalno infrastrukturo, da se zagotovi zagotavljanje osnovnih storitev“ (priporočilo za posamezno državo št. 3, 2020).</w:t>
      </w:r>
    </w:p>
    <w:p w14:paraId="0797D095" w14:textId="77777777" w:rsidR="00154E32" w:rsidRDefault="00154E32">
      <w:pPr>
        <w:spacing w:before="120"/>
        <w:jc w:val="both"/>
        <w:rPr>
          <w:noProof/>
        </w:rPr>
      </w:pPr>
    </w:p>
    <w:p w14:paraId="66299821" w14:textId="77777777" w:rsidR="00154E32" w:rsidRDefault="00A43E04">
      <w:pPr>
        <w:pStyle w:val="Heading3"/>
        <w:numPr>
          <w:ilvl w:val="0"/>
          <w:numId w:val="0"/>
        </w:numPr>
        <w:ind w:left="850" w:hanging="850"/>
        <w:rPr>
          <w:b/>
          <w:i w:val="0"/>
          <w:noProof/>
          <w:color w:val="4F81BD" w:themeColor="accent1"/>
          <w:u w:val="single"/>
        </w:rPr>
      </w:pPr>
      <w:r>
        <w:rPr>
          <w:b/>
          <w:i w:val="0"/>
          <w:noProof/>
          <w:u w:val="single"/>
        </w:rPr>
        <w:t xml:space="preserve">O.1. </w:t>
      </w:r>
      <w:r>
        <w:rPr>
          <w:noProof/>
        </w:rPr>
        <w:tab/>
      </w:r>
      <w:r>
        <w:rPr>
          <w:b/>
          <w:i w:val="0"/>
          <w:noProof/>
          <w:u w:val="single"/>
        </w:rPr>
        <w:t>Opis reform in naložb za nepovratno finančno podporo</w:t>
      </w:r>
    </w:p>
    <w:p w14:paraId="64BE0613" w14:textId="77777777" w:rsidR="00154E32" w:rsidRDefault="00A43E04">
      <w:pPr>
        <w:pStyle w:val="P68B1DB1-Normal15"/>
        <w:spacing w:before="120" w:after="120"/>
        <w:jc w:val="both"/>
        <w:rPr>
          <w:noProof/>
        </w:rPr>
      </w:pPr>
      <w:r>
        <w:rPr>
          <w:noProof/>
        </w:rPr>
        <w:t>JIH NI</w:t>
      </w:r>
    </w:p>
    <w:p w14:paraId="68FBE9CE" w14:textId="77777777" w:rsidR="00154E32" w:rsidRDefault="00A43E04">
      <w:pPr>
        <w:pStyle w:val="Heading3"/>
        <w:numPr>
          <w:ilvl w:val="0"/>
          <w:numId w:val="0"/>
        </w:numPr>
        <w:ind w:left="850" w:hanging="850"/>
        <w:rPr>
          <w:b/>
          <w:i w:val="0"/>
          <w:noProof/>
          <w:u w:val="single"/>
        </w:rPr>
      </w:pPr>
      <w:r>
        <w:rPr>
          <w:b/>
          <w:i w:val="0"/>
          <w:noProof/>
          <w:u w:val="single"/>
        </w:rPr>
        <w:t xml:space="preserve">O.2. </w:t>
      </w:r>
      <w:r>
        <w:rPr>
          <w:noProof/>
        </w:rPr>
        <w:tab/>
      </w:r>
      <w:r>
        <w:rPr>
          <w:b/>
          <w:i w:val="0"/>
          <w:noProof/>
          <w:u w:val="single"/>
        </w:rPr>
        <w:t>Mejniki, cilji, kazalniki in časovni razpored za spremljanje in izvajanje nepovratne finančne podpore Naslednje;</w:t>
      </w:r>
    </w:p>
    <w:p w14:paraId="23457B0D" w14:textId="77777777" w:rsidR="00154E32" w:rsidRDefault="00A43E04">
      <w:pPr>
        <w:pStyle w:val="P68B1DB1-Normal15"/>
        <w:spacing w:before="120" w:after="120"/>
        <w:jc w:val="both"/>
        <w:rPr>
          <w:noProof/>
        </w:rPr>
      </w:pPr>
      <w:r>
        <w:rPr>
          <w:noProof/>
        </w:rPr>
        <w:t>JIH NI</w:t>
      </w:r>
    </w:p>
    <w:p w14:paraId="3B8E54D3" w14:textId="70C9D095" w:rsidR="00154E32" w:rsidRDefault="00A43E04">
      <w:pPr>
        <w:spacing w:after="200" w:line="276" w:lineRule="auto"/>
        <w:rPr>
          <w:noProof/>
        </w:rPr>
      </w:pPr>
      <w:r>
        <w:rPr>
          <w:noProof/>
        </w:rPr>
        <w:br w:type="page"/>
      </w:r>
    </w:p>
    <w:p w14:paraId="3F102C95" w14:textId="77777777" w:rsidR="00154E32" w:rsidRDefault="00A43E04">
      <w:pPr>
        <w:pStyle w:val="Heading3"/>
        <w:numPr>
          <w:ilvl w:val="2"/>
          <w:numId w:val="0"/>
        </w:numPr>
        <w:ind w:left="850" w:hanging="850"/>
        <w:rPr>
          <w:b/>
          <w:i w:val="0"/>
          <w:noProof/>
          <w:color w:val="4F81BD" w:themeColor="accent1"/>
          <w:u w:val="single"/>
        </w:rPr>
      </w:pPr>
      <w:r>
        <w:rPr>
          <w:b/>
          <w:i w:val="0"/>
          <w:noProof/>
          <w:u w:val="single"/>
        </w:rPr>
        <w:t xml:space="preserve">O.3. </w:t>
      </w:r>
      <w:r>
        <w:rPr>
          <w:noProof/>
        </w:rPr>
        <w:tab/>
      </w:r>
      <w:r>
        <w:rPr>
          <w:b/>
          <w:i w:val="0"/>
          <w:noProof/>
          <w:u w:val="single"/>
        </w:rPr>
        <w:t xml:space="preserve">Opis reform in naložb za posojilo </w:t>
      </w:r>
    </w:p>
    <w:p w14:paraId="785CFAAF" w14:textId="77777777" w:rsidR="00154E32" w:rsidRDefault="00A43E04">
      <w:pPr>
        <w:pStyle w:val="P68B1DB1-Normal2"/>
        <w:spacing w:before="120" w:after="120"/>
        <w:jc w:val="both"/>
        <w:rPr>
          <w:rFonts w:eastAsia="Calibri"/>
          <w:noProof/>
        </w:rPr>
      </w:pPr>
      <w:r>
        <w:rPr>
          <w:noProof/>
        </w:rPr>
        <w:t>Reforma 1:  Opredelitev novega organizacijskega modela za teritorialno mrežo zdravstvene pomoči.</w:t>
      </w:r>
    </w:p>
    <w:p w14:paraId="220A0975" w14:textId="77777777" w:rsidR="00154E32" w:rsidRDefault="00A43E04">
      <w:pPr>
        <w:spacing w:before="120" w:after="120"/>
        <w:jc w:val="both"/>
        <w:rPr>
          <w:rFonts w:eastAsia="Calibri"/>
          <w:noProof/>
        </w:rPr>
      </w:pPr>
      <w:r>
        <w:rPr>
          <w:noProof/>
        </w:rPr>
        <w:t>Reforma je pripravljalni element za naložbe komponente. Vzpostavi nov model ozemeljske zdravstvene pomoči in oblikuje novo institucionalno strukturo za preprečevanje zdravja, okolja in podnebja. To se doseže z:</w:t>
      </w:r>
    </w:p>
    <w:p w14:paraId="761986F9" w14:textId="77777777" w:rsidR="00154E32" w:rsidRDefault="00A43E04">
      <w:pPr>
        <w:numPr>
          <w:ilvl w:val="0"/>
          <w:numId w:val="44"/>
        </w:numPr>
        <w:spacing w:before="120" w:after="120"/>
        <w:ind w:left="360"/>
        <w:jc w:val="both"/>
        <w:rPr>
          <w:rFonts w:eastAsiaTheme="minorEastAsia"/>
          <w:noProof/>
        </w:rPr>
      </w:pPr>
      <w:r>
        <w:rPr>
          <w:noProof/>
        </w:rPr>
        <w:t>Vzpostavitev novega organizacijskega modela za teritorialno mrežo za zdravstveno pomoč z opredelitvijo regulativnega okvira, ki določa strukturne, tehnološke in organizacijske standarde.</w:t>
      </w:r>
    </w:p>
    <w:p w14:paraId="4C5BE482" w14:textId="77777777" w:rsidR="00154E32" w:rsidRDefault="00A43E04">
      <w:pPr>
        <w:numPr>
          <w:ilvl w:val="0"/>
          <w:numId w:val="44"/>
        </w:numPr>
        <w:spacing w:before="120" w:after="120"/>
        <w:ind w:left="360"/>
        <w:jc w:val="both"/>
        <w:rPr>
          <w:rFonts w:eastAsiaTheme="minorEastAsia"/>
          <w:noProof/>
        </w:rPr>
      </w:pPr>
      <w:r>
        <w:rPr>
          <w:noProof/>
        </w:rPr>
        <w:t>Opredelitev nove institucionalne strukture za preprečevanje zdravja, okolja in podnebja na podlagi celostnega pristopa („eno zdravje“) in celostne vizije („Planetarno zdravje“).</w:t>
      </w:r>
    </w:p>
    <w:p w14:paraId="2C30A877" w14:textId="77777777" w:rsidR="00154E32" w:rsidRDefault="00A43E04">
      <w:pPr>
        <w:pStyle w:val="P68B1DB1-Normal2"/>
        <w:spacing w:before="120" w:after="120"/>
        <w:jc w:val="both"/>
        <w:rPr>
          <w:rFonts w:eastAsia="Calibri"/>
          <w:noProof/>
        </w:rPr>
      </w:pPr>
      <w:r>
        <w:rPr>
          <w:noProof/>
        </w:rPr>
        <w:t>Naložba 1.1: Zdravstvene hiše skupnosti za izboljšanje ozemeljske zdravstvene pomoči.</w:t>
      </w:r>
    </w:p>
    <w:p w14:paraId="61BBBA11" w14:textId="77777777" w:rsidR="00154E32" w:rsidRDefault="00A43E04">
      <w:pPr>
        <w:spacing w:before="120" w:after="120"/>
        <w:jc w:val="both"/>
        <w:rPr>
          <w:rFonts w:eastAsia="Calibri"/>
          <w:noProof/>
        </w:rPr>
      </w:pPr>
      <w:r>
        <w:rPr>
          <w:noProof/>
        </w:rPr>
        <w:t>Naložbeni projekt vključuje vzpostavitev in operacionalizacijo vsaj 1038 zdravstvenih hiš Skupnosti z aktivacijo, razvojem in združevanjem storitev primarnega zdravstvenega varstva ter izvajanjem (energetsko učinkovitih) centrov za zagotavljanje pomoči za celovit odziv na potrebe po oskrbi.</w:t>
      </w:r>
    </w:p>
    <w:p w14:paraId="53CE1FA2" w14:textId="77777777" w:rsidR="00154E32" w:rsidRDefault="00A43E04">
      <w:pPr>
        <w:pStyle w:val="P68B1DB1-Normal2"/>
        <w:spacing w:before="120" w:after="120"/>
        <w:jc w:val="both"/>
        <w:rPr>
          <w:rFonts w:eastAsia="Calibri"/>
          <w:noProof/>
        </w:rPr>
      </w:pPr>
      <w:r>
        <w:rPr>
          <w:noProof/>
        </w:rPr>
        <w:t>Naložba 1.2: Dom kot prvi kraj oskrbe in telemedicine</w:t>
      </w:r>
    </w:p>
    <w:p w14:paraId="25A06724" w14:textId="77777777" w:rsidR="00154E32" w:rsidRDefault="00A43E04">
      <w:pPr>
        <w:spacing w:before="120" w:after="120"/>
        <w:jc w:val="both"/>
        <w:rPr>
          <w:rFonts w:eastAsia="Calibri"/>
          <w:noProof/>
        </w:rPr>
      </w:pPr>
      <w:r>
        <w:rPr>
          <w:noProof/>
        </w:rPr>
        <w:t>Naložba zajema obsežno sprejetje rešitev telemedicine in podpiranje inovacij v zdravstvu z naslednjimi ukrepi:</w:t>
      </w:r>
    </w:p>
    <w:p w14:paraId="15A18907" w14:textId="77777777" w:rsidR="00154E32" w:rsidRDefault="00A43E04">
      <w:pPr>
        <w:numPr>
          <w:ilvl w:val="0"/>
          <w:numId w:val="43"/>
        </w:numPr>
        <w:spacing w:before="120" w:after="120"/>
        <w:ind w:left="357" w:hanging="357"/>
        <w:jc w:val="both"/>
        <w:rPr>
          <w:rFonts w:eastAsiaTheme="minorEastAsia"/>
          <w:noProof/>
        </w:rPr>
      </w:pPr>
      <w:r>
        <w:rPr>
          <w:noProof/>
        </w:rPr>
        <w:t xml:space="preserve">Oskrba na domu kot prva točka pomoči (Naložba 1.2.1) – Cilj je povečati število oseb, zdravljenih v oskrbi na domu, na 10 % prebivalstva, starejšega od 65 let, z naložbami v strojno opremo in večjo ponudbo storitev.   </w:t>
      </w:r>
    </w:p>
    <w:p w14:paraId="711286D0" w14:textId="77777777" w:rsidR="00154E32" w:rsidRDefault="00A43E04">
      <w:pPr>
        <w:numPr>
          <w:ilvl w:val="0"/>
          <w:numId w:val="43"/>
        </w:numPr>
        <w:spacing w:before="120" w:after="120"/>
        <w:ind w:left="357" w:hanging="357"/>
        <w:jc w:val="both"/>
        <w:rPr>
          <w:rFonts w:eastAsiaTheme="minorEastAsia"/>
          <w:noProof/>
        </w:rPr>
      </w:pPr>
      <w:r>
        <w:rPr>
          <w:noProof/>
        </w:rPr>
        <w:t>Centri za teritorialno usklajevanje (naložbe 1.2.2) – načrtovana naložba zadeva ustanovitev vsaj 480 centrov za teritorialno usklajevanje („Centrali Operati Territoriali“), ki naj bi povezali in usklajevali različne teritorialne, socialne zdravstvene in bolnišnične storitve ter mrežo za nujne primere. Centri za teritorialno usklajevanje naj bi zagotavljali daljinsko upravljanje naprav, ki se zagotavljajo pacientom, podpirali izmenjavo informacij med zdravstvenimi delavci ter predstavljali referenčno točko za negovalce in potrebe pacientov.</w:t>
      </w:r>
    </w:p>
    <w:p w14:paraId="6ECADF62" w14:textId="77777777" w:rsidR="00154E32" w:rsidRDefault="00A43E04">
      <w:pPr>
        <w:numPr>
          <w:ilvl w:val="0"/>
          <w:numId w:val="43"/>
        </w:numPr>
        <w:spacing w:before="120" w:after="120"/>
        <w:ind w:left="357" w:hanging="357"/>
        <w:jc w:val="both"/>
        <w:rPr>
          <w:rFonts w:eastAsiaTheme="minorEastAsia"/>
          <w:noProof/>
        </w:rPr>
      </w:pPr>
      <w:r>
        <w:rPr>
          <w:noProof/>
        </w:rPr>
        <w:t>Telemedicina za boljšo podporo bolnikom s kroničnimi boleznimi (Naložba 1.2.3) – Namen naložbe je (1) financirati projekte, ki omogočajo interakcijo med zdravnikom in bolnikom na daljavo, zlasti diagnostiko in spremljanje, (2) vzpostaviti nacionalno platformo za presejalne projekte telemedicine (v povezavi s komponento 2 v okviru misije 6 – naložba 1.3) in (3) financirati ad hoc raziskovalne pobude na področju digitalnih zdravstvenih tehnologij in tehnologij oskrbe.</w:t>
      </w:r>
    </w:p>
    <w:p w14:paraId="77E89C53" w14:textId="77777777" w:rsidR="00154E32" w:rsidRDefault="00A43E04">
      <w:pPr>
        <w:spacing w:before="120" w:after="120"/>
        <w:jc w:val="both"/>
        <w:rPr>
          <w:rFonts w:eastAsiaTheme="minorEastAsia"/>
          <w:noProof/>
        </w:rPr>
      </w:pPr>
      <w:r>
        <w:rPr>
          <w:noProof/>
        </w:rPr>
        <w:t>Dodatni posegi, povezani z oskrbo na domu, so navedeni v okviru 5. komponente misije, zlasti reformi 1 in 2 ter naložbi 1 in 2.</w:t>
      </w:r>
    </w:p>
    <w:p w14:paraId="31C20162" w14:textId="77777777" w:rsidR="00154E32" w:rsidRDefault="00A43E04">
      <w:pPr>
        <w:pStyle w:val="P68B1DB1-Normal2"/>
        <w:spacing w:before="120" w:after="120"/>
        <w:jc w:val="both"/>
        <w:rPr>
          <w:rFonts w:eastAsia="Calibri"/>
          <w:noProof/>
        </w:rPr>
      </w:pPr>
      <w:r>
        <w:rPr>
          <w:noProof/>
        </w:rPr>
        <w:t>Naložba 1.3: Krepitev srednjega zdravstvenega varstva in njegovih zmogljivosti (bolnišnice Skupnosti)</w:t>
      </w:r>
    </w:p>
    <w:p w14:paraId="120EF68F" w14:textId="47C17C66" w:rsidR="00154E32" w:rsidRDefault="00A43E04">
      <w:pPr>
        <w:spacing w:before="120" w:after="120"/>
        <w:jc w:val="both"/>
        <w:rPr>
          <w:noProof/>
        </w:rPr>
      </w:pPr>
      <w:r>
        <w:rPr>
          <w:noProof/>
        </w:rPr>
        <w:t>Z naložbo se ustanovi vsaj 307 lokalnih bolnišnic, tj. zdravstvene ustanove za paciente, ki po pojavu manjše ostrine ali ponovitve kroničnih patologij zahtevajo nizkointenzivnost in kratkotrajne klinične posege.</w:t>
      </w:r>
    </w:p>
    <w:p w14:paraId="6315826C" w14:textId="77777777" w:rsidR="00154E32" w:rsidRDefault="00A43E04">
      <w:pPr>
        <w:pStyle w:val="Heading3"/>
        <w:numPr>
          <w:ilvl w:val="0"/>
          <w:numId w:val="0"/>
        </w:numPr>
        <w:ind w:left="850" w:hanging="850"/>
        <w:rPr>
          <w:b/>
          <w:i w:val="0"/>
          <w:noProof/>
          <w:u w:val="single"/>
        </w:rPr>
      </w:pPr>
      <w:r>
        <w:rPr>
          <w:b/>
          <w:i w:val="0"/>
          <w:noProof/>
          <w:u w:val="single"/>
        </w:rPr>
        <w:t xml:space="preserve">O.4. </w:t>
      </w:r>
      <w:r>
        <w:rPr>
          <w:noProof/>
        </w:rPr>
        <w:tab/>
      </w:r>
      <w:r>
        <w:rPr>
          <w:b/>
          <w:i w:val="0"/>
          <w:noProof/>
          <w:u w:val="single"/>
        </w:rPr>
        <w:t xml:space="preserve">Mejniki, cilji, kazalniki in časovni razpored za spremljanje in izvajanje posojila </w:t>
      </w:r>
    </w:p>
    <w:p w14:paraId="4B394519" w14:textId="77777777" w:rsidR="00154E32" w:rsidRDefault="00154E32">
      <w:pPr>
        <w:spacing w:before="120" w:after="120"/>
        <w:ind w:left="709"/>
        <w:contextualSpacing/>
        <w:jc w:val="both"/>
        <w:rPr>
          <w:noProof/>
        </w:rPr>
        <w:sectPr w:rsidR="00154E32" w:rsidSect="000D3774">
          <w:headerReference w:type="even" r:id="rId350"/>
          <w:headerReference w:type="default" r:id="rId351"/>
          <w:footerReference w:type="even" r:id="rId352"/>
          <w:footerReference w:type="default" r:id="rId353"/>
          <w:headerReference w:type="first" r:id="rId354"/>
          <w:footerReference w:type="first" r:id="rId355"/>
          <w:pgSz w:w="11907" w:h="16839"/>
          <w:pgMar w:top="1134" w:right="1417" w:bottom="1134" w:left="1417" w:header="709" w:footer="709" w:gutter="0"/>
          <w:cols w:space="720"/>
          <w:docGrid w:linePitch="360"/>
        </w:sectPr>
      </w:pPr>
    </w:p>
    <w:tbl>
      <w:tblPr>
        <w:tblW w:w="1511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701"/>
        <w:gridCol w:w="1134"/>
        <w:gridCol w:w="1417"/>
        <w:gridCol w:w="1363"/>
        <w:gridCol w:w="948"/>
        <w:gridCol w:w="950"/>
        <w:gridCol w:w="992"/>
        <w:gridCol w:w="992"/>
        <w:gridCol w:w="709"/>
        <w:gridCol w:w="3634"/>
      </w:tblGrid>
      <w:tr w:rsidR="00154E32" w14:paraId="1F7354FF" w14:textId="77777777">
        <w:trPr>
          <w:trHeight w:val="945"/>
          <w:tblHeader/>
        </w:trPr>
        <w:tc>
          <w:tcPr>
            <w:tcW w:w="1277" w:type="dxa"/>
            <w:vMerge w:val="restart"/>
            <w:shd w:val="clear" w:color="auto" w:fill="BDD7EE"/>
            <w:vAlign w:val="center"/>
          </w:tcPr>
          <w:p w14:paraId="6F1C9E14" w14:textId="77777777" w:rsidR="00154E32" w:rsidRDefault="00A43E04">
            <w:pPr>
              <w:pStyle w:val="P68B1DB1-Normal9"/>
              <w:jc w:val="center"/>
              <w:rPr>
                <w:noProof/>
              </w:rPr>
            </w:pPr>
            <w:r>
              <w:rPr>
                <w:noProof/>
              </w:rPr>
              <w:t>Zaporedna številka</w:t>
            </w:r>
          </w:p>
        </w:tc>
        <w:tc>
          <w:tcPr>
            <w:tcW w:w="1701" w:type="dxa"/>
            <w:vMerge w:val="restart"/>
            <w:shd w:val="clear" w:color="auto" w:fill="BDD7EE"/>
            <w:vAlign w:val="center"/>
          </w:tcPr>
          <w:p w14:paraId="37E968D7" w14:textId="77777777" w:rsidR="00154E32" w:rsidRDefault="00A43E04">
            <w:pPr>
              <w:pStyle w:val="P68B1DB1-Normal9"/>
              <w:jc w:val="center"/>
              <w:rPr>
                <w:noProof/>
              </w:rPr>
            </w:pPr>
            <w:r>
              <w:rPr>
                <w:noProof/>
              </w:rPr>
              <w:t>Povezani ukrep (reforma ali naložba)</w:t>
            </w:r>
          </w:p>
        </w:tc>
        <w:tc>
          <w:tcPr>
            <w:tcW w:w="1134" w:type="dxa"/>
            <w:vMerge w:val="restart"/>
            <w:shd w:val="clear" w:color="auto" w:fill="BDD7EE"/>
            <w:vAlign w:val="center"/>
          </w:tcPr>
          <w:p w14:paraId="1067D873" w14:textId="77777777" w:rsidR="00154E32" w:rsidRDefault="00A43E04">
            <w:pPr>
              <w:pStyle w:val="P68B1DB1-Normal9"/>
              <w:jc w:val="center"/>
              <w:rPr>
                <w:noProof/>
              </w:rPr>
            </w:pPr>
            <w:r>
              <w:rPr>
                <w:noProof/>
              </w:rPr>
              <w:t>Mejnik/cilj</w:t>
            </w:r>
          </w:p>
        </w:tc>
        <w:tc>
          <w:tcPr>
            <w:tcW w:w="1417" w:type="dxa"/>
            <w:vMerge w:val="restart"/>
            <w:shd w:val="clear" w:color="auto" w:fill="BDD7EE"/>
            <w:vAlign w:val="center"/>
          </w:tcPr>
          <w:p w14:paraId="7AE76D2B" w14:textId="77777777" w:rsidR="00154E32" w:rsidRDefault="00A43E04">
            <w:pPr>
              <w:pStyle w:val="P68B1DB1-Normal9"/>
              <w:jc w:val="center"/>
              <w:rPr>
                <w:noProof/>
              </w:rPr>
            </w:pPr>
            <w:r>
              <w:rPr>
                <w:noProof/>
              </w:rPr>
              <w:t>Ime</w:t>
            </w:r>
          </w:p>
        </w:tc>
        <w:tc>
          <w:tcPr>
            <w:tcW w:w="1363" w:type="dxa"/>
            <w:vMerge w:val="restart"/>
            <w:shd w:val="clear" w:color="auto" w:fill="BDD7EE"/>
            <w:vAlign w:val="center"/>
          </w:tcPr>
          <w:p w14:paraId="1B541012" w14:textId="77777777" w:rsidR="00154E32" w:rsidRDefault="00A43E04">
            <w:pPr>
              <w:pStyle w:val="P68B1DB1-Normal10"/>
              <w:jc w:val="center"/>
              <w:rPr>
                <w:b/>
                <w:noProof/>
                <w:sz w:val="20"/>
              </w:rPr>
            </w:pPr>
            <w:r>
              <w:rPr>
                <w:b/>
                <w:noProof/>
                <w:sz w:val="20"/>
              </w:rPr>
              <w:t>Kakovostni kazalniki</w:t>
            </w:r>
            <w:r>
              <w:rPr>
                <w:noProof/>
              </w:rPr>
              <w:t xml:space="preserve"> </w:t>
            </w:r>
            <w:r>
              <w:rPr>
                <w:noProof/>
              </w:rPr>
              <w:br/>
            </w:r>
            <w:r>
              <w:rPr>
                <w:b/>
                <w:noProof/>
                <w:sz w:val="20"/>
              </w:rPr>
              <w:t>(za mejnike)</w:t>
            </w:r>
          </w:p>
        </w:tc>
        <w:tc>
          <w:tcPr>
            <w:tcW w:w="2890" w:type="dxa"/>
            <w:gridSpan w:val="3"/>
            <w:shd w:val="clear" w:color="auto" w:fill="BDD7EE"/>
            <w:vAlign w:val="center"/>
          </w:tcPr>
          <w:p w14:paraId="02F9495A" w14:textId="77777777" w:rsidR="00154E32" w:rsidRDefault="00A43E04">
            <w:pPr>
              <w:pStyle w:val="P68B1DB1-Normal10"/>
              <w:jc w:val="center"/>
              <w:rPr>
                <w:b/>
                <w:noProof/>
                <w:sz w:val="20"/>
              </w:rPr>
            </w:pPr>
            <w:r>
              <w:rPr>
                <w:b/>
                <w:noProof/>
                <w:sz w:val="20"/>
              </w:rPr>
              <w:t>Kvantitativni kazalniki</w:t>
            </w:r>
            <w:r>
              <w:rPr>
                <w:noProof/>
              </w:rPr>
              <w:t xml:space="preserve"> </w:t>
            </w:r>
            <w:r>
              <w:rPr>
                <w:noProof/>
              </w:rPr>
              <w:br/>
            </w:r>
            <w:r>
              <w:rPr>
                <w:b/>
                <w:noProof/>
                <w:sz w:val="20"/>
              </w:rPr>
              <w:t>(za ciljne vrednosti)</w:t>
            </w:r>
          </w:p>
        </w:tc>
        <w:tc>
          <w:tcPr>
            <w:tcW w:w="1701" w:type="dxa"/>
            <w:gridSpan w:val="2"/>
            <w:shd w:val="clear" w:color="auto" w:fill="BDD7EE"/>
            <w:vAlign w:val="center"/>
          </w:tcPr>
          <w:p w14:paraId="307FA7C3" w14:textId="77777777" w:rsidR="00154E32" w:rsidRDefault="00A43E04">
            <w:pPr>
              <w:pStyle w:val="P68B1DB1-Normal9"/>
              <w:jc w:val="center"/>
              <w:rPr>
                <w:noProof/>
              </w:rPr>
            </w:pPr>
            <w:r>
              <w:rPr>
                <w:noProof/>
              </w:rPr>
              <w:t>Okvirni časovni razpored za dokončanje</w:t>
            </w:r>
          </w:p>
        </w:tc>
        <w:tc>
          <w:tcPr>
            <w:tcW w:w="3634" w:type="dxa"/>
            <w:vMerge w:val="restart"/>
            <w:shd w:val="clear" w:color="auto" w:fill="BDD7EE"/>
            <w:vAlign w:val="center"/>
          </w:tcPr>
          <w:p w14:paraId="2C53A1CF" w14:textId="77777777" w:rsidR="00154E32" w:rsidRDefault="00A43E04">
            <w:pPr>
              <w:pStyle w:val="P68B1DB1-Normal9"/>
              <w:jc w:val="center"/>
              <w:rPr>
                <w:noProof/>
              </w:rPr>
            </w:pPr>
            <w:r>
              <w:rPr>
                <w:noProof/>
              </w:rPr>
              <w:t>Opis vsakega mejnika in cilja</w:t>
            </w:r>
          </w:p>
        </w:tc>
      </w:tr>
      <w:tr w:rsidR="00154E32" w14:paraId="49B74558" w14:textId="77777777">
        <w:trPr>
          <w:trHeight w:val="737"/>
        </w:trPr>
        <w:tc>
          <w:tcPr>
            <w:tcW w:w="1277" w:type="dxa"/>
            <w:vMerge/>
            <w:vAlign w:val="center"/>
          </w:tcPr>
          <w:p w14:paraId="26908977" w14:textId="77777777" w:rsidR="00154E32" w:rsidRDefault="00154E32">
            <w:pPr>
              <w:jc w:val="center"/>
              <w:rPr>
                <w:rFonts w:ascii="Arial Narrow" w:hAnsi="Arial Narrow"/>
                <w:noProof/>
                <w:sz w:val="20"/>
              </w:rPr>
            </w:pPr>
          </w:p>
        </w:tc>
        <w:tc>
          <w:tcPr>
            <w:tcW w:w="1701" w:type="dxa"/>
            <w:vMerge/>
            <w:vAlign w:val="center"/>
          </w:tcPr>
          <w:p w14:paraId="11F65102" w14:textId="77777777" w:rsidR="00154E32" w:rsidRDefault="00154E32">
            <w:pPr>
              <w:jc w:val="center"/>
              <w:rPr>
                <w:rFonts w:ascii="Arial Narrow" w:hAnsi="Arial Narrow"/>
                <w:noProof/>
                <w:sz w:val="20"/>
              </w:rPr>
            </w:pPr>
          </w:p>
        </w:tc>
        <w:tc>
          <w:tcPr>
            <w:tcW w:w="1134" w:type="dxa"/>
            <w:vMerge/>
            <w:vAlign w:val="center"/>
          </w:tcPr>
          <w:p w14:paraId="318E64BD" w14:textId="77777777" w:rsidR="00154E32" w:rsidRDefault="00154E32">
            <w:pPr>
              <w:jc w:val="center"/>
              <w:rPr>
                <w:rFonts w:ascii="Arial Narrow" w:hAnsi="Arial Narrow"/>
                <w:noProof/>
                <w:sz w:val="20"/>
              </w:rPr>
            </w:pPr>
          </w:p>
        </w:tc>
        <w:tc>
          <w:tcPr>
            <w:tcW w:w="1417" w:type="dxa"/>
            <w:vMerge/>
            <w:vAlign w:val="center"/>
          </w:tcPr>
          <w:p w14:paraId="3EBB642D" w14:textId="77777777" w:rsidR="00154E32" w:rsidRDefault="00154E32">
            <w:pPr>
              <w:jc w:val="center"/>
              <w:rPr>
                <w:rFonts w:ascii="Arial Narrow" w:hAnsi="Arial Narrow"/>
                <w:noProof/>
                <w:sz w:val="20"/>
              </w:rPr>
            </w:pPr>
          </w:p>
        </w:tc>
        <w:tc>
          <w:tcPr>
            <w:tcW w:w="1363" w:type="dxa"/>
            <w:vMerge/>
            <w:vAlign w:val="center"/>
          </w:tcPr>
          <w:p w14:paraId="35FEF10F" w14:textId="77777777" w:rsidR="00154E32" w:rsidRDefault="00154E32">
            <w:pPr>
              <w:jc w:val="center"/>
              <w:rPr>
                <w:rFonts w:ascii="Arial Narrow" w:hAnsi="Arial Narrow"/>
                <w:noProof/>
                <w:sz w:val="20"/>
              </w:rPr>
            </w:pPr>
          </w:p>
        </w:tc>
        <w:tc>
          <w:tcPr>
            <w:tcW w:w="948" w:type="dxa"/>
            <w:shd w:val="clear" w:color="auto" w:fill="BDD7EE"/>
            <w:vAlign w:val="center"/>
          </w:tcPr>
          <w:p w14:paraId="107296B5" w14:textId="77777777" w:rsidR="00154E32" w:rsidRDefault="00A43E04">
            <w:pPr>
              <w:pStyle w:val="P68B1DB1-Normal9"/>
              <w:jc w:val="center"/>
              <w:rPr>
                <w:noProof/>
              </w:rPr>
            </w:pPr>
            <w:r>
              <w:rPr>
                <w:noProof/>
              </w:rPr>
              <w:t>Merska enota</w:t>
            </w:r>
          </w:p>
        </w:tc>
        <w:tc>
          <w:tcPr>
            <w:tcW w:w="950" w:type="dxa"/>
            <w:shd w:val="clear" w:color="auto" w:fill="BDD7EE"/>
            <w:vAlign w:val="center"/>
          </w:tcPr>
          <w:p w14:paraId="170C5175" w14:textId="77777777" w:rsidR="00154E32" w:rsidRDefault="00A43E04">
            <w:pPr>
              <w:pStyle w:val="P68B1DB1-Normal9"/>
              <w:jc w:val="center"/>
              <w:rPr>
                <w:noProof/>
              </w:rPr>
            </w:pPr>
            <w:r>
              <w:rPr>
                <w:noProof/>
              </w:rPr>
              <w:t>Izhodišče</w:t>
            </w:r>
          </w:p>
        </w:tc>
        <w:tc>
          <w:tcPr>
            <w:tcW w:w="992" w:type="dxa"/>
            <w:shd w:val="clear" w:color="auto" w:fill="BDD7EE"/>
            <w:vAlign w:val="center"/>
          </w:tcPr>
          <w:p w14:paraId="4E9DB5B8" w14:textId="77777777" w:rsidR="00154E32" w:rsidRDefault="00A43E04">
            <w:pPr>
              <w:pStyle w:val="P68B1DB1-Normal9"/>
              <w:jc w:val="center"/>
              <w:rPr>
                <w:noProof/>
              </w:rPr>
            </w:pPr>
            <w:r>
              <w:rPr>
                <w:noProof/>
              </w:rPr>
              <w:t>Cilj</w:t>
            </w:r>
          </w:p>
        </w:tc>
        <w:tc>
          <w:tcPr>
            <w:tcW w:w="992" w:type="dxa"/>
            <w:shd w:val="clear" w:color="auto" w:fill="BDD7EE"/>
            <w:vAlign w:val="center"/>
          </w:tcPr>
          <w:p w14:paraId="135120E0" w14:textId="77777777" w:rsidR="00154E32" w:rsidRDefault="00A43E04">
            <w:pPr>
              <w:pStyle w:val="P68B1DB1-Normal9"/>
              <w:jc w:val="center"/>
              <w:rPr>
                <w:noProof/>
              </w:rPr>
            </w:pPr>
            <w:r>
              <w:rPr>
                <w:noProof/>
              </w:rPr>
              <w:t>Četrtletje</w:t>
            </w:r>
          </w:p>
        </w:tc>
        <w:tc>
          <w:tcPr>
            <w:tcW w:w="709" w:type="dxa"/>
            <w:shd w:val="clear" w:color="auto" w:fill="BDD7EE"/>
            <w:vAlign w:val="center"/>
          </w:tcPr>
          <w:p w14:paraId="2A66DA5D" w14:textId="77777777" w:rsidR="00154E32" w:rsidRDefault="00A43E04">
            <w:pPr>
              <w:pStyle w:val="P68B1DB1-Normal9"/>
              <w:jc w:val="center"/>
              <w:rPr>
                <w:noProof/>
              </w:rPr>
            </w:pPr>
            <w:r>
              <w:rPr>
                <w:noProof/>
              </w:rPr>
              <w:t>Leto</w:t>
            </w:r>
          </w:p>
        </w:tc>
        <w:tc>
          <w:tcPr>
            <w:tcW w:w="3634" w:type="dxa"/>
            <w:vMerge/>
            <w:vAlign w:val="center"/>
          </w:tcPr>
          <w:p w14:paraId="46D3E2F9" w14:textId="77777777" w:rsidR="00154E32" w:rsidRDefault="00154E32">
            <w:pPr>
              <w:rPr>
                <w:rFonts w:ascii="Arial Narrow" w:hAnsi="Arial Narrow"/>
                <w:noProof/>
                <w:sz w:val="20"/>
              </w:rPr>
            </w:pPr>
          </w:p>
        </w:tc>
      </w:tr>
      <w:tr w:rsidR="00154E32" w14:paraId="5388157D" w14:textId="77777777">
        <w:trPr>
          <w:trHeight w:val="315"/>
        </w:trPr>
        <w:tc>
          <w:tcPr>
            <w:tcW w:w="1277" w:type="dxa"/>
            <w:shd w:val="clear" w:color="auto" w:fill="C6EFCE"/>
            <w:vAlign w:val="center"/>
          </w:tcPr>
          <w:p w14:paraId="16EC2779" w14:textId="77777777" w:rsidR="00154E32" w:rsidRDefault="00A43E04">
            <w:pPr>
              <w:pStyle w:val="P68B1DB1-Normal11"/>
              <w:jc w:val="center"/>
              <w:rPr>
                <w:rFonts w:eastAsiaTheme="minorEastAsia"/>
                <w:noProof/>
              </w:rPr>
            </w:pPr>
            <w:r>
              <w:rPr>
                <w:noProof/>
              </w:rPr>
              <w:t>M6C1–1</w:t>
            </w:r>
          </w:p>
        </w:tc>
        <w:tc>
          <w:tcPr>
            <w:tcW w:w="1701" w:type="dxa"/>
            <w:shd w:val="clear" w:color="auto" w:fill="C6EFCE"/>
            <w:vAlign w:val="center"/>
          </w:tcPr>
          <w:p w14:paraId="7CB31303" w14:textId="77777777" w:rsidR="00154E32" w:rsidRDefault="00A43E04">
            <w:pPr>
              <w:pStyle w:val="P68B1DB1-Normal11"/>
              <w:jc w:val="center"/>
              <w:rPr>
                <w:rFonts w:eastAsiaTheme="minorEastAsia"/>
                <w:noProof/>
              </w:rPr>
            </w:pPr>
            <w:r>
              <w:rPr>
                <w:noProof/>
              </w:rPr>
              <w:t>Reforma 1:  Opredelitev novega organizacijskega modela za teritorialno mrežo zdravstvene pomoči</w:t>
            </w:r>
          </w:p>
        </w:tc>
        <w:tc>
          <w:tcPr>
            <w:tcW w:w="1134" w:type="dxa"/>
            <w:shd w:val="clear" w:color="auto" w:fill="C6EFCE"/>
            <w:vAlign w:val="center"/>
          </w:tcPr>
          <w:p w14:paraId="7CED53EB" w14:textId="77777777" w:rsidR="00154E32" w:rsidRDefault="00A43E04">
            <w:pPr>
              <w:pStyle w:val="P68B1DB1-Normal11"/>
              <w:jc w:val="center"/>
              <w:rPr>
                <w:rFonts w:eastAsiaTheme="minorEastAsia"/>
                <w:noProof/>
              </w:rPr>
            </w:pPr>
            <w:r>
              <w:rPr>
                <w:noProof/>
              </w:rPr>
              <w:t>Mejnik</w:t>
            </w:r>
          </w:p>
        </w:tc>
        <w:tc>
          <w:tcPr>
            <w:tcW w:w="1417" w:type="dxa"/>
            <w:shd w:val="clear" w:color="auto" w:fill="C6EFCE"/>
            <w:vAlign w:val="center"/>
          </w:tcPr>
          <w:p w14:paraId="5F7367DE" w14:textId="0EF006A9" w:rsidR="00154E32" w:rsidRDefault="00A43E04">
            <w:pPr>
              <w:pStyle w:val="P68B1DB1-Normal11"/>
              <w:jc w:val="center"/>
              <w:rPr>
                <w:rFonts w:eastAsiaTheme="minorEastAsia"/>
                <w:noProof/>
              </w:rPr>
            </w:pPr>
            <w:r>
              <w:rPr>
                <w:noProof/>
              </w:rPr>
              <w:t>Začetek veljavnosti sekundarne zakonodaje (ministrska uredba), ki predvideva reformo organizacije zdravstvenega varstva.</w:t>
            </w:r>
          </w:p>
        </w:tc>
        <w:tc>
          <w:tcPr>
            <w:tcW w:w="1363" w:type="dxa"/>
            <w:shd w:val="clear" w:color="auto" w:fill="C6EFCE"/>
            <w:vAlign w:val="center"/>
          </w:tcPr>
          <w:p w14:paraId="6964A97B" w14:textId="77777777" w:rsidR="00154E32" w:rsidRDefault="00A43E04">
            <w:pPr>
              <w:pStyle w:val="P68B1DB1-Normal11"/>
              <w:jc w:val="center"/>
              <w:rPr>
                <w:rFonts w:eastAsiaTheme="minorEastAsia"/>
                <w:noProof/>
              </w:rPr>
            </w:pPr>
            <w:r>
              <w:rPr>
                <w:noProof/>
              </w:rPr>
              <w:t xml:space="preserve">Določba zakona o začetku veljavnosti zakonodaje </w:t>
            </w:r>
          </w:p>
        </w:tc>
        <w:tc>
          <w:tcPr>
            <w:tcW w:w="948" w:type="dxa"/>
            <w:shd w:val="clear" w:color="auto" w:fill="C6EFCE"/>
            <w:vAlign w:val="center"/>
          </w:tcPr>
          <w:p w14:paraId="55C6BADC" w14:textId="77777777" w:rsidR="00154E32" w:rsidRDefault="00A43E04">
            <w:pPr>
              <w:pStyle w:val="P68B1DB1-Normal11"/>
              <w:jc w:val="center"/>
              <w:rPr>
                <w:rFonts w:eastAsiaTheme="minorEastAsia"/>
                <w:noProof/>
              </w:rPr>
            </w:pPr>
            <w:r>
              <w:rPr>
                <w:noProof/>
              </w:rPr>
              <w:t>JIH NI</w:t>
            </w:r>
          </w:p>
        </w:tc>
        <w:tc>
          <w:tcPr>
            <w:tcW w:w="950" w:type="dxa"/>
            <w:shd w:val="clear" w:color="auto" w:fill="C6EFCE"/>
            <w:vAlign w:val="center"/>
          </w:tcPr>
          <w:p w14:paraId="43FB6855" w14:textId="77777777" w:rsidR="00154E32" w:rsidRDefault="00A43E04">
            <w:pPr>
              <w:pStyle w:val="P68B1DB1-Normal11"/>
              <w:jc w:val="center"/>
              <w:rPr>
                <w:rFonts w:eastAsiaTheme="minorEastAsia"/>
                <w:noProof/>
              </w:rPr>
            </w:pPr>
            <w:r>
              <w:rPr>
                <w:noProof/>
              </w:rPr>
              <w:t>JIH NI</w:t>
            </w:r>
          </w:p>
        </w:tc>
        <w:tc>
          <w:tcPr>
            <w:tcW w:w="992" w:type="dxa"/>
            <w:shd w:val="clear" w:color="auto" w:fill="C6EFCE"/>
            <w:vAlign w:val="center"/>
          </w:tcPr>
          <w:p w14:paraId="1EDE59A0" w14:textId="77777777" w:rsidR="00154E32" w:rsidRDefault="00A43E04">
            <w:pPr>
              <w:pStyle w:val="P68B1DB1-Normal11"/>
              <w:jc w:val="center"/>
              <w:rPr>
                <w:rFonts w:eastAsiaTheme="minorEastAsia"/>
                <w:noProof/>
              </w:rPr>
            </w:pPr>
            <w:r>
              <w:rPr>
                <w:noProof/>
              </w:rPr>
              <w:t>JIH NI</w:t>
            </w:r>
          </w:p>
        </w:tc>
        <w:tc>
          <w:tcPr>
            <w:tcW w:w="992" w:type="dxa"/>
            <w:shd w:val="clear" w:color="auto" w:fill="C6EFCE"/>
            <w:vAlign w:val="center"/>
          </w:tcPr>
          <w:p w14:paraId="5321134F" w14:textId="77777777" w:rsidR="00154E32" w:rsidRDefault="00A43E04">
            <w:pPr>
              <w:pStyle w:val="P68B1DB1-Normal11"/>
              <w:jc w:val="center"/>
              <w:rPr>
                <w:rFonts w:eastAsiaTheme="minorEastAsia"/>
                <w:noProof/>
              </w:rPr>
            </w:pPr>
            <w:r>
              <w:rPr>
                <w:noProof/>
              </w:rPr>
              <w:t>Q2</w:t>
            </w:r>
          </w:p>
        </w:tc>
        <w:tc>
          <w:tcPr>
            <w:tcW w:w="709" w:type="dxa"/>
            <w:shd w:val="clear" w:color="auto" w:fill="C6EFCE"/>
            <w:vAlign w:val="center"/>
          </w:tcPr>
          <w:p w14:paraId="36EEA2C7" w14:textId="77777777" w:rsidR="00154E32" w:rsidRDefault="00A43E04">
            <w:pPr>
              <w:pStyle w:val="P68B1DB1-Normal11"/>
              <w:jc w:val="center"/>
              <w:rPr>
                <w:rFonts w:eastAsiaTheme="minorEastAsia"/>
                <w:noProof/>
              </w:rPr>
            </w:pPr>
            <w:r>
              <w:rPr>
                <w:noProof/>
              </w:rPr>
              <w:t>2022</w:t>
            </w:r>
          </w:p>
        </w:tc>
        <w:tc>
          <w:tcPr>
            <w:tcW w:w="3634" w:type="dxa"/>
            <w:shd w:val="clear" w:color="auto" w:fill="C6EFCE"/>
            <w:vAlign w:val="center"/>
          </w:tcPr>
          <w:p w14:paraId="7BE78767" w14:textId="77777777" w:rsidR="00154E32" w:rsidRDefault="00A43E04">
            <w:pPr>
              <w:pStyle w:val="P68B1DB1-Normal11"/>
              <w:rPr>
                <w:rFonts w:eastAsiaTheme="minorEastAsia"/>
                <w:noProof/>
              </w:rPr>
            </w:pPr>
            <w:r>
              <w:rPr>
                <w:noProof/>
              </w:rPr>
              <w:t>Začetek veljavnosti sekundarne zakonodaje (ministrska uredba), ki določa:</w:t>
            </w:r>
          </w:p>
          <w:p w14:paraId="00979DA9" w14:textId="71AD3A03" w:rsidR="00154E32" w:rsidRDefault="00A43E04">
            <w:pPr>
              <w:pStyle w:val="P68B1DB1-Normal11"/>
              <w:rPr>
                <w:rFonts w:eastAsiaTheme="minorEastAsia"/>
                <w:noProof/>
              </w:rPr>
            </w:pPr>
            <w:r>
              <w:rPr>
                <w:noProof/>
              </w:rPr>
              <w:t>Opredelitev novega organizacijskega modela teritorialne mreže za zdravstveno pomoč z opredelitvijo regulativnega okvira, ki opredeljuje strukturne, tehnološke in organizacijske standarde po regijah; opredelitev nove institucionalne strukture za preprečevanje zdravja, okolja in podnebja v skladu s pristopom „eno zdravje“.</w:t>
            </w:r>
          </w:p>
        </w:tc>
      </w:tr>
      <w:tr w:rsidR="00154E32" w14:paraId="72AA3C9D" w14:textId="77777777">
        <w:trPr>
          <w:trHeight w:val="315"/>
        </w:trPr>
        <w:tc>
          <w:tcPr>
            <w:tcW w:w="1277" w:type="dxa"/>
            <w:shd w:val="clear" w:color="auto" w:fill="C6EFCE"/>
            <w:vAlign w:val="center"/>
          </w:tcPr>
          <w:p w14:paraId="26AD45FD" w14:textId="77777777" w:rsidR="00154E32" w:rsidRDefault="00A43E04">
            <w:pPr>
              <w:pStyle w:val="P68B1DB1-Normal11"/>
              <w:jc w:val="center"/>
              <w:rPr>
                <w:rFonts w:eastAsiaTheme="minorEastAsia"/>
                <w:noProof/>
              </w:rPr>
            </w:pPr>
            <w:r>
              <w:rPr>
                <w:noProof/>
              </w:rPr>
              <w:t>M6C1–2</w:t>
            </w:r>
          </w:p>
        </w:tc>
        <w:tc>
          <w:tcPr>
            <w:tcW w:w="1701" w:type="dxa"/>
            <w:shd w:val="clear" w:color="auto" w:fill="C6EFCE"/>
            <w:vAlign w:val="center"/>
          </w:tcPr>
          <w:p w14:paraId="6062B73A" w14:textId="77777777" w:rsidR="00154E32" w:rsidRDefault="00A43E04">
            <w:pPr>
              <w:pStyle w:val="P68B1DB1-Normal11"/>
              <w:jc w:val="center"/>
              <w:rPr>
                <w:rFonts w:eastAsiaTheme="minorEastAsia"/>
                <w:noProof/>
              </w:rPr>
            </w:pPr>
            <w:r>
              <w:rPr>
                <w:noProof/>
              </w:rPr>
              <w:t>Naložba 1.1: Zdravstvene hiše skupnosti za izboljšanje ozemeljske zdravstvene pomoči</w:t>
            </w:r>
          </w:p>
        </w:tc>
        <w:tc>
          <w:tcPr>
            <w:tcW w:w="1134" w:type="dxa"/>
            <w:shd w:val="clear" w:color="auto" w:fill="C6EFCE"/>
            <w:vAlign w:val="center"/>
          </w:tcPr>
          <w:p w14:paraId="461C0E60" w14:textId="77777777" w:rsidR="00154E32" w:rsidRDefault="00A43E04">
            <w:pPr>
              <w:pStyle w:val="P68B1DB1-Normal11"/>
              <w:jc w:val="center"/>
              <w:rPr>
                <w:rFonts w:eastAsiaTheme="minorEastAsia"/>
                <w:noProof/>
              </w:rPr>
            </w:pPr>
            <w:r>
              <w:rPr>
                <w:noProof/>
              </w:rPr>
              <w:t>Mejnik</w:t>
            </w:r>
          </w:p>
        </w:tc>
        <w:tc>
          <w:tcPr>
            <w:tcW w:w="1417" w:type="dxa"/>
            <w:shd w:val="clear" w:color="auto" w:fill="C6EFCE"/>
            <w:vAlign w:val="center"/>
          </w:tcPr>
          <w:p w14:paraId="3D605EB4" w14:textId="77777777" w:rsidR="00154E32" w:rsidRDefault="00A43E04">
            <w:pPr>
              <w:pStyle w:val="P68B1DB1-Normal11"/>
              <w:jc w:val="center"/>
              <w:rPr>
                <w:rFonts w:eastAsiaTheme="minorEastAsia"/>
                <w:noProof/>
              </w:rPr>
            </w:pPr>
            <w:r>
              <w:rPr>
                <w:noProof/>
              </w:rPr>
              <w:t xml:space="preserve">Odobritev pogodbe o institucionalnem razvoju </w:t>
            </w:r>
          </w:p>
        </w:tc>
        <w:tc>
          <w:tcPr>
            <w:tcW w:w="1363" w:type="dxa"/>
            <w:shd w:val="clear" w:color="auto" w:fill="C6EFCE"/>
            <w:vAlign w:val="center"/>
          </w:tcPr>
          <w:p w14:paraId="351DF376" w14:textId="77777777" w:rsidR="00154E32" w:rsidRDefault="00A43E04">
            <w:pPr>
              <w:pStyle w:val="P68B1DB1-Normal11"/>
              <w:jc w:val="center"/>
              <w:rPr>
                <w:rFonts w:eastAsiaTheme="minorEastAsia"/>
                <w:noProof/>
              </w:rPr>
            </w:pPr>
            <w:r>
              <w:rPr>
                <w:noProof/>
              </w:rPr>
              <w:t>Obvestilo o odobritvi ministrstva za zdravje in regij</w:t>
            </w:r>
          </w:p>
        </w:tc>
        <w:tc>
          <w:tcPr>
            <w:tcW w:w="948" w:type="dxa"/>
            <w:shd w:val="clear" w:color="auto" w:fill="C6EFCE"/>
            <w:vAlign w:val="center"/>
          </w:tcPr>
          <w:p w14:paraId="5911C810" w14:textId="77777777" w:rsidR="00154E32" w:rsidRDefault="00A43E04">
            <w:pPr>
              <w:pStyle w:val="P68B1DB1-Normal11"/>
              <w:jc w:val="center"/>
              <w:rPr>
                <w:rFonts w:eastAsiaTheme="minorEastAsia"/>
                <w:noProof/>
              </w:rPr>
            </w:pPr>
            <w:r>
              <w:rPr>
                <w:noProof/>
              </w:rPr>
              <w:t>JIH NI</w:t>
            </w:r>
          </w:p>
        </w:tc>
        <w:tc>
          <w:tcPr>
            <w:tcW w:w="950" w:type="dxa"/>
            <w:shd w:val="clear" w:color="auto" w:fill="C6EFCE"/>
            <w:vAlign w:val="center"/>
          </w:tcPr>
          <w:p w14:paraId="1A34F19F" w14:textId="77777777" w:rsidR="00154E32" w:rsidRDefault="00A43E04">
            <w:pPr>
              <w:pStyle w:val="P68B1DB1-Normal11"/>
              <w:jc w:val="center"/>
              <w:rPr>
                <w:rFonts w:eastAsiaTheme="minorEastAsia"/>
                <w:noProof/>
              </w:rPr>
            </w:pPr>
            <w:r>
              <w:rPr>
                <w:noProof/>
              </w:rPr>
              <w:t>JIH NI</w:t>
            </w:r>
          </w:p>
        </w:tc>
        <w:tc>
          <w:tcPr>
            <w:tcW w:w="992" w:type="dxa"/>
            <w:shd w:val="clear" w:color="auto" w:fill="C6EFCE"/>
            <w:vAlign w:val="center"/>
          </w:tcPr>
          <w:p w14:paraId="7C261223" w14:textId="77777777" w:rsidR="00154E32" w:rsidRDefault="00A43E04">
            <w:pPr>
              <w:pStyle w:val="P68B1DB1-Normal11"/>
              <w:jc w:val="center"/>
              <w:rPr>
                <w:rFonts w:eastAsiaTheme="minorEastAsia"/>
                <w:noProof/>
              </w:rPr>
            </w:pPr>
            <w:r>
              <w:rPr>
                <w:noProof/>
              </w:rPr>
              <w:t>JIH NI</w:t>
            </w:r>
          </w:p>
        </w:tc>
        <w:tc>
          <w:tcPr>
            <w:tcW w:w="992" w:type="dxa"/>
            <w:shd w:val="clear" w:color="auto" w:fill="C6EFCE"/>
            <w:vAlign w:val="center"/>
          </w:tcPr>
          <w:p w14:paraId="5B92BD74" w14:textId="77777777" w:rsidR="00154E32" w:rsidRDefault="00A43E04">
            <w:pPr>
              <w:pStyle w:val="P68B1DB1-Normal11"/>
              <w:jc w:val="center"/>
              <w:rPr>
                <w:rFonts w:eastAsiaTheme="minorEastAsia"/>
                <w:noProof/>
              </w:rPr>
            </w:pPr>
            <w:r>
              <w:rPr>
                <w:noProof/>
              </w:rPr>
              <w:t>Q2</w:t>
            </w:r>
          </w:p>
        </w:tc>
        <w:tc>
          <w:tcPr>
            <w:tcW w:w="709" w:type="dxa"/>
            <w:shd w:val="clear" w:color="auto" w:fill="C6EFCE"/>
            <w:vAlign w:val="center"/>
          </w:tcPr>
          <w:p w14:paraId="277AE4FB" w14:textId="77777777" w:rsidR="00154E32" w:rsidRDefault="00A43E04">
            <w:pPr>
              <w:pStyle w:val="P68B1DB1-Normal11"/>
              <w:jc w:val="center"/>
              <w:rPr>
                <w:rFonts w:eastAsiaTheme="minorEastAsia"/>
                <w:noProof/>
              </w:rPr>
            </w:pPr>
            <w:r>
              <w:rPr>
                <w:noProof/>
              </w:rPr>
              <w:t>2022</w:t>
            </w:r>
          </w:p>
        </w:tc>
        <w:tc>
          <w:tcPr>
            <w:tcW w:w="3634" w:type="dxa"/>
            <w:shd w:val="clear" w:color="auto" w:fill="C6EFCE"/>
            <w:vAlign w:val="center"/>
          </w:tcPr>
          <w:p w14:paraId="30AF42DB" w14:textId="77777777" w:rsidR="00154E32" w:rsidRDefault="00A43E04">
            <w:pPr>
              <w:pStyle w:val="P68B1DB1-Normal11"/>
              <w:rPr>
                <w:rFonts w:eastAsiaTheme="minorEastAsia"/>
                <w:noProof/>
              </w:rPr>
            </w:pPr>
            <w:r>
              <w:rPr>
                <w:noProof/>
              </w:rPr>
              <w:t>Odobritev pogodbe o institucionalnem razvoju (Contratto Istituzionale di Sviluppo) z italijanskim ministrstvom za zdravje kot pristojnim in izvedbenim organom ter sodelovanje regionalnih uprav skupaj z drugimi zadevnimi subjekti za zdravstvene hiše Skupnosti:</w:t>
            </w:r>
          </w:p>
          <w:p w14:paraId="4EA4A4F3" w14:textId="77777777" w:rsidR="00154E32" w:rsidRDefault="00A43E04">
            <w:pPr>
              <w:pStyle w:val="P68B1DB1-Normal11"/>
              <w:rPr>
                <w:rFonts w:eastAsiaTheme="minorEastAsia"/>
                <w:noProof/>
              </w:rPr>
            </w:pPr>
            <w:r>
              <w:rPr>
                <w:noProof/>
              </w:rPr>
              <w:t xml:space="preserve">Pogodba o institucionalnem razvoju je orodje upravljanja, v katerem so navedene vse ustrezne strani, določene za izvajanje zdravstvene hiše Skupnosti za izboljšanje ozemeljske zdravstvene pomoči. V pogodbi se opredelijo tudi obveznosti, ki jih bo prevzela vsaka italijanska regija, da bo zagotovila doseganje pričakovanih rezultatov v zvezi z zdravstveno hišo Skupnosti. </w:t>
            </w:r>
          </w:p>
          <w:p w14:paraId="1D58CC81" w14:textId="77777777" w:rsidR="00154E32" w:rsidRDefault="00A43E04">
            <w:pPr>
              <w:pStyle w:val="P68B1DB1-Normal11"/>
              <w:rPr>
                <w:rFonts w:eastAsiaTheme="minorEastAsia"/>
                <w:noProof/>
              </w:rPr>
            </w:pPr>
            <w:r>
              <w:rPr>
                <w:noProof/>
              </w:rPr>
              <w:t xml:space="preserve"> Namen pogodbe je bil podpreti teritorialno kohezijo, razvoj in gospodarsko rast ter pospešiti izvajanje zapletenih ukrepov. Pogodba o institucionalnem razvoju je zlasti uporabna za velike projekte ali naložbe, opredeljene v posameznih ukrepih, ki so funkcionalno povezani med seboj in zahtevajo celosten pristop ter uporabo evropskih investicijskih strukturnih skladov in nacionalnih skladov, ki so prav tako vključeni v načrte in operativne programe, ki se financirajo iz nacionalnih in evropskih virov.</w:t>
            </w:r>
          </w:p>
        </w:tc>
      </w:tr>
      <w:tr w:rsidR="00154E32" w14:paraId="292D131E" w14:textId="77777777">
        <w:trPr>
          <w:trHeight w:val="315"/>
        </w:trPr>
        <w:tc>
          <w:tcPr>
            <w:tcW w:w="1277" w:type="dxa"/>
            <w:shd w:val="clear" w:color="auto" w:fill="C6EFCE"/>
            <w:vAlign w:val="center"/>
          </w:tcPr>
          <w:p w14:paraId="07E44561" w14:textId="77777777" w:rsidR="00154E32" w:rsidRDefault="00A43E04">
            <w:pPr>
              <w:pStyle w:val="P68B1DB1-Normal11"/>
              <w:jc w:val="center"/>
              <w:rPr>
                <w:rFonts w:eastAsiaTheme="minorEastAsia"/>
                <w:noProof/>
              </w:rPr>
            </w:pPr>
            <w:r>
              <w:rPr>
                <w:noProof/>
              </w:rPr>
              <w:t>M6C1–3</w:t>
            </w:r>
          </w:p>
        </w:tc>
        <w:tc>
          <w:tcPr>
            <w:tcW w:w="1701" w:type="dxa"/>
            <w:shd w:val="clear" w:color="auto" w:fill="C6EFCE"/>
            <w:vAlign w:val="center"/>
          </w:tcPr>
          <w:p w14:paraId="5B4654E8" w14:textId="77777777" w:rsidR="00154E32" w:rsidRDefault="00A43E04">
            <w:pPr>
              <w:pStyle w:val="P68B1DB1-Normal11"/>
              <w:jc w:val="center"/>
              <w:rPr>
                <w:rFonts w:eastAsiaTheme="minorEastAsia"/>
                <w:noProof/>
              </w:rPr>
            </w:pPr>
            <w:r>
              <w:rPr>
                <w:noProof/>
              </w:rPr>
              <w:t>Naložba 1.1: Zdravstvene hiše skupnosti za izboljšanje ozemeljske zdravstvene pomoči</w:t>
            </w:r>
          </w:p>
        </w:tc>
        <w:tc>
          <w:tcPr>
            <w:tcW w:w="1134" w:type="dxa"/>
            <w:shd w:val="clear" w:color="auto" w:fill="C6EFCE"/>
            <w:vAlign w:val="center"/>
          </w:tcPr>
          <w:p w14:paraId="34342ABD" w14:textId="77777777" w:rsidR="00154E32" w:rsidRDefault="00A43E04">
            <w:pPr>
              <w:pStyle w:val="P68B1DB1-Normal11"/>
              <w:jc w:val="center"/>
              <w:rPr>
                <w:rFonts w:eastAsiaTheme="minorEastAsia"/>
                <w:noProof/>
              </w:rPr>
            </w:pPr>
            <w:r>
              <w:rPr>
                <w:noProof/>
              </w:rPr>
              <w:t>Tarča</w:t>
            </w:r>
          </w:p>
        </w:tc>
        <w:tc>
          <w:tcPr>
            <w:tcW w:w="1417" w:type="dxa"/>
            <w:shd w:val="clear" w:color="auto" w:fill="C6EFCE"/>
            <w:vAlign w:val="center"/>
          </w:tcPr>
          <w:p w14:paraId="69B6CBA3" w14:textId="068267A8" w:rsidR="00154E32" w:rsidRDefault="00A43E04">
            <w:pPr>
              <w:pStyle w:val="P68B1DB1-Normal11"/>
              <w:jc w:val="center"/>
              <w:rPr>
                <w:rFonts w:eastAsiaTheme="minorEastAsia"/>
                <w:noProof/>
              </w:rPr>
            </w:pPr>
            <w:r>
              <w:rPr>
                <w:noProof/>
              </w:rPr>
              <w:t>Zdravstvene hiše skupnosti, ki so na voljo in tehnološko opremljene (prva serija)</w:t>
            </w:r>
          </w:p>
        </w:tc>
        <w:tc>
          <w:tcPr>
            <w:tcW w:w="1363" w:type="dxa"/>
            <w:shd w:val="clear" w:color="auto" w:fill="C6EFCE"/>
            <w:vAlign w:val="center"/>
          </w:tcPr>
          <w:p w14:paraId="24AF2587" w14:textId="77777777" w:rsidR="00154E32" w:rsidRDefault="00A43E04">
            <w:pPr>
              <w:pStyle w:val="P68B1DB1-Normal11"/>
              <w:jc w:val="center"/>
              <w:rPr>
                <w:rFonts w:eastAsiaTheme="minorEastAsia"/>
                <w:noProof/>
              </w:rPr>
            </w:pPr>
            <w:r>
              <w:rPr>
                <w:noProof/>
              </w:rPr>
              <w:t>JIH NI</w:t>
            </w:r>
          </w:p>
        </w:tc>
        <w:tc>
          <w:tcPr>
            <w:tcW w:w="948" w:type="dxa"/>
            <w:shd w:val="clear" w:color="auto" w:fill="C6EFCE"/>
            <w:vAlign w:val="center"/>
          </w:tcPr>
          <w:p w14:paraId="6E3F6270" w14:textId="77777777" w:rsidR="00154E32" w:rsidRDefault="00A43E04">
            <w:pPr>
              <w:pStyle w:val="P68B1DB1-Normal11"/>
              <w:jc w:val="center"/>
              <w:rPr>
                <w:rFonts w:eastAsiaTheme="minorEastAsia"/>
                <w:noProof/>
              </w:rPr>
            </w:pPr>
            <w:r>
              <w:rPr>
                <w:noProof/>
              </w:rPr>
              <w:t>Število</w:t>
            </w:r>
          </w:p>
        </w:tc>
        <w:tc>
          <w:tcPr>
            <w:tcW w:w="950" w:type="dxa"/>
            <w:shd w:val="clear" w:color="auto" w:fill="C6EFCE"/>
            <w:vAlign w:val="center"/>
          </w:tcPr>
          <w:p w14:paraId="10B05DF3" w14:textId="77777777" w:rsidR="00154E32" w:rsidRDefault="00A43E04">
            <w:pPr>
              <w:pStyle w:val="P68B1DB1-Normal11"/>
              <w:jc w:val="center"/>
              <w:rPr>
                <w:rFonts w:eastAsiaTheme="minorEastAsia"/>
                <w:noProof/>
              </w:rPr>
            </w:pPr>
            <w:r>
              <w:rPr>
                <w:noProof/>
              </w:rPr>
              <w:t>0</w:t>
            </w:r>
          </w:p>
        </w:tc>
        <w:tc>
          <w:tcPr>
            <w:tcW w:w="992" w:type="dxa"/>
            <w:shd w:val="clear" w:color="auto" w:fill="C6EFCE"/>
            <w:vAlign w:val="center"/>
          </w:tcPr>
          <w:p w14:paraId="5910DF1C" w14:textId="735FA656" w:rsidR="00154E32" w:rsidRDefault="00A43E04">
            <w:pPr>
              <w:pStyle w:val="P68B1DB1-Normal11"/>
              <w:jc w:val="center"/>
              <w:rPr>
                <w:rFonts w:eastAsiaTheme="minorEastAsia"/>
                <w:noProof/>
              </w:rPr>
            </w:pPr>
            <w:r>
              <w:rPr>
                <w:noProof/>
              </w:rPr>
              <w:t>1 038</w:t>
            </w:r>
          </w:p>
        </w:tc>
        <w:tc>
          <w:tcPr>
            <w:tcW w:w="992" w:type="dxa"/>
            <w:shd w:val="clear" w:color="auto" w:fill="C6EFCE"/>
            <w:vAlign w:val="center"/>
          </w:tcPr>
          <w:p w14:paraId="774C18F9" w14:textId="77777777" w:rsidR="00154E32" w:rsidRDefault="00A43E04">
            <w:pPr>
              <w:pStyle w:val="P68B1DB1-Normal11"/>
              <w:jc w:val="center"/>
              <w:rPr>
                <w:rFonts w:eastAsiaTheme="minorEastAsia"/>
                <w:noProof/>
              </w:rPr>
            </w:pPr>
            <w:r>
              <w:rPr>
                <w:noProof/>
              </w:rPr>
              <w:t>Q2</w:t>
            </w:r>
          </w:p>
        </w:tc>
        <w:tc>
          <w:tcPr>
            <w:tcW w:w="709" w:type="dxa"/>
            <w:shd w:val="clear" w:color="auto" w:fill="C6EFCE"/>
            <w:vAlign w:val="center"/>
          </w:tcPr>
          <w:p w14:paraId="3D670690" w14:textId="77777777" w:rsidR="00154E32" w:rsidRDefault="00A43E04">
            <w:pPr>
              <w:pStyle w:val="P68B1DB1-Normal11"/>
              <w:jc w:val="center"/>
              <w:rPr>
                <w:rFonts w:eastAsiaTheme="minorEastAsia"/>
                <w:noProof/>
              </w:rPr>
            </w:pPr>
            <w:r>
              <w:rPr>
                <w:noProof/>
              </w:rPr>
              <w:t>2026</w:t>
            </w:r>
          </w:p>
        </w:tc>
        <w:tc>
          <w:tcPr>
            <w:tcW w:w="3634" w:type="dxa"/>
            <w:shd w:val="clear" w:color="auto" w:fill="C6EFCE"/>
            <w:vAlign w:val="center"/>
          </w:tcPr>
          <w:p w14:paraId="347390C3" w14:textId="3266F9AB" w:rsidR="00154E32" w:rsidRDefault="00A43E04">
            <w:pPr>
              <w:pStyle w:val="P68B1DB1-Normal11"/>
              <w:rPr>
                <w:rFonts w:eastAsiaTheme="minorEastAsia"/>
                <w:noProof/>
              </w:rPr>
            </w:pPr>
            <w:r>
              <w:rPr>
                <w:noProof/>
              </w:rPr>
              <w:t>Vsaj 1038 zdravstvenih hiš Skupnosti je na voljo in tehnološko opremljenih – da se zagotovijo enakopraven dostop, ozemeljska bližina in kakovost oskrbe za ljudi ne glede na starost in njihovo klinično sliko (kronsko bolni bolniki, nesamozadostni ljudje, ki potrebujejo dolgotrajno oskrbo, invalidi, osebe z duševnimi težavami, revščina), in sicer z aktivacijo, razvojem in združevanjem storitev primarnega zdravstvenega varstva ter izvajanjem centrov za zagotavljanje pomoči (energetsko učinkoviti) za večpoklicni odziv.</w:t>
            </w:r>
          </w:p>
          <w:p w14:paraId="5085697F" w14:textId="1BC4A684" w:rsidR="00154E32" w:rsidRDefault="00A43E04">
            <w:pPr>
              <w:pStyle w:val="P68B1DB1-Normal11"/>
              <w:rPr>
                <w:rFonts w:eastAsiaTheme="minorEastAsia"/>
                <w:noProof/>
              </w:rPr>
            </w:pPr>
            <w:r>
              <w:rPr>
                <w:noProof/>
              </w:rPr>
              <w:t>Stroški novih gradenj, ki se financirajo iz mehanizma za okrevanje in odpornost in znašajo vsaj 500 000 000 EUR, so skladni z ustreznimi zahtevami iz opombe 5 Priloge VI k Uredbi (EU) 2021/241.</w:t>
            </w:r>
          </w:p>
        </w:tc>
      </w:tr>
      <w:tr w:rsidR="00154E32" w14:paraId="095B15F4" w14:textId="77777777">
        <w:trPr>
          <w:trHeight w:val="315"/>
        </w:trPr>
        <w:tc>
          <w:tcPr>
            <w:tcW w:w="1277" w:type="dxa"/>
            <w:shd w:val="clear" w:color="auto" w:fill="C6EFCE"/>
            <w:vAlign w:val="center"/>
          </w:tcPr>
          <w:p w14:paraId="4143218B" w14:textId="77777777" w:rsidR="00154E32" w:rsidRDefault="00A43E04">
            <w:pPr>
              <w:pStyle w:val="P68B1DB1-Normal11"/>
              <w:jc w:val="center"/>
              <w:rPr>
                <w:rFonts w:eastAsiaTheme="minorEastAsia"/>
                <w:noProof/>
              </w:rPr>
            </w:pPr>
            <w:r>
              <w:rPr>
                <w:noProof/>
              </w:rPr>
              <w:t>M6C1–4</w:t>
            </w:r>
          </w:p>
        </w:tc>
        <w:tc>
          <w:tcPr>
            <w:tcW w:w="1701" w:type="dxa"/>
            <w:shd w:val="clear" w:color="auto" w:fill="C6EFCE"/>
            <w:vAlign w:val="center"/>
          </w:tcPr>
          <w:p w14:paraId="476A9B73" w14:textId="77777777" w:rsidR="00154E32" w:rsidRDefault="00A43E04">
            <w:pPr>
              <w:pStyle w:val="P68B1DB1-Normal11"/>
              <w:jc w:val="center"/>
              <w:rPr>
                <w:rFonts w:eastAsiaTheme="minorEastAsia"/>
                <w:noProof/>
              </w:rPr>
            </w:pPr>
            <w:r>
              <w:rPr>
                <w:noProof/>
              </w:rPr>
              <w:t>Naložba 1.2: Dom kot prvi kraj oskrbe in telemedicine</w:t>
            </w:r>
          </w:p>
        </w:tc>
        <w:tc>
          <w:tcPr>
            <w:tcW w:w="1134" w:type="dxa"/>
            <w:shd w:val="clear" w:color="auto" w:fill="C6EFCE"/>
            <w:vAlign w:val="center"/>
          </w:tcPr>
          <w:p w14:paraId="5FDA6F54" w14:textId="77777777" w:rsidR="00154E32" w:rsidRDefault="00A43E04">
            <w:pPr>
              <w:pStyle w:val="P68B1DB1-Normal11"/>
              <w:jc w:val="center"/>
              <w:rPr>
                <w:rFonts w:eastAsiaTheme="minorEastAsia"/>
                <w:noProof/>
              </w:rPr>
            </w:pPr>
            <w:r>
              <w:rPr>
                <w:noProof/>
              </w:rPr>
              <w:t>Mejnik</w:t>
            </w:r>
          </w:p>
        </w:tc>
        <w:tc>
          <w:tcPr>
            <w:tcW w:w="1417" w:type="dxa"/>
            <w:shd w:val="clear" w:color="auto" w:fill="C6EFCE"/>
            <w:vAlign w:val="center"/>
          </w:tcPr>
          <w:p w14:paraId="59EDE093" w14:textId="77777777" w:rsidR="00154E32" w:rsidRDefault="00A43E04">
            <w:pPr>
              <w:pStyle w:val="P68B1DB1-Normal11"/>
              <w:jc w:val="center"/>
              <w:rPr>
                <w:rFonts w:eastAsiaTheme="minorEastAsia"/>
                <w:noProof/>
              </w:rPr>
            </w:pPr>
            <w:r>
              <w:rPr>
                <w:noProof/>
              </w:rPr>
              <w:t>Odobritev smernic, ki vsebujejo digitalni model za izvajanje oskrbe na domu</w:t>
            </w:r>
          </w:p>
        </w:tc>
        <w:tc>
          <w:tcPr>
            <w:tcW w:w="1363" w:type="dxa"/>
            <w:shd w:val="clear" w:color="auto" w:fill="C6EFCE"/>
            <w:vAlign w:val="center"/>
          </w:tcPr>
          <w:p w14:paraId="15CD594C" w14:textId="77777777" w:rsidR="00154E32" w:rsidRDefault="00A43E04">
            <w:pPr>
              <w:pStyle w:val="P68B1DB1-Normal11"/>
              <w:jc w:val="center"/>
              <w:rPr>
                <w:rFonts w:eastAsiaTheme="minorEastAsia"/>
                <w:noProof/>
              </w:rPr>
            </w:pPr>
            <w:r>
              <w:rPr>
                <w:noProof/>
              </w:rPr>
              <w:t>Smernice, ki jih je odobrilo ministrstvo za zdravje</w:t>
            </w:r>
          </w:p>
        </w:tc>
        <w:tc>
          <w:tcPr>
            <w:tcW w:w="948" w:type="dxa"/>
            <w:shd w:val="clear" w:color="auto" w:fill="C6EFCE"/>
            <w:vAlign w:val="center"/>
          </w:tcPr>
          <w:p w14:paraId="01E76FB0" w14:textId="77777777" w:rsidR="00154E32" w:rsidRDefault="00A43E04">
            <w:pPr>
              <w:pStyle w:val="P68B1DB1-Normal11"/>
              <w:jc w:val="center"/>
              <w:rPr>
                <w:rFonts w:eastAsiaTheme="minorEastAsia"/>
                <w:noProof/>
              </w:rPr>
            </w:pPr>
            <w:r>
              <w:rPr>
                <w:noProof/>
              </w:rPr>
              <w:t>JIH NI</w:t>
            </w:r>
          </w:p>
        </w:tc>
        <w:tc>
          <w:tcPr>
            <w:tcW w:w="950" w:type="dxa"/>
            <w:shd w:val="clear" w:color="auto" w:fill="C6EFCE"/>
            <w:vAlign w:val="center"/>
          </w:tcPr>
          <w:p w14:paraId="26B45375" w14:textId="77777777" w:rsidR="00154E32" w:rsidRDefault="00A43E04">
            <w:pPr>
              <w:pStyle w:val="P68B1DB1-Normal11"/>
              <w:jc w:val="center"/>
              <w:rPr>
                <w:rFonts w:eastAsiaTheme="minorEastAsia"/>
                <w:noProof/>
              </w:rPr>
            </w:pPr>
            <w:r>
              <w:rPr>
                <w:noProof/>
              </w:rPr>
              <w:t>JIH NI</w:t>
            </w:r>
          </w:p>
        </w:tc>
        <w:tc>
          <w:tcPr>
            <w:tcW w:w="992" w:type="dxa"/>
            <w:shd w:val="clear" w:color="auto" w:fill="C6EFCE"/>
            <w:vAlign w:val="center"/>
          </w:tcPr>
          <w:p w14:paraId="6EF282E6" w14:textId="77777777" w:rsidR="00154E32" w:rsidRDefault="00A43E04">
            <w:pPr>
              <w:pStyle w:val="P68B1DB1-Normal11"/>
              <w:jc w:val="center"/>
              <w:rPr>
                <w:rFonts w:eastAsiaTheme="minorEastAsia"/>
                <w:noProof/>
              </w:rPr>
            </w:pPr>
            <w:r>
              <w:rPr>
                <w:noProof/>
              </w:rPr>
              <w:t>JIH NI</w:t>
            </w:r>
          </w:p>
        </w:tc>
        <w:tc>
          <w:tcPr>
            <w:tcW w:w="992" w:type="dxa"/>
            <w:shd w:val="clear" w:color="auto" w:fill="C6EFCE"/>
            <w:vAlign w:val="center"/>
          </w:tcPr>
          <w:p w14:paraId="6894A8C3" w14:textId="77777777" w:rsidR="00154E32" w:rsidRDefault="00A43E04">
            <w:pPr>
              <w:pStyle w:val="P68B1DB1-Normal11"/>
              <w:jc w:val="center"/>
              <w:rPr>
                <w:rFonts w:eastAsiaTheme="minorEastAsia"/>
                <w:noProof/>
              </w:rPr>
            </w:pPr>
            <w:r>
              <w:rPr>
                <w:noProof/>
              </w:rPr>
              <w:t>Q2</w:t>
            </w:r>
          </w:p>
        </w:tc>
        <w:tc>
          <w:tcPr>
            <w:tcW w:w="709" w:type="dxa"/>
            <w:shd w:val="clear" w:color="auto" w:fill="C6EFCE"/>
            <w:vAlign w:val="center"/>
          </w:tcPr>
          <w:p w14:paraId="2A1B40BE" w14:textId="77777777" w:rsidR="00154E32" w:rsidRDefault="00A43E04">
            <w:pPr>
              <w:pStyle w:val="P68B1DB1-Normal11"/>
              <w:jc w:val="center"/>
              <w:rPr>
                <w:rFonts w:eastAsiaTheme="minorEastAsia"/>
                <w:noProof/>
              </w:rPr>
            </w:pPr>
            <w:r>
              <w:rPr>
                <w:noProof/>
              </w:rPr>
              <w:t>2022</w:t>
            </w:r>
          </w:p>
        </w:tc>
        <w:tc>
          <w:tcPr>
            <w:tcW w:w="3634" w:type="dxa"/>
            <w:shd w:val="clear" w:color="auto" w:fill="C6EFCE"/>
            <w:vAlign w:val="center"/>
          </w:tcPr>
          <w:p w14:paraId="728F952F" w14:textId="77777777" w:rsidR="00154E32" w:rsidRDefault="00A43E04">
            <w:pPr>
              <w:pStyle w:val="P68B1DB1-Normal11"/>
              <w:rPr>
                <w:rFonts w:eastAsiaTheme="minorEastAsia"/>
                <w:noProof/>
              </w:rPr>
            </w:pPr>
            <w:r>
              <w:rPr>
                <w:noProof/>
              </w:rPr>
              <w:t>Smernice racionalizirajo postopke, potrebne za izboljšanje oskrbe na domu z razvojem tehnik spremljanja na daljavo in avtomatizacijo doma.</w:t>
            </w:r>
          </w:p>
        </w:tc>
      </w:tr>
      <w:tr w:rsidR="00154E32" w14:paraId="0138A7C3" w14:textId="77777777">
        <w:trPr>
          <w:trHeight w:val="315"/>
        </w:trPr>
        <w:tc>
          <w:tcPr>
            <w:tcW w:w="1277" w:type="dxa"/>
            <w:shd w:val="clear" w:color="auto" w:fill="C6EFCE"/>
            <w:vAlign w:val="center"/>
          </w:tcPr>
          <w:p w14:paraId="0665D815" w14:textId="77777777" w:rsidR="00154E32" w:rsidRDefault="00A43E04">
            <w:pPr>
              <w:pStyle w:val="P68B1DB1-Normal11"/>
              <w:jc w:val="center"/>
              <w:rPr>
                <w:rFonts w:eastAsiaTheme="minorEastAsia"/>
                <w:noProof/>
              </w:rPr>
            </w:pPr>
            <w:r>
              <w:rPr>
                <w:noProof/>
              </w:rPr>
              <w:t>M6C1–5</w:t>
            </w:r>
          </w:p>
        </w:tc>
        <w:tc>
          <w:tcPr>
            <w:tcW w:w="1701" w:type="dxa"/>
            <w:shd w:val="clear" w:color="auto" w:fill="C6EFCE"/>
            <w:vAlign w:val="center"/>
          </w:tcPr>
          <w:p w14:paraId="0C1F5814" w14:textId="77777777" w:rsidR="00154E32" w:rsidRDefault="00A43E04">
            <w:pPr>
              <w:pStyle w:val="P68B1DB1-Normal11"/>
              <w:jc w:val="center"/>
              <w:rPr>
                <w:rFonts w:eastAsiaTheme="minorEastAsia"/>
                <w:noProof/>
              </w:rPr>
            </w:pPr>
            <w:r>
              <w:rPr>
                <w:noProof/>
              </w:rPr>
              <w:t>Naložba 1.2: Dom kot prvi kraj oskrbe in telemedicine</w:t>
            </w:r>
          </w:p>
        </w:tc>
        <w:tc>
          <w:tcPr>
            <w:tcW w:w="1134" w:type="dxa"/>
            <w:shd w:val="clear" w:color="auto" w:fill="C6EFCE"/>
            <w:vAlign w:val="center"/>
          </w:tcPr>
          <w:p w14:paraId="29829E74" w14:textId="77777777" w:rsidR="00154E32" w:rsidRDefault="00A43E04">
            <w:pPr>
              <w:pStyle w:val="P68B1DB1-Normal11"/>
              <w:jc w:val="center"/>
              <w:rPr>
                <w:rFonts w:eastAsiaTheme="minorEastAsia"/>
                <w:noProof/>
              </w:rPr>
            </w:pPr>
            <w:r>
              <w:rPr>
                <w:noProof/>
              </w:rPr>
              <w:t>Mejnik</w:t>
            </w:r>
          </w:p>
        </w:tc>
        <w:tc>
          <w:tcPr>
            <w:tcW w:w="1417" w:type="dxa"/>
            <w:shd w:val="clear" w:color="auto" w:fill="C6EFCE"/>
            <w:vAlign w:val="center"/>
          </w:tcPr>
          <w:p w14:paraId="1305A1E8" w14:textId="77777777" w:rsidR="00154E32" w:rsidRDefault="00A43E04">
            <w:pPr>
              <w:pStyle w:val="P68B1DB1-Normal11"/>
              <w:jc w:val="center"/>
              <w:rPr>
                <w:rFonts w:eastAsiaTheme="minorEastAsia"/>
                <w:noProof/>
              </w:rPr>
            </w:pPr>
            <w:r>
              <w:rPr>
                <w:noProof/>
              </w:rPr>
              <w:t xml:space="preserve">Pogodba o institucionalnem razvoju, ki jo je odobrilo ministrstvo za zdravje in regije </w:t>
            </w:r>
          </w:p>
        </w:tc>
        <w:tc>
          <w:tcPr>
            <w:tcW w:w="1363" w:type="dxa"/>
            <w:shd w:val="clear" w:color="auto" w:fill="C6EFCE"/>
            <w:vAlign w:val="center"/>
          </w:tcPr>
          <w:p w14:paraId="5A210BFC" w14:textId="77777777" w:rsidR="00154E32" w:rsidRDefault="00A43E04">
            <w:pPr>
              <w:pStyle w:val="P68B1DB1-Normal11"/>
              <w:jc w:val="center"/>
              <w:rPr>
                <w:rFonts w:eastAsiaTheme="minorEastAsia"/>
                <w:noProof/>
              </w:rPr>
            </w:pPr>
            <w:r>
              <w:rPr>
                <w:noProof/>
              </w:rPr>
              <w:t>Obvestilo o odobreni pogodbi</w:t>
            </w:r>
          </w:p>
        </w:tc>
        <w:tc>
          <w:tcPr>
            <w:tcW w:w="948" w:type="dxa"/>
            <w:shd w:val="clear" w:color="auto" w:fill="C6EFCE"/>
            <w:vAlign w:val="center"/>
          </w:tcPr>
          <w:p w14:paraId="40D5A00F" w14:textId="77777777" w:rsidR="00154E32" w:rsidRDefault="00A43E04">
            <w:pPr>
              <w:pStyle w:val="P68B1DB1-Normal11"/>
              <w:jc w:val="center"/>
              <w:rPr>
                <w:rFonts w:eastAsiaTheme="minorEastAsia"/>
                <w:noProof/>
              </w:rPr>
            </w:pPr>
            <w:r>
              <w:rPr>
                <w:noProof/>
              </w:rPr>
              <w:t>JIH NI</w:t>
            </w:r>
          </w:p>
        </w:tc>
        <w:tc>
          <w:tcPr>
            <w:tcW w:w="950" w:type="dxa"/>
            <w:shd w:val="clear" w:color="auto" w:fill="C6EFCE"/>
            <w:vAlign w:val="center"/>
          </w:tcPr>
          <w:p w14:paraId="5E6A2D4C" w14:textId="77777777" w:rsidR="00154E32" w:rsidRDefault="00A43E04">
            <w:pPr>
              <w:pStyle w:val="P68B1DB1-Normal11"/>
              <w:jc w:val="center"/>
              <w:rPr>
                <w:rFonts w:eastAsiaTheme="minorEastAsia"/>
                <w:noProof/>
              </w:rPr>
            </w:pPr>
            <w:r>
              <w:rPr>
                <w:noProof/>
              </w:rPr>
              <w:t>JIH NI</w:t>
            </w:r>
          </w:p>
        </w:tc>
        <w:tc>
          <w:tcPr>
            <w:tcW w:w="992" w:type="dxa"/>
            <w:shd w:val="clear" w:color="auto" w:fill="C6EFCE"/>
            <w:vAlign w:val="center"/>
          </w:tcPr>
          <w:p w14:paraId="2A58B240" w14:textId="77777777" w:rsidR="00154E32" w:rsidRDefault="00A43E04">
            <w:pPr>
              <w:pStyle w:val="P68B1DB1-Normal11"/>
              <w:jc w:val="center"/>
              <w:rPr>
                <w:rFonts w:eastAsiaTheme="minorEastAsia"/>
                <w:noProof/>
              </w:rPr>
            </w:pPr>
            <w:r>
              <w:rPr>
                <w:noProof/>
              </w:rPr>
              <w:t>JIH NI</w:t>
            </w:r>
          </w:p>
        </w:tc>
        <w:tc>
          <w:tcPr>
            <w:tcW w:w="992" w:type="dxa"/>
            <w:shd w:val="clear" w:color="auto" w:fill="C6EFCE"/>
            <w:vAlign w:val="center"/>
          </w:tcPr>
          <w:p w14:paraId="27BAFB79" w14:textId="77777777" w:rsidR="00154E32" w:rsidRDefault="00A43E04">
            <w:pPr>
              <w:pStyle w:val="P68B1DB1-Normal11"/>
              <w:jc w:val="center"/>
              <w:rPr>
                <w:rFonts w:eastAsiaTheme="minorEastAsia"/>
                <w:noProof/>
              </w:rPr>
            </w:pPr>
            <w:r>
              <w:rPr>
                <w:noProof/>
              </w:rPr>
              <w:t>Q2</w:t>
            </w:r>
          </w:p>
        </w:tc>
        <w:tc>
          <w:tcPr>
            <w:tcW w:w="709" w:type="dxa"/>
            <w:shd w:val="clear" w:color="auto" w:fill="C6EFCE"/>
            <w:vAlign w:val="center"/>
          </w:tcPr>
          <w:p w14:paraId="4B4E099A" w14:textId="77777777" w:rsidR="00154E32" w:rsidRDefault="00A43E04">
            <w:pPr>
              <w:pStyle w:val="P68B1DB1-Normal11"/>
              <w:jc w:val="center"/>
              <w:rPr>
                <w:rFonts w:eastAsiaTheme="minorEastAsia"/>
                <w:noProof/>
              </w:rPr>
            </w:pPr>
            <w:r>
              <w:rPr>
                <w:noProof/>
              </w:rPr>
              <w:t>2022</w:t>
            </w:r>
          </w:p>
        </w:tc>
        <w:tc>
          <w:tcPr>
            <w:tcW w:w="3634" w:type="dxa"/>
            <w:shd w:val="clear" w:color="auto" w:fill="C6EFCE"/>
            <w:vAlign w:val="center"/>
          </w:tcPr>
          <w:p w14:paraId="0BD33F13" w14:textId="77777777" w:rsidR="00154E32" w:rsidRDefault="00A43E04">
            <w:pPr>
              <w:pStyle w:val="P68B1DB1-Normal11"/>
              <w:rPr>
                <w:rFonts w:eastAsiaTheme="minorEastAsia"/>
                <w:noProof/>
              </w:rPr>
            </w:pPr>
            <w:r>
              <w:rPr>
                <w:noProof/>
              </w:rPr>
              <w:t>Odobritev pogodbe o institucionalnem razvoju (Contratto Istituzionale di Sviluppo) z italijanskim ministrstvom za zdravje kot pristojnim in izvedbenim organom ter sodelovanje regionalnih uprav skupaj z drugimi zadevnimi subjekti za oskrbo na domu</w:t>
            </w:r>
          </w:p>
          <w:p w14:paraId="4227857B" w14:textId="77777777" w:rsidR="00154E32" w:rsidRDefault="00A43E04">
            <w:pPr>
              <w:pStyle w:val="P68B1DB1-Normal11"/>
              <w:rPr>
                <w:rFonts w:eastAsiaTheme="minorEastAsia"/>
                <w:noProof/>
              </w:rPr>
            </w:pPr>
            <w:r>
              <w:rPr>
                <w:noProof/>
              </w:rPr>
              <w:t>V pogodbi o institucionalnem razvoju se za vsako intervencijo ali kategorijo intervencij določijo časovni razpored, odgovornosti izvajalcev, merila za ocenjevanje in spremljanje ter sankcije za vsako neskladnost. Določa tudi pogoje morebitnega delnega definanciranja intervencij ali dodelitve ustreznih sredstev drugi ravni upravljanja v skladu z načelom subsidiarnosti.</w:t>
            </w:r>
          </w:p>
        </w:tc>
      </w:tr>
      <w:tr w:rsidR="00154E32" w14:paraId="0824C089" w14:textId="77777777">
        <w:trPr>
          <w:trHeight w:val="315"/>
        </w:trPr>
        <w:tc>
          <w:tcPr>
            <w:tcW w:w="1277" w:type="dxa"/>
            <w:shd w:val="clear" w:color="auto" w:fill="C6EFCE"/>
            <w:vAlign w:val="center"/>
          </w:tcPr>
          <w:p w14:paraId="7588A2C7" w14:textId="77777777" w:rsidR="00154E32" w:rsidRDefault="00A43E04">
            <w:pPr>
              <w:pStyle w:val="P68B1DB1-Normal11"/>
              <w:jc w:val="center"/>
              <w:rPr>
                <w:rFonts w:eastAsiaTheme="minorEastAsia"/>
                <w:noProof/>
              </w:rPr>
            </w:pPr>
            <w:r>
              <w:rPr>
                <w:noProof/>
              </w:rPr>
              <w:t>M6C1–6</w:t>
            </w:r>
          </w:p>
        </w:tc>
        <w:tc>
          <w:tcPr>
            <w:tcW w:w="1701" w:type="dxa"/>
            <w:shd w:val="clear" w:color="auto" w:fill="C6EFCE"/>
            <w:vAlign w:val="center"/>
          </w:tcPr>
          <w:p w14:paraId="15D99C51" w14:textId="77777777" w:rsidR="00154E32" w:rsidRDefault="00A43E04">
            <w:pPr>
              <w:pStyle w:val="P68B1DB1-Normal11"/>
              <w:jc w:val="center"/>
              <w:rPr>
                <w:rFonts w:eastAsiaTheme="minorEastAsia"/>
                <w:noProof/>
              </w:rPr>
            </w:pPr>
            <w:r>
              <w:rPr>
                <w:noProof/>
              </w:rPr>
              <w:t>Naložba 1.2: Dom kot prvi kraj oskrbe in telemedicine</w:t>
            </w:r>
          </w:p>
        </w:tc>
        <w:tc>
          <w:tcPr>
            <w:tcW w:w="1134" w:type="dxa"/>
            <w:shd w:val="clear" w:color="auto" w:fill="C6EFCE"/>
            <w:vAlign w:val="center"/>
          </w:tcPr>
          <w:p w14:paraId="584E7D5B" w14:textId="77777777" w:rsidR="00154E32" w:rsidRDefault="00A43E04">
            <w:pPr>
              <w:pStyle w:val="P68B1DB1-Normal11"/>
              <w:jc w:val="center"/>
              <w:rPr>
                <w:rFonts w:eastAsiaTheme="minorEastAsia"/>
                <w:noProof/>
              </w:rPr>
            </w:pPr>
            <w:r>
              <w:rPr>
                <w:noProof/>
              </w:rPr>
              <w:t>Tarča</w:t>
            </w:r>
          </w:p>
        </w:tc>
        <w:tc>
          <w:tcPr>
            <w:tcW w:w="1417" w:type="dxa"/>
            <w:shd w:val="clear" w:color="auto" w:fill="C6EFCE"/>
            <w:vAlign w:val="center"/>
          </w:tcPr>
          <w:p w14:paraId="6F1C4355" w14:textId="2E0CDD01" w:rsidR="00154E32" w:rsidRDefault="00A43E04">
            <w:pPr>
              <w:pStyle w:val="P68B1DB1-Normal11"/>
              <w:jc w:val="center"/>
              <w:rPr>
                <w:rFonts w:eastAsiaTheme="minorEastAsia"/>
                <w:noProof/>
              </w:rPr>
            </w:pPr>
            <w:r>
              <w:rPr>
                <w:noProof/>
              </w:rPr>
              <w:t>Dodatne osebe, zdravljene v oskrbi na domu (prvi sveženj)</w:t>
            </w:r>
          </w:p>
        </w:tc>
        <w:tc>
          <w:tcPr>
            <w:tcW w:w="1363" w:type="dxa"/>
            <w:shd w:val="clear" w:color="auto" w:fill="C6EFCE"/>
            <w:vAlign w:val="center"/>
          </w:tcPr>
          <w:p w14:paraId="2A50131C" w14:textId="77777777" w:rsidR="00154E32" w:rsidRDefault="00A43E04">
            <w:pPr>
              <w:pStyle w:val="P68B1DB1-Normal11"/>
              <w:jc w:val="center"/>
              <w:rPr>
                <w:rFonts w:eastAsiaTheme="minorEastAsia"/>
                <w:noProof/>
              </w:rPr>
            </w:pPr>
            <w:r>
              <w:rPr>
                <w:noProof/>
              </w:rPr>
              <w:t>JIH NI</w:t>
            </w:r>
          </w:p>
        </w:tc>
        <w:tc>
          <w:tcPr>
            <w:tcW w:w="948" w:type="dxa"/>
            <w:shd w:val="clear" w:color="auto" w:fill="C6EFCE"/>
            <w:vAlign w:val="center"/>
          </w:tcPr>
          <w:p w14:paraId="5CF9DD21" w14:textId="77777777" w:rsidR="00154E32" w:rsidRDefault="00A43E04">
            <w:pPr>
              <w:pStyle w:val="P68B1DB1-Normal11"/>
              <w:jc w:val="center"/>
              <w:rPr>
                <w:rFonts w:eastAsiaTheme="minorEastAsia"/>
                <w:noProof/>
              </w:rPr>
            </w:pPr>
            <w:r>
              <w:rPr>
                <w:noProof/>
              </w:rPr>
              <w:t>Število</w:t>
            </w:r>
          </w:p>
        </w:tc>
        <w:tc>
          <w:tcPr>
            <w:tcW w:w="950" w:type="dxa"/>
            <w:shd w:val="clear" w:color="auto" w:fill="C6EFCE"/>
            <w:vAlign w:val="center"/>
          </w:tcPr>
          <w:p w14:paraId="78A53186" w14:textId="77777777" w:rsidR="00154E32" w:rsidRDefault="00A43E04">
            <w:pPr>
              <w:pStyle w:val="P68B1DB1-Normal11"/>
              <w:jc w:val="center"/>
              <w:rPr>
                <w:rFonts w:eastAsiaTheme="minorEastAsia"/>
                <w:noProof/>
              </w:rPr>
            </w:pPr>
            <w:r>
              <w:rPr>
                <w:noProof/>
              </w:rPr>
              <w:t>0</w:t>
            </w:r>
          </w:p>
        </w:tc>
        <w:tc>
          <w:tcPr>
            <w:tcW w:w="992" w:type="dxa"/>
            <w:shd w:val="clear" w:color="auto" w:fill="C6EFCE"/>
            <w:vAlign w:val="center"/>
          </w:tcPr>
          <w:p w14:paraId="7469C927" w14:textId="77777777" w:rsidR="00154E32" w:rsidRDefault="00A43E04">
            <w:pPr>
              <w:pStyle w:val="P68B1DB1-Normal11"/>
              <w:jc w:val="center"/>
              <w:rPr>
                <w:rFonts w:eastAsiaTheme="minorEastAsia"/>
                <w:noProof/>
              </w:rPr>
            </w:pPr>
            <w:r>
              <w:rPr>
                <w:noProof/>
              </w:rPr>
              <w:t>842 000</w:t>
            </w:r>
          </w:p>
        </w:tc>
        <w:tc>
          <w:tcPr>
            <w:tcW w:w="992" w:type="dxa"/>
            <w:shd w:val="clear" w:color="auto" w:fill="C6EFCE"/>
            <w:vAlign w:val="center"/>
          </w:tcPr>
          <w:p w14:paraId="1956D787" w14:textId="77777777" w:rsidR="00154E32" w:rsidRDefault="00A43E04">
            <w:pPr>
              <w:pStyle w:val="P68B1DB1-Normal11"/>
              <w:jc w:val="center"/>
              <w:rPr>
                <w:rFonts w:eastAsiaTheme="minorEastAsia"/>
                <w:noProof/>
              </w:rPr>
            </w:pPr>
            <w:r>
              <w:rPr>
                <w:noProof/>
              </w:rPr>
              <w:t>Q2</w:t>
            </w:r>
          </w:p>
        </w:tc>
        <w:tc>
          <w:tcPr>
            <w:tcW w:w="709" w:type="dxa"/>
            <w:shd w:val="clear" w:color="auto" w:fill="C6EFCE"/>
            <w:vAlign w:val="center"/>
          </w:tcPr>
          <w:p w14:paraId="33972159" w14:textId="77777777" w:rsidR="00154E32" w:rsidRDefault="00A43E04">
            <w:pPr>
              <w:pStyle w:val="P68B1DB1-Normal11"/>
              <w:jc w:val="center"/>
              <w:rPr>
                <w:rFonts w:eastAsiaTheme="minorEastAsia"/>
                <w:noProof/>
              </w:rPr>
            </w:pPr>
            <w:r>
              <w:rPr>
                <w:noProof/>
              </w:rPr>
              <w:t>2026</w:t>
            </w:r>
          </w:p>
        </w:tc>
        <w:tc>
          <w:tcPr>
            <w:tcW w:w="3634" w:type="dxa"/>
            <w:shd w:val="clear" w:color="auto" w:fill="C6EFCE"/>
            <w:vAlign w:val="center"/>
          </w:tcPr>
          <w:p w14:paraId="47E71BDD" w14:textId="22BADD9C" w:rsidR="00154E32" w:rsidRDefault="00A43E04">
            <w:pPr>
              <w:pStyle w:val="P68B1DB1-Normal11"/>
              <w:rPr>
                <w:rFonts w:eastAsiaTheme="minorEastAsia"/>
                <w:noProof/>
              </w:rPr>
            </w:pPr>
            <w:r>
              <w:rPr>
                <w:noProof/>
              </w:rPr>
              <w:t>Povečati število oseb, zdravljenih v oskrbi na domu, na 10 % prebivalstva, starejšega od 65 let (po ocenah 1,5 milijona ljudi leta 2026). Za dosego tega cilja je treba število oseb, starejših od 65 let, ki so bili zdravljeni v oskrbi na domu, do leta 2026 povečati za vsaj 842000 ljudi. Integrirana oskrba na domu je storitev za ljudi vseh starosti z eno ali več kroničnimi boleznimi ali končnim kliničnim stanjem, ki zahteva stalno in visoko specializirano strokovno zdravstveno in socialno varstvo.</w:t>
            </w:r>
          </w:p>
        </w:tc>
      </w:tr>
      <w:tr w:rsidR="00154E32" w14:paraId="7FF22638" w14:textId="77777777">
        <w:trPr>
          <w:trHeight w:val="315"/>
        </w:trPr>
        <w:tc>
          <w:tcPr>
            <w:tcW w:w="1277" w:type="dxa"/>
            <w:shd w:val="clear" w:color="auto" w:fill="C6EFCE"/>
            <w:vAlign w:val="center"/>
          </w:tcPr>
          <w:p w14:paraId="04FAF3AE" w14:textId="77777777" w:rsidR="00154E32" w:rsidRDefault="00A43E04">
            <w:pPr>
              <w:pStyle w:val="P68B1DB1-Normal11"/>
              <w:jc w:val="center"/>
              <w:rPr>
                <w:rFonts w:eastAsiaTheme="minorEastAsia"/>
                <w:noProof/>
              </w:rPr>
            </w:pPr>
            <w:r>
              <w:rPr>
                <w:noProof/>
              </w:rPr>
              <w:t>M6C1–7</w:t>
            </w:r>
          </w:p>
        </w:tc>
        <w:tc>
          <w:tcPr>
            <w:tcW w:w="1701" w:type="dxa"/>
            <w:shd w:val="clear" w:color="auto" w:fill="C6EFCE"/>
            <w:vAlign w:val="center"/>
          </w:tcPr>
          <w:p w14:paraId="2A631E9F" w14:textId="77777777" w:rsidR="00154E32" w:rsidRDefault="00A43E04">
            <w:pPr>
              <w:pStyle w:val="P68B1DB1-Normal11"/>
              <w:jc w:val="center"/>
              <w:rPr>
                <w:rFonts w:eastAsiaTheme="minorEastAsia"/>
                <w:noProof/>
              </w:rPr>
            </w:pPr>
            <w:r>
              <w:rPr>
                <w:noProof/>
              </w:rPr>
              <w:t>Naložba 1.2: Dom kot prvi kraj oskrbe in telemedicine</w:t>
            </w:r>
          </w:p>
        </w:tc>
        <w:tc>
          <w:tcPr>
            <w:tcW w:w="1134" w:type="dxa"/>
            <w:shd w:val="clear" w:color="auto" w:fill="C6EFCE"/>
            <w:vAlign w:val="center"/>
          </w:tcPr>
          <w:p w14:paraId="379A8D62" w14:textId="77777777" w:rsidR="00154E32" w:rsidRDefault="00A43E04">
            <w:pPr>
              <w:pStyle w:val="P68B1DB1-Normal11"/>
              <w:jc w:val="center"/>
              <w:rPr>
                <w:rFonts w:eastAsiaTheme="minorEastAsia"/>
                <w:noProof/>
              </w:rPr>
            </w:pPr>
            <w:r>
              <w:rPr>
                <w:noProof/>
              </w:rPr>
              <w:t>Tarča</w:t>
            </w:r>
          </w:p>
        </w:tc>
        <w:tc>
          <w:tcPr>
            <w:tcW w:w="1417" w:type="dxa"/>
            <w:shd w:val="clear" w:color="auto" w:fill="C6EFCE"/>
            <w:vAlign w:val="center"/>
          </w:tcPr>
          <w:p w14:paraId="7DB26CC6" w14:textId="645FC04B" w:rsidR="00154E32" w:rsidRDefault="00A43E04">
            <w:pPr>
              <w:pStyle w:val="P68B1DB1-Normal11"/>
              <w:jc w:val="center"/>
              <w:rPr>
                <w:rFonts w:eastAsiaTheme="minorEastAsia"/>
                <w:noProof/>
              </w:rPr>
            </w:pPr>
            <w:r>
              <w:rPr>
                <w:noProof/>
              </w:rPr>
              <w:t>Centri za usklajevanje v celoti delujejo (druga serija)</w:t>
            </w:r>
          </w:p>
        </w:tc>
        <w:tc>
          <w:tcPr>
            <w:tcW w:w="1363" w:type="dxa"/>
            <w:shd w:val="clear" w:color="auto" w:fill="C6EFCE"/>
            <w:vAlign w:val="center"/>
          </w:tcPr>
          <w:p w14:paraId="4103F1DF" w14:textId="77777777" w:rsidR="00154E32" w:rsidRDefault="00A43E04">
            <w:pPr>
              <w:pStyle w:val="P68B1DB1-Normal11"/>
              <w:jc w:val="center"/>
              <w:rPr>
                <w:rFonts w:eastAsiaTheme="minorEastAsia"/>
                <w:noProof/>
              </w:rPr>
            </w:pPr>
            <w:r>
              <w:rPr>
                <w:noProof/>
              </w:rPr>
              <w:t>JIH NI</w:t>
            </w:r>
          </w:p>
        </w:tc>
        <w:tc>
          <w:tcPr>
            <w:tcW w:w="948" w:type="dxa"/>
            <w:shd w:val="clear" w:color="auto" w:fill="C6EFCE"/>
            <w:vAlign w:val="center"/>
          </w:tcPr>
          <w:p w14:paraId="4F62E149" w14:textId="77777777" w:rsidR="00154E32" w:rsidRDefault="00A43E04">
            <w:pPr>
              <w:pStyle w:val="P68B1DB1-Normal11"/>
              <w:jc w:val="center"/>
              <w:rPr>
                <w:rFonts w:eastAsiaTheme="minorEastAsia"/>
                <w:noProof/>
              </w:rPr>
            </w:pPr>
            <w:r>
              <w:rPr>
                <w:noProof/>
              </w:rPr>
              <w:t>Število</w:t>
            </w:r>
          </w:p>
        </w:tc>
        <w:tc>
          <w:tcPr>
            <w:tcW w:w="950" w:type="dxa"/>
            <w:shd w:val="clear" w:color="auto" w:fill="C6EFCE"/>
            <w:vAlign w:val="center"/>
          </w:tcPr>
          <w:p w14:paraId="1F698F3A" w14:textId="77777777" w:rsidR="00154E32" w:rsidRDefault="00A43E04">
            <w:pPr>
              <w:pStyle w:val="P68B1DB1-Normal11"/>
              <w:jc w:val="center"/>
              <w:rPr>
                <w:rFonts w:eastAsiaTheme="minorEastAsia"/>
                <w:noProof/>
              </w:rPr>
            </w:pPr>
            <w:r>
              <w:rPr>
                <w:noProof/>
              </w:rPr>
              <w:t>0</w:t>
            </w:r>
          </w:p>
        </w:tc>
        <w:tc>
          <w:tcPr>
            <w:tcW w:w="992" w:type="dxa"/>
            <w:shd w:val="clear" w:color="auto" w:fill="C6EFCE"/>
            <w:vAlign w:val="center"/>
          </w:tcPr>
          <w:p w14:paraId="2FA87884" w14:textId="77777777" w:rsidR="00154E32" w:rsidRDefault="00A43E04">
            <w:pPr>
              <w:pStyle w:val="P68B1DB1-Normal11"/>
              <w:jc w:val="center"/>
              <w:rPr>
                <w:rFonts w:eastAsiaTheme="minorEastAsia"/>
                <w:noProof/>
              </w:rPr>
            </w:pPr>
            <w:r>
              <w:rPr>
                <w:noProof/>
              </w:rPr>
              <w:t>480</w:t>
            </w:r>
          </w:p>
        </w:tc>
        <w:tc>
          <w:tcPr>
            <w:tcW w:w="992" w:type="dxa"/>
            <w:shd w:val="clear" w:color="auto" w:fill="C6EFCE"/>
            <w:vAlign w:val="center"/>
          </w:tcPr>
          <w:p w14:paraId="6D242EA0" w14:textId="77777777" w:rsidR="00154E32" w:rsidRDefault="00A43E04">
            <w:pPr>
              <w:pStyle w:val="P68B1DB1-Normal11"/>
              <w:jc w:val="center"/>
              <w:rPr>
                <w:rFonts w:eastAsiaTheme="minorEastAsia"/>
                <w:noProof/>
              </w:rPr>
            </w:pPr>
            <w:r>
              <w:rPr>
                <w:noProof/>
              </w:rPr>
              <w:t>Q4</w:t>
            </w:r>
          </w:p>
        </w:tc>
        <w:tc>
          <w:tcPr>
            <w:tcW w:w="709" w:type="dxa"/>
            <w:shd w:val="clear" w:color="auto" w:fill="C6EFCE"/>
            <w:vAlign w:val="center"/>
          </w:tcPr>
          <w:p w14:paraId="201DA5B1" w14:textId="77777777" w:rsidR="00154E32" w:rsidRDefault="00A43E04">
            <w:pPr>
              <w:pStyle w:val="P68B1DB1-Normal11"/>
              <w:jc w:val="center"/>
              <w:rPr>
                <w:rFonts w:eastAsiaTheme="minorEastAsia"/>
                <w:noProof/>
              </w:rPr>
            </w:pPr>
            <w:r>
              <w:rPr>
                <w:noProof/>
              </w:rPr>
              <w:t>2024</w:t>
            </w:r>
          </w:p>
        </w:tc>
        <w:tc>
          <w:tcPr>
            <w:tcW w:w="3634" w:type="dxa"/>
            <w:shd w:val="clear" w:color="auto" w:fill="C6EFCE"/>
            <w:vAlign w:val="center"/>
          </w:tcPr>
          <w:p w14:paraId="2C6A2AA1" w14:textId="1364FFA9" w:rsidR="00154E32" w:rsidRDefault="00A43E04">
            <w:pPr>
              <w:pStyle w:val="P68B1DB1-Normal11"/>
              <w:rPr>
                <w:rFonts w:eastAsiaTheme="minorEastAsia"/>
                <w:noProof/>
              </w:rPr>
            </w:pPr>
            <w:r>
              <w:rPr>
                <w:noProof/>
              </w:rPr>
              <w:t>Ključna točka tega ukrepa je začetek delovanja vsaj 480 centrov za teritorialno usklajevanje („Centrali Operati Territoriali“), katerih naloga je usklajevanje in povezovanje različnih teritorialnih, socialnih zdravstvenih in bolnišničnih zdravstvenih storitev ter mreže za nujne primere, da se zagotovijo kontinuiteta, dostopnost in vključevanje oskrbe.</w:t>
            </w:r>
          </w:p>
        </w:tc>
      </w:tr>
      <w:tr w:rsidR="00154E32" w14:paraId="47ADE4DE" w14:textId="77777777">
        <w:trPr>
          <w:trHeight w:val="315"/>
        </w:trPr>
        <w:tc>
          <w:tcPr>
            <w:tcW w:w="1277" w:type="dxa"/>
            <w:shd w:val="clear" w:color="auto" w:fill="C6EFCE"/>
            <w:vAlign w:val="center"/>
          </w:tcPr>
          <w:p w14:paraId="07B13A58" w14:textId="77777777" w:rsidR="00154E32" w:rsidRDefault="00A43E04">
            <w:pPr>
              <w:pStyle w:val="P68B1DB1-Normal11"/>
              <w:jc w:val="center"/>
              <w:rPr>
                <w:rFonts w:eastAsiaTheme="minorEastAsia"/>
                <w:noProof/>
              </w:rPr>
            </w:pPr>
            <w:r>
              <w:rPr>
                <w:noProof/>
              </w:rPr>
              <w:t>M6C1–8</w:t>
            </w:r>
          </w:p>
        </w:tc>
        <w:tc>
          <w:tcPr>
            <w:tcW w:w="1701" w:type="dxa"/>
            <w:shd w:val="clear" w:color="auto" w:fill="C6EFCE"/>
            <w:vAlign w:val="center"/>
          </w:tcPr>
          <w:p w14:paraId="3517E928" w14:textId="77777777" w:rsidR="00154E32" w:rsidRDefault="00A43E04">
            <w:pPr>
              <w:pStyle w:val="P68B1DB1-Normal11"/>
              <w:jc w:val="center"/>
              <w:rPr>
                <w:rFonts w:eastAsiaTheme="minorEastAsia"/>
                <w:noProof/>
              </w:rPr>
            </w:pPr>
            <w:r>
              <w:rPr>
                <w:noProof/>
              </w:rPr>
              <w:t>Naložba 1.2: Dom kot prvi kraj oskrbe in telemedicine</w:t>
            </w:r>
          </w:p>
        </w:tc>
        <w:tc>
          <w:tcPr>
            <w:tcW w:w="1134" w:type="dxa"/>
            <w:shd w:val="clear" w:color="auto" w:fill="C6EFCE"/>
            <w:vAlign w:val="center"/>
          </w:tcPr>
          <w:p w14:paraId="71587D4B" w14:textId="77777777" w:rsidR="00154E32" w:rsidRDefault="00A43E04">
            <w:pPr>
              <w:pStyle w:val="P68B1DB1-Normal11"/>
              <w:jc w:val="center"/>
              <w:rPr>
                <w:rFonts w:eastAsiaTheme="minorEastAsia"/>
                <w:noProof/>
              </w:rPr>
            </w:pPr>
            <w:r>
              <w:rPr>
                <w:noProof/>
              </w:rPr>
              <w:t>Tarča</w:t>
            </w:r>
          </w:p>
        </w:tc>
        <w:tc>
          <w:tcPr>
            <w:tcW w:w="1417" w:type="dxa"/>
            <w:shd w:val="clear" w:color="auto" w:fill="C6EFCE"/>
            <w:vAlign w:val="center"/>
          </w:tcPr>
          <w:p w14:paraId="6ACB9750" w14:textId="2B3E2642" w:rsidR="00154E32" w:rsidRDefault="00A43E04">
            <w:pPr>
              <w:pStyle w:val="P68B1DB1-Normal11"/>
              <w:jc w:val="center"/>
              <w:rPr>
                <w:rFonts w:eastAsiaTheme="minorEastAsia"/>
                <w:noProof/>
              </w:rPr>
            </w:pPr>
            <w:r>
              <w:rPr>
                <w:noProof/>
              </w:rPr>
              <w:t>Vsaj en projekt telemedicine na regijo (ob upoštevanju projektov, ki se bodo izvajali v posamezni regiji, in projektov, ki jih je mogoče razviti kot del konzorcijev med regijami)</w:t>
            </w:r>
          </w:p>
        </w:tc>
        <w:tc>
          <w:tcPr>
            <w:tcW w:w="1363" w:type="dxa"/>
            <w:shd w:val="clear" w:color="auto" w:fill="C6EFCE"/>
            <w:vAlign w:val="center"/>
          </w:tcPr>
          <w:p w14:paraId="1F78B5A6" w14:textId="75D48169" w:rsidR="00154E32" w:rsidRDefault="00A43E04">
            <w:pPr>
              <w:pStyle w:val="P68B1DB1-Normal11"/>
              <w:jc w:val="center"/>
              <w:rPr>
                <w:rFonts w:eastAsiaTheme="minorEastAsia"/>
                <w:noProof/>
              </w:rPr>
            </w:pPr>
            <w:r>
              <w:rPr>
                <w:noProof/>
              </w:rPr>
              <w:t>Programi/</w:t>
            </w:r>
            <w:r>
              <w:rPr>
                <w:noProof/>
              </w:rPr>
              <w:br/>
              <w:t>projekti, dodeljeni regijam</w:t>
            </w:r>
          </w:p>
        </w:tc>
        <w:tc>
          <w:tcPr>
            <w:tcW w:w="948" w:type="dxa"/>
            <w:shd w:val="clear" w:color="auto" w:fill="C6EFCE"/>
            <w:vAlign w:val="center"/>
          </w:tcPr>
          <w:p w14:paraId="74DD7632" w14:textId="77777777" w:rsidR="00154E32" w:rsidRDefault="00A43E04">
            <w:pPr>
              <w:pStyle w:val="P68B1DB1-Normal11"/>
              <w:jc w:val="center"/>
              <w:rPr>
                <w:rFonts w:eastAsiaTheme="minorEastAsia"/>
                <w:noProof/>
              </w:rPr>
            </w:pPr>
            <w:r>
              <w:rPr>
                <w:noProof/>
              </w:rPr>
              <w:t>Število</w:t>
            </w:r>
          </w:p>
        </w:tc>
        <w:tc>
          <w:tcPr>
            <w:tcW w:w="950" w:type="dxa"/>
            <w:shd w:val="clear" w:color="auto" w:fill="C6EFCE"/>
            <w:vAlign w:val="center"/>
          </w:tcPr>
          <w:p w14:paraId="6F0C54A5" w14:textId="77777777" w:rsidR="00154E32" w:rsidRDefault="00A43E04">
            <w:pPr>
              <w:pStyle w:val="P68B1DB1-Normal11"/>
              <w:jc w:val="center"/>
              <w:rPr>
                <w:rFonts w:eastAsiaTheme="minorEastAsia"/>
                <w:noProof/>
              </w:rPr>
            </w:pPr>
            <w:r>
              <w:rPr>
                <w:noProof/>
              </w:rPr>
              <w:t>0</w:t>
            </w:r>
          </w:p>
        </w:tc>
        <w:tc>
          <w:tcPr>
            <w:tcW w:w="992" w:type="dxa"/>
            <w:shd w:val="clear" w:color="auto" w:fill="C6EFCE"/>
            <w:vAlign w:val="center"/>
          </w:tcPr>
          <w:p w14:paraId="47184124" w14:textId="77777777" w:rsidR="00154E32" w:rsidRDefault="00A43E04">
            <w:pPr>
              <w:pStyle w:val="P68B1DB1-Normal11"/>
              <w:jc w:val="center"/>
              <w:rPr>
                <w:rFonts w:eastAsiaTheme="minorEastAsia"/>
                <w:noProof/>
              </w:rPr>
            </w:pPr>
            <w:r>
              <w:rPr>
                <w:noProof/>
              </w:rPr>
              <w:t>20</w:t>
            </w:r>
          </w:p>
        </w:tc>
        <w:tc>
          <w:tcPr>
            <w:tcW w:w="992" w:type="dxa"/>
            <w:shd w:val="clear" w:color="auto" w:fill="C6EFCE"/>
            <w:vAlign w:val="center"/>
          </w:tcPr>
          <w:p w14:paraId="0887DE05" w14:textId="77777777" w:rsidR="00154E32" w:rsidRDefault="00A43E04">
            <w:pPr>
              <w:pStyle w:val="P68B1DB1-Normal11"/>
              <w:jc w:val="center"/>
              <w:rPr>
                <w:rFonts w:eastAsiaTheme="minorEastAsia"/>
                <w:noProof/>
              </w:rPr>
            </w:pPr>
            <w:r>
              <w:rPr>
                <w:noProof/>
              </w:rPr>
              <w:t>Q4</w:t>
            </w:r>
          </w:p>
        </w:tc>
        <w:tc>
          <w:tcPr>
            <w:tcW w:w="709" w:type="dxa"/>
            <w:shd w:val="clear" w:color="auto" w:fill="C6EFCE"/>
            <w:vAlign w:val="center"/>
          </w:tcPr>
          <w:p w14:paraId="5F5D146C" w14:textId="77777777" w:rsidR="00154E32" w:rsidRDefault="00A43E04">
            <w:pPr>
              <w:pStyle w:val="P68B1DB1-Normal11"/>
              <w:jc w:val="center"/>
              <w:rPr>
                <w:rFonts w:eastAsiaTheme="minorEastAsia"/>
                <w:noProof/>
              </w:rPr>
            </w:pPr>
            <w:r>
              <w:rPr>
                <w:noProof/>
              </w:rPr>
              <w:t>2023</w:t>
            </w:r>
          </w:p>
        </w:tc>
        <w:tc>
          <w:tcPr>
            <w:tcW w:w="3634" w:type="dxa"/>
            <w:shd w:val="clear" w:color="auto" w:fill="C6EFCE"/>
            <w:vAlign w:val="center"/>
          </w:tcPr>
          <w:p w14:paraId="10E54C54" w14:textId="77777777" w:rsidR="00154E32" w:rsidRDefault="00A43E04">
            <w:pPr>
              <w:pStyle w:val="P68B1DB1-Normal11"/>
              <w:rPr>
                <w:rFonts w:eastAsiaTheme="minorEastAsia"/>
                <w:noProof/>
              </w:rPr>
            </w:pPr>
            <w:r>
              <w:rPr>
                <w:noProof/>
              </w:rPr>
              <w:t>Nacionalna strategija za telemedicino spodbuja in financira razvoj in razširitev novih projektov in rešitev telemedicine v okviru regionalnih sistemov zdravstvenega varstva ter kot taka predstavlja ključni (tehnološki) dejavnik, ki omogoča izvajanje okrepljenega pristopa k zdravstveni oskrbi na daljavo, s posebnim poudarkom na kroničnih bolnikih.</w:t>
            </w:r>
          </w:p>
        </w:tc>
      </w:tr>
      <w:tr w:rsidR="00154E32" w14:paraId="5085E699" w14:textId="77777777">
        <w:trPr>
          <w:trHeight w:val="315"/>
        </w:trPr>
        <w:tc>
          <w:tcPr>
            <w:tcW w:w="1277" w:type="dxa"/>
            <w:shd w:val="clear" w:color="auto" w:fill="C6EFCE"/>
            <w:vAlign w:val="center"/>
          </w:tcPr>
          <w:p w14:paraId="7531F4E2" w14:textId="77777777" w:rsidR="00154E32" w:rsidRDefault="00A43E04">
            <w:pPr>
              <w:pStyle w:val="P68B1DB1-Normal11"/>
              <w:jc w:val="center"/>
              <w:rPr>
                <w:rFonts w:eastAsiaTheme="minorEastAsia"/>
                <w:noProof/>
              </w:rPr>
            </w:pPr>
            <w:r>
              <w:rPr>
                <w:noProof/>
              </w:rPr>
              <w:t>M6C1–9</w:t>
            </w:r>
          </w:p>
        </w:tc>
        <w:tc>
          <w:tcPr>
            <w:tcW w:w="1701" w:type="dxa"/>
            <w:shd w:val="clear" w:color="auto" w:fill="C6EFCE"/>
            <w:vAlign w:val="center"/>
          </w:tcPr>
          <w:p w14:paraId="188C72F2" w14:textId="77777777" w:rsidR="00154E32" w:rsidRDefault="00A43E04">
            <w:pPr>
              <w:pStyle w:val="P68B1DB1-Normal11"/>
              <w:jc w:val="center"/>
              <w:rPr>
                <w:rFonts w:eastAsiaTheme="minorEastAsia"/>
                <w:noProof/>
              </w:rPr>
            </w:pPr>
            <w:r>
              <w:rPr>
                <w:noProof/>
              </w:rPr>
              <w:t>Naložba 1.2: Dom kot prvi kraj oskrbe in telemedicine</w:t>
            </w:r>
          </w:p>
        </w:tc>
        <w:tc>
          <w:tcPr>
            <w:tcW w:w="1134" w:type="dxa"/>
            <w:shd w:val="clear" w:color="auto" w:fill="C6EFCE"/>
            <w:vAlign w:val="center"/>
          </w:tcPr>
          <w:p w14:paraId="5F2276AB" w14:textId="77777777" w:rsidR="00154E32" w:rsidRDefault="00A43E04">
            <w:pPr>
              <w:pStyle w:val="P68B1DB1-Normal11"/>
              <w:jc w:val="center"/>
              <w:rPr>
                <w:rFonts w:eastAsiaTheme="minorEastAsia"/>
                <w:noProof/>
              </w:rPr>
            </w:pPr>
            <w:r>
              <w:rPr>
                <w:noProof/>
              </w:rPr>
              <w:t>Tarča</w:t>
            </w:r>
          </w:p>
        </w:tc>
        <w:tc>
          <w:tcPr>
            <w:tcW w:w="1417" w:type="dxa"/>
            <w:shd w:val="clear" w:color="auto" w:fill="C6EFCE"/>
            <w:vAlign w:val="center"/>
          </w:tcPr>
          <w:p w14:paraId="482F6645" w14:textId="77777777" w:rsidR="00154E32" w:rsidRDefault="00A43E04">
            <w:pPr>
              <w:pStyle w:val="P68B1DB1-Normal11"/>
              <w:jc w:val="center"/>
              <w:rPr>
                <w:rFonts w:eastAsiaTheme="minorEastAsia"/>
                <w:noProof/>
              </w:rPr>
            </w:pPr>
            <w:r>
              <w:rPr>
                <w:noProof/>
              </w:rPr>
              <w:t>Število ljudi, ki jim pomagajo telemedicinska orodja (tretji sveženj)</w:t>
            </w:r>
          </w:p>
        </w:tc>
        <w:tc>
          <w:tcPr>
            <w:tcW w:w="1363" w:type="dxa"/>
            <w:shd w:val="clear" w:color="auto" w:fill="C6EFCE"/>
            <w:vAlign w:val="center"/>
          </w:tcPr>
          <w:p w14:paraId="5D735156" w14:textId="77777777" w:rsidR="00154E32" w:rsidRDefault="00A43E04">
            <w:pPr>
              <w:pStyle w:val="P68B1DB1-Normal11"/>
              <w:jc w:val="center"/>
              <w:rPr>
                <w:rFonts w:eastAsiaTheme="minorEastAsia"/>
                <w:noProof/>
              </w:rPr>
            </w:pPr>
            <w:r>
              <w:rPr>
                <w:noProof/>
              </w:rPr>
              <w:t>JIH NI</w:t>
            </w:r>
          </w:p>
        </w:tc>
        <w:tc>
          <w:tcPr>
            <w:tcW w:w="948" w:type="dxa"/>
            <w:shd w:val="clear" w:color="auto" w:fill="C6EFCE"/>
            <w:vAlign w:val="center"/>
          </w:tcPr>
          <w:p w14:paraId="2C043C24" w14:textId="77777777" w:rsidR="00154E32" w:rsidRDefault="00A43E04">
            <w:pPr>
              <w:pStyle w:val="P68B1DB1-Normal11"/>
              <w:jc w:val="center"/>
              <w:rPr>
                <w:rFonts w:eastAsiaTheme="minorEastAsia"/>
                <w:noProof/>
              </w:rPr>
            </w:pPr>
            <w:r>
              <w:rPr>
                <w:noProof/>
              </w:rPr>
              <w:t>Število</w:t>
            </w:r>
          </w:p>
        </w:tc>
        <w:tc>
          <w:tcPr>
            <w:tcW w:w="950" w:type="dxa"/>
            <w:shd w:val="clear" w:color="auto" w:fill="C6EFCE"/>
            <w:vAlign w:val="center"/>
          </w:tcPr>
          <w:p w14:paraId="3983FA22" w14:textId="77777777" w:rsidR="00154E32" w:rsidRDefault="00A43E04">
            <w:pPr>
              <w:pStyle w:val="P68B1DB1-Normal11"/>
              <w:jc w:val="center"/>
              <w:rPr>
                <w:rFonts w:eastAsiaTheme="minorEastAsia"/>
                <w:noProof/>
              </w:rPr>
            </w:pPr>
            <w:r>
              <w:rPr>
                <w:noProof/>
              </w:rPr>
              <w:t>0</w:t>
            </w:r>
          </w:p>
        </w:tc>
        <w:tc>
          <w:tcPr>
            <w:tcW w:w="992" w:type="dxa"/>
            <w:shd w:val="clear" w:color="auto" w:fill="C6EFCE"/>
            <w:vAlign w:val="center"/>
          </w:tcPr>
          <w:p w14:paraId="171FC804" w14:textId="57F5DEB6" w:rsidR="00154E32" w:rsidRDefault="00A43E04">
            <w:pPr>
              <w:pStyle w:val="P68B1DB1-Normal11"/>
              <w:jc w:val="center"/>
              <w:rPr>
                <w:rFonts w:eastAsiaTheme="minorEastAsia"/>
                <w:noProof/>
              </w:rPr>
            </w:pPr>
            <w:r>
              <w:rPr>
                <w:noProof/>
              </w:rPr>
              <w:t>300 000</w:t>
            </w:r>
          </w:p>
        </w:tc>
        <w:tc>
          <w:tcPr>
            <w:tcW w:w="992" w:type="dxa"/>
            <w:shd w:val="clear" w:color="auto" w:fill="C6EFCE"/>
            <w:vAlign w:val="center"/>
          </w:tcPr>
          <w:p w14:paraId="3948F6E1" w14:textId="77777777" w:rsidR="00154E32" w:rsidRDefault="00A43E04">
            <w:pPr>
              <w:pStyle w:val="P68B1DB1-Normal11"/>
              <w:jc w:val="center"/>
              <w:rPr>
                <w:rFonts w:eastAsiaTheme="minorEastAsia"/>
                <w:noProof/>
              </w:rPr>
            </w:pPr>
            <w:r>
              <w:rPr>
                <w:noProof/>
              </w:rPr>
              <w:t>Q4</w:t>
            </w:r>
          </w:p>
        </w:tc>
        <w:tc>
          <w:tcPr>
            <w:tcW w:w="709" w:type="dxa"/>
            <w:shd w:val="clear" w:color="auto" w:fill="C6EFCE"/>
            <w:vAlign w:val="center"/>
          </w:tcPr>
          <w:p w14:paraId="3F33DCC5" w14:textId="77777777" w:rsidR="00154E32" w:rsidRDefault="00A43E04">
            <w:pPr>
              <w:pStyle w:val="P68B1DB1-Normal11"/>
              <w:jc w:val="center"/>
              <w:rPr>
                <w:rFonts w:eastAsiaTheme="minorEastAsia"/>
                <w:noProof/>
              </w:rPr>
            </w:pPr>
            <w:r>
              <w:rPr>
                <w:noProof/>
              </w:rPr>
              <w:t>2025</w:t>
            </w:r>
          </w:p>
        </w:tc>
        <w:tc>
          <w:tcPr>
            <w:tcW w:w="3634" w:type="dxa"/>
            <w:shd w:val="clear" w:color="auto" w:fill="C6EFCE"/>
            <w:vAlign w:val="center"/>
          </w:tcPr>
          <w:p w14:paraId="43A952E6" w14:textId="74758DE1" w:rsidR="00154E32" w:rsidRDefault="00A43E04">
            <w:pPr>
              <w:pStyle w:val="P68B1DB1-Normal11"/>
              <w:rPr>
                <w:rFonts w:eastAsiaTheme="minorEastAsia"/>
                <w:noProof/>
              </w:rPr>
            </w:pPr>
            <w:r>
              <w:rPr>
                <w:noProof/>
              </w:rPr>
              <w:t>Najmanj 300000 ljudi, ki jim pomagajo telemedicinska orodja.</w:t>
            </w:r>
          </w:p>
          <w:p w14:paraId="51DE1985" w14:textId="77777777" w:rsidR="00154E32" w:rsidRDefault="00A43E04">
            <w:pPr>
              <w:pStyle w:val="P68B1DB1-Normal11"/>
              <w:rPr>
                <w:rFonts w:eastAsiaTheme="minorEastAsia"/>
                <w:noProof/>
              </w:rPr>
            </w:pPr>
            <w:r>
              <w:rPr>
                <w:noProof/>
              </w:rPr>
              <w:t>Posredovanje vključuje financiranje ad hoc raziskovalnih pobud na področju digitalnih zdravstvenih tehnologij in tehnologij oskrbe.</w:t>
            </w:r>
          </w:p>
        </w:tc>
      </w:tr>
      <w:tr w:rsidR="00154E32" w14:paraId="26B2914D" w14:textId="77777777">
        <w:trPr>
          <w:trHeight w:val="315"/>
        </w:trPr>
        <w:tc>
          <w:tcPr>
            <w:tcW w:w="1277" w:type="dxa"/>
            <w:shd w:val="clear" w:color="auto" w:fill="C6EFCE"/>
            <w:vAlign w:val="center"/>
          </w:tcPr>
          <w:p w14:paraId="3BEC48E9" w14:textId="77777777" w:rsidR="00154E32" w:rsidRDefault="00A43E04">
            <w:pPr>
              <w:pStyle w:val="P68B1DB1-Normal11"/>
              <w:jc w:val="center"/>
              <w:rPr>
                <w:rFonts w:eastAsiaTheme="minorEastAsia"/>
                <w:noProof/>
              </w:rPr>
            </w:pPr>
            <w:r>
              <w:rPr>
                <w:noProof/>
              </w:rPr>
              <w:t>M6C1–10</w:t>
            </w:r>
          </w:p>
        </w:tc>
        <w:tc>
          <w:tcPr>
            <w:tcW w:w="1701" w:type="dxa"/>
            <w:shd w:val="clear" w:color="auto" w:fill="C6EFCE"/>
            <w:vAlign w:val="center"/>
          </w:tcPr>
          <w:p w14:paraId="72B5D780" w14:textId="77777777" w:rsidR="00154E32" w:rsidRDefault="00A43E04">
            <w:pPr>
              <w:pStyle w:val="P68B1DB1-Normal11"/>
              <w:jc w:val="center"/>
              <w:rPr>
                <w:rFonts w:eastAsiaTheme="minorEastAsia"/>
                <w:noProof/>
              </w:rPr>
            </w:pPr>
            <w:r>
              <w:rPr>
                <w:noProof/>
              </w:rPr>
              <w:t>Naložba 1.3: Krepitev srednjega zdravstvenega varstva in njegovih zmogljivosti (bolnišnice Skupnosti)</w:t>
            </w:r>
          </w:p>
        </w:tc>
        <w:tc>
          <w:tcPr>
            <w:tcW w:w="1134" w:type="dxa"/>
            <w:shd w:val="clear" w:color="auto" w:fill="C6EFCE"/>
            <w:vAlign w:val="center"/>
          </w:tcPr>
          <w:p w14:paraId="451946EE" w14:textId="77777777" w:rsidR="00154E32" w:rsidRDefault="00A43E04">
            <w:pPr>
              <w:pStyle w:val="P68B1DB1-Normal11"/>
              <w:jc w:val="center"/>
              <w:rPr>
                <w:rFonts w:eastAsiaTheme="minorEastAsia"/>
                <w:noProof/>
              </w:rPr>
            </w:pPr>
            <w:r>
              <w:rPr>
                <w:noProof/>
              </w:rPr>
              <w:t>Mejnik</w:t>
            </w:r>
          </w:p>
        </w:tc>
        <w:tc>
          <w:tcPr>
            <w:tcW w:w="1417" w:type="dxa"/>
            <w:shd w:val="clear" w:color="auto" w:fill="C6EFCE"/>
            <w:vAlign w:val="center"/>
          </w:tcPr>
          <w:p w14:paraId="75C2F4FF" w14:textId="77777777" w:rsidR="00154E32" w:rsidRDefault="00A43E04">
            <w:pPr>
              <w:pStyle w:val="P68B1DB1-Normal11"/>
              <w:jc w:val="center"/>
              <w:rPr>
                <w:rFonts w:eastAsiaTheme="minorEastAsia"/>
                <w:noProof/>
              </w:rPr>
            </w:pPr>
            <w:r>
              <w:rPr>
                <w:noProof/>
              </w:rPr>
              <w:t>Odobritev pogodbe o institucionalnem razvoju (Contratto Istituzionale di Sviluppo)</w:t>
            </w:r>
          </w:p>
        </w:tc>
        <w:tc>
          <w:tcPr>
            <w:tcW w:w="1363" w:type="dxa"/>
            <w:shd w:val="clear" w:color="auto" w:fill="C6EFCE"/>
            <w:vAlign w:val="center"/>
          </w:tcPr>
          <w:p w14:paraId="533DC0FD" w14:textId="77777777" w:rsidR="00154E32" w:rsidRDefault="00A43E04">
            <w:pPr>
              <w:pStyle w:val="P68B1DB1-Normal11"/>
              <w:jc w:val="center"/>
              <w:rPr>
                <w:rFonts w:eastAsiaTheme="minorEastAsia"/>
                <w:noProof/>
              </w:rPr>
            </w:pPr>
            <w:r>
              <w:rPr>
                <w:noProof/>
              </w:rPr>
              <w:t>Obvestilo o odobritvi pogodbe o institucionalnem razvoju</w:t>
            </w:r>
          </w:p>
        </w:tc>
        <w:tc>
          <w:tcPr>
            <w:tcW w:w="948" w:type="dxa"/>
            <w:shd w:val="clear" w:color="auto" w:fill="C6EFCE"/>
            <w:vAlign w:val="center"/>
          </w:tcPr>
          <w:p w14:paraId="0321888C" w14:textId="77777777" w:rsidR="00154E32" w:rsidRDefault="00A43E04">
            <w:pPr>
              <w:pStyle w:val="P68B1DB1-Normal11"/>
              <w:jc w:val="center"/>
              <w:rPr>
                <w:rFonts w:eastAsiaTheme="minorEastAsia"/>
                <w:noProof/>
              </w:rPr>
            </w:pPr>
            <w:r>
              <w:rPr>
                <w:noProof/>
              </w:rPr>
              <w:t>JIH NI</w:t>
            </w:r>
          </w:p>
        </w:tc>
        <w:tc>
          <w:tcPr>
            <w:tcW w:w="950" w:type="dxa"/>
            <w:shd w:val="clear" w:color="auto" w:fill="C6EFCE"/>
            <w:vAlign w:val="center"/>
          </w:tcPr>
          <w:p w14:paraId="38802625" w14:textId="77777777" w:rsidR="00154E32" w:rsidRDefault="00A43E04">
            <w:pPr>
              <w:pStyle w:val="P68B1DB1-Normal11"/>
              <w:jc w:val="center"/>
              <w:rPr>
                <w:rFonts w:eastAsiaTheme="minorEastAsia"/>
                <w:noProof/>
              </w:rPr>
            </w:pPr>
            <w:r>
              <w:rPr>
                <w:noProof/>
              </w:rPr>
              <w:t>JIH NI</w:t>
            </w:r>
          </w:p>
        </w:tc>
        <w:tc>
          <w:tcPr>
            <w:tcW w:w="992" w:type="dxa"/>
            <w:shd w:val="clear" w:color="auto" w:fill="C6EFCE"/>
            <w:vAlign w:val="center"/>
          </w:tcPr>
          <w:p w14:paraId="274437A1" w14:textId="77777777" w:rsidR="00154E32" w:rsidRDefault="00A43E04">
            <w:pPr>
              <w:pStyle w:val="P68B1DB1-Normal11"/>
              <w:jc w:val="center"/>
              <w:rPr>
                <w:rFonts w:eastAsiaTheme="minorEastAsia"/>
                <w:noProof/>
              </w:rPr>
            </w:pPr>
            <w:r>
              <w:rPr>
                <w:noProof/>
              </w:rPr>
              <w:t>JIH NI</w:t>
            </w:r>
          </w:p>
        </w:tc>
        <w:tc>
          <w:tcPr>
            <w:tcW w:w="992" w:type="dxa"/>
            <w:shd w:val="clear" w:color="auto" w:fill="C6EFCE"/>
            <w:vAlign w:val="center"/>
          </w:tcPr>
          <w:p w14:paraId="7F16F254" w14:textId="77777777" w:rsidR="00154E32" w:rsidRDefault="00A43E04">
            <w:pPr>
              <w:pStyle w:val="P68B1DB1-Normal11"/>
              <w:jc w:val="center"/>
              <w:rPr>
                <w:rFonts w:eastAsiaTheme="minorEastAsia"/>
                <w:noProof/>
              </w:rPr>
            </w:pPr>
            <w:r>
              <w:rPr>
                <w:noProof/>
              </w:rPr>
              <w:t>Q2</w:t>
            </w:r>
          </w:p>
        </w:tc>
        <w:tc>
          <w:tcPr>
            <w:tcW w:w="709" w:type="dxa"/>
            <w:shd w:val="clear" w:color="auto" w:fill="C6EFCE"/>
            <w:vAlign w:val="center"/>
          </w:tcPr>
          <w:p w14:paraId="2E5B6E5D" w14:textId="77777777" w:rsidR="00154E32" w:rsidRDefault="00A43E04">
            <w:pPr>
              <w:pStyle w:val="P68B1DB1-Normal11"/>
              <w:jc w:val="center"/>
              <w:rPr>
                <w:rFonts w:eastAsiaTheme="minorEastAsia"/>
                <w:noProof/>
              </w:rPr>
            </w:pPr>
            <w:r>
              <w:rPr>
                <w:noProof/>
              </w:rPr>
              <w:t>2022</w:t>
            </w:r>
          </w:p>
        </w:tc>
        <w:tc>
          <w:tcPr>
            <w:tcW w:w="3634" w:type="dxa"/>
            <w:shd w:val="clear" w:color="auto" w:fill="C6EFCE"/>
            <w:vAlign w:val="center"/>
          </w:tcPr>
          <w:p w14:paraId="04A5A45B" w14:textId="5CD0F0F0" w:rsidR="00154E32" w:rsidRDefault="00A43E04">
            <w:pPr>
              <w:pStyle w:val="P68B1DB1-Normal11"/>
              <w:rPr>
                <w:rFonts w:eastAsiaTheme="minorEastAsia"/>
                <w:noProof/>
              </w:rPr>
            </w:pPr>
            <w:r>
              <w:rPr>
                <w:noProof/>
              </w:rPr>
              <w:t>Odobritev pogodbe o institucionalnem razvoju (Contratto Istituzionale di Sviluppo) z italijanskim ministrstvom za zdravje kot pristojnim in izvedbenim organom ter sodelovanje regionalnih uprav skupaj z drugimi zadevnimi subjekti za bolnišnice Skupnosti.</w:t>
            </w:r>
          </w:p>
          <w:p w14:paraId="619EDDDF" w14:textId="18379313" w:rsidR="00154E32" w:rsidRDefault="00A43E04">
            <w:pPr>
              <w:pStyle w:val="P68B1DB1-Normal11"/>
              <w:rPr>
                <w:rFonts w:eastAsiaTheme="minorEastAsia"/>
                <w:noProof/>
              </w:rPr>
            </w:pPr>
            <w:r>
              <w:rPr>
                <w:noProof/>
              </w:rPr>
              <w:t>Pogodba o institucionalnem razvoju vsebuje seznam vseh območij, primernih za naložbe, ter obveznosti, ki jih vsaka regija prevzame za zagotovitev doseganja predvidenega rezultata. V primeru kršitve s strani katere koli regije se ministrstvo za zdravje obrne na komisarja „ad acta“. V zvezi s tehnološkim parkom objektov, tj. vsemi orodji, licencami in medsebojnimi povezavami, imajo prednost skupne metode javnega naročanja.</w:t>
            </w:r>
          </w:p>
        </w:tc>
      </w:tr>
      <w:tr w:rsidR="00154E32" w14:paraId="0B34D8BD" w14:textId="77777777">
        <w:trPr>
          <w:trHeight w:val="315"/>
        </w:trPr>
        <w:tc>
          <w:tcPr>
            <w:tcW w:w="1277" w:type="dxa"/>
            <w:shd w:val="clear" w:color="auto" w:fill="C6EFCE"/>
            <w:vAlign w:val="center"/>
          </w:tcPr>
          <w:p w14:paraId="2B7CEFEB" w14:textId="77777777" w:rsidR="00154E32" w:rsidRDefault="00A43E04">
            <w:pPr>
              <w:pStyle w:val="P68B1DB1-Normal11"/>
              <w:jc w:val="center"/>
              <w:rPr>
                <w:rFonts w:eastAsiaTheme="minorEastAsia"/>
                <w:noProof/>
              </w:rPr>
            </w:pPr>
            <w:r>
              <w:rPr>
                <w:noProof/>
              </w:rPr>
              <w:t>M6C1–11</w:t>
            </w:r>
          </w:p>
        </w:tc>
        <w:tc>
          <w:tcPr>
            <w:tcW w:w="1701" w:type="dxa"/>
            <w:shd w:val="clear" w:color="auto" w:fill="C6EFCE"/>
            <w:vAlign w:val="center"/>
          </w:tcPr>
          <w:p w14:paraId="730CE601" w14:textId="77777777" w:rsidR="00154E32" w:rsidRDefault="00A43E04">
            <w:pPr>
              <w:pStyle w:val="P68B1DB1-Normal11"/>
              <w:jc w:val="center"/>
              <w:rPr>
                <w:rFonts w:eastAsiaTheme="minorEastAsia"/>
                <w:noProof/>
              </w:rPr>
            </w:pPr>
            <w:r>
              <w:rPr>
                <w:noProof/>
              </w:rPr>
              <w:t>Naložba 1.3: Krepitev srednjega zdravstvenega varstva in njegovih zmogljivosti (bolnišnice Skupnosti)</w:t>
            </w:r>
          </w:p>
        </w:tc>
        <w:tc>
          <w:tcPr>
            <w:tcW w:w="1134" w:type="dxa"/>
            <w:shd w:val="clear" w:color="auto" w:fill="C6EFCE"/>
            <w:vAlign w:val="center"/>
          </w:tcPr>
          <w:p w14:paraId="50E0BA2F" w14:textId="77777777" w:rsidR="00154E32" w:rsidRDefault="00A43E04">
            <w:pPr>
              <w:pStyle w:val="P68B1DB1-Normal11"/>
              <w:jc w:val="center"/>
              <w:rPr>
                <w:rFonts w:eastAsiaTheme="minorEastAsia"/>
                <w:noProof/>
              </w:rPr>
            </w:pPr>
            <w:r>
              <w:rPr>
                <w:noProof/>
              </w:rPr>
              <w:t>Tarča</w:t>
            </w:r>
          </w:p>
        </w:tc>
        <w:tc>
          <w:tcPr>
            <w:tcW w:w="1417" w:type="dxa"/>
            <w:shd w:val="clear" w:color="auto" w:fill="C6EFCE"/>
            <w:vAlign w:val="center"/>
          </w:tcPr>
          <w:p w14:paraId="6B0D5D6B" w14:textId="1657B428" w:rsidR="00154E32" w:rsidRDefault="00A43E04">
            <w:pPr>
              <w:pStyle w:val="P68B1DB1-Normal11"/>
              <w:jc w:val="center"/>
              <w:rPr>
                <w:rFonts w:eastAsiaTheme="minorEastAsia"/>
                <w:noProof/>
              </w:rPr>
            </w:pPr>
            <w:r>
              <w:rPr>
                <w:noProof/>
              </w:rPr>
              <w:t>Skupnostne bolnišnice so obnovljene, medsebojno povezane in tehnološko opremljene (prva serija)</w:t>
            </w:r>
          </w:p>
        </w:tc>
        <w:tc>
          <w:tcPr>
            <w:tcW w:w="1363" w:type="dxa"/>
            <w:shd w:val="clear" w:color="auto" w:fill="C6EFCE"/>
            <w:vAlign w:val="center"/>
          </w:tcPr>
          <w:p w14:paraId="7AC5C927" w14:textId="77777777" w:rsidR="00154E32" w:rsidRDefault="00A43E04">
            <w:pPr>
              <w:pStyle w:val="P68B1DB1-Normal11"/>
              <w:jc w:val="center"/>
              <w:rPr>
                <w:rFonts w:eastAsiaTheme="minorEastAsia"/>
                <w:noProof/>
              </w:rPr>
            </w:pPr>
            <w:r>
              <w:rPr>
                <w:noProof/>
              </w:rPr>
              <w:t>JIH NI</w:t>
            </w:r>
          </w:p>
        </w:tc>
        <w:tc>
          <w:tcPr>
            <w:tcW w:w="948" w:type="dxa"/>
            <w:shd w:val="clear" w:color="auto" w:fill="C6EFCE"/>
            <w:vAlign w:val="center"/>
          </w:tcPr>
          <w:p w14:paraId="10C2E3F8" w14:textId="77777777" w:rsidR="00154E32" w:rsidRDefault="00A43E04">
            <w:pPr>
              <w:pStyle w:val="P68B1DB1-Normal11"/>
              <w:jc w:val="center"/>
              <w:rPr>
                <w:rFonts w:eastAsiaTheme="minorEastAsia"/>
                <w:noProof/>
              </w:rPr>
            </w:pPr>
            <w:r>
              <w:rPr>
                <w:noProof/>
              </w:rPr>
              <w:t>Število</w:t>
            </w:r>
          </w:p>
        </w:tc>
        <w:tc>
          <w:tcPr>
            <w:tcW w:w="950" w:type="dxa"/>
            <w:shd w:val="clear" w:color="auto" w:fill="C6EFCE"/>
            <w:vAlign w:val="center"/>
          </w:tcPr>
          <w:p w14:paraId="1FB04BE1" w14:textId="77777777" w:rsidR="00154E32" w:rsidRDefault="00A43E04">
            <w:pPr>
              <w:pStyle w:val="P68B1DB1-Normal11"/>
              <w:jc w:val="center"/>
              <w:rPr>
                <w:rFonts w:eastAsiaTheme="minorEastAsia"/>
                <w:noProof/>
              </w:rPr>
            </w:pPr>
            <w:r>
              <w:rPr>
                <w:noProof/>
              </w:rPr>
              <w:t>0</w:t>
            </w:r>
          </w:p>
        </w:tc>
        <w:tc>
          <w:tcPr>
            <w:tcW w:w="992" w:type="dxa"/>
            <w:shd w:val="clear" w:color="auto" w:fill="C6EFCE"/>
            <w:vAlign w:val="center"/>
          </w:tcPr>
          <w:p w14:paraId="495BC5B6" w14:textId="77777777" w:rsidR="00154E32" w:rsidRDefault="00A43E04">
            <w:pPr>
              <w:pStyle w:val="P68B1DB1-Normal11"/>
              <w:jc w:val="center"/>
              <w:rPr>
                <w:rFonts w:eastAsiaTheme="minorEastAsia"/>
                <w:noProof/>
              </w:rPr>
            </w:pPr>
            <w:r>
              <w:rPr>
                <w:noProof/>
              </w:rPr>
              <w:t>307</w:t>
            </w:r>
          </w:p>
        </w:tc>
        <w:tc>
          <w:tcPr>
            <w:tcW w:w="992" w:type="dxa"/>
            <w:shd w:val="clear" w:color="auto" w:fill="C6EFCE"/>
            <w:vAlign w:val="center"/>
          </w:tcPr>
          <w:p w14:paraId="60BCC230" w14:textId="77777777" w:rsidR="00154E32" w:rsidRDefault="00A43E04">
            <w:pPr>
              <w:pStyle w:val="P68B1DB1-Normal11"/>
              <w:jc w:val="center"/>
              <w:rPr>
                <w:rFonts w:eastAsiaTheme="minorEastAsia"/>
                <w:noProof/>
              </w:rPr>
            </w:pPr>
            <w:r>
              <w:rPr>
                <w:noProof/>
              </w:rPr>
              <w:t>Q2</w:t>
            </w:r>
          </w:p>
        </w:tc>
        <w:tc>
          <w:tcPr>
            <w:tcW w:w="709" w:type="dxa"/>
            <w:shd w:val="clear" w:color="auto" w:fill="C6EFCE"/>
            <w:vAlign w:val="center"/>
          </w:tcPr>
          <w:p w14:paraId="44729AEE" w14:textId="77777777" w:rsidR="00154E32" w:rsidRDefault="00A43E04">
            <w:pPr>
              <w:pStyle w:val="P68B1DB1-Normal11"/>
              <w:jc w:val="center"/>
              <w:rPr>
                <w:rFonts w:eastAsiaTheme="minorEastAsia"/>
                <w:noProof/>
              </w:rPr>
            </w:pPr>
            <w:r>
              <w:rPr>
                <w:noProof/>
              </w:rPr>
              <w:t>2026</w:t>
            </w:r>
          </w:p>
        </w:tc>
        <w:tc>
          <w:tcPr>
            <w:tcW w:w="3634" w:type="dxa"/>
            <w:shd w:val="clear" w:color="auto" w:fill="C6EFCE"/>
            <w:vAlign w:val="center"/>
          </w:tcPr>
          <w:p w14:paraId="7BAE8116" w14:textId="77777777" w:rsidR="00154E32" w:rsidRDefault="00A43E04">
            <w:pPr>
              <w:pStyle w:val="P68B1DB1-Normal11"/>
              <w:rPr>
                <w:rFonts w:eastAsiaTheme="minorEastAsia"/>
                <w:noProof/>
              </w:rPr>
            </w:pPr>
            <w:r>
              <w:rPr>
                <w:noProof/>
              </w:rPr>
              <w:t>Vsaj 307 bolnišnic Skupnosti obnovljenih, medsebojno povezanih in tehnološko opremljenih</w:t>
            </w:r>
          </w:p>
          <w:p w14:paraId="709B2705" w14:textId="77777777" w:rsidR="00154E32" w:rsidRDefault="00A43E04">
            <w:pPr>
              <w:pStyle w:val="P68B1DB1-Normal11"/>
              <w:rPr>
                <w:rFonts w:eastAsiaTheme="minorEastAsia"/>
                <w:noProof/>
              </w:rPr>
            </w:pPr>
            <w:r>
              <w:rPr>
                <w:noProof/>
              </w:rPr>
              <w:t>Bolnišnice v skupnosti so zdravstvene ustanove za paciente, ki po pojavu manjše ostrine ali ponovnega izbruha kroničnih patologij zahtevajo nizkointenzivnost in kratkotrajne klinične posege, ki jih je mogoče opraviti doma, vendar so sprejeti v te ustanove zaradi neustrezne primernosti samega doma (strukturnega in/ali družinskega).</w:t>
            </w:r>
          </w:p>
        </w:tc>
      </w:tr>
    </w:tbl>
    <w:p w14:paraId="0A84B75A" w14:textId="77777777" w:rsidR="00154E32" w:rsidRDefault="00154E32">
      <w:pPr>
        <w:tabs>
          <w:tab w:val="left" w:pos="4252"/>
        </w:tabs>
        <w:rPr>
          <w:i/>
          <w:noProof/>
        </w:rPr>
      </w:pPr>
    </w:p>
    <w:p w14:paraId="207AB31E" w14:textId="77777777" w:rsidR="00154E32" w:rsidRDefault="00154E32">
      <w:pPr>
        <w:keepNext/>
        <w:tabs>
          <w:tab w:val="left" w:pos="4252"/>
        </w:tabs>
        <w:spacing w:before="720"/>
        <w:jc w:val="both"/>
        <w:rPr>
          <w:i/>
          <w:noProof/>
        </w:rPr>
        <w:sectPr w:rsidR="00154E32" w:rsidSect="000D3774">
          <w:headerReference w:type="even" r:id="rId356"/>
          <w:headerReference w:type="default" r:id="rId357"/>
          <w:footerReference w:type="even" r:id="rId358"/>
          <w:footerReference w:type="default" r:id="rId359"/>
          <w:headerReference w:type="first" r:id="rId360"/>
          <w:footerReference w:type="first" r:id="rId361"/>
          <w:pgSz w:w="16839" w:h="11907" w:orient="landscape"/>
          <w:pgMar w:top="1417" w:right="1134" w:bottom="1417" w:left="1134" w:header="709" w:footer="709" w:gutter="0"/>
          <w:cols w:space="720"/>
          <w:docGrid w:linePitch="360"/>
        </w:sectPr>
      </w:pPr>
    </w:p>
    <w:p w14:paraId="1E363AF3" w14:textId="77777777" w:rsidR="00154E32" w:rsidRDefault="00A43E04">
      <w:pPr>
        <w:pStyle w:val="Heading2"/>
        <w:numPr>
          <w:ilvl w:val="0"/>
          <w:numId w:val="0"/>
        </w:numPr>
        <w:ind w:left="850" w:hanging="850"/>
        <w:rPr>
          <w:noProof/>
        </w:rPr>
      </w:pPr>
      <w:r>
        <w:rPr>
          <w:noProof/>
        </w:rPr>
        <w:t>P. MISIJA ŠT. 6, KOMPONENTA 2: Inovacije, raziskave in digitalizacija nacionalnih zdravstvenih storitev</w:t>
      </w:r>
    </w:p>
    <w:p w14:paraId="218046D5" w14:textId="77777777" w:rsidR="00154E32" w:rsidRDefault="00154E32">
      <w:pPr>
        <w:tabs>
          <w:tab w:val="left" w:pos="1134"/>
        </w:tabs>
        <w:spacing w:before="120" w:after="120"/>
        <w:jc w:val="both"/>
        <w:rPr>
          <w:i/>
          <w:smallCaps/>
          <w:noProof/>
          <w:color w:val="4F81BD" w:themeColor="accent1"/>
        </w:rPr>
      </w:pPr>
    </w:p>
    <w:p w14:paraId="512A28F4" w14:textId="77777777" w:rsidR="00154E32" w:rsidRDefault="00A43E04">
      <w:pPr>
        <w:spacing w:before="120" w:after="120"/>
        <w:jc w:val="both"/>
        <w:rPr>
          <w:noProof/>
        </w:rPr>
      </w:pPr>
      <w:r>
        <w:rPr>
          <w:noProof/>
        </w:rPr>
        <w:t>Cilj te komponente italijanskega načrta za okrevanje in odpornost je zagotoviti potrebne omogočitvene pogoje za večjo odpornost nacionalnih zdravstvenih storitev z: (I) nadomestitev zastarelih zdravstvenih tehnologij v bolnišnicah; (II) razvoj znatnega strukturnega izboljšanja varnosti bolnišničnih stavb; (III) izboljšanje zdravstvenih informacijskih sistemov in digitalnih orodij; (IV) spodbujanje in krepitev sektorja znanstvenih raziskav; (v) povečanje človeških virov.</w:t>
      </w:r>
    </w:p>
    <w:p w14:paraId="5971EEBB" w14:textId="77777777" w:rsidR="00154E32" w:rsidRDefault="00A43E04">
      <w:pPr>
        <w:spacing w:before="120" w:after="120"/>
        <w:jc w:val="both"/>
        <w:rPr>
          <w:noProof/>
        </w:rPr>
      </w:pPr>
      <w:r>
        <w:rPr>
          <w:noProof/>
        </w:rPr>
        <w:t>Naložbe in reforme v okviru te komponente prispevajo k obravnavanju priporočil za posamezne države, naslovljenih na Italijo v letih 2020 in 2019, v zvezi s potrebo po „krepitvi odpornosti in zmogljivosti zdravstvenega sistema na področju zdravstvenih delavcev, kritičnih medicinskih proizvodov in infrastrukture“ (priporočilo za posamezno državo št. 1, 2020), „usmerjene naložbe v zeleni in digitalni prehod, zlasti na [...] okrepljeno digitalno infrastrukturo za zagotovitev zagotavljanja bistvenih storitev“ (priporočilo za posamezno državo št. 3, 2020) ter „usmerjeno ekonomsko politiko, povezano z naložbami, na raziskave in inovacije ter kakovost infrastrukture, pri čemer se upoštevajo tudi regionalne razlike“ (priporočilo za posamezno državo št. 3 iz leta 2019). </w:t>
      </w:r>
    </w:p>
    <w:p w14:paraId="02E070D3" w14:textId="77777777" w:rsidR="00154E32" w:rsidRDefault="00154E32">
      <w:pPr>
        <w:spacing w:before="120" w:after="120"/>
        <w:jc w:val="both"/>
        <w:rPr>
          <w:noProof/>
        </w:rPr>
      </w:pPr>
    </w:p>
    <w:p w14:paraId="77550FE9" w14:textId="77777777" w:rsidR="00154E32" w:rsidRDefault="00A43E04">
      <w:pPr>
        <w:pStyle w:val="Heading3"/>
        <w:numPr>
          <w:ilvl w:val="0"/>
          <w:numId w:val="0"/>
        </w:numPr>
        <w:ind w:left="850" w:hanging="850"/>
        <w:rPr>
          <w:b/>
          <w:i w:val="0"/>
          <w:noProof/>
          <w:u w:val="single"/>
        </w:rPr>
      </w:pPr>
      <w:r>
        <w:rPr>
          <w:b/>
          <w:i w:val="0"/>
          <w:noProof/>
          <w:u w:val="single"/>
        </w:rPr>
        <w:t xml:space="preserve">P.1. </w:t>
      </w:r>
      <w:r>
        <w:rPr>
          <w:noProof/>
        </w:rPr>
        <w:tab/>
      </w:r>
      <w:r>
        <w:rPr>
          <w:b/>
          <w:i w:val="0"/>
          <w:noProof/>
          <w:u w:val="single"/>
        </w:rPr>
        <w:t>Opis reform in naložb za nepovratno finančno podporo</w:t>
      </w:r>
    </w:p>
    <w:p w14:paraId="4860C8BE" w14:textId="77777777" w:rsidR="00154E32" w:rsidRDefault="00A43E04">
      <w:pPr>
        <w:pStyle w:val="P68B1DB1-Normal2"/>
        <w:spacing w:before="120" w:after="120"/>
        <w:jc w:val="both"/>
        <w:rPr>
          <w:noProof/>
        </w:rPr>
      </w:pPr>
      <w:r>
        <w:rPr>
          <w:noProof/>
        </w:rPr>
        <w:t>Reforma 1: Revizija in posodobitev sedanjega pravnega okvira znanstvenih inštitutov za hospitalizacijo in oskrbo (IRCCS)</w:t>
      </w:r>
    </w:p>
    <w:p w14:paraId="44020BB9" w14:textId="77777777" w:rsidR="00154E32" w:rsidRDefault="00A43E04">
      <w:pPr>
        <w:spacing w:before="120" w:after="160" w:line="259" w:lineRule="auto"/>
        <w:jc w:val="both"/>
        <w:rPr>
          <w:noProof/>
        </w:rPr>
      </w:pPr>
      <w:r>
        <w:rPr>
          <w:noProof/>
        </w:rPr>
        <w:t xml:space="preserve">Cilj reforme je reorganizacija mreže znanstvenih inštitutov za hospitalizacijo in oskrbo (IRCCS) za (i) izboljšanje kakovosti nacionalnega zdravstvenega sistema, (ii) izboljšanje odnosa med zdravjem in raziskavami ter (iii) ponovna preučitev pravne ureditve IRCCS in raziskovalnih politik v pristojnosti italijanskega ministrstva za zdravje. </w:t>
      </w:r>
    </w:p>
    <w:p w14:paraId="1D8884DC" w14:textId="77777777" w:rsidR="00154E32" w:rsidRDefault="00A43E04">
      <w:pPr>
        <w:spacing w:before="120" w:after="160" w:line="259" w:lineRule="auto"/>
        <w:jc w:val="both"/>
        <w:rPr>
          <w:noProof/>
        </w:rPr>
      </w:pPr>
      <w:r>
        <w:rPr>
          <w:noProof/>
        </w:rPr>
        <w:t xml:space="preserve">Reforma bo izboljšala upravljanje javnih IRCCS z (i) izboljšanjem strateškega upravljanja, (ii) boljšo opredelitvijo pristojnosti in področij pristojnosti ter (iii) celovito opredelitvijo pravil o statusu znanstvenega direktorja javnih IRCCS in raziskovalnega osebja. </w:t>
      </w:r>
    </w:p>
    <w:p w14:paraId="3C6D478A" w14:textId="0C602F94" w:rsidR="00154E32" w:rsidRDefault="00A43E04">
      <w:pPr>
        <w:spacing w:before="120" w:after="160" w:line="259" w:lineRule="auto"/>
        <w:jc w:val="both"/>
        <w:rPr>
          <w:noProof/>
        </w:rPr>
      </w:pPr>
      <w:r>
        <w:rPr>
          <w:noProof/>
        </w:rPr>
        <w:t>Nazadnje, poseben podukrep za razlikovanje med IRCCS na podlagi njihove dejavnosti (en specialista ali generalista), ki vzpostavlja integrirano mrežo IRCCS in olajšuje izmenjavo strokovnega znanja med samimi IRCCS in drugimi strukturami italijanskega nacionalnega zdravstvenega sistema.</w:t>
      </w:r>
    </w:p>
    <w:p w14:paraId="475E5226" w14:textId="74F1B893" w:rsidR="00154E32" w:rsidRDefault="00A43E04">
      <w:pPr>
        <w:pStyle w:val="P68B1DB1-Normal2"/>
        <w:spacing w:before="120" w:after="120"/>
        <w:jc w:val="both"/>
        <w:rPr>
          <w:noProof/>
        </w:rPr>
      </w:pPr>
      <w:r>
        <w:rPr>
          <w:noProof/>
        </w:rPr>
        <w:t>Naložba 2.1: Krepitev in izboljšanje biomedicinskih raziskav NHS</w:t>
      </w:r>
    </w:p>
    <w:p w14:paraId="3C06DEAF" w14:textId="77777777" w:rsidR="00154E32" w:rsidRDefault="00A43E04">
      <w:pPr>
        <w:spacing w:before="120" w:after="120"/>
        <w:jc w:val="both"/>
        <w:rPr>
          <w:noProof/>
        </w:rPr>
      </w:pPr>
      <w:r>
        <w:rPr>
          <w:noProof/>
        </w:rPr>
        <w:t>Ta naložba vključuje krepitev sistema biomedicinskih raziskav z dvema vrstama posredovanja: (a)</w:t>
      </w:r>
      <w:r>
        <w:rPr>
          <w:noProof/>
          <w:color w:val="000000"/>
        </w:rPr>
        <w:t xml:space="preserve">spodbujanje projektov potrditve koncepta, ki podpirajo razvoj tehnologij z nizko stopnjo tehnološke zrelosti in spodbujajo prenos tehnologije v industrijo (b) financiranje raziskovalnih programov/projektov na področju redkih bolezni in redkih vrst raka ter </w:t>
      </w:r>
      <w:r>
        <w:rPr>
          <w:noProof/>
        </w:rPr>
        <w:t>drugih bolezni z velikim vplivom na zdravje.</w:t>
      </w:r>
    </w:p>
    <w:p w14:paraId="6E99C001" w14:textId="77777777" w:rsidR="00154E32" w:rsidRDefault="00154E32">
      <w:pPr>
        <w:spacing w:before="120" w:after="120"/>
        <w:ind w:left="709"/>
        <w:jc w:val="both"/>
        <w:rPr>
          <w:noProof/>
        </w:rPr>
        <w:sectPr w:rsidR="00154E32" w:rsidSect="000D3774">
          <w:headerReference w:type="even" r:id="rId362"/>
          <w:headerReference w:type="default" r:id="rId363"/>
          <w:footerReference w:type="even" r:id="rId364"/>
          <w:footerReference w:type="default" r:id="rId365"/>
          <w:headerReference w:type="first" r:id="rId366"/>
          <w:footerReference w:type="first" r:id="rId367"/>
          <w:pgSz w:w="11907" w:h="16839"/>
          <w:pgMar w:top="1134" w:right="1417" w:bottom="1134" w:left="1417" w:header="709" w:footer="709" w:gutter="0"/>
          <w:cols w:space="720"/>
          <w:docGrid w:linePitch="360"/>
        </w:sectPr>
      </w:pPr>
    </w:p>
    <w:p w14:paraId="56CAF03B" w14:textId="56DC9141" w:rsidR="00154E32" w:rsidRDefault="00A43E04">
      <w:pPr>
        <w:spacing w:before="120" w:after="120"/>
        <w:jc w:val="both"/>
        <w:rPr>
          <w:b/>
          <w:i/>
          <w:noProof/>
          <w:u w:val="single"/>
        </w:rPr>
      </w:pPr>
      <w:r>
        <w:rPr>
          <w:b/>
          <w:noProof/>
          <w:u w:val="single"/>
        </w:rPr>
        <w:t xml:space="preserve">P.2. </w:t>
      </w:r>
      <w:r>
        <w:rPr>
          <w:noProof/>
        </w:rPr>
        <w:tab/>
      </w:r>
      <w:r>
        <w:rPr>
          <w:b/>
          <w:noProof/>
          <w:u w:val="single"/>
        </w:rPr>
        <w:t>Mejniki, cilji, kazalniki in časovni razpored za spremljanje in izvajanje nepovratne finančne podpore Naslednje;</w:t>
      </w:r>
    </w:p>
    <w:tbl>
      <w:tblPr>
        <w:tblW w:w="5000" w:type="pct"/>
        <w:tblInd w:w="113" w:type="dxa"/>
        <w:tblLayout w:type="fixed"/>
        <w:tblLook w:val="04A0" w:firstRow="1" w:lastRow="0" w:firstColumn="1" w:lastColumn="0" w:noHBand="0" w:noVBand="1"/>
      </w:tblPr>
      <w:tblGrid>
        <w:gridCol w:w="1158"/>
        <w:gridCol w:w="1985"/>
        <w:gridCol w:w="1275"/>
        <w:gridCol w:w="1843"/>
        <w:gridCol w:w="1701"/>
        <w:gridCol w:w="992"/>
        <w:gridCol w:w="1134"/>
        <w:gridCol w:w="851"/>
        <w:gridCol w:w="850"/>
        <w:gridCol w:w="709"/>
        <w:gridCol w:w="2891"/>
      </w:tblGrid>
      <w:tr w:rsidR="00154E32" w14:paraId="08808592" w14:textId="77777777">
        <w:trPr>
          <w:trHeight w:val="927"/>
          <w:tblHeader/>
        </w:trPr>
        <w:tc>
          <w:tcPr>
            <w:tcW w:w="115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4EC30DE" w14:textId="77777777" w:rsidR="00154E32" w:rsidRDefault="00A43E04">
            <w:pPr>
              <w:pStyle w:val="P68B1DB1-Normal9"/>
              <w:spacing w:before="120" w:after="120"/>
              <w:jc w:val="center"/>
              <w:rPr>
                <w:noProof/>
              </w:rPr>
            </w:pPr>
            <w:r>
              <w:rPr>
                <w:noProof/>
              </w:rPr>
              <w:t>Zaporedna številka</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41B64AD" w14:textId="77777777" w:rsidR="00154E32" w:rsidRDefault="00A43E04">
            <w:pPr>
              <w:pStyle w:val="P68B1DB1-Normal9"/>
              <w:spacing w:before="120" w:after="120"/>
              <w:jc w:val="center"/>
              <w:rPr>
                <w:noProof/>
              </w:rPr>
            </w:pPr>
            <w:r>
              <w:rPr>
                <w:noProof/>
              </w:rPr>
              <w:t>Povezani ukrep (reforma ali naložba)</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9F22B3F" w14:textId="77777777" w:rsidR="00154E32" w:rsidRDefault="00A43E04">
            <w:pPr>
              <w:pStyle w:val="P68B1DB1-Normal9"/>
              <w:spacing w:before="120" w:after="120"/>
              <w:jc w:val="center"/>
              <w:rPr>
                <w:noProof/>
              </w:rPr>
            </w:pPr>
            <w:r>
              <w:rPr>
                <w:noProof/>
              </w:rPr>
              <w:t>Mejnik/cilj</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A71E707" w14:textId="77777777" w:rsidR="00154E32" w:rsidRDefault="00A43E04">
            <w:pPr>
              <w:pStyle w:val="P68B1DB1-Normal9"/>
              <w:spacing w:before="120" w:after="120"/>
              <w:jc w:val="center"/>
              <w:rPr>
                <w:noProof/>
              </w:rPr>
            </w:pPr>
            <w:r>
              <w:rPr>
                <w:noProof/>
              </w:rPr>
              <w:t>Ime</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EB8DAE6" w14:textId="77777777" w:rsidR="00154E32" w:rsidRDefault="00A43E04">
            <w:pPr>
              <w:pStyle w:val="P68B1DB1-Normal10"/>
              <w:spacing w:before="120" w:after="120"/>
              <w:jc w:val="center"/>
              <w:rPr>
                <w:b/>
                <w:noProof/>
                <w:sz w:val="20"/>
              </w:rPr>
            </w:pPr>
            <w:r>
              <w:rPr>
                <w:b/>
                <w:noProof/>
                <w:sz w:val="20"/>
              </w:rPr>
              <w:t>Kakovostni kazalniki</w:t>
            </w:r>
            <w:r>
              <w:rPr>
                <w:noProof/>
              </w:rPr>
              <w:t xml:space="preserve"> </w:t>
            </w:r>
            <w:r>
              <w:rPr>
                <w:noProof/>
              </w:rPr>
              <w:br/>
            </w:r>
            <w:r>
              <w:rPr>
                <w:b/>
                <w:noProof/>
                <w:sz w:val="20"/>
              </w:rPr>
              <w:t>(za mejnike)</w:t>
            </w:r>
          </w:p>
        </w:tc>
        <w:tc>
          <w:tcPr>
            <w:tcW w:w="2977" w:type="dxa"/>
            <w:gridSpan w:val="3"/>
            <w:tcBorders>
              <w:top w:val="single" w:sz="4" w:space="0" w:color="auto"/>
              <w:left w:val="single" w:sz="4" w:space="0" w:color="auto"/>
              <w:bottom w:val="single" w:sz="4" w:space="0" w:color="auto"/>
              <w:right w:val="single" w:sz="4" w:space="0" w:color="auto"/>
            </w:tcBorders>
            <w:shd w:val="clear" w:color="auto" w:fill="BDD7EE"/>
            <w:vAlign w:val="center"/>
            <w:hideMark/>
          </w:tcPr>
          <w:p w14:paraId="54B27DD9" w14:textId="77777777" w:rsidR="00154E32" w:rsidRDefault="00A43E04">
            <w:pPr>
              <w:pStyle w:val="P68B1DB1-Normal10"/>
              <w:spacing w:before="120" w:after="120"/>
              <w:jc w:val="center"/>
              <w:rPr>
                <w:b/>
                <w:noProof/>
                <w:sz w:val="20"/>
              </w:rPr>
            </w:pPr>
            <w:r>
              <w:rPr>
                <w:b/>
                <w:noProof/>
                <w:sz w:val="20"/>
              </w:rPr>
              <w:t>Kvantitativni kazalniki</w:t>
            </w:r>
            <w:r>
              <w:rPr>
                <w:noProof/>
              </w:rPr>
              <w:t xml:space="preserve"> </w:t>
            </w:r>
            <w:r>
              <w:rPr>
                <w:noProof/>
              </w:rPr>
              <w:br/>
            </w:r>
            <w:r>
              <w:rPr>
                <w:b/>
                <w:noProof/>
                <w:sz w:val="20"/>
              </w:rPr>
              <w:t>(za ciljne vrednosti)</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5E92D4EF" w14:textId="77777777" w:rsidR="00154E32" w:rsidRDefault="00A43E04">
            <w:pPr>
              <w:pStyle w:val="P68B1DB1-Normal9"/>
              <w:spacing w:before="120" w:after="120"/>
              <w:jc w:val="center"/>
              <w:rPr>
                <w:noProof/>
              </w:rPr>
            </w:pPr>
            <w:r>
              <w:rPr>
                <w:noProof/>
              </w:rPr>
              <w:t>Okvirni časovni razpored za dokončanje</w:t>
            </w:r>
          </w:p>
        </w:tc>
        <w:tc>
          <w:tcPr>
            <w:tcW w:w="289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1FFAC44" w14:textId="77777777" w:rsidR="00154E32" w:rsidRDefault="00A43E04">
            <w:pPr>
              <w:pStyle w:val="P68B1DB1-Normal9"/>
              <w:spacing w:before="120" w:after="120"/>
              <w:jc w:val="center"/>
              <w:rPr>
                <w:noProof/>
              </w:rPr>
            </w:pPr>
            <w:r>
              <w:rPr>
                <w:noProof/>
              </w:rPr>
              <w:t>Opis vsakega mejnika in cilja</w:t>
            </w:r>
          </w:p>
        </w:tc>
      </w:tr>
      <w:tr w:rsidR="00154E32" w14:paraId="0930AABE" w14:textId="77777777">
        <w:trPr>
          <w:trHeight w:val="703"/>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590F5D9" w14:textId="77777777" w:rsidR="00154E32" w:rsidRDefault="00154E32">
            <w:pPr>
              <w:spacing w:before="120" w:after="120"/>
              <w:jc w:val="center"/>
              <w:rPr>
                <w:rFonts w:ascii="Arial Narrow" w:hAnsi="Arial Narrow"/>
                <w:b/>
                <w:noProof/>
                <w:sz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65346E6E" w14:textId="77777777" w:rsidR="00154E32" w:rsidRDefault="00154E32">
            <w:pPr>
              <w:spacing w:before="120" w:after="120"/>
              <w:jc w:val="center"/>
              <w:rPr>
                <w:rFonts w:ascii="Arial Narrow" w:hAnsi="Arial Narrow"/>
                <w:b/>
                <w:noProof/>
                <w:sz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77D61AE" w14:textId="77777777" w:rsidR="00154E32" w:rsidRDefault="00154E32">
            <w:pPr>
              <w:spacing w:before="120" w:after="120"/>
              <w:jc w:val="center"/>
              <w:rPr>
                <w:rFonts w:ascii="Arial Narrow" w:hAnsi="Arial Narrow"/>
                <w:b/>
                <w:noProof/>
                <w:sz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0192362" w14:textId="77777777" w:rsidR="00154E32" w:rsidRDefault="00154E32">
            <w:pPr>
              <w:spacing w:before="120" w:after="120"/>
              <w:jc w:val="center"/>
              <w:rPr>
                <w:rFonts w:ascii="Arial Narrow" w:hAnsi="Arial Narrow"/>
                <w:b/>
                <w:noProof/>
                <w:sz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F6F31E8" w14:textId="77777777" w:rsidR="00154E32" w:rsidRDefault="00154E32">
            <w:pPr>
              <w:spacing w:before="120" w:after="120"/>
              <w:jc w:val="center"/>
              <w:rPr>
                <w:rFonts w:ascii="Arial Narrow" w:hAnsi="Arial Narrow"/>
                <w:b/>
                <w:noProof/>
                <w:sz w:val="20"/>
              </w:rPr>
            </w:pPr>
          </w:p>
        </w:tc>
        <w:tc>
          <w:tcPr>
            <w:tcW w:w="992"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57DA59D0" w14:textId="77777777" w:rsidR="00154E32" w:rsidRDefault="00A43E04">
            <w:pPr>
              <w:pStyle w:val="P68B1DB1-Normal9"/>
              <w:spacing w:before="120" w:after="120"/>
              <w:jc w:val="center"/>
              <w:rPr>
                <w:noProof/>
              </w:rPr>
            </w:pPr>
            <w:r>
              <w:rPr>
                <w:noProof/>
              </w:rPr>
              <w:t>Merska enota</w:t>
            </w:r>
          </w:p>
        </w:tc>
        <w:tc>
          <w:tcPr>
            <w:tcW w:w="1134" w:type="dxa"/>
            <w:tcBorders>
              <w:top w:val="single" w:sz="4" w:space="0" w:color="auto"/>
              <w:left w:val="nil"/>
              <w:bottom w:val="single" w:sz="4" w:space="0" w:color="auto"/>
              <w:right w:val="single" w:sz="4" w:space="0" w:color="auto"/>
            </w:tcBorders>
            <w:shd w:val="clear" w:color="auto" w:fill="BDD7EE"/>
            <w:vAlign w:val="center"/>
            <w:hideMark/>
          </w:tcPr>
          <w:p w14:paraId="6EB453CE" w14:textId="77777777" w:rsidR="00154E32" w:rsidRDefault="00A43E04">
            <w:pPr>
              <w:pStyle w:val="P68B1DB1-Normal9"/>
              <w:spacing w:before="120" w:after="120"/>
              <w:jc w:val="center"/>
              <w:rPr>
                <w:noProof/>
              </w:rPr>
            </w:pPr>
            <w:r>
              <w:rPr>
                <w:noProof/>
              </w:rPr>
              <w:t>Izhodišče</w:t>
            </w:r>
          </w:p>
        </w:tc>
        <w:tc>
          <w:tcPr>
            <w:tcW w:w="851" w:type="dxa"/>
            <w:tcBorders>
              <w:top w:val="single" w:sz="4" w:space="0" w:color="auto"/>
              <w:left w:val="nil"/>
              <w:bottom w:val="single" w:sz="4" w:space="0" w:color="auto"/>
              <w:right w:val="single" w:sz="4" w:space="0" w:color="auto"/>
            </w:tcBorders>
            <w:shd w:val="clear" w:color="auto" w:fill="BDD7EE"/>
            <w:vAlign w:val="center"/>
            <w:hideMark/>
          </w:tcPr>
          <w:p w14:paraId="16FFFE79" w14:textId="77777777" w:rsidR="00154E32" w:rsidRDefault="00A43E04">
            <w:pPr>
              <w:pStyle w:val="P68B1DB1-Normal9"/>
              <w:spacing w:before="120" w:after="120"/>
              <w:jc w:val="center"/>
              <w:rPr>
                <w:noProof/>
              </w:rPr>
            </w:pPr>
            <w:r>
              <w:rPr>
                <w:noProof/>
              </w:rPr>
              <w:t>Cilj</w:t>
            </w:r>
          </w:p>
        </w:tc>
        <w:tc>
          <w:tcPr>
            <w:tcW w:w="850" w:type="dxa"/>
            <w:tcBorders>
              <w:top w:val="single" w:sz="4" w:space="0" w:color="auto"/>
              <w:left w:val="nil"/>
              <w:bottom w:val="single" w:sz="4" w:space="0" w:color="auto"/>
              <w:right w:val="single" w:sz="4" w:space="0" w:color="auto"/>
            </w:tcBorders>
            <w:shd w:val="clear" w:color="auto" w:fill="BDD7EE"/>
            <w:vAlign w:val="center"/>
            <w:hideMark/>
          </w:tcPr>
          <w:p w14:paraId="75D22C83" w14:textId="77777777" w:rsidR="00154E32" w:rsidRDefault="00A43E04">
            <w:pPr>
              <w:pStyle w:val="P68B1DB1-Normal9"/>
              <w:spacing w:before="120" w:after="120"/>
              <w:jc w:val="center"/>
              <w:rPr>
                <w:noProof/>
              </w:rPr>
            </w:pPr>
            <w:r>
              <w:rPr>
                <w:noProof/>
              </w:rPr>
              <w:t>Četrtletje</w:t>
            </w:r>
          </w:p>
        </w:tc>
        <w:tc>
          <w:tcPr>
            <w:tcW w:w="709" w:type="dxa"/>
            <w:tcBorders>
              <w:top w:val="single" w:sz="4" w:space="0" w:color="auto"/>
              <w:left w:val="nil"/>
              <w:bottom w:val="single" w:sz="4" w:space="0" w:color="auto"/>
              <w:right w:val="single" w:sz="4" w:space="0" w:color="auto"/>
            </w:tcBorders>
            <w:shd w:val="clear" w:color="auto" w:fill="BDD7EE"/>
            <w:vAlign w:val="center"/>
            <w:hideMark/>
          </w:tcPr>
          <w:p w14:paraId="1B02A583" w14:textId="77777777" w:rsidR="00154E32" w:rsidRDefault="00A43E04">
            <w:pPr>
              <w:pStyle w:val="P68B1DB1-Normal9"/>
              <w:spacing w:before="120" w:after="120"/>
              <w:jc w:val="center"/>
              <w:rPr>
                <w:noProof/>
              </w:rPr>
            </w:pPr>
            <w:r>
              <w:rPr>
                <w:noProof/>
              </w:rPr>
              <w:t>Leto</w:t>
            </w:r>
          </w:p>
        </w:tc>
        <w:tc>
          <w:tcPr>
            <w:tcW w:w="2891" w:type="dxa"/>
            <w:vMerge/>
            <w:tcBorders>
              <w:top w:val="single" w:sz="4" w:space="0" w:color="auto"/>
              <w:bottom w:val="single" w:sz="4" w:space="0" w:color="auto"/>
              <w:right w:val="single" w:sz="4" w:space="0" w:color="auto"/>
            </w:tcBorders>
            <w:vAlign w:val="center"/>
            <w:hideMark/>
          </w:tcPr>
          <w:p w14:paraId="4F94593F" w14:textId="77777777" w:rsidR="00154E32" w:rsidRDefault="00154E32">
            <w:pPr>
              <w:spacing w:before="120" w:after="120"/>
              <w:rPr>
                <w:rFonts w:ascii="Arial Narrow" w:hAnsi="Arial Narrow"/>
                <w:b/>
                <w:noProof/>
                <w:sz w:val="20"/>
              </w:rPr>
            </w:pPr>
          </w:p>
        </w:tc>
      </w:tr>
      <w:tr w:rsidR="00154E32" w14:paraId="702DE034" w14:textId="77777777">
        <w:trPr>
          <w:trHeight w:val="309"/>
        </w:trPr>
        <w:tc>
          <w:tcPr>
            <w:tcW w:w="115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13013C" w14:textId="77777777" w:rsidR="00154E32" w:rsidRDefault="00A43E04">
            <w:pPr>
              <w:pStyle w:val="P68B1DB1-Normal11"/>
              <w:jc w:val="center"/>
              <w:rPr>
                <w:rFonts w:eastAsiaTheme="minorEastAsia"/>
                <w:noProof/>
              </w:rPr>
            </w:pPr>
            <w:r>
              <w:rPr>
                <w:noProof/>
              </w:rPr>
              <w:t>M6C2–1</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132315D8" w14:textId="77777777" w:rsidR="00154E32" w:rsidRDefault="00A43E04">
            <w:pPr>
              <w:pStyle w:val="P68B1DB1-Normal11"/>
              <w:jc w:val="center"/>
              <w:rPr>
                <w:rFonts w:eastAsiaTheme="minorEastAsia"/>
                <w:noProof/>
              </w:rPr>
            </w:pPr>
            <w:r>
              <w:rPr>
                <w:noProof/>
              </w:rPr>
              <w:t>Reforma 1: Revizija in posodobitev sedanjega pravnega okvira znanstvenih inštitutov za hospitalizacijo in oskrbo (IRCCS) ter raziskovalnih politik ministrstva za zdravje, da se okrepi povezava med raziskavami, inovacijami in zdravstvenim varstvom</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14:paraId="4409B80A" w14:textId="77777777" w:rsidR="00154E32" w:rsidRDefault="00A43E04">
            <w:pPr>
              <w:pStyle w:val="P68B1DB1-Normal11"/>
              <w:jc w:val="center"/>
              <w:rPr>
                <w:rFonts w:eastAsiaTheme="minorEastAsia"/>
                <w:noProof/>
              </w:rPr>
            </w:pPr>
            <w:r>
              <w:rPr>
                <w:noProof/>
              </w:rPr>
              <w:t>Mejnik</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43E636CB" w14:textId="77777777" w:rsidR="00154E32" w:rsidRDefault="00A43E04">
            <w:pPr>
              <w:pStyle w:val="P68B1DB1-Normal11"/>
              <w:jc w:val="center"/>
              <w:rPr>
                <w:rFonts w:eastAsiaTheme="minorEastAsia"/>
                <w:noProof/>
              </w:rPr>
            </w:pPr>
            <w:r>
              <w:rPr>
                <w:noProof/>
              </w:rPr>
              <w:t>Začetek veljavnosti zakonske uredbe o reorganizaciji predpisov, ki urejajo znanstvene ustanove za hospitalizacijo in oskrbo (IRCSS)</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73E6181D" w14:textId="77777777" w:rsidR="00154E32" w:rsidRDefault="00A43E04">
            <w:pPr>
              <w:pStyle w:val="P68B1DB1-Normal11"/>
              <w:jc w:val="center"/>
              <w:rPr>
                <w:rFonts w:eastAsiaTheme="minorEastAsia"/>
                <w:noProof/>
              </w:rPr>
            </w:pPr>
            <w:r>
              <w:rPr>
                <w:noProof/>
              </w:rPr>
              <w:t>Določba uredbe o začetku veljavnosti</w:t>
            </w:r>
          </w:p>
        </w:tc>
        <w:tc>
          <w:tcPr>
            <w:tcW w:w="992" w:type="dxa"/>
            <w:tcBorders>
              <w:top w:val="nil"/>
              <w:left w:val="nil"/>
              <w:bottom w:val="single" w:sz="4" w:space="0" w:color="auto"/>
              <w:right w:val="single" w:sz="4" w:space="0" w:color="auto"/>
            </w:tcBorders>
            <w:shd w:val="clear" w:color="auto" w:fill="C6EFCE"/>
            <w:noWrap/>
            <w:vAlign w:val="center"/>
          </w:tcPr>
          <w:p w14:paraId="5D37F95C" w14:textId="77777777" w:rsidR="00154E32" w:rsidRDefault="00A43E04">
            <w:pPr>
              <w:pStyle w:val="P68B1DB1-Normal11"/>
              <w:jc w:val="center"/>
              <w:rPr>
                <w:rFonts w:eastAsiaTheme="minorEastAsia"/>
                <w:noProof/>
              </w:rPr>
            </w:pPr>
            <w:r>
              <w:rPr>
                <w:noProof/>
              </w:rPr>
              <w:t>JIH NI</w:t>
            </w:r>
          </w:p>
        </w:tc>
        <w:tc>
          <w:tcPr>
            <w:tcW w:w="1134" w:type="dxa"/>
            <w:tcBorders>
              <w:top w:val="nil"/>
              <w:left w:val="nil"/>
              <w:bottom w:val="single" w:sz="4" w:space="0" w:color="auto"/>
              <w:right w:val="single" w:sz="4" w:space="0" w:color="auto"/>
            </w:tcBorders>
            <w:shd w:val="clear" w:color="auto" w:fill="C6EFCE"/>
            <w:noWrap/>
            <w:vAlign w:val="center"/>
          </w:tcPr>
          <w:p w14:paraId="47661CC2" w14:textId="77777777" w:rsidR="00154E32" w:rsidRDefault="00A43E04">
            <w:pPr>
              <w:pStyle w:val="P68B1DB1-Normal11"/>
              <w:jc w:val="center"/>
              <w:rPr>
                <w:rFonts w:eastAsiaTheme="minorEastAsia"/>
                <w:noProof/>
              </w:rPr>
            </w:pPr>
            <w:r>
              <w:rPr>
                <w:noProof/>
              </w:rPr>
              <w:t>JIH NI</w:t>
            </w:r>
          </w:p>
        </w:tc>
        <w:tc>
          <w:tcPr>
            <w:tcW w:w="851" w:type="dxa"/>
            <w:tcBorders>
              <w:top w:val="nil"/>
              <w:left w:val="nil"/>
              <w:bottom w:val="single" w:sz="4" w:space="0" w:color="auto"/>
              <w:right w:val="single" w:sz="4" w:space="0" w:color="auto"/>
            </w:tcBorders>
            <w:shd w:val="clear" w:color="auto" w:fill="C6EFCE"/>
            <w:noWrap/>
            <w:vAlign w:val="center"/>
          </w:tcPr>
          <w:p w14:paraId="336A0C41" w14:textId="77777777" w:rsidR="00154E32" w:rsidRDefault="00A43E04">
            <w:pPr>
              <w:pStyle w:val="P68B1DB1-Normal11"/>
              <w:jc w:val="center"/>
              <w:rPr>
                <w:rFonts w:eastAsiaTheme="minorEastAsia"/>
                <w:noProof/>
              </w:rPr>
            </w:pPr>
            <w:r>
              <w:rPr>
                <w:noProof/>
              </w:rPr>
              <w:t>JIH NI</w:t>
            </w:r>
          </w:p>
        </w:tc>
        <w:tc>
          <w:tcPr>
            <w:tcW w:w="850" w:type="dxa"/>
            <w:tcBorders>
              <w:top w:val="nil"/>
              <w:left w:val="nil"/>
              <w:bottom w:val="single" w:sz="4" w:space="0" w:color="auto"/>
              <w:right w:val="single" w:sz="4" w:space="0" w:color="auto"/>
            </w:tcBorders>
            <w:shd w:val="clear" w:color="auto" w:fill="C6EFCE"/>
            <w:noWrap/>
            <w:vAlign w:val="center"/>
          </w:tcPr>
          <w:p w14:paraId="0664E1EC" w14:textId="77777777" w:rsidR="00154E32" w:rsidRDefault="00A43E04">
            <w:pPr>
              <w:pStyle w:val="P68B1DB1-Normal11"/>
              <w:jc w:val="center"/>
              <w:rPr>
                <w:rFonts w:eastAsiaTheme="minorEastAsia"/>
                <w:noProof/>
              </w:rPr>
            </w:pPr>
            <w:r>
              <w:rPr>
                <w:noProof/>
              </w:rPr>
              <w:t>Q4</w:t>
            </w:r>
          </w:p>
        </w:tc>
        <w:tc>
          <w:tcPr>
            <w:tcW w:w="709" w:type="dxa"/>
            <w:tcBorders>
              <w:top w:val="nil"/>
              <w:left w:val="nil"/>
              <w:bottom w:val="single" w:sz="4" w:space="0" w:color="auto"/>
              <w:right w:val="single" w:sz="4" w:space="0" w:color="auto"/>
            </w:tcBorders>
            <w:shd w:val="clear" w:color="auto" w:fill="C6EFCE"/>
            <w:noWrap/>
            <w:vAlign w:val="center"/>
          </w:tcPr>
          <w:p w14:paraId="673BD913" w14:textId="77777777" w:rsidR="00154E32" w:rsidRDefault="00A43E04">
            <w:pPr>
              <w:pStyle w:val="P68B1DB1-Normal11"/>
              <w:jc w:val="center"/>
              <w:rPr>
                <w:rFonts w:eastAsiaTheme="minorEastAsia"/>
                <w:noProof/>
              </w:rPr>
            </w:pPr>
            <w:r>
              <w:rPr>
                <w:noProof/>
              </w:rPr>
              <w:t>2022</w:t>
            </w:r>
          </w:p>
        </w:tc>
        <w:tc>
          <w:tcPr>
            <w:tcW w:w="2891" w:type="dxa"/>
            <w:tcBorders>
              <w:top w:val="single" w:sz="4" w:space="0" w:color="auto"/>
              <w:left w:val="nil"/>
              <w:bottom w:val="single" w:sz="4" w:space="0" w:color="auto"/>
              <w:right w:val="single" w:sz="4" w:space="0" w:color="auto"/>
            </w:tcBorders>
            <w:shd w:val="clear" w:color="auto" w:fill="C6EFCE"/>
            <w:noWrap/>
            <w:vAlign w:val="center"/>
          </w:tcPr>
          <w:p w14:paraId="7E038C89" w14:textId="77777777" w:rsidR="00154E32" w:rsidRDefault="00A43E04">
            <w:pPr>
              <w:pStyle w:val="P68B1DB1-Normal11"/>
              <w:rPr>
                <w:rFonts w:eastAsiaTheme="minorEastAsia"/>
                <w:noProof/>
              </w:rPr>
            </w:pPr>
            <w:r>
              <w:rPr>
                <w:noProof/>
              </w:rPr>
              <w:t>Reforma bo reorganizirala mrežo IRCCS, da se izboljšata kakovost in odličnost NZS, izboljša odnos med zdravjem in raziskavami, ponovno preuči pravna ureditev IRCCS in raziskovalne politike v pristojnosti italijanskega ministrstva za zdravje.</w:t>
            </w:r>
          </w:p>
          <w:p w14:paraId="69334D6B" w14:textId="77777777" w:rsidR="00154E32" w:rsidRDefault="00A43E04">
            <w:pPr>
              <w:pStyle w:val="P68B1DB1-Normal11"/>
              <w:rPr>
                <w:rFonts w:eastAsiaTheme="minorEastAsia"/>
                <w:noProof/>
              </w:rPr>
            </w:pPr>
            <w:r>
              <w:rPr>
                <w:noProof/>
              </w:rPr>
              <w:t>Reforma vključuje ukrepe za: okrepiti povezavo med raziskavami, inovacijami in zdravstvenim varstvom; izboljšati upravljanje javnih sistemov IRCCS z okrepitvijo strateškega upravljanja ter boljšo opredelitvijo pristojnosti in področij pristojnosti.</w:t>
            </w:r>
          </w:p>
        </w:tc>
      </w:tr>
      <w:tr w:rsidR="00154E32" w14:paraId="2E60E86A" w14:textId="77777777">
        <w:trPr>
          <w:trHeight w:val="309"/>
        </w:trPr>
        <w:tc>
          <w:tcPr>
            <w:tcW w:w="1158" w:type="dxa"/>
            <w:tcBorders>
              <w:top w:val="nil"/>
              <w:left w:val="single" w:sz="4" w:space="0" w:color="auto"/>
              <w:bottom w:val="single" w:sz="4" w:space="0" w:color="auto"/>
              <w:right w:val="single" w:sz="4" w:space="0" w:color="auto"/>
            </w:tcBorders>
            <w:shd w:val="clear" w:color="auto" w:fill="C6EFCE"/>
            <w:noWrap/>
            <w:vAlign w:val="center"/>
            <w:hideMark/>
          </w:tcPr>
          <w:p w14:paraId="2AFF1F08" w14:textId="77777777" w:rsidR="00154E32" w:rsidRDefault="00A43E04">
            <w:pPr>
              <w:pStyle w:val="P68B1DB1-Normal11"/>
              <w:jc w:val="center"/>
              <w:rPr>
                <w:rFonts w:eastAsiaTheme="minorEastAsia"/>
                <w:noProof/>
              </w:rPr>
            </w:pPr>
            <w:r>
              <w:rPr>
                <w:noProof/>
              </w:rPr>
              <w:t>M6C2–2</w:t>
            </w:r>
          </w:p>
        </w:tc>
        <w:tc>
          <w:tcPr>
            <w:tcW w:w="1985" w:type="dxa"/>
            <w:tcBorders>
              <w:top w:val="nil"/>
              <w:left w:val="nil"/>
              <w:bottom w:val="single" w:sz="4" w:space="0" w:color="auto"/>
              <w:right w:val="single" w:sz="4" w:space="0" w:color="auto"/>
            </w:tcBorders>
            <w:shd w:val="clear" w:color="auto" w:fill="C6EFCE"/>
            <w:noWrap/>
            <w:vAlign w:val="center"/>
            <w:hideMark/>
          </w:tcPr>
          <w:p w14:paraId="18563E5D" w14:textId="77777777" w:rsidR="00154E32" w:rsidRDefault="00A43E04">
            <w:pPr>
              <w:pStyle w:val="P68B1DB1-Normal11"/>
              <w:jc w:val="center"/>
              <w:rPr>
                <w:rFonts w:eastAsiaTheme="minorEastAsia"/>
                <w:noProof/>
              </w:rPr>
            </w:pPr>
            <w:r>
              <w:rPr>
                <w:noProof/>
              </w:rPr>
              <w:t>Naložba 2.1: Krepitev in izboljšanje biomedicinskih raziskav NHS</w:t>
            </w:r>
          </w:p>
        </w:tc>
        <w:tc>
          <w:tcPr>
            <w:tcW w:w="1275" w:type="dxa"/>
            <w:tcBorders>
              <w:top w:val="nil"/>
              <w:left w:val="nil"/>
              <w:bottom w:val="single" w:sz="4" w:space="0" w:color="auto"/>
              <w:right w:val="single" w:sz="4" w:space="0" w:color="auto"/>
            </w:tcBorders>
            <w:shd w:val="clear" w:color="auto" w:fill="C6EFCE"/>
            <w:noWrap/>
            <w:vAlign w:val="center"/>
            <w:hideMark/>
          </w:tcPr>
          <w:p w14:paraId="3FA34210" w14:textId="77777777" w:rsidR="00154E32" w:rsidRDefault="00A43E04">
            <w:pPr>
              <w:pStyle w:val="P68B1DB1-Normal11"/>
              <w:jc w:val="center"/>
              <w:rPr>
                <w:rFonts w:eastAsiaTheme="minorEastAsia"/>
                <w:noProof/>
              </w:rPr>
            </w:pPr>
            <w:r>
              <w:rPr>
                <w:noProof/>
              </w:rPr>
              <w:t>Tarča</w:t>
            </w:r>
          </w:p>
        </w:tc>
        <w:tc>
          <w:tcPr>
            <w:tcW w:w="1843" w:type="dxa"/>
            <w:tcBorders>
              <w:top w:val="nil"/>
              <w:left w:val="nil"/>
              <w:bottom w:val="single" w:sz="4" w:space="0" w:color="auto"/>
              <w:right w:val="single" w:sz="4" w:space="0" w:color="auto"/>
            </w:tcBorders>
            <w:shd w:val="clear" w:color="auto" w:fill="C6EFCE"/>
            <w:noWrap/>
            <w:vAlign w:val="center"/>
            <w:hideMark/>
          </w:tcPr>
          <w:p w14:paraId="752A3634" w14:textId="77777777" w:rsidR="00154E32" w:rsidRDefault="00A43E04">
            <w:pPr>
              <w:pStyle w:val="P68B1DB1-Normal11"/>
              <w:jc w:val="center"/>
              <w:rPr>
                <w:rFonts w:eastAsiaTheme="minorEastAsia"/>
                <w:noProof/>
              </w:rPr>
            </w:pPr>
            <w:r>
              <w:rPr>
                <w:noProof/>
              </w:rPr>
              <w:t>Raziskovalni projekti, financirani na področju redkih vrst raka in bolezni</w:t>
            </w:r>
          </w:p>
        </w:tc>
        <w:tc>
          <w:tcPr>
            <w:tcW w:w="1701" w:type="dxa"/>
            <w:tcBorders>
              <w:top w:val="nil"/>
              <w:left w:val="nil"/>
              <w:bottom w:val="single" w:sz="4" w:space="0" w:color="auto"/>
              <w:right w:val="single" w:sz="4" w:space="0" w:color="auto"/>
            </w:tcBorders>
            <w:shd w:val="clear" w:color="auto" w:fill="C6EFCE"/>
            <w:noWrap/>
            <w:vAlign w:val="center"/>
          </w:tcPr>
          <w:p w14:paraId="6F6E5349" w14:textId="77777777" w:rsidR="00154E32" w:rsidRDefault="00A43E04">
            <w:pPr>
              <w:pStyle w:val="P68B1DB1-Normal11"/>
              <w:jc w:val="center"/>
              <w:rPr>
                <w:rFonts w:eastAsiaTheme="minorEastAsia"/>
                <w:noProof/>
              </w:rPr>
            </w:pPr>
            <w:r>
              <w:rPr>
                <w:noProof/>
              </w:rPr>
              <w:t>JIH NI</w:t>
            </w:r>
          </w:p>
        </w:tc>
        <w:tc>
          <w:tcPr>
            <w:tcW w:w="992" w:type="dxa"/>
            <w:tcBorders>
              <w:top w:val="nil"/>
              <w:left w:val="nil"/>
              <w:bottom w:val="single" w:sz="4" w:space="0" w:color="auto"/>
              <w:right w:val="single" w:sz="4" w:space="0" w:color="auto"/>
            </w:tcBorders>
            <w:shd w:val="clear" w:color="auto" w:fill="C6EFCE"/>
            <w:noWrap/>
            <w:vAlign w:val="center"/>
            <w:hideMark/>
          </w:tcPr>
          <w:p w14:paraId="767E1505" w14:textId="77777777" w:rsidR="00154E32" w:rsidRDefault="00A43E04">
            <w:pPr>
              <w:pStyle w:val="P68B1DB1-Normal11"/>
              <w:jc w:val="center"/>
              <w:rPr>
                <w:rFonts w:eastAsiaTheme="minorEastAsia"/>
                <w:noProof/>
              </w:rPr>
            </w:pPr>
            <w:r>
              <w:rPr>
                <w:noProof/>
              </w:rPr>
              <w:t>Število</w:t>
            </w:r>
          </w:p>
        </w:tc>
        <w:tc>
          <w:tcPr>
            <w:tcW w:w="1134" w:type="dxa"/>
            <w:tcBorders>
              <w:top w:val="nil"/>
              <w:left w:val="nil"/>
              <w:bottom w:val="single" w:sz="4" w:space="0" w:color="auto"/>
              <w:right w:val="single" w:sz="4" w:space="0" w:color="auto"/>
            </w:tcBorders>
            <w:shd w:val="clear" w:color="auto" w:fill="C6EFCE"/>
            <w:noWrap/>
            <w:vAlign w:val="center"/>
            <w:hideMark/>
          </w:tcPr>
          <w:p w14:paraId="5DF96A9C" w14:textId="77777777" w:rsidR="00154E32" w:rsidRDefault="00A43E04">
            <w:pPr>
              <w:pStyle w:val="P68B1DB1-Normal11"/>
              <w:jc w:val="center"/>
              <w:rPr>
                <w:rFonts w:eastAsiaTheme="minorEastAsia"/>
                <w:noProof/>
              </w:rPr>
            </w:pPr>
            <w:r>
              <w:rPr>
                <w:noProof/>
              </w:rPr>
              <w:t>0</w:t>
            </w:r>
          </w:p>
        </w:tc>
        <w:tc>
          <w:tcPr>
            <w:tcW w:w="851" w:type="dxa"/>
            <w:tcBorders>
              <w:top w:val="nil"/>
              <w:left w:val="nil"/>
              <w:bottom w:val="single" w:sz="4" w:space="0" w:color="auto"/>
              <w:right w:val="single" w:sz="4" w:space="0" w:color="auto"/>
            </w:tcBorders>
            <w:shd w:val="clear" w:color="auto" w:fill="C6EFCE"/>
            <w:noWrap/>
            <w:vAlign w:val="center"/>
            <w:hideMark/>
          </w:tcPr>
          <w:p w14:paraId="447BBE02" w14:textId="77777777" w:rsidR="00154E32" w:rsidRDefault="00A43E04">
            <w:pPr>
              <w:pStyle w:val="P68B1DB1-Normal11"/>
              <w:jc w:val="center"/>
              <w:rPr>
                <w:rFonts w:eastAsiaTheme="minorEastAsia"/>
                <w:noProof/>
              </w:rPr>
            </w:pPr>
            <w:r>
              <w:rPr>
                <w:noProof/>
              </w:rPr>
              <w:t>100</w:t>
            </w:r>
          </w:p>
        </w:tc>
        <w:tc>
          <w:tcPr>
            <w:tcW w:w="850" w:type="dxa"/>
            <w:tcBorders>
              <w:top w:val="nil"/>
              <w:left w:val="nil"/>
              <w:bottom w:val="single" w:sz="4" w:space="0" w:color="auto"/>
              <w:right w:val="single" w:sz="4" w:space="0" w:color="auto"/>
            </w:tcBorders>
            <w:shd w:val="clear" w:color="auto" w:fill="C6EFCE"/>
            <w:noWrap/>
            <w:vAlign w:val="center"/>
            <w:hideMark/>
          </w:tcPr>
          <w:p w14:paraId="5A353CAD" w14:textId="77777777" w:rsidR="00154E32" w:rsidRDefault="00A43E04">
            <w:pPr>
              <w:pStyle w:val="P68B1DB1-Normal11"/>
              <w:jc w:val="center"/>
              <w:rPr>
                <w:rFonts w:eastAsiaTheme="minorEastAsia"/>
                <w:noProof/>
              </w:rPr>
            </w:pPr>
            <w:r>
              <w:rPr>
                <w:noProof/>
              </w:rPr>
              <w:t>Q4</w:t>
            </w:r>
          </w:p>
        </w:tc>
        <w:tc>
          <w:tcPr>
            <w:tcW w:w="709" w:type="dxa"/>
            <w:tcBorders>
              <w:top w:val="nil"/>
              <w:left w:val="nil"/>
              <w:bottom w:val="single" w:sz="4" w:space="0" w:color="auto"/>
              <w:right w:val="single" w:sz="4" w:space="0" w:color="auto"/>
            </w:tcBorders>
            <w:shd w:val="clear" w:color="auto" w:fill="C6EFCE"/>
            <w:noWrap/>
            <w:vAlign w:val="center"/>
            <w:hideMark/>
          </w:tcPr>
          <w:p w14:paraId="47658C8B" w14:textId="77777777" w:rsidR="00154E32" w:rsidRDefault="00A43E04">
            <w:pPr>
              <w:pStyle w:val="P68B1DB1-Normal11"/>
              <w:jc w:val="center"/>
              <w:rPr>
                <w:rFonts w:eastAsiaTheme="minorEastAsia"/>
                <w:noProof/>
              </w:rPr>
            </w:pPr>
            <w:r>
              <w:rPr>
                <w:noProof/>
              </w:rPr>
              <w:t>2025</w:t>
            </w:r>
          </w:p>
        </w:tc>
        <w:tc>
          <w:tcPr>
            <w:tcW w:w="2891" w:type="dxa"/>
            <w:tcBorders>
              <w:top w:val="nil"/>
              <w:left w:val="nil"/>
              <w:bottom w:val="single" w:sz="4" w:space="0" w:color="auto"/>
              <w:right w:val="single" w:sz="4" w:space="0" w:color="auto"/>
            </w:tcBorders>
            <w:shd w:val="clear" w:color="auto" w:fill="C6EFCE"/>
            <w:noWrap/>
            <w:vAlign w:val="center"/>
            <w:hideMark/>
          </w:tcPr>
          <w:p w14:paraId="1DCD8637" w14:textId="77777777" w:rsidR="00154E32" w:rsidRDefault="00A43E04">
            <w:pPr>
              <w:pStyle w:val="P68B1DB1-Normal10"/>
              <w:rPr>
                <w:rFonts w:eastAsiaTheme="minorEastAsia"/>
                <w:noProof/>
                <w:color w:val="006100"/>
                <w:sz w:val="20"/>
              </w:rPr>
            </w:pPr>
            <w:r>
              <w:rPr>
                <w:noProof/>
                <w:color w:val="006100"/>
                <w:sz w:val="20"/>
              </w:rPr>
              <w:t>Dodelitev sredstev raziskovalnim programom/projektom na področju redkih bolezni in redkih vrst raka. Te patologije, ki so zelo zapletene na področju biomedicine in pogosto večorgansko izražajo, zahtevajo kombinacijo visoke klinične usposobljenosti ter naprednih diagnostičnih in raziskovalnih dejavnosti, zahtevajo pa tudi tehnologije odličnosti in usklajevanje mrež sodelovanja na nacionalni in evropski ravni.</w:t>
            </w:r>
            <w:r>
              <w:rPr>
                <w:noProof/>
              </w:rPr>
              <w:t xml:space="preserve"> </w:t>
            </w:r>
            <w:r>
              <w:rPr>
                <w:noProof/>
              </w:rPr>
              <w:br/>
            </w:r>
            <w:r>
              <w:rPr>
                <w:noProof/>
                <w:color w:val="006100"/>
                <w:sz w:val="20"/>
              </w:rPr>
              <w:t>Dodelitev sredstev za raziskovalne projekte na področju redkih bolezni in redkih vrst raka se izvede s postopkom javnega razpisa.</w:t>
            </w:r>
          </w:p>
          <w:p w14:paraId="70A2BE06" w14:textId="77777777" w:rsidR="00154E32" w:rsidRDefault="00A43E04">
            <w:pPr>
              <w:pStyle w:val="P68B1DB1-Normal11"/>
              <w:rPr>
                <w:rFonts w:eastAsiaTheme="minorEastAsia"/>
                <w:noProof/>
              </w:rPr>
            </w:pPr>
            <w:r>
              <w:rPr>
                <w:noProof/>
              </w:rPr>
              <w:t>Najmanj 100 raziskovalnih projektov je prejelo prvo tranšo financiranja.</w:t>
            </w:r>
          </w:p>
        </w:tc>
      </w:tr>
      <w:tr w:rsidR="00154E32" w14:paraId="5AB7D6F8" w14:textId="77777777">
        <w:trPr>
          <w:trHeight w:val="309"/>
        </w:trPr>
        <w:tc>
          <w:tcPr>
            <w:tcW w:w="115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6C0E447" w14:textId="77777777" w:rsidR="00154E32" w:rsidRDefault="00A43E04">
            <w:pPr>
              <w:pStyle w:val="P68B1DB1-Normal11"/>
              <w:jc w:val="center"/>
              <w:rPr>
                <w:rFonts w:eastAsiaTheme="minorEastAsia"/>
                <w:noProof/>
              </w:rPr>
            </w:pPr>
            <w:r>
              <w:rPr>
                <w:noProof/>
              </w:rPr>
              <w:t>M6C2–3</w:t>
            </w:r>
          </w:p>
        </w:tc>
        <w:tc>
          <w:tcPr>
            <w:tcW w:w="1985" w:type="dxa"/>
            <w:tcBorders>
              <w:top w:val="single" w:sz="4" w:space="0" w:color="auto"/>
              <w:left w:val="nil"/>
              <w:bottom w:val="single" w:sz="4" w:space="0" w:color="auto"/>
              <w:right w:val="single" w:sz="4" w:space="0" w:color="auto"/>
            </w:tcBorders>
            <w:shd w:val="clear" w:color="auto" w:fill="C6EFCE"/>
            <w:noWrap/>
            <w:vAlign w:val="center"/>
          </w:tcPr>
          <w:p w14:paraId="4102535B" w14:textId="77777777" w:rsidR="00154E32" w:rsidRDefault="00A43E04">
            <w:pPr>
              <w:pStyle w:val="P68B1DB1-Normal11"/>
              <w:jc w:val="center"/>
              <w:rPr>
                <w:rFonts w:eastAsiaTheme="minorEastAsia"/>
                <w:noProof/>
              </w:rPr>
            </w:pPr>
            <w:r>
              <w:rPr>
                <w:noProof/>
              </w:rPr>
              <w:t>Naložba 2.1: Krepitev in izboljšanje biomedicinskih raziskav NHS</w:t>
            </w:r>
          </w:p>
        </w:tc>
        <w:tc>
          <w:tcPr>
            <w:tcW w:w="1275" w:type="dxa"/>
            <w:tcBorders>
              <w:top w:val="single" w:sz="4" w:space="0" w:color="auto"/>
              <w:left w:val="nil"/>
              <w:bottom w:val="single" w:sz="4" w:space="0" w:color="auto"/>
              <w:right w:val="single" w:sz="4" w:space="0" w:color="auto"/>
            </w:tcBorders>
            <w:shd w:val="clear" w:color="auto" w:fill="C6EFCE"/>
            <w:noWrap/>
            <w:vAlign w:val="center"/>
          </w:tcPr>
          <w:p w14:paraId="1144A28D" w14:textId="77777777" w:rsidR="00154E32" w:rsidRDefault="00A43E04">
            <w:pPr>
              <w:pStyle w:val="P68B1DB1-Normal11"/>
              <w:jc w:val="center"/>
              <w:rPr>
                <w:rFonts w:eastAsiaTheme="minorEastAsia"/>
                <w:noProof/>
              </w:rPr>
            </w:pPr>
            <w:r>
              <w:rPr>
                <w:noProof/>
              </w:rPr>
              <w:t>Tarča</w:t>
            </w:r>
          </w:p>
        </w:tc>
        <w:tc>
          <w:tcPr>
            <w:tcW w:w="1843" w:type="dxa"/>
            <w:tcBorders>
              <w:top w:val="single" w:sz="4" w:space="0" w:color="auto"/>
              <w:left w:val="nil"/>
              <w:bottom w:val="single" w:sz="4" w:space="0" w:color="auto"/>
              <w:right w:val="single" w:sz="4" w:space="0" w:color="auto"/>
            </w:tcBorders>
            <w:shd w:val="clear" w:color="auto" w:fill="C6EFCE"/>
            <w:noWrap/>
            <w:vAlign w:val="center"/>
          </w:tcPr>
          <w:p w14:paraId="111CC28F" w14:textId="77777777" w:rsidR="00154E32" w:rsidRDefault="00A43E04">
            <w:pPr>
              <w:pStyle w:val="P68B1DB1-Normal11"/>
              <w:jc w:val="center"/>
              <w:rPr>
                <w:rFonts w:eastAsiaTheme="minorEastAsia"/>
                <w:noProof/>
              </w:rPr>
            </w:pPr>
            <w:r>
              <w:rPr>
                <w:noProof/>
              </w:rPr>
              <w:t>Financirani raziskovalni projekti o boleznih z velikim vplivom na zdravje</w:t>
            </w:r>
          </w:p>
        </w:tc>
        <w:tc>
          <w:tcPr>
            <w:tcW w:w="1701" w:type="dxa"/>
            <w:tcBorders>
              <w:top w:val="single" w:sz="4" w:space="0" w:color="auto"/>
              <w:left w:val="nil"/>
              <w:bottom w:val="single" w:sz="4" w:space="0" w:color="auto"/>
              <w:right w:val="single" w:sz="4" w:space="0" w:color="auto"/>
            </w:tcBorders>
            <w:shd w:val="clear" w:color="auto" w:fill="C6EFCE"/>
            <w:noWrap/>
            <w:vAlign w:val="center"/>
          </w:tcPr>
          <w:p w14:paraId="1760986E" w14:textId="77777777" w:rsidR="00154E32" w:rsidRDefault="00A43E04">
            <w:pPr>
              <w:pStyle w:val="P68B1DB1-Normal11"/>
              <w:jc w:val="center"/>
              <w:rPr>
                <w:rFonts w:eastAsiaTheme="minorEastAsia"/>
                <w:noProof/>
              </w:rPr>
            </w:pPr>
            <w:r>
              <w:rPr>
                <w:noProof/>
              </w:rPr>
              <w:t>JIH NI</w:t>
            </w:r>
          </w:p>
        </w:tc>
        <w:tc>
          <w:tcPr>
            <w:tcW w:w="992" w:type="dxa"/>
            <w:tcBorders>
              <w:top w:val="single" w:sz="4" w:space="0" w:color="auto"/>
              <w:left w:val="nil"/>
              <w:bottom w:val="single" w:sz="4" w:space="0" w:color="auto"/>
              <w:right w:val="single" w:sz="4" w:space="0" w:color="auto"/>
            </w:tcBorders>
            <w:shd w:val="clear" w:color="auto" w:fill="C6EFCE"/>
            <w:noWrap/>
            <w:vAlign w:val="center"/>
          </w:tcPr>
          <w:p w14:paraId="6FC47B71" w14:textId="77777777" w:rsidR="00154E32" w:rsidRDefault="00A43E04">
            <w:pPr>
              <w:pStyle w:val="P68B1DB1-Normal11"/>
              <w:jc w:val="center"/>
              <w:rPr>
                <w:rFonts w:eastAsiaTheme="minorEastAsia"/>
                <w:noProof/>
              </w:rPr>
            </w:pPr>
            <w:r>
              <w:rPr>
                <w:noProof/>
              </w:rPr>
              <w:t>Število</w:t>
            </w:r>
          </w:p>
        </w:tc>
        <w:tc>
          <w:tcPr>
            <w:tcW w:w="1134" w:type="dxa"/>
            <w:tcBorders>
              <w:top w:val="single" w:sz="4" w:space="0" w:color="auto"/>
              <w:left w:val="nil"/>
              <w:bottom w:val="single" w:sz="4" w:space="0" w:color="auto"/>
              <w:right w:val="single" w:sz="4" w:space="0" w:color="auto"/>
            </w:tcBorders>
            <w:shd w:val="clear" w:color="auto" w:fill="C6EFCE"/>
            <w:noWrap/>
            <w:vAlign w:val="center"/>
          </w:tcPr>
          <w:p w14:paraId="5FC082D4" w14:textId="77777777" w:rsidR="00154E32" w:rsidRDefault="00A43E04">
            <w:pPr>
              <w:pStyle w:val="P68B1DB1-Normal11"/>
              <w:jc w:val="center"/>
              <w:rPr>
                <w:rFonts w:eastAsiaTheme="minorEastAsia"/>
                <w:noProof/>
              </w:rPr>
            </w:pPr>
            <w:r>
              <w:rPr>
                <w:noProof/>
              </w:rPr>
              <w:t>0</w:t>
            </w:r>
          </w:p>
        </w:tc>
        <w:tc>
          <w:tcPr>
            <w:tcW w:w="851" w:type="dxa"/>
            <w:tcBorders>
              <w:top w:val="single" w:sz="4" w:space="0" w:color="auto"/>
              <w:left w:val="nil"/>
              <w:bottom w:val="single" w:sz="4" w:space="0" w:color="auto"/>
              <w:right w:val="single" w:sz="4" w:space="0" w:color="auto"/>
            </w:tcBorders>
            <w:shd w:val="clear" w:color="auto" w:fill="C6EFCE"/>
            <w:noWrap/>
            <w:vAlign w:val="center"/>
          </w:tcPr>
          <w:p w14:paraId="7767E4B1" w14:textId="77777777" w:rsidR="00154E32" w:rsidRDefault="00A43E04">
            <w:pPr>
              <w:pStyle w:val="P68B1DB1-Normal11"/>
              <w:jc w:val="center"/>
              <w:rPr>
                <w:rFonts w:eastAsiaTheme="minorEastAsia"/>
                <w:noProof/>
              </w:rPr>
            </w:pPr>
            <w:r>
              <w:rPr>
                <w:noProof/>
              </w:rPr>
              <w:t>324</w:t>
            </w:r>
          </w:p>
        </w:tc>
        <w:tc>
          <w:tcPr>
            <w:tcW w:w="850" w:type="dxa"/>
            <w:tcBorders>
              <w:top w:val="single" w:sz="4" w:space="0" w:color="auto"/>
              <w:left w:val="nil"/>
              <w:bottom w:val="single" w:sz="4" w:space="0" w:color="auto"/>
              <w:right w:val="single" w:sz="4" w:space="0" w:color="auto"/>
            </w:tcBorders>
            <w:shd w:val="clear" w:color="auto" w:fill="C6EFCE"/>
            <w:noWrap/>
            <w:vAlign w:val="center"/>
          </w:tcPr>
          <w:p w14:paraId="67BD46CB" w14:textId="77777777" w:rsidR="00154E32" w:rsidRDefault="00A43E04">
            <w:pPr>
              <w:pStyle w:val="P68B1DB1-Normal11"/>
              <w:jc w:val="center"/>
              <w:rPr>
                <w:rFonts w:eastAsiaTheme="minorEastAsia"/>
                <w:noProof/>
              </w:rPr>
            </w:pPr>
            <w:r>
              <w:rPr>
                <w:noProof/>
              </w:rPr>
              <w:t>Q4</w:t>
            </w:r>
          </w:p>
        </w:tc>
        <w:tc>
          <w:tcPr>
            <w:tcW w:w="709" w:type="dxa"/>
            <w:tcBorders>
              <w:top w:val="single" w:sz="4" w:space="0" w:color="auto"/>
              <w:left w:val="nil"/>
              <w:bottom w:val="single" w:sz="4" w:space="0" w:color="auto"/>
              <w:right w:val="single" w:sz="4" w:space="0" w:color="auto"/>
            </w:tcBorders>
            <w:shd w:val="clear" w:color="auto" w:fill="C6EFCE"/>
            <w:noWrap/>
            <w:vAlign w:val="center"/>
          </w:tcPr>
          <w:p w14:paraId="6351DA8C" w14:textId="77777777" w:rsidR="00154E32" w:rsidRDefault="00A43E04">
            <w:pPr>
              <w:pStyle w:val="P68B1DB1-Normal11"/>
              <w:jc w:val="center"/>
              <w:rPr>
                <w:rFonts w:eastAsiaTheme="minorEastAsia"/>
                <w:noProof/>
              </w:rPr>
            </w:pPr>
            <w:r>
              <w:rPr>
                <w:noProof/>
              </w:rPr>
              <w:t>2025</w:t>
            </w:r>
          </w:p>
        </w:tc>
        <w:tc>
          <w:tcPr>
            <w:tcW w:w="2891" w:type="dxa"/>
            <w:tcBorders>
              <w:top w:val="single" w:sz="4" w:space="0" w:color="auto"/>
              <w:left w:val="nil"/>
              <w:bottom w:val="single" w:sz="4" w:space="0" w:color="auto"/>
              <w:right w:val="single" w:sz="4" w:space="0" w:color="auto"/>
            </w:tcBorders>
            <w:shd w:val="clear" w:color="auto" w:fill="C6EFCE"/>
            <w:noWrap/>
            <w:vAlign w:val="center"/>
          </w:tcPr>
          <w:p w14:paraId="563A0FEA" w14:textId="77777777" w:rsidR="00154E32" w:rsidRDefault="00A43E04">
            <w:pPr>
              <w:pStyle w:val="P68B1DB1-Normal10"/>
              <w:rPr>
                <w:rFonts w:eastAsiaTheme="minorEastAsia"/>
                <w:noProof/>
                <w:color w:val="006100"/>
                <w:sz w:val="20"/>
              </w:rPr>
            </w:pPr>
            <w:r>
              <w:rPr>
                <w:noProof/>
                <w:color w:val="006100"/>
                <w:sz w:val="20"/>
              </w:rPr>
              <w:t>Dodelitev sredstev raziskovalnim programom/projektom na področju bolezni z velikim vplivom na zdravje.</w:t>
            </w:r>
            <w:r>
              <w:rPr>
                <w:noProof/>
              </w:rPr>
              <w:t xml:space="preserve"> </w:t>
            </w:r>
            <w:r>
              <w:rPr>
                <w:noProof/>
              </w:rPr>
              <w:br/>
            </w:r>
            <w:r>
              <w:rPr>
                <w:noProof/>
                <w:color w:val="006100"/>
                <w:sz w:val="20"/>
              </w:rPr>
              <w:t>Dodelitev sredstev za raziskovalne projekte o boleznih z velikim vplivom na zdravje se izvede s postopkom javnega razpisa.</w:t>
            </w:r>
          </w:p>
          <w:p w14:paraId="0C8162CC" w14:textId="77777777" w:rsidR="00154E32" w:rsidRDefault="00A43E04">
            <w:pPr>
              <w:pStyle w:val="P68B1DB1-Normal11"/>
              <w:rPr>
                <w:rFonts w:eastAsiaTheme="minorEastAsia"/>
                <w:noProof/>
              </w:rPr>
            </w:pPr>
            <w:r>
              <w:rPr>
                <w:noProof/>
              </w:rPr>
              <w:t>Najmanj 324 raziskovalnih projektov je prejelo prvo tranšo financiranja.</w:t>
            </w:r>
          </w:p>
        </w:tc>
      </w:tr>
    </w:tbl>
    <w:p w14:paraId="59BEBE09" w14:textId="77777777" w:rsidR="00154E32" w:rsidRDefault="00154E32">
      <w:pPr>
        <w:spacing w:before="120" w:after="120"/>
        <w:ind w:left="709"/>
        <w:jc w:val="both"/>
        <w:rPr>
          <w:noProof/>
        </w:rPr>
      </w:pPr>
    </w:p>
    <w:p w14:paraId="058D463A" w14:textId="77777777" w:rsidR="00154E32" w:rsidRDefault="00154E32">
      <w:pPr>
        <w:spacing w:before="120" w:after="120"/>
        <w:ind w:left="709"/>
        <w:jc w:val="both"/>
        <w:rPr>
          <w:noProof/>
        </w:rPr>
        <w:sectPr w:rsidR="00154E32" w:rsidSect="000D3774">
          <w:headerReference w:type="even" r:id="rId368"/>
          <w:headerReference w:type="default" r:id="rId369"/>
          <w:footerReference w:type="even" r:id="rId370"/>
          <w:footerReference w:type="default" r:id="rId371"/>
          <w:headerReference w:type="first" r:id="rId372"/>
          <w:footerReference w:type="first" r:id="rId373"/>
          <w:pgSz w:w="16839" w:h="11907" w:orient="landscape"/>
          <w:pgMar w:top="720" w:right="720" w:bottom="720" w:left="720" w:header="709" w:footer="709" w:gutter="0"/>
          <w:cols w:space="720"/>
          <w:docGrid w:linePitch="360"/>
        </w:sectPr>
      </w:pPr>
    </w:p>
    <w:p w14:paraId="7EE672B9" w14:textId="77777777" w:rsidR="00154E32" w:rsidRDefault="00A43E04">
      <w:pPr>
        <w:pStyle w:val="Heading3"/>
        <w:numPr>
          <w:ilvl w:val="0"/>
          <w:numId w:val="0"/>
        </w:numPr>
        <w:ind w:left="850" w:hanging="850"/>
        <w:rPr>
          <w:b/>
          <w:i w:val="0"/>
          <w:noProof/>
          <w:color w:val="4F81BD" w:themeColor="accent1"/>
          <w:u w:val="single"/>
        </w:rPr>
      </w:pPr>
      <w:r>
        <w:rPr>
          <w:b/>
          <w:i w:val="0"/>
          <w:noProof/>
          <w:u w:val="single"/>
        </w:rPr>
        <w:t xml:space="preserve">P.3. </w:t>
      </w:r>
      <w:r>
        <w:rPr>
          <w:noProof/>
        </w:rPr>
        <w:tab/>
      </w:r>
      <w:r>
        <w:rPr>
          <w:b/>
          <w:i w:val="0"/>
          <w:noProof/>
          <w:u w:val="single"/>
        </w:rPr>
        <w:t xml:space="preserve">Opis reform in naložb za posojilo </w:t>
      </w:r>
    </w:p>
    <w:p w14:paraId="540D6C35" w14:textId="18702C83" w:rsidR="00154E32" w:rsidRDefault="00A43E04">
      <w:pPr>
        <w:pStyle w:val="P68B1DB1-Normal2"/>
        <w:spacing w:before="120" w:after="120"/>
        <w:jc w:val="both"/>
        <w:rPr>
          <w:noProof/>
        </w:rPr>
      </w:pPr>
      <w:r>
        <w:rPr>
          <w:noProof/>
        </w:rPr>
        <w:t>Naložba 1.1: Digitalna posodobitev tehnološke opreme bolnišnic</w:t>
      </w:r>
    </w:p>
    <w:p w14:paraId="21FD006D" w14:textId="77777777" w:rsidR="00154E32" w:rsidRDefault="00A43E04">
      <w:pPr>
        <w:spacing w:before="120" w:after="120" w:line="259" w:lineRule="auto"/>
        <w:jc w:val="both"/>
        <w:rPr>
          <w:noProof/>
        </w:rPr>
      </w:pPr>
      <w:r>
        <w:rPr>
          <w:noProof/>
        </w:rPr>
        <w:t>Ta naložba vključuje izboljšanje digitalizacije zdravstvenega varstva, da se poveča produktivnost osebja, izboljša kakovost postopkov ter zagotovi varnost pacientov in zagotavljanje visokokakovostnih storitev. Naložba ima tri vrste intervencij:</w:t>
      </w:r>
    </w:p>
    <w:p w14:paraId="020620E8" w14:textId="7DE5A2EE" w:rsidR="00154E32" w:rsidRDefault="00A43E04">
      <w:pPr>
        <w:numPr>
          <w:ilvl w:val="0"/>
          <w:numId w:val="45"/>
        </w:numPr>
        <w:spacing w:before="120" w:after="120" w:line="259" w:lineRule="auto"/>
        <w:ind w:left="360"/>
        <w:contextualSpacing/>
        <w:jc w:val="both"/>
        <w:rPr>
          <w:noProof/>
        </w:rPr>
      </w:pPr>
      <w:r>
        <w:rPr>
          <w:noProof/>
        </w:rPr>
        <w:t>Posodobitev velike zdravstvene opreme z zamenjavo zastarelih modelov s tehnološko naprednimi modeli. Nadomestna oprema bo odstranjena ali prerazporejena na druge lokacije nacionalne zdravstvene službe.</w:t>
      </w:r>
    </w:p>
    <w:p w14:paraId="40290673" w14:textId="2D7AA31E" w:rsidR="00154E32" w:rsidRDefault="00A43E04">
      <w:pPr>
        <w:numPr>
          <w:ilvl w:val="0"/>
          <w:numId w:val="45"/>
        </w:numPr>
        <w:spacing w:before="120" w:after="120" w:line="259" w:lineRule="auto"/>
        <w:ind w:left="360"/>
        <w:contextualSpacing/>
        <w:jc w:val="both"/>
        <w:rPr>
          <w:noProof/>
        </w:rPr>
      </w:pPr>
      <w:r>
        <w:rPr>
          <w:noProof/>
        </w:rPr>
        <w:t>Informatizacija postopkov bolnišnic s prvo in drugostopenjskim oddelkom za nujne primere („Dipartimenti Emergenza e accettazione“, DEA).</w:t>
      </w:r>
    </w:p>
    <w:p w14:paraId="0ED6F875" w14:textId="49774FD3" w:rsidR="00154E32" w:rsidRDefault="00A43E04">
      <w:pPr>
        <w:numPr>
          <w:ilvl w:val="0"/>
          <w:numId w:val="45"/>
        </w:numPr>
        <w:spacing w:before="120" w:after="120" w:line="259" w:lineRule="auto"/>
        <w:ind w:left="360"/>
        <w:contextualSpacing/>
        <w:jc w:val="both"/>
        <w:rPr>
          <w:noProof/>
        </w:rPr>
      </w:pPr>
      <w:r>
        <w:rPr>
          <w:noProof/>
        </w:rPr>
        <w:t>Povečanje števila postelj v enotah intenzivne in polintenzivne oskrbe v bolnišnicah nacionalnih zdravstvenih služb.</w:t>
      </w:r>
    </w:p>
    <w:p w14:paraId="68065BD9" w14:textId="77777777" w:rsidR="00154E32" w:rsidRDefault="00A43E04">
      <w:pPr>
        <w:pStyle w:val="P68B1DB1-Normal2"/>
        <w:spacing w:before="120" w:after="120"/>
        <w:jc w:val="both"/>
        <w:rPr>
          <w:noProof/>
        </w:rPr>
      </w:pPr>
      <w:r>
        <w:rPr>
          <w:noProof/>
        </w:rPr>
        <w:t>Naložba 1.2: Za varno in trajnostno bolnišnico</w:t>
      </w:r>
    </w:p>
    <w:p w14:paraId="56FE73C7" w14:textId="77777777" w:rsidR="00154E32" w:rsidRDefault="00A43E04">
      <w:pPr>
        <w:spacing w:before="120" w:after="120" w:line="259" w:lineRule="auto"/>
        <w:jc w:val="both"/>
        <w:rPr>
          <w:noProof/>
        </w:rPr>
      </w:pPr>
      <w:r>
        <w:rPr>
          <w:noProof/>
        </w:rPr>
        <w:t>Ta naložba vključuje uskladitev bolnišnic s protipotresnimi predpisi. V ta namen sta predvideni dve različni vrsti naložb:</w:t>
      </w:r>
    </w:p>
    <w:p w14:paraId="7AAC76A6" w14:textId="77777777" w:rsidR="00154E32" w:rsidRDefault="00A43E04">
      <w:pPr>
        <w:pStyle w:val="ListParagraph"/>
        <w:numPr>
          <w:ilvl w:val="0"/>
          <w:numId w:val="47"/>
        </w:numPr>
        <w:spacing w:line="259" w:lineRule="auto"/>
        <w:ind w:left="360"/>
        <w:rPr>
          <w:noProof/>
        </w:rPr>
      </w:pPr>
      <w:r>
        <w:rPr>
          <w:noProof/>
        </w:rPr>
        <w:t>Potresno nadgradnjo in izboljšanje bolnišničnih ustanov, opredeljenih na podlagi raziskave o potrebah, ki so jih izrazile regije.</w:t>
      </w:r>
    </w:p>
    <w:p w14:paraId="47867D81" w14:textId="5BFBCFC5" w:rsidR="00154E32" w:rsidRDefault="00A43E04">
      <w:pPr>
        <w:pStyle w:val="ListParagraph"/>
        <w:numPr>
          <w:ilvl w:val="0"/>
          <w:numId w:val="47"/>
        </w:numPr>
        <w:spacing w:line="259" w:lineRule="auto"/>
        <w:ind w:left="360"/>
        <w:rPr>
          <w:noProof/>
        </w:rPr>
      </w:pPr>
      <w:r>
        <w:rPr>
          <w:noProof/>
        </w:rPr>
        <w:t>Večletno posredovanje za obnovo in posodobitev fizičnega in tehnološkega okvira javnih zdravstvenih nepremičnin.</w:t>
      </w:r>
    </w:p>
    <w:p w14:paraId="0D89A4AB" w14:textId="22685078" w:rsidR="00154E32" w:rsidRDefault="00A43E04">
      <w:pPr>
        <w:pStyle w:val="P68B1DB1-Normal2"/>
        <w:spacing w:before="120" w:after="120"/>
        <w:jc w:val="both"/>
        <w:rPr>
          <w:noProof/>
        </w:rPr>
      </w:pPr>
      <w:r>
        <w:rPr>
          <w:noProof/>
        </w:rPr>
        <w:t>Naložba 1.3: Krepitev tehnološke infrastrukture in orodij za zbiranje, obdelavo, analizo in simulacijo podatkov</w:t>
      </w:r>
    </w:p>
    <w:p w14:paraId="747EEFB0" w14:textId="77777777" w:rsidR="00154E32" w:rsidRDefault="00A43E04">
      <w:pPr>
        <w:spacing w:before="120" w:after="120" w:line="259" w:lineRule="auto"/>
        <w:jc w:val="both"/>
        <w:rPr>
          <w:noProof/>
        </w:rPr>
      </w:pPr>
      <w:r>
        <w:rPr>
          <w:noProof/>
        </w:rPr>
        <w:t>Ta naložba vključuje znatno izboljšanje tehnološke infrastrukture, ki je podlaga za zagotavljanje oskrbe, analizo zdravstvenega varstva in napovedovalno zmogljivost italijanskega nacionalnega zdravstvenega sistema. Naložbo sestavljata dva različna projekta:</w:t>
      </w:r>
    </w:p>
    <w:p w14:paraId="44BE1C49" w14:textId="77777777" w:rsidR="00154E32" w:rsidRDefault="00A43E04">
      <w:pPr>
        <w:numPr>
          <w:ilvl w:val="0"/>
          <w:numId w:val="46"/>
        </w:numPr>
        <w:spacing w:before="120" w:after="120" w:line="259" w:lineRule="auto"/>
        <w:ind w:left="360"/>
        <w:contextualSpacing/>
        <w:jc w:val="both"/>
        <w:rPr>
          <w:noProof/>
          <w:u w:val="single"/>
        </w:rPr>
      </w:pPr>
      <w:r>
        <w:rPr>
          <w:noProof/>
        </w:rPr>
        <w:t>Krepitev infrastrukture in uporabe obstoječih elektronskih zdravstvenih zapisov (EHR). To se doseže tako, da bo postal popolnoma digitalno-narodno podatkovno okolje, ki bo tako homogeno, dosledno in prenosljivo na celotnem nacionalnem ozemlju. Evropski zdravstveni zapis opravlja tri glavne funkcije: prvič, opolnomoča zdravstvene delavce, tako da jim omogoča, da se zanesejo na isti vir kliničnih informacij, ki podrobno opisujejo celotno zdravstveno anamnezo pacienta; drugič, postane točka dostopa državljanov in pacientov do temeljnih storitev, ki jih zagotavljajo nacionalni in regionalni sistemi zdravstvenega varstva; tretjič, zdravstvene uprave so pooblaščene za uporabo kliničnih podatkov za izvajanje zdravstvene analitike in izboljšanje izvajanja zdravstvenega varstva.</w:t>
      </w:r>
    </w:p>
    <w:p w14:paraId="0B25A13F" w14:textId="55203770" w:rsidR="00154E32" w:rsidRDefault="00A43E04">
      <w:pPr>
        <w:numPr>
          <w:ilvl w:val="0"/>
          <w:numId w:val="46"/>
        </w:numPr>
        <w:spacing w:before="120" w:after="120"/>
        <w:ind w:left="360"/>
        <w:contextualSpacing/>
        <w:jc w:val="both"/>
        <w:rPr>
          <w:noProof/>
          <w:u w:val="single"/>
        </w:rPr>
      </w:pPr>
      <w:r>
        <w:rPr>
          <w:noProof/>
        </w:rPr>
        <w:t xml:space="preserve">Okrepiti infrastrukturo ter tehnološke in analitične instrumente ministrstva za zdravje za spremljanje bistvenih ravni pomoči, tj. storitev, ki jih zagotavlja nacionalna zdravstvena služba, ter načrtovati zdravstveno pomoč in storitve v skladu s potrebami prebivalstva in razvojem demografskih, inovacijskih in epidemioloških trendov. Ta ključni in glavni cilj italijanskega ministrstva za zdravje je dosežen z doseganjem naslednjih in vključitvijo štirih podciljev: (I) krepitev infrastrukture italijanskega ministrstva za zdravje z vključevanjem kliničnih podatkov o elektronskih zdravstvenih zapisov s kliničnimi in upravnimi podatki ter podatki o stroških novega zdravstvenega informacijskega sistema (NSIS) ter z drugimi informacijami in podatki v zvezi z zdravjem v okviru pristopa „eno zdravje“ za spremljanje „LEA“ ter zagotavljanje dejavnosti nadzora zdravja in vigilance; (II) izboljšanje zbiranja, obdelave in ustvarjanja podatkov NSIS na lokalni ravni, preoblikovanje in standardizacija regionalnega in lokalnega procesa pridobivanja podatkov, da se izboljša orodje NSIS za merjenje kakovosti, učinkovitosti in ustreznosti NHS; (III) razvoj naprednih analitičnih orodij za oceno kompleksnih pojavov in napovedi scenarijev za izboljšanje osrednje zmogljivosti za načrtovanje zdravstvenih storitev in odkrivanje porajajočih se bolezni; (IV) vzpostavitev nacionalne platforme, na kateri bi se lahko srečevala ponudba in povpraševanje po telemedicinskih storitvah akreditiranih ponudnikov. </w:t>
      </w:r>
    </w:p>
    <w:p w14:paraId="3DA793F3" w14:textId="16E3CBE3" w:rsidR="00154E32" w:rsidRDefault="00A43E04">
      <w:pPr>
        <w:pStyle w:val="P68B1DB1-Normal2"/>
        <w:spacing w:before="120" w:after="120"/>
        <w:jc w:val="both"/>
        <w:rPr>
          <w:noProof/>
        </w:rPr>
      </w:pPr>
      <w:r>
        <w:rPr>
          <w:noProof/>
        </w:rPr>
        <w:t>Naložba 2.2: Razvoj tehnično-strokovnih, digitalnih in vodstvenih znanj in spretnosti strokovnjakov v zdravstvenem sistemu</w:t>
      </w:r>
    </w:p>
    <w:p w14:paraId="1ABADD78" w14:textId="651BF02E" w:rsidR="00154E32" w:rsidRDefault="00A43E04">
      <w:pPr>
        <w:spacing w:before="120" w:after="120"/>
        <w:jc w:val="both"/>
        <w:rPr>
          <w:noProof/>
          <w:u w:val="single"/>
        </w:rPr>
      </w:pPr>
      <w:r>
        <w:rPr>
          <w:noProof/>
        </w:rPr>
        <w:t>Ta naložba vključuje povečanje štipendij za posebni tečaj splošne medicine; priprava načrta usposabljanja o varnosti v zvezi z bolnišničnimi okužbami za vse osebje NZS; aktiviranje poti usposabljanja za osebje z najvišjimi vlogami v organih NZS na področju vodstvenih in digitalnih znanj in spretnosti ter financiranje specializiranih pogodb o medicinskem usposabljanju.</w:t>
      </w:r>
    </w:p>
    <w:p w14:paraId="0DCEF620" w14:textId="77777777" w:rsidR="00154E32" w:rsidRDefault="00A43E04">
      <w:pPr>
        <w:pStyle w:val="Heading3"/>
        <w:numPr>
          <w:ilvl w:val="0"/>
          <w:numId w:val="0"/>
        </w:numPr>
        <w:ind w:left="850" w:hanging="850"/>
        <w:rPr>
          <w:b/>
          <w:i w:val="0"/>
          <w:noProof/>
          <w:u w:val="single"/>
        </w:rPr>
      </w:pPr>
      <w:r>
        <w:rPr>
          <w:b/>
          <w:i w:val="0"/>
          <w:noProof/>
          <w:u w:val="single"/>
        </w:rPr>
        <w:t xml:space="preserve">P.4. </w:t>
      </w:r>
      <w:r>
        <w:rPr>
          <w:noProof/>
        </w:rPr>
        <w:tab/>
      </w:r>
      <w:r>
        <w:rPr>
          <w:b/>
          <w:i w:val="0"/>
          <w:noProof/>
          <w:u w:val="single"/>
        </w:rPr>
        <w:t xml:space="preserve">Mejniki, cilji, kazalniki in časovni razpored za spremljanje in izvajanje posojila </w:t>
      </w:r>
    </w:p>
    <w:p w14:paraId="57C4DF92" w14:textId="77777777" w:rsidR="00154E32" w:rsidRDefault="00A43E04">
      <w:pPr>
        <w:pStyle w:val="P68B1DB1-Normal34"/>
        <w:spacing w:before="120" w:after="120"/>
        <w:ind w:left="709"/>
        <w:jc w:val="both"/>
        <w:rPr>
          <w:noProof/>
        </w:rPr>
      </w:pPr>
      <w:r>
        <w:rPr>
          <w:noProof/>
        </w:rPr>
        <w:t xml:space="preserve"> </w:t>
      </w:r>
    </w:p>
    <w:p w14:paraId="36C1DBDA" w14:textId="77777777" w:rsidR="00154E32" w:rsidRDefault="00154E32">
      <w:pPr>
        <w:spacing w:before="120" w:after="120"/>
        <w:ind w:left="709"/>
        <w:contextualSpacing/>
        <w:jc w:val="both"/>
        <w:rPr>
          <w:noProof/>
        </w:rPr>
        <w:sectPr w:rsidR="00154E32" w:rsidSect="000D3774">
          <w:headerReference w:type="even" r:id="rId374"/>
          <w:headerReference w:type="default" r:id="rId375"/>
          <w:footerReference w:type="even" r:id="rId376"/>
          <w:footerReference w:type="default" r:id="rId377"/>
          <w:headerReference w:type="first" r:id="rId378"/>
          <w:footerReference w:type="first" r:id="rId379"/>
          <w:pgSz w:w="11907" w:h="16839"/>
          <w:pgMar w:top="1134" w:right="1417" w:bottom="1134" w:left="1417" w:header="709" w:footer="709" w:gutter="0"/>
          <w:cols w:space="720"/>
          <w:docGrid w:linePitch="360"/>
        </w:sectPr>
      </w:pP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01"/>
        <w:gridCol w:w="1134"/>
        <w:gridCol w:w="1560"/>
        <w:gridCol w:w="1559"/>
        <w:gridCol w:w="1276"/>
        <w:gridCol w:w="992"/>
        <w:gridCol w:w="850"/>
        <w:gridCol w:w="851"/>
        <w:gridCol w:w="709"/>
        <w:gridCol w:w="2835"/>
      </w:tblGrid>
      <w:tr w:rsidR="00154E32" w14:paraId="2BF0F913" w14:textId="77777777">
        <w:trPr>
          <w:trHeight w:val="939"/>
          <w:tblHeader/>
          <w:jc w:val="center"/>
        </w:trPr>
        <w:tc>
          <w:tcPr>
            <w:tcW w:w="1129" w:type="dxa"/>
            <w:vMerge w:val="restart"/>
            <w:shd w:val="clear" w:color="auto" w:fill="BDD7EE"/>
            <w:vAlign w:val="center"/>
            <w:hideMark/>
          </w:tcPr>
          <w:p w14:paraId="461BFEAE" w14:textId="77777777" w:rsidR="00154E32" w:rsidRDefault="00A43E04">
            <w:pPr>
              <w:pStyle w:val="P68B1DB1-Normal9"/>
              <w:spacing w:before="120" w:after="120"/>
              <w:jc w:val="center"/>
              <w:rPr>
                <w:noProof/>
              </w:rPr>
            </w:pPr>
            <w:r>
              <w:rPr>
                <w:noProof/>
              </w:rPr>
              <w:t>Zaporedna številka</w:t>
            </w:r>
          </w:p>
        </w:tc>
        <w:tc>
          <w:tcPr>
            <w:tcW w:w="1701" w:type="dxa"/>
            <w:vMerge w:val="restart"/>
            <w:shd w:val="clear" w:color="auto" w:fill="BDD7EE"/>
            <w:vAlign w:val="center"/>
            <w:hideMark/>
          </w:tcPr>
          <w:p w14:paraId="3B0633CD" w14:textId="77777777" w:rsidR="00154E32" w:rsidRDefault="00A43E04">
            <w:pPr>
              <w:pStyle w:val="P68B1DB1-Normal9"/>
              <w:spacing w:before="120" w:after="120"/>
              <w:jc w:val="center"/>
              <w:rPr>
                <w:noProof/>
              </w:rPr>
            </w:pPr>
            <w:r>
              <w:rPr>
                <w:noProof/>
              </w:rPr>
              <w:t>Povezani ukrep (reforma ali naložba)</w:t>
            </w:r>
          </w:p>
        </w:tc>
        <w:tc>
          <w:tcPr>
            <w:tcW w:w="1134" w:type="dxa"/>
            <w:vMerge w:val="restart"/>
            <w:shd w:val="clear" w:color="auto" w:fill="BDD7EE"/>
            <w:vAlign w:val="center"/>
            <w:hideMark/>
          </w:tcPr>
          <w:p w14:paraId="77FE0A19" w14:textId="77777777" w:rsidR="00154E32" w:rsidRDefault="00A43E04">
            <w:pPr>
              <w:pStyle w:val="P68B1DB1-Normal9"/>
              <w:spacing w:before="120" w:after="120"/>
              <w:jc w:val="center"/>
              <w:rPr>
                <w:noProof/>
              </w:rPr>
            </w:pPr>
            <w:r>
              <w:rPr>
                <w:noProof/>
              </w:rPr>
              <w:t>Mejnik/cilj</w:t>
            </w:r>
          </w:p>
        </w:tc>
        <w:tc>
          <w:tcPr>
            <w:tcW w:w="1560" w:type="dxa"/>
            <w:vMerge w:val="restart"/>
            <w:shd w:val="clear" w:color="auto" w:fill="BDD7EE"/>
            <w:vAlign w:val="center"/>
            <w:hideMark/>
          </w:tcPr>
          <w:p w14:paraId="67D65DFC" w14:textId="77777777" w:rsidR="00154E32" w:rsidRDefault="00A43E04">
            <w:pPr>
              <w:pStyle w:val="P68B1DB1-Normal9"/>
              <w:spacing w:before="120" w:after="120"/>
              <w:jc w:val="center"/>
              <w:rPr>
                <w:noProof/>
              </w:rPr>
            </w:pPr>
            <w:r>
              <w:rPr>
                <w:noProof/>
              </w:rPr>
              <w:t>Ime</w:t>
            </w:r>
          </w:p>
        </w:tc>
        <w:tc>
          <w:tcPr>
            <w:tcW w:w="1559" w:type="dxa"/>
            <w:vMerge w:val="restart"/>
            <w:shd w:val="clear" w:color="auto" w:fill="BDD7EE"/>
            <w:vAlign w:val="center"/>
            <w:hideMark/>
          </w:tcPr>
          <w:p w14:paraId="25E084F5" w14:textId="77777777" w:rsidR="00154E32" w:rsidRDefault="00A43E04">
            <w:pPr>
              <w:pStyle w:val="P68B1DB1-Normal10"/>
              <w:spacing w:before="120" w:after="120"/>
              <w:jc w:val="center"/>
              <w:rPr>
                <w:b/>
                <w:noProof/>
                <w:sz w:val="20"/>
              </w:rPr>
            </w:pPr>
            <w:r>
              <w:rPr>
                <w:b/>
                <w:noProof/>
                <w:sz w:val="20"/>
              </w:rPr>
              <w:t>Kakovostni kazalniki</w:t>
            </w:r>
            <w:r>
              <w:rPr>
                <w:noProof/>
              </w:rPr>
              <w:t xml:space="preserve"> </w:t>
            </w:r>
            <w:r>
              <w:rPr>
                <w:noProof/>
              </w:rPr>
              <w:br/>
            </w:r>
            <w:r>
              <w:rPr>
                <w:b/>
                <w:noProof/>
                <w:sz w:val="20"/>
              </w:rPr>
              <w:t>(za mejnike)</w:t>
            </w:r>
          </w:p>
        </w:tc>
        <w:tc>
          <w:tcPr>
            <w:tcW w:w="3118" w:type="dxa"/>
            <w:gridSpan w:val="3"/>
            <w:shd w:val="clear" w:color="auto" w:fill="BDD7EE"/>
            <w:vAlign w:val="center"/>
            <w:hideMark/>
          </w:tcPr>
          <w:p w14:paraId="315980DF" w14:textId="77777777" w:rsidR="00154E32" w:rsidRDefault="00A43E04">
            <w:pPr>
              <w:pStyle w:val="P68B1DB1-Normal10"/>
              <w:spacing w:before="120" w:after="120"/>
              <w:jc w:val="center"/>
              <w:rPr>
                <w:b/>
                <w:noProof/>
                <w:sz w:val="20"/>
              </w:rPr>
            </w:pPr>
            <w:r>
              <w:rPr>
                <w:b/>
                <w:noProof/>
                <w:sz w:val="20"/>
              </w:rPr>
              <w:t>Kvantitativni kazalniki</w:t>
            </w:r>
            <w:r>
              <w:rPr>
                <w:noProof/>
              </w:rPr>
              <w:t xml:space="preserve"> </w:t>
            </w:r>
            <w:r>
              <w:rPr>
                <w:noProof/>
              </w:rPr>
              <w:br/>
            </w:r>
            <w:r>
              <w:rPr>
                <w:b/>
                <w:noProof/>
                <w:sz w:val="20"/>
              </w:rPr>
              <w:t>(za ciljne vrednosti)</w:t>
            </w:r>
          </w:p>
        </w:tc>
        <w:tc>
          <w:tcPr>
            <w:tcW w:w="1560" w:type="dxa"/>
            <w:gridSpan w:val="2"/>
            <w:shd w:val="clear" w:color="auto" w:fill="BDD7EE"/>
            <w:vAlign w:val="center"/>
            <w:hideMark/>
          </w:tcPr>
          <w:p w14:paraId="51B1CAFE" w14:textId="77777777" w:rsidR="00154E32" w:rsidRDefault="00A43E04">
            <w:pPr>
              <w:pStyle w:val="P68B1DB1-Normal9"/>
              <w:spacing w:before="120" w:after="120"/>
              <w:jc w:val="center"/>
              <w:rPr>
                <w:noProof/>
              </w:rPr>
            </w:pPr>
            <w:r>
              <w:rPr>
                <w:noProof/>
              </w:rPr>
              <w:t>Okvirni časovni razpored za dokončanje</w:t>
            </w:r>
          </w:p>
        </w:tc>
        <w:tc>
          <w:tcPr>
            <w:tcW w:w="2835" w:type="dxa"/>
            <w:vMerge w:val="restart"/>
            <w:shd w:val="clear" w:color="auto" w:fill="BDD7EE"/>
            <w:vAlign w:val="center"/>
            <w:hideMark/>
          </w:tcPr>
          <w:p w14:paraId="2CC56644" w14:textId="77777777" w:rsidR="00154E32" w:rsidRDefault="00A43E04">
            <w:pPr>
              <w:pStyle w:val="P68B1DB1-Normal9"/>
              <w:spacing w:before="120" w:after="120"/>
              <w:jc w:val="center"/>
              <w:rPr>
                <w:noProof/>
              </w:rPr>
            </w:pPr>
            <w:r>
              <w:rPr>
                <w:noProof/>
              </w:rPr>
              <w:t>Opis vsakega mejnika in cilja</w:t>
            </w:r>
          </w:p>
        </w:tc>
      </w:tr>
      <w:tr w:rsidR="00154E32" w14:paraId="546A28FC" w14:textId="77777777">
        <w:trPr>
          <w:trHeight w:val="883"/>
          <w:jc w:val="center"/>
        </w:trPr>
        <w:tc>
          <w:tcPr>
            <w:tcW w:w="1129" w:type="dxa"/>
            <w:vMerge/>
            <w:vAlign w:val="center"/>
            <w:hideMark/>
          </w:tcPr>
          <w:p w14:paraId="5690147C" w14:textId="77777777" w:rsidR="00154E32" w:rsidRDefault="00154E32">
            <w:pPr>
              <w:spacing w:before="120" w:after="120"/>
              <w:jc w:val="center"/>
              <w:rPr>
                <w:rFonts w:ascii="Arial Narrow" w:hAnsi="Arial Narrow"/>
                <w:b/>
                <w:noProof/>
                <w:sz w:val="20"/>
              </w:rPr>
            </w:pPr>
          </w:p>
        </w:tc>
        <w:tc>
          <w:tcPr>
            <w:tcW w:w="1701" w:type="dxa"/>
            <w:vMerge/>
            <w:vAlign w:val="center"/>
            <w:hideMark/>
          </w:tcPr>
          <w:p w14:paraId="706EB6EE" w14:textId="77777777" w:rsidR="00154E32" w:rsidRDefault="00154E32">
            <w:pPr>
              <w:spacing w:before="120" w:after="120"/>
              <w:jc w:val="center"/>
              <w:rPr>
                <w:rFonts w:ascii="Arial Narrow" w:hAnsi="Arial Narrow"/>
                <w:b/>
                <w:noProof/>
                <w:sz w:val="20"/>
              </w:rPr>
            </w:pPr>
          </w:p>
        </w:tc>
        <w:tc>
          <w:tcPr>
            <w:tcW w:w="1134" w:type="dxa"/>
            <w:vMerge/>
            <w:vAlign w:val="center"/>
            <w:hideMark/>
          </w:tcPr>
          <w:p w14:paraId="626CB927" w14:textId="77777777" w:rsidR="00154E32" w:rsidRDefault="00154E32">
            <w:pPr>
              <w:spacing w:before="120" w:after="120"/>
              <w:jc w:val="center"/>
              <w:rPr>
                <w:rFonts w:ascii="Arial Narrow" w:hAnsi="Arial Narrow"/>
                <w:b/>
                <w:noProof/>
                <w:sz w:val="20"/>
              </w:rPr>
            </w:pPr>
          </w:p>
        </w:tc>
        <w:tc>
          <w:tcPr>
            <w:tcW w:w="1560" w:type="dxa"/>
            <w:vMerge/>
            <w:vAlign w:val="center"/>
            <w:hideMark/>
          </w:tcPr>
          <w:p w14:paraId="0007EE34" w14:textId="77777777" w:rsidR="00154E32" w:rsidRDefault="00154E32">
            <w:pPr>
              <w:spacing w:before="120" w:after="120"/>
              <w:jc w:val="center"/>
              <w:rPr>
                <w:rFonts w:ascii="Arial Narrow" w:hAnsi="Arial Narrow"/>
                <w:b/>
                <w:noProof/>
                <w:sz w:val="20"/>
              </w:rPr>
            </w:pPr>
          </w:p>
        </w:tc>
        <w:tc>
          <w:tcPr>
            <w:tcW w:w="1559" w:type="dxa"/>
            <w:vMerge/>
            <w:vAlign w:val="center"/>
            <w:hideMark/>
          </w:tcPr>
          <w:p w14:paraId="4B49FCFC" w14:textId="77777777" w:rsidR="00154E32" w:rsidRDefault="00154E32">
            <w:pPr>
              <w:spacing w:before="120" w:after="120"/>
              <w:jc w:val="center"/>
              <w:rPr>
                <w:rFonts w:ascii="Arial Narrow" w:hAnsi="Arial Narrow"/>
                <w:b/>
                <w:noProof/>
                <w:sz w:val="20"/>
              </w:rPr>
            </w:pPr>
          </w:p>
        </w:tc>
        <w:tc>
          <w:tcPr>
            <w:tcW w:w="1276" w:type="dxa"/>
            <w:shd w:val="clear" w:color="auto" w:fill="BDD7EE"/>
            <w:vAlign w:val="center"/>
            <w:hideMark/>
          </w:tcPr>
          <w:p w14:paraId="707B1CF2" w14:textId="77777777" w:rsidR="00154E32" w:rsidRDefault="00A43E04">
            <w:pPr>
              <w:pStyle w:val="P68B1DB1-Normal9"/>
              <w:spacing w:before="120" w:after="120"/>
              <w:jc w:val="center"/>
              <w:rPr>
                <w:noProof/>
              </w:rPr>
            </w:pPr>
            <w:r>
              <w:rPr>
                <w:noProof/>
              </w:rPr>
              <w:t>Merska enota</w:t>
            </w:r>
          </w:p>
        </w:tc>
        <w:tc>
          <w:tcPr>
            <w:tcW w:w="992" w:type="dxa"/>
            <w:shd w:val="clear" w:color="auto" w:fill="BDD7EE"/>
            <w:vAlign w:val="center"/>
            <w:hideMark/>
          </w:tcPr>
          <w:p w14:paraId="3E126FBE" w14:textId="77777777" w:rsidR="00154E32" w:rsidRDefault="00A43E04">
            <w:pPr>
              <w:pStyle w:val="P68B1DB1-Normal9"/>
              <w:spacing w:before="120" w:after="120"/>
              <w:jc w:val="center"/>
              <w:rPr>
                <w:noProof/>
              </w:rPr>
            </w:pPr>
            <w:r>
              <w:rPr>
                <w:noProof/>
              </w:rPr>
              <w:t>Izhodišče</w:t>
            </w:r>
          </w:p>
        </w:tc>
        <w:tc>
          <w:tcPr>
            <w:tcW w:w="850" w:type="dxa"/>
            <w:shd w:val="clear" w:color="auto" w:fill="BDD7EE"/>
            <w:vAlign w:val="center"/>
            <w:hideMark/>
          </w:tcPr>
          <w:p w14:paraId="6455A15D" w14:textId="77777777" w:rsidR="00154E32" w:rsidRDefault="00A43E04">
            <w:pPr>
              <w:pStyle w:val="P68B1DB1-Normal9"/>
              <w:spacing w:before="120" w:after="120"/>
              <w:jc w:val="center"/>
              <w:rPr>
                <w:noProof/>
              </w:rPr>
            </w:pPr>
            <w:r>
              <w:rPr>
                <w:noProof/>
              </w:rPr>
              <w:t>Cilj</w:t>
            </w:r>
          </w:p>
        </w:tc>
        <w:tc>
          <w:tcPr>
            <w:tcW w:w="851" w:type="dxa"/>
            <w:shd w:val="clear" w:color="auto" w:fill="BDD7EE"/>
            <w:vAlign w:val="center"/>
            <w:hideMark/>
          </w:tcPr>
          <w:p w14:paraId="441C68B7" w14:textId="77777777" w:rsidR="00154E32" w:rsidRDefault="00A43E04">
            <w:pPr>
              <w:pStyle w:val="P68B1DB1-Normal9"/>
              <w:spacing w:before="120" w:after="120"/>
              <w:jc w:val="center"/>
              <w:rPr>
                <w:noProof/>
              </w:rPr>
            </w:pPr>
            <w:r>
              <w:rPr>
                <w:noProof/>
              </w:rPr>
              <w:t>Četrtletje</w:t>
            </w:r>
          </w:p>
        </w:tc>
        <w:tc>
          <w:tcPr>
            <w:tcW w:w="709" w:type="dxa"/>
            <w:shd w:val="clear" w:color="auto" w:fill="BDD7EE"/>
            <w:vAlign w:val="center"/>
            <w:hideMark/>
          </w:tcPr>
          <w:p w14:paraId="10EA1EF5" w14:textId="77777777" w:rsidR="00154E32" w:rsidRDefault="00A43E04">
            <w:pPr>
              <w:pStyle w:val="P68B1DB1-Normal9"/>
              <w:spacing w:before="120" w:after="120"/>
              <w:jc w:val="center"/>
              <w:rPr>
                <w:noProof/>
              </w:rPr>
            </w:pPr>
            <w:r>
              <w:rPr>
                <w:noProof/>
              </w:rPr>
              <w:t>Leto</w:t>
            </w:r>
          </w:p>
        </w:tc>
        <w:tc>
          <w:tcPr>
            <w:tcW w:w="2835" w:type="dxa"/>
            <w:vMerge/>
            <w:vAlign w:val="center"/>
            <w:hideMark/>
          </w:tcPr>
          <w:p w14:paraId="00B254C1" w14:textId="77777777" w:rsidR="00154E32" w:rsidRDefault="00154E32">
            <w:pPr>
              <w:spacing w:before="120" w:after="120"/>
              <w:rPr>
                <w:rFonts w:ascii="Arial Narrow" w:hAnsi="Arial Narrow"/>
                <w:b/>
                <w:noProof/>
                <w:sz w:val="20"/>
              </w:rPr>
            </w:pPr>
          </w:p>
        </w:tc>
      </w:tr>
      <w:tr w:rsidR="00154E32" w14:paraId="0F622D12" w14:textId="77777777">
        <w:trPr>
          <w:trHeight w:val="313"/>
          <w:jc w:val="center"/>
        </w:trPr>
        <w:tc>
          <w:tcPr>
            <w:tcW w:w="1129" w:type="dxa"/>
            <w:shd w:val="clear" w:color="auto" w:fill="C6EFCE"/>
            <w:noWrap/>
            <w:vAlign w:val="center"/>
          </w:tcPr>
          <w:p w14:paraId="7DE7CD05" w14:textId="030CEC40" w:rsidR="00154E32" w:rsidRDefault="00A43E04">
            <w:pPr>
              <w:pStyle w:val="P68B1DB1-Normal11"/>
              <w:spacing w:before="120" w:after="120"/>
              <w:jc w:val="center"/>
              <w:rPr>
                <w:noProof/>
              </w:rPr>
            </w:pPr>
            <w:r>
              <w:rPr>
                <w:noProof/>
              </w:rPr>
              <w:t>M6C2–4</w:t>
            </w:r>
          </w:p>
        </w:tc>
        <w:tc>
          <w:tcPr>
            <w:tcW w:w="1701" w:type="dxa"/>
            <w:shd w:val="clear" w:color="auto" w:fill="C6EFCE"/>
            <w:noWrap/>
            <w:vAlign w:val="center"/>
          </w:tcPr>
          <w:p w14:paraId="40B1405D" w14:textId="77777777" w:rsidR="00154E32" w:rsidRDefault="00A43E04">
            <w:pPr>
              <w:pStyle w:val="P68B1DB1-Normal36"/>
              <w:spacing w:before="120" w:after="120"/>
              <w:jc w:val="center"/>
              <w:rPr>
                <w:noProof/>
                <w:color w:val="006100"/>
              </w:rPr>
            </w:pPr>
            <w:r>
              <w:rPr>
                <w:noProof/>
              </w:rPr>
              <w:t>Naložba 1.1: Digitalna posodobitev tehnološke opreme bolnišnic</w:t>
            </w:r>
          </w:p>
        </w:tc>
        <w:tc>
          <w:tcPr>
            <w:tcW w:w="1134" w:type="dxa"/>
            <w:shd w:val="clear" w:color="auto" w:fill="C6EFCE"/>
            <w:noWrap/>
            <w:vAlign w:val="center"/>
          </w:tcPr>
          <w:p w14:paraId="6AFEF9E3" w14:textId="77777777" w:rsidR="00154E32" w:rsidRDefault="00A43E04">
            <w:pPr>
              <w:pStyle w:val="P68B1DB1-Normal36"/>
              <w:spacing w:before="120" w:after="120"/>
              <w:jc w:val="center"/>
              <w:rPr>
                <w:noProof/>
                <w:color w:val="006100"/>
              </w:rPr>
            </w:pPr>
            <w:r>
              <w:rPr>
                <w:noProof/>
              </w:rPr>
              <w:t>Mejnik</w:t>
            </w:r>
          </w:p>
        </w:tc>
        <w:tc>
          <w:tcPr>
            <w:tcW w:w="1560" w:type="dxa"/>
            <w:shd w:val="clear" w:color="auto" w:fill="C6EFCE"/>
            <w:noWrap/>
            <w:vAlign w:val="center"/>
          </w:tcPr>
          <w:p w14:paraId="52C56BF4" w14:textId="77777777" w:rsidR="00154E32" w:rsidRDefault="00A43E04">
            <w:pPr>
              <w:pStyle w:val="P68B1DB1-Normal36"/>
              <w:spacing w:before="120" w:after="120"/>
              <w:jc w:val="center"/>
              <w:rPr>
                <w:rFonts w:eastAsia="Calibri"/>
                <w:noProof/>
              </w:rPr>
            </w:pPr>
            <w:r>
              <w:rPr>
                <w:noProof/>
              </w:rPr>
              <w:t xml:space="preserve">Načrt reorganizacije, ki ga je odobrilo ministrstvo za zdravje/italijanske regije </w:t>
            </w:r>
          </w:p>
        </w:tc>
        <w:tc>
          <w:tcPr>
            <w:tcW w:w="1559" w:type="dxa"/>
            <w:shd w:val="clear" w:color="auto" w:fill="C6EFCE"/>
            <w:noWrap/>
            <w:vAlign w:val="center"/>
          </w:tcPr>
          <w:p w14:paraId="7ACB5E75" w14:textId="77777777" w:rsidR="00154E32" w:rsidRDefault="00A43E04">
            <w:pPr>
              <w:pStyle w:val="P68B1DB1-Normal36"/>
              <w:spacing w:before="120" w:after="120"/>
              <w:jc w:val="center"/>
              <w:rPr>
                <w:rFonts w:eastAsia="Calibri"/>
                <w:noProof/>
              </w:rPr>
            </w:pPr>
            <w:r>
              <w:rPr>
                <w:noProof/>
              </w:rPr>
              <w:t>Obvestilo o odobritvi</w:t>
            </w:r>
          </w:p>
        </w:tc>
        <w:tc>
          <w:tcPr>
            <w:tcW w:w="1276" w:type="dxa"/>
            <w:shd w:val="clear" w:color="auto" w:fill="C6EFCE"/>
            <w:noWrap/>
            <w:vAlign w:val="center"/>
          </w:tcPr>
          <w:p w14:paraId="66F3A124" w14:textId="77777777" w:rsidR="00154E32" w:rsidRDefault="00A43E04">
            <w:pPr>
              <w:pStyle w:val="P68B1DB1-Normal36"/>
              <w:spacing w:before="120" w:after="120"/>
              <w:jc w:val="center"/>
              <w:rPr>
                <w:noProof/>
                <w:color w:val="006100"/>
              </w:rPr>
            </w:pPr>
            <w:r>
              <w:rPr>
                <w:noProof/>
              </w:rPr>
              <w:t>JIH NI</w:t>
            </w:r>
          </w:p>
        </w:tc>
        <w:tc>
          <w:tcPr>
            <w:tcW w:w="992" w:type="dxa"/>
            <w:shd w:val="clear" w:color="auto" w:fill="C6EFCE"/>
            <w:noWrap/>
            <w:vAlign w:val="center"/>
          </w:tcPr>
          <w:p w14:paraId="2B79DEFC" w14:textId="77777777" w:rsidR="00154E32" w:rsidRDefault="00A43E04">
            <w:pPr>
              <w:pStyle w:val="P68B1DB1-Normal36"/>
              <w:spacing w:before="120" w:after="120"/>
              <w:jc w:val="center"/>
              <w:rPr>
                <w:noProof/>
                <w:color w:val="006100"/>
              </w:rPr>
            </w:pPr>
            <w:r>
              <w:rPr>
                <w:noProof/>
              </w:rPr>
              <w:t>JIH NI</w:t>
            </w:r>
          </w:p>
        </w:tc>
        <w:tc>
          <w:tcPr>
            <w:tcW w:w="850" w:type="dxa"/>
            <w:shd w:val="clear" w:color="auto" w:fill="C6EFCE"/>
            <w:noWrap/>
            <w:vAlign w:val="center"/>
          </w:tcPr>
          <w:p w14:paraId="7D6C3B84" w14:textId="77777777" w:rsidR="00154E32" w:rsidRDefault="00A43E04">
            <w:pPr>
              <w:pStyle w:val="P68B1DB1-Normal36"/>
              <w:spacing w:before="120" w:after="120"/>
              <w:jc w:val="center"/>
              <w:rPr>
                <w:noProof/>
                <w:color w:val="006100"/>
              </w:rPr>
            </w:pPr>
            <w:r>
              <w:rPr>
                <w:noProof/>
              </w:rPr>
              <w:t>JIH NI</w:t>
            </w:r>
          </w:p>
        </w:tc>
        <w:tc>
          <w:tcPr>
            <w:tcW w:w="851" w:type="dxa"/>
            <w:shd w:val="clear" w:color="auto" w:fill="C6EFCE"/>
            <w:noWrap/>
            <w:vAlign w:val="center"/>
          </w:tcPr>
          <w:p w14:paraId="3C342C37" w14:textId="77777777" w:rsidR="00154E32" w:rsidRDefault="00A43E04">
            <w:pPr>
              <w:pStyle w:val="P68B1DB1-Normal36"/>
              <w:spacing w:before="120" w:after="120"/>
              <w:jc w:val="center"/>
              <w:rPr>
                <w:noProof/>
                <w:color w:val="006100"/>
              </w:rPr>
            </w:pPr>
            <w:r>
              <w:rPr>
                <w:noProof/>
              </w:rPr>
              <w:t>Q4</w:t>
            </w:r>
          </w:p>
        </w:tc>
        <w:tc>
          <w:tcPr>
            <w:tcW w:w="709" w:type="dxa"/>
            <w:shd w:val="clear" w:color="auto" w:fill="C6EFCE"/>
            <w:noWrap/>
            <w:vAlign w:val="center"/>
          </w:tcPr>
          <w:p w14:paraId="38911E29" w14:textId="77777777" w:rsidR="00154E32" w:rsidRDefault="00A43E04">
            <w:pPr>
              <w:pStyle w:val="P68B1DB1-Normal36"/>
              <w:spacing w:before="120" w:after="120"/>
              <w:jc w:val="center"/>
              <w:rPr>
                <w:noProof/>
                <w:color w:val="006100"/>
              </w:rPr>
            </w:pPr>
            <w:r>
              <w:rPr>
                <w:noProof/>
              </w:rPr>
              <w:t>2021</w:t>
            </w:r>
          </w:p>
        </w:tc>
        <w:tc>
          <w:tcPr>
            <w:tcW w:w="2835" w:type="dxa"/>
            <w:shd w:val="clear" w:color="auto" w:fill="C6EFCE"/>
            <w:noWrap/>
            <w:vAlign w:val="center"/>
          </w:tcPr>
          <w:p w14:paraId="323EDF1D" w14:textId="77777777" w:rsidR="00154E32" w:rsidRDefault="00A43E04">
            <w:pPr>
              <w:pStyle w:val="P68B1DB1-Normal36"/>
              <w:spacing w:before="120" w:after="120"/>
              <w:rPr>
                <w:noProof/>
              </w:rPr>
            </w:pPr>
            <w:r>
              <w:rPr>
                <w:noProof/>
              </w:rPr>
              <w:t>Odobritev načrta reorganizacije za okrepitev zmogljivosti bolnišnic NZS za ustrezno obvladovanje izrednih razmer zaradi pandemije s povečanjem števila postelj v enotah intenzivne in manj intenzivne oskrbe.</w:t>
            </w:r>
          </w:p>
          <w:p w14:paraId="18159783" w14:textId="7B67F636" w:rsidR="00154E32" w:rsidRDefault="00A43E04">
            <w:pPr>
              <w:pStyle w:val="P68B1DB1-Normal36"/>
              <w:spacing w:before="120" w:after="120"/>
              <w:rPr>
                <w:noProof/>
              </w:rPr>
            </w:pPr>
            <w:r>
              <w:rPr>
                <w:noProof/>
              </w:rPr>
              <w:t>Z načrtom reorganizacije bolnišnice se poveča število postelj, ki so na voljo v enotah intenzivne in polintenzivne oskrbe v bolnišnicah NZS.</w:t>
            </w:r>
          </w:p>
        </w:tc>
      </w:tr>
      <w:tr w:rsidR="00154E32" w14:paraId="081FD7DE" w14:textId="77777777">
        <w:trPr>
          <w:trHeight w:val="313"/>
          <w:jc w:val="center"/>
        </w:trPr>
        <w:tc>
          <w:tcPr>
            <w:tcW w:w="1129" w:type="dxa"/>
            <w:shd w:val="clear" w:color="auto" w:fill="C6EFCE"/>
            <w:noWrap/>
            <w:vAlign w:val="center"/>
          </w:tcPr>
          <w:p w14:paraId="4467D305" w14:textId="77777777" w:rsidR="00154E32" w:rsidRDefault="00A43E04">
            <w:pPr>
              <w:pStyle w:val="P68B1DB1-Normal11"/>
              <w:spacing w:before="120" w:after="120"/>
              <w:jc w:val="center"/>
              <w:rPr>
                <w:noProof/>
              </w:rPr>
            </w:pPr>
            <w:r>
              <w:rPr>
                <w:noProof/>
              </w:rPr>
              <w:t>M6C2–5</w:t>
            </w:r>
          </w:p>
        </w:tc>
        <w:tc>
          <w:tcPr>
            <w:tcW w:w="1701" w:type="dxa"/>
            <w:shd w:val="clear" w:color="auto" w:fill="C6EFCE"/>
            <w:noWrap/>
            <w:vAlign w:val="center"/>
          </w:tcPr>
          <w:p w14:paraId="5E174B98" w14:textId="77777777" w:rsidR="00154E32" w:rsidRDefault="00A43E04">
            <w:pPr>
              <w:pStyle w:val="P68B1DB1-Normal36"/>
              <w:spacing w:before="120" w:after="120"/>
              <w:jc w:val="center"/>
              <w:rPr>
                <w:noProof/>
                <w:color w:val="006100"/>
              </w:rPr>
            </w:pPr>
            <w:r>
              <w:rPr>
                <w:noProof/>
              </w:rPr>
              <w:t>Naložba 1.1: Digitalna posodobitev tehnološke opreme bolnišnic</w:t>
            </w:r>
          </w:p>
        </w:tc>
        <w:tc>
          <w:tcPr>
            <w:tcW w:w="1134" w:type="dxa"/>
            <w:shd w:val="clear" w:color="auto" w:fill="C6EFCE"/>
            <w:noWrap/>
            <w:vAlign w:val="center"/>
          </w:tcPr>
          <w:p w14:paraId="3EBBEBD2" w14:textId="77777777" w:rsidR="00154E32" w:rsidRDefault="00A43E04">
            <w:pPr>
              <w:pStyle w:val="P68B1DB1-Normal36"/>
              <w:spacing w:before="120" w:after="120"/>
              <w:jc w:val="center"/>
              <w:rPr>
                <w:noProof/>
                <w:color w:val="006100"/>
              </w:rPr>
            </w:pPr>
            <w:r>
              <w:rPr>
                <w:noProof/>
              </w:rPr>
              <w:t>Mejnik</w:t>
            </w:r>
          </w:p>
        </w:tc>
        <w:tc>
          <w:tcPr>
            <w:tcW w:w="1560" w:type="dxa"/>
            <w:shd w:val="clear" w:color="auto" w:fill="C6EFCE"/>
            <w:noWrap/>
            <w:vAlign w:val="center"/>
          </w:tcPr>
          <w:p w14:paraId="4A52BCD1" w14:textId="77777777" w:rsidR="00154E32" w:rsidRDefault="00A43E04">
            <w:pPr>
              <w:pStyle w:val="P68B1DB1-Normal36"/>
              <w:spacing w:before="120" w:after="120"/>
              <w:jc w:val="center"/>
              <w:rPr>
                <w:rFonts w:eastAsia="Calibri"/>
                <w:noProof/>
              </w:rPr>
            </w:pPr>
            <w:r>
              <w:rPr>
                <w:noProof/>
              </w:rPr>
              <w:t xml:space="preserve"> Odobritev pogodbe o institucionalnem razvoju </w:t>
            </w:r>
          </w:p>
        </w:tc>
        <w:tc>
          <w:tcPr>
            <w:tcW w:w="1559" w:type="dxa"/>
            <w:shd w:val="clear" w:color="auto" w:fill="C6EFCE"/>
            <w:noWrap/>
            <w:vAlign w:val="center"/>
          </w:tcPr>
          <w:p w14:paraId="70E058E0" w14:textId="5A5E24B1" w:rsidR="00154E32" w:rsidRDefault="00A43E04">
            <w:pPr>
              <w:pStyle w:val="P68B1DB1-Normal36"/>
              <w:spacing w:before="120" w:after="120"/>
              <w:jc w:val="center"/>
              <w:rPr>
                <w:noProof/>
              </w:rPr>
            </w:pPr>
            <w:r>
              <w:rPr>
                <w:noProof/>
              </w:rPr>
              <w:t>Obvestilo ministrstva za zdravje in italijanskih regij o podpisu pogodbe o institucionalnem razvoju</w:t>
            </w:r>
          </w:p>
        </w:tc>
        <w:tc>
          <w:tcPr>
            <w:tcW w:w="1276" w:type="dxa"/>
            <w:shd w:val="clear" w:color="auto" w:fill="C6EFCE"/>
            <w:noWrap/>
            <w:vAlign w:val="center"/>
          </w:tcPr>
          <w:p w14:paraId="69BE6F33" w14:textId="77777777" w:rsidR="00154E32" w:rsidRDefault="00A43E04">
            <w:pPr>
              <w:pStyle w:val="P68B1DB1-Normal36"/>
              <w:spacing w:before="120" w:after="120"/>
              <w:jc w:val="center"/>
              <w:rPr>
                <w:noProof/>
                <w:color w:val="006100"/>
              </w:rPr>
            </w:pPr>
            <w:r>
              <w:rPr>
                <w:noProof/>
              </w:rPr>
              <w:t>JIH NI</w:t>
            </w:r>
          </w:p>
        </w:tc>
        <w:tc>
          <w:tcPr>
            <w:tcW w:w="992" w:type="dxa"/>
            <w:shd w:val="clear" w:color="auto" w:fill="C6EFCE"/>
            <w:noWrap/>
            <w:vAlign w:val="center"/>
          </w:tcPr>
          <w:p w14:paraId="49BCF209" w14:textId="77777777" w:rsidR="00154E32" w:rsidRDefault="00A43E04">
            <w:pPr>
              <w:pStyle w:val="P68B1DB1-Normal36"/>
              <w:spacing w:before="120" w:after="120"/>
              <w:jc w:val="center"/>
              <w:rPr>
                <w:noProof/>
                <w:color w:val="006100"/>
              </w:rPr>
            </w:pPr>
            <w:r>
              <w:rPr>
                <w:noProof/>
              </w:rPr>
              <w:t>JIH NI</w:t>
            </w:r>
          </w:p>
        </w:tc>
        <w:tc>
          <w:tcPr>
            <w:tcW w:w="850" w:type="dxa"/>
            <w:shd w:val="clear" w:color="auto" w:fill="C6EFCE"/>
            <w:noWrap/>
            <w:vAlign w:val="center"/>
          </w:tcPr>
          <w:p w14:paraId="709E1C6E" w14:textId="77777777" w:rsidR="00154E32" w:rsidRDefault="00A43E04">
            <w:pPr>
              <w:pStyle w:val="P68B1DB1-Normal36"/>
              <w:spacing w:before="120" w:after="120"/>
              <w:jc w:val="center"/>
              <w:rPr>
                <w:noProof/>
                <w:color w:val="006100"/>
              </w:rPr>
            </w:pPr>
            <w:r>
              <w:rPr>
                <w:noProof/>
              </w:rPr>
              <w:t>JIH NI</w:t>
            </w:r>
          </w:p>
        </w:tc>
        <w:tc>
          <w:tcPr>
            <w:tcW w:w="851" w:type="dxa"/>
            <w:shd w:val="clear" w:color="auto" w:fill="C6EFCE"/>
            <w:noWrap/>
            <w:vAlign w:val="center"/>
          </w:tcPr>
          <w:p w14:paraId="7CB5AE01" w14:textId="77777777" w:rsidR="00154E32" w:rsidRDefault="00A43E04">
            <w:pPr>
              <w:pStyle w:val="P68B1DB1-Normal36"/>
              <w:spacing w:before="120" w:after="120"/>
              <w:jc w:val="center"/>
              <w:rPr>
                <w:noProof/>
                <w:color w:val="006100"/>
              </w:rPr>
            </w:pPr>
            <w:r>
              <w:rPr>
                <w:noProof/>
              </w:rPr>
              <w:t>Q2</w:t>
            </w:r>
          </w:p>
        </w:tc>
        <w:tc>
          <w:tcPr>
            <w:tcW w:w="709" w:type="dxa"/>
            <w:shd w:val="clear" w:color="auto" w:fill="C6EFCE"/>
            <w:noWrap/>
            <w:vAlign w:val="center"/>
          </w:tcPr>
          <w:p w14:paraId="60E15AEA" w14:textId="77777777" w:rsidR="00154E32" w:rsidRDefault="00A43E04">
            <w:pPr>
              <w:pStyle w:val="P68B1DB1-Normal36"/>
              <w:spacing w:before="120" w:after="120"/>
              <w:jc w:val="center"/>
              <w:rPr>
                <w:noProof/>
                <w:color w:val="006100"/>
              </w:rPr>
            </w:pPr>
            <w:r>
              <w:rPr>
                <w:noProof/>
              </w:rPr>
              <w:t>2022</w:t>
            </w:r>
          </w:p>
        </w:tc>
        <w:tc>
          <w:tcPr>
            <w:tcW w:w="2835" w:type="dxa"/>
            <w:shd w:val="clear" w:color="auto" w:fill="C6EFCE"/>
            <w:noWrap/>
            <w:vAlign w:val="center"/>
          </w:tcPr>
          <w:p w14:paraId="4069BB45" w14:textId="77777777" w:rsidR="00154E32" w:rsidRDefault="00A43E04">
            <w:pPr>
              <w:pStyle w:val="P68B1DB1-Normal36"/>
              <w:spacing w:before="120" w:after="120"/>
              <w:rPr>
                <w:rFonts w:eastAsia="Calibri"/>
                <w:noProof/>
              </w:rPr>
            </w:pPr>
            <w:r>
              <w:rPr>
                <w:noProof/>
              </w:rPr>
              <w:t>Odobritev pogodbe o institucionalnem razvoju (Contratto Istituzionale di Sviluppo) z italijanskim ministrstvom za zdravje kot pristojnim in izvedbenim organom ter sodelovanjem regionalnih uprav in drugih ključnih deležnikov.</w:t>
            </w:r>
          </w:p>
          <w:p w14:paraId="33420E00" w14:textId="77777777" w:rsidR="00154E32" w:rsidRDefault="00A43E04">
            <w:pPr>
              <w:pStyle w:val="P68B1DB1-Normal36"/>
              <w:spacing w:before="120" w:after="120"/>
              <w:rPr>
                <w:rFonts w:eastAsia="Calibri"/>
                <w:noProof/>
              </w:rPr>
            </w:pPr>
            <w:r>
              <w:rPr>
                <w:noProof/>
              </w:rPr>
              <w:t>Pogodba o institucionalnem razvoju je orodje, ki ga določa veljavna nacionalna zakonodaja (združene določbe členov 1 in 6 zakonodajnega odloka št. 88 z dne 31. maja 2011 ter člen 7 zakonodajnega odloka št. 91 z dne 20. junija 2017 z zakonom št. 123 z dne 3. avgusta 2017) za pospešitev izvajanja strateških projektov, ki so funkcionalno povezani med seboj. V pogodbi o institucionalnem razvoju so navedena vsa primerna območja, opredeljena za iinvesticije, ter obveznosti, ki jih vsaka regija prevzame za zagotovitev doseganja pričakovanega rezultata. V primeru kršitve s strani katere koli regije se ministrstvo za zdravje obrne na komisarja „ad acta“.</w:t>
            </w:r>
          </w:p>
        </w:tc>
      </w:tr>
      <w:tr w:rsidR="00154E32" w14:paraId="39CC16AC" w14:textId="77777777">
        <w:trPr>
          <w:trHeight w:val="313"/>
          <w:jc w:val="center"/>
        </w:trPr>
        <w:tc>
          <w:tcPr>
            <w:tcW w:w="1129" w:type="dxa"/>
            <w:shd w:val="clear" w:color="auto" w:fill="C6EFCE"/>
            <w:noWrap/>
            <w:vAlign w:val="center"/>
          </w:tcPr>
          <w:p w14:paraId="48A90629" w14:textId="77777777" w:rsidR="00154E32" w:rsidRDefault="00A43E04">
            <w:pPr>
              <w:pStyle w:val="P68B1DB1-Normal11"/>
              <w:spacing w:before="120" w:after="120"/>
              <w:jc w:val="center"/>
              <w:rPr>
                <w:noProof/>
              </w:rPr>
            </w:pPr>
            <w:r>
              <w:rPr>
                <w:noProof/>
              </w:rPr>
              <w:t>M6C2–6</w:t>
            </w:r>
          </w:p>
        </w:tc>
        <w:tc>
          <w:tcPr>
            <w:tcW w:w="1701" w:type="dxa"/>
            <w:shd w:val="clear" w:color="auto" w:fill="C6EFCE"/>
            <w:noWrap/>
            <w:vAlign w:val="center"/>
          </w:tcPr>
          <w:p w14:paraId="175E3AAC" w14:textId="77777777" w:rsidR="00154E32" w:rsidRDefault="00A43E04">
            <w:pPr>
              <w:pStyle w:val="P68B1DB1-Normal36"/>
              <w:spacing w:before="120" w:after="120"/>
              <w:jc w:val="center"/>
              <w:rPr>
                <w:noProof/>
                <w:color w:val="006100"/>
              </w:rPr>
            </w:pPr>
            <w:r>
              <w:rPr>
                <w:noProof/>
              </w:rPr>
              <w:t>Naložba 1.1: Digitalna posodobitev tehnološke opreme bolnišnic</w:t>
            </w:r>
          </w:p>
        </w:tc>
        <w:tc>
          <w:tcPr>
            <w:tcW w:w="1134" w:type="dxa"/>
            <w:shd w:val="clear" w:color="auto" w:fill="C6EFCE"/>
            <w:noWrap/>
            <w:vAlign w:val="center"/>
          </w:tcPr>
          <w:p w14:paraId="14FDA1EB" w14:textId="77777777" w:rsidR="00154E32" w:rsidRDefault="00A43E04">
            <w:pPr>
              <w:pStyle w:val="P68B1DB1-Normal36"/>
              <w:spacing w:before="120" w:after="120"/>
              <w:jc w:val="center"/>
              <w:rPr>
                <w:noProof/>
                <w:color w:val="006100"/>
              </w:rPr>
            </w:pPr>
            <w:r>
              <w:rPr>
                <w:noProof/>
              </w:rPr>
              <w:t>Tarča</w:t>
            </w:r>
          </w:p>
        </w:tc>
        <w:tc>
          <w:tcPr>
            <w:tcW w:w="1560" w:type="dxa"/>
            <w:shd w:val="clear" w:color="auto" w:fill="C6EFCE"/>
            <w:noWrap/>
            <w:vAlign w:val="center"/>
          </w:tcPr>
          <w:p w14:paraId="61396825" w14:textId="77777777" w:rsidR="00154E32" w:rsidRDefault="00A43E04">
            <w:pPr>
              <w:pStyle w:val="P68B1DB1-Normal36"/>
              <w:spacing w:before="120" w:after="120"/>
              <w:jc w:val="center"/>
              <w:rPr>
                <w:noProof/>
                <w:color w:val="006100"/>
              </w:rPr>
            </w:pPr>
            <w:r>
              <w:rPr>
                <w:noProof/>
              </w:rPr>
              <w:t>Velika sanitarna oprema, ki deluje</w:t>
            </w:r>
          </w:p>
        </w:tc>
        <w:tc>
          <w:tcPr>
            <w:tcW w:w="1559" w:type="dxa"/>
            <w:shd w:val="clear" w:color="auto" w:fill="C6EFCE"/>
            <w:noWrap/>
            <w:vAlign w:val="center"/>
          </w:tcPr>
          <w:p w14:paraId="725D40FC" w14:textId="77777777" w:rsidR="00154E32" w:rsidRDefault="00A43E04">
            <w:pPr>
              <w:pStyle w:val="P68B1DB1-Normal36"/>
              <w:spacing w:before="120" w:after="120"/>
              <w:jc w:val="center"/>
              <w:rPr>
                <w:noProof/>
                <w:color w:val="006100"/>
              </w:rPr>
            </w:pPr>
            <w:r>
              <w:rPr>
                <w:noProof/>
              </w:rPr>
              <w:t>JIH NI</w:t>
            </w:r>
          </w:p>
        </w:tc>
        <w:tc>
          <w:tcPr>
            <w:tcW w:w="1276" w:type="dxa"/>
            <w:shd w:val="clear" w:color="auto" w:fill="C6EFCE"/>
            <w:noWrap/>
            <w:vAlign w:val="center"/>
          </w:tcPr>
          <w:p w14:paraId="7E92F2D0" w14:textId="77777777" w:rsidR="00154E32" w:rsidRDefault="00A43E04">
            <w:pPr>
              <w:pStyle w:val="P68B1DB1-Normal36"/>
              <w:spacing w:before="120" w:after="120"/>
              <w:jc w:val="center"/>
              <w:rPr>
                <w:noProof/>
                <w:color w:val="006100"/>
              </w:rPr>
            </w:pPr>
            <w:r>
              <w:rPr>
                <w:noProof/>
              </w:rPr>
              <w:t>Število</w:t>
            </w:r>
          </w:p>
        </w:tc>
        <w:tc>
          <w:tcPr>
            <w:tcW w:w="992" w:type="dxa"/>
            <w:shd w:val="clear" w:color="auto" w:fill="C6EFCE"/>
            <w:noWrap/>
            <w:vAlign w:val="center"/>
          </w:tcPr>
          <w:p w14:paraId="667A0BB9" w14:textId="77777777" w:rsidR="00154E32" w:rsidRDefault="00A43E04">
            <w:pPr>
              <w:pStyle w:val="P68B1DB1-Normal36"/>
              <w:spacing w:before="120" w:after="120"/>
              <w:jc w:val="center"/>
              <w:rPr>
                <w:noProof/>
                <w:color w:val="006100"/>
              </w:rPr>
            </w:pPr>
            <w:r>
              <w:rPr>
                <w:noProof/>
              </w:rPr>
              <w:t>0</w:t>
            </w:r>
          </w:p>
        </w:tc>
        <w:tc>
          <w:tcPr>
            <w:tcW w:w="850" w:type="dxa"/>
            <w:shd w:val="clear" w:color="auto" w:fill="C6EFCE"/>
            <w:noWrap/>
            <w:vAlign w:val="center"/>
          </w:tcPr>
          <w:p w14:paraId="7320A347" w14:textId="5EF4F6DC" w:rsidR="00154E32" w:rsidRDefault="00A43E04">
            <w:pPr>
              <w:pStyle w:val="P68B1DB1-Normal19"/>
              <w:spacing w:before="120" w:after="120"/>
              <w:jc w:val="center"/>
              <w:rPr>
                <w:noProof/>
                <w:color w:val="006100"/>
              </w:rPr>
            </w:pPr>
            <w:r>
              <w:rPr>
                <w:noProof/>
                <w:color w:val="006600"/>
              </w:rPr>
              <w:t>3</w:t>
            </w:r>
            <w:r>
              <w:rPr>
                <w:noProof/>
                <w:color w:val="006100"/>
              </w:rPr>
              <w:t xml:space="preserve"> </w:t>
            </w:r>
            <w:r>
              <w:rPr>
                <w:noProof/>
                <w:color w:val="006600"/>
              </w:rPr>
              <w:t>100</w:t>
            </w:r>
          </w:p>
        </w:tc>
        <w:tc>
          <w:tcPr>
            <w:tcW w:w="851" w:type="dxa"/>
            <w:shd w:val="clear" w:color="auto" w:fill="C6EFCE"/>
            <w:noWrap/>
            <w:vAlign w:val="center"/>
          </w:tcPr>
          <w:p w14:paraId="4624CA49" w14:textId="77777777" w:rsidR="00154E32" w:rsidRDefault="00A43E04">
            <w:pPr>
              <w:pStyle w:val="P68B1DB1-Normal36"/>
              <w:spacing w:before="120" w:after="120"/>
              <w:jc w:val="center"/>
              <w:rPr>
                <w:noProof/>
              </w:rPr>
            </w:pPr>
            <w:r>
              <w:rPr>
                <w:noProof/>
              </w:rPr>
              <w:t>Q2</w:t>
            </w:r>
          </w:p>
        </w:tc>
        <w:tc>
          <w:tcPr>
            <w:tcW w:w="709" w:type="dxa"/>
            <w:shd w:val="clear" w:color="auto" w:fill="C6EFCE"/>
            <w:noWrap/>
            <w:vAlign w:val="center"/>
          </w:tcPr>
          <w:p w14:paraId="0C713727" w14:textId="77777777" w:rsidR="00154E32" w:rsidRDefault="00A43E04">
            <w:pPr>
              <w:pStyle w:val="P68B1DB1-Normal36"/>
              <w:spacing w:before="120" w:after="120"/>
              <w:jc w:val="center"/>
              <w:rPr>
                <w:noProof/>
              </w:rPr>
            </w:pPr>
            <w:r>
              <w:rPr>
                <w:noProof/>
              </w:rPr>
              <w:t>2026</w:t>
            </w:r>
          </w:p>
        </w:tc>
        <w:tc>
          <w:tcPr>
            <w:tcW w:w="2835" w:type="dxa"/>
            <w:shd w:val="clear" w:color="auto" w:fill="C6EFCE"/>
            <w:noWrap/>
            <w:vAlign w:val="center"/>
          </w:tcPr>
          <w:p w14:paraId="6E5D8478" w14:textId="77777777" w:rsidR="00154E32" w:rsidRDefault="00A43E04">
            <w:pPr>
              <w:pStyle w:val="P68B1DB1-Normal36"/>
              <w:spacing w:before="120" w:after="120"/>
              <w:rPr>
                <w:rFonts w:eastAsia="Calibri"/>
                <w:noProof/>
              </w:rPr>
            </w:pPr>
            <w:r>
              <w:rPr>
                <w:noProof/>
              </w:rPr>
              <w:t>Število in tipologije opreme, ki se nadomesti, so: 340 CT (računalniška tomografija) s 128 rezinami ali več, 190 NMR (jedrska magnetna resonanca) pri 1,5 T ali več, 81 linearnih pospeševalnikov, 937 fiksnih rentgenskih sistemov, 193 Angiografije, 82 gama kamer, 53 Gamma kamer/CT (računalniške tomografije), 34 PET (kontronsko-emisijska tomografija) CT (računalniška tomografija), 295 Mamgrafija, 928 Ultrasound).</w:t>
            </w:r>
          </w:p>
          <w:p w14:paraId="14AFDD5E" w14:textId="3D0A1557" w:rsidR="00154E32" w:rsidRDefault="00A43E04">
            <w:pPr>
              <w:pStyle w:val="P68B1DB1-Normal36"/>
              <w:spacing w:before="120" w:after="120"/>
              <w:rPr>
                <w:noProof/>
                <w:color w:val="006100"/>
              </w:rPr>
            </w:pPr>
            <w:r>
              <w:rPr>
                <w:noProof/>
              </w:rPr>
              <w:t>Nadomestna oprema bo odstranjena ali ponovno uporabljena na drugih lokacijah NHS.</w:t>
            </w:r>
          </w:p>
        </w:tc>
      </w:tr>
      <w:tr w:rsidR="00154E32" w14:paraId="58D18F6A" w14:textId="77777777">
        <w:trPr>
          <w:trHeight w:val="313"/>
          <w:jc w:val="center"/>
        </w:trPr>
        <w:tc>
          <w:tcPr>
            <w:tcW w:w="1129" w:type="dxa"/>
            <w:shd w:val="clear" w:color="auto" w:fill="C6EFCE"/>
            <w:noWrap/>
            <w:vAlign w:val="center"/>
          </w:tcPr>
          <w:p w14:paraId="658E8ED0" w14:textId="77777777" w:rsidR="00154E32" w:rsidRDefault="00A43E04">
            <w:pPr>
              <w:pStyle w:val="P68B1DB1-Normal11"/>
              <w:spacing w:before="120" w:after="120"/>
              <w:jc w:val="center"/>
              <w:rPr>
                <w:noProof/>
              </w:rPr>
            </w:pPr>
            <w:r>
              <w:rPr>
                <w:noProof/>
              </w:rPr>
              <w:t>M6C2–7</w:t>
            </w:r>
          </w:p>
        </w:tc>
        <w:tc>
          <w:tcPr>
            <w:tcW w:w="1701" w:type="dxa"/>
            <w:shd w:val="clear" w:color="auto" w:fill="C6EFCE"/>
            <w:noWrap/>
            <w:vAlign w:val="center"/>
          </w:tcPr>
          <w:p w14:paraId="2909A299" w14:textId="77777777" w:rsidR="00154E32" w:rsidRDefault="00A43E04">
            <w:pPr>
              <w:pStyle w:val="P68B1DB1-Normal36"/>
              <w:spacing w:before="120" w:after="120"/>
              <w:jc w:val="center"/>
              <w:rPr>
                <w:noProof/>
                <w:color w:val="006100"/>
              </w:rPr>
            </w:pPr>
            <w:r>
              <w:rPr>
                <w:noProof/>
              </w:rPr>
              <w:t>Naložba 1.1: Digitalna posodobitev tehnološke opreme bolnišnic</w:t>
            </w:r>
          </w:p>
        </w:tc>
        <w:tc>
          <w:tcPr>
            <w:tcW w:w="1134" w:type="dxa"/>
            <w:shd w:val="clear" w:color="auto" w:fill="C6EFCE"/>
            <w:noWrap/>
            <w:vAlign w:val="center"/>
          </w:tcPr>
          <w:p w14:paraId="71AF83AC" w14:textId="77777777" w:rsidR="00154E32" w:rsidRDefault="00A43E04">
            <w:pPr>
              <w:pStyle w:val="P68B1DB1-Normal36"/>
              <w:spacing w:before="120" w:after="120"/>
              <w:jc w:val="center"/>
              <w:rPr>
                <w:noProof/>
                <w:color w:val="006100"/>
              </w:rPr>
            </w:pPr>
            <w:r>
              <w:rPr>
                <w:noProof/>
              </w:rPr>
              <w:t>Mejnik</w:t>
            </w:r>
          </w:p>
        </w:tc>
        <w:tc>
          <w:tcPr>
            <w:tcW w:w="1560" w:type="dxa"/>
            <w:shd w:val="clear" w:color="auto" w:fill="C6EFCE"/>
            <w:noWrap/>
            <w:vAlign w:val="center"/>
          </w:tcPr>
          <w:p w14:paraId="755B513F" w14:textId="77777777" w:rsidR="00154E32" w:rsidRDefault="00A43E04">
            <w:pPr>
              <w:pStyle w:val="P68B1DB1-Normal36"/>
              <w:spacing w:before="120" w:after="120"/>
              <w:jc w:val="center"/>
              <w:rPr>
                <w:noProof/>
                <w:color w:val="006100"/>
              </w:rPr>
            </w:pPr>
            <w:r>
              <w:rPr>
                <w:noProof/>
              </w:rPr>
              <w:t>Oddaja vseh javnih naročil</w:t>
            </w:r>
          </w:p>
        </w:tc>
        <w:tc>
          <w:tcPr>
            <w:tcW w:w="1559" w:type="dxa"/>
            <w:shd w:val="clear" w:color="auto" w:fill="C6EFCE"/>
            <w:noWrap/>
            <w:vAlign w:val="center"/>
          </w:tcPr>
          <w:p w14:paraId="4B48D027" w14:textId="77777777" w:rsidR="00154E32" w:rsidRDefault="00A43E04">
            <w:pPr>
              <w:pStyle w:val="P68B1DB1-Normal36"/>
              <w:spacing w:before="120" w:after="120"/>
              <w:jc w:val="center"/>
              <w:rPr>
                <w:noProof/>
                <w:color w:val="006100"/>
              </w:rPr>
            </w:pPr>
            <w:r>
              <w:rPr>
                <w:noProof/>
              </w:rPr>
              <w:t>Obvestilo o vseh oddanih javnih naročilih.</w:t>
            </w:r>
          </w:p>
        </w:tc>
        <w:tc>
          <w:tcPr>
            <w:tcW w:w="1276" w:type="dxa"/>
            <w:shd w:val="clear" w:color="auto" w:fill="C6EFCE"/>
            <w:noWrap/>
            <w:vAlign w:val="center"/>
          </w:tcPr>
          <w:p w14:paraId="43664228" w14:textId="77777777" w:rsidR="00154E32" w:rsidRDefault="00A43E04">
            <w:pPr>
              <w:pStyle w:val="P68B1DB1-Normal36"/>
              <w:spacing w:before="120" w:after="120"/>
              <w:jc w:val="center"/>
              <w:rPr>
                <w:noProof/>
                <w:color w:val="006100"/>
              </w:rPr>
            </w:pPr>
            <w:r>
              <w:rPr>
                <w:noProof/>
              </w:rPr>
              <w:t>JIH NI</w:t>
            </w:r>
          </w:p>
        </w:tc>
        <w:tc>
          <w:tcPr>
            <w:tcW w:w="992" w:type="dxa"/>
            <w:shd w:val="clear" w:color="auto" w:fill="C6EFCE"/>
            <w:noWrap/>
            <w:vAlign w:val="center"/>
          </w:tcPr>
          <w:p w14:paraId="4504D824" w14:textId="77777777" w:rsidR="00154E32" w:rsidRDefault="00A43E04">
            <w:pPr>
              <w:pStyle w:val="P68B1DB1-Normal36"/>
              <w:spacing w:before="120" w:after="120"/>
              <w:jc w:val="center"/>
              <w:rPr>
                <w:noProof/>
                <w:color w:val="006100"/>
              </w:rPr>
            </w:pPr>
            <w:r>
              <w:rPr>
                <w:noProof/>
              </w:rPr>
              <w:t>JIH NI</w:t>
            </w:r>
          </w:p>
        </w:tc>
        <w:tc>
          <w:tcPr>
            <w:tcW w:w="850" w:type="dxa"/>
            <w:shd w:val="clear" w:color="auto" w:fill="C6EFCE"/>
            <w:noWrap/>
            <w:vAlign w:val="center"/>
          </w:tcPr>
          <w:p w14:paraId="65E4AE39" w14:textId="77777777" w:rsidR="00154E32" w:rsidRDefault="00A43E04">
            <w:pPr>
              <w:pStyle w:val="P68B1DB1-Normal36"/>
              <w:spacing w:before="120" w:after="120"/>
              <w:jc w:val="center"/>
              <w:rPr>
                <w:noProof/>
                <w:color w:val="006100"/>
              </w:rPr>
            </w:pPr>
            <w:r>
              <w:rPr>
                <w:noProof/>
              </w:rPr>
              <w:t>JIH NI</w:t>
            </w:r>
          </w:p>
        </w:tc>
        <w:tc>
          <w:tcPr>
            <w:tcW w:w="851" w:type="dxa"/>
            <w:shd w:val="clear" w:color="auto" w:fill="C6EFCE"/>
            <w:noWrap/>
            <w:vAlign w:val="center"/>
          </w:tcPr>
          <w:p w14:paraId="10FCB60C" w14:textId="77777777" w:rsidR="00154E32" w:rsidRDefault="00A43E04">
            <w:pPr>
              <w:pStyle w:val="P68B1DB1-Normal36"/>
              <w:spacing w:before="120" w:after="120"/>
              <w:jc w:val="center"/>
              <w:rPr>
                <w:noProof/>
                <w:color w:val="006100"/>
              </w:rPr>
            </w:pPr>
            <w:r>
              <w:rPr>
                <w:noProof/>
              </w:rPr>
              <w:t>Q4</w:t>
            </w:r>
          </w:p>
        </w:tc>
        <w:tc>
          <w:tcPr>
            <w:tcW w:w="709" w:type="dxa"/>
            <w:shd w:val="clear" w:color="auto" w:fill="C6EFCE"/>
            <w:noWrap/>
            <w:vAlign w:val="center"/>
          </w:tcPr>
          <w:p w14:paraId="49E0AF11" w14:textId="77777777" w:rsidR="00154E32" w:rsidRDefault="00A43E04">
            <w:pPr>
              <w:pStyle w:val="P68B1DB1-Normal36"/>
              <w:spacing w:before="120" w:after="120"/>
              <w:jc w:val="center"/>
              <w:rPr>
                <w:noProof/>
                <w:color w:val="006100"/>
              </w:rPr>
            </w:pPr>
            <w:r>
              <w:rPr>
                <w:noProof/>
              </w:rPr>
              <w:t>2022</w:t>
            </w:r>
          </w:p>
        </w:tc>
        <w:tc>
          <w:tcPr>
            <w:tcW w:w="2835" w:type="dxa"/>
            <w:shd w:val="clear" w:color="auto" w:fill="C6EFCE"/>
            <w:noWrap/>
            <w:vAlign w:val="center"/>
          </w:tcPr>
          <w:p w14:paraId="4BA90EAB" w14:textId="77777777" w:rsidR="00154E32" w:rsidRDefault="00A43E04">
            <w:pPr>
              <w:pStyle w:val="P68B1DB1-Normal36"/>
              <w:spacing w:before="120" w:after="120"/>
              <w:rPr>
                <w:noProof/>
              </w:rPr>
            </w:pPr>
            <w:r>
              <w:rPr>
                <w:noProof/>
              </w:rPr>
              <w:t>Objava razpisnih postopkov (okvirni sporazum Consip) in sklenitev pogodb s ponudniki storitev ter digitalizacija bolnišnic, razvrščenih na ravni DEA I in II)</w:t>
            </w:r>
          </w:p>
          <w:p w14:paraId="2FA49AC0" w14:textId="77777777" w:rsidR="00154E32" w:rsidRDefault="00A43E04">
            <w:pPr>
              <w:pStyle w:val="P68B1DB1-Normal36"/>
              <w:spacing w:before="120" w:after="120"/>
              <w:rPr>
                <w:noProof/>
                <w:color w:val="006100"/>
              </w:rPr>
            </w:pPr>
            <w:r>
              <w:rPr>
                <w:noProof/>
              </w:rPr>
              <w:t>Pogodbe vključujejo nakup: a) Center za obdelavo podatkov (DPC), vključno z IKT in vsemi pomožnimi deli, potrebnimi za doseganje informatizacije celotne bolnišnične strukture, b) nakup strojne in/ali programske opreme informacijske tehnologije, elektromedicinskih tehnologij ter dodatnih tehnologij in vseh pomožnih del, potrebnih za informatizacijo bolnišničnih oddelkov. Ocena sedanje ravni digitalizacije pred izvedbo intervencije omogoča izpopolnitev te ocene glede na dejanske potrebe posamezne regije/bolnišnice.</w:t>
            </w:r>
          </w:p>
        </w:tc>
      </w:tr>
      <w:tr w:rsidR="00154E32" w14:paraId="3FD8D62D" w14:textId="77777777">
        <w:trPr>
          <w:trHeight w:val="313"/>
          <w:jc w:val="center"/>
        </w:trPr>
        <w:tc>
          <w:tcPr>
            <w:tcW w:w="1129" w:type="dxa"/>
            <w:shd w:val="clear" w:color="auto" w:fill="C6EFCE"/>
            <w:noWrap/>
            <w:vAlign w:val="center"/>
          </w:tcPr>
          <w:p w14:paraId="7A77C346" w14:textId="77777777" w:rsidR="00154E32" w:rsidRDefault="00A43E04">
            <w:pPr>
              <w:pStyle w:val="P68B1DB1-Normal11"/>
              <w:spacing w:before="120" w:after="120"/>
              <w:jc w:val="center"/>
              <w:rPr>
                <w:noProof/>
              </w:rPr>
            </w:pPr>
            <w:r>
              <w:rPr>
                <w:noProof/>
              </w:rPr>
              <w:t>M6C2–8</w:t>
            </w:r>
          </w:p>
        </w:tc>
        <w:tc>
          <w:tcPr>
            <w:tcW w:w="1701" w:type="dxa"/>
            <w:shd w:val="clear" w:color="auto" w:fill="C6EFCE"/>
            <w:noWrap/>
            <w:vAlign w:val="center"/>
          </w:tcPr>
          <w:p w14:paraId="5F8B589A" w14:textId="77777777" w:rsidR="00154E32" w:rsidRDefault="00A43E04">
            <w:pPr>
              <w:pStyle w:val="P68B1DB1-Normal36"/>
              <w:spacing w:before="120" w:after="120"/>
              <w:jc w:val="center"/>
              <w:rPr>
                <w:noProof/>
                <w:color w:val="006100"/>
              </w:rPr>
            </w:pPr>
            <w:r>
              <w:rPr>
                <w:noProof/>
              </w:rPr>
              <w:t>Naložba 1.1: Digitalna posodobitev tehnološke opreme bolnišnic</w:t>
            </w:r>
          </w:p>
        </w:tc>
        <w:tc>
          <w:tcPr>
            <w:tcW w:w="1134" w:type="dxa"/>
            <w:shd w:val="clear" w:color="auto" w:fill="C6EFCE"/>
            <w:noWrap/>
            <w:vAlign w:val="center"/>
          </w:tcPr>
          <w:p w14:paraId="7FD2F5AA" w14:textId="77777777" w:rsidR="00154E32" w:rsidRDefault="00A43E04">
            <w:pPr>
              <w:pStyle w:val="P68B1DB1-Normal36"/>
              <w:spacing w:before="120" w:after="120"/>
              <w:jc w:val="center"/>
              <w:rPr>
                <w:noProof/>
                <w:color w:val="006100"/>
              </w:rPr>
            </w:pPr>
            <w:r>
              <w:rPr>
                <w:noProof/>
              </w:rPr>
              <w:t>Tarča</w:t>
            </w:r>
          </w:p>
        </w:tc>
        <w:tc>
          <w:tcPr>
            <w:tcW w:w="1560" w:type="dxa"/>
            <w:shd w:val="clear" w:color="auto" w:fill="C6EFCE"/>
            <w:noWrap/>
            <w:vAlign w:val="center"/>
          </w:tcPr>
          <w:p w14:paraId="5B278646" w14:textId="77777777" w:rsidR="00154E32" w:rsidRDefault="00A43E04">
            <w:pPr>
              <w:pStyle w:val="P68B1DB1-Normal36"/>
              <w:spacing w:before="120" w:after="120"/>
              <w:jc w:val="center"/>
              <w:rPr>
                <w:rFonts w:eastAsia="Calibri"/>
                <w:noProof/>
              </w:rPr>
            </w:pPr>
            <w:r>
              <w:rPr>
                <w:noProof/>
              </w:rPr>
              <w:t>Bolnišnice so digitalizirane (DEA – Oddelki za nujne primere in sprejem – I. in II. stopnja)</w:t>
            </w:r>
          </w:p>
        </w:tc>
        <w:tc>
          <w:tcPr>
            <w:tcW w:w="1559" w:type="dxa"/>
            <w:shd w:val="clear" w:color="auto" w:fill="C6EFCE"/>
            <w:noWrap/>
            <w:vAlign w:val="center"/>
          </w:tcPr>
          <w:p w14:paraId="16570DAA" w14:textId="77777777" w:rsidR="00154E32" w:rsidRDefault="00A43E04">
            <w:pPr>
              <w:pStyle w:val="P68B1DB1-Normal36"/>
              <w:spacing w:before="120" w:after="120"/>
              <w:jc w:val="center"/>
              <w:rPr>
                <w:noProof/>
                <w:color w:val="006100"/>
              </w:rPr>
            </w:pPr>
            <w:r>
              <w:rPr>
                <w:noProof/>
              </w:rPr>
              <w:t>JIH NI</w:t>
            </w:r>
          </w:p>
        </w:tc>
        <w:tc>
          <w:tcPr>
            <w:tcW w:w="1276" w:type="dxa"/>
            <w:shd w:val="clear" w:color="auto" w:fill="C6EFCE"/>
            <w:noWrap/>
            <w:vAlign w:val="center"/>
          </w:tcPr>
          <w:p w14:paraId="24B3EB41" w14:textId="77777777" w:rsidR="00154E32" w:rsidRDefault="00A43E04">
            <w:pPr>
              <w:pStyle w:val="P68B1DB1-Normal36"/>
              <w:spacing w:before="120" w:after="120"/>
              <w:jc w:val="center"/>
              <w:rPr>
                <w:rFonts w:eastAsia="Calibri"/>
                <w:noProof/>
              </w:rPr>
            </w:pPr>
            <w:r>
              <w:rPr>
                <w:noProof/>
              </w:rPr>
              <w:t xml:space="preserve">Število </w:t>
            </w:r>
          </w:p>
        </w:tc>
        <w:tc>
          <w:tcPr>
            <w:tcW w:w="992" w:type="dxa"/>
            <w:shd w:val="clear" w:color="auto" w:fill="C6EFCE"/>
            <w:noWrap/>
            <w:vAlign w:val="center"/>
          </w:tcPr>
          <w:p w14:paraId="2554F4CE" w14:textId="77777777" w:rsidR="00154E32" w:rsidRDefault="00A43E04">
            <w:pPr>
              <w:pStyle w:val="P68B1DB1-Normal36"/>
              <w:spacing w:before="120" w:after="120"/>
              <w:jc w:val="center"/>
              <w:rPr>
                <w:noProof/>
                <w:color w:val="006100"/>
              </w:rPr>
            </w:pPr>
            <w:r>
              <w:rPr>
                <w:noProof/>
              </w:rPr>
              <w:t>0</w:t>
            </w:r>
          </w:p>
        </w:tc>
        <w:tc>
          <w:tcPr>
            <w:tcW w:w="850" w:type="dxa"/>
            <w:shd w:val="clear" w:color="auto" w:fill="C6EFCE"/>
            <w:noWrap/>
            <w:vAlign w:val="center"/>
          </w:tcPr>
          <w:p w14:paraId="474054A8" w14:textId="77777777" w:rsidR="00154E32" w:rsidRDefault="00A43E04">
            <w:pPr>
              <w:pStyle w:val="P68B1DB1-Normal36"/>
              <w:spacing w:before="120" w:after="120"/>
              <w:jc w:val="center"/>
              <w:rPr>
                <w:noProof/>
                <w:color w:val="006100"/>
              </w:rPr>
            </w:pPr>
            <w:r>
              <w:rPr>
                <w:noProof/>
              </w:rPr>
              <w:t>280</w:t>
            </w:r>
          </w:p>
        </w:tc>
        <w:tc>
          <w:tcPr>
            <w:tcW w:w="851" w:type="dxa"/>
            <w:shd w:val="clear" w:color="auto" w:fill="C6EFCE"/>
            <w:noWrap/>
            <w:vAlign w:val="center"/>
          </w:tcPr>
          <w:p w14:paraId="09FC985C" w14:textId="77777777" w:rsidR="00154E32" w:rsidRDefault="00A43E04">
            <w:pPr>
              <w:pStyle w:val="P68B1DB1-Normal36"/>
              <w:spacing w:before="120" w:after="120"/>
              <w:jc w:val="center"/>
              <w:rPr>
                <w:noProof/>
                <w:color w:val="006100"/>
              </w:rPr>
            </w:pPr>
            <w:r>
              <w:rPr>
                <w:noProof/>
              </w:rPr>
              <w:t>Q4</w:t>
            </w:r>
          </w:p>
        </w:tc>
        <w:tc>
          <w:tcPr>
            <w:tcW w:w="709" w:type="dxa"/>
            <w:shd w:val="clear" w:color="auto" w:fill="C6EFCE"/>
            <w:noWrap/>
            <w:vAlign w:val="center"/>
          </w:tcPr>
          <w:p w14:paraId="3A6DC768" w14:textId="77777777" w:rsidR="00154E32" w:rsidRDefault="00A43E04">
            <w:pPr>
              <w:pStyle w:val="P68B1DB1-Normal36"/>
              <w:spacing w:before="120" w:after="120"/>
              <w:jc w:val="center"/>
              <w:rPr>
                <w:noProof/>
                <w:color w:val="006100"/>
              </w:rPr>
            </w:pPr>
            <w:r>
              <w:rPr>
                <w:noProof/>
              </w:rPr>
              <w:t>2025</w:t>
            </w:r>
          </w:p>
        </w:tc>
        <w:tc>
          <w:tcPr>
            <w:tcW w:w="2835" w:type="dxa"/>
            <w:shd w:val="clear" w:color="auto" w:fill="C6EFCE"/>
            <w:noWrap/>
            <w:vAlign w:val="center"/>
          </w:tcPr>
          <w:p w14:paraId="2087AD49" w14:textId="77777777" w:rsidR="00154E32" w:rsidRDefault="00A43E04">
            <w:pPr>
              <w:pStyle w:val="P68B1DB1-Normal36"/>
              <w:spacing w:before="120" w:after="120"/>
              <w:rPr>
                <w:noProof/>
              </w:rPr>
            </w:pPr>
            <w:r>
              <w:rPr>
                <w:noProof/>
              </w:rPr>
              <w:t>Vsaka digitalizirana bolnišnica ima center za obdelavo podatkov (DPC), ki je potreben za informatizacijo celotne bolnišnične strukture, ter zadostno strojno in/ali programsko informacijsko tehnologijo, elektromedicinske tehnologije in dodatne tehnologije, potrebne za informatizacijo vsakega bolnišničnega oddelka.</w:t>
            </w:r>
          </w:p>
          <w:p w14:paraId="100F8E75" w14:textId="75EB6615" w:rsidR="00154E32" w:rsidRDefault="00A43E04">
            <w:pPr>
              <w:pStyle w:val="P68B1DB1-Normal36"/>
              <w:spacing w:before="120" w:after="120"/>
              <w:rPr>
                <w:noProof/>
                <w:color w:val="006100"/>
              </w:rPr>
            </w:pPr>
            <w:bookmarkStart w:id="5" w:name="_Hlk149126432"/>
            <w:r>
              <w:rPr>
                <w:noProof/>
              </w:rPr>
              <w:t>Dovoljeni so instrumenti za javna naročila, ki jih da na voljo Consip – poleg tistih, ki so bili zaključeni do 31. decembra 2022, in Mepa/SDAPA – za pomožne nakupe.</w:t>
            </w:r>
            <w:bookmarkEnd w:id="5"/>
          </w:p>
        </w:tc>
      </w:tr>
      <w:tr w:rsidR="00154E32" w14:paraId="4537CA75" w14:textId="77777777">
        <w:trPr>
          <w:trHeight w:val="313"/>
          <w:jc w:val="center"/>
        </w:trPr>
        <w:tc>
          <w:tcPr>
            <w:tcW w:w="1129" w:type="dxa"/>
            <w:shd w:val="clear" w:color="auto" w:fill="C6EFCE"/>
            <w:noWrap/>
            <w:vAlign w:val="center"/>
          </w:tcPr>
          <w:p w14:paraId="7C9D549C" w14:textId="77777777" w:rsidR="00154E32" w:rsidRDefault="00A43E04">
            <w:pPr>
              <w:pStyle w:val="P68B1DB1-Normal11"/>
              <w:spacing w:before="120" w:after="120"/>
              <w:jc w:val="center"/>
              <w:rPr>
                <w:noProof/>
              </w:rPr>
            </w:pPr>
            <w:r>
              <w:rPr>
                <w:noProof/>
              </w:rPr>
              <w:t>M6C2–9</w:t>
            </w:r>
          </w:p>
        </w:tc>
        <w:tc>
          <w:tcPr>
            <w:tcW w:w="1701" w:type="dxa"/>
            <w:shd w:val="clear" w:color="auto" w:fill="C6EFCE"/>
            <w:noWrap/>
            <w:vAlign w:val="center"/>
          </w:tcPr>
          <w:p w14:paraId="3AC3E3D3" w14:textId="77777777" w:rsidR="00154E32" w:rsidRDefault="00A43E04">
            <w:pPr>
              <w:pStyle w:val="P68B1DB1-Normal36"/>
              <w:spacing w:before="120" w:after="120"/>
              <w:jc w:val="center"/>
              <w:rPr>
                <w:noProof/>
                <w:color w:val="006100"/>
              </w:rPr>
            </w:pPr>
            <w:r>
              <w:rPr>
                <w:noProof/>
              </w:rPr>
              <w:t>Naložba 1.1: Digitalna posodobitev tehnološke opreme bolnišnic</w:t>
            </w:r>
          </w:p>
        </w:tc>
        <w:tc>
          <w:tcPr>
            <w:tcW w:w="1134" w:type="dxa"/>
            <w:shd w:val="clear" w:color="auto" w:fill="C6EFCE"/>
            <w:noWrap/>
            <w:vAlign w:val="center"/>
          </w:tcPr>
          <w:p w14:paraId="0807F8F0" w14:textId="77777777" w:rsidR="00154E32" w:rsidRDefault="00A43E04">
            <w:pPr>
              <w:pStyle w:val="P68B1DB1-Normal36"/>
              <w:spacing w:before="120" w:after="120"/>
              <w:jc w:val="center"/>
              <w:rPr>
                <w:noProof/>
                <w:color w:val="006100"/>
              </w:rPr>
            </w:pPr>
            <w:r>
              <w:rPr>
                <w:noProof/>
              </w:rPr>
              <w:t>Tarča</w:t>
            </w:r>
          </w:p>
        </w:tc>
        <w:tc>
          <w:tcPr>
            <w:tcW w:w="1560" w:type="dxa"/>
            <w:shd w:val="clear" w:color="auto" w:fill="C6EFCE"/>
            <w:noWrap/>
            <w:vAlign w:val="center"/>
          </w:tcPr>
          <w:p w14:paraId="1DD8D29D" w14:textId="5B2524B1" w:rsidR="00154E32" w:rsidRDefault="00A43E04">
            <w:pPr>
              <w:pStyle w:val="P68B1DB1-Normal36"/>
              <w:spacing w:before="120" w:after="120"/>
              <w:jc w:val="center"/>
              <w:rPr>
                <w:noProof/>
              </w:rPr>
            </w:pPr>
            <w:r>
              <w:rPr>
                <w:noProof/>
              </w:rPr>
              <w:t>Dodatne postelje, zagotovljene v enotah za intenzivno nego in podintenzivni oskrbi</w:t>
            </w:r>
          </w:p>
        </w:tc>
        <w:tc>
          <w:tcPr>
            <w:tcW w:w="1559" w:type="dxa"/>
            <w:shd w:val="clear" w:color="auto" w:fill="C6EFCE"/>
            <w:noWrap/>
            <w:vAlign w:val="center"/>
          </w:tcPr>
          <w:p w14:paraId="22148736" w14:textId="77777777" w:rsidR="00154E32" w:rsidRDefault="00A43E04">
            <w:pPr>
              <w:pStyle w:val="P68B1DB1-Normal36"/>
              <w:spacing w:before="120" w:after="120"/>
              <w:jc w:val="center"/>
              <w:rPr>
                <w:noProof/>
                <w:color w:val="006100"/>
              </w:rPr>
            </w:pPr>
            <w:r>
              <w:rPr>
                <w:noProof/>
              </w:rPr>
              <w:t>JIH NI</w:t>
            </w:r>
          </w:p>
        </w:tc>
        <w:tc>
          <w:tcPr>
            <w:tcW w:w="1276" w:type="dxa"/>
            <w:shd w:val="clear" w:color="auto" w:fill="C6EFCE"/>
            <w:noWrap/>
            <w:vAlign w:val="center"/>
          </w:tcPr>
          <w:p w14:paraId="0893E29C" w14:textId="77777777" w:rsidR="00154E32" w:rsidRDefault="00A43E04">
            <w:pPr>
              <w:pStyle w:val="P68B1DB1-Normal36"/>
              <w:spacing w:before="120" w:after="120"/>
              <w:jc w:val="center"/>
              <w:rPr>
                <w:rFonts w:eastAsia="Calibri"/>
                <w:noProof/>
              </w:rPr>
            </w:pPr>
            <w:r>
              <w:rPr>
                <w:noProof/>
              </w:rPr>
              <w:t xml:space="preserve">Število </w:t>
            </w:r>
          </w:p>
        </w:tc>
        <w:tc>
          <w:tcPr>
            <w:tcW w:w="992" w:type="dxa"/>
            <w:shd w:val="clear" w:color="auto" w:fill="C6EFCE"/>
            <w:noWrap/>
            <w:vAlign w:val="center"/>
          </w:tcPr>
          <w:p w14:paraId="2C6932CB" w14:textId="77777777" w:rsidR="00154E32" w:rsidRDefault="00A43E04">
            <w:pPr>
              <w:pStyle w:val="P68B1DB1-Normal36"/>
              <w:spacing w:before="120" w:after="120"/>
              <w:jc w:val="center"/>
              <w:rPr>
                <w:noProof/>
                <w:color w:val="006100"/>
              </w:rPr>
            </w:pPr>
            <w:r>
              <w:rPr>
                <w:noProof/>
              </w:rPr>
              <w:t>0</w:t>
            </w:r>
          </w:p>
        </w:tc>
        <w:tc>
          <w:tcPr>
            <w:tcW w:w="850" w:type="dxa"/>
            <w:shd w:val="clear" w:color="auto" w:fill="C6EFCE"/>
            <w:noWrap/>
            <w:vAlign w:val="center"/>
          </w:tcPr>
          <w:p w14:paraId="5ACE7175" w14:textId="18A932DB" w:rsidR="00154E32" w:rsidRDefault="00A43E04">
            <w:pPr>
              <w:pStyle w:val="P68B1DB1-Normal19"/>
              <w:spacing w:before="120" w:after="120"/>
              <w:jc w:val="center"/>
              <w:rPr>
                <w:noProof/>
                <w:color w:val="006100"/>
              </w:rPr>
            </w:pPr>
            <w:r>
              <w:rPr>
                <w:noProof/>
                <w:color w:val="006600"/>
              </w:rPr>
              <w:t>5</w:t>
            </w:r>
            <w:r>
              <w:rPr>
                <w:noProof/>
                <w:color w:val="006100"/>
              </w:rPr>
              <w:t xml:space="preserve"> </w:t>
            </w:r>
            <w:r>
              <w:rPr>
                <w:noProof/>
                <w:color w:val="006600"/>
              </w:rPr>
              <w:t>922</w:t>
            </w:r>
          </w:p>
        </w:tc>
        <w:tc>
          <w:tcPr>
            <w:tcW w:w="851" w:type="dxa"/>
            <w:shd w:val="clear" w:color="auto" w:fill="C6EFCE"/>
            <w:noWrap/>
            <w:vAlign w:val="center"/>
          </w:tcPr>
          <w:p w14:paraId="3CE37BEE" w14:textId="77777777" w:rsidR="00154E32" w:rsidRDefault="00A43E04">
            <w:pPr>
              <w:pStyle w:val="P68B1DB1-Normal36"/>
              <w:spacing w:before="120" w:after="120"/>
              <w:jc w:val="center"/>
              <w:rPr>
                <w:noProof/>
                <w:color w:val="006100"/>
              </w:rPr>
            </w:pPr>
            <w:r>
              <w:rPr>
                <w:noProof/>
              </w:rPr>
              <w:t>Q2</w:t>
            </w:r>
          </w:p>
        </w:tc>
        <w:tc>
          <w:tcPr>
            <w:tcW w:w="709" w:type="dxa"/>
            <w:shd w:val="clear" w:color="auto" w:fill="C6EFCE"/>
            <w:noWrap/>
            <w:vAlign w:val="center"/>
          </w:tcPr>
          <w:p w14:paraId="7E163EE9" w14:textId="77777777" w:rsidR="00154E32" w:rsidRDefault="00A43E04">
            <w:pPr>
              <w:pStyle w:val="P68B1DB1-Normal36"/>
              <w:spacing w:before="120" w:after="120"/>
              <w:jc w:val="center"/>
              <w:rPr>
                <w:noProof/>
                <w:color w:val="006100"/>
              </w:rPr>
            </w:pPr>
            <w:r>
              <w:rPr>
                <w:noProof/>
              </w:rPr>
              <w:t>2026</w:t>
            </w:r>
          </w:p>
        </w:tc>
        <w:tc>
          <w:tcPr>
            <w:tcW w:w="2835" w:type="dxa"/>
            <w:shd w:val="clear" w:color="auto" w:fill="C6EFCE"/>
            <w:noWrap/>
            <w:vAlign w:val="center"/>
          </w:tcPr>
          <w:p w14:paraId="36786E9A" w14:textId="4F2C237F" w:rsidR="00154E32" w:rsidRDefault="00A43E04">
            <w:pPr>
              <w:pStyle w:val="P68B1DB1-Normal19"/>
              <w:spacing w:before="120" w:after="120"/>
              <w:rPr>
                <w:rFonts w:eastAsia="Calibri"/>
                <w:noProof/>
                <w:color w:val="006600"/>
              </w:rPr>
            </w:pPr>
            <w:r>
              <w:rPr>
                <w:noProof/>
                <w:color w:val="006600"/>
              </w:rPr>
              <w:t>Zagotovitev vsaj 2692 postelj za</w:t>
            </w:r>
            <w:r>
              <w:rPr>
                <w:noProof/>
                <w:color w:val="006100"/>
              </w:rPr>
              <w:t xml:space="preserve"> </w:t>
            </w:r>
            <w:r>
              <w:rPr>
                <w:noProof/>
                <w:color w:val="006600"/>
              </w:rPr>
              <w:t>intenzivno nego in 3230</w:t>
            </w:r>
            <w:r>
              <w:rPr>
                <w:noProof/>
                <w:color w:val="006100"/>
              </w:rPr>
              <w:t xml:space="preserve"> </w:t>
            </w:r>
            <w:r>
              <w:rPr>
                <w:noProof/>
                <w:color w:val="006600"/>
              </w:rPr>
              <w:t>postelj na polintenzivnem območju s povezano prezračevalno opremo mora biti strukturna (kar ustreza približno 60-odstotnemu povečanju števila postelj, ki so že obstajale med pandemijo).</w:t>
            </w:r>
          </w:p>
        </w:tc>
      </w:tr>
      <w:tr w:rsidR="00154E32" w14:paraId="50A154FD" w14:textId="77777777">
        <w:trPr>
          <w:trHeight w:val="313"/>
          <w:jc w:val="center"/>
        </w:trPr>
        <w:tc>
          <w:tcPr>
            <w:tcW w:w="1129" w:type="dxa"/>
            <w:shd w:val="clear" w:color="auto" w:fill="C6EFCE"/>
            <w:noWrap/>
            <w:vAlign w:val="center"/>
          </w:tcPr>
          <w:p w14:paraId="085ED368" w14:textId="77777777" w:rsidR="00154E32" w:rsidRDefault="00A43E04">
            <w:pPr>
              <w:pStyle w:val="P68B1DB1-Normal11"/>
              <w:spacing w:before="120" w:after="120"/>
              <w:jc w:val="center"/>
              <w:rPr>
                <w:noProof/>
              </w:rPr>
            </w:pPr>
            <w:r>
              <w:rPr>
                <w:noProof/>
              </w:rPr>
              <w:t>M6C2–10</w:t>
            </w:r>
          </w:p>
        </w:tc>
        <w:tc>
          <w:tcPr>
            <w:tcW w:w="1701" w:type="dxa"/>
            <w:shd w:val="clear" w:color="auto" w:fill="C6EFCE"/>
            <w:noWrap/>
            <w:vAlign w:val="center"/>
          </w:tcPr>
          <w:p w14:paraId="38E0FBA6" w14:textId="77777777" w:rsidR="00154E32" w:rsidRDefault="00A43E04">
            <w:pPr>
              <w:pStyle w:val="P68B1DB1-Normal36"/>
              <w:spacing w:before="120" w:after="120"/>
              <w:jc w:val="center"/>
              <w:rPr>
                <w:noProof/>
                <w:color w:val="006100"/>
              </w:rPr>
            </w:pPr>
            <w:r>
              <w:rPr>
                <w:noProof/>
              </w:rPr>
              <w:t>Naložba 1.2: Za varno in trajnostno bolnišnico</w:t>
            </w:r>
          </w:p>
        </w:tc>
        <w:tc>
          <w:tcPr>
            <w:tcW w:w="1134" w:type="dxa"/>
            <w:shd w:val="clear" w:color="auto" w:fill="C6EFCE"/>
            <w:noWrap/>
            <w:vAlign w:val="center"/>
          </w:tcPr>
          <w:p w14:paraId="2A22D1FE" w14:textId="77777777" w:rsidR="00154E32" w:rsidRDefault="00A43E04">
            <w:pPr>
              <w:pStyle w:val="P68B1DB1-Normal36"/>
              <w:spacing w:before="120" w:after="120"/>
              <w:jc w:val="center"/>
              <w:rPr>
                <w:noProof/>
                <w:color w:val="006100"/>
              </w:rPr>
            </w:pPr>
            <w:r>
              <w:rPr>
                <w:noProof/>
              </w:rPr>
              <w:t>Tarča</w:t>
            </w:r>
          </w:p>
        </w:tc>
        <w:tc>
          <w:tcPr>
            <w:tcW w:w="1560" w:type="dxa"/>
            <w:shd w:val="clear" w:color="auto" w:fill="C6EFCE"/>
            <w:noWrap/>
            <w:vAlign w:val="center"/>
          </w:tcPr>
          <w:p w14:paraId="14DECA14" w14:textId="77777777" w:rsidR="00154E32" w:rsidRDefault="00A43E04">
            <w:pPr>
              <w:pStyle w:val="P68B1DB1-Normal36"/>
              <w:spacing w:before="120" w:after="120"/>
              <w:jc w:val="center"/>
              <w:rPr>
                <w:rFonts w:eastAsia="Calibri"/>
                <w:noProof/>
              </w:rPr>
            </w:pPr>
            <w:r>
              <w:rPr>
                <w:noProof/>
              </w:rPr>
              <w:t>Protipotresno posredovanje v bolnišnicah je zaključeno</w:t>
            </w:r>
          </w:p>
        </w:tc>
        <w:tc>
          <w:tcPr>
            <w:tcW w:w="1559" w:type="dxa"/>
            <w:shd w:val="clear" w:color="auto" w:fill="C6EFCE"/>
            <w:noWrap/>
            <w:vAlign w:val="center"/>
          </w:tcPr>
          <w:p w14:paraId="41FB1BB6" w14:textId="77777777" w:rsidR="00154E32" w:rsidRDefault="00A43E04">
            <w:pPr>
              <w:pStyle w:val="P68B1DB1-Normal36"/>
              <w:spacing w:before="120" w:after="120"/>
              <w:jc w:val="center"/>
              <w:rPr>
                <w:noProof/>
                <w:color w:val="006100"/>
              </w:rPr>
            </w:pPr>
            <w:r>
              <w:rPr>
                <w:noProof/>
              </w:rPr>
              <w:t>JIH NI</w:t>
            </w:r>
          </w:p>
        </w:tc>
        <w:tc>
          <w:tcPr>
            <w:tcW w:w="1276" w:type="dxa"/>
            <w:shd w:val="clear" w:color="auto" w:fill="C6EFCE"/>
            <w:noWrap/>
            <w:vAlign w:val="center"/>
          </w:tcPr>
          <w:p w14:paraId="5962E2AB" w14:textId="77777777" w:rsidR="00154E32" w:rsidRDefault="00A43E04">
            <w:pPr>
              <w:pStyle w:val="P68B1DB1-Normal36"/>
              <w:spacing w:before="120" w:after="120"/>
              <w:jc w:val="center"/>
              <w:rPr>
                <w:rFonts w:eastAsia="Calibri"/>
                <w:noProof/>
              </w:rPr>
            </w:pPr>
            <w:r>
              <w:rPr>
                <w:noProof/>
              </w:rPr>
              <w:t xml:space="preserve">Število </w:t>
            </w:r>
          </w:p>
        </w:tc>
        <w:tc>
          <w:tcPr>
            <w:tcW w:w="992" w:type="dxa"/>
            <w:shd w:val="clear" w:color="auto" w:fill="C6EFCE"/>
            <w:noWrap/>
            <w:vAlign w:val="center"/>
          </w:tcPr>
          <w:p w14:paraId="419E93E3" w14:textId="77777777" w:rsidR="00154E32" w:rsidRDefault="00A43E04">
            <w:pPr>
              <w:pStyle w:val="P68B1DB1-Normal36"/>
              <w:spacing w:before="120" w:after="120"/>
              <w:jc w:val="center"/>
              <w:rPr>
                <w:noProof/>
                <w:color w:val="006100"/>
              </w:rPr>
            </w:pPr>
            <w:r>
              <w:rPr>
                <w:noProof/>
              </w:rPr>
              <w:t>0</w:t>
            </w:r>
          </w:p>
        </w:tc>
        <w:tc>
          <w:tcPr>
            <w:tcW w:w="850" w:type="dxa"/>
            <w:shd w:val="clear" w:color="auto" w:fill="C6EFCE"/>
            <w:noWrap/>
            <w:vAlign w:val="center"/>
          </w:tcPr>
          <w:p w14:paraId="7B9C362A" w14:textId="10F3809D" w:rsidR="00154E32" w:rsidRDefault="00A43E04">
            <w:pPr>
              <w:pStyle w:val="P68B1DB1-Normal36"/>
              <w:spacing w:before="120" w:after="120"/>
              <w:jc w:val="center"/>
              <w:rPr>
                <w:noProof/>
              </w:rPr>
            </w:pPr>
            <w:r>
              <w:rPr>
                <w:noProof/>
              </w:rPr>
              <w:t>84</w:t>
            </w:r>
          </w:p>
        </w:tc>
        <w:tc>
          <w:tcPr>
            <w:tcW w:w="851" w:type="dxa"/>
            <w:shd w:val="clear" w:color="auto" w:fill="C6EFCE"/>
            <w:noWrap/>
            <w:vAlign w:val="center"/>
          </w:tcPr>
          <w:p w14:paraId="32D6ED22" w14:textId="77777777" w:rsidR="00154E32" w:rsidRDefault="00A43E04">
            <w:pPr>
              <w:pStyle w:val="P68B1DB1-Normal36"/>
              <w:spacing w:before="120" w:after="120"/>
              <w:jc w:val="center"/>
              <w:rPr>
                <w:noProof/>
                <w:color w:val="006100"/>
              </w:rPr>
            </w:pPr>
            <w:r>
              <w:rPr>
                <w:noProof/>
              </w:rPr>
              <w:t>Q2</w:t>
            </w:r>
          </w:p>
        </w:tc>
        <w:tc>
          <w:tcPr>
            <w:tcW w:w="709" w:type="dxa"/>
            <w:shd w:val="clear" w:color="auto" w:fill="C6EFCE"/>
            <w:noWrap/>
            <w:vAlign w:val="center"/>
          </w:tcPr>
          <w:p w14:paraId="7A53FF33" w14:textId="77777777" w:rsidR="00154E32" w:rsidRDefault="00A43E04">
            <w:pPr>
              <w:pStyle w:val="P68B1DB1-Normal36"/>
              <w:spacing w:before="120" w:after="120"/>
              <w:jc w:val="center"/>
              <w:rPr>
                <w:noProof/>
                <w:color w:val="006100"/>
              </w:rPr>
            </w:pPr>
            <w:r>
              <w:rPr>
                <w:noProof/>
              </w:rPr>
              <w:t>2026</w:t>
            </w:r>
          </w:p>
        </w:tc>
        <w:tc>
          <w:tcPr>
            <w:tcW w:w="2835" w:type="dxa"/>
            <w:shd w:val="clear" w:color="auto" w:fill="C6EFCE"/>
            <w:noWrap/>
            <w:vAlign w:val="center"/>
          </w:tcPr>
          <w:p w14:paraId="03723D2B" w14:textId="7066FF54" w:rsidR="00154E32" w:rsidRDefault="00A43E04">
            <w:pPr>
              <w:pStyle w:val="P68B1DB1-Normal36"/>
              <w:spacing w:before="120" w:after="120"/>
              <w:rPr>
                <w:noProof/>
              </w:rPr>
            </w:pPr>
            <w:r>
              <w:rPr>
                <w:noProof/>
              </w:rPr>
              <w:t>Zaključenih je bilo vsaj 84 protipotresnih ukrepov v bolnišnicah, da bi jih uskladili s protipotresnimi predpisi.</w:t>
            </w:r>
          </w:p>
        </w:tc>
      </w:tr>
      <w:tr w:rsidR="00154E32" w14:paraId="48D5EC61" w14:textId="77777777">
        <w:trPr>
          <w:trHeight w:val="313"/>
          <w:jc w:val="center"/>
        </w:trPr>
        <w:tc>
          <w:tcPr>
            <w:tcW w:w="1129" w:type="dxa"/>
            <w:shd w:val="clear" w:color="auto" w:fill="C6EFCE"/>
            <w:noWrap/>
            <w:vAlign w:val="center"/>
          </w:tcPr>
          <w:p w14:paraId="58465ADB" w14:textId="77777777" w:rsidR="00154E32" w:rsidRDefault="00A43E04">
            <w:pPr>
              <w:pStyle w:val="P68B1DB1-Normal11"/>
              <w:jc w:val="center"/>
              <w:rPr>
                <w:noProof/>
              </w:rPr>
            </w:pPr>
            <w:r>
              <w:rPr>
                <w:noProof/>
              </w:rPr>
              <w:t>M6C2–10 bis</w:t>
            </w:r>
          </w:p>
        </w:tc>
        <w:tc>
          <w:tcPr>
            <w:tcW w:w="1701" w:type="dxa"/>
            <w:shd w:val="clear" w:color="auto" w:fill="C6EFCE"/>
            <w:noWrap/>
            <w:vAlign w:val="center"/>
          </w:tcPr>
          <w:p w14:paraId="285F1CBF" w14:textId="5D8CDE5D" w:rsidR="00154E32" w:rsidRDefault="00A43E04">
            <w:pPr>
              <w:pStyle w:val="P68B1DB1-Normal36"/>
              <w:spacing w:before="120" w:after="120" w:line="276" w:lineRule="auto"/>
              <w:jc w:val="center"/>
              <w:rPr>
                <w:noProof/>
              </w:rPr>
            </w:pPr>
            <w:r>
              <w:rPr>
                <w:noProof/>
              </w:rPr>
              <w:t>Naložba 1.2: Za varno in trajnostno bolnišnico</w:t>
            </w:r>
          </w:p>
        </w:tc>
        <w:tc>
          <w:tcPr>
            <w:tcW w:w="1134" w:type="dxa"/>
            <w:shd w:val="clear" w:color="auto" w:fill="C6EFCE"/>
            <w:noWrap/>
            <w:vAlign w:val="center"/>
          </w:tcPr>
          <w:p w14:paraId="63DE860E" w14:textId="77777777" w:rsidR="00154E32" w:rsidRDefault="00A43E04">
            <w:pPr>
              <w:pStyle w:val="P68B1DB1-Normal36"/>
              <w:jc w:val="center"/>
              <w:rPr>
                <w:noProof/>
              </w:rPr>
            </w:pPr>
            <w:r>
              <w:rPr>
                <w:noProof/>
              </w:rPr>
              <w:t xml:space="preserve">Tarča </w:t>
            </w:r>
          </w:p>
        </w:tc>
        <w:tc>
          <w:tcPr>
            <w:tcW w:w="1560" w:type="dxa"/>
            <w:shd w:val="clear" w:color="auto" w:fill="C6EFCE"/>
            <w:noWrap/>
            <w:vAlign w:val="center"/>
          </w:tcPr>
          <w:p w14:paraId="6AC9A98A" w14:textId="77777777" w:rsidR="00154E32" w:rsidRDefault="00A43E04">
            <w:pPr>
              <w:pStyle w:val="P68B1DB1-Normal36"/>
              <w:spacing w:before="120" w:after="120"/>
              <w:jc w:val="center"/>
              <w:rPr>
                <w:rFonts w:eastAsia="Calibri"/>
                <w:noProof/>
              </w:rPr>
            </w:pPr>
            <w:r>
              <w:rPr>
                <w:noProof/>
              </w:rPr>
              <w:t>Izplačilo sredstev iz mehanizma za okrevanje in odpornost za projekte v skladu s členom 20 finančnega zakona 67/88 Zdravstveno varstvo</w:t>
            </w:r>
          </w:p>
        </w:tc>
        <w:tc>
          <w:tcPr>
            <w:tcW w:w="1559" w:type="dxa"/>
            <w:shd w:val="clear" w:color="auto" w:fill="C6EFCE"/>
            <w:noWrap/>
            <w:vAlign w:val="center"/>
          </w:tcPr>
          <w:p w14:paraId="557A06E5" w14:textId="77777777" w:rsidR="00154E32" w:rsidRDefault="00A43E04">
            <w:pPr>
              <w:pStyle w:val="P68B1DB1-Normal36"/>
              <w:jc w:val="center"/>
              <w:rPr>
                <w:noProof/>
              </w:rPr>
            </w:pPr>
            <w:r>
              <w:rPr>
                <w:noProof/>
              </w:rPr>
              <w:t>JIH NI</w:t>
            </w:r>
          </w:p>
        </w:tc>
        <w:tc>
          <w:tcPr>
            <w:tcW w:w="1276" w:type="dxa"/>
            <w:shd w:val="clear" w:color="auto" w:fill="C6EFCE"/>
            <w:noWrap/>
            <w:vAlign w:val="center"/>
          </w:tcPr>
          <w:p w14:paraId="45677175" w14:textId="77777777" w:rsidR="00154E32" w:rsidRDefault="00A43E04">
            <w:pPr>
              <w:pStyle w:val="P68B1DB1-Normal36"/>
              <w:jc w:val="center"/>
              <w:rPr>
                <w:rFonts w:eastAsia="Calibri"/>
                <w:noProof/>
              </w:rPr>
            </w:pPr>
            <w:r>
              <w:rPr>
                <w:noProof/>
              </w:rPr>
              <w:t xml:space="preserve">Delež </w:t>
            </w:r>
          </w:p>
        </w:tc>
        <w:tc>
          <w:tcPr>
            <w:tcW w:w="992" w:type="dxa"/>
            <w:shd w:val="clear" w:color="auto" w:fill="C6EFCE"/>
            <w:noWrap/>
            <w:vAlign w:val="center"/>
          </w:tcPr>
          <w:p w14:paraId="2C786F6B" w14:textId="77777777" w:rsidR="00154E32" w:rsidRDefault="00A43E04">
            <w:pPr>
              <w:pStyle w:val="P68B1DB1-Normal36"/>
              <w:jc w:val="center"/>
              <w:rPr>
                <w:noProof/>
              </w:rPr>
            </w:pPr>
            <w:r>
              <w:rPr>
                <w:noProof/>
              </w:rPr>
              <w:t>0</w:t>
            </w:r>
          </w:p>
        </w:tc>
        <w:tc>
          <w:tcPr>
            <w:tcW w:w="850" w:type="dxa"/>
            <w:shd w:val="clear" w:color="auto" w:fill="C6EFCE"/>
            <w:noWrap/>
            <w:vAlign w:val="center"/>
          </w:tcPr>
          <w:p w14:paraId="23573483" w14:textId="7A22B824" w:rsidR="00154E32" w:rsidRDefault="00A43E04">
            <w:pPr>
              <w:pStyle w:val="P68B1DB1-Normal36"/>
              <w:jc w:val="center"/>
              <w:rPr>
                <w:noProof/>
              </w:rPr>
            </w:pPr>
            <w:r>
              <w:rPr>
                <w:noProof/>
              </w:rPr>
              <w:t xml:space="preserve">90 %  </w:t>
            </w:r>
          </w:p>
        </w:tc>
        <w:tc>
          <w:tcPr>
            <w:tcW w:w="851" w:type="dxa"/>
            <w:shd w:val="clear" w:color="auto" w:fill="C6EFCE"/>
            <w:noWrap/>
            <w:vAlign w:val="center"/>
          </w:tcPr>
          <w:p w14:paraId="63865ADB" w14:textId="77777777" w:rsidR="00154E32" w:rsidRDefault="00A43E04">
            <w:pPr>
              <w:pStyle w:val="P68B1DB1-Normal36"/>
              <w:jc w:val="center"/>
              <w:rPr>
                <w:noProof/>
              </w:rPr>
            </w:pPr>
            <w:r>
              <w:rPr>
                <w:noProof/>
              </w:rPr>
              <w:t>Q2</w:t>
            </w:r>
          </w:p>
        </w:tc>
        <w:tc>
          <w:tcPr>
            <w:tcW w:w="709" w:type="dxa"/>
            <w:shd w:val="clear" w:color="auto" w:fill="C6EFCE"/>
            <w:noWrap/>
            <w:vAlign w:val="center"/>
          </w:tcPr>
          <w:p w14:paraId="34587886" w14:textId="77777777" w:rsidR="00154E32" w:rsidRDefault="00A43E04">
            <w:pPr>
              <w:pStyle w:val="P68B1DB1-Normal36"/>
              <w:jc w:val="center"/>
              <w:rPr>
                <w:noProof/>
              </w:rPr>
            </w:pPr>
            <w:r>
              <w:rPr>
                <w:noProof/>
              </w:rPr>
              <w:t>2026</w:t>
            </w:r>
          </w:p>
        </w:tc>
        <w:tc>
          <w:tcPr>
            <w:tcW w:w="2835" w:type="dxa"/>
            <w:shd w:val="clear" w:color="auto" w:fill="C6EFCE"/>
            <w:noWrap/>
            <w:vAlign w:val="center"/>
          </w:tcPr>
          <w:p w14:paraId="411474E9" w14:textId="78C3AFE4" w:rsidR="00154E32" w:rsidRDefault="00A43E04">
            <w:pPr>
              <w:pStyle w:val="P68B1DB1-Normal19"/>
              <w:rPr>
                <w:rFonts w:eastAsia="Calibri"/>
                <w:noProof/>
                <w:color w:val="006600"/>
              </w:rPr>
            </w:pPr>
            <w:r>
              <w:rPr>
                <w:noProof/>
                <w:color w:val="006600"/>
              </w:rPr>
              <w:t>Vsaj 90 % od 250 000 000 EUR je</w:t>
            </w:r>
            <w:r>
              <w:rPr>
                <w:noProof/>
                <w:color w:val="006100"/>
              </w:rPr>
              <w:t xml:space="preserve"> </w:t>
            </w:r>
            <w:r>
              <w:rPr>
                <w:noProof/>
                <w:color w:val="006600"/>
              </w:rPr>
              <w:t>izplačanih</w:t>
            </w:r>
            <w:r>
              <w:rPr>
                <w:noProof/>
                <w:color w:val="006100"/>
              </w:rPr>
              <w:t xml:space="preserve"> </w:t>
            </w:r>
            <w:r>
              <w:rPr>
                <w:noProof/>
                <w:color w:val="006600"/>
              </w:rPr>
              <w:t>za projekte za prestrukturiranje in posodobitev bolnišnic, povezanih s programskimi sporazumi v skladu s členom 20 L. 67/88, ki jih izvaja ministrstvo za zdravje z zadevno regijo.</w:t>
            </w:r>
          </w:p>
        </w:tc>
      </w:tr>
      <w:tr w:rsidR="00154E32" w14:paraId="48470D11" w14:textId="77777777">
        <w:trPr>
          <w:trHeight w:val="313"/>
          <w:jc w:val="center"/>
        </w:trPr>
        <w:tc>
          <w:tcPr>
            <w:tcW w:w="1129" w:type="dxa"/>
            <w:shd w:val="clear" w:color="auto" w:fill="C6EFCE"/>
            <w:noWrap/>
            <w:vAlign w:val="center"/>
          </w:tcPr>
          <w:p w14:paraId="51DA27FE" w14:textId="77777777" w:rsidR="00154E32" w:rsidRDefault="00A43E04">
            <w:pPr>
              <w:pStyle w:val="P68B1DB1-Normal11"/>
              <w:spacing w:before="120" w:after="120"/>
              <w:jc w:val="center"/>
              <w:rPr>
                <w:noProof/>
              </w:rPr>
            </w:pPr>
            <w:r>
              <w:rPr>
                <w:noProof/>
              </w:rPr>
              <w:t>M6C2–11</w:t>
            </w:r>
          </w:p>
        </w:tc>
        <w:tc>
          <w:tcPr>
            <w:tcW w:w="1701" w:type="dxa"/>
            <w:shd w:val="clear" w:color="auto" w:fill="C6EFCE"/>
            <w:noWrap/>
            <w:vAlign w:val="center"/>
          </w:tcPr>
          <w:p w14:paraId="393D248C" w14:textId="77777777" w:rsidR="00154E32" w:rsidRDefault="00A43E04">
            <w:pPr>
              <w:pStyle w:val="P68B1DB1-Normal36"/>
              <w:spacing w:before="120" w:after="120"/>
              <w:jc w:val="center"/>
              <w:rPr>
                <w:noProof/>
                <w:color w:val="006100"/>
              </w:rPr>
            </w:pPr>
            <w:r>
              <w:rPr>
                <w:noProof/>
              </w:rPr>
              <w:t>Naložba 1.3: Krepitev tehnološke infrastrukture in orodij za zbiranje, obdelavo, analizo in simulacijo podatkov</w:t>
            </w:r>
          </w:p>
        </w:tc>
        <w:tc>
          <w:tcPr>
            <w:tcW w:w="1134" w:type="dxa"/>
            <w:shd w:val="clear" w:color="auto" w:fill="C6EFCE"/>
            <w:noWrap/>
            <w:vAlign w:val="center"/>
          </w:tcPr>
          <w:p w14:paraId="79AFF090" w14:textId="77777777" w:rsidR="00154E32" w:rsidRDefault="00A43E04">
            <w:pPr>
              <w:pStyle w:val="P68B1DB1-Normal36"/>
              <w:spacing w:before="120" w:after="120"/>
              <w:jc w:val="center"/>
              <w:rPr>
                <w:noProof/>
                <w:color w:val="006100"/>
              </w:rPr>
            </w:pPr>
            <w:r>
              <w:rPr>
                <w:noProof/>
              </w:rPr>
              <w:t>Tarča</w:t>
            </w:r>
          </w:p>
        </w:tc>
        <w:tc>
          <w:tcPr>
            <w:tcW w:w="1560" w:type="dxa"/>
            <w:shd w:val="clear" w:color="auto" w:fill="C6EFCE"/>
            <w:noWrap/>
            <w:vAlign w:val="center"/>
          </w:tcPr>
          <w:p w14:paraId="1DB2ED58" w14:textId="3D778920" w:rsidR="00154E32" w:rsidRDefault="00A43E04">
            <w:pPr>
              <w:pStyle w:val="P68B1DB1-Normal36"/>
              <w:spacing w:before="120" w:after="120"/>
              <w:jc w:val="center"/>
              <w:rPr>
                <w:noProof/>
              </w:rPr>
            </w:pPr>
            <w:r>
              <w:rPr>
                <w:noProof/>
              </w:rPr>
              <w:t>Splošni zdravniki, ki vnašajo elektronsko zdravstveno evidenco.</w:t>
            </w:r>
          </w:p>
        </w:tc>
        <w:tc>
          <w:tcPr>
            <w:tcW w:w="1559" w:type="dxa"/>
            <w:shd w:val="clear" w:color="auto" w:fill="C6EFCE"/>
            <w:noWrap/>
            <w:vAlign w:val="center"/>
          </w:tcPr>
          <w:p w14:paraId="744801FC" w14:textId="77777777" w:rsidR="00154E32" w:rsidRDefault="00A43E04">
            <w:pPr>
              <w:pStyle w:val="P68B1DB1-Normal36"/>
              <w:spacing w:before="120" w:after="120"/>
              <w:jc w:val="center"/>
              <w:rPr>
                <w:noProof/>
                <w:color w:val="006100"/>
              </w:rPr>
            </w:pPr>
            <w:r>
              <w:rPr>
                <w:noProof/>
              </w:rPr>
              <w:t>JIH NI</w:t>
            </w:r>
          </w:p>
        </w:tc>
        <w:tc>
          <w:tcPr>
            <w:tcW w:w="1276" w:type="dxa"/>
            <w:shd w:val="clear" w:color="auto" w:fill="C6EFCE"/>
            <w:noWrap/>
            <w:vAlign w:val="center"/>
          </w:tcPr>
          <w:p w14:paraId="09812985" w14:textId="77777777" w:rsidR="00154E32" w:rsidRDefault="00A43E04">
            <w:pPr>
              <w:pStyle w:val="P68B1DB1-Normal36"/>
              <w:spacing w:before="120" w:after="120"/>
              <w:jc w:val="center"/>
              <w:rPr>
                <w:rFonts w:eastAsia="Calibri"/>
                <w:noProof/>
              </w:rPr>
            </w:pPr>
            <w:r>
              <w:rPr>
                <w:noProof/>
              </w:rPr>
              <w:t xml:space="preserve">Delež </w:t>
            </w:r>
          </w:p>
        </w:tc>
        <w:tc>
          <w:tcPr>
            <w:tcW w:w="992" w:type="dxa"/>
            <w:shd w:val="clear" w:color="auto" w:fill="C6EFCE"/>
            <w:noWrap/>
            <w:vAlign w:val="center"/>
          </w:tcPr>
          <w:p w14:paraId="3B22884B" w14:textId="77777777" w:rsidR="00154E32" w:rsidRDefault="00A43E04">
            <w:pPr>
              <w:pStyle w:val="P68B1DB1-Normal36"/>
              <w:spacing w:before="120" w:after="120"/>
              <w:jc w:val="center"/>
              <w:rPr>
                <w:noProof/>
                <w:color w:val="006100"/>
              </w:rPr>
            </w:pPr>
            <w:r>
              <w:rPr>
                <w:noProof/>
              </w:rPr>
              <w:t>0</w:t>
            </w:r>
          </w:p>
        </w:tc>
        <w:tc>
          <w:tcPr>
            <w:tcW w:w="850" w:type="dxa"/>
            <w:shd w:val="clear" w:color="auto" w:fill="C6EFCE"/>
            <w:noWrap/>
            <w:vAlign w:val="center"/>
          </w:tcPr>
          <w:p w14:paraId="36D368D5" w14:textId="77777777" w:rsidR="00154E32" w:rsidRDefault="00A43E04">
            <w:pPr>
              <w:pStyle w:val="P68B1DB1-Normal36"/>
              <w:spacing w:before="120" w:after="120"/>
              <w:jc w:val="center"/>
              <w:rPr>
                <w:noProof/>
                <w:color w:val="006100"/>
              </w:rPr>
            </w:pPr>
            <w:r>
              <w:rPr>
                <w:noProof/>
              </w:rPr>
              <w:t>85</w:t>
            </w:r>
          </w:p>
        </w:tc>
        <w:tc>
          <w:tcPr>
            <w:tcW w:w="851" w:type="dxa"/>
            <w:shd w:val="clear" w:color="auto" w:fill="C6EFCE"/>
            <w:noWrap/>
            <w:vAlign w:val="center"/>
          </w:tcPr>
          <w:p w14:paraId="67698712" w14:textId="77777777" w:rsidR="00154E32" w:rsidRDefault="00A43E04">
            <w:pPr>
              <w:pStyle w:val="P68B1DB1-Normal36"/>
              <w:spacing w:before="120" w:after="120"/>
              <w:jc w:val="center"/>
              <w:rPr>
                <w:noProof/>
                <w:color w:val="006100"/>
              </w:rPr>
            </w:pPr>
            <w:r>
              <w:rPr>
                <w:noProof/>
              </w:rPr>
              <w:t>Q4</w:t>
            </w:r>
          </w:p>
        </w:tc>
        <w:tc>
          <w:tcPr>
            <w:tcW w:w="709" w:type="dxa"/>
            <w:shd w:val="clear" w:color="auto" w:fill="C6EFCE"/>
            <w:noWrap/>
            <w:vAlign w:val="center"/>
          </w:tcPr>
          <w:p w14:paraId="566FB99F" w14:textId="77777777" w:rsidR="00154E32" w:rsidRDefault="00A43E04">
            <w:pPr>
              <w:pStyle w:val="P68B1DB1-Normal36"/>
              <w:spacing w:before="120" w:after="120"/>
              <w:jc w:val="center"/>
              <w:rPr>
                <w:noProof/>
                <w:color w:val="006100"/>
              </w:rPr>
            </w:pPr>
            <w:r>
              <w:rPr>
                <w:noProof/>
              </w:rPr>
              <w:t>2025</w:t>
            </w:r>
          </w:p>
        </w:tc>
        <w:tc>
          <w:tcPr>
            <w:tcW w:w="2835" w:type="dxa"/>
            <w:shd w:val="clear" w:color="auto" w:fill="C6EFCE"/>
            <w:noWrap/>
            <w:vAlign w:val="center"/>
          </w:tcPr>
          <w:p w14:paraId="1730DAD0" w14:textId="77777777" w:rsidR="00154E32" w:rsidRDefault="00A43E04">
            <w:pPr>
              <w:pStyle w:val="P68B1DB1-Normal36"/>
              <w:spacing w:before="120" w:after="120"/>
              <w:rPr>
                <w:noProof/>
              </w:rPr>
            </w:pPr>
            <w:r>
              <w:rPr>
                <w:noProof/>
              </w:rPr>
              <w:t>Ta cilj se doseže s povečanjem števila vrst digitalnih dokumentov, digitaliziranih v elektronskem zdravstvenem varstvu, ter s specialistično podporo in usposabljanjem za izvajanje digitalnega izpopolnjevanja splošnih zdravnikov po vsej državi.</w:t>
            </w:r>
          </w:p>
        </w:tc>
      </w:tr>
      <w:tr w:rsidR="00154E32" w14:paraId="72A25B65" w14:textId="77777777">
        <w:trPr>
          <w:trHeight w:val="313"/>
          <w:jc w:val="center"/>
        </w:trPr>
        <w:tc>
          <w:tcPr>
            <w:tcW w:w="1129" w:type="dxa"/>
            <w:shd w:val="clear" w:color="auto" w:fill="C6EFCE"/>
            <w:noWrap/>
            <w:vAlign w:val="center"/>
          </w:tcPr>
          <w:p w14:paraId="68CD2528" w14:textId="77777777" w:rsidR="00154E32" w:rsidRDefault="00A43E04">
            <w:pPr>
              <w:pStyle w:val="P68B1DB1-Normal11"/>
              <w:spacing w:before="120" w:after="120"/>
              <w:jc w:val="center"/>
              <w:rPr>
                <w:noProof/>
              </w:rPr>
            </w:pPr>
            <w:r>
              <w:rPr>
                <w:noProof/>
              </w:rPr>
              <w:t>M6C2–12</w:t>
            </w:r>
          </w:p>
        </w:tc>
        <w:tc>
          <w:tcPr>
            <w:tcW w:w="1701" w:type="dxa"/>
            <w:shd w:val="clear" w:color="auto" w:fill="C6EFCE"/>
            <w:noWrap/>
            <w:vAlign w:val="center"/>
          </w:tcPr>
          <w:p w14:paraId="21176386" w14:textId="77777777" w:rsidR="00154E32" w:rsidRDefault="00A43E04">
            <w:pPr>
              <w:pStyle w:val="P68B1DB1-Normal36"/>
              <w:spacing w:before="120" w:after="120"/>
              <w:jc w:val="center"/>
              <w:rPr>
                <w:noProof/>
                <w:color w:val="006100"/>
              </w:rPr>
            </w:pPr>
            <w:r>
              <w:rPr>
                <w:noProof/>
              </w:rPr>
              <w:t>Naložba 1.3: Krepitev tehnološke infrastrukture in orodij za zbiranje, obdelavo, analizo in simulacijo podatkov</w:t>
            </w:r>
          </w:p>
        </w:tc>
        <w:tc>
          <w:tcPr>
            <w:tcW w:w="1134" w:type="dxa"/>
            <w:shd w:val="clear" w:color="auto" w:fill="C6EFCE"/>
            <w:noWrap/>
            <w:vAlign w:val="center"/>
          </w:tcPr>
          <w:p w14:paraId="1951C60D" w14:textId="77777777" w:rsidR="00154E32" w:rsidRDefault="00A43E04">
            <w:pPr>
              <w:pStyle w:val="P68B1DB1-Normal36"/>
              <w:spacing w:before="120" w:after="120"/>
              <w:jc w:val="center"/>
              <w:rPr>
                <w:noProof/>
                <w:color w:val="006100"/>
              </w:rPr>
            </w:pPr>
            <w:r>
              <w:rPr>
                <w:noProof/>
              </w:rPr>
              <w:t>Mejnik</w:t>
            </w:r>
          </w:p>
        </w:tc>
        <w:tc>
          <w:tcPr>
            <w:tcW w:w="1560" w:type="dxa"/>
            <w:shd w:val="clear" w:color="auto" w:fill="C6EFCE"/>
            <w:noWrap/>
            <w:vAlign w:val="center"/>
          </w:tcPr>
          <w:p w14:paraId="4F820A1C" w14:textId="01412897" w:rsidR="00154E32" w:rsidRDefault="00A43E04">
            <w:pPr>
              <w:pStyle w:val="P68B1DB1-Normal36"/>
              <w:spacing w:before="120" w:after="120"/>
              <w:jc w:val="center"/>
              <w:rPr>
                <w:noProof/>
              </w:rPr>
            </w:pPr>
            <w:r>
              <w:rPr>
                <w:noProof/>
              </w:rPr>
              <w:t>Sistem kartice zdravstvenega zavarovanja in infrastruktura za interoperabilnost elektronskih zdravstvenih zapisov v celoti delujeta.</w:t>
            </w:r>
          </w:p>
        </w:tc>
        <w:tc>
          <w:tcPr>
            <w:tcW w:w="1559" w:type="dxa"/>
            <w:shd w:val="clear" w:color="auto" w:fill="C6EFCE"/>
            <w:noWrap/>
            <w:vAlign w:val="center"/>
          </w:tcPr>
          <w:p w14:paraId="4ACABC2C" w14:textId="77777777" w:rsidR="00154E32" w:rsidRDefault="00A43E04">
            <w:pPr>
              <w:pStyle w:val="P68B1DB1-Normal10"/>
              <w:spacing w:before="120" w:after="120"/>
              <w:jc w:val="center"/>
              <w:rPr>
                <w:noProof/>
                <w:sz w:val="20"/>
              </w:rPr>
            </w:pPr>
            <w:r>
              <w:rPr>
                <w:noProof/>
                <w:color w:val="006600"/>
                <w:sz w:val="20"/>
              </w:rPr>
              <w:t>Začetek uporabe sistema kartice zdravstvenega zavarovanja</w:t>
            </w:r>
            <w:r>
              <w:rPr>
                <w:noProof/>
              </w:rPr>
              <w:t xml:space="preserve"> </w:t>
            </w:r>
            <w:r>
              <w:rPr>
                <w:noProof/>
              </w:rPr>
              <w:br/>
            </w:r>
            <w:r>
              <w:rPr>
                <w:noProof/>
                <w:color w:val="006600"/>
                <w:sz w:val="20"/>
              </w:rPr>
              <w:t>in infrastrukture za interoperabilnost sistema za vodenje elektronskih zdravstvenih zapisov.</w:t>
            </w:r>
          </w:p>
        </w:tc>
        <w:tc>
          <w:tcPr>
            <w:tcW w:w="1276" w:type="dxa"/>
            <w:shd w:val="clear" w:color="auto" w:fill="C6EFCE"/>
            <w:noWrap/>
            <w:vAlign w:val="center"/>
          </w:tcPr>
          <w:p w14:paraId="5EA1C251" w14:textId="77777777" w:rsidR="00154E32" w:rsidRDefault="00A43E04">
            <w:pPr>
              <w:pStyle w:val="P68B1DB1-Normal36"/>
              <w:spacing w:before="120" w:after="120"/>
              <w:jc w:val="center"/>
              <w:rPr>
                <w:noProof/>
                <w:color w:val="006100"/>
              </w:rPr>
            </w:pPr>
            <w:r>
              <w:rPr>
                <w:noProof/>
              </w:rPr>
              <w:t>JIH NI</w:t>
            </w:r>
          </w:p>
        </w:tc>
        <w:tc>
          <w:tcPr>
            <w:tcW w:w="992" w:type="dxa"/>
            <w:shd w:val="clear" w:color="auto" w:fill="C6EFCE"/>
            <w:noWrap/>
            <w:vAlign w:val="center"/>
          </w:tcPr>
          <w:p w14:paraId="7EA89190" w14:textId="77777777" w:rsidR="00154E32" w:rsidRDefault="00A43E04">
            <w:pPr>
              <w:pStyle w:val="P68B1DB1-Normal36"/>
              <w:spacing w:before="120" w:after="120"/>
              <w:jc w:val="center"/>
              <w:rPr>
                <w:noProof/>
                <w:color w:val="006100"/>
              </w:rPr>
            </w:pPr>
            <w:r>
              <w:rPr>
                <w:noProof/>
              </w:rPr>
              <w:t>JIH NI</w:t>
            </w:r>
          </w:p>
        </w:tc>
        <w:tc>
          <w:tcPr>
            <w:tcW w:w="850" w:type="dxa"/>
            <w:shd w:val="clear" w:color="auto" w:fill="C6EFCE"/>
            <w:noWrap/>
            <w:vAlign w:val="center"/>
          </w:tcPr>
          <w:p w14:paraId="23E52FFC" w14:textId="77777777" w:rsidR="00154E32" w:rsidRDefault="00A43E04">
            <w:pPr>
              <w:pStyle w:val="P68B1DB1-Normal36"/>
              <w:spacing w:before="120" w:after="120"/>
              <w:jc w:val="center"/>
              <w:rPr>
                <w:noProof/>
                <w:color w:val="006100"/>
              </w:rPr>
            </w:pPr>
            <w:r>
              <w:rPr>
                <w:noProof/>
              </w:rPr>
              <w:t>JIH NI</w:t>
            </w:r>
          </w:p>
        </w:tc>
        <w:tc>
          <w:tcPr>
            <w:tcW w:w="851" w:type="dxa"/>
            <w:shd w:val="clear" w:color="auto" w:fill="C6EFCE"/>
            <w:noWrap/>
            <w:vAlign w:val="center"/>
          </w:tcPr>
          <w:p w14:paraId="2A6E94F7" w14:textId="77777777" w:rsidR="00154E32" w:rsidRDefault="00A43E04">
            <w:pPr>
              <w:pStyle w:val="P68B1DB1-Normal36"/>
              <w:spacing w:before="120" w:after="120"/>
              <w:jc w:val="center"/>
              <w:rPr>
                <w:noProof/>
                <w:color w:val="006100"/>
              </w:rPr>
            </w:pPr>
            <w:r>
              <w:rPr>
                <w:noProof/>
              </w:rPr>
              <w:t>Q2</w:t>
            </w:r>
          </w:p>
        </w:tc>
        <w:tc>
          <w:tcPr>
            <w:tcW w:w="709" w:type="dxa"/>
            <w:shd w:val="clear" w:color="auto" w:fill="C6EFCE"/>
            <w:noWrap/>
            <w:vAlign w:val="center"/>
          </w:tcPr>
          <w:p w14:paraId="6F5586F8" w14:textId="77777777" w:rsidR="00154E32" w:rsidRDefault="00A43E04">
            <w:pPr>
              <w:pStyle w:val="P68B1DB1-Normal36"/>
              <w:spacing w:before="120" w:after="120"/>
              <w:jc w:val="center"/>
              <w:rPr>
                <w:noProof/>
                <w:color w:val="006100"/>
              </w:rPr>
            </w:pPr>
            <w:r>
              <w:rPr>
                <w:noProof/>
              </w:rPr>
              <w:t>2026</w:t>
            </w:r>
          </w:p>
        </w:tc>
        <w:tc>
          <w:tcPr>
            <w:tcW w:w="2835" w:type="dxa"/>
            <w:shd w:val="clear" w:color="auto" w:fill="C6EFCE"/>
            <w:noWrap/>
            <w:vAlign w:val="center"/>
          </w:tcPr>
          <w:p w14:paraId="3F27BD9F" w14:textId="77777777" w:rsidR="00154E32" w:rsidRDefault="00A43E04">
            <w:pPr>
              <w:pStyle w:val="P68B1DB1-Normal36"/>
              <w:spacing w:before="120" w:after="120"/>
              <w:rPr>
                <w:rFonts w:eastAsia="Calibri"/>
                <w:noProof/>
              </w:rPr>
            </w:pPr>
            <w:r>
              <w:rPr>
                <w:noProof/>
              </w:rPr>
              <w:t>Začetek uporabe sistema kartice zdravstvenega zavarovanja in infrastrukture za interoperabilnost elektronskih zdravstvenih zapisov: Izvajanje centralnega repozitorija, interoperabilnosti in storitvene platforme v skladu s standardom za vire interoperabilnosti za hitro zdravstveno varstvo, ki izkorišča že obstoječe izkušnje na tem področju ter zagotavlja standarde shranjevanja, varnosti in interoperabilnosti.</w:t>
            </w:r>
          </w:p>
        </w:tc>
      </w:tr>
      <w:tr w:rsidR="00154E32" w14:paraId="4B518E1D" w14:textId="77777777">
        <w:trPr>
          <w:trHeight w:val="313"/>
          <w:jc w:val="center"/>
        </w:trPr>
        <w:tc>
          <w:tcPr>
            <w:tcW w:w="112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991B57" w14:textId="77777777" w:rsidR="00154E32" w:rsidRDefault="00A43E04">
            <w:pPr>
              <w:pStyle w:val="P68B1DB1-Normal11"/>
              <w:spacing w:before="120" w:after="120"/>
              <w:jc w:val="center"/>
              <w:rPr>
                <w:noProof/>
              </w:rPr>
            </w:pPr>
            <w:r>
              <w:rPr>
                <w:noProof/>
              </w:rPr>
              <w:t>M6C2–13</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1BAB6F0" w14:textId="77777777" w:rsidR="00154E32" w:rsidRDefault="00A43E04">
            <w:pPr>
              <w:pStyle w:val="P68B1DB1-Normal36"/>
              <w:spacing w:before="120" w:after="120"/>
              <w:jc w:val="center"/>
              <w:rPr>
                <w:noProof/>
                <w:color w:val="006100"/>
              </w:rPr>
            </w:pPr>
            <w:r>
              <w:rPr>
                <w:noProof/>
              </w:rPr>
              <w:t>Naložba 1.3: Krepitev tehnološke infrastrukture in orodij za zbiranje, obdelavo, analizo in simulacijo podatkov</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3090953" w14:textId="77777777" w:rsidR="00154E32" w:rsidRDefault="00A43E04">
            <w:pPr>
              <w:pStyle w:val="P68B1DB1-Normal36"/>
              <w:spacing w:before="120" w:after="120"/>
              <w:jc w:val="center"/>
              <w:rPr>
                <w:noProof/>
                <w:color w:val="006100"/>
              </w:rPr>
            </w:pPr>
            <w:r>
              <w:rPr>
                <w:noProof/>
              </w:rPr>
              <w:t>Tarča</w:t>
            </w:r>
          </w:p>
        </w:tc>
        <w:tc>
          <w:tcPr>
            <w:tcW w:w="156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CB7A3D3" w14:textId="77777777" w:rsidR="00154E32" w:rsidRDefault="00A43E04">
            <w:pPr>
              <w:pStyle w:val="P68B1DB1-Normal36"/>
              <w:spacing w:before="120" w:after="120"/>
              <w:jc w:val="center"/>
              <w:rPr>
                <w:rFonts w:eastAsia="Calibri"/>
                <w:noProof/>
              </w:rPr>
            </w:pPr>
            <w:r>
              <w:rPr>
                <w:noProof/>
              </w:rPr>
              <w:t>Vse regije so sprejele in uporabljajo EHR</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1493FE" w14:textId="77777777" w:rsidR="00154E32" w:rsidRDefault="00A43E04">
            <w:pPr>
              <w:pStyle w:val="P68B1DB1-Normal36"/>
              <w:spacing w:before="120" w:after="120"/>
              <w:jc w:val="center"/>
              <w:rPr>
                <w:noProof/>
                <w:color w:val="006100"/>
              </w:rPr>
            </w:pPr>
            <w:r>
              <w:rPr>
                <w:noProof/>
              </w:rPr>
              <w:t>JIH NI</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C7E55E8" w14:textId="77777777" w:rsidR="00154E32" w:rsidRDefault="00A43E04">
            <w:pPr>
              <w:pStyle w:val="P68B1DB1-Normal36"/>
              <w:spacing w:before="120" w:after="120"/>
              <w:jc w:val="center"/>
              <w:rPr>
                <w:rFonts w:eastAsia="Arial"/>
                <w:noProof/>
              </w:rPr>
            </w:pPr>
            <w:r>
              <w:rPr>
                <w:noProof/>
              </w:rPr>
              <w:t>Število</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B28EEF" w14:textId="77777777" w:rsidR="00154E32" w:rsidRDefault="00A43E04">
            <w:pPr>
              <w:pStyle w:val="P68B1DB1-Normal36"/>
              <w:spacing w:before="120" w:after="120"/>
              <w:jc w:val="center"/>
              <w:rPr>
                <w:noProof/>
                <w:color w:val="006100"/>
              </w:rPr>
            </w:pPr>
            <w:r>
              <w:rPr>
                <w:noProof/>
              </w:rPr>
              <w:t>0</w:t>
            </w:r>
          </w:p>
        </w:tc>
        <w:tc>
          <w:tcPr>
            <w:tcW w:w="850"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E221EA5" w14:textId="77777777" w:rsidR="00154E32" w:rsidRDefault="00A43E04">
            <w:pPr>
              <w:pStyle w:val="P68B1DB1-Normal36"/>
              <w:spacing w:before="120" w:after="120"/>
              <w:jc w:val="center"/>
              <w:rPr>
                <w:noProof/>
                <w:color w:val="006100"/>
              </w:rPr>
            </w:pPr>
            <w:r>
              <w:rPr>
                <w:noProof/>
              </w:rPr>
              <w:t>21</w:t>
            </w:r>
          </w:p>
        </w:tc>
        <w:tc>
          <w:tcPr>
            <w:tcW w:w="85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DFE8626" w14:textId="77777777" w:rsidR="00154E32" w:rsidRDefault="00A43E04">
            <w:pPr>
              <w:pStyle w:val="P68B1DB1-Normal36"/>
              <w:spacing w:before="120" w:after="120"/>
              <w:jc w:val="center"/>
              <w:rPr>
                <w:noProof/>
                <w:color w:val="006100"/>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6D09FC" w14:textId="77777777" w:rsidR="00154E32" w:rsidRDefault="00A43E04">
            <w:pPr>
              <w:pStyle w:val="P68B1DB1-Normal36"/>
              <w:spacing w:before="120" w:after="120"/>
              <w:jc w:val="center"/>
              <w:rPr>
                <w:noProof/>
                <w:color w:val="006100"/>
              </w:rPr>
            </w:pPr>
            <w:r>
              <w:rPr>
                <w:noProof/>
              </w:rPr>
              <w:t>2026</w:t>
            </w:r>
          </w:p>
        </w:tc>
        <w:tc>
          <w:tcPr>
            <w:tcW w:w="283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F5D5B3D" w14:textId="77777777" w:rsidR="00154E32" w:rsidRDefault="00A43E04">
            <w:pPr>
              <w:pStyle w:val="P68B1DB1-Normal36"/>
              <w:spacing w:before="120" w:after="120"/>
              <w:rPr>
                <w:noProof/>
              </w:rPr>
            </w:pPr>
            <w:r>
              <w:rPr>
                <w:noProof/>
              </w:rPr>
              <w:t xml:space="preserve">Vse regije pripravijo, uporabljajo in nalagajo digitalne dokumente v elektronskem zdravstvenem varstvu. Načrt zajema zlasti:        </w:t>
            </w:r>
          </w:p>
          <w:p w14:paraId="79D4C8A2" w14:textId="09B0D162" w:rsidR="00154E32" w:rsidRDefault="00A43E04">
            <w:pPr>
              <w:pStyle w:val="P68B1DB1-Normal36"/>
              <w:spacing w:before="120" w:after="120"/>
              <w:rPr>
                <w:rFonts w:eastAsia="Calibri"/>
                <w:noProof/>
              </w:rPr>
            </w:pPr>
            <w:r>
              <w:rPr>
                <w:noProof/>
              </w:rPr>
              <w:t>— Dokumenti, ki so digitalno rojeni, se naložijo v elektronski zdravstveni zapis v skladu z odlokom z dne 18. maja 2022 in poznejšimi odloki v zvezi z vsebino EHR.</w:t>
            </w:r>
          </w:p>
          <w:p w14:paraId="6C75799B" w14:textId="77777777" w:rsidR="00154E32" w:rsidRDefault="00A43E04">
            <w:pPr>
              <w:pStyle w:val="P68B1DB1-Normal36"/>
              <w:spacing w:before="120" w:after="120"/>
              <w:rPr>
                <w:noProof/>
              </w:rPr>
            </w:pPr>
            <w:r>
              <w:rPr>
                <w:noProof/>
              </w:rPr>
              <w:t xml:space="preserve">Finančna podpora za izvajalce zdravstvenih storitev, da posodobijo svojo opremo in zagotovijo, da bodo podatki, metapodatki in dokumentacija o zdravstvenem varstvu ustvarjeni kot digitalno rojeni.    </w:t>
            </w:r>
          </w:p>
          <w:p w14:paraId="27E5A932" w14:textId="39D31367" w:rsidR="00154E32" w:rsidRDefault="00A43E04">
            <w:pPr>
              <w:pStyle w:val="P68B1DB1-Normal36"/>
              <w:spacing w:before="120" w:after="120"/>
              <w:rPr>
                <w:noProof/>
              </w:rPr>
            </w:pPr>
            <w:r>
              <w:rPr>
                <w:noProof/>
              </w:rPr>
              <w:t xml:space="preserve">Finančna podpora izvajalcem zdravstvenega varstva, ki so pripravljeni sprejeti nacionalno platformo, interoperabilnost in standarde UI/UX.  </w:t>
            </w:r>
          </w:p>
          <w:p w14:paraId="0A2512DE" w14:textId="06710B81" w:rsidR="00154E32" w:rsidRDefault="00A43E04">
            <w:pPr>
              <w:pStyle w:val="P68B1DB1-Normal36"/>
              <w:spacing w:before="120" w:after="120"/>
              <w:rPr>
                <w:rFonts w:eastAsia="Calibri"/>
                <w:noProof/>
              </w:rPr>
            </w:pPr>
            <w:r>
              <w:rPr>
                <w:noProof/>
              </w:rPr>
              <w:t>— Podpora kompetencam (človeški kapital) za izvajalce zdravstvenih storitev in regionalne zdravstvene organe za izvajanje infrastrukturnih in podatkovnih sprememb za sprejetje nacionalnega elektronskega zdravstvenega zapisa.</w:t>
            </w:r>
          </w:p>
        </w:tc>
      </w:tr>
      <w:tr w:rsidR="00154E32" w14:paraId="3020EA7C" w14:textId="77777777">
        <w:trPr>
          <w:trHeight w:val="313"/>
          <w:jc w:val="center"/>
        </w:trPr>
        <w:tc>
          <w:tcPr>
            <w:tcW w:w="1129" w:type="dxa"/>
            <w:shd w:val="clear" w:color="auto" w:fill="C6EFCE"/>
            <w:noWrap/>
            <w:vAlign w:val="center"/>
          </w:tcPr>
          <w:p w14:paraId="12C5C29C" w14:textId="77777777" w:rsidR="00154E32" w:rsidRDefault="00A43E04">
            <w:pPr>
              <w:pStyle w:val="P68B1DB1-Normal11"/>
              <w:spacing w:before="120" w:after="120"/>
              <w:jc w:val="center"/>
              <w:rPr>
                <w:noProof/>
              </w:rPr>
            </w:pPr>
            <w:r>
              <w:rPr>
                <w:noProof/>
              </w:rPr>
              <w:t>M6C2–14</w:t>
            </w:r>
          </w:p>
        </w:tc>
        <w:tc>
          <w:tcPr>
            <w:tcW w:w="1701" w:type="dxa"/>
            <w:shd w:val="clear" w:color="auto" w:fill="C6EFCE"/>
            <w:noWrap/>
            <w:vAlign w:val="center"/>
          </w:tcPr>
          <w:p w14:paraId="47C78681" w14:textId="77777777" w:rsidR="00154E32" w:rsidRDefault="00A43E04">
            <w:pPr>
              <w:pStyle w:val="P68B1DB1-Normal36"/>
              <w:spacing w:before="120" w:after="120"/>
              <w:jc w:val="center"/>
              <w:rPr>
                <w:noProof/>
                <w:color w:val="006100"/>
              </w:rPr>
            </w:pPr>
            <w:r>
              <w:rPr>
                <w:noProof/>
              </w:rPr>
              <w:t>Naložba 2.2: Razvoj tehnično-strokovnih, digitalnih in vodstvenih znanj in spretnosti strokovnjakov v zdravstvenem sistemu</w:t>
            </w:r>
          </w:p>
        </w:tc>
        <w:tc>
          <w:tcPr>
            <w:tcW w:w="1134" w:type="dxa"/>
            <w:shd w:val="clear" w:color="auto" w:fill="C6EFCE"/>
            <w:noWrap/>
            <w:vAlign w:val="center"/>
          </w:tcPr>
          <w:p w14:paraId="4C7FE6AB" w14:textId="77777777" w:rsidR="00154E32" w:rsidRDefault="00A43E04">
            <w:pPr>
              <w:pStyle w:val="P68B1DB1-Normal36"/>
              <w:spacing w:before="120" w:after="120"/>
              <w:jc w:val="center"/>
              <w:rPr>
                <w:noProof/>
                <w:color w:val="006100"/>
              </w:rPr>
            </w:pPr>
            <w:r>
              <w:rPr>
                <w:noProof/>
              </w:rPr>
              <w:t>Tarča</w:t>
            </w:r>
          </w:p>
        </w:tc>
        <w:tc>
          <w:tcPr>
            <w:tcW w:w="1560" w:type="dxa"/>
            <w:shd w:val="clear" w:color="auto" w:fill="C6EFCE"/>
            <w:noWrap/>
            <w:vAlign w:val="center"/>
          </w:tcPr>
          <w:p w14:paraId="450ABDA9" w14:textId="02EC35A8" w:rsidR="00154E32" w:rsidRDefault="00A43E04">
            <w:pPr>
              <w:pStyle w:val="P68B1DB1-Normal36"/>
              <w:spacing w:before="120" w:after="120"/>
              <w:jc w:val="center"/>
              <w:rPr>
                <w:noProof/>
              </w:rPr>
            </w:pPr>
            <w:r>
              <w:rPr>
                <w:noProof/>
              </w:rPr>
              <w:t>Dodelijo se štipendije za posebno usposabljanje iz splošne medicine.</w:t>
            </w:r>
          </w:p>
        </w:tc>
        <w:tc>
          <w:tcPr>
            <w:tcW w:w="1559" w:type="dxa"/>
            <w:shd w:val="clear" w:color="auto" w:fill="C6EFCE"/>
            <w:noWrap/>
            <w:vAlign w:val="center"/>
          </w:tcPr>
          <w:p w14:paraId="481AD615" w14:textId="77777777" w:rsidR="00154E32" w:rsidRDefault="00A43E04">
            <w:pPr>
              <w:pStyle w:val="P68B1DB1-Normal36"/>
              <w:spacing w:before="120" w:after="120"/>
              <w:jc w:val="center"/>
              <w:rPr>
                <w:noProof/>
                <w:color w:val="006100"/>
              </w:rPr>
            </w:pPr>
            <w:r>
              <w:rPr>
                <w:noProof/>
              </w:rPr>
              <w:t>JIH NI</w:t>
            </w:r>
          </w:p>
        </w:tc>
        <w:tc>
          <w:tcPr>
            <w:tcW w:w="1276" w:type="dxa"/>
            <w:shd w:val="clear" w:color="auto" w:fill="C6EFCE"/>
            <w:noWrap/>
            <w:vAlign w:val="center"/>
          </w:tcPr>
          <w:p w14:paraId="4893CDBA" w14:textId="77777777" w:rsidR="00154E32" w:rsidRDefault="00A43E04">
            <w:pPr>
              <w:pStyle w:val="P68B1DB1-Normal36"/>
              <w:spacing w:before="120" w:after="120"/>
              <w:jc w:val="center"/>
              <w:rPr>
                <w:rFonts w:eastAsia="Calibri"/>
                <w:noProof/>
              </w:rPr>
            </w:pPr>
            <w:r>
              <w:rPr>
                <w:noProof/>
              </w:rPr>
              <w:t xml:space="preserve">Število </w:t>
            </w:r>
          </w:p>
        </w:tc>
        <w:tc>
          <w:tcPr>
            <w:tcW w:w="992" w:type="dxa"/>
            <w:shd w:val="clear" w:color="auto" w:fill="C6EFCE"/>
            <w:noWrap/>
            <w:vAlign w:val="center"/>
          </w:tcPr>
          <w:p w14:paraId="69483A33" w14:textId="77777777" w:rsidR="00154E32" w:rsidRDefault="00A43E04">
            <w:pPr>
              <w:pStyle w:val="P68B1DB1-Normal36"/>
              <w:spacing w:before="120" w:after="120"/>
              <w:jc w:val="center"/>
              <w:rPr>
                <w:noProof/>
                <w:color w:val="006100"/>
              </w:rPr>
            </w:pPr>
            <w:r>
              <w:rPr>
                <w:noProof/>
              </w:rPr>
              <w:t>0</w:t>
            </w:r>
          </w:p>
        </w:tc>
        <w:tc>
          <w:tcPr>
            <w:tcW w:w="850" w:type="dxa"/>
            <w:shd w:val="clear" w:color="auto" w:fill="C6EFCE"/>
            <w:noWrap/>
            <w:vAlign w:val="center"/>
          </w:tcPr>
          <w:p w14:paraId="12EDAA5F" w14:textId="10222395" w:rsidR="00154E32" w:rsidRDefault="00A43E04">
            <w:pPr>
              <w:pStyle w:val="P68B1DB1-Normal19"/>
              <w:spacing w:before="120" w:after="120"/>
              <w:jc w:val="center"/>
              <w:rPr>
                <w:noProof/>
                <w:color w:val="006100"/>
              </w:rPr>
            </w:pPr>
            <w:r>
              <w:rPr>
                <w:noProof/>
                <w:color w:val="006600"/>
              </w:rPr>
              <w:t>1</w:t>
            </w:r>
            <w:r>
              <w:rPr>
                <w:noProof/>
                <w:color w:val="006100"/>
              </w:rPr>
              <w:t xml:space="preserve"> </w:t>
            </w:r>
            <w:r>
              <w:rPr>
                <w:noProof/>
                <w:color w:val="006600"/>
              </w:rPr>
              <w:t>800</w:t>
            </w:r>
          </w:p>
        </w:tc>
        <w:tc>
          <w:tcPr>
            <w:tcW w:w="851" w:type="dxa"/>
            <w:shd w:val="clear" w:color="auto" w:fill="C6EFCE"/>
            <w:noWrap/>
            <w:vAlign w:val="center"/>
          </w:tcPr>
          <w:p w14:paraId="42ADAAF2" w14:textId="77777777" w:rsidR="00154E32" w:rsidRDefault="00A43E04">
            <w:pPr>
              <w:pStyle w:val="P68B1DB1-Normal36"/>
              <w:spacing w:before="120" w:after="120"/>
              <w:jc w:val="center"/>
              <w:rPr>
                <w:noProof/>
                <w:color w:val="006100"/>
              </w:rPr>
            </w:pPr>
            <w:r>
              <w:rPr>
                <w:noProof/>
              </w:rPr>
              <w:t>Q2</w:t>
            </w:r>
          </w:p>
        </w:tc>
        <w:tc>
          <w:tcPr>
            <w:tcW w:w="709" w:type="dxa"/>
            <w:shd w:val="clear" w:color="auto" w:fill="C6EFCE"/>
            <w:noWrap/>
            <w:vAlign w:val="center"/>
          </w:tcPr>
          <w:p w14:paraId="1B83D4BE" w14:textId="77777777" w:rsidR="00154E32" w:rsidRDefault="00A43E04">
            <w:pPr>
              <w:pStyle w:val="P68B1DB1-Normal36"/>
              <w:spacing w:before="120" w:after="120"/>
              <w:jc w:val="center"/>
              <w:rPr>
                <w:noProof/>
                <w:color w:val="006100"/>
              </w:rPr>
            </w:pPr>
            <w:r>
              <w:rPr>
                <w:noProof/>
              </w:rPr>
              <w:t>2023</w:t>
            </w:r>
          </w:p>
        </w:tc>
        <w:tc>
          <w:tcPr>
            <w:tcW w:w="2835" w:type="dxa"/>
            <w:shd w:val="clear" w:color="auto" w:fill="C6EFCE"/>
            <w:noWrap/>
            <w:vAlign w:val="center"/>
          </w:tcPr>
          <w:p w14:paraId="2B8533CC" w14:textId="77777777" w:rsidR="00154E32" w:rsidRDefault="00A43E04">
            <w:pPr>
              <w:pStyle w:val="P68B1DB1-Normal36"/>
              <w:spacing w:before="120" w:after="120"/>
              <w:rPr>
                <w:rFonts w:eastAsia="Calibri"/>
                <w:noProof/>
              </w:rPr>
            </w:pPr>
            <w:r>
              <w:rPr>
                <w:noProof/>
              </w:rPr>
              <w:t>S to naložbo se povečajo štipendije za posebni študij splošne medicine, s čimer se zagotovi zaključek treh triletnih ciklov usposabljanja;</w:t>
            </w:r>
          </w:p>
        </w:tc>
      </w:tr>
      <w:tr w:rsidR="00154E32" w14:paraId="5C9B3B3B" w14:textId="77777777">
        <w:trPr>
          <w:trHeight w:val="313"/>
          <w:jc w:val="center"/>
        </w:trPr>
        <w:tc>
          <w:tcPr>
            <w:tcW w:w="1129" w:type="dxa"/>
            <w:shd w:val="clear" w:color="auto" w:fill="C6EFCE"/>
            <w:noWrap/>
            <w:vAlign w:val="center"/>
          </w:tcPr>
          <w:p w14:paraId="79D0548F" w14:textId="77777777" w:rsidR="00154E32" w:rsidRDefault="00A43E04">
            <w:pPr>
              <w:pStyle w:val="P68B1DB1-Normal11"/>
              <w:spacing w:before="120" w:after="120"/>
              <w:jc w:val="center"/>
              <w:rPr>
                <w:noProof/>
              </w:rPr>
            </w:pPr>
            <w:r>
              <w:rPr>
                <w:noProof/>
              </w:rPr>
              <w:t>M6C2–15</w:t>
            </w:r>
          </w:p>
        </w:tc>
        <w:tc>
          <w:tcPr>
            <w:tcW w:w="1701" w:type="dxa"/>
            <w:shd w:val="clear" w:color="auto" w:fill="C6EFCE"/>
            <w:noWrap/>
            <w:vAlign w:val="center"/>
          </w:tcPr>
          <w:p w14:paraId="4848F706" w14:textId="77777777" w:rsidR="00154E32" w:rsidRDefault="00A43E04">
            <w:pPr>
              <w:pStyle w:val="P68B1DB1-Normal36"/>
              <w:spacing w:before="120" w:after="120"/>
              <w:jc w:val="center"/>
              <w:rPr>
                <w:noProof/>
                <w:color w:val="006100"/>
              </w:rPr>
            </w:pPr>
            <w:r>
              <w:rPr>
                <w:noProof/>
              </w:rPr>
              <w:t>Naložba 2.2: Razvoj tehnično-strokovnih, digitalnih in vodstvenih znanj in spretnosti strokovnjakov v zdravstvenem sistemu</w:t>
            </w:r>
          </w:p>
        </w:tc>
        <w:tc>
          <w:tcPr>
            <w:tcW w:w="1134" w:type="dxa"/>
            <w:shd w:val="clear" w:color="auto" w:fill="C6EFCE"/>
            <w:noWrap/>
            <w:vAlign w:val="center"/>
          </w:tcPr>
          <w:p w14:paraId="32396B6F" w14:textId="77777777" w:rsidR="00154E32" w:rsidRDefault="00A43E04">
            <w:pPr>
              <w:pStyle w:val="P68B1DB1-Normal36"/>
              <w:spacing w:before="120" w:after="120"/>
              <w:jc w:val="center"/>
              <w:rPr>
                <w:noProof/>
                <w:color w:val="006100"/>
              </w:rPr>
            </w:pPr>
            <w:r>
              <w:rPr>
                <w:noProof/>
              </w:rPr>
              <w:t>Tarča</w:t>
            </w:r>
          </w:p>
        </w:tc>
        <w:tc>
          <w:tcPr>
            <w:tcW w:w="1560" w:type="dxa"/>
            <w:shd w:val="clear" w:color="auto" w:fill="C6EFCE"/>
            <w:noWrap/>
            <w:vAlign w:val="center"/>
          </w:tcPr>
          <w:p w14:paraId="5FDB5B63" w14:textId="77777777" w:rsidR="00154E32" w:rsidRDefault="00A43E04">
            <w:pPr>
              <w:pStyle w:val="P68B1DB1-Normal36"/>
              <w:spacing w:before="120" w:after="120"/>
              <w:jc w:val="center"/>
              <w:rPr>
                <w:noProof/>
              </w:rPr>
            </w:pPr>
            <w:r>
              <w:rPr>
                <w:noProof/>
              </w:rPr>
              <w:t>Dodelijo se dodatne štipendije za posebno usposabljanje na področju splošne medicine.</w:t>
            </w:r>
          </w:p>
        </w:tc>
        <w:tc>
          <w:tcPr>
            <w:tcW w:w="1559" w:type="dxa"/>
            <w:shd w:val="clear" w:color="auto" w:fill="C6EFCE"/>
            <w:noWrap/>
            <w:vAlign w:val="center"/>
          </w:tcPr>
          <w:p w14:paraId="7D4DCB8A" w14:textId="77777777" w:rsidR="00154E32" w:rsidRDefault="00A43E04">
            <w:pPr>
              <w:pStyle w:val="P68B1DB1-Normal36"/>
              <w:spacing w:before="120" w:after="120"/>
              <w:jc w:val="center"/>
              <w:rPr>
                <w:noProof/>
                <w:color w:val="006100"/>
              </w:rPr>
            </w:pPr>
            <w:r>
              <w:rPr>
                <w:noProof/>
              </w:rPr>
              <w:t>JIH NI</w:t>
            </w:r>
          </w:p>
        </w:tc>
        <w:tc>
          <w:tcPr>
            <w:tcW w:w="1276" w:type="dxa"/>
            <w:shd w:val="clear" w:color="auto" w:fill="C6EFCE"/>
            <w:noWrap/>
            <w:vAlign w:val="center"/>
          </w:tcPr>
          <w:p w14:paraId="2C866086" w14:textId="77777777" w:rsidR="00154E32" w:rsidRDefault="00A43E04">
            <w:pPr>
              <w:pStyle w:val="P68B1DB1-Normal36"/>
              <w:spacing w:before="120" w:after="120"/>
              <w:jc w:val="center"/>
              <w:rPr>
                <w:rFonts w:eastAsia="Calibri"/>
                <w:noProof/>
              </w:rPr>
            </w:pPr>
            <w:r>
              <w:rPr>
                <w:noProof/>
              </w:rPr>
              <w:t xml:space="preserve">Število </w:t>
            </w:r>
          </w:p>
        </w:tc>
        <w:tc>
          <w:tcPr>
            <w:tcW w:w="992" w:type="dxa"/>
            <w:shd w:val="clear" w:color="auto" w:fill="C6EFCE"/>
            <w:noWrap/>
            <w:vAlign w:val="center"/>
          </w:tcPr>
          <w:p w14:paraId="3A31C408" w14:textId="271E7FE0" w:rsidR="00154E32" w:rsidRDefault="00A43E04">
            <w:pPr>
              <w:pStyle w:val="P68B1DB1-Normal19"/>
              <w:spacing w:before="120" w:after="120"/>
              <w:jc w:val="center"/>
              <w:rPr>
                <w:noProof/>
                <w:color w:val="006100"/>
              </w:rPr>
            </w:pPr>
            <w:r>
              <w:rPr>
                <w:noProof/>
                <w:color w:val="006600"/>
              </w:rPr>
              <w:t>1</w:t>
            </w:r>
            <w:r>
              <w:rPr>
                <w:noProof/>
                <w:color w:val="006100"/>
              </w:rPr>
              <w:t xml:space="preserve"> </w:t>
            </w:r>
            <w:r>
              <w:rPr>
                <w:noProof/>
                <w:color w:val="006600"/>
              </w:rPr>
              <w:t>800</w:t>
            </w:r>
          </w:p>
        </w:tc>
        <w:tc>
          <w:tcPr>
            <w:tcW w:w="850" w:type="dxa"/>
            <w:shd w:val="clear" w:color="auto" w:fill="C6EFCE"/>
            <w:noWrap/>
            <w:vAlign w:val="center"/>
          </w:tcPr>
          <w:p w14:paraId="223A2819" w14:textId="5A3DE903" w:rsidR="00154E32" w:rsidRDefault="00A43E04">
            <w:pPr>
              <w:pStyle w:val="P68B1DB1-Normal19"/>
              <w:spacing w:before="120" w:after="120"/>
              <w:jc w:val="center"/>
              <w:rPr>
                <w:noProof/>
                <w:color w:val="006100"/>
              </w:rPr>
            </w:pPr>
            <w:r>
              <w:rPr>
                <w:noProof/>
                <w:color w:val="006600"/>
              </w:rPr>
              <w:t>2</w:t>
            </w:r>
            <w:r>
              <w:rPr>
                <w:noProof/>
                <w:color w:val="006100"/>
              </w:rPr>
              <w:t xml:space="preserve"> </w:t>
            </w:r>
            <w:r>
              <w:rPr>
                <w:noProof/>
                <w:color w:val="006600"/>
              </w:rPr>
              <w:t>700</w:t>
            </w:r>
          </w:p>
        </w:tc>
        <w:tc>
          <w:tcPr>
            <w:tcW w:w="851" w:type="dxa"/>
            <w:shd w:val="clear" w:color="auto" w:fill="C6EFCE"/>
            <w:noWrap/>
            <w:vAlign w:val="center"/>
          </w:tcPr>
          <w:p w14:paraId="2C20FB9C" w14:textId="77777777" w:rsidR="00154E32" w:rsidRDefault="00A43E04">
            <w:pPr>
              <w:pStyle w:val="P68B1DB1-Normal36"/>
              <w:spacing w:before="120" w:after="120"/>
              <w:jc w:val="center"/>
              <w:rPr>
                <w:noProof/>
                <w:color w:val="006100"/>
              </w:rPr>
            </w:pPr>
            <w:r>
              <w:rPr>
                <w:noProof/>
              </w:rPr>
              <w:t>Q2</w:t>
            </w:r>
          </w:p>
        </w:tc>
        <w:tc>
          <w:tcPr>
            <w:tcW w:w="709" w:type="dxa"/>
            <w:shd w:val="clear" w:color="auto" w:fill="C6EFCE"/>
            <w:noWrap/>
            <w:vAlign w:val="center"/>
          </w:tcPr>
          <w:p w14:paraId="08614FD0" w14:textId="77777777" w:rsidR="00154E32" w:rsidRDefault="00A43E04">
            <w:pPr>
              <w:pStyle w:val="P68B1DB1-Normal36"/>
              <w:spacing w:before="120" w:after="120"/>
              <w:jc w:val="center"/>
              <w:rPr>
                <w:noProof/>
                <w:color w:val="006100"/>
              </w:rPr>
            </w:pPr>
            <w:r>
              <w:rPr>
                <w:noProof/>
              </w:rPr>
              <w:t>2024</w:t>
            </w:r>
          </w:p>
        </w:tc>
        <w:tc>
          <w:tcPr>
            <w:tcW w:w="2835" w:type="dxa"/>
            <w:shd w:val="clear" w:color="auto" w:fill="C6EFCE"/>
            <w:noWrap/>
            <w:vAlign w:val="center"/>
          </w:tcPr>
          <w:p w14:paraId="183FA4A0" w14:textId="77777777" w:rsidR="00154E32" w:rsidRDefault="00A43E04">
            <w:pPr>
              <w:pStyle w:val="P68B1DB1-Normal36"/>
              <w:spacing w:before="120" w:after="120"/>
              <w:rPr>
                <w:rFonts w:eastAsia="Calibri"/>
                <w:noProof/>
              </w:rPr>
            </w:pPr>
            <w:r>
              <w:rPr>
                <w:noProof/>
              </w:rPr>
              <w:t>S to naložbo se povečajo štipendije za posebni študij splošne medicine, s čimer se zagotovi zaključek treh triletnih ciklov usposabljanja.</w:t>
            </w:r>
          </w:p>
        </w:tc>
      </w:tr>
      <w:tr w:rsidR="00154E32" w14:paraId="4D87EC04" w14:textId="77777777">
        <w:trPr>
          <w:trHeight w:val="313"/>
          <w:jc w:val="center"/>
        </w:trPr>
        <w:tc>
          <w:tcPr>
            <w:tcW w:w="1129" w:type="dxa"/>
            <w:shd w:val="clear" w:color="auto" w:fill="C6EFCE"/>
            <w:noWrap/>
            <w:vAlign w:val="center"/>
          </w:tcPr>
          <w:p w14:paraId="01AE9816" w14:textId="1C4A8D7D" w:rsidR="00154E32" w:rsidRDefault="00A43E04">
            <w:pPr>
              <w:pStyle w:val="P68B1DB1-Normal11"/>
              <w:spacing w:before="120" w:after="120"/>
              <w:jc w:val="center"/>
              <w:rPr>
                <w:noProof/>
              </w:rPr>
            </w:pPr>
            <w:r>
              <w:rPr>
                <w:noProof/>
              </w:rPr>
              <w:t>M6C2–16</w:t>
            </w:r>
          </w:p>
        </w:tc>
        <w:tc>
          <w:tcPr>
            <w:tcW w:w="1701" w:type="dxa"/>
            <w:shd w:val="clear" w:color="auto" w:fill="C6EFCE"/>
            <w:noWrap/>
            <w:vAlign w:val="center"/>
          </w:tcPr>
          <w:p w14:paraId="220D3260" w14:textId="77777777" w:rsidR="00154E32" w:rsidRDefault="00A43E04">
            <w:pPr>
              <w:pStyle w:val="P68B1DB1-Normal36"/>
              <w:spacing w:before="120" w:after="120"/>
              <w:jc w:val="center"/>
              <w:rPr>
                <w:noProof/>
                <w:color w:val="006100"/>
              </w:rPr>
            </w:pPr>
            <w:r>
              <w:rPr>
                <w:noProof/>
              </w:rPr>
              <w:t>Naložba 2.2: Razvoj tehnično-strokovnih, digitalnih in vodstvenih znanj in spretnosti strokovnjakov v zdravstvenem sistemu</w:t>
            </w:r>
          </w:p>
        </w:tc>
        <w:tc>
          <w:tcPr>
            <w:tcW w:w="1134" w:type="dxa"/>
            <w:shd w:val="clear" w:color="auto" w:fill="C6EFCE"/>
            <w:noWrap/>
            <w:vAlign w:val="center"/>
          </w:tcPr>
          <w:p w14:paraId="6F52510F" w14:textId="77777777" w:rsidR="00154E32" w:rsidRDefault="00A43E04">
            <w:pPr>
              <w:pStyle w:val="P68B1DB1-Normal36"/>
              <w:spacing w:before="120" w:after="120"/>
              <w:jc w:val="center"/>
              <w:rPr>
                <w:noProof/>
                <w:color w:val="006100"/>
              </w:rPr>
            </w:pPr>
            <w:r>
              <w:rPr>
                <w:noProof/>
              </w:rPr>
              <w:t>Tarča</w:t>
            </w:r>
          </w:p>
        </w:tc>
        <w:tc>
          <w:tcPr>
            <w:tcW w:w="1560" w:type="dxa"/>
            <w:shd w:val="clear" w:color="auto" w:fill="C6EFCE"/>
            <w:noWrap/>
            <w:vAlign w:val="center"/>
          </w:tcPr>
          <w:p w14:paraId="43FCA888" w14:textId="52E4DA8B" w:rsidR="00154E32" w:rsidRDefault="00A43E04">
            <w:pPr>
              <w:pStyle w:val="P68B1DB1-Normal36"/>
              <w:spacing w:before="120" w:after="120"/>
              <w:jc w:val="center"/>
              <w:rPr>
                <w:noProof/>
                <w:color w:val="006100"/>
              </w:rPr>
            </w:pPr>
            <w:r>
              <w:rPr>
                <w:noProof/>
              </w:rPr>
              <w:t>Usposabljanje o vodstvenih in digitalnih znanjih in spretnostih za zaposlene v nacionalni zdravstveni službi</w:t>
            </w:r>
          </w:p>
        </w:tc>
        <w:tc>
          <w:tcPr>
            <w:tcW w:w="1559" w:type="dxa"/>
            <w:shd w:val="clear" w:color="auto" w:fill="C6EFCE"/>
            <w:noWrap/>
            <w:vAlign w:val="center"/>
          </w:tcPr>
          <w:p w14:paraId="4EDA3B74" w14:textId="77777777" w:rsidR="00154E32" w:rsidRDefault="00A43E04">
            <w:pPr>
              <w:pStyle w:val="P68B1DB1-Normal36"/>
              <w:spacing w:before="120" w:after="120"/>
              <w:jc w:val="center"/>
              <w:rPr>
                <w:noProof/>
                <w:color w:val="006100"/>
              </w:rPr>
            </w:pPr>
            <w:r>
              <w:rPr>
                <w:noProof/>
              </w:rPr>
              <w:t>JIH NI</w:t>
            </w:r>
          </w:p>
        </w:tc>
        <w:tc>
          <w:tcPr>
            <w:tcW w:w="1276" w:type="dxa"/>
            <w:shd w:val="clear" w:color="auto" w:fill="C6EFCE"/>
            <w:noWrap/>
            <w:vAlign w:val="center"/>
          </w:tcPr>
          <w:p w14:paraId="2527A703" w14:textId="77777777" w:rsidR="00154E32" w:rsidRDefault="00A43E04">
            <w:pPr>
              <w:pStyle w:val="P68B1DB1-Normal36"/>
              <w:spacing w:before="120" w:after="120"/>
              <w:jc w:val="center"/>
              <w:rPr>
                <w:noProof/>
                <w:color w:val="006100"/>
              </w:rPr>
            </w:pPr>
            <w:r>
              <w:rPr>
                <w:noProof/>
              </w:rPr>
              <w:t>Število</w:t>
            </w:r>
          </w:p>
        </w:tc>
        <w:tc>
          <w:tcPr>
            <w:tcW w:w="992" w:type="dxa"/>
            <w:shd w:val="clear" w:color="auto" w:fill="C6EFCE"/>
            <w:noWrap/>
            <w:vAlign w:val="center"/>
          </w:tcPr>
          <w:p w14:paraId="7D3ED7B5" w14:textId="77777777" w:rsidR="00154E32" w:rsidRDefault="00A43E04">
            <w:pPr>
              <w:pStyle w:val="P68B1DB1-Normal36"/>
              <w:spacing w:before="120" w:after="120"/>
              <w:jc w:val="center"/>
              <w:rPr>
                <w:noProof/>
                <w:color w:val="006100"/>
              </w:rPr>
            </w:pPr>
            <w:r>
              <w:rPr>
                <w:noProof/>
              </w:rPr>
              <w:t>0</w:t>
            </w:r>
          </w:p>
        </w:tc>
        <w:tc>
          <w:tcPr>
            <w:tcW w:w="850" w:type="dxa"/>
            <w:shd w:val="clear" w:color="auto" w:fill="C6EFCE"/>
            <w:noWrap/>
            <w:vAlign w:val="center"/>
          </w:tcPr>
          <w:p w14:paraId="6EE62EBE" w14:textId="536BD567" w:rsidR="00154E32" w:rsidRDefault="00A43E04">
            <w:pPr>
              <w:pStyle w:val="P68B1DB1-Normal19"/>
              <w:spacing w:before="120" w:after="120"/>
              <w:jc w:val="center"/>
              <w:rPr>
                <w:noProof/>
                <w:color w:val="006100"/>
              </w:rPr>
            </w:pPr>
            <w:r>
              <w:rPr>
                <w:noProof/>
                <w:color w:val="006600"/>
              </w:rPr>
              <w:t>4</w:t>
            </w:r>
            <w:r>
              <w:rPr>
                <w:noProof/>
                <w:color w:val="006100"/>
              </w:rPr>
              <w:t xml:space="preserve"> </w:t>
            </w:r>
            <w:r>
              <w:rPr>
                <w:noProof/>
                <w:color w:val="006600"/>
              </w:rPr>
              <w:t>500</w:t>
            </w:r>
          </w:p>
        </w:tc>
        <w:tc>
          <w:tcPr>
            <w:tcW w:w="851" w:type="dxa"/>
            <w:shd w:val="clear" w:color="auto" w:fill="C6EFCE"/>
            <w:noWrap/>
            <w:vAlign w:val="center"/>
          </w:tcPr>
          <w:p w14:paraId="0F9C0FC2" w14:textId="77777777" w:rsidR="00154E32" w:rsidRDefault="00A43E04">
            <w:pPr>
              <w:pStyle w:val="P68B1DB1-Normal36"/>
              <w:spacing w:before="120" w:after="120"/>
              <w:jc w:val="center"/>
              <w:rPr>
                <w:noProof/>
                <w:color w:val="006100"/>
              </w:rPr>
            </w:pPr>
            <w:r>
              <w:rPr>
                <w:noProof/>
              </w:rPr>
              <w:t>Q2</w:t>
            </w:r>
          </w:p>
        </w:tc>
        <w:tc>
          <w:tcPr>
            <w:tcW w:w="709" w:type="dxa"/>
            <w:shd w:val="clear" w:color="auto" w:fill="C6EFCE"/>
            <w:noWrap/>
            <w:vAlign w:val="center"/>
          </w:tcPr>
          <w:p w14:paraId="71154C22" w14:textId="77777777" w:rsidR="00154E32" w:rsidRDefault="00A43E04">
            <w:pPr>
              <w:pStyle w:val="P68B1DB1-Normal36"/>
              <w:spacing w:before="120" w:after="120"/>
              <w:jc w:val="center"/>
              <w:rPr>
                <w:noProof/>
                <w:color w:val="006100"/>
              </w:rPr>
            </w:pPr>
            <w:r>
              <w:rPr>
                <w:noProof/>
              </w:rPr>
              <w:t>2026</w:t>
            </w:r>
          </w:p>
        </w:tc>
        <w:tc>
          <w:tcPr>
            <w:tcW w:w="2835" w:type="dxa"/>
            <w:shd w:val="clear" w:color="auto" w:fill="C6EFCE"/>
            <w:noWrap/>
            <w:vAlign w:val="center"/>
          </w:tcPr>
          <w:p w14:paraId="59169934" w14:textId="2E3B365B" w:rsidR="00154E32" w:rsidRDefault="00A43E04">
            <w:pPr>
              <w:pStyle w:val="P68B1DB1-Normal19"/>
              <w:spacing w:before="120" w:after="120"/>
              <w:rPr>
                <w:noProof/>
              </w:rPr>
            </w:pPr>
            <w:r>
              <w:rPr>
                <w:noProof/>
                <w:color w:val="006600"/>
              </w:rPr>
              <w:t>Usposabljanje o vodstvenih in digitalnih znanjih in spretnostih je na voljo</w:t>
            </w:r>
            <w:r>
              <w:rPr>
                <w:noProof/>
                <w:color w:val="006100"/>
              </w:rPr>
              <w:t xml:space="preserve"> </w:t>
            </w:r>
            <w:r>
              <w:rPr>
                <w:noProof/>
                <w:color w:val="006600"/>
              </w:rPr>
              <w:t>4500 zaposlenim v nacionalni zdravstveni službi.</w:t>
            </w:r>
          </w:p>
          <w:p w14:paraId="53004C9C" w14:textId="77777777" w:rsidR="00154E32" w:rsidRDefault="00A43E04">
            <w:pPr>
              <w:pStyle w:val="P68B1DB1-Normal36"/>
              <w:spacing w:before="120" w:after="120"/>
              <w:rPr>
                <w:rFonts w:eastAsia="Calibri"/>
                <w:noProof/>
              </w:rPr>
            </w:pPr>
            <w:r>
              <w:rPr>
                <w:noProof/>
              </w:rPr>
              <w:t>Ta naložba aktivira pot usposabljanja za osebje z najvišjimi vlogami v organih nacionalnega zdravstvenega sistema, da se jim omogoči pridobitev potrebnih vodstvenih in digitalnih znanj in spretnosti ter sposobnosti za soočanje s sedanjimi in prihodnjimi zdravstvenimi izzivi na celostnem, trajnostnem, inovativnem, prožnem in v rezultate usmerjenem vidiku.</w:t>
            </w:r>
          </w:p>
        </w:tc>
      </w:tr>
      <w:tr w:rsidR="00154E32" w14:paraId="7B8A8A3B" w14:textId="77777777">
        <w:trPr>
          <w:trHeight w:val="313"/>
          <w:jc w:val="center"/>
        </w:trPr>
        <w:tc>
          <w:tcPr>
            <w:tcW w:w="1129" w:type="dxa"/>
            <w:shd w:val="clear" w:color="auto" w:fill="C6EFCE"/>
            <w:noWrap/>
            <w:vAlign w:val="center"/>
          </w:tcPr>
          <w:p w14:paraId="72762C24" w14:textId="77777777" w:rsidR="00154E32" w:rsidRDefault="00A43E04">
            <w:pPr>
              <w:pStyle w:val="P68B1DB1-Normal36"/>
              <w:spacing w:before="120" w:after="120"/>
              <w:jc w:val="center"/>
              <w:rPr>
                <w:rFonts w:eastAsia="Calibri"/>
                <w:noProof/>
              </w:rPr>
            </w:pPr>
            <w:r>
              <w:rPr>
                <w:noProof/>
              </w:rPr>
              <w:t>M6C2–17</w:t>
            </w:r>
          </w:p>
        </w:tc>
        <w:tc>
          <w:tcPr>
            <w:tcW w:w="1701" w:type="dxa"/>
            <w:shd w:val="clear" w:color="auto" w:fill="C6EFCE"/>
            <w:noWrap/>
            <w:vAlign w:val="center"/>
          </w:tcPr>
          <w:p w14:paraId="3A88675A" w14:textId="77777777" w:rsidR="00154E32" w:rsidRDefault="00A43E04">
            <w:pPr>
              <w:pStyle w:val="P68B1DB1-Normal36"/>
              <w:spacing w:before="120" w:after="120"/>
              <w:jc w:val="center"/>
              <w:rPr>
                <w:rFonts w:eastAsia="Calibri"/>
                <w:noProof/>
              </w:rPr>
            </w:pPr>
            <w:r>
              <w:rPr>
                <w:noProof/>
              </w:rPr>
              <w:t>Naložba 2.2: Razvoj tehnično-strokovnih, digitalnih in vodstvenih znanj in spretnosti strokovnjakov v zdravstvenem sistemu</w:t>
            </w:r>
          </w:p>
        </w:tc>
        <w:tc>
          <w:tcPr>
            <w:tcW w:w="1134" w:type="dxa"/>
            <w:shd w:val="clear" w:color="auto" w:fill="C6EFCE"/>
            <w:noWrap/>
            <w:vAlign w:val="center"/>
          </w:tcPr>
          <w:p w14:paraId="1DF1AE5B" w14:textId="77777777" w:rsidR="00154E32" w:rsidRDefault="00A43E04">
            <w:pPr>
              <w:pStyle w:val="P68B1DB1-Normal36"/>
              <w:spacing w:before="120" w:after="120"/>
              <w:jc w:val="center"/>
              <w:rPr>
                <w:rFonts w:eastAsia="Calibri"/>
                <w:noProof/>
              </w:rPr>
            </w:pPr>
            <w:r>
              <w:rPr>
                <w:noProof/>
              </w:rPr>
              <w:t>Tarča</w:t>
            </w:r>
          </w:p>
        </w:tc>
        <w:tc>
          <w:tcPr>
            <w:tcW w:w="1560" w:type="dxa"/>
            <w:shd w:val="clear" w:color="auto" w:fill="C6EFCE"/>
            <w:noWrap/>
            <w:vAlign w:val="center"/>
          </w:tcPr>
          <w:p w14:paraId="5BBA978C" w14:textId="77777777" w:rsidR="00154E32" w:rsidRDefault="00A43E04">
            <w:pPr>
              <w:pStyle w:val="P68B1DB1-Normal36"/>
              <w:spacing w:before="120" w:after="120"/>
              <w:jc w:val="center"/>
              <w:rPr>
                <w:rFonts w:eastAsia="Calibri"/>
                <w:noProof/>
              </w:rPr>
            </w:pPr>
            <w:r>
              <w:rPr>
                <w:noProof/>
              </w:rPr>
              <w:t>Število financiranih pogodb o specialističnem usposabljanju</w:t>
            </w:r>
          </w:p>
        </w:tc>
        <w:tc>
          <w:tcPr>
            <w:tcW w:w="1559" w:type="dxa"/>
            <w:shd w:val="clear" w:color="auto" w:fill="C6EFCE"/>
            <w:noWrap/>
            <w:vAlign w:val="center"/>
          </w:tcPr>
          <w:p w14:paraId="2054C26F" w14:textId="77777777" w:rsidR="00154E32" w:rsidRDefault="00A43E04">
            <w:pPr>
              <w:pStyle w:val="P68B1DB1-Normal36"/>
              <w:spacing w:before="120" w:after="120"/>
              <w:jc w:val="center"/>
              <w:rPr>
                <w:rFonts w:eastAsia="Calibri"/>
                <w:noProof/>
              </w:rPr>
            </w:pPr>
            <w:r>
              <w:rPr>
                <w:noProof/>
              </w:rPr>
              <w:t>JIH NI</w:t>
            </w:r>
          </w:p>
        </w:tc>
        <w:tc>
          <w:tcPr>
            <w:tcW w:w="1276" w:type="dxa"/>
            <w:shd w:val="clear" w:color="auto" w:fill="C6EFCE"/>
            <w:noWrap/>
            <w:vAlign w:val="center"/>
          </w:tcPr>
          <w:p w14:paraId="6EB3D75D" w14:textId="77777777" w:rsidR="00154E32" w:rsidRDefault="00A43E04">
            <w:pPr>
              <w:pStyle w:val="P68B1DB1-Normal36"/>
              <w:spacing w:before="120" w:after="120"/>
              <w:jc w:val="center"/>
              <w:rPr>
                <w:rFonts w:eastAsia="Calibri"/>
                <w:noProof/>
              </w:rPr>
            </w:pPr>
            <w:r>
              <w:rPr>
                <w:noProof/>
              </w:rPr>
              <w:t>Število</w:t>
            </w:r>
          </w:p>
        </w:tc>
        <w:tc>
          <w:tcPr>
            <w:tcW w:w="992" w:type="dxa"/>
            <w:shd w:val="clear" w:color="auto" w:fill="C6EFCE"/>
            <w:noWrap/>
            <w:vAlign w:val="center"/>
          </w:tcPr>
          <w:p w14:paraId="045A1016" w14:textId="77777777" w:rsidR="00154E32" w:rsidRDefault="00A43E04">
            <w:pPr>
              <w:pStyle w:val="P68B1DB1-Normal36"/>
              <w:spacing w:before="120" w:after="120"/>
              <w:jc w:val="center"/>
              <w:rPr>
                <w:rFonts w:eastAsia="Calibri"/>
                <w:noProof/>
              </w:rPr>
            </w:pPr>
            <w:r>
              <w:rPr>
                <w:noProof/>
              </w:rPr>
              <w:t>0</w:t>
            </w:r>
          </w:p>
        </w:tc>
        <w:tc>
          <w:tcPr>
            <w:tcW w:w="850" w:type="dxa"/>
            <w:shd w:val="clear" w:color="auto" w:fill="C6EFCE"/>
            <w:noWrap/>
            <w:vAlign w:val="center"/>
          </w:tcPr>
          <w:p w14:paraId="0E27D4DE" w14:textId="2F1340EB" w:rsidR="00154E32" w:rsidRDefault="00A43E04">
            <w:pPr>
              <w:pStyle w:val="P68B1DB1-Normal19"/>
              <w:spacing w:before="120" w:after="120"/>
              <w:jc w:val="center"/>
              <w:rPr>
                <w:rFonts w:eastAsia="Calibri"/>
                <w:noProof/>
                <w:color w:val="006600"/>
              </w:rPr>
            </w:pPr>
            <w:r>
              <w:rPr>
                <w:noProof/>
                <w:color w:val="006600"/>
              </w:rPr>
              <w:t>4</w:t>
            </w:r>
            <w:r>
              <w:rPr>
                <w:noProof/>
                <w:color w:val="006100"/>
              </w:rPr>
              <w:t xml:space="preserve"> </w:t>
            </w:r>
            <w:r>
              <w:rPr>
                <w:noProof/>
                <w:color w:val="006600"/>
              </w:rPr>
              <w:t>200</w:t>
            </w:r>
          </w:p>
        </w:tc>
        <w:tc>
          <w:tcPr>
            <w:tcW w:w="851" w:type="dxa"/>
            <w:shd w:val="clear" w:color="auto" w:fill="C6EFCE"/>
            <w:noWrap/>
            <w:vAlign w:val="center"/>
          </w:tcPr>
          <w:p w14:paraId="291DF6F5" w14:textId="77777777" w:rsidR="00154E32" w:rsidRDefault="00A43E04">
            <w:pPr>
              <w:pStyle w:val="P68B1DB1-Normal36"/>
              <w:spacing w:before="120" w:after="120"/>
              <w:jc w:val="center"/>
              <w:rPr>
                <w:rFonts w:eastAsia="Calibri"/>
                <w:noProof/>
              </w:rPr>
            </w:pPr>
            <w:r>
              <w:rPr>
                <w:noProof/>
              </w:rPr>
              <w:t>Q2</w:t>
            </w:r>
          </w:p>
        </w:tc>
        <w:tc>
          <w:tcPr>
            <w:tcW w:w="709" w:type="dxa"/>
            <w:shd w:val="clear" w:color="auto" w:fill="C6EFCE"/>
            <w:noWrap/>
            <w:vAlign w:val="center"/>
          </w:tcPr>
          <w:p w14:paraId="7D97D238" w14:textId="77777777" w:rsidR="00154E32" w:rsidRDefault="00A43E04">
            <w:pPr>
              <w:pStyle w:val="P68B1DB1-Normal36"/>
              <w:spacing w:before="120" w:after="120"/>
              <w:jc w:val="center"/>
              <w:rPr>
                <w:rFonts w:eastAsia="Calibri"/>
                <w:noProof/>
              </w:rPr>
            </w:pPr>
            <w:r>
              <w:rPr>
                <w:noProof/>
              </w:rPr>
              <w:t>2026</w:t>
            </w:r>
          </w:p>
        </w:tc>
        <w:tc>
          <w:tcPr>
            <w:tcW w:w="2835" w:type="dxa"/>
            <w:shd w:val="clear" w:color="auto" w:fill="C6EFCE"/>
            <w:noWrap/>
            <w:vAlign w:val="center"/>
          </w:tcPr>
          <w:p w14:paraId="4468978B" w14:textId="08CAA92D" w:rsidR="00154E32" w:rsidRDefault="00A43E04">
            <w:pPr>
              <w:pStyle w:val="P68B1DB1-Normal19"/>
              <w:spacing w:before="120" w:after="120"/>
              <w:rPr>
                <w:rFonts w:eastAsia="Calibri"/>
                <w:noProof/>
                <w:color w:val="006600"/>
              </w:rPr>
            </w:pPr>
            <w:r>
              <w:rPr>
                <w:noProof/>
                <w:color w:val="006600"/>
              </w:rPr>
              <w:t>Ta naložba zagotavlja financiranje pogodb o specializiranem medicinskem usposabljanju, kar bo omogočilo financiranje dodatnih</w:t>
            </w:r>
            <w:r>
              <w:rPr>
                <w:noProof/>
                <w:color w:val="006100"/>
              </w:rPr>
              <w:t xml:space="preserve"> </w:t>
            </w:r>
            <w:r>
              <w:rPr>
                <w:noProof/>
                <w:color w:val="006600"/>
              </w:rPr>
              <w:t>4200 pogodb o usposabljanju za celoten študij (5 let).</w:t>
            </w:r>
          </w:p>
        </w:tc>
      </w:tr>
    </w:tbl>
    <w:p w14:paraId="513DF4F3" w14:textId="77777777" w:rsidR="00154E32" w:rsidRDefault="00154E32">
      <w:pPr>
        <w:pStyle w:val="Text1"/>
        <w:ind w:left="0"/>
        <w:rPr>
          <w:rFonts w:eastAsiaTheme="majorEastAsia"/>
          <w:b/>
          <w:smallCaps/>
          <w:noProof/>
        </w:rPr>
        <w:sectPr w:rsidR="00154E32" w:rsidSect="00CC151E">
          <w:headerReference w:type="even" r:id="rId380"/>
          <w:headerReference w:type="default" r:id="rId381"/>
          <w:footerReference w:type="even" r:id="rId382"/>
          <w:footerReference w:type="default" r:id="rId383"/>
          <w:headerReference w:type="first" r:id="rId384"/>
          <w:footerReference w:type="first" r:id="rId385"/>
          <w:pgSz w:w="16839" w:h="11907" w:orient="landscape"/>
          <w:pgMar w:top="1440" w:right="1440" w:bottom="1440" w:left="1440" w:header="567" w:footer="567" w:gutter="0"/>
          <w:cols w:space="720"/>
          <w:docGrid w:linePitch="360"/>
        </w:sectPr>
      </w:pPr>
    </w:p>
    <w:p w14:paraId="17D35748" w14:textId="5A6A3DB6" w:rsidR="00154E32" w:rsidRDefault="00A43E04">
      <w:pPr>
        <w:pStyle w:val="Heading2"/>
        <w:numPr>
          <w:ilvl w:val="0"/>
          <w:numId w:val="21"/>
        </w:numPr>
        <w:spacing w:before="0"/>
        <w:rPr>
          <w:noProof/>
        </w:rPr>
      </w:pPr>
      <w:r>
        <w:rPr>
          <w:noProof/>
        </w:rPr>
        <w:t>MISIJA ŠT. 7: Načrt REPowerEU</w:t>
      </w:r>
    </w:p>
    <w:p w14:paraId="7E53E370" w14:textId="693937AE" w:rsidR="00154E32" w:rsidRDefault="00A43E04">
      <w:pPr>
        <w:pStyle w:val="paragraph"/>
        <w:spacing w:before="0" w:beforeAutospacing="0" w:after="120" w:afterAutospacing="0"/>
        <w:jc w:val="both"/>
        <w:textAlignment w:val="baseline"/>
        <w:rPr>
          <w:noProof/>
        </w:rPr>
      </w:pPr>
      <w:r>
        <w:rPr>
          <w:noProof/>
        </w:rPr>
        <w:t>Cilj poglavja REPowerEU je okrepiti distribucijska prenosna in distribucijska omrežja, vključno s tistimi, ki so povezana s plinom; pospeševanje proizvodnje energije iz obnovljivih virov, zmanjšanje povpraševanja po energiji, povečanje energijske učinkovitosti ter ustvarjanje znanj in spretnosti v javnem in zasebnem sektorju za zeleni prehod; spodbujanje vrednostnih verig energije iz obnovljivih virov in vodika z ukrepi za lažji dostop do kreditov in davčnih dobropisov.</w:t>
      </w:r>
    </w:p>
    <w:p w14:paraId="522CD23B" w14:textId="2DDB93C6" w:rsidR="00154E32" w:rsidRDefault="00A43E04">
      <w:pPr>
        <w:pStyle w:val="paragraph"/>
        <w:spacing w:before="0" w:beforeAutospacing="0" w:after="120" w:afterAutospacing="0"/>
        <w:jc w:val="both"/>
        <w:textAlignment w:val="baseline"/>
        <w:rPr>
          <w:noProof/>
        </w:rPr>
      </w:pPr>
      <w:r>
        <w:rPr>
          <w:noProof/>
        </w:rPr>
        <w:t>Komponenta obravnava specifična priporočila, naslovljena na Italijo v letih 2022 in 2023. Njegov cilj je zlasti pospešiti uvajanje dodatnih zmogljivosti za proizvodnjo energije iz obnovljivih virov z vlaganjem v velike projekte elektroenergetskih povezav (tj. dva povezovalna daljnovoda, ki povezujeta Sardinijo in Sicilijo s celino, ter tri povezovalne daljnovode med Avstrijo, Slovenijo in Italijo), nadgradnjo nacionalnega prenosnega omrežja in racionalizacijo postopkov za izdajo dovoljenj. Prispeva k povečanju zmogljivosti za notranji prenos plina, da se odpravijo ozka grla, diverzificira uvoz energije in okrepi zanesljivost oskrbe. Spodbuja trajnostno mobilnost z zmanjšanjem okolju škodljivih subvencij in krepitvijo železniškega voznega parka. Prispeva k zmanjšanju odvisnosti od fosilnih goriv z elektrifikacijo porabe gospodinjstev in povečanjem odpornosti omrežja. Prispeva k povečanju energijske učinkovitosti v stanovanjskem in podjetniškem sektorju, tudi s ciljno usmerjenimi shemami spodbud in finančnimi instrumenti. Vključuje tudi reforme in naložbe za izboljšanje zagotavljanja in pridobivanja znanj in spretnosti, potrebnih za zeleni prehod, tako v zasebnem kot v javnem sektorju.</w:t>
      </w:r>
    </w:p>
    <w:p w14:paraId="7A192329" w14:textId="59794F5A" w:rsidR="00154E32" w:rsidRDefault="00A43E04">
      <w:pPr>
        <w:pStyle w:val="paragraph"/>
        <w:spacing w:before="0" w:beforeAutospacing="0" w:after="120" w:afterAutospacing="0"/>
        <w:jc w:val="both"/>
        <w:textAlignment w:val="baseline"/>
        <w:rPr>
          <w:rFonts w:eastAsia="Calibri"/>
          <w:noProof/>
        </w:rPr>
      </w:pPr>
      <w:r>
        <w:rPr>
          <w:noProof/>
        </w:rPr>
        <w:t>Devet projektov ima čezmejno razsežnost. Tri od njih imajo neposreden čezmejni učinek: 1) naložbo za povečanje nazivne zmogljivosti obstoječih elektroenergetskih povezav med Italijo, Avstrijo in Slovenijo; 2) naložba, ki prispeva k izgradnji električne povezave med Sardinijo, Korziko in Toskano; Naložba v kompresorsko postajo, ki bo povečala izvoz plina v Srednjo Evropo. Drugi projekti posredno koristijo čezmejnim državam članicam, saj odpravljajo notranja ozka grla pri prenosu in distribuciji energije ter povečujejo učinkovitost in odpornost omrežja.</w:t>
      </w:r>
    </w:p>
    <w:p w14:paraId="6ED85939" w14:textId="4DD3F082" w:rsidR="00154E32" w:rsidRDefault="00A43E04">
      <w:pPr>
        <w:spacing w:after="120"/>
        <w:jc w:val="both"/>
        <w:rPr>
          <w:noProof/>
        </w:rPr>
      </w:pPr>
      <w:r>
        <w:rPr>
          <w:noProof/>
        </w:rPr>
        <w:t xml:space="preserve">Pričakuje se, da noben ukrep v tej komponenti ne bo bistveno škodoval okoljskim ciljem v smislu člena 17 Uredbe (EU) 2020/852, ob upoštevanju opisa ukrepov in blažilnih ukrepov, določenih v načrtu za okrevanje in odpornost v skladu s tehničnimi smernicami, da se ne škoduje bistveno </w:t>
      </w:r>
      <w:r>
        <w:rPr>
          <w:noProof/>
          <w:color w:val="000000" w:themeColor="text1"/>
        </w:rPr>
        <w:t>(</w:t>
      </w:r>
      <w:r>
        <w:rPr>
          <w:noProof/>
        </w:rPr>
        <w:t>C(2023) 6454 final),</w:t>
      </w:r>
      <w:r>
        <w:rPr>
          <w:noProof/>
          <w:color w:val="000000" w:themeColor="text1"/>
        </w:rPr>
        <w:t>medtem</w:t>
      </w:r>
      <w:r>
        <w:rPr>
          <w:noProof/>
        </w:rPr>
        <w:t xml:space="preserve"> ko se načelo, da se ne škoduje bistveno, ne uporablja za naložbo 11 – faza 1 jadranske črte (kompresijska postaja Sulmona in plinovod Sestino-Minerbio) in naložbo 12 – čezmejna infrastruktura za izvoz plina v skladu s členom 21c(6) Uredbe (EU) 2021/241.</w:t>
      </w:r>
    </w:p>
    <w:p w14:paraId="453D7599" w14:textId="7F7100C1" w:rsidR="00154E32" w:rsidRDefault="00A43E04">
      <w:pPr>
        <w:pStyle w:val="Heading3"/>
        <w:numPr>
          <w:ilvl w:val="0"/>
          <w:numId w:val="0"/>
        </w:numPr>
        <w:spacing w:before="0"/>
        <w:ind w:left="850" w:hanging="850"/>
        <w:rPr>
          <w:b/>
          <w:i w:val="0"/>
          <w:noProof/>
          <w:u w:val="single"/>
        </w:rPr>
      </w:pPr>
      <w:r>
        <w:rPr>
          <w:b/>
          <w:i w:val="0"/>
          <w:noProof/>
          <w:u w:val="single"/>
        </w:rPr>
        <w:t xml:space="preserve">Q.1. </w:t>
      </w:r>
      <w:r>
        <w:rPr>
          <w:noProof/>
        </w:rPr>
        <w:tab/>
      </w:r>
      <w:r>
        <w:rPr>
          <w:b/>
          <w:i w:val="0"/>
          <w:noProof/>
          <w:u w:val="single"/>
        </w:rPr>
        <w:t>Opis reform in naložb za nepovratno finančno podporo</w:t>
      </w:r>
    </w:p>
    <w:p w14:paraId="39E6FE7D" w14:textId="6F2B7823" w:rsidR="00154E32" w:rsidRDefault="00A43E04">
      <w:pPr>
        <w:pStyle w:val="Heading4"/>
        <w:numPr>
          <w:ilvl w:val="3"/>
          <w:numId w:val="0"/>
        </w:numPr>
        <w:rPr>
          <w:rStyle w:val="normaltextrun"/>
          <w:b/>
          <w:noProof/>
        </w:rPr>
      </w:pPr>
      <w:r>
        <w:rPr>
          <w:rStyle w:val="normaltextrun"/>
          <w:b/>
          <w:noProof/>
        </w:rPr>
        <w:t xml:space="preserve">Reforma 1. Racionalizacija postopkov izdaje dovoljenj za energijo iz obnovljivih virov na centralni in lokalni ravni </w:t>
      </w:r>
    </w:p>
    <w:p w14:paraId="5487FC06" w14:textId="5B3DC0F4" w:rsidR="00154E32" w:rsidRDefault="00A43E04">
      <w:pPr>
        <w:pStyle w:val="Text1"/>
        <w:spacing w:before="0"/>
        <w:ind w:left="0"/>
        <w:rPr>
          <w:noProof/>
        </w:rPr>
      </w:pPr>
      <w:r>
        <w:rPr>
          <w:noProof/>
        </w:rPr>
        <w:t>Cilj te reforme je utrditi in racionalizirati obstoječo zakonodajo in določbe, ki urejajo uvajanje obnovljivih virov energije.</w:t>
      </w:r>
    </w:p>
    <w:p w14:paraId="3E16A519" w14:textId="13ACFCEC" w:rsidR="00154E32" w:rsidRDefault="00A43E04">
      <w:pPr>
        <w:pStyle w:val="Text1"/>
        <w:spacing w:before="0"/>
        <w:ind w:left="0"/>
        <w:rPr>
          <w:noProof/>
        </w:rPr>
      </w:pPr>
      <w:r>
        <w:rPr>
          <w:noProof/>
        </w:rPr>
        <w:t xml:space="preserve">Reforma vključuje sprejetje in začetek veljavnosti enega samega primarnega zakonodajnega akta (imenovanega tudi </w:t>
      </w:r>
      <w:r>
        <w:rPr>
          <w:i/>
          <w:noProof/>
        </w:rPr>
        <w:t>Testo Unico</w:t>
      </w:r>
      <w:r>
        <w:rPr>
          <w:noProof/>
        </w:rPr>
        <w:t>), v katerem se zbirajo, pripravljajo in utrjujejo vse norme, ki urejajo uvajanje obnovljivih virov energije, ter nadomesti vso ustrezno preteklo zakonodajo. Zakonodajni akt določa tudi načela za racionalizacijo in uskladitev postopkov za izdajo dovoljenj za obnovljive vire energije na podnacionalni ravni.</w:t>
      </w:r>
    </w:p>
    <w:p w14:paraId="045822D3" w14:textId="55B8CC90" w:rsidR="00154E32" w:rsidRDefault="00A43E04">
      <w:pPr>
        <w:pStyle w:val="Text1"/>
        <w:spacing w:before="0"/>
        <w:ind w:left="0"/>
        <w:rPr>
          <w:noProof/>
        </w:rPr>
      </w:pPr>
      <w:r>
        <w:rPr>
          <w:i/>
          <w:noProof/>
        </w:rPr>
        <w:t xml:space="preserve">Testo Unico </w:t>
      </w:r>
      <w:r>
        <w:rPr>
          <w:noProof/>
        </w:rPr>
        <w:t>ima naslednje ključne prednostne naloge:</w:t>
      </w:r>
    </w:p>
    <w:p w14:paraId="443C9A4C" w14:textId="0CB051C4" w:rsidR="00154E32" w:rsidRDefault="00A43E04">
      <w:pPr>
        <w:pStyle w:val="Text1"/>
        <w:numPr>
          <w:ilvl w:val="0"/>
          <w:numId w:val="30"/>
        </w:numPr>
        <w:spacing w:before="0"/>
        <w:rPr>
          <w:noProof/>
        </w:rPr>
      </w:pPr>
      <w:r>
        <w:rPr>
          <w:noProof/>
        </w:rPr>
        <w:t>Opredelitev „območij za pospešeno uvajanje obnovljivih virov energije“ v skladu z revidirano direktivo o energiji iz obnovljivih virov. Ta območja se opredelijo tudi v skladu s pomorskimi prostorskimi načrti za pospešitev uvajanja vetrne energije na morju.</w:t>
      </w:r>
    </w:p>
    <w:p w14:paraId="63F81E70" w14:textId="6F8365E3" w:rsidR="00154E32" w:rsidRDefault="00A43E04">
      <w:pPr>
        <w:pStyle w:val="Text1"/>
        <w:numPr>
          <w:ilvl w:val="0"/>
          <w:numId w:val="30"/>
        </w:numPr>
        <w:spacing w:before="0"/>
        <w:rPr>
          <w:noProof/>
        </w:rPr>
      </w:pPr>
      <w:r>
        <w:rPr>
          <w:noProof/>
        </w:rPr>
        <w:t xml:space="preserve">Določitev načel za racionalizacijo in uskladitev podnacionalnih postopkov za izdajo dovoljenj za obnovljive vire energije. </w:t>
      </w:r>
      <w:r>
        <w:rPr>
          <w:i/>
          <w:noProof/>
        </w:rPr>
        <w:t>Testo Unico</w:t>
      </w:r>
      <w:r>
        <w:rPr>
          <w:noProof/>
        </w:rPr>
        <w:t xml:space="preserve"> zlasti določa „pravila o zgornji meji“, kar pomeni, da regije ne morejo izvajati strožjih pravil o izdajanju dovoljenj od tistih, ki so določena v nacionalni zakonodaji.  </w:t>
      </w:r>
    </w:p>
    <w:p w14:paraId="5920AF27" w14:textId="3C030B23" w:rsidR="00154E32" w:rsidRDefault="00A43E04">
      <w:pPr>
        <w:pStyle w:val="Text1"/>
        <w:numPr>
          <w:ilvl w:val="0"/>
          <w:numId w:val="30"/>
        </w:numPr>
        <w:spacing w:before="0"/>
        <w:rPr>
          <w:noProof/>
        </w:rPr>
      </w:pPr>
      <w:r>
        <w:rPr>
          <w:noProof/>
        </w:rPr>
        <w:t xml:space="preserve">Zagotavljanje vzpostavitve in operacionalizacije digitalne platforme z enim vstopom za pridobitev vseh dovoljenj na nacionalni in regionalni ravni, potrebnih za namestitev in uporabo obnovljivih virov energije. </w:t>
      </w:r>
      <w:r>
        <w:rPr>
          <w:i/>
          <w:noProof/>
        </w:rPr>
        <w:t xml:space="preserve">Testo Unico </w:t>
      </w:r>
      <w:r>
        <w:rPr>
          <w:noProof/>
        </w:rPr>
        <w:t>zlasti zagotovi, da je platforma zgrajena po načelu „samo enkrat“, v skladu s katerim morajo prosilci iste informacije ali dokumente javnim ustanovam predložiti samo enkrat.</w:t>
      </w:r>
    </w:p>
    <w:p w14:paraId="4628866A" w14:textId="6D9A3035" w:rsidR="00154E32" w:rsidRDefault="00A43E04">
      <w:pPr>
        <w:pStyle w:val="Heading4"/>
        <w:numPr>
          <w:ilvl w:val="3"/>
          <w:numId w:val="0"/>
        </w:numPr>
        <w:rPr>
          <w:rStyle w:val="normaltextrun"/>
          <w:b/>
          <w:noProof/>
        </w:rPr>
      </w:pPr>
      <w:r>
        <w:rPr>
          <w:rStyle w:val="normaltextrun"/>
          <w:b/>
          <w:noProof/>
        </w:rPr>
        <w:t>Reforma 2. Zmanjšanje okolju škodljivih subvencij</w:t>
      </w:r>
    </w:p>
    <w:p w14:paraId="65CDC7D3" w14:textId="77777777" w:rsidR="00154E32" w:rsidRDefault="00A43E04">
      <w:pPr>
        <w:spacing w:after="120"/>
        <w:jc w:val="both"/>
        <w:rPr>
          <w:noProof/>
        </w:rPr>
      </w:pPr>
      <w:r>
        <w:rPr>
          <w:noProof/>
        </w:rPr>
        <w:t xml:space="preserve">Cilj te reforme je zmanjšati okolju škodljive subvencije na podlagi letnega kataloga okolju škodljivih subvencij, ki ga je objavilo podjetje MASE. </w:t>
      </w:r>
    </w:p>
    <w:p w14:paraId="01EA80B3" w14:textId="7850BB5E" w:rsidR="00154E32" w:rsidRDefault="00A43E04">
      <w:pPr>
        <w:pStyle w:val="Heading4"/>
        <w:numPr>
          <w:ilvl w:val="3"/>
          <w:numId w:val="0"/>
        </w:numPr>
        <w:ind w:left="850" w:hanging="850"/>
        <w:rPr>
          <w:rStyle w:val="normaltextrun"/>
          <w:b/>
          <w:noProof/>
        </w:rPr>
      </w:pPr>
      <w:r>
        <w:rPr>
          <w:rStyle w:val="normaltextrun"/>
          <w:b/>
          <w:noProof/>
        </w:rPr>
        <w:t>Reforma 3. Znižanje stroškov priključitve biometana na plinsko omrežje</w:t>
      </w:r>
    </w:p>
    <w:p w14:paraId="56D37B6C" w14:textId="0FE146EC" w:rsidR="00154E32" w:rsidRDefault="00A43E04">
      <w:pPr>
        <w:pStyle w:val="Text1"/>
        <w:spacing w:before="0"/>
        <w:ind w:left="0"/>
        <w:rPr>
          <w:noProof/>
        </w:rPr>
      </w:pPr>
      <w:r>
        <w:rPr>
          <w:noProof/>
        </w:rPr>
        <w:t>Cilj reforme je olajšati vključitev biometana v energetski sistem in energetski trg ter ustvariti nove trajnostne proizvodne zmogljivosti za biometan v skladu z Direktivo (EU) 2018/2001 (direktiva o obnovljivih virih energije) in njenimi delegiranimi akti. Cilj je spodbujati prožnost in učinkovitost omrežja zemeljskega plina z omogočanjem prehoda na biometan. Povečanje prožnosti in učinkovitosti naj bi prispevalo k razogljičenju energetskega sistema in energetski neodvisnosti.</w:t>
      </w:r>
    </w:p>
    <w:p w14:paraId="0CEC7D7F" w14:textId="1F7DB292" w:rsidR="00154E32" w:rsidRDefault="00A43E04">
      <w:pPr>
        <w:pStyle w:val="Text1"/>
        <w:spacing w:before="0"/>
        <w:ind w:left="0"/>
        <w:rPr>
          <w:noProof/>
        </w:rPr>
      </w:pPr>
      <w:r>
        <w:rPr>
          <w:noProof/>
        </w:rPr>
        <w:t>Z izvajanjem reforme se (1) zmanjšajo stroški priključitve trajnostnih obratov za proizvodnjo biometana in (2) spodbujajo naložbe, namenjene izključno uporabi trajnostnega biometana v omrežjih zemeljskega plina. Reforma daje prednost: I) večje povezovanje med prenosnimi in distribucijskimi omrežji; II) uvedbo mehanizmov za delitev stroškov naložb v priključitev na omrežje. Ti mehanizmi prenašajo stroške s proizvajalca biometana na celotno skupnost, ki ima koristi od trajnostnega biometana.</w:t>
      </w:r>
    </w:p>
    <w:p w14:paraId="6920BB39" w14:textId="00309181" w:rsidR="00154E32" w:rsidRDefault="00A43E04">
      <w:pPr>
        <w:pStyle w:val="P68B1DB1-Heading437"/>
        <w:numPr>
          <w:ilvl w:val="0"/>
          <w:numId w:val="0"/>
        </w:numPr>
        <w:rPr>
          <w:noProof/>
        </w:rPr>
      </w:pPr>
      <w:r>
        <w:rPr>
          <w:noProof/>
        </w:rPr>
        <w:t>Reforma 4. Zmanjševanje finančnega tveganja, povezanega s pogodbami o nakupu električne energije iz obnovljivih virov (pogodbe o nakupu električne energije)</w:t>
      </w:r>
    </w:p>
    <w:p w14:paraId="539096E8" w14:textId="4C4834BD" w:rsidR="00154E32" w:rsidRDefault="00A43E04">
      <w:pPr>
        <w:pStyle w:val="Text1"/>
        <w:spacing w:before="0"/>
        <w:ind w:left="0"/>
        <w:rPr>
          <w:noProof/>
        </w:rPr>
      </w:pPr>
      <w:r>
        <w:rPr>
          <w:noProof/>
        </w:rPr>
        <w:t xml:space="preserve">Cilj reforme je vzpostaviti sistem jamstev za zmanjšanje finančnega tveganja, povezanega s pogodbami o nakupu električne energije iz obnovljivih virov, ki trajajo vsaj tri leta. </w:t>
      </w:r>
    </w:p>
    <w:p w14:paraId="7D116E4F" w14:textId="77777777" w:rsidR="00154E32" w:rsidRDefault="00A43E04">
      <w:pPr>
        <w:pStyle w:val="Text1"/>
        <w:spacing w:before="0"/>
        <w:ind w:left="0"/>
        <w:rPr>
          <w:noProof/>
        </w:rPr>
      </w:pPr>
      <w:r>
        <w:rPr>
          <w:noProof/>
        </w:rPr>
        <w:t xml:space="preserve">Reforma: </w:t>
      </w:r>
    </w:p>
    <w:p w14:paraId="1B16BA98" w14:textId="77777777" w:rsidR="00154E32" w:rsidRDefault="00A43E04">
      <w:pPr>
        <w:pStyle w:val="Text1"/>
        <w:numPr>
          <w:ilvl w:val="0"/>
          <w:numId w:val="36"/>
        </w:numPr>
        <w:spacing w:before="0"/>
        <w:rPr>
          <w:noProof/>
        </w:rPr>
      </w:pPr>
      <w:r>
        <w:rPr>
          <w:noProof/>
        </w:rPr>
        <w:t xml:space="preserve">od vsakega operaterja zahteva, da zagotovi delno kritje protivrednosti pogodb o nakupu električne energije z jamstvenimi instrumenti, zagotovljenimi na trgu električne energije; </w:t>
      </w:r>
    </w:p>
    <w:p w14:paraId="22793A31" w14:textId="6BD2A92C" w:rsidR="00154E32" w:rsidRDefault="00A43E04">
      <w:pPr>
        <w:pStyle w:val="Text1"/>
        <w:numPr>
          <w:ilvl w:val="0"/>
          <w:numId w:val="36"/>
        </w:numPr>
        <w:spacing w:before="0"/>
        <w:rPr>
          <w:noProof/>
        </w:rPr>
      </w:pPr>
      <w:r>
        <w:rPr>
          <w:noProof/>
        </w:rPr>
        <w:t>uvede ukrepe za zmanjšanje tveganja neizpolnjevanja obveznosti, vključno z zahtevami in omejitvami za ponudnika ter regulativnimi sankcijami v primeru neizpolnjevanja obveznosti proizvajalca;</w:t>
      </w:r>
    </w:p>
    <w:p w14:paraId="6C8AC32A" w14:textId="6C12017F" w:rsidR="00154E32" w:rsidRDefault="00A43E04">
      <w:pPr>
        <w:pStyle w:val="Text1"/>
        <w:numPr>
          <w:ilvl w:val="0"/>
          <w:numId w:val="36"/>
        </w:numPr>
        <w:spacing w:before="0"/>
        <w:rPr>
          <w:noProof/>
        </w:rPr>
      </w:pPr>
      <w:r>
        <w:rPr>
          <w:noProof/>
        </w:rPr>
        <w:t xml:space="preserve">opredelite institucionalni subjekt, ki prevzame vlogo prodajalca/kupca v skrajni sili, ki bi prevzel odgovornost od nasprotne stranke, ki ne izpolnjuje obveznosti, in zagotovil izpolnjevanje prevzetih obveznosti do uspešnega partnerja.  </w:t>
      </w:r>
    </w:p>
    <w:p w14:paraId="22572316" w14:textId="6F71CA18" w:rsidR="00154E32" w:rsidRDefault="00A43E04">
      <w:pPr>
        <w:pStyle w:val="P68B1DB1-Heading437"/>
        <w:numPr>
          <w:ilvl w:val="3"/>
          <w:numId w:val="0"/>
        </w:numPr>
        <w:ind w:left="850" w:hanging="850"/>
        <w:rPr>
          <w:noProof/>
        </w:rPr>
      </w:pPr>
      <w:r>
        <w:rPr>
          <w:noProof/>
        </w:rPr>
        <w:t>Reforma 5. Načrt za nova znanja in spretnosti – prehodi</w:t>
      </w:r>
    </w:p>
    <w:p w14:paraId="01017212" w14:textId="7970938A" w:rsidR="00154E32" w:rsidRDefault="00A43E04">
      <w:pPr>
        <w:spacing w:after="120"/>
        <w:jc w:val="both"/>
        <w:rPr>
          <w:noProof/>
        </w:rPr>
      </w:pPr>
      <w:r>
        <w:rPr>
          <w:noProof/>
        </w:rPr>
        <w:t xml:space="preserve">Cilj reforme je posodobiti regulativni okvir usposabljanja in operacionalizirati orodja za boj proti neusklajenosti med ponudbo znanj in spretnosti ter povpraševanjem po njih. Reforma bo posodobila novi načrt znanj in spretnosti, ki je bil sprejet z odlokom z dne 14. decembra 2021 in objavljen v Gazzetta Ufficiale n.307 z dne 28. decembra 2021. Cilj je okrepiti mehanizme, ki povezujejo načrtovanje tečajev usposabljanja s potrebami trga dela, s posebnim ciljem boljšega spremljanja zelenega in digitalnega prehoda, in sicer z vključevanjem ustreznih akterjev v namenske pakte za znanja in spretnosti. Cilj reforme je okrepiti vlogo zasebnega sektorja pri usposabljanju in izboljšati priznavanje znanj in spretnosti, vključno s tistimi, pridobljenimi na delovnem mestu, in s kratkimi moduli usposabljanja. Pilotni projekti v okviru naložbe [10] pred reformo in njihovi rezultati se upoštevajo pri oblikovanju in izvajanju reforme. </w:t>
      </w:r>
    </w:p>
    <w:p w14:paraId="6FDD71A2" w14:textId="24E7571B" w:rsidR="00154E32" w:rsidRDefault="00A43E04">
      <w:pPr>
        <w:spacing w:after="120"/>
        <w:jc w:val="both"/>
        <w:rPr>
          <w:noProof/>
        </w:rPr>
      </w:pPr>
      <w:r>
        <w:rPr>
          <w:noProof/>
          <w:color w:val="000000" w:themeColor="text1"/>
        </w:rPr>
        <w:t xml:space="preserve">Usposabljanje, ki ga podpira ta reforma, ni povezano z: </w:t>
      </w:r>
      <w:r>
        <w:rPr>
          <w:noProof/>
        </w:rPr>
        <w:t>(I) dejavnosti in sredstva, povezana s fosilnimi gorivi, vključno z nadaljnjo uporabo,</w:t>
      </w:r>
      <w:r>
        <w:rPr>
          <w:rStyle w:val="FootnoteReference"/>
          <w:noProof/>
        </w:rPr>
        <w:footnoteReference w:id="123"/>
      </w:r>
      <w:r>
        <w:rPr>
          <w:noProof/>
        </w:rPr>
        <w:t>(ii) dejavnosti in sredstva v okviru sistema EU za trgovanje z emisijami (ETS), s katerimi se dosegajo predvidene emisije toplogrednih plinov, ki niso nižje od ustreznih referenčnih vrednosti,</w:t>
      </w:r>
      <w:r>
        <w:rPr>
          <w:noProof/>
        </w:rPr>
        <w:footnoteReference w:id="124"/>
      </w:r>
      <w:r>
        <w:rPr>
          <w:noProof/>
        </w:rPr>
        <w:t>(iii) dejavnosti in sredstva, povezana z odlagališči odpadkov, sežigalnicami</w:t>
      </w:r>
      <w:r>
        <w:rPr>
          <w:rStyle w:val="FootnoteReference"/>
          <w:noProof/>
        </w:rPr>
        <w:footnoteReference w:id="125"/>
      </w:r>
      <w:r>
        <w:rPr>
          <w:noProof/>
        </w:rPr>
        <w:t xml:space="preserve"> in napravami za mehansko-biološko obdelavo</w:t>
      </w:r>
      <w:r>
        <w:rPr>
          <w:rStyle w:val="FootnoteReference"/>
          <w:noProof/>
        </w:rPr>
        <w:footnoteReference w:id="126"/>
      </w:r>
      <w:r>
        <w:rPr>
          <w:noProof/>
        </w:rPr>
        <w:t>.</w:t>
      </w:r>
      <w:r>
        <w:rPr>
          <w:noProof/>
          <w:color w:val="000000" w:themeColor="text1"/>
        </w:rPr>
        <w:t> Poleg tega se zahteva, da se lahko izberejo samo dejavnosti, ki so skladne z ustrezno okoljsko zakonodajo EU in nacionalno okoljsko zakonodajo.</w:t>
      </w:r>
    </w:p>
    <w:p w14:paraId="7685E201" w14:textId="46CD6203" w:rsidR="00154E32" w:rsidRDefault="00A43E04">
      <w:pPr>
        <w:pStyle w:val="Heading4"/>
        <w:numPr>
          <w:ilvl w:val="3"/>
          <w:numId w:val="0"/>
        </w:numPr>
        <w:ind w:left="850" w:hanging="850"/>
        <w:rPr>
          <w:rStyle w:val="normaltextrun"/>
          <w:b/>
          <w:noProof/>
        </w:rPr>
      </w:pPr>
      <w:r>
        <w:rPr>
          <w:rStyle w:val="normaltextrun"/>
          <w:b/>
          <w:noProof/>
        </w:rPr>
        <w:t>Naložba 1. Povečan ukrep: Krepitev pametnih omrežij</w:t>
      </w:r>
    </w:p>
    <w:p w14:paraId="2848A292" w14:textId="0E1AF4D4" w:rsidR="00154E32" w:rsidRDefault="00A43E04">
      <w:pPr>
        <w:pStyle w:val="Text1"/>
        <w:spacing w:before="0"/>
        <w:ind w:left="0"/>
        <w:rPr>
          <w:noProof/>
        </w:rPr>
      </w:pPr>
      <w:r>
        <w:rPr>
          <w:noProof/>
        </w:rPr>
        <w:t xml:space="preserve">Cilj te naložbe je povečati naložbe 2.1 (Krepitev pametnih omrežij) v komponento 2 misije 2. Povečana naložba je sestavljena iz intervencij na delih srednje- in nizkonapetostnega omrežja, s čimer se elektrificira poraba energije za vsaj 230000 več prebivalcev, kot je že predvideno v obstoječem ukrepu. Obstoječa naložba in povečani del skupaj elektrificirata potrošnjo najmanj 1730000 prebivalcev. </w:t>
      </w:r>
    </w:p>
    <w:p w14:paraId="5E1F0903" w14:textId="30F145D5" w:rsidR="00154E32" w:rsidRDefault="00A43E04">
      <w:pPr>
        <w:pStyle w:val="Heading4"/>
        <w:numPr>
          <w:ilvl w:val="0"/>
          <w:numId w:val="0"/>
        </w:numPr>
        <w:ind w:left="850" w:hanging="850"/>
        <w:rPr>
          <w:rStyle w:val="normaltextrun"/>
          <w:b/>
          <w:noProof/>
        </w:rPr>
      </w:pPr>
      <w:r>
        <w:rPr>
          <w:rStyle w:val="normaltextrun"/>
          <w:b/>
          <w:noProof/>
        </w:rPr>
        <w:t>Naložba 2. Ukrep razširitve: Intervencije za povečanje odpornosti električnega omrežja</w:t>
      </w:r>
    </w:p>
    <w:p w14:paraId="67A998D2" w14:textId="0C5CC4C9" w:rsidR="00154E32" w:rsidRDefault="00A43E04">
      <w:pPr>
        <w:pStyle w:val="Text1"/>
        <w:spacing w:before="0"/>
        <w:ind w:left="0"/>
        <w:rPr>
          <w:noProof/>
        </w:rPr>
      </w:pPr>
      <w:r>
        <w:rPr>
          <w:noProof/>
        </w:rPr>
        <w:t>S to naložbo se poveča naložba 2.2 v komponenti 2. misije 2. Povečana naložba zajema intervencije za izboljšanje odpornosti vsaj 648 km električnega omrežja, ki je večje od tistega, kar je že predvideno v obstoječem ukrepu. Uporabljajo se enaki pogoji, ki so že predvideni v obstoječem ukrepu. Obstoječe naložbe in naložbe v povečanje skupaj izboljšajo odpornost za vsaj 4 648 km.</w:t>
      </w:r>
    </w:p>
    <w:p w14:paraId="207053E4" w14:textId="3D29B69C" w:rsidR="00154E32" w:rsidRDefault="00A43E04">
      <w:pPr>
        <w:pStyle w:val="P68B1DB1-Heading437"/>
        <w:numPr>
          <w:ilvl w:val="0"/>
          <w:numId w:val="0"/>
        </w:numPr>
        <w:rPr>
          <w:noProof/>
        </w:rPr>
      </w:pPr>
      <w:r>
        <w:rPr>
          <w:noProof/>
        </w:rPr>
        <w:t>Naložba 3. Ukrep razširitve: Proizvodnja vodika na degradiranih območjih (Hydrogen Valleys)</w:t>
      </w:r>
    </w:p>
    <w:p w14:paraId="5A0B541D" w14:textId="5CE8E48E" w:rsidR="00154E32" w:rsidRDefault="00A43E04">
      <w:pPr>
        <w:pStyle w:val="Text1"/>
        <w:spacing w:before="0"/>
        <w:ind w:left="0"/>
        <w:rPr>
          <w:noProof/>
        </w:rPr>
      </w:pPr>
      <w:r>
        <w:rPr>
          <w:noProof/>
        </w:rPr>
        <w:t xml:space="preserve">Ta naložba je razširjena različica naložbe 3.1 v komponento 2 misije 2 načrta za okrevanje in odpornost Italije. Naložbe v povečanje obsega dokončanje dveh dodatnih projektov za proizvodnjo vodika na opuščenih industrijskih območjih, kot je bilo že predvideno v obstoječem ukrepu. Obstoječe naložbe in naložbe v povečanje skupaj podpirajo dokončanje vsaj 12 projektov. </w:t>
      </w:r>
    </w:p>
    <w:p w14:paraId="6B98C51C" w14:textId="434E4F06" w:rsidR="00154E32" w:rsidRDefault="00A43E04">
      <w:pPr>
        <w:pStyle w:val="Text1"/>
        <w:spacing w:before="0"/>
        <w:ind w:left="0"/>
        <w:rPr>
          <w:noProof/>
        </w:rPr>
      </w:pPr>
      <w:r>
        <w:rPr>
          <w:noProof/>
        </w:rPr>
        <w:t>Ukrep podpira le proizvodnjo obnovljivega vodika na podlagi elektrolize v skladu z Direktivo (EU) 2018/2001 (direktiva o obnovljivih virih energije) in njenimi delegiranimi akti. Uporabljajo se vsi drugi pogoji, ki so že predvideni v obstoječem ukrepu.</w:t>
      </w:r>
    </w:p>
    <w:p w14:paraId="0F835446" w14:textId="034C3AC1" w:rsidR="00154E32" w:rsidRDefault="00A43E04">
      <w:pPr>
        <w:pStyle w:val="P68B1DB1-Heading437"/>
        <w:numPr>
          <w:ilvl w:val="0"/>
          <w:numId w:val="0"/>
        </w:numPr>
        <w:ind w:left="850" w:hanging="850"/>
        <w:rPr>
          <w:noProof/>
        </w:rPr>
      </w:pPr>
      <w:r>
        <w:rPr>
          <w:noProof/>
        </w:rPr>
        <w:t>Naložba 4. Tirenska povezava</w:t>
      </w:r>
    </w:p>
    <w:p w14:paraId="005B7781" w14:textId="634D035D" w:rsidR="00154E32" w:rsidRDefault="00A43E04">
      <w:pPr>
        <w:pStyle w:val="Text1"/>
        <w:spacing w:before="0"/>
        <w:ind w:left="0"/>
        <w:rPr>
          <w:noProof/>
        </w:rPr>
      </w:pPr>
      <w:r>
        <w:rPr>
          <w:noProof/>
        </w:rPr>
        <w:t>Cilj te naložbe je razširiti infrastrukturo za prenos električne energije, da se omogoči zbiranje zmogljivosti iz obnovljivih virov energije na jugu Italije in njena vključitev v nacionalno prenosno omrežje.</w:t>
      </w:r>
    </w:p>
    <w:p w14:paraId="6E35C249" w14:textId="4B95EEE1" w:rsidR="00154E32" w:rsidRDefault="00A43E04">
      <w:pPr>
        <w:pStyle w:val="Text1"/>
        <w:spacing w:before="0"/>
        <w:ind w:left="0"/>
        <w:rPr>
          <w:noProof/>
        </w:rPr>
      </w:pPr>
      <w:r>
        <w:rPr>
          <w:noProof/>
        </w:rPr>
        <w:t>Ta naložba podpira izgradnjo „Tirenske povezave“ in zlasti „vzhodne povezave“ med Sicilijo in Kampanijo. Z naložbo se financira namestitev 514 km podmorskih kablov z enosmernim tokom (HVDC) med Ebolijem in Caracolijem. Naložba se zaključi do 31. avgusta 2026.</w:t>
      </w:r>
    </w:p>
    <w:p w14:paraId="5D1B94D1" w14:textId="114FF4CF" w:rsidR="00154E32" w:rsidRDefault="00A43E04">
      <w:pPr>
        <w:pStyle w:val="P68B1DB1-Heading437"/>
        <w:numPr>
          <w:ilvl w:val="0"/>
          <w:numId w:val="0"/>
        </w:numPr>
        <w:ind w:left="850" w:hanging="850"/>
        <w:rPr>
          <w:noProof/>
        </w:rPr>
      </w:pPr>
      <w:r>
        <w:rPr>
          <w:noProof/>
        </w:rPr>
        <w:t>Naložba 5. SA.CO.I.3</w:t>
      </w:r>
    </w:p>
    <w:p w14:paraId="20392F5A" w14:textId="23869E6E" w:rsidR="00154E32" w:rsidRDefault="00A43E04">
      <w:pPr>
        <w:pStyle w:val="Text1"/>
        <w:spacing w:before="0"/>
        <w:ind w:left="0"/>
        <w:rPr>
          <w:noProof/>
        </w:rPr>
      </w:pPr>
      <w:r>
        <w:rPr>
          <w:noProof/>
        </w:rPr>
        <w:t>Cilj te naložbe je posodobiti infrastrukturo za prenos električne energije, ki prek Korzike povezuje Sardinijo s preostalo Italijo, da se omogoči zbiranje zmogljivosti iz obnovljivih virov energije na Sardiniji in njena vključitev v nacionalno prenosno omrežje.</w:t>
      </w:r>
    </w:p>
    <w:p w14:paraId="33E955FD" w14:textId="23BF5B29" w:rsidR="00154E32" w:rsidRDefault="00A43E04">
      <w:pPr>
        <w:pStyle w:val="Text1"/>
        <w:spacing w:before="0"/>
        <w:ind w:left="0"/>
        <w:rPr>
          <w:noProof/>
        </w:rPr>
      </w:pPr>
      <w:r>
        <w:rPr>
          <w:noProof/>
        </w:rPr>
        <w:t>Ta cilj naložbe je podpreti izgradnjo projekta medsebojne povezave „Sardinian-Korzika-Italija 3“. Zajema dokončanje gradnje lupin predelovalnih postaj v Codrongianosu na Sardiniji in v Suveretu v Toskani. „Stene“ so zunanja infrastruktura kompresorskih postaj in ne vključujejo strojev ali druge opreme, ki se v njih namesti po zaključku te naložbe. Naložba se zaključi do 31. avgusta 2026.</w:t>
      </w:r>
    </w:p>
    <w:p w14:paraId="52767708" w14:textId="03513092" w:rsidR="00154E32" w:rsidRDefault="00A43E04">
      <w:pPr>
        <w:pStyle w:val="P68B1DB1-Heading437"/>
        <w:numPr>
          <w:ilvl w:val="0"/>
          <w:numId w:val="0"/>
        </w:numPr>
        <w:rPr>
          <w:noProof/>
        </w:rPr>
      </w:pPr>
      <w:r>
        <w:rPr>
          <w:noProof/>
        </w:rPr>
        <w:t>Naložba 6. Projekti čezmejnih elektroenergetskih povezav med Italijo in sosednjimi državami</w:t>
      </w:r>
    </w:p>
    <w:p w14:paraId="170AB7F0" w14:textId="19977BAA" w:rsidR="00154E32" w:rsidRDefault="00A43E04">
      <w:pPr>
        <w:pStyle w:val="Text1"/>
        <w:spacing w:before="0"/>
        <w:ind w:left="0"/>
        <w:rPr>
          <w:noProof/>
        </w:rPr>
      </w:pPr>
      <w:r>
        <w:rPr>
          <w:noProof/>
        </w:rPr>
        <w:t xml:space="preserve">Cilj te naložbe je razširiti in posodobiti infrastrukturo za prenos električne energije med Italijo, Avstrijo in Slovenijo. Naložba zajema zlasti dokončanje naslednjih čezmejnih povezovalnih daljnovodov: </w:t>
      </w:r>
    </w:p>
    <w:p w14:paraId="525E4EFD" w14:textId="29317D6C" w:rsidR="00154E32" w:rsidRDefault="00A43E04">
      <w:pPr>
        <w:pStyle w:val="Text1"/>
        <w:numPr>
          <w:ilvl w:val="0"/>
          <w:numId w:val="28"/>
        </w:numPr>
        <w:spacing w:before="0"/>
        <w:rPr>
          <w:noProof/>
        </w:rPr>
      </w:pPr>
      <w:r>
        <w:rPr>
          <w:noProof/>
        </w:rPr>
        <w:t>„Somplago (Italija)-Würmlach (Avstrija), povečanje nazivne zmogljivosti obstoječih povezovalnih daljnovodov za 300 MW;</w:t>
      </w:r>
    </w:p>
    <w:p w14:paraId="000DCAFE" w14:textId="3FDBBF81" w:rsidR="00154E32" w:rsidRDefault="00A43E04">
      <w:pPr>
        <w:pStyle w:val="Text1"/>
        <w:numPr>
          <w:ilvl w:val="0"/>
          <w:numId w:val="28"/>
        </w:numPr>
        <w:spacing w:before="0"/>
        <w:rPr>
          <w:noProof/>
        </w:rPr>
      </w:pPr>
      <w:r>
        <w:rPr>
          <w:noProof/>
        </w:rPr>
        <w:t>„Zaule (Italija)-Dekani (Slovenija)“</w:t>
      </w:r>
    </w:p>
    <w:p w14:paraId="4F18A2AE" w14:textId="7E0CCFF0" w:rsidR="00154E32" w:rsidRDefault="00A43E04">
      <w:pPr>
        <w:pStyle w:val="Text1"/>
        <w:numPr>
          <w:ilvl w:val="0"/>
          <w:numId w:val="28"/>
        </w:numPr>
        <w:spacing w:before="0"/>
        <w:rPr>
          <w:noProof/>
        </w:rPr>
      </w:pPr>
      <w:r>
        <w:rPr>
          <w:noProof/>
        </w:rPr>
        <w:t>„Redipuglia (Italija) – Vrtojba (Slovenija)“</w:t>
      </w:r>
    </w:p>
    <w:p w14:paraId="76AE3EB9" w14:textId="2551E5B4" w:rsidR="00154E32" w:rsidRDefault="00A43E04">
      <w:pPr>
        <w:pStyle w:val="Text1"/>
        <w:spacing w:before="0"/>
        <w:ind w:left="0"/>
        <w:rPr>
          <w:noProof/>
        </w:rPr>
      </w:pPr>
      <w:r>
        <w:rPr>
          <w:noProof/>
        </w:rPr>
        <w:t>Ob zaključku del povezovalnih daljnovodov Zaule-Dekani in Redipuglia-Vrtojba se skupna nazivna zmogljivost povezovalnih daljnovodov med Italijo in Slovenijo poveča za 250 MW.</w:t>
      </w:r>
    </w:p>
    <w:p w14:paraId="4B8D526C" w14:textId="0A5F2DC8" w:rsidR="00154E32" w:rsidRDefault="00A43E04">
      <w:pPr>
        <w:pStyle w:val="Text1"/>
        <w:spacing w:before="0"/>
        <w:ind w:left="0"/>
        <w:rPr>
          <w:noProof/>
        </w:rPr>
      </w:pPr>
      <w:r>
        <w:rPr>
          <w:noProof/>
        </w:rPr>
        <w:t>Naložba zajema le dokončanje dela povezovalnega daljnovoda na italijanski strani do 31. avgusta 2026. Ob zaključku del je infrastruktura pripravljena za začetek obratovanja po dokončanju in operacionalizaciji preostale infrastrukture na avstrijski in slovenski strani.</w:t>
      </w:r>
    </w:p>
    <w:p w14:paraId="15ECF94E" w14:textId="69B8D4F7" w:rsidR="00154E32" w:rsidRDefault="00A43E04">
      <w:pPr>
        <w:pStyle w:val="Text1"/>
        <w:spacing w:before="0"/>
        <w:ind w:left="0"/>
        <w:rPr>
          <w:noProof/>
        </w:rPr>
      </w:pPr>
      <w:r>
        <w:rPr>
          <w:noProof/>
        </w:rPr>
        <w:t xml:space="preserve">Da bi se preprečilo tveganje prekomernega nadomestila, Italija do 31. avgusta 2026 Komisiji predloži poročilo. Iz poročila je razvidno, da so izjeme od pravil energetskega trga, odobrene trem povezovalnim daljnovodom, še vedno upravičene. Poleg tega oceni, ali so vzpostavljeni ustrezni zaščitni ukrepi za zagotovitev, da so pogoji iz člena 63(1) Uredbe (EU) 2019/943 o električni energiji še vedno izpolnjeni. V oceni se upošteva, v kolikšni meri zadevna sredstva EU in javna sredstva vplivajo na pogoje v zvezi s tveganostjo projektov. </w:t>
      </w:r>
    </w:p>
    <w:p w14:paraId="4DEE24E6" w14:textId="70DD4FE5" w:rsidR="00154E32" w:rsidRDefault="00A43E04">
      <w:pPr>
        <w:pStyle w:val="P68B1DB1-Heading437"/>
        <w:numPr>
          <w:ilvl w:val="0"/>
          <w:numId w:val="0"/>
        </w:numPr>
        <w:rPr>
          <w:noProof/>
        </w:rPr>
      </w:pPr>
      <w:r>
        <w:rPr>
          <w:noProof/>
        </w:rPr>
        <w:t xml:space="preserve">Naložba 7. Pametno nacionalno prenosno omrežje </w:t>
      </w:r>
    </w:p>
    <w:p w14:paraId="43116AA8" w14:textId="48019067" w:rsidR="00154E32" w:rsidRDefault="00A43E04">
      <w:pPr>
        <w:pStyle w:val="Text1"/>
        <w:spacing w:before="0"/>
        <w:ind w:left="0"/>
        <w:rPr>
          <w:noProof/>
        </w:rPr>
      </w:pPr>
      <w:r>
        <w:rPr>
          <w:noProof/>
        </w:rPr>
        <w:t>Cilj naložbe je digitalizacija nacionalnega prenosnega omrežja (NTG) ter izboljšanje sistema upravljanja in nadzora, ki ga upravlja operater prenosnega sistema. Naložba se osredotoča na prenosno omrežje in njegove sestavne dele programske opreme ter olajšuje vključevanje odjemalcev in proizvajalcev-odjemalcev na energetski trg, pospešuje uvajanje obnovljivih virov energije in povečuje odpornost omrežja.</w:t>
      </w:r>
    </w:p>
    <w:p w14:paraId="66EC5B6A" w14:textId="28B38513" w:rsidR="00154E32" w:rsidRDefault="00A43E04">
      <w:pPr>
        <w:pStyle w:val="Text1"/>
        <w:spacing w:before="0"/>
        <w:ind w:left="0"/>
        <w:rPr>
          <w:noProof/>
        </w:rPr>
      </w:pPr>
      <w:r>
        <w:rPr>
          <w:noProof/>
        </w:rPr>
        <w:t>Naložba vključuje naslednje:</w:t>
      </w:r>
    </w:p>
    <w:p w14:paraId="643CC1A2" w14:textId="43890D01" w:rsidR="00154E32" w:rsidRDefault="00A43E04">
      <w:pPr>
        <w:pStyle w:val="Text1"/>
        <w:numPr>
          <w:ilvl w:val="0"/>
          <w:numId w:val="29"/>
        </w:numPr>
        <w:spacing w:before="0"/>
        <w:rPr>
          <w:noProof/>
        </w:rPr>
      </w:pPr>
      <w:r>
        <w:rPr>
          <w:noProof/>
        </w:rPr>
        <w:t>namestitev zavarovanega protokola 104 na vsaj 250 električnih postajah. Ob namestitvi in v sinergiji z arhitekturo informacijske in komunikacijske tehnologije (IKT) se vsi podatki pretakajo skozi centralni sistem upravljanja in nadzora.</w:t>
      </w:r>
    </w:p>
    <w:p w14:paraId="64DD29D5" w14:textId="5706ED17" w:rsidR="00154E32" w:rsidRDefault="00A43E04">
      <w:pPr>
        <w:pStyle w:val="Text1"/>
        <w:numPr>
          <w:ilvl w:val="0"/>
          <w:numId w:val="29"/>
        </w:numPr>
        <w:spacing w:before="0"/>
        <w:rPr>
          <w:noProof/>
        </w:rPr>
      </w:pPr>
      <w:r>
        <w:rPr>
          <w:noProof/>
        </w:rPr>
        <w:t>Namestitev opreme 5G ali arhitekture IKT na vsaj 40 električnih postajah.</w:t>
      </w:r>
    </w:p>
    <w:p w14:paraId="0E3410AF" w14:textId="6EBEDB15" w:rsidR="00154E32" w:rsidRDefault="00A43E04">
      <w:pPr>
        <w:pStyle w:val="Text1"/>
        <w:numPr>
          <w:ilvl w:val="0"/>
          <w:numId w:val="29"/>
        </w:numPr>
        <w:spacing w:before="0"/>
        <w:rPr>
          <w:noProof/>
        </w:rPr>
      </w:pPr>
      <w:r>
        <w:rPr>
          <w:noProof/>
        </w:rPr>
        <w:t>Namestitev industrijskega sistema za spremljanje interneta stvari na najmanj 1500 električnih stolpov za zbiranje podatkov, ki jih je mogoče obdelati v sistemu upravljanja.</w:t>
      </w:r>
    </w:p>
    <w:p w14:paraId="6FF578C0" w14:textId="39A04F28" w:rsidR="00154E32" w:rsidRDefault="00A43E04">
      <w:pPr>
        <w:spacing w:after="120"/>
        <w:jc w:val="both"/>
        <w:rPr>
          <w:noProof/>
        </w:rPr>
      </w:pPr>
      <w:r>
        <w:rPr>
          <w:noProof/>
        </w:rPr>
        <w:t>Oprema, nameščena s to naložbo, po potrebi izpolnjuje zahteve v zvezi z energijo, določene v skladu z Direktivo 2009/125/ES za strežnike in shranjevanje podatkov ali računalnike in računalniške strežnike ali elektronske prikazovalnike. Naložba mora pokazati po najboljših močeh za izvajanje ustreznih praks, kot so oprema in storitve IT, navedene kot „pričakovane prakse“ v najnovejši različici Evropskega kodeksa ravnanja za energijsko učinkovitost podatkovnih centrov ali v dokumentu CEN-CENELEC CLC TR50600–99–1 „Objekti in infrastrukture podatkovnih centrov – del 99–1: Priporočene prakse za upravljanje z energijo“.</w:t>
      </w:r>
    </w:p>
    <w:p w14:paraId="0B43DE95" w14:textId="6EC61DAD" w:rsidR="00154E32" w:rsidRDefault="00A43E04">
      <w:pPr>
        <w:pStyle w:val="P68B1DB1-Heading437"/>
        <w:numPr>
          <w:ilvl w:val="3"/>
          <w:numId w:val="0"/>
        </w:numPr>
        <w:ind w:left="850" w:hanging="850"/>
        <w:rPr>
          <w:noProof/>
        </w:rPr>
      </w:pPr>
      <w:r>
        <w:rPr>
          <w:noProof/>
        </w:rPr>
        <w:t>Naložba 8. Trajnostna, krožna in varna oskrba s kritičnimi surovinami</w:t>
      </w:r>
    </w:p>
    <w:p w14:paraId="03E3D777" w14:textId="7D739775" w:rsidR="00154E32" w:rsidRDefault="00A43E04">
      <w:pPr>
        <w:pStyle w:val="Text1"/>
        <w:spacing w:before="0"/>
        <w:ind w:left="0"/>
        <w:rPr>
          <w:noProof/>
        </w:rPr>
      </w:pPr>
      <w:r>
        <w:rPr>
          <w:noProof/>
        </w:rPr>
        <w:t xml:space="preserve">Cilj te naložbe je podpreti predelavo in recikliranje kritičnih surovin ter s tem vrednostne verige kritičnih surovin in tehnologij, povezanih z zelenim prehodom. </w:t>
      </w:r>
    </w:p>
    <w:p w14:paraId="5D02A7C3" w14:textId="3A0805C7" w:rsidR="00154E32" w:rsidRDefault="00A43E04">
      <w:pPr>
        <w:pStyle w:val="Text1"/>
        <w:spacing w:before="0"/>
        <w:ind w:left="0"/>
        <w:rPr>
          <w:noProof/>
        </w:rPr>
      </w:pPr>
      <w:r>
        <w:rPr>
          <w:noProof/>
        </w:rPr>
        <w:t xml:space="preserve">Naložba ima štiri glavne vrste ukrepov: </w:t>
      </w:r>
    </w:p>
    <w:p w14:paraId="345D9D97" w14:textId="79762EE9" w:rsidR="00154E32" w:rsidRDefault="00A43E04">
      <w:pPr>
        <w:pStyle w:val="Text1"/>
        <w:numPr>
          <w:ilvl w:val="0"/>
          <w:numId w:val="136"/>
        </w:numPr>
        <w:spacing w:before="0"/>
        <w:rPr>
          <w:noProof/>
        </w:rPr>
      </w:pPr>
      <w:r>
        <w:rPr>
          <w:noProof/>
        </w:rPr>
        <w:t xml:space="preserve">Okoljsko primerna zasnova: cilj te vrste ukrepanja je razumeti potrebe po kritičnih surovinah in potencialu okoljsko primerne zasnove za zmanjšanje povpraševanja po kritičnih surovinah, pri čemer se daje prednost krožnemu pristopu industrijskih dobavnih verig, povezanemu z energetskim prehodom. </w:t>
      </w:r>
    </w:p>
    <w:p w14:paraId="0F9D9943" w14:textId="2C6B600E" w:rsidR="00154E32" w:rsidRDefault="00A43E04">
      <w:pPr>
        <w:pStyle w:val="Text1"/>
        <w:spacing w:before="0"/>
        <w:ind w:left="720"/>
        <w:rPr>
          <w:noProof/>
        </w:rPr>
      </w:pPr>
      <w:r>
        <w:rPr>
          <w:noProof/>
        </w:rPr>
        <w:t>Pričakovani rezultat te vrste dejavnosti je poročilo, v katerem so analizirane prihodnje potrebe po kritičnih surovinah. V poročilu se oceni potencial okoljsko primerne zasnove za zmanjšanje povpraševanja po kritičnih surovinah in spodbujanje možnosti recikliranja teh surovin.</w:t>
      </w:r>
    </w:p>
    <w:p w14:paraId="053A9C00" w14:textId="15B5DE37" w:rsidR="00154E32" w:rsidRDefault="00A43E04">
      <w:pPr>
        <w:pStyle w:val="Text1"/>
        <w:numPr>
          <w:ilvl w:val="0"/>
          <w:numId w:val="27"/>
        </w:numPr>
        <w:spacing w:before="0"/>
        <w:rPr>
          <w:noProof/>
        </w:rPr>
      </w:pPr>
      <w:r>
        <w:rPr>
          <w:noProof/>
        </w:rPr>
        <w:t>Projekti raziskav in razvoja, ki se osredotočajo na okoljsko primerno zasnovo ter izboljšanje zbiranja, logistike in recikliranja odpadne električne in elektronske opreme, vključno z lopaticami vetrnih turbin in fotonapetostnimi paneli. Projekti se osredotočajo na naslednje tri vrste raziskav, razvoja in inovacij:</w:t>
      </w:r>
    </w:p>
    <w:p w14:paraId="1BDD6CC8" w14:textId="77777777" w:rsidR="00154E32" w:rsidRDefault="00A43E04">
      <w:pPr>
        <w:pStyle w:val="Text1"/>
        <w:numPr>
          <w:ilvl w:val="1"/>
          <w:numId w:val="27"/>
        </w:numPr>
        <w:spacing w:before="0"/>
        <w:rPr>
          <w:noProof/>
        </w:rPr>
      </w:pPr>
      <w:r>
        <w:rPr>
          <w:noProof/>
        </w:rPr>
        <w:t>Nove ali izboljšane tehnologije, informacijske sisteme in poslovne metode za predelavo, recikliranje in obdelavo odpadkov kritičnih in strateških surovin;</w:t>
      </w:r>
    </w:p>
    <w:p w14:paraId="50FD92AD" w14:textId="77777777" w:rsidR="00154E32" w:rsidRDefault="00A43E04">
      <w:pPr>
        <w:pStyle w:val="ListParagraph"/>
        <w:numPr>
          <w:ilvl w:val="1"/>
          <w:numId w:val="27"/>
        </w:numPr>
        <w:spacing w:before="0"/>
        <w:contextualSpacing w:val="0"/>
        <w:rPr>
          <w:noProof/>
        </w:rPr>
      </w:pPr>
      <w:r>
        <w:rPr>
          <w:noProof/>
        </w:rPr>
        <w:t xml:space="preserve">Vključevanje okoljsko primerne zasnove v proizvodnjo kompleksnih izdelkov in sistemov ter v tržne in potrošniške procese; </w:t>
      </w:r>
    </w:p>
    <w:p w14:paraId="7EC415D0" w14:textId="06D5BE98" w:rsidR="00154E32" w:rsidRDefault="00A43E04">
      <w:pPr>
        <w:pStyle w:val="ListParagraph"/>
        <w:numPr>
          <w:ilvl w:val="1"/>
          <w:numId w:val="27"/>
        </w:numPr>
        <w:spacing w:before="0"/>
        <w:contextualSpacing w:val="0"/>
        <w:rPr>
          <w:noProof/>
        </w:rPr>
      </w:pPr>
      <w:r>
        <w:rPr>
          <w:noProof/>
        </w:rPr>
        <w:t>Optimizacija zbiranja in sortiranja komunalnih odpadkov ter sortiranja, da se zagotovi dosledna in visokokakovostna oskrba s kritičnimi surovinami za dejavnosti urbanega rudarjenja.</w:t>
      </w:r>
    </w:p>
    <w:p w14:paraId="7462A610" w14:textId="07B7AE09" w:rsidR="00154E32" w:rsidRDefault="00A43E04">
      <w:pPr>
        <w:pStyle w:val="Text1"/>
        <w:numPr>
          <w:ilvl w:val="0"/>
          <w:numId w:val="27"/>
        </w:numPr>
        <w:spacing w:before="0"/>
        <w:rPr>
          <w:noProof/>
        </w:rPr>
      </w:pPr>
      <w:r>
        <w:rPr>
          <w:noProof/>
        </w:rPr>
        <w:t>Urbano rudarjenje: cilj te vrste intervencij je oceniti potencial urbanih rudarskih dejavnosti in že obstoječih odpadkov iz opuščenih rudarskih dejavnosti.</w:t>
      </w:r>
    </w:p>
    <w:p w14:paraId="73A6EAC1" w14:textId="0789B9A3" w:rsidR="00154E32" w:rsidRDefault="00A43E04">
      <w:pPr>
        <w:pStyle w:val="Text1"/>
        <w:spacing w:before="0"/>
        <w:ind w:left="720"/>
        <w:rPr>
          <w:noProof/>
        </w:rPr>
      </w:pPr>
      <w:r>
        <w:rPr>
          <w:noProof/>
        </w:rPr>
        <w:t>Pričakovani rezultat za to vrsto dejavnosti je javna podatkovna zbirka (geografski informacijski sistem), ki omogoča geolokalizacijo in vizualizacijo distribucije virov ali materialov, ki jih je mogoče reciklirati, razpršenih po mestnih okoljih (mestnih rudnikih), ter obstoječih odpadkov v opuščenih rudnikih.</w:t>
      </w:r>
    </w:p>
    <w:p w14:paraId="1770AEAD" w14:textId="5BC8FAD7" w:rsidR="00154E32" w:rsidRDefault="00A43E04">
      <w:pPr>
        <w:pStyle w:val="Text1"/>
        <w:numPr>
          <w:ilvl w:val="0"/>
          <w:numId w:val="27"/>
        </w:numPr>
        <w:spacing w:before="0"/>
        <w:rPr>
          <w:noProof/>
        </w:rPr>
      </w:pPr>
      <w:r>
        <w:rPr>
          <w:noProof/>
        </w:rPr>
        <w:t>Vzpostavitev ali opremo tehnološkega vozlišča za urbano rudarjenje in okoljsko primerno zasnovo. Vozlišče je mreža laboratorijev, ki spodbuja interakcijo med zasebnimi podjetji in raziskovalnimi ustanovami za izboljšanje predelave in recikliranja iz dobavne verige kompleksnih izdelkov in surovin z nizko vhodno stopnjo recikliranja ob koncu življenjskega kroga, povezano z zelenim prehodom (vključno z litij, neodimijem in silikonsko kovino).</w:t>
      </w:r>
    </w:p>
    <w:p w14:paraId="27477CDB" w14:textId="7F5F4903" w:rsidR="00154E32" w:rsidRDefault="00A43E04">
      <w:pPr>
        <w:pStyle w:val="Text1"/>
        <w:spacing w:before="0"/>
        <w:ind w:left="720"/>
        <w:rPr>
          <w:noProof/>
        </w:rPr>
      </w:pPr>
      <w:r>
        <w:rPr>
          <w:noProof/>
        </w:rPr>
        <w:t>Pričakovani rezultat za to vrsto dejavnosti je oprema teh laboratorijev.</w:t>
      </w:r>
    </w:p>
    <w:p w14:paraId="66A532F1" w14:textId="02084917" w:rsidR="00154E32" w:rsidRDefault="00A43E04">
      <w:pPr>
        <w:pStyle w:val="P68B1DB1-Heading437"/>
        <w:numPr>
          <w:ilvl w:val="3"/>
          <w:numId w:val="0"/>
        </w:numPr>
        <w:rPr>
          <w:noProof/>
        </w:rPr>
      </w:pPr>
      <w:r>
        <w:rPr>
          <w:noProof/>
        </w:rPr>
        <w:t>Naložba 9. Ukrep razširitve: zagotavljanje tehnične pomoči in krepitev krepitve zmogljivosti za izvajanje italijanskega načrta za okrevanje in odpornost</w:t>
      </w:r>
    </w:p>
    <w:p w14:paraId="7E811563" w14:textId="26098330" w:rsidR="00154E32" w:rsidRDefault="00A43E04">
      <w:pPr>
        <w:spacing w:after="120"/>
        <w:ind w:right="-45"/>
        <w:jc w:val="both"/>
        <w:rPr>
          <w:noProof/>
        </w:rPr>
      </w:pPr>
      <w:r>
        <w:rPr>
          <w:noProof/>
        </w:rPr>
        <w:t xml:space="preserve">Te naložbe povečujejo naložbe 1.9 v komponento 1 misije 1 načrta za okrevanje in odpornost Italije. </w:t>
      </w:r>
    </w:p>
    <w:p w14:paraId="4E7F1728" w14:textId="2097165C" w:rsidR="00154E32" w:rsidRDefault="00A43E04">
      <w:pPr>
        <w:spacing w:after="120"/>
        <w:ind w:right="-45"/>
        <w:jc w:val="both"/>
        <w:rPr>
          <w:noProof/>
        </w:rPr>
      </w:pPr>
      <w:r>
        <w:rPr>
          <w:noProof/>
        </w:rPr>
        <w:t xml:space="preserve">Ta ukrep povečuje obstoječe naložbe z dopolnjevanjem obstoječega programa usposabljanja, ki se zagotavlja na izobraževalni platformi www.syllabus.gov.it, </w:t>
      </w:r>
      <w:hyperlink r:id="rId386">
        <w:r>
          <w:rPr>
            <w:rStyle w:val="Hyperlink"/>
            <w:noProof/>
          </w:rPr>
          <w:t>z</w:t>
        </w:r>
      </w:hyperlink>
      <w:r>
        <w:rPr>
          <w:noProof/>
        </w:rPr>
        <w:t xml:space="preserve"> moduli usposabljanja, ki lokalne javne uslužbence pripravljajo na zeleni prehod.</w:t>
      </w:r>
    </w:p>
    <w:p w14:paraId="63F3D019" w14:textId="7BDAEFB9" w:rsidR="00154E32" w:rsidRDefault="00A43E04">
      <w:pPr>
        <w:spacing w:after="120"/>
        <w:ind w:right="-45"/>
        <w:jc w:val="both"/>
        <w:rPr>
          <w:noProof/>
        </w:rPr>
      </w:pPr>
      <w:r>
        <w:rPr>
          <w:noProof/>
        </w:rPr>
        <w:t xml:space="preserve">Moduli usposabljanja obravnavajo vsaj naslednje teme: postopke izdaje dovoljenj za obrate iz obnovljivih virov; spodbujanje skupnosti na področju energije iz obnovljivih virov; podpora in organizacija prihrankov energije v javni upravi; zelena e-javna naročila na področju energije in izdelkov z manjšim vplivom na okolje;  javna naročila za energetsko učinkovitost stavb; vodilna vloga javne uprave na področju energetske učinkovitosti in trajnostnega ravnanja na področju energije: najboljše prakse in razširjanje kulture trajnosti; modeli za spodbujanje trajnostne mobilnosti za varčevanje z energijo. </w:t>
      </w:r>
    </w:p>
    <w:p w14:paraId="4ED1CCA4" w14:textId="612E0BEA" w:rsidR="00154E32" w:rsidRDefault="00A43E04">
      <w:pPr>
        <w:pStyle w:val="P68B1DB1-Heading437"/>
        <w:numPr>
          <w:ilvl w:val="0"/>
          <w:numId w:val="0"/>
        </w:numPr>
        <w:ind w:left="850" w:hanging="850"/>
        <w:rPr>
          <w:noProof/>
        </w:rPr>
      </w:pPr>
      <w:r>
        <w:rPr>
          <w:noProof/>
        </w:rPr>
        <w:t>Naložba 10. Pilotni projekti o znanjih in spretnostih „Crescere Green“</w:t>
      </w:r>
    </w:p>
    <w:p w14:paraId="074B3238" w14:textId="15A73F9D" w:rsidR="00154E32" w:rsidRDefault="00A43E04">
      <w:pPr>
        <w:pStyle w:val="P68B1DB1-Normal16"/>
        <w:spacing w:after="120"/>
        <w:jc w:val="both"/>
        <w:rPr>
          <w:noProof/>
        </w:rPr>
      </w:pPr>
      <w:r>
        <w:rPr>
          <w:noProof/>
        </w:rPr>
        <w:t xml:space="preserve">Cilj te naložbe je razvoj zelenih znanj in spretnosti na nadregionalni ravni s sodelovanjem podjetij in zasebnega sektorja ter s sektorskim poudarkom. </w:t>
      </w:r>
    </w:p>
    <w:p w14:paraId="5C3B186E" w14:textId="68708F94" w:rsidR="00154E32" w:rsidRDefault="00A43E04">
      <w:pPr>
        <w:pStyle w:val="P68B1DB1-Normal16"/>
        <w:spacing w:after="120"/>
        <w:jc w:val="both"/>
        <w:rPr>
          <w:noProof/>
        </w:rPr>
      </w:pPr>
      <w:r>
        <w:rPr>
          <w:noProof/>
        </w:rPr>
        <w:t xml:space="preserve">Kratki ukrepi usposabljanja se osredotočajo na strokovna znanja in spretnosti, ki jih zeleni prehod na trgu dela najbolj zahteva. Zadevni poklici se opredelijo v paktih za znanja in spretnosti v okviru „Reforma 5: Načrt za nova znanja in spretnosti – prehodi“. Prejemniki se navedejo med udeleženci nacionalnega programa za zajamčeno zaposljivost delavcev (GOL) (v okviru „Misije 5: Komponenta 1 – reforma 1), ki po postopku ocenjevanja sledijo poti z namensko komponento usposabljanja. Cilj naložbe je tudi povečati zmogljivost uprav, institucij in partnerjev, ki sodelujejo pri načrtovanju dejavnosti usposabljanja. </w:t>
      </w:r>
    </w:p>
    <w:p w14:paraId="641AC457" w14:textId="4E96EF84" w:rsidR="00154E32" w:rsidRDefault="00A43E04">
      <w:pPr>
        <w:spacing w:after="120"/>
        <w:jc w:val="both"/>
        <w:rPr>
          <w:noProof/>
        </w:rPr>
      </w:pPr>
      <w:r>
        <w:rPr>
          <w:noProof/>
        </w:rPr>
        <w:t>Usposabljanje, ki ga podpira ta naložba, ni povezano z: (I) dejavnosti in sredstva, povezana s fosilnimi gorivi, vključno z nadaljnjo uporabo,</w:t>
      </w:r>
      <w:r>
        <w:rPr>
          <w:rStyle w:val="FootnoteReference"/>
          <w:noProof/>
        </w:rPr>
        <w:footnoteReference w:id="127"/>
      </w:r>
      <w:r>
        <w:rPr>
          <w:noProof/>
        </w:rPr>
        <w:t>(ii) dejavnosti in sredstva v okviru sistema EU za trgovanje z emisijami (ETS), s katerimi se dosegajo predvidene emisije toplogrednih plinov, ki niso nižje od ustreznih referenčnih vrednosti,</w:t>
      </w:r>
      <w:r>
        <w:rPr>
          <w:noProof/>
        </w:rPr>
        <w:footnoteReference w:id="128"/>
      </w:r>
      <w:r>
        <w:rPr>
          <w:noProof/>
        </w:rPr>
        <w:t>(iii) dejavnosti in sredstva, povezana z odlagališči odpadkov, sežigalnicami</w:t>
      </w:r>
      <w:r>
        <w:rPr>
          <w:rStyle w:val="FootnoteReference"/>
          <w:noProof/>
        </w:rPr>
        <w:footnoteReference w:id="129"/>
      </w:r>
      <w:r>
        <w:rPr>
          <w:noProof/>
        </w:rPr>
        <w:t xml:space="preserve"> in napravami za mehansko-biološko obdelavo</w:t>
      </w:r>
      <w:r>
        <w:rPr>
          <w:rStyle w:val="FootnoteReference"/>
          <w:noProof/>
        </w:rPr>
        <w:footnoteReference w:id="130"/>
      </w:r>
      <w:r>
        <w:rPr>
          <w:noProof/>
        </w:rPr>
        <w:t>. Poleg tega se zahteva, da se lahko izberejo samo dejavnosti, ki so skladne z ustrezno okoljsko zakonodajo EU in nacionalno okoljsko zakonodajo.</w:t>
      </w:r>
    </w:p>
    <w:p w14:paraId="7DE826A7" w14:textId="0980EDF5" w:rsidR="00154E32" w:rsidRDefault="00A43E04">
      <w:pPr>
        <w:pStyle w:val="P68B1DB1-Heading437"/>
        <w:numPr>
          <w:ilvl w:val="3"/>
          <w:numId w:val="0"/>
        </w:numPr>
        <w:rPr>
          <w:noProof/>
        </w:rPr>
      </w:pPr>
      <w:r>
        <w:rPr>
          <w:noProof/>
        </w:rPr>
        <w:t>Naložba 11. Razširitev: Krepitev regionalnega javnega železniškega voznega parka z brezemisijskimi vlaki in univerzalnimi storitvami</w:t>
      </w:r>
    </w:p>
    <w:p w14:paraId="69C2C28B" w14:textId="62E06265" w:rsidR="00154E32" w:rsidRDefault="00A43E04">
      <w:pPr>
        <w:spacing w:before="120" w:after="120"/>
        <w:jc w:val="both"/>
        <w:rPr>
          <w:noProof/>
        </w:rPr>
      </w:pPr>
      <w:r>
        <w:rPr>
          <w:noProof/>
        </w:rPr>
        <w:t xml:space="preserve">Ta naložba zajema nabavo in začetek obratovanja vsaj 69 brezemisijskih potniških vlakov (pri čemer vlak sestavlja vsaj ena lokomotiva in vključuje potniške vagone) ter dodatnih 30 vagonov za univerzalno storitev. Na splošno naložba zagotovi najmanj 342 enot, od katerih je najmanj 69 lokomotiv. Upravičene so samo električne gorivne celice ali vodikove gorivne celice. Bimodalni vlaki niso upravičeni. </w:t>
      </w:r>
    </w:p>
    <w:p w14:paraId="5CC1CC30" w14:textId="5687483F" w:rsidR="00154E32" w:rsidRDefault="00A43E04">
      <w:pPr>
        <w:pStyle w:val="P68B1DB1-Heading437"/>
        <w:numPr>
          <w:ilvl w:val="3"/>
          <w:numId w:val="0"/>
        </w:numPr>
        <w:rPr>
          <w:noProof/>
        </w:rPr>
      </w:pPr>
      <w:r>
        <w:rPr>
          <w:noProof/>
        </w:rPr>
        <w:t>Naložba 12: Shema nepovratnih sredstev za razvoj mednarodnega in industrijskega vodstva ter vodilnega položaja na področju raziskav in razvoja na področju električnih avtobusov</w:t>
      </w:r>
    </w:p>
    <w:p w14:paraId="4D095BA9" w14:textId="33A155F8" w:rsidR="00154E32" w:rsidRDefault="00A43E04">
      <w:pPr>
        <w:spacing w:after="120"/>
        <w:jc w:val="both"/>
        <w:rPr>
          <w:noProof/>
        </w:rPr>
      </w:pPr>
      <w:r>
        <w:rPr>
          <w:noProof/>
        </w:rPr>
        <w:t>Ta ukrep zajema javne naložbe v shemo nepovratnih sredstev „Razvoj mednarodnega, industrijskega ter vodilnega položaja na področju raziskav in razvoja na področju električnih avtobusov“, da bi spodbudili zasebne naložbe in izboljšali dostop do financiranja v Italiji, da bi podprli naložbe v dobavno verigo proizvodnje brezemisijskih električnih avtobusov. Shema deluje tako, da zagotavlja subvencije neposredno zasebnemu sektorju. Na podlagi naložb v mehanizem za okrevanje in odpornost je cilj sheme na začetku zagotoviti vsaj</w:t>
      </w:r>
      <w:r>
        <w:rPr>
          <w:rFonts w:ascii="Arial Narrow" w:hAnsi="Arial Narrow"/>
          <w:noProof/>
          <w:color w:val="006100"/>
          <w:sz w:val="20"/>
        </w:rPr>
        <w:t xml:space="preserve"> </w:t>
      </w:r>
      <w:r>
        <w:rPr>
          <w:noProof/>
        </w:rPr>
        <w:t>100000000</w:t>
      </w:r>
      <w:r>
        <w:rPr>
          <w:rFonts w:ascii="Arial Narrow" w:hAnsi="Arial Narrow"/>
          <w:noProof/>
          <w:color w:val="006100"/>
          <w:sz w:val="20"/>
        </w:rPr>
        <w:t xml:space="preserve"> </w:t>
      </w:r>
      <w:r>
        <w:rPr>
          <w:noProof/>
        </w:rPr>
        <w:t>EUR nepovratnih sredstev.</w:t>
      </w:r>
    </w:p>
    <w:p w14:paraId="61E0C844" w14:textId="195C1E99" w:rsidR="00154E32" w:rsidRDefault="00A43E04">
      <w:pPr>
        <w:spacing w:after="120"/>
        <w:jc w:val="both"/>
        <w:rPr>
          <w:noProof/>
        </w:rPr>
      </w:pPr>
      <w:r>
        <w:rPr>
          <w:noProof/>
        </w:rPr>
        <w:t>Shemo upravlja Invitalia S.p.A. kot izvajalski partner. Shema vključuje naslednjo linijo izdelkov:</w:t>
      </w:r>
    </w:p>
    <w:p w14:paraId="7BA95377" w14:textId="0A716822" w:rsidR="00154E32" w:rsidRDefault="00A43E04">
      <w:pPr>
        <w:pStyle w:val="ListParagraph"/>
        <w:numPr>
          <w:ilvl w:val="0"/>
          <w:numId w:val="138"/>
        </w:numPr>
        <w:spacing w:before="0"/>
        <w:rPr>
          <w:noProof/>
        </w:rPr>
      </w:pPr>
      <w:r>
        <w:rPr>
          <w:noProof/>
        </w:rPr>
        <w:t xml:space="preserve"> Nepovratna sredstva za podjetja v dobavni verigi brezemisijskih električnih avtobusov. Hibridni avtobusi niso upravičeni do podpore.</w:t>
      </w:r>
    </w:p>
    <w:p w14:paraId="644D7A2D" w14:textId="1A128C9F" w:rsidR="00154E32" w:rsidRDefault="00A43E04">
      <w:pPr>
        <w:spacing w:after="120"/>
        <w:jc w:val="both"/>
        <w:rPr>
          <w:noProof/>
        </w:rPr>
      </w:pPr>
      <w:r>
        <w:rPr>
          <w:noProof/>
        </w:rPr>
        <w:t>Za izvedbo naložbe v shemo Italija in družba Invitalia S.p.A. podpišeta izvedbeni sporazum, ki vsebuje naslednjo vsebino:</w:t>
      </w:r>
    </w:p>
    <w:p w14:paraId="370FFFA8" w14:textId="52795A27" w:rsidR="00154E32" w:rsidRDefault="00A43E04">
      <w:pPr>
        <w:pStyle w:val="ListParagraph"/>
        <w:numPr>
          <w:ilvl w:val="0"/>
          <w:numId w:val="137"/>
        </w:numPr>
        <w:spacing w:before="0"/>
        <w:rPr>
          <w:noProof/>
        </w:rPr>
      </w:pPr>
      <w:r>
        <w:rPr>
          <w:noProof/>
        </w:rPr>
        <w:t>Opis postopka odločanja v okviru sheme: Končno odločitev o dodelitvi v okviru sheme sprejme odbor za naložbe ali drug ustrezen enakovreden upravljavski organ in jo z večino glasov potrdijo člani, ki so neodvisni od vlade.</w:t>
      </w:r>
    </w:p>
    <w:p w14:paraId="743473B7" w14:textId="211B7AB6" w:rsidR="00154E32" w:rsidRDefault="00A43E04">
      <w:pPr>
        <w:pStyle w:val="ListParagraph"/>
        <w:numPr>
          <w:ilvl w:val="0"/>
          <w:numId w:val="137"/>
        </w:numPr>
        <w:spacing w:before="0"/>
        <w:rPr>
          <w:noProof/>
        </w:rPr>
      </w:pPr>
      <w:r>
        <w:rPr>
          <w:noProof/>
        </w:rPr>
        <w:t>Ključne zahteve povezane politike nepovratnih sredstev, ki vključujejo:</w:t>
      </w:r>
    </w:p>
    <w:p w14:paraId="720C8E16" w14:textId="22494275" w:rsidR="00154E32" w:rsidRDefault="00A43E04">
      <w:pPr>
        <w:pStyle w:val="ListParagraph"/>
        <w:numPr>
          <w:ilvl w:val="1"/>
          <w:numId w:val="137"/>
        </w:numPr>
        <w:spacing w:before="0"/>
        <w:rPr>
          <w:noProof/>
        </w:rPr>
      </w:pPr>
      <w:r>
        <w:rPr>
          <w:noProof/>
        </w:rPr>
        <w:t xml:space="preserve">Opis zagotovljenih nepovratnih sredstev in upravičenih končnih upravičencev. </w:t>
      </w:r>
    </w:p>
    <w:p w14:paraId="1B3DCB83" w14:textId="22EE56B6" w:rsidR="00154E32" w:rsidRDefault="00A43E04">
      <w:pPr>
        <w:pStyle w:val="ListParagraph"/>
        <w:numPr>
          <w:ilvl w:val="1"/>
          <w:numId w:val="137"/>
        </w:numPr>
        <w:spacing w:before="0"/>
        <w:rPr>
          <w:noProof/>
        </w:rPr>
      </w:pPr>
      <w:r>
        <w:rPr>
          <w:noProof/>
        </w:rPr>
        <w:t>Zahteva, da so vse podprte naložbe ekonomsko upravičene.</w:t>
      </w:r>
    </w:p>
    <w:p w14:paraId="77394CEB" w14:textId="50E7FBC0" w:rsidR="00154E32" w:rsidRDefault="00A43E04">
      <w:pPr>
        <w:pStyle w:val="ListParagraph"/>
        <w:numPr>
          <w:ilvl w:val="1"/>
          <w:numId w:val="137"/>
        </w:numPr>
        <w:spacing w:before="0"/>
        <w:rPr>
          <w:noProof/>
        </w:rPr>
      </w:pPr>
      <w:r>
        <w:rPr>
          <w:noProof/>
        </w:rPr>
        <w:t>Zahtevo po skladnosti z načelom, da se ne škoduje bistveno, kot je določeno v tehničnih smernicah za načelo, da se ne škoduje bistveno (2021/C58/01). Politika nepovratnih sredstev zlasti izključuje naslednji seznam dejavnosti in sredstev iz upravičenosti: (I) dejavnosti in sredstva, povezana s fosilnimi gorivi, vključno z nadaljnjo uporabo,</w:t>
      </w:r>
      <w:r>
        <w:rPr>
          <w:noProof/>
        </w:rPr>
        <w:footnoteReference w:id="131"/>
      </w:r>
      <w:r>
        <w:rPr>
          <w:noProof/>
        </w:rPr>
        <w:t>(ii) dejavnosti in sredstva v okviru sistema EU za trgovanje z emisijami (ETS), s katerimi se dosegajo predvidene emisije toplogrednih plinov, ki niso nižje od ustreznih referenčnih vrednosti,</w:t>
      </w:r>
      <w:r>
        <w:rPr>
          <w:noProof/>
        </w:rPr>
        <w:footnoteReference w:id="132"/>
      </w:r>
      <w:r>
        <w:rPr>
          <w:noProof/>
        </w:rPr>
        <w:t>(iii) dejavnosti in sredstva, povezana z odlagališči odpadkov, sežigalnicami</w:t>
      </w:r>
      <w:r>
        <w:rPr>
          <w:noProof/>
        </w:rPr>
        <w:footnoteReference w:id="133"/>
      </w:r>
      <w:r>
        <w:rPr>
          <w:noProof/>
        </w:rPr>
        <w:t xml:space="preserve"> in napravami za mehansko-biološko obdelavo</w:t>
      </w:r>
      <w:r>
        <w:rPr>
          <w:noProof/>
        </w:rPr>
        <w:footnoteReference w:id="134"/>
      </w:r>
      <w:r>
        <w:rPr>
          <w:noProof/>
        </w:rPr>
        <w:t xml:space="preserve">. </w:t>
      </w:r>
    </w:p>
    <w:p w14:paraId="7CED7B82" w14:textId="2E224CB3" w:rsidR="00154E32" w:rsidRDefault="00A43E04">
      <w:pPr>
        <w:pStyle w:val="ListParagraph"/>
        <w:numPr>
          <w:ilvl w:val="1"/>
          <w:numId w:val="137"/>
        </w:numPr>
        <w:spacing w:before="0"/>
        <w:rPr>
          <w:noProof/>
        </w:rPr>
      </w:pPr>
      <w:r>
        <w:rPr>
          <w:noProof/>
        </w:rPr>
        <w:t>Zahtevo, da končni upravičenci sheme ne prejmejo podpore iz drugih instrumentov Unije za kritje istih stroškov.</w:t>
      </w:r>
    </w:p>
    <w:p w14:paraId="6FACCBD5" w14:textId="47FA24DC" w:rsidR="00154E32" w:rsidRDefault="00A43E04">
      <w:pPr>
        <w:pStyle w:val="ListParagraph"/>
        <w:numPr>
          <w:ilvl w:val="0"/>
          <w:numId w:val="137"/>
        </w:numPr>
        <w:spacing w:before="0"/>
        <w:rPr>
          <w:noProof/>
        </w:rPr>
      </w:pPr>
      <w:r>
        <w:rPr>
          <w:noProof/>
        </w:rPr>
        <w:t>Znesek, zajet v izvedbenem sporazumu, strukturo pristojbin za izvajalskega partnerja in zahtevo po uporabi vseh neporabljenih prihodkov iz sheme, tudi po letu 2026, za iste namene politike.</w:t>
      </w:r>
    </w:p>
    <w:p w14:paraId="458B87BA" w14:textId="3C13CAD3" w:rsidR="00154E32" w:rsidRDefault="00A43E04">
      <w:pPr>
        <w:pStyle w:val="ListParagraph"/>
        <w:numPr>
          <w:ilvl w:val="0"/>
          <w:numId w:val="137"/>
        </w:numPr>
        <w:spacing w:before="0"/>
        <w:rPr>
          <w:noProof/>
        </w:rPr>
      </w:pPr>
      <w:r>
        <w:rPr>
          <w:noProof/>
        </w:rPr>
        <w:t>Zahteve glede spremljanja, revizije in nadzora, vključno z:</w:t>
      </w:r>
    </w:p>
    <w:p w14:paraId="6E557D1B" w14:textId="4007A0CD" w:rsidR="00154E32" w:rsidRDefault="00A43E04">
      <w:pPr>
        <w:pStyle w:val="ListParagraph"/>
        <w:numPr>
          <w:ilvl w:val="1"/>
          <w:numId w:val="30"/>
        </w:numPr>
        <w:spacing w:before="0"/>
        <w:rPr>
          <w:noProof/>
        </w:rPr>
      </w:pPr>
      <w:r>
        <w:rPr>
          <w:noProof/>
        </w:rPr>
        <w:t>Opis sistema spremljanja izvajalskega partnerja za poročanje o mobiliziranih nepovratnih sredstvih.</w:t>
      </w:r>
    </w:p>
    <w:p w14:paraId="683D43D9" w14:textId="018FCD4C" w:rsidR="00154E32" w:rsidRDefault="00A43E04">
      <w:pPr>
        <w:pStyle w:val="ListParagraph"/>
        <w:numPr>
          <w:ilvl w:val="1"/>
          <w:numId w:val="30"/>
        </w:numPr>
        <w:spacing w:before="0"/>
        <w:rPr>
          <w:noProof/>
        </w:rPr>
      </w:pPr>
      <w:r>
        <w:rPr>
          <w:noProof/>
        </w:rPr>
        <w:t xml:space="preserve">Opis postopkov izvajalskega partnerja, ki zagotavljajo preprečevanje, odkrivanje in odpravljanje goljufij, korupcije in nasprotij interesov. </w:t>
      </w:r>
    </w:p>
    <w:p w14:paraId="623F26A0" w14:textId="599A447D" w:rsidR="00154E32" w:rsidRDefault="00A43E04">
      <w:pPr>
        <w:pStyle w:val="ListParagraph"/>
        <w:numPr>
          <w:ilvl w:val="1"/>
          <w:numId w:val="30"/>
        </w:numPr>
        <w:spacing w:before="0"/>
        <w:rPr>
          <w:noProof/>
        </w:rPr>
      </w:pPr>
      <w:r>
        <w:rPr>
          <w:noProof/>
        </w:rPr>
        <w:t>Obveznost preverjanja upravičenosti vsake operacije v skladu z zahtevami iz izvedbenega sporazuma pred dodelitvijo nepovratnih sredstev operaciji.</w:t>
      </w:r>
    </w:p>
    <w:p w14:paraId="194EFD15" w14:textId="56A344B3" w:rsidR="00154E32" w:rsidRDefault="00A43E04">
      <w:pPr>
        <w:pStyle w:val="ListParagraph"/>
        <w:numPr>
          <w:ilvl w:val="1"/>
          <w:numId w:val="30"/>
        </w:numPr>
        <w:spacing w:before="0"/>
        <w:rPr>
          <w:noProof/>
        </w:rPr>
      </w:pPr>
      <w:r>
        <w:rPr>
          <w:noProof/>
        </w:rPr>
        <w:t xml:space="preserve">Obveznost izvajanja naknadnih revizij na podlagi tveganja v skladu z revizijskim načrtom Invitalia S.p.A. S temi revizijami se preveri i) učinkovitost kontrolnih sistemov, vključno z odkrivanjem goljufij, korupcije in navzkrižja interesov; II) skladnost z načelom, da se ne škoduje bistveno, pravili o državni pomoči in podnebnimi zahtevami; in iii) da se upošteva zahteva, da končni upravičenci sheme niso prejeli podpore iz drugih instrumentov Unije za kritje istih stroškov. Z revizijami se preveri tudi zakonitost transakcij in spoštovanje pogojev iz veljavnega sporazuma o izvajanju in sporazuma o dodelitvi nepovratnih sredstev. </w:t>
      </w:r>
    </w:p>
    <w:p w14:paraId="398BF9E9" w14:textId="087866D6" w:rsidR="00154E32" w:rsidRDefault="00A43E04">
      <w:pPr>
        <w:pStyle w:val="ListParagraph"/>
        <w:numPr>
          <w:ilvl w:val="0"/>
          <w:numId w:val="137"/>
        </w:numPr>
        <w:spacing w:before="0"/>
        <w:rPr>
          <w:noProof/>
        </w:rPr>
      </w:pPr>
      <w:r>
        <w:rPr>
          <w:noProof/>
        </w:rPr>
        <w:t>Zahteve za podnebne naložbe, ki jih izvaja izvajalski partner: vsaj 100 000 000 EUR naložb</w:t>
      </w:r>
      <w:r>
        <w:rPr>
          <w:rFonts w:ascii="Arial Narrow" w:hAnsi="Arial Narrow"/>
          <w:noProof/>
          <w:color w:val="006100"/>
          <w:sz w:val="20"/>
        </w:rPr>
        <w:t xml:space="preserve"> </w:t>
      </w:r>
      <w:r>
        <w:rPr>
          <w:noProof/>
        </w:rPr>
        <w:t>mehanizma</w:t>
      </w:r>
      <w:r>
        <w:rPr>
          <w:rFonts w:ascii="Arial Narrow" w:hAnsi="Arial Narrow"/>
          <w:noProof/>
          <w:color w:val="006100"/>
          <w:sz w:val="20"/>
        </w:rPr>
        <w:t xml:space="preserve"> </w:t>
      </w:r>
      <w:r>
        <w:rPr>
          <w:noProof/>
        </w:rPr>
        <w:t>za okrevanje in odpornost v shemo prispeva k ciljem na področju podnebnih sprememb v skladu s Prilogo VI k uredbi o mehanizmu za okrevanje in odpornost.</w:t>
      </w:r>
      <w:r>
        <w:rPr>
          <w:noProof/>
        </w:rPr>
        <w:footnoteReference w:id="135"/>
      </w:r>
      <w:r>
        <w:rPr>
          <w:noProof/>
        </w:rPr>
        <w:t xml:space="preserve"> </w:t>
      </w:r>
    </w:p>
    <w:p w14:paraId="0E0DD325" w14:textId="77777777" w:rsidR="00154E32" w:rsidRDefault="00A43E04">
      <w:pPr>
        <w:spacing w:after="120"/>
        <w:jc w:val="both"/>
        <w:rPr>
          <w:noProof/>
        </w:rPr>
        <w:sectPr w:rsidR="00154E32" w:rsidSect="00A932FE">
          <w:headerReference w:type="even" r:id="rId387"/>
          <w:headerReference w:type="default" r:id="rId388"/>
          <w:footerReference w:type="even" r:id="rId389"/>
          <w:footerReference w:type="default" r:id="rId390"/>
          <w:headerReference w:type="first" r:id="rId391"/>
          <w:footerReference w:type="first" r:id="rId392"/>
          <w:pgSz w:w="11907" w:h="16839"/>
          <w:pgMar w:top="1440" w:right="1440" w:bottom="1440" w:left="1440" w:header="567" w:footer="567" w:gutter="0"/>
          <w:cols w:space="720"/>
          <w:docGrid w:linePitch="360"/>
        </w:sectPr>
      </w:pPr>
      <w:r>
        <w:rPr>
          <w:noProof/>
        </w:rPr>
        <w:t xml:space="preserve">Ukrep se izvede do 31. avgusta 2026. </w:t>
      </w:r>
    </w:p>
    <w:p w14:paraId="2D55E1BF" w14:textId="5B7A3DCF" w:rsidR="00154E32" w:rsidRDefault="00A43E04">
      <w:pPr>
        <w:pStyle w:val="Heading3"/>
        <w:numPr>
          <w:ilvl w:val="2"/>
          <w:numId w:val="0"/>
        </w:numPr>
        <w:rPr>
          <w:b/>
          <w:i w:val="0"/>
          <w:noProof/>
          <w:u w:val="single"/>
        </w:rPr>
      </w:pPr>
      <w:r>
        <w:rPr>
          <w:b/>
          <w:i w:val="0"/>
          <w:noProof/>
          <w:u w:val="single"/>
        </w:rPr>
        <w:t xml:space="preserve">Q.2. </w:t>
      </w:r>
      <w:r>
        <w:rPr>
          <w:noProof/>
        </w:rPr>
        <w:tab/>
      </w:r>
      <w:r>
        <w:rPr>
          <w:b/>
          <w:i w:val="0"/>
          <w:noProof/>
          <w:u w:val="single"/>
        </w:rPr>
        <w:t>Mejniki, cilji, kazalniki in časovni razpored za spremljanje in izvajanje nepovratne finančne podpore Naslednje;</w:t>
      </w:r>
    </w:p>
    <w:tbl>
      <w:tblPr>
        <w:tblW w:w="5275" w:type="pct"/>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185"/>
        <w:gridCol w:w="1559"/>
        <w:gridCol w:w="1134"/>
        <w:gridCol w:w="1418"/>
        <w:gridCol w:w="1984"/>
        <w:gridCol w:w="1134"/>
        <w:gridCol w:w="993"/>
        <w:gridCol w:w="992"/>
        <w:gridCol w:w="992"/>
        <w:gridCol w:w="709"/>
        <w:gridCol w:w="3261"/>
      </w:tblGrid>
      <w:tr w:rsidR="00154E32" w14:paraId="72E8302D" w14:textId="77777777">
        <w:trPr>
          <w:trHeight w:val="765"/>
          <w:tblHeader/>
        </w:trPr>
        <w:tc>
          <w:tcPr>
            <w:tcW w:w="1185" w:type="dxa"/>
            <w:vMerge w:val="restart"/>
            <w:shd w:val="clear" w:color="auto" w:fill="BDD7EE"/>
            <w:vAlign w:val="center"/>
            <w:hideMark/>
          </w:tcPr>
          <w:p w14:paraId="2A380CE4" w14:textId="77777777" w:rsidR="00154E32" w:rsidRDefault="00A43E04">
            <w:pPr>
              <w:pStyle w:val="P68B1DB1-Normal9"/>
              <w:spacing w:after="120"/>
              <w:jc w:val="center"/>
              <w:rPr>
                <w:noProof/>
              </w:rPr>
            </w:pPr>
            <w:r>
              <w:rPr>
                <w:noProof/>
              </w:rPr>
              <w:t>Zaporedna številka</w:t>
            </w:r>
          </w:p>
        </w:tc>
        <w:tc>
          <w:tcPr>
            <w:tcW w:w="1559" w:type="dxa"/>
            <w:vMerge w:val="restart"/>
            <w:shd w:val="clear" w:color="auto" w:fill="BDD7EE"/>
            <w:vAlign w:val="center"/>
            <w:hideMark/>
          </w:tcPr>
          <w:p w14:paraId="43535281" w14:textId="77777777" w:rsidR="00154E32" w:rsidRDefault="00A43E04">
            <w:pPr>
              <w:pStyle w:val="P68B1DB1-Normal9"/>
              <w:spacing w:after="120"/>
              <w:jc w:val="center"/>
              <w:rPr>
                <w:noProof/>
              </w:rPr>
            </w:pPr>
            <w:r>
              <w:rPr>
                <w:noProof/>
              </w:rPr>
              <w:t>Povezani ukrep (reforma ali naložba)</w:t>
            </w:r>
          </w:p>
        </w:tc>
        <w:tc>
          <w:tcPr>
            <w:tcW w:w="1134" w:type="dxa"/>
            <w:vMerge w:val="restart"/>
            <w:shd w:val="clear" w:color="auto" w:fill="BDD7EE"/>
            <w:vAlign w:val="center"/>
            <w:hideMark/>
          </w:tcPr>
          <w:p w14:paraId="6E910A3C" w14:textId="77777777" w:rsidR="00154E32" w:rsidRDefault="00A43E04">
            <w:pPr>
              <w:pStyle w:val="P68B1DB1-Normal9"/>
              <w:spacing w:after="120"/>
              <w:jc w:val="center"/>
              <w:rPr>
                <w:noProof/>
              </w:rPr>
            </w:pPr>
            <w:r>
              <w:rPr>
                <w:noProof/>
              </w:rPr>
              <w:t>Mejnik</w:t>
            </w:r>
          </w:p>
          <w:p w14:paraId="4D4284CD" w14:textId="77777777" w:rsidR="00154E32" w:rsidRDefault="00A43E04">
            <w:pPr>
              <w:pStyle w:val="P68B1DB1-Normal9"/>
              <w:spacing w:after="120"/>
              <w:jc w:val="center"/>
              <w:rPr>
                <w:noProof/>
              </w:rPr>
            </w:pPr>
            <w:r>
              <w:rPr>
                <w:noProof/>
              </w:rPr>
              <w:t>/Ciljni cilj</w:t>
            </w:r>
          </w:p>
        </w:tc>
        <w:tc>
          <w:tcPr>
            <w:tcW w:w="1418" w:type="dxa"/>
            <w:vMerge w:val="restart"/>
            <w:shd w:val="clear" w:color="auto" w:fill="BDD7EE"/>
            <w:vAlign w:val="center"/>
            <w:hideMark/>
          </w:tcPr>
          <w:p w14:paraId="0BED809F" w14:textId="77777777" w:rsidR="00154E32" w:rsidRDefault="00A43E04">
            <w:pPr>
              <w:pStyle w:val="P68B1DB1-Normal9"/>
              <w:spacing w:after="120"/>
              <w:jc w:val="center"/>
              <w:rPr>
                <w:noProof/>
              </w:rPr>
            </w:pPr>
            <w:r>
              <w:rPr>
                <w:noProof/>
              </w:rPr>
              <w:t>Ime</w:t>
            </w:r>
          </w:p>
        </w:tc>
        <w:tc>
          <w:tcPr>
            <w:tcW w:w="1984" w:type="dxa"/>
            <w:vMerge w:val="restart"/>
            <w:shd w:val="clear" w:color="auto" w:fill="BDD7EE"/>
            <w:vAlign w:val="center"/>
            <w:hideMark/>
          </w:tcPr>
          <w:p w14:paraId="316C0690" w14:textId="77777777" w:rsidR="00154E32" w:rsidRDefault="00A43E04">
            <w:pPr>
              <w:pStyle w:val="P68B1DB1-Normal10"/>
              <w:spacing w:after="120"/>
              <w:jc w:val="center"/>
              <w:rPr>
                <w:b/>
                <w:noProof/>
                <w:sz w:val="20"/>
              </w:rPr>
            </w:pPr>
            <w:r>
              <w:rPr>
                <w:b/>
                <w:noProof/>
                <w:sz w:val="20"/>
              </w:rPr>
              <w:t>Kakovostni kazalniki</w:t>
            </w:r>
            <w:r>
              <w:rPr>
                <w:noProof/>
              </w:rPr>
              <w:t xml:space="preserve"> </w:t>
            </w:r>
            <w:r>
              <w:rPr>
                <w:noProof/>
              </w:rPr>
              <w:br/>
            </w:r>
            <w:r>
              <w:rPr>
                <w:b/>
                <w:noProof/>
                <w:sz w:val="20"/>
              </w:rPr>
              <w:t>(za mejnike)</w:t>
            </w:r>
          </w:p>
        </w:tc>
        <w:tc>
          <w:tcPr>
            <w:tcW w:w="3119" w:type="dxa"/>
            <w:gridSpan w:val="3"/>
            <w:shd w:val="clear" w:color="auto" w:fill="BDD7EE"/>
            <w:vAlign w:val="center"/>
            <w:hideMark/>
          </w:tcPr>
          <w:p w14:paraId="1844A200" w14:textId="77777777" w:rsidR="00154E32" w:rsidRDefault="00A43E04">
            <w:pPr>
              <w:pStyle w:val="P68B1DB1-Normal10"/>
              <w:spacing w:after="120"/>
              <w:jc w:val="center"/>
              <w:rPr>
                <w:b/>
                <w:noProof/>
                <w:sz w:val="20"/>
              </w:rPr>
            </w:pPr>
            <w:r>
              <w:rPr>
                <w:b/>
                <w:noProof/>
                <w:sz w:val="20"/>
              </w:rPr>
              <w:t>Kvantitativni kazalniki</w:t>
            </w:r>
            <w:r>
              <w:rPr>
                <w:noProof/>
              </w:rPr>
              <w:t xml:space="preserve"> </w:t>
            </w:r>
            <w:r>
              <w:rPr>
                <w:noProof/>
              </w:rPr>
              <w:br/>
            </w:r>
            <w:r>
              <w:rPr>
                <w:b/>
                <w:noProof/>
                <w:sz w:val="20"/>
              </w:rPr>
              <w:t>(za ciljne vrednosti)</w:t>
            </w:r>
          </w:p>
        </w:tc>
        <w:tc>
          <w:tcPr>
            <w:tcW w:w="1701" w:type="dxa"/>
            <w:gridSpan w:val="2"/>
            <w:shd w:val="clear" w:color="auto" w:fill="BDD7EE"/>
            <w:vAlign w:val="center"/>
            <w:hideMark/>
          </w:tcPr>
          <w:p w14:paraId="1C078BC1" w14:textId="77777777" w:rsidR="00154E32" w:rsidRDefault="00A43E04">
            <w:pPr>
              <w:pStyle w:val="P68B1DB1-Normal9"/>
              <w:spacing w:after="120"/>
              <w:jc w:val="center"/>
              <w:rPr>
                <w:noProof/>
              </w:rPr>
            </w:pPr>
            <w:r>
              <w:rPr>
                <w:noProof/>
              </w:rPr>
              <w:t>Okvirni časovni razpored za dokončanje</w:t>
            </w:r>
          </w:p>
        </w:tc>
        <w:tc>
          <w:tcPr>
            <w:tcW w:w="3261" w:type="dxa"/>
            <w:vMerge w:val="restart"/>
            <w:shd w:val="clear" w:color="auto" w:fill="BDD7EE"/>
            <w:vAlign w:val="center"/>
            <w:hideMark/>
          </w:tcPr>
          <w:p w14:paraId="688935F7" w14:textId="77777777" w:rsidR="00154E32" w:rsidRDefault="00A43E04">
            <w:pPr>
              <w:pStyle w:val="P68B1DB1-Normal9"/>
              <w:spacing w:after="120"/>
              <w:jc w:val="center"/>
              <w:rPr>
                <w:noProof/>
              </w:rPr>
            </w:pPr>
            <w:r>
              <w:rPr>
                <w:noProof/>
              </w:rPr>
              <w:t>Opis vsakega mejnika in cilja</w:t>
            </w:r>
          </w:p>
        </w:tc>
      </w:tr>
      <w:tr w:rsidR="00154E32" w14:paraId="5E0F712C" w14:textId="77777777">
        <w:trPr>
          <w:trHeight w:val="691"/>
          <w:tblHeader/>
        </w:trPr>
        <w:tc>
          <w:tcPr>
            <w:tcW w:w="1185" w:type="dxa"/>
            <w:vMerge/>
            <w:vAlign w:val="center"/>
            <w:hideMark/>
          </w:tcPr>
          <w:p w14:paraId="508D1A52" w14:textId="77777777" w:rsidR="00154E32" w:rsidRDefault="00154E32">
            <w:pPr>
              <w:spacing w:after="120"/>
              <w:jc w:val="center"/>
              <w:rPr>
                <w:rFonts w:ascii="Arial Narrow" w:hAnsi="Arial Narrow"/>
                <w:b/>
                <w:noProof/>
                <w:sz w:val="20"/>
              </w:rPr>
            </w:pPr>
          </w:p>
        </w:tc>
        <w:tc>
          <w:tcPr>
            <w:tcW w:w="1559" w:type="dxa"/>
            <w:vMerge/>
            <w:vAlign w:val="center"/>
            <w:hideMark/>
          </w:tcPr>
          <w:p w14:paraId="50378BE3" w14:textId="77777777" w:rsidR="00154E32" w:rsidRDefault="00154E32">
            <w:pPr>
              <w:spacing w:after="120"/>
              <w:jc w:val="center"/>
              <w:rPr>
                <w:rFonts w:ascii="Arial Narrow" w:hAnsi="Arial Narrow"/>
                <w:b/>
                <w:noProof/>
                <w:sz w:val="20"/>
              </w:rPr>
            </w:pPr>
          </w:p>
        </w:tc>
        <w:tc>
          <w:tcPr>
            <w:tcW w:w="1134" w:type="dxa"/>
            <w:vMerge/>
            <w:vAlign w:val="center"/>
            <w:hideMark/>
          </w:tcPr>
          <w:p w14:paraId="7DFE63F8" w14:textId="77777777" w:rsidR="00154E32" w:rsidRDefault="00154E32">
            <w:pPr>
              <w:spacing w:after="120"/>
              <w:jc w:val="center"/>
              <w:rPr>
                <w:rFonts w:ascii="Arial Narrow" w:hAnsi="Arial Narrow"/>
                <w:b/>
                <w:noProof/>
                <w:sz w:val="20"/>
              </w:rPr>
            </w:pPr>
          </w:p>
        </w:tc>
        <w:tc>
          <w:tcPr>
            <w:tcW w:w="1418" w:type="dxa"/>
            <w:vMerge/>
            <w:vAlign w:val="center"/>
            <w:hideMark/>
          </w:tcPr>
          <w:p w14:paraId="234E1F80" w14:textId="77777777" w:rsidR="00154E32" w:rsidRDefault="00154E32">
            <w:pPr>
              <w:spacing w:after="120"/>
              <w:jc w:val="center"/>
              <w:rPr>
                <w:rFonts w:ascii="Arial Narrow" w:hAnsi="Arial Narrow"/>
                <w:b/>
                <w:noProof/>
                <w:sz w:val="20"/>
              </w:rPr>
            </w:pPr>
          </w:p>
        </w:tc>
        <w:tc>
          <w:tcPr>
            <w:tcW w:w="1984" w:type="dxa"/>
            <w:vMerge/>
            <w:vAlign w:val="center"/>
            <w:hideMark/>
          </w:tcPr>
          <w:p w14:paraId="071B3577" w14:textId="77777777" w:rsidR="00154E32" w:rsidRDefault="00154E32">
            <w:pPr>
              <w:spacing w:after="120"/>
              <w:jc w:val="center"/>
              <w:rPr>
                <w:rFonts w:ascii="Arial Narrow" w:hAnsi="Arial Narrow"/>
                <w:b/>
                <w:noProof/>
                <w:sz w:val="20"/>
              </w:rPr>
            </w:pPr>
          </w:p>
        </w:tc>
        <w:tc>
          <w:tcPr>
            <w:tcW w:w="1134" w:type="dxa"/>
            <w:shd w:val="clear" w:color="auto" w:fill="BDD7EE"/>
            <w:vAlign w:val="center"/>
            <w:hideMark/>
          </w:tcPr>
          <w:p w14:paraId="317A271C" w14:textId="2065E7E3" w:rsidR="00154E32" w:rsidRDefault="00A43E04">
            <w:pPr>
              <w:pStyle w:val="P68B1DB1-Normal9"/>
              <w:spacing w:after="120"/>
              <w:jc w:val="center"/>
              <w:rPr>
                <w:noProof/>
              </w:rPr>
            </w:pPr>
            <w:r>
              <w:rPr>
                <w:noProof/>
              </w:rPr>
              <w:t>Merska enota</w:t>
            </w:r>
          </w:p>
        </w:tc>
        <w:tc>
          <w:tcPr>
            <w:tcW w:w="993" w:type="dxa"/>
            <w:shd w:val="clear" w:color="auto" w:fill="BDD7EE"/>
            <w:vAlign w:val="center"/>
            <w:hideMark/>
          </w:tcPr>
          <w:p w14:paraId="363B3118" w14:textId="77777777" w:rsidR="00154E32" w:rsidRDefault="00A43E04">
            <w:pPr>
              <w:pStyle w:val="P68B1DB1-Normal9"/>
              <w:spacing w:after="120"/>
              <w:jc w:val="center"/>
              <w:rPr>
                <w:noProof/>
              </w:rPr>
            </w:pPr>
            <w:r>
              <w:rPr>
                <w:noProof/>
              </w:rPr>
              <w:t>Izhodišče</w:t>
            </w:r>
          </w:p>
        </w:tc>
        <w:tc>
          <w:tcPr>
            <w:tcW w:w="992" w:type="dxa"/>
            <w:shd w:val="clear" w:color="auto" w:fill="BDD7EE"/>
            <w:vAlign w:val="center"/>
            <w:hideMark/>
          </w:tcPr>
          <w:p w14:paraId="17D729FB" w14:textId="77777777" w:rsidR="00154E32" w:rsidRDefault="00A43E04">
            <w:pPr>
              <w:pStyle w:val="P68B1DB1-Normal9"/>
              <w:spacing w:after="120"/>
              <w:jc w:val="center"/>
              <w:rPr>
                <w:noProof/>
              </w:rPr>
            </w:pPr>
            <w:r>
              <w:rPr>
                <w:noProof/>
              </w:rPr>
              <w:t>Cilj</w:t>
            </w:r>
          </w:p>
        </w:tc>
        <w:tc>
          <w:tcPr>
            <w:tcW w:w="992" w:type="dxa"/>
            <w:shd w:val="clear" w:color="auto" w:fill="BDD7EE"/>
            <w:vAlign w:val="center"/>
            <w:hideMark/>
          </w:tcPr>
          <w:p w14:paraId="347247DE" w14:textId="77777777" w:rsidR="00154E32" w:rsidRDefault="00A43E04">
            <w:pPr>
              <w:pStyle w:val="P68B1DB1-Normal9"/>
              <w:spacing w:after="120"/>
              <w:jc w:val="center"/>
              <w:rPr>
                <w:noProof/>
              </w:rPr>
            </w:pPr>
            <w:r>
              <w:rPr>
                <w:noProof/>
              </w:rPr>
              <w:t>Četrtletje</w:t>
            </w:r>
          </w:p>
        </w:tc>
        <w:tc>
          <w:tcPr>
            <w:tcW w:w="709" w:type="dxa"/>
            <w:shd w:val="clear" w:color="auto" w:fill="BDD7EE"/>
            <w:vAlign w:val="center"/>
            <w:hideMark/>
          </w:tcPr>
          <w:p w14:paraId="1F3BE6A4" w14:textId="77777777" w:rsidR="00154E32" w:rsidRDefault="00A43E04">
            <w:pPr>
              <w:pStyle w:val="P68B1DB1-Normal9"/>
              <w:spacing w:after="120"/>
              <w:jc w:val="center"/>
              <w:rPr>
                <w:noProof/>
              </w:rPr>
            </w:pPr>
            <w:r>
              <w:rPr>
                <w:noProof/>
              </w:rPr>
              <w:t>Leto</w:t>
            </w:r>
          </w:p>
        </w:tc>
        <w:tc>
          <w:tcPr>
            <w:tcW w:w="3261" w:type="dxa"/>
            <w:vMerge/>
            <w:vAlign w:val="center"/>
            <w:hideMark/>
          </w:tcPr>
          <w:p w14:paraId="580BF6FF" w14:textId="77777777" w:rsidR="00154E32" w:rsidRDefault="00154E32">
            <w:pPr>
              <w:spacing w:after="120"/>
              <w:jc w:val="center"/>
              <w:rPr>
                <w:rFonts w:ascii="Arial Narrow" w:hAnsi="Arial Narrow"/>
                <w:b/>
                <w:noProof/>
                <w:sz w:val="20"/>
              </w:rPr>
            </w:pPr>
          </w:p>
        </w:tc>
      </w:tr>
      <w:tr w:rsidR="00154E32" w14:paraId="44F06FAA" w14:textId="77777777">
        <w:trPr>
          <w:trHeight w:val="309"/>
        </w:trPr>
        <w:tc>
          <w:tcPr>
            <w:tcW w:w="1185" w:type="dxa"/>
            <w:shd w:val="clear" w:color="auto" w:fill="C6EFCE"/>
            <w:noWrap/>
            <w:vAlign w:val="center"/>
          </w:tcPr>
          <w:p w14:paraId="30EFFFF9" w14:textId="4A126292" w:rsidR="00154E32" w:rsidRDefault="00A43E04">
            <w:pPr>
              <w:pStyle w:val="P68B1DB1-Normal11"/>
              <w:spacing w:after="120"/>
              <w:jc w:val="center"/>
              <w:rPr>
                <w:noProof/>
              </w:rPr>
            </w:pPr>
            <w:r>
              <w:rPr>
                <w:noProof/>
              </w:rPr>
              <w:t>M7–1</w:t>
            </w:r>
          </w:p>
        </w:tc>
        <w:tc>
          <w:tcPr>
            <w:tcW w:w="1559" w:type="dxa"/>
            <w:shd w:val="clear" w:color="auto" w:fill="C6EFCE"/>
            <w:noWrap/>
          </w:tcPr>
          <w:p w14:paraId="023BB33A" w14:textId="57A7F75C" w:rsidR="00154E32" w:rsidRDefault="00A43E04">
            <w:pPr>
              <w:pStyle w:val="P68B1DB1-Normal11"/>
              <w:spacing w:after="120"/>
              <w:jc w:val="center"/>
              <w:rPr>
                <w:noProof/>
              </w:rPr>
            </w:pPr>
            <w:r>
              <w:rPr>
                <w:noProof/>
              </w:rPr>
              <w:t>Reforma 1: Racionalizacija postopkov izdaje dovoljenj za energijo iz obnovljivih virov</w:t>
            </w:r>
          </w:p>
        </w:tc>
        <w:tc>
          <w:tcPr>
            <w:tcW w:w="1134" w:type="dxa"/>
            <w:shd w:val="clear" w:color="auto" w:fill="C6EFCE"/>
            <w:noWrap/>
          </w:tcPr>
          <w:p w14:paraId="47575B49" w14:textId="61C976D6" w:rsidR="00154E32" w:rsidRDefault="00A43E04">
            <w:pPr>
              <w:pStyle w:val="P68B1DB1-Normal11"/>
              <w:spacing w:after="120"/>
              <w:jc w:val="center"/>
              <w:rPr>
                <w:noProof/>
              </w:rPr>
            </w:pPr>
            <w:r>
              <w:rPr>
                <w:noProof/>
              </w:rPr>
              <w:t>Mejnik</w:t>
            </w:r>
          </w:p>
        </w:tc>
        <w:tc>
          <w:tcPr>
            <w:tcW w:w="1418" w:type="dxa"/>
            <w:shd w:val="clear" w:color="auto" w:fill="C6EFCE"/>
            <w:noWrap/>
          </w:tcPr>
          <w:p w14:paraId="7D55E798" w14:textId="08E0D799" w:rsidR="00154E32" w:rsidRDefault="00A43E04">
            <w:pPr>
              <w:pStyle w:val="P68B1DB1-Normal11"/>
              <w:spacing w:after="120"/>
              <w:jc w:val="center"/>
              <w:rPr>
                <w:noProof/>
              </w:rPr>
            </w:pPr>
            <w:r>
              <w:rPr>
                <w:noProof/>
              </w:rPr>
              <w:t>Opredelitev „območij za pospeševanje obnovljivih virov energije“</w:t>
            </w:r>
          </w:p>
        </w:tc>
        <w:tc>
          <w:tcPr>
            <w:tcW w:w="1984" w:type="dxa"/>
            <w:shd w:val="clear" w:color="auto" w:fill="C6EFCE"/>
            <w:noWrap/>
          </w:tcPr>
          <w:p w14:paraId="63A2AE86" w14:textId="3D8132F6" w:rsidR="00154E32" w:rsidRDefault="00A43E04">
            <w:pPr>
              <w:pStyle w:val="P68B1DB1-Normal11"/>
              <w:spacing w:after="120"/>
              <w:jc w:val="center"/>
              <w:rPr>
                <w:noProof/>
              </w:rPr>
            </w:pPr>
            <w:r>
              <w:rPr>
                <w:noProof/>
              </w:rPr>
              <w:t>Določba v zakonodajnem aktu o začetku veljavnosti primarne zakonodaje za opredelitev območij za pospešeno uvajanje obnovljivih virov energije</w:t>
            </w:r>
          </w:p>
        </w:tc>
        <w:tc>
          <w:tcPr>
            <w:tcW w:w="1134" w:type="dxa"/>
            <w:shd w:val="clear" w:color="auto" w:fill="C6EFCE"/>
            <w:noWrap/>
            <w:vAlign w:val="center"/>
          </w:tcPr>
          <w:p w14:paraId="730E31B4" w14:textId="77777777" w:rsidR="00154E32" w:rsidRDefault="00154E32">
            <w:pPr>
              <w:spacing w:after="120"/>
              <w:jc w:val="center"/>
              <w:rPr>
                <w:rFonts w:ascii="Arial Narrow" w:hAnsi="Arial Narrow"/>
                <w:noProof/>
                <w:color w:val="006100"/>
                <w:sz w:val="20"/>
              </w:rPr>
            </w:pPr>
          </w:p>
        </w:tc>
        <w:tc>
          <w:tcPr>
            <w:tcW w:w="993" w:type="dxa"/>
            <w:shd w:val="clear" w:color="auto" w:fill="C6EFCE"/>
            <w:noWrap/>
            <w:vAlign w:val="center"/>
          </w:tcPr>
          <w:p w14:paraId="0295BD3B"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45893735"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3C17BDA1" w14:textId="554296E6" w:rsidR="00154E32" w:rsidRDefault="00A43E04">
            <w:pPr>
              <w:pStyle w:val="P68B1DB1-Normal11"/>
              <w:spacing w:after="120"/>
              <w:jc w:val="center"/>
              <w:rPr>
                <w:noProof/>
              </w:rPr>
            </w:pPr>
            <w:r>
              <w:rPr>
                <w:noProof/>
              </w:rPr>
              <w:t>Q4</w:t>
            </w:r>
          </w:p>
        </w:tc>
        <w:tc>
          <w:tcPr>
            <w:tcW w:w="709" w:type="dxa"/>
            <w:shd w:val="clear" w:color="auto" w:fill="C6EFCE"/>
            <w:noWrap/>
            <w:vAlign w:val="center"/>
          </w:tcPr>
          <w:p w14:paraId="75D29E01" w14:textId="0671DAB1" w:rsidR="00154E32" w:rsidRDefault="00A43E04">
            <w:pPr>
              <w:pStyle w:val="P68B1DB1-Normal11"/>
              <w:spacing w:after="120"/>
              <w:jc w:val="center"/>
              <w:rPr>
                <w:noProof/>
              </w:rPr>
            </w:pPr>
            <w:r>
              <w:rPr>
                <w:noProof/>
              </w:rPr>
              <w:t>2024</w:t>
            </w:r>
          </w:p>
        </w:tc>
        <w:tc>
          <w:tcPr>
            <w:tcW w:w="3261" w:type="dxa"/>
            <w:shd w:val="clear" w:color="auto" w:fill="C6EFCE"/>
            <w:noWrap/>
          </w:tcPr>
          <w:p w14:paraId="2C04885F" w14:textId="797D15A6" w:rsidR="00154E32" w:rsidRDefault="00A43E04">
            <w:pPr>
              <w:pStyle w:val="P68B1DB1-Normal11"/>
              <w:spacing w:after="120"/>
              <w:rPr>
                <w:noProof/>
              </w:rPr>
            </w:pPr>
            <w:r>
              <w:rPr>
                <w:noProof/>
              </w:rPr>
              <w:t>Začetek veljavnosti primarne zakonodaje, ki opredeljuje „območja za pospeševanje iz obnovljivih virov“ v podnacionalnih upravnih enotah.</w:t>
            </w:r>
          </w:p>
        </w:tc>
      </w:tr>
      <w:tr w:rsidR="00154E32" w14:paraId="1DE14B87" w14:textId="77777777">
        <w:trPr>
          <w:trHeight w:val="309"/>
        </w:trPr>
        <w:tc>
          <w:tcPr>
            <w:tcW w:w="1185" w:type="dxa"/>
            <w:shd w:val="clear" w:color="auto" w:fill="C6EFCE"/>
            <w:noWrap/>
          </w:tcPr>
          <w:p w14:paraId="4B9F4738" w14:textId="75A73F20" w:rsidR="00154E32" w:rsidRDefault="00A43E04">
            <w:pPr>
              <w:pStyle w:val="P68B1DB1-Normal11"/>
              <w:spacing w:after="120"/>
              <w:jc w:val="center"/>
              <w:rPr>
                <w:noProof/>
              </w:rPr>
            </w:pPr>
            <w:r>
              <w:rPr>
                <w:noProof/>
              </w:rPr>
              <w:t>M7–2</w:t>
            </w:r>
          </w:p>
        </w:tc>
        <w:tc>
          <w:tcPr>
            <w:tcW w:w="1559" w:type="dxa"/>
            <w:shd w:val="clear" w:color="auto" w:fill="C6EFCE"/>
            <w:noWrap/>
          </w:tcPr>
          <w:p w14:paraId="387C01FE" w14:textId="60343CE4" w:rsidR="00154E32" w:rsidRDefault="00A43E04">
            <w:pPr>
              <w:pStyle w:val="P68B1DB1-Normal11"/>
              <w:spacing w:after="120"/>
              <w:jc w:val="center"/>
              <w:rPr>
                <w:noProof/>
              </w:rPr>
            </w:pPr>
            <w:r>
              <w:rPr>
                <w:noProof/>
              </w:rPr>
              <w:t>Reforma 1: Racionalizacija postopkov izdaje dovoljenj za energijo iz obnovljivih virov</w:t>
            </w:r>
          </w:p>
        </w:tc>
        <w:tc>
          <w:tcPr>
            <w:tcW w:w="1134" w:type="dxa"/>
            <w:shd w:val="clear" w:color="auto" w:fill="C6EFCE"/>
            <w:noWrap/>
          </w:tcPr>
          <w:p w14:paraId="08652E2A" w14:textId="4F10D10B" w:rsidR="00154E32" w:rsidRDefault="00A43E04">
            <w:pPr>
              <w:pStyle w:val="P68B1DB1-Normal11"/>
              <w:spacing w:after="120"/>
              <w:jc w:val="center"/>
              <w:rPr>
                <w:noProof/>
              </w:rPr>
            </w:pPr>
            <w:r>
              <w:rPr>
                <w:noProof/>
              </w:rPr>
              <w:t>Mejnik</w:t>
            </w:r>
          </w:p>
        </w:tc>
        <w:tc>
          <w:tcPr>
            <w:tcW w:w="1418" w:type="dxa"/>
            <w:shd w:val="clear" w:color="auto" w:fill="C6EFCE"/>
            <w:noWrap/>
          </w:tcPr>
          <w:p w14:paraId="2CA8C046" w14:textId="53306125" w:rsidR="00154E32" w:rsidRDefault="00A43E04">
            <w:pPr>
              <w:pStyle w:val="P68B1DB1-Normal11"/>
              <w:spacing w:after="120"/>
              <w:jc w:val="center"/>
              <w:rPr>
                <w:noProof/>
              </w:rPr>
            </w:pPr>
            <w:r>
              <w:rPr>
                <w:noProof/>
              </w:rPr>
              <w:t xml:space="preserve">Začetek veljavnosti primarne zakonodaje (Testo Unico) </w:t>
            </w:r>
          </w:p>
        </w:tc>
        <w:tc>
          <w:tcPr>
            <w:tcW w:w="1984" w:type="dxa"/>
            <w:shd w:val="clear" w:color="auto" w:fill="C6EFCE"/>
            <w:noWrap/>
          </w:tcPr>
          <w:p w14:paraId="60E50E0D" w14:textId="7853D677" w:rsidR="00154E32" w:rsidRDefault="00A43E04">
            <w:pPr>
              <w:pStyle w:val="P68B1DB1-Normal11"/>
              <w:spacing w:after="120"/>
              <w:jc w:val="center"/>
              <w:rPr>
                <w:noProof/>
              </w:rPr>
            </w:pPr>
            <w:r>
              <w:rPr>
                <w:noProof/>
              </w:rPr>
              <w:t>Določba zakona o začetku veljavnosti primarne zakonodaje</w:t>
            </w:r>
          </w:p>
        </w:tc>
        <w:tc>
          <w:tcPr>
            <w:tcW w:w="1134" w:type="dxa"/>
            <w:shd w:val="clear" w:color="auto" w:fill="C6EFCE"/>
            <w:noWrap/>
          </w:tcPr>
          <w:p w14:paraId="4E58F3A5" w14:textId="77777777" w:rsidR="00154E32" w:rsidRDefault="00154E32">
            <w:pPr>
              <w:spacing w:after="120"/>
              <w:jc w:val="center"/>
              <w:rPr>
                <w:rFonts w:ascii="Arial Narrow" w:hAnsi="Arial Narrow"/>
                <w:noProof/>
                <w:color w:val="006100"/>
                <w:sz w:val="20"/>
              </w:rPr>
            </w:pPr>
          </w:p>
        </w:tc>
        <w:tc>
          <w:tcPr>
            <w:tcW w:w="993" w:type="dxa"/>
            <w:shd w:val="clear" w:color="auto" w:fill="C6EFCE"/>
            <w:noWrap/>
          </w:tcPr>
          <w:p w14:paraId="4587E27F"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09090F03"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3B9196A5" w14:textId="2D442670" w:rsidR="00154E32" w:rsidRDefault="00A43E04">
            <w:pPr>
              <w:pStyle w:val="P68B1DB1-Normal11"/>
              <w:spacing w:after="120"/>
              <w:jc w:val="center"/>
              <w:rPr>
                <w:noProof/>
              </w:rPr>
            </w:pPr>
            <w:r>
              <w:rPr>
                <w:noProof/>
              </w:rPr>
              <w:t>Q2</w:t>
            </w:r>
          </w:p>
        </w:tc>
        <w:tc>
          <w:tcPr>
            <w:tcW w:w="709" w:type="dxa"/>
            <w:shd w:val="clear" w:color="auto" w:fill="C6EFCE"/>
            <w:noWrap/>
            <w:vAlign w:val="center"/>
          </w:tcPr>
          <w:p w14:paraId="5B4D0664" w14:textId="0E5B89E9" w:rsidR="00154E32" w:rsidRDefault="00A43E04">
            <w:pPr>
              <w:pStyle w:val="P68B1DB1-Normal11"/>
              <w:spacing w:after="120"/>
              <w:jc w:val="center"/>
              <w:rPr>
                <w:noProof/>
              </w:rPr>
            </w:pPr>
            <w:r>
              <w:rPr>
                <w:noProof/>
              </w:rPr>
              <w:t>2025</w:t>
            </w:r>
          </w:p>
        </w:tc>
        <w:tc>
          <w:tcPr>
            <w:tcW w:w="3261" w:type="dxa"/>
            <w:shd w:val="clear" w:color="auto" w:fill="C6EFCE"/>
            <w:noWrap/>
          </w:tcPr>
          <w:p w14:paraId="34FB0AFD" w14:textId="0675F336" w:rsidR="00154E32" w:rsidRDefault="00A43E04">
            <w:pPr>
              <w:pStyle w:val="P68B1DB1-Normal11"/>
              <w:spacing w:after="120"/>
              <w:rPr>
                <w:noProof/>
              </w:rPr>
            </w:pPr>
            <w:r>
              <w:rPr>
                <w:noProof/>
              </w:rPr>
              <w:t xml:space="preserve">Začetek veljavnosti Testo Unico (primarna zakonodaja), ki zbira, zbira in konsolidira vse norme, ki urejajo uvajanje obnovljivih virov energije, ter nadomešča vso ustrezno preteklo zakonodajo. </w:t>
            </w:r>
          </w:p>
        </w:tc>
      </w:tr>
      <w:tr w:rsidR="00154E32" w14:paraId="1A7D1303" w14:textId="77777777">
        <w:trPr>
          <w:trHeight w:val="309"/>
        </w:trPr>
        <w:tc>
          <w:tcPr>
            <w:tcW w:w="1185" w:type="dxa"/>
            <w:shd w:val="clear" w:color="auto" w:fill="C6EFCE"/>
            <w:noWrap/>
          </w:tcPr>
          <w:p w14:paraId="4CD7482F" w14:textId="001B58FD" w:rsidR="00154E32" w:rsidRDefault="00A43E04">
            <w:pPr>
              <w:pStyle w:val="P68B1DB1-Normal11"/>
              <w:spacing w:after="120"/>
              <w:jc w:val="center"/>
              <w:rPr>
                <w:noProof/>
              </w:rPr>
            </w:pPr>
            <w:r>
              <w:rPr>
                <w:noProof/>
              </w:rPr>
              <w:t>M7–3</w:t>
            </w:r>
          </w:p>
        </w:tc>
        <w:tc>
          <w:tcPr>
            <w:tcW w:w="1559" w:type="dxa"/>
            <w:shd w:val="clear" w:color="auto" w:fill="C6EFCE"/>
            <w:noWrap/>
          </w:tcPr>
          <w:p w14:paraId="3E4A2597" w14:textId="77777777" w:rsidR="00154E32" w:rsidRDefault="00A43E04">
            <w:pPr>
              <w:pStyle w:val="P68B1DB1-Normal11"/>
              <w:spacing w:after="120"/>
              <w:jc w:val="center"/>
              <w:rPr>
                <w:noProof/>
              </w:rPr>
            </w:pPr>
            <w:r>
              <w:rPr>
                <w:noProof/>
              </w:rPr>
              <w:t>Reforma 1: Racionalizacija postopkov izdaje dovoljenj za energijo iz obnovljivih virov</w:t>
            </w:r>
          </w:p>
          <w:p w14:paraId="79F91A8C" w14:textId="5D34ADBB" w:rsidR="00154E32" w:rsidRDefault="00154E32">
            <w:pPr>
              <w:spacing w:after="120"/>
              <w:rPr>
                <w:rFonts w:ascii="Arial Narrow" w:hAnsi="Arial Narrow"/>
                <w:noProof/>
                <w:color w:val="006100"/>
                <w:sz w:val="20"/>
              </w:rPr>
            </w:pPr>
          </w:p>
        </w:tc>
        <w:tc>
          <w:tcPr>
            <w:tcW w:w="1134" w:type="dxa"/>
            <w:shd w:val="clear" w:color="auto" w:fill="C6EFCE"/>
            <w:noWrap/>
          </w:tcPr>
          <w:p w14:paraId="647C6724" w14:textId="6C6CDE6B" w:rsidR="00154E32" w:rsidRDefault="00A43E04">
            <w:pPr>
              <w:pStyle w:val="P68B1DB1-Normal11"/>
              <w:spacing w:after="120"/>
              <w:jc w:val="center"/>
              <w:rPr>
                <w:noProof/>
              </w:rPr>
            </w:pPr>
            <w:r>
              <w:rPr>
                <w:noProof/>
              </w:rPr>
              <w:t>Mejnik</w:t>
            </w:r>
          </w:p>
        </w:tc>
        <w:tc>
          <w:tcPr>
            <w:tcW w:w="1418" w:type="dxa"/>
            <w:shd w:val="clear" w:color="auto" w:fill="C6EFCE"/>
            <w:noWrap/>
          </w:tcPr>
          <w:p w14:paraId="138DBAB4" w14:textId="009A457C" w:rsidR="00154E32" w:rsidRDefault="00A43E04">
            <w:pPr>
              <w:pStyle w:val="P68B1DB1-Normal11"/>
              <w:spacing w:after="120"/>
              <w:jc w:val="center"/>
              <w:rPr>
                <w:noProof/>
              </w:rPr>
            </w:pPr>
            <w:r>
              <w:rPr>
                <w:noProof/>
              </w:rPr>
              <w:t>Vzpostavitev in operacionalizacija digitalne platforme za enkratni vstop za dovoljenja v zvezi z obnovljivimi viri energije</w:t>
            </w:r>
          </w:p>
        </w:tc>
        <w:tc>
          <w:tcPr>
            <w:tcW w:w="1984" w:type="dxa"/>
            <w:shd w:val="clear" w:color="auto" w:fill="C6EFCE"/>
            <w:noWrap/>
          </w:tcPr>
          <w:p w14:paraId="3F405113" w14:textId="225C1079" w:rsidR="00154E32" w:rsidRDefault="00A43E04">
            <w:pPr>
              <w:pStyle w:val="P68B1DB1-Normal11"/>
              <w:spacing w:after="120"/>
              <w:jc w:val="center"/>
              <w:rPr>
                <w:noProof/>
              </w:rPr>
            </w:pPr>
            <w:r>
              <w:rPr>
                <w:noProof/>
              </w:rPr>
              <w:t>Vzpostavitev in operacionalizacija digitalne platforme za enotni vstop za izdajo dovoljenj v zvezi z obnovljivimi viri energije</w:t>
            </w:r>
          </w:p>
        </w:tc>
        <w:tc>
          <w:tcPr>
            <w:tcW w:w="1134" w:type="dxa"/>
            <w:shd w:val="clear" w:color="auto" w:fill="C6EFCE"/>
            <w:noWrap/>
          </w:tcPr>
          <w:p w14:paraId="21731CE5" w14:textId="407C090A" w:rsidR="00154E32" w:rsidRDefault="00154E32">
            <w:pPr>
              <w:spacing w:after="120"/>
              <w:jc w:val="center"/>
              <w:rPr>
                <w:rFonts w:ascii="Arial Narrow" w:hAnsi="Arial Narrow"/>
                <w:noProof/>
                <w:color w:val="006100"/>
                <w:sz w:val="20"/>
              </w:rPr>
            </w:pPr>
          </w:p>
        </w:tc>
        <w:tc>
          <w:tcPr>
            <w:tcW w:w="993" w:type="dxa"/>
            <w:shd w:val="clear" w:color="auto" w:fill="C6EFCE"/>
            <w:noWrap/>
          </w:tcPr>
          <w:p w14:paraId="5828529C" w14:textId="7173970D"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1DF60736" w14:textId="7A76C66E"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027F629C" w14:textId="6478B7D5" w:rsidR="00154E32" w:rsidRDefault="00A43E04">
            <w:pPr>
              <w:pStyle w:val="P68B1DB1-Normal11"/>
              <w:spacing w:after="120"/>
              <w:jc w:val="center"/>
              <w:rPr>
                <w:noProof/>
              </w:rPr>
            </w:pPr>
            <w:r>
              <w:rPr>
                <w:noProof/>
              </w:rPr>
              <w:t>Q4</w:t>
            </w:r>
          </w:p>
        </w:tc>
        <w:tc>
          <w:tcPr>
            <w:tcW w:w="709" w:type="dxa"/>
            <w:shd w:val="clear" w:color="auto" w:fill="C6EFCE"/>
            <w:noWrap/>
            <w:vAlign w:val="center"/>
          </w:tcPr>
          <w:p w14:paraId="6BF6B2CA" w14:textId="2F0B6162" w:rsidR="00154E32" w:rsidRDefault="00A43E04">
            <w:pPr>
              <w:pStyle w:val="P68B1DB1-Normal11"/>
              <w:spacing w:after="120"/>
              <w:jc w:val="center"/>
              <w:rPr>
                <w:noProof/>
              </w:rPr>
            </w:pPr>
            <w:r>
              <w:rPr>
                <w:noProof/>
              </w:rPr>
              <w:t>2025</w:t>
            </w:r>
          </w:p>
        </w:tc>
        <w:tc>
          <w:tcPr>
            <w:tcW w:w="3261" w:type="dxa"/>
            <w:shd w:val="clear" w:color="auto" w:fill="C6EFCE"/>
            <w:noWrap/>
          </w:tcPr>
          <w:p w14:paraId="7235F175" w14:textId="2E0123E7" w:rsidR="00154E32" w:rsidRDefault="00A43E04">
            <w:pPr>
              <w:pStyle w:val="P68B1DB1-Normal11"/>
              <w:spacing w:after="120"/>
              <w:rPr>
                <w:noProof/>
              </w:rPr>
            </w:pPr>
            <w:r>
              <w:rPr>
                <w:noProof/>
              </w:rPr>
              <w:t>Vzpostavi in operacionalizira se digitalna platforma z enim vstopom za pridobitev vseh dovoljenj v zvezi z namestitvijo in uporabo obnovljivih virov energije na nacionalni in regionalni ravni. Načelo „samo enkrat“ je v veljavi.</w:t>
            </w:r>
          </w:p>
        </w:tc>
      </w:tr>
      <w:tr w:rsidR="00154E32" w14:paraId="19F658A3" w14:textId="77777777">
        <w:trPr>
          <w:trHeight w:val="309"/>
        </w:trPr>
        <w:tc>
          <w:tcPr>
            <w:tcW w:w="1185" w:type="dxa"/>
            <w:shd w:val="clear" w:color="auto" w:fill="C6EFCE"/>
            <w:noWrap/>
          </w:tcPr>
          <w:p w14:paraId="728A284F" w14:textId="63349832" w:rsidR="00154E32" w:rsidRDefault="00A43E04">
            <w:pPr>
              <w:pStyle w:val="P68B1DB1-Normal11"/>
              <w:spacing w:after="120"/>
              <w:jc w:val="center"/>
              <w:rPr>
                <w:noProof/>
              </w:rPr>
            </w:pPr>
            <w:r>
              <w:rPr>
                <w:noProof/>
              </w:rPr>
              <w:t>M7–4</w:t>
            </w:r>
          </w:p>
        </w:tc>
        <w:tc>
          <w:tcPr>
            <w:tcW w:w="1559" w:type="dxa"/>
            <w:shd w:val="clear" w:color="auto" w:fill="C6EFCE"/>
            <w:noWrap/>
          </w:tcPr>
          <w:p w14:paraId="39395742" w14:textId="4EB28DB5" w:rsidR="00154E32" w:rsidRDefault="00A43E04">
            <w:pPr>
              <w:pStyle w:val="P68B1DB1-Normal11"/>
              <w:spacing w:after="120"/>
              <w:jc w:val="center"/>
              <w:rPr>
                <w:noProof/>
              </w:rPr>
            </w:pPr>
            <w:r>
              <w:rPr>
                <w:noProof/>
              </w:rPr>
              <w:t>Reforma 2: Zmanjšanje okolju škodljivih subvencij</w:t>
            </w:r>
          </w:p>
        </w:tc>
        <w:tc>
          <w:tcPr>
            <w:tcW w:w="1134" w:type="dxa"/>
            <w:shd w:val="clear" w:color="auto" w:fill="C6EFCE"/>
            <w:noWrap/>
          </w:tcPr>
          <w:p w14:paraId="67D562DB" w14:textId="46463822" w:rsidR="00154E32" w:rsidRDefault="00A43E04">
            <w:pPr>
              <w:pStyle w:val="P68B1DB1-Normal11"/>
              <w:spacing w:after="120"/>
              <w:jc w:val="center"/>
              <w:rPr>
                <w:noProof/>
              </w:rPr>
            </w:pPr>
            <w:r>
              <w:rPr>
                <w:noProof/>
              </w:rPr>
              <w:t>Mejnik</w:t>
            </w:r>
          </w:p>
        </w:tc>
        <w:tc>
          <w:tcPr>
            <w:tcW w:w="1418" w:type="dxa"/>
            <w:shd w:val="clear" w:color="auto" w:fill="C6EFCE"/>
            <w:noWrap/>
          </w:tcPr>
          <w:p w14:paraId="003E4A46" w14:textId="4C58FF4F" w:rsidR="00154E32" w:rsidRDefault="00A43E04">
            <w:pPr>
              <w:pStyle w:val="P68B1DB1-Normal11"/>
              <w:spacing w:after="120"/>
              <w:jc w:val="center"/>
              <w:rPr>
                <w:noProof/>
              </w:rPr>
            </w:pPr>
            <w:r>
              <w:rPr>
                <w:noProof/>
              </w:rPr>
              <w:t>Sprejetje vladnega poročila, ki temelji na izidu vladnega posvetovanja z deležniki za opredelitev načrta za zmanjšanje okolju škodljivih subvencij do leta 2030.</w:t>
            </w:r>
          </w:p>
        </w:tc>
        <w:tc>
          <w:tcPr>
            <w:tcW w:w="1984" w:type="dxa"/>
            <w:shd w:val="clear" w:color="auto" w:fill="C6EFCE"/>
            <w:noWrap/>
          </w:tcPr>
          <w:p w14:paraId="70B40351" w14:textId="0D0CCFCE" w:rsidR="00154E32" w:rsidRDefault="00A43E04">
            <w:pPr>
              <w:pStyle w:val="P68B1DB1-Normal11"/>
              <w:spacing w:after="120"/>
              <w:jc w:val="center"/>
              <w:rPr>
                <w:noProof/>
              </w:rPr>
            </w:pPr>
            <w:r>
              <w:rPr>
                <w:noProof/>
              </w:rPr>
              <w:t>Sprejetje vladnega poročila</w:t>
            </w:r>
          </w:p>
        </w:tc>
        <w:tc>
          <w:tcPr>
            <w:tcW w:w="1134" w:type="dxa"/>
            <w:shd w:val="clear" w:color="auto" w:fill="C6EFCE"/>
            <w:noWrap/>
          </w:tcPr>
          <w:p w14:paraId="44F03ADB" w14:textId="09A4DE4D" w:rsidR="00154E32" w:rsidRDefault="00154E32">
            <w:pPr>
              <w:spacing w:after="120"/>
              <w:jc w:val="center"/>
              <w:rPr>
                <w:rFonts w:ascii="Arial Narrow" w:hAnsi="Arial Narrow"/>
                <w:noProof/>
                <w:color w:val="006100"/>
                <w:sz w:val="20"/>
              </w:rPr>
            </w:pPr>
          </w:p>
        </w:tc>
        <w:tc>
          <w:tcPr>
            <w:tcW w:w="993" w:type="dxa"/>
            <w:shd w:val="clear" w:color="auto" w:fill="C6EFCE"/>
            <w:noWrap/>
          </w:tcPr>
          <w:p w14:paraId="4F0EB228" w14:textId="3BB77F8B"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01D59721" w14:textId="603F004E"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7A13845B" w14:textId="23FC43CA" w:rsidR="00154E32" w:rsidRDefault="00A43E04">
            <w:pPr>
              <w:pStyle w:val="P68B1DB1-Normal11"/>
              <w:spacing w:after="120"/>
              <w:jc w:val="center"/>
              <w:rPr>
                <w:noProof/>
              </w:rPr>
            </w:pPr>
            <w:r>
              <w:rPr>
                <w:noProof/>
              </w:rPr>
              <w:t>Q4</w:t>
            </w:r>
          </w:p>
        </w:tc>
        <w:tc>
          <w:tcPr>
            <w:tcW w:w="709" w:type="dxa"/>
            <w:shd w:val="clear" w:color="auto" w:fill="C6EFCE"/>
            <w:noWrap/>
            <w:vAlign w:val="center"/>
          </w:tcPr>
          <w:p w14:paraId="59C9A02E" w14:textId="2403EEC6" w:rsidR="00154E32" w:rsidRDefault="00A43E04">
            <w:pPr>
              <w:pStyle w:val="P68B1DB1-Normal11"/>
              <w:spacing w:after="120"/>
              <w:jc w:val="center"/>
              <w:rPr>
                <w:noProof/>
              </w:rPr>
            </w:pPr>
            <w:r>
              <w:rPr>
                <w:noProof/>
              </w:rPr>
              <w:t>2024</w:t>
            </w:r>
          </w:p>
        </w:tc>
        <w:tc>
          <w:tcPr>
            <w:tcW w:w="3261" w:type="dxa"/>
            <w:shd w:val="clear" w:color="auto" w:fill="C6EFCE"/>
            <w:noWrap/>
          </w:tcPr>
          <w:p w14:paraId="2712DEB4" w14:textId="6F07C090" w:rsidR="00154E32" w:rsidRDefault="00A43E04">
            <w:pPr>
              <w:pStyle w:val="P68B1DB1-Normal11"/>
              <w:spacing w:after="120"/>
              <w:rPr>
                <w:noProof/>
              </w:rPr>
            </w:pPr>
            <w:r>
              <w:rPr>
                <w:noProof/>
              </w:rPr>
              <w:t>Z reformo se zagotovi zmanjšanje okolju škodljivih subvencij iz kataloga subvencij, škodljivih za okolje, za leto 2022. V poročilu so opisani ukrepi, sprejeti za posvetovanje z ustreznimi deležniki o zgoraj navedeni reformi okolju škodljivih subvencij, vključno s prispevki deležnikov. Deležniki, s katerimi se je posvetovalo, vključujejo ustrezne javne organe in zasebne deležnike.</w:t>
            </w:r>
          </w:p>
        </w:tc>
      </w:tr>
      <w:tr w:rsidR="00154E32" w14:paraId="3668A8C0" w14:textId="77777777">
        <w:trPr>
          <w:trHeight w:val="309"/>
        </w:trPr>
        <w:tc>
          <w:tcPr>
            <w:tcW w:w="1185" w:type="dxa"/>
            <w:shd w:val="clear" w:color="auto" w:fill="C6EFCE"/>
            <w:noWrap/>
          </w:tcPr>
          <w:p w14:paraId="3178006C" w14:textId="2999C93E" w:rsidR="00154E32" w:rsidRDefault="00A43E04">
            <w:pPr>
              <w:pStyle w:val="P68B1DB1-Normal11"/>
              <w:spacing w:after="120"/>
              <w:jc w:val="center"/>
              <w:rPr>
                <w:noProof/>
              </w:rPr>
            </w:pPr>
            <w:r>
              <w:rPr>
                <w:noProof/>
              </w:rPr>
              <w:t>M7–5</w:t>
            </w:r>
          </w:p>
        </w:tc>
        <w:tc>
          <w:tcPr>
            <w:tcW w:w="1559" w:type="dxa"/>
            <w:shd w:val="clear" w:color="auto" w:fill="C6EFCE"/>
            <w:noWrap/>
          </w:tcPr>
          <w:p w14:paraId="63B4F225" w14:textId="372AE438" w:rsidR="00154E32" w:rsidRDefault="00A43E04">
            <w:pPr>
              <w:pStyle w:val="P68B1DB1-Normal11"/>
              <w:spacing w:after="120"/>
              <w:jc w:val="center"/>
              <w:rPr>
                <w:noProof/>
              </w:rPr>
            </w:pPr>
            <w:r>
              <w:rPr>
                <w:noProof/>
              </w:rPr>
              <w:t>Reforma 2: Zmanjšanje okolju škodljivih subvencij</w:t>
            </w:r>
          </w:p>
        </w:tc>
        <w:tc>
          <w:tcPr>
            <w:tcW w:w="1134" w:type="dxa"/>
            <w:shd w:val="clear" w:color="auto" w:fill="C6EFCE"/>
            <w:noWrap/>
          </w:tcPr>
          <w:p w14:paraId="2FBA5726" w14:textId="4591120E" w:rsidR="00154E32" w:rsidRDefault="00A43E04">
            <w:pPr>
              <w:pStyle w:val="P68B1DB1-Normal11"/>
              <w:spacing w:after="120"/>
              <w:jc w:val="center"/>
              <w:rPr>
                <w:noProof/>
              </w:rPr>
            </w:pPr>
            <w:r>
              <w:rPr>
                <w:noProof/>
              </w:rPr>
              <w:t>Mejnik</w:t>
            </w:r>
          </w:p>
        </w:tc>
        <w:tc>
          <w:tcPr>
            <w:tcW w:w="1418" w:type="dxa"/>
            <w:shd w:val="clear" w:color="auto" w:fill="C6EFCE"/>
            <w:noWrap/>
          </w:tcPr>
          <w:p w14:paraId="1AAE2140" w14:textId="2429B4A8" w:rsidR="00154E32" w:rsidRDefault="00A43E04">
            <w:pPr>
              <w:pStyle w:val="P68B1DB1-Normal11"/>
              <w:spacing w:after="120"/>
              <w:jc w:val="center"/>
              <w:rPr>
                <w:noProof/>
              </w:rPr>
            </w:pPr>
            <w:r>
              <w:rPr>
                <w:noProof/>
              </w:rPr>
              <w:t>Začetek veljavnosti primarne in sekundarne zakonodaje.</w:t>
            </w:r>
          </w:p>
        </w:tc>
        <w:tc>
          <w:tcPr>
            <w:tcW w:w="1984" w:type="dxa"/>
            <w:shd w:val="clear" w:color="auto" w:fill="C6EFCE"/>
            <w:noWrap/>
            <w:vAlign w:val="center"/>
          </w:tcPr>
          <w:p w14:paraId="253E62ED" w14:textId="4ACAF97C" w:rsidR="00154E32" w:rsidRDefault="00A43E04">
            <w:pPr>
              <w:pStyle w:val="P68B1DB1-Normal11"/>
              <w:spacing w:after="120"/>
              <w:jc w:val="center"/>
              <w:rPr>
                <w:noProof/>
              </w:rPr>
            </w:pPr>
            <w:r>
              <w:rPr>
                <w:noProof/>
              </w:rPr>
              <w:t>Določba zakona o začetku veljavnosti primarne in sekundarne zakonodaje.</w:t>
            </w:r>
          </w:p>
        </w:tc>
        <w:tc>
          <w:tcPr>
            <w:tcW w:w="1134" w:type="dxa"/>
            <w:shd w:val="clear" w:color="auto" w:fill="C6EFCE"/>
            <w:noWrap/>
            <w:vAlign w:val="center"/>
          </w:tcPr>
          <w:p w14:paraId="6565ED4B" w14:textId="1A93E095" w:rsidR="00154E32" w:rsidRDefault="00154E32">
            <w:pPr>
              <w:spacing w:after="120"/>
              <w:jc w:val="center"/>
              <w:rPr>
                <w:rFonts w:ascii="Arial Narrow" w:hAnsi="Arial Narrow"/>
                <w:noProof/>
                <w:color w:val="006100"/>
                <w:sz w:val="20"/>
              </w:rPr>
            </w:pPr>
          </w:p>
        </w:tc>
        <w:tc>
          <w:tcPr>
            <w:tcW w:w="993" w:type="dxa"/>
            <w:shd w:val="clear" w:color="auto" w:fill="C6EFCE"/>
            <w:noWrap/>
            <w:vAlign w:val="center"/>
          </w:tcPr>
          <w:p w14:paraId="124D563A" w14:textId="0B5D6FBA"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3BF1ABD6" w14:textId="020B6CE6"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415A167F" w14:textId="26874490" w:rsidR="00154E32" w:rsidRDefault="00A43E04">
            <w:pPr>
              <w:pStyle w:val="P68B1DB1-Normal11"/>
              <w:spacing w:after="120"/>
              <w:jc w:val="center"/>
              <w:rPr>
                <w:noProof/>
              </w:rPr>
            </w:pPr>
            <w:r>
              <w:rPr>
                <w:noProof/>
              </w:rPr>
              <w:t>Q4</w:t>
            </w:r>
          </w:p>
        </w:tc>
        <w:tc>
          <w:tcPr>
            <w:tcW w:w="709" w:type="dxa"/>
            <w:shd w:val="clear" w:color="auto" w:fill="C6EFCE"/>
            <w:noWrap/>
            <w:vAlign w:val="center"/>
          </w:tcPr>
          <w:p w14:paraId="381DD33D" w14:textId="7621FB5A" w:rsidR="00154E32" w:rsidRDefault="00A43E04">
            <w:pPr>
              <w:pStyle w:val="P68B1DB1-Normal11"/>
              <w:spacing w:after="120"/>
              <w:jc w:val="center"/>
              <w:rPr>
                <w:noProof/>
              </w:rPr>
            </w:pPr>
            <w:r>
              <w:rPr>
                <w:noProof/>
              </w:rPr>
              <w:t>2025</w:t>
            </w:r>
          </w:p>
        </w:tc>
        <w:tc>
          <w:tcPr>
            <w:tcW w:w="3261" w:type="dxa"/>
            <w:shd w:val="clear" w:color="auto" w:fill="C6EFCE"/>
            <w:noWrap/>
            <w:vAlign w:val="center"/>
          </w:tcPr>
          <w:p w14:paraId="3B1D13A5" w14:textId="74449713" w:rsidR="00154E32" w:rsidRDefault="00A43E04">
            <w:pPr>
              <w:pStyle w:val="P68B1DB1-Normal11"/>
              <w:spacing w:after="120"/>
              <w:rPr>
                <w:noProof/>
              </w:rPr>
            </w:pPr>
            <w:r>
              <w:rPr>
                <w:noProof/>
              </w:rPr>
              <w:t xml:space="preserve">Izvajanje reforme okolju škodljivih subvencij se začne z zmanjšanjem okolju škodljivih subvencij za vsaj 2 milijardi EUR leta 2026. </w:t>
            </w:r>
          </w:p>
          <w:p w14:paraId="6B3DA17A" w14:textId="46C300C9" w:rsidR="00154E32" w:rsidRDefault="00A43E04">
            <w:pPr>
              <w:pStyle w:val="P68B1DB1-Normal11"/>
              <w:spacing w:after="120"/>
              <w:rPr>
                <w:noProof/>
              </w:rPr>
            </w:pPr>
            <w:r>
              <w:rPr>
                <w:noProof/>
              </w:rPr>
              <w:t>Poleg tega se v zakonodaji določi časovni razpored za nadaljnje zmanjšanje okolju škodljivih subvencij v višini vsaj 3,5 milijarde EUR do leta 2030.</w:t>
            </w:r>
          </w:p>
        </w:tc>
      </w:tr>
      <w:tr w:rsidR="00154E32" w14:paraId="0C2134E5" w14:textId="77777777">
        <w:trPr>
          <w:trHeight w:val="309"/>
        </w:trPr>
        <w:tc>
          <w:tcPr>
            <w:tcW w:w="1185" w:type="dxa"/>
            <w:shd w:val="clear" w:color="auto" w:fill="C6EFCE"/>
            <w:noWrap/>
            <w:vAlign w:val="center"/>
          </w:tcPr>
          <w:p w14:paraId="6DA6CFE3" w14:textId="2FC7A135" w:rsidR="00154E32" w:rsidRDefault="00A43E04">
            <w:pPr>
              <w:pStyle w:val="P68B1DB1-Normal11"/>
              <w:spacing w:after="120"/>
              <w:jc w:val="center"/>
              <w:rPr>
                <w:noProof/>
              </w:rPr>
            </w:pPr>
            <w:r>
              <w:rPr>
                <w:noProof/>
              </w:rPr>
              <w:t>M7–6</w:t>
            </w:r>
          </w:p>
        </w:tc>
        <w:tc>
          <w:tcPr>
            <w:tcW w:w="1559" w:type="dxa"/>
            <w:shd w:val="clear" w:color="auto" w:fill="C6EFCE"/>
            <w:noWrap/>
          </w:tcPr>
          <w:p w14:paraId="33823AD1" w14:textId="726DCE1B" w:rsidR="00154E32" w:rsidRDefault="00A43E04">
            <w:pPr>
              <w:pStyle w:val="P68B1DB1-Normal11"/>
              <w:spacing w:after="120"/>
              <w:jc w:val="center"/>
              <w:rPr>
                <w:noProof/>
              </w:rPr>
            </w:pPr>
            <w:r>
              <w:rPr>
                <w:noProof/>
              </w:rPr>
              <w:t>Reforma 3: Znižanje stroškov priključitve biometana na plinsko omrežje</w:t>
            </w:r>
          </w:p>
        </w:tc>
        <w:tc>
          <w:tcPr>
            <w:tcW w:w="1134" w:type="dxa"/>
            <w:shd w:val="clear" w:color="auto" w:fill="C6EFCE"/>
            <w:noWrap/>
          </w:tcPr>
          <w:p w14:paraId="26172770" w14:textId="68278193" w:rsidR="00154E32" w:rsidRDefault="00A43E04">
            <w:pPr>
              <w:pStyle w:val="P68B1DB1-Normal11"/>
              <w:spacing w:after="120"/>
              <w:jc w:val="center"/>
              <w:rPr>
                <w:noProof/>
              </w:rPr>
            </w:pPr>
            <w:r>
              <w:rPr>
                <w:noProof/>
              </w:rPr>
              <w:t>Mejnik</w:t>
            </w:r>
          </w:p>
        </w:tc>
        <w:tc>
          <w:tcPr>
            <w:tcW w:w="1418" w:type="dxa"/>
            <w:shd w:val="clear" w:color="auto" w:fill="C6EFCE"/>
            <w:noWrap/>
          </w:tcPr>
          <w:p w14:paraId="6150C06A" w14:textId="4EA2CBF4" w:rsidR="00154E32" w:rsidRDefault="00A43E04">
            <w:pPr>
              <w:pStyle w:val="P68B1DB1-Normal11"/>
              <w:spacing w:after="120"/>
              <w:jc w:val="center"/>
              <w:rPr>
                <w:noProof/>
              </w:rPr>
            </w:pPr>
            <w:r>
              <w:rPr>
                <w:noProof/>
              </w:rPr>
              <w:t xml:space="preserve">Začetek veljavnosti zakonodaje za zmanjšanje stroškov priključitve obratov za proizvodnjo biometana na plinsko omrežje </w:t>
            </w:r>
          </w:p>
        </w:tc>
        <w:tc>
          <w:tcPr>
            <w:tcW w:w="1984" w:type="dxa"/>
            <w:shd w:val="clear" w:color="auto" w:fill="C6EFCE"/>
            <w:noWrap/>
          </w:tcPr>
          <w:p w14:paraId="71F27C58" w14:textId="7FDED245" w:rsidR="00154E32" w:rsidRDefault="00A43E04">
            <w:pPr>
              <w:pStyle w:val="P68B1DB1-Normal11"/>
              <w:spacing w:after="120"/>
              <w:jc w:val="center"/>
              <w:rPr>
                <w:noProof/>
              </w:rPr>
            </w:pPr>
            <w:r>
              <w:rPr>
                <w:noProof/>
              </w:rPr>
              <w:t>Določba zakona o začetku veljavnosti primarne in sekundarne zakonodaje.</w:t>
            </w:r>
          </w:p>
        </w:tc>
        <w:tc>
          <w:tcPr>
            <w:tcW w:w="1134" w:type="dxa"/>
            <w:shd w:val="clear" w:color="auto" w:fill="C6EFCE"/>
            <w:noWrap/>
          </w:tcPr>
          <w:p w14:paraId="7E993400" w14:textId="77777777" w:rsidR="00154E32" w:rsidRDefault="00154E32">
            <w:pPr>
              <w:spacing w:after="120"/>
              <w:jc w:val="center"/>
              <w:rPr>
                <w:rFonts w:ascii="Arial Narrow" w:hAnsi="Arial Narrow"/>
                <w:noProof/>
                <w:color w:val="006100"/>
                <w:sz w:val="20"/>
              </w:rPr>
            </w:pPr>
          </w:p>
        </w:tc>
        <w:tc>
          <w:tcPr>
            <w:tcW w:w="993" w:type="dxa"/>
            <w:shd w:val="clear" w:color="auto" w:fill="C6EFCE"/>
            <w:noWrap/>
          </w:tcPr>
          <w:p w14:paraId="566CE3E7" w14:textId="77777777" w:rsidR="00154E32" w:rsidRDefault="00154E32">
            <w:pPr>
              <w:spacing w:after="120"/>
              <w:jc w:val="center"/>
              <w:rPr>
                <w:rFonts w:ascii="Arial Narrow" w:hAnsi="Arial Narrow"/>
                <w:noProof/>
                <w:color w:val="006100"/>
                <w:sz w:val="20"/>
              </w:rPr>
            </w:pPr>
          </w:p>
        </w:tc>
        <w:tc>
          <w:tcPr>
            <w:tcW w:w="992" w:type="dxa"/>
            <w:shd w:val="clear" w:color="auto" w:fill="C6EFCE"/>
            <w:noWrap/>
          </w:tcPr>
          <w:p w14:paraId="2A6FF128" w14:textId="77777777" w:rsidR="00154E32" w:rsidRDefault="00154E32">
            <w:pPr>
              <w:spacing w:after="120"/>
              <w:jc w:val="center"/>
              <w:rPr>
                <w:rFonts w:ascii="Arial Narrow" w:hAnsi="Arial Narrow"/>
                <w:noProof/>
                <w:color w:val="006100"/>
                <w:sz w:val="20"/>
              </w:rPr>
            </w:pPr>
          </w:p>
        </w:tc>
        <w:tc>
          <w:tcPr>
            <w:tcW w:w="992" w:type="dxa"/>
            <w:shd w:val="clear" w:color="auto" w:fill="C6EFCE"/>
            <w:noWrap/>
          </w:tcPr>
          <w:p w14:paraId="23835603" w14:textId="34A7638C" w:rsidR="00154E32" w:rsidRDefault="00A43E04">
            <w:pPr>
              <w:pStyle w:val="P68B1DB1-Normal11"/>
              <w:spacing w:after="120"/>
              <w:jc w:val="center"/>
              <w:rPr>
                <w:noProof/>
              </w:rPr>
            </w:pPr>
            <w:r>
              <w:rPr>
                <w:noProof/>
              </w:rPr>
              <w:t>Q3</w:t>
            </w:r>
          </w:p>
        </w:tc>
        <w:tc>
          <w:tcPr>
            <w:tcW w:w="709" w:type="dxa"/>
            <w:shd w:val="clear" w:color="auto" w:fill="C6EFCE"/>
            <w:noWrap/>
          </w:tcPr>
          <w:p w14:paraId="008779B3" w14:textId="327DF627" w:rsidR="00154E32" w:rsidRDefault="00A43E04">
            <w:pPr>
              <w:pStyle w:val="P68B1DB1-Normal11"/>
              <w:spacing w:after="120"/>
              <w:jc w:val="center"/>
              <w:rPr>
                <w:noProof/>
              </w:rPr>
            </w:pPr>
            <w:r>
              <w:rPr>
                <w:noProof/>
              </w:rPr>
              <w:t>2025</w:t>
            </w:r>
          </w:p>
        </w:tc>
        <w:tc>
          <w:tcPr>
            <w:tcW w:w="3261" w:type="dxa"/>
            <w:shd w:val="clear" w:color="auto" w:fill="C6EFCE"/>
            <w:noWrap/>
          </w:tcPr>
          <w:p w14:paraId="417685D7" w14:textId="7A05AA87" w:rsidR="00154E32" w:rsidRDefault="00A43E04">
            <w:pPr>
              <w:pStyle w:val="P68B1DB1-Normal11"/>
              <w:spacing w:after="120"/>
              <w:rPr>
                <w:noProof/>
              </w:rPr>
            </w:pPr>
            <w:r>
              <w:rPr>
                <w:noProof/>
              </w:rPr>
              <w:t>Zakonodaja:</w:t>
            </w:r>
          </w:p>
          <w:p w14:paraId="34A689E4" w14:textId="544F8599" w:rsidR="00154E32" w:rsidRDefault="00A43E04">
            <w:pPr>
              <w:pStyle w:val="P68B1DB1-ListParagraph13"/>
              <w:numPr>
                <w:ilvl w:val="3"/>
                <w:numId w:val="23"/>
              </w:numPr>
              <w:spacing w:before="0"/>
              <w:ind w:left="382"/>
              <w:contextualSpacing w:val="0"/>
              <w:rPr>
                <w:noProof/>
              </w:rPr>
            </w:pPr>
            <w:r>
              <w:rPr>
                <w:noProof/>
              </w:rPr>
              <w:t>Zmanjša stroške priključitve na plinsko omrežje obratov za proizvodnjo biometana za proizvajalca.</w:t>
            </w:r>
          </w:p>
          <w:p w14:paraId="68547BE0" w14:textId="05607472" w:rsidR="00154E32" w:rsidRDefault="00A43E04">
            <w:pPr>
              <w:pStyle w:val="P68B1DB1-ListParagraph13"/>
              <w:numPr>
                <w:ilvl w:val="3"/>
                <w:numId w:val="23"/>
              </w:numPr>
              <w:spacing w:before="0"/>
              <w:ind w:left="382"/>
              <w:contextualSpacing w:val="0"/>
              <w:rPr>
                <w:noProof/>
              </w:rPr>
            </w:pPr>
            <w:r>
              <w:rPr>
                <w:noProof/>
              </w:rPr>
              <w:t xml:space="preserve">Zagotavljanje regulativnih spodbud za naložbe v plinsko omrežje za razvoj obnovljivih plinov. </w:t>
            </w:r>
          </w:p>
        </w:tc>
      </w:tr>
      <w:tr w:rsidR="00154E32" w14:paraId="6164198F" w14:textId="77777777">
        <w:trPr>
          <w:trHeight w:val="309"/>
        </w:trPr>
        <w:tc>
          <w:tcPr>
            <w:tcW w:w="1185" w:type="dxa"/>
            <w:shd w:val="clear" w:color="auto" w:fill="C6EFCE"/>
            <w:noWrap/>
            <w:vAlign w:val="center"/>
          </w:tcPr>
          <w:p w14:paraId="52E5373C" w14:textId="7F92AAC4" w:rsidR="00154E32" w:rsidRDefault="00A43E04">
            <w:pPr>
              <w:pStyle w:val="P68B1DB1-Normal11"/>
              <w:spacing w:after="120"/>
              <w:jc w:val="center"/>
              <w:rPr>
                <w:noProof/>
              </w:rPr>
            </w:pPr>
            <w:r>
              <w:rPr>
                <w:noProof/>
              </w:rPr>
              <w:t>M7–7</w:t>
            </w:r>
          </w:p>
        </w:tc>
        <w:tc>
          <w:tcPr>
            <w:tcW w:w="1559" w:type="dxa"/>
            <w:shd w:val="clear" w:color="auto" w:fill="C6EFCE"/>
            <w:noWrap/>
            <w:vAlign w:val="center"/>
          </w:tcPr>
          <w:p w14:paraId="3E84D9D4" w14:textId="74E578B3" w:rsidR="00154E32" w:rsidRDefault="00A43E04">
            <w:pPr>
              <w:pStyle w:val="P68B1DB1-Normal11"/>
              <w:spacing w:after="120"/>
              <w:jc w:val="center"/>
              <w:rPr>
                <w:noProof/>
              </w:rPr>
            </w:pPr>
            <w:r>
              <w:rPr>
                <w:noProof/>
              </w:rPr>
              <w:t>Reforma 4: Zmanjševanje finančnega tveganja, povezanega s pogodbami o nakupu električne energije iz obnovljivih virov (pogodbe o nakupu električne energije)</w:t>
            </w:r>
          </w:p>
        </w:tc>
        <w:tc>
          <w:tcPr>
            <w:tcW w:w="1134" w:type="dxa"/>
            <w:shd w:val="clear" w:color="auto" w:fill="C6EFCE"/>
            <w:noWrap/>
            <w:vAlign w:val="center"/>
          </w:tcPr>
          <w:p w14:paraId="09A57C7A" w14:textId="4BF82F31" w:rsidR="00154E32" w:rsidRDefault="00A43E04">
            <w:pPr>
              <w:pStyle w:val="P68B1DB1-Normal11"/>
              <w:spacing w:after="120"/>
              <w:jc w:val="center"/>
              <w:rPr>
                <w:noProof/>
              </w:rPr>
            </w:pPr>
            <w:r>
              <w:rPr>
                <w:noProof/>
              </w:rPr>
              <w:t>Mejnik</w:t>
            </w:r>
          </w:p>
        </w:tc>
        <w:tc>
          <w:tcPr>
            <w:tcW w:w="1418" w:type="dxa"/>
            <w:shd w:val="clear" w:color="auto" w:fill="C6EFCE"/>
            <w:noWrap/>
            <w:vAlign w:val="center"/>
          </w:tcPr>
          <w:p w14:paraId="2CA4FB5C" w14:textId="0B3753EE" w:rsidR="00154E32" w:rsidRDefault="00A43E04">
            <w:pPr>
              <w:pStyle w:val="P68B1DB1-Normal11"/>
              <w:spacing w:after="120"/>
              <w:jc w:val="center"/>
              <w:rPr>
                <w:noProof/>
              </w:rPr>
            </w:pPr>
            <w:r>
              <w:rPr>
                <w:noProof/>
              </w:rPr>
              <w:t>Začetek veljavnosti primarne zakonodaje</w:t>
            </w:r>
          </w:p>
        </w:tc>
        <w:tc>
          <w:tcPr>
            <w:tcW w:w="1984" w:type="dxa"/>
            <w:shd w:val="clear" w:color="auto" w:fill="C6EFCE"/>
            <w:noWrap/>
            <w:vAlign w:val="center"/>
          </w:tcPr>
          <w:p w14:paraId="504BC440" w14:textId="345C64DE" w:rsidR="00154E32" w:rsidRDefault="00A43E04">
            <w:pPr>
              <w:pStyle w:val="P68B1DB1-Normal11"/>
              <w:spacing w:after="120"/>
              <w:jc w:val="center"/>
              <w:rPr>
                <w:noProof/>
              </w:rPr>
            </w:pPr>
            <w:r>
              <w:rPr>
                <w:noProof/>
              </w:rPr>
              <w:t>Določba zakona o začetku veljavnosti zakona</w:t>
            </w:r>
          </w:p>
        </w:tc>
        <w:tc>
          <w:tcPr>
            <w:tcW w:w="1134" w:type="dxa"/>
            <w:shd w:val="clear" w:color="auto" w:fill="C6EFCE"/>
            <w:noWrap/>
            <w:vAlign w:val="center"/>
          </w:tcPr>
          <w:p w14:paraId="05B49E33" w14:textId="77777777" w:rsidR="00154E32" w:rsidRDefault="00154E32">
            <w:pPr>
              <w:spacing w:after="120"/>
              <w:jc w:val="center"/>
              <w:rPr>
                <w:rFonts w:ascii="Arial Narrow" w:hAnsi="Arial Narrow"/>
                <w:noProof/>
                <w:color w:val="006100"/>
                <w:sz w:val="20"/>
              </w:rPr>
            </w:pPr>
          </w:p>
        </w:tc>
        <w:tc>
          <w:tcPr>
            <w:tcW w:w="993" w:type="dxa"/>
            <w:shd w:val="clear" w:color="auto" w:fill="C6EFCE"/>
            <w:noWrap/>
            <w:vAlign w:val="center"/>
          </w:tcPr>
          <w:p w14:paraId="7D25C0EC"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2C6718FE"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0A369A79" w14:textId="6E95D956" w:rsidR="00154E32" w:rsidRDefault="00A43E04">
            <w:pPr>
              <w:pStyle w:val="P68B1DB1-Normal11"/>
              <w:spacing w:after="120"/>
              <w:jc w:val="center"/>
              <w:rPr>
                <w:noProof/>
              </w:rPr>
            </w:pPr>
            <w:r>
              <w:rPr>
                <w:noProof/>
              </w:rPr>
              <w:t>Q3</w:t>
            </w:r>
          </w:p>
        </w:tc>
        <w:tc>
          <w:tcPr>
            <w:tcW w:w="709" w:type="dxa"/>
            <w:shd w:val="clear" w:color="auto" w:fill="C6EFCE"/>
            <w:noWrap/>
            <w:vAlign w:val="center"/>
          </w:tcPr>
          <w:p w14:paraId="6BD0D165" w14:textId="46EBC3C3" w:rsidR="00154E32" w:rsidRDefault="00A43E04">
            <w:pPr>
              <w:pStyle w:val="P68B1DB1-Normal11"/>
              <w:spacing w:after="120"/>
              <w:jc w:val="center"/>
              <w:rPr>
                <w:noProof/>
              </w:rPr>
            </w:pPr>
            <w:r>
              <w:rPr>
                <w:noProof/>
              </w:rPr>
              <w:t>2024</w:t>
            </w:r>
          </w:p>
        </w:tc>
        <w:tc>
          <w:tcPr>
            <w:tcW w:w="3261" w:type="dxa"/>
            <w:shd w:val="clear" w:color="auto" w:fill="C6EFCE"/>
            <w:noWrap/>
            <w:vAlign w:val="center"/>
          </w:tcPr>
          <w:p w14:paraId="3FE52B6B" w14:textId="4D2C6721" w:rsidR="00154E32" w:rsidRDefault="00A43E04">
            <w:pPr>
              <w:pStyle w:val="P68B1DB1-Normal11"/>
              <w:spacing w:after="120"/>
              <w:rPr>
                <w:noProof/>
              </w:rPr>
            </w:pPr>
            <w:r>
              <w:rPr>
                <w:noProof/>
              </w:rPr>
              <w:t>Začetek veljavnosti primarne zakonodaje. Primarna zakonodaja:</w:t>
            </w:r>
          </w:p>
          <w:p w14:paraId="3DC0E031" w14:textId="77777777" w:rsidR="00154E32" w:rsidRDefault="00A43E04">
            <w:pPr>
              <w:pStyle w:val="P68B1DB1-ListParagraph13"/>
              <w:numPr>
                <w:ilvl w:val="0"/>
                <w:numId w:val="37"/>
              </w:numPr>
              <w:spacing w:before="0"/>
              <w:ind w:left="301" w:hanging="284"/>
              <w:contextualSpacing w:val="0"/>
              <w:rPr>
                <w:noProof/>
              </w:rPr>
            </w:pPr>
            <w:r>
              <w:rPr>
                <w:noProof/>
              </w:rPr>
              <w:t xml:space="preserve">od vsakega operaterja zahteva, da zagotovi delno kritje protivrednosti pogodb o nakupu električne energije z jamstvenimi instrumenti, zagotovljenimi na trgu električne energije; </w:t>
            </w:r>
          </w:p>
          <w:p w14:paraId="7AB81E7D" w14:textId="77777777" w:rsidR="00154E32" w:rsidRDefault="00A43E04">
            <w:pPr>
              <w:pStyle w:val="P68B1DB1-ListParagraph13"/>
              <w:numPr>
                <w:ilvl w:val="0"/>
                <w:numId w:val="37"/>
              </w:numPr>
              <w:spacing w:before="0"/>
              <w:ind w:left="301" w:hanging="284"/>
              <w:contextualSpacing w:val="0"/>
              <w:rPr>
                <w:noProof/>
              </w:rPr>
            </w:pPr>
            <w:r>
              <w:rPr>
                <w:noProof/>
              </w:rPr>
              <w:t>uvedba ukrepov za zmanjšanje tveganja neizpolnjevanja obveznosti, vključno z zahtevami in omejitvami za ponudnika ter regulativnimi sankcijami v primeru neizpolnjevanja obveznosti proizvajalca</w:t>
            </w:r>
          </w:p>
          <w:p w14:paraId="44FE0DCC" w14:textId="047696AD" w:rsidR="00154E32" w:rsidRDefault="00A43E04">
            <w:pPr>
              <w:pStyle w:val="P68B1DB1-ListParagraph13"/>
              <w:numPr>
                <w:ilvl w:val="0"/>
                <w:numId w:val="37"/>
              </w:numPr>
              <w:spacing w:before="0"/>
              <w:ind w:left="301" w:hanging="284"/>
              <w:contextualSpacing w:val="0"/>
              <w:rPr>
                <w:noProof/>
              </w:rPr>
            </w:pPr>
            <w:r>
              <w:rPr>
                <w:noProof/>
              </w:rPr>
              <w:t>opredelite institucionalni subjekt, ki prevzame vlogo prodajalca/kupca v skrajni sili, ki bi prevzel odgovornost od nasprotne stranke, ki ne izpolnjuje obveznosti, in zagotovil izpolnjevanje prevzetih obveznosti do uspešnega partnerja.</w:t>
            </w:r>
          </w:p>
        </w:tc>
      </w:tr>
      <w:tr w:rsidR="00154E32" w14:paraId="231339ED" w14:textId="77777777">
        <w:trPr>
          <w:trHeight w:val="309"/>
        </w:trPr>
        <w:tc>
          <w:tcPr>
            <w:tcW w:w="1185" w:type="dxa"/>
            <w:shd w:val="clear" w:color="auto" w:fill="C6EFCE"/>
            <w:noWrap/>
            <w:vAlign w:val="center"/>
          </w:tcPr>
          <w:p w14:paraId="262C7B35" w14:textId="0BEC04A5" w:rsidR="00154E32" w:rsidRDefault="00A43E04">
            <w:pPr>
              <w:pStyle w:val="P68B1DB1-Normal11"/>
              <w:spacing w:after="120"/>
              <w:jc w:val="center"/>
              <w:rPr>
                <w:noProof/>
              </w:rPr>
            </w:pPr>
            <w:r>
              <w:rPr>
                <w:noProof/>
              </w:rPr>
              <w:t>M7–8</w:t>
            </w:r>
          </w:p>
        </w:tc>
        <w:tc>
          <w:tcPr>
            <w:tcW w:w="1559" w:type="dxa"/>
            <w:shd w:val="clear" w:color="auto" w:fill="C6EFCE"/>
            <w:noWrap/>
            <w:vAlign w:val="center"/>
          </w:tcPr>
          <w:p w14:paraId="137F6E68" w14:textId="193B63DC" w:rsidR="00154E32" w:rsidRDefault="00A43E04">
            <w:pPr>
              <w:pStyle w:val="P68B1DB1-Normal11"/>
              <w:spacing w:after="120"/>
              <w:jc w:val="center"/>
              <w:rPr>
                <w:noProof/>
              </w:rPr>
            </w:pPr>
            <w:r>
              <w:rPr>
                <w:noProof/>
              </w:rPr>
              <w:t>Reforma 4: Zmanjševanje finančnega tveganja, povezanega s pogodbami o nakupu električne energije iz obnovljivih virov (pogodbe o nakupu električne energije)</w:t>
            </w:r>
          </w:p>
        </w:tc>
        <w:tc>
          <w:tcPr>
            <w:tcW w:w="1134" w:type="dxa"/>
            <w:shd w:val="clear" w:color="auto" w:fill="C6EFCE"/>
            <w:noWrap/>
            <w:vAlign w:val="center"/>
          </w:tcPr>
          <w:p w14:paraId="1ABB5091" w14:textId="561E8177" w:rsidR="00154E32" w:rsidRDefault="00A43E04">
            <w:pPr>
              <w:pStyle w:val="P68B1DB1-Normal11"/>
              <w:spacing w:after="120"/>
              <w:jc w:val="center"/>
              <w:rPr>
                <w:noProof/>
              </w:rPr>
            </w:pPr>
            <w:r>
              <w:rPr>
                <w:noProof/>
              </w:rPr>
              <w:t>Mejnik</w:t>
            </w:r>
          </w:p>
        </w:tc>
        <w:tc>
          <w:tcPr>
            <w:tcW w:w="1418" w:type="dxa"/>
            <w:shd w:val="clear" w:color="auto" w:fill="C6EFCE"/>
            <w:noWrap/>
            <w:vAlign w:val="center"/>
          </w:tcPr>
          <w:p w14:paraId="1F0E9AC7" w14:textId="3BF05754" w:rsidR="00154E32" w:rsidRDefault="00A43E04">
            <w:pPr>
              <w:pStyle w:val="P68B1DB1-Normal11"/>
              <w:spacing w:after="120"/>
              <w:jc w:val="center"/>
              <w:rPr>
                <w:noProof/>
              </w:rPr>
            </w:pPr>
            <w:r>
              <w:rPr>
                <w:noProof/>
              </w:rPr>
              <w:t>Začetek veljavnosti sekundarne zakonodaje</w:t>
            </w:r>
          </w:p>
        </w:tc>
        <w:tc>
          <w:tcPr>
            <w:tcW w:w="1984" w:type="dxa"/>
            <w:shd w:val="clear" w:color="auto" w:fill="C6EFCE"/>
            <w:noWrap/>
            <w:vAlign w:val="center"/>
          </w:tcPr>
          <w:p w14:paraId="0E547E71" w14:textId="223E7658" w:rsidR="00154E32" w:rsidRDefault="00A43E04">
            <w:pPr>
              <w:pStyle w:val="P68B1DB1-Normal11"/>
              <w:spacing w:after="120"/>
              <w:jc w:val="center"/>
              <w:rPr>
                <w:noProof/>
              </w:rPr>
            </w:pPr>
            <w:r>
              <w:rPr>
                <w:noProof/>
              </w:rPr>
              <w:t>Določba zakona o začetku veljavnosti sekundarne zakonodaje</w:t>
            </w:r>
          </w:p>
        </w:tc>
        <w:tc>
          <w:tcPr>
            <w:tcW w:w="1134" w:type="dxa"/>
            <w:shd w:val="clear" w:color="auto" w:fill="C6EFCE"/>
            <w:noWrap/>
            <w:vAlign w:val="center"/>
          </w:tcPr>
          <w:p w14:paraId="5A8366BA" w14:textId="77777777" w:rsidR="00154E32" w:rsidRDefault="00154E32">
            <w:pPr>
              <w:spacing w:after="120"/>
              <w:jc w:val="center"/>
              <w:rPr>
                <w:rFonts w:ascii="Arial Narrow" w:hAnsi="Arial Narrow"/>
                <w:noProof/>
                <w:color w:val="006100"/>
                <w:sz w:val="20"/>
              </w:rPr>
            </w:pPr>
          </w:p>
        </w:tc>
        <w:tc>
          <w:tcPr>
            <w:tcW w:w="993" w:type="dxa"/>
            <w:shd w:val="clear" w:color="auto" w:fill="C6EFCE"/>
            <w:noWrap/>
            <w:vAlign w:val="center"/>
          </w:tcPr>
          <w:p w14:paraId="7E08D7D1"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344C5C7F"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70853971" w14:textId="4FCBAFA8" w:rsidR="00154E32" w:rsidRDefault="00A43E04">
            <w:pPr>
              <w:pStyle w:val="P68B1DB1-Normal11"/>
              <w:spacing w:after="120"/>
              <w:jc w:val="center"/>
              <w:rPr>
                <w:noProof/>
              </w:rPr>
            </w:pPr>
            <w:r>
              <w:rPr>
                <w:noProof/>
              </w:rPr>
              <w:t>Q4</w:t>
            </w:r>
          </w:p>
        </w:tc>
        <w:tc>
          <w:tcPr>
            <w:tcW w:w="709" w:type="dxa"/>
            <w:shd w:val="clear" w:color="auto" w:fill="C6EFCE"/>
            <w:noWrap/>
            <w:vAlign w:val="center"/>
          </w:tcPr>
          <w:p w14:paraId="41F9A4ED" w14:textId="24AAE0E9" w:rsidR="00154E32" w:rsidRDefault="00A43E04">
            <w:pPr>
              <w:pStyle w:val="P68B1DB1-Normal11"/>
              <w:spacing w:after="120"/>
              <w:jc w:val="center"/>
              <w:rPr>
                <w:noProof/>
              </w:rPr>
            </w:pPr>
            <w:r>
              <w:rPr>
                <w:noProof/>
              </w:rPr>
              <w:t>2024</w:t>
            </w:r>
          </w:p>
        </w:tc>
        <w:tc>
          <w:tcPr>
            <w:tcW w:w="3261" w:type="dxa"/>
            <w:shd w:val="clear" w:color="auto" w:fill="C6EFCE"/>
            <w:noWrap/>
            <w:vAlign w:val="center"/>
          </w:tcPr>
          <w:p w14:paraId="21390220" w14:textId="311B8F8F" w:rsidR="00154E32" w:rsidRDefault="00A43E04">
            <w:pPr>
              <w:pStyle w:val="P68B1DB1-Normal11"/>
              <w:spacing w:after="120"/>
              <w:rPr>
                <w:noProof/>
              </w:rPr>
            </w:pPr>
            <w:r>
              <w:rPr>
                <w:noProof/>
              </w:rPr>
              <w:t>Začetek veljavnosti vse sekundarne zakonodaje, ki zagotavlja izvajanje primarne zakonodaje.</w:t>
            </w:r>
          </w:p>
        </w:tc>
      </w:tr>
      <w:tr w:rsidR="00154E32" w14:paraId="1670DEC9" w14:textId="77777777">
        <w:trPr>
          <w:trHeight w:val="309"/>
        </w:trPr>
        <w:tc>
          <w:tcPr>
            <w:tcW w:w="1185" w:type="dxa"/>
            <w:shd w:val="clear" w:color="auto" w:fill="C6EFCE"/>
            <w:noWrap/>
            <w:vAlign w:val="center"/>
          </w:tcPr>
          <w:p w14:paraId="20212C2A" w14:textId="71B36B00" w:rsidR="00154E32" w:rsidRDefault="00A43E04">
            <w:pPr>
              <w:pStyle w:val="P68B1DB1-Normal11"/>
              <w:spacing w:after="120"/>
              <w:jc w:val="center"/>
              <w:rPr>
                <w:noProof/>
              </w:rPr>
            </w:pPr>
            <w:r>
              <w:rPr>
                <w:noProof/>
              </w:rPr>
              <w:t>M7–9</w:t>
            </w:r>
          </w:p>
        </w:tc>
        <w:tc>
          <w:tcPr>
            <w:tcW w:w="1559" w:type="dxa"/>
            <w:shd w:val="clear" w:color="auto" w:fill="C6EFCE"/>
            <w:noWrap/>
            <w:vAlign w:val="center"/>
          </w:tcPr>
          <w:p w14:paraId="33A804ED" w14:textId="55BDF6F0" w:rsidR="00154E32" w:rsidRDefault="00A43E04">
            <w:pPr>
              <w:pStyle w:val="P68B1DB1-Normal11"/>
              <w:spacing w:after="120"/>
              <w:jc w:val="center"/>
              <w:rPr>
                <w:noProof/>
              </w:rPr>
            </w:pPr>
            <w:r>
              <w:rPr>
                <w:noProof/>
              </w:rPr>
              <w:t>Reforma 5: Načrt za nova znanja in spretnosti – prehodi</w:t>
            </w:r>
          </w:p>
        </w:tc>
        <w:tc>
          <w:tcPr>
            <w:tcW w:w="1134" w:type="dxa"/>
            <w:shd w:val="clear" w:color="auto" w:fill="C6EFCE"/>
            <w:noWrap/>
            <w:vAlign w:val="center"/>
          </w:tcPr>
          <w:p w14:paraId="4FD1BE61" w14:textId="3604F92A" w:rsidR="00154E32" w:rsidRDefault="00A43E04">
            <w:pPr>
              <w:pStyle w:val="P68B1DB1-Normal11"/>
              <w:spacing w:after="120"/>
              <w:jc w:val="center"/>
              <w:rPr>
                <w:noProof/>
              </w:rPr>
            </w:pPr>
            <w:r>
              <w:rPr>
                <w:noProof/>
              </w:rPr>
              <w:t>Mejnik</w:t>
            </w:r>
          </w:p>
        </w:tc>
        <w:tc>
          <w:tcPr>
            <w:tcW w:w="1418" w:type="dxa"/>
            <w:shd w:val="clear" w:color="auto" w:fill="C6EFCE"/>
            <w:noWrap/>
            <w:vAlign w:val="center"/>
          </w:tcPr>
          <w:p w14:paraId="3C81779D" w14:textId="6DA470E0" w:rsidR="00154E32" w:rsidRDefault="00A43E04">
            <w:pPr>
              <w:pStyle w:val="P68B1DB1-Normal11"/>
              <w:spacing w:after="120"/>
              <w:jc w:val="center"/>
              <w:rPr>
                <w:noProof/>
              </w:rPr>
            </w:pPr>
            <w:r>
              <w:rPr>
                <w:noProof/>
              </w:rPr>
              <w:t>Sprejetje in objava novega načrta znanj in spretnosti – prehodi in časovni načrt za izvajanje</w:t>
            </w:r>
          </w:p>
        </w:tc>
        <w:tc>
          <w:tcPr>
            <w:tcW w:w="1984" w:type="dxa"/>
            <w:shd w:val="clear" w:color="auto" w:fill="C6EFCE"/>
            <w:noWrap/>
            <w:vAlign w:val="center"/>
          </w:tcPr>
          <w:p w14:paraId="4DD69CD9" w14:textId="4083E102" w:rsidR="00154E32" w:rsidRDefault="00A43E04">
            <w:pPr>
              <w:pStyle w:val="P68B1DB1-Normal11"/>
              <w:spacing w:after="120"/>
              <w:jc w:val="center"/>
              <w:rPr>
                <w:noProof/>
              </w:rPr>
            </w:pPr>
            <w:r>
              <w:rPr>
                <w:noProof/>
              </w:rPr>
              <w:t>Sprejetje načrta in časovnega načrta</w:t>
            </w:r>
          </w:p>
        </w:tc>
        <w:tc>
          <w:tcPr>
            <w:tcW w:w="1134" w:type="dxa"/>
            <w:shd w:val="clear" w:color="auto" w:fill="C6EFCE"/>
            <w:noWrap/>
            <w:vAlign w:val="center"/>
          </w:tcPr>
          <w:p w14:paraId="3D4C105E" w14:textId="77777777" w:rsidR="00154E32" w:rsidRDefault="00154E32">
            <w:pPr>
              <w:spacing w:after="120"/>
              <w:jc w:val="center"/>
              <w:rPr>
                <w:rFonts w:ascii="Arial Narrow" w:hAnsi="Arial Narrow"/>
                <w:noProof/>
                <w:color w:val="006100"/>
                <w:sz w:val="20"/>
              </w:rPr>
            </w:pPr>
          </w:p>
        </w:tc>
        <w:tc>
          <w:tcPr>
            <w:tcW w:w="993" w:type="dxa"/>
            <w:shd w:val="clear" w:color="auto" w:fill="C6EFCE"/>
            <w:noWrap/>
            <w:vAlign w:val="center"/>
          </w:tcPr>
          <w:p w14:paraId="2A1CB054"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29A5599D"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476BA05F" w14:textId="25E35B62" w:rsidR="00154E32" w:rsidRDefault="00A43E04">
            <w:pPr>
              <w:pStyle w:val="P68B1DB1-Normal11"/>
              <w:spacing w:after="120"/>
              <w:jc w:val="center"/>
              <w:rPr>
                <w:noProof/>
              </w:rPr>
            </w:pPr>
            <w:r>
              <w:rPr>
                <w:noProof/>
              </w:rPr>
              <w:t>ČETRTLETJE 1</w:t>
            </w:r>
          </w:p>
        </w:tc>
        <w:tc>
          <w:tcPr>
            <w:tcW w:w="709" w:type="dxa"/>
            <w:shd w:val="clear" w:color="auto" w:fill="C6EFCE"/>
            <w:noWrap/>
            <w:vAlign w:val="center"/>
          </w:tcPr>
          <w:p w14:paraId="06F4292B" w14:textId="1E359359" w:rsidR="00154E32" w:rsidRDefault="00A43E04">
            <w:pPr>
              <w:pStyle w:val="P68B1DB1-Normal11"/>
              <w:spacing w:after="120"/>
              <w:jc w:val="center"/>
              <w:rPr>
                <w:noProof/>
              </w:rPr>
            </w:pPr>
            <w:r>
              <w:rPr>
                <w:noProof/>
              </w:rPr>
              <w:t>2024</w:t>
            </w:r>
          </w:p>
        </w:tc>
        <w:tc>
          <w:tcPr>
            <w:tcW w:w="3261" w:type="dxa"/>
            <w:shd w:val="clear" w:color="auto" w:fill="C6EFCE"/>
            <w:noWrap/>
            <w:vAlign w:val="center"/>
          </w:tcPr>
          <w:p w14:paraId="429B4AB7" w14:textId="77777777" w:rsidR="00154E32" w:rsidRDefault="00A43E04">
            <w:pPr>
              <w:pStyle w:val="P68B1DB1-Normal11"/>
              <w:spacing w:after="120"/>
              <w:rPr>
                <w:noProof/>
              </w:rPr>
            </w:pPr>
            <w:r>
              <w:rPr>
                <w:noProof/>
              </w:rPr>
              <w:t>„Piano Nuove Competenze“, ki je bil sprejet z odlokom z dne 14. decembra 2021 in objavljen v Gazzetta ufficiale n.307 z dne 28. decembra 2021, se spremeni in začne veljati nov načrt za tranzicijska znanja in spretnosti. Načrt vključuje splošna načela, ki jih je treba podrobneje opredeliti z regionalnimi zakoni, ki vključujejo:</w:t>
            </w:r>
          </w:p>
          <w:p w14:paraId="7CBDCD72" w14:textId="77777777" w:rsidR="00154E32" w:rsidRDefault="00A43E04">
            <w:pPr>
              <w:pStyle w:val="P68B1DB1-ListParagraph13"/>
              <w:numPr>
                <w:ilvl w:val="0"/>
                <w:numId w:val="34"/>
              </w:numPr>
              <w:spacing w:before="0"/>
              <w:ind w:left="382" w:hanging="142"/>
              <w:contextualSpacing w:val="0"/>
              <w:rPr>
                <w:noProof/>
              </w:rPr>
            </w:pPr>
            <w:r>
              <w:rPr>
                <w:noProof/>
              </w:rPr>
              <w:t xml:space="preserve">večja vključenost zasebnega sektorja v zagotavljanje usposabljanja, </w:t>
            </w:r>
          </w:p>
          <w:p w14:paraId="5F9E3904" w14:textId="77777777" w:rsidR="00154E32" w:rsidRDefault="00A43E04">
            <w:pPr>
              <w:pStyle w:val="P68B1DB1-ListParagraph13"/>
              <w:numPr>
                <w:ilvl w:val="0"/>
                <w:numId w:val="34"/>
              </w:numPr>
              <w:spacing w:before="0"/>
              <w:ind w:left="382" w:hanging="142"/>
              <w:contextualSpacing w:val="0"/>
              <w:rPr>
                <w:noProof/>
              </w:rPr>
            </w:pPr>
            <w:r>
              <w:rPr>
                <w:noProof/>
              </w:rPr>
              <w:t xml:space="preserve">boljše priznavanje usposabljanja na delovnem mestu in mikrokvalifikacij, </w:t>
            </w:r>
          </w:p>
          <w:p w14:paraId="3B5F08AD" w14:textId="77777777" w:rsidR="00154E32" w:rsidRDefault="00A43E04">
            <w:pPr>
              <w:pStyle w:val="P68B1DB1-ListParagraph13"/>
              <w:numPr>
                <w:ilvl w:val="0"/>
                <w:numId w:val="34"/>
              </w:numPr>
              <w:spacing w:before="0"/>
              <w:ind w:left="382" w:hanging="142"/>
              <w:contextualSpacing w:val="0"/>
              <w:rPr>
                <w:noProof/>
              </w:rPr>
            </w:pPr>
            <w:r>
              <w:rPr>
                <w:noProof/>
              </w:rPr>
              <w:t xml:space="preserve">večja predhodna analiza trga dela in spremljanje poklicnih učinkov usposabljanja. </w:t>
            </w:r>
          </w:p>
          <w:p w14:paraId="5FDC0320" w14:textId="067B1847" w:rsidR="00154E32" w:rsidRDefault="00A43E04">
            <w:pPr>
              <w:pStyle w:val="P68B1DB1-Normal11"/>
              <w:spacing w:after="120"/>
              <w:rPr>
                <w:noProof/>
              </w:rPr>
            </w:pPr>
            <w:r>
              <w:rPr>
                <w:noProof/>
              </w:rPr>
              <w:t>Sprejet je tudi časovni načrt izvajanja.</w:t>
            </w:r>
          </w:p>
        </w:tc>
      </w:tr>
      <w:tr w:rsidR="00154E32" w14:paraId="0F53C534" w14:textId="77777777">
        <w:trPr>
          <w:trHeight w:val="309"/>
        </w:trPr>
        <w:tc>
          <w:tcPr>
            <w:tcW w:w="1185" w:type="dxa"/>
            <w:shd w:val="clear" w:color="auto" w:fill="C6EFCE"/>
            <w:noWrap/>
            <w:vAlign w:val="center"/>
          </w:tcPr>
          <w:p w14:paraId="3DD3905D" w14:textId="2A50779E" w:rsidR="00154E32" w:rsidRDefault="00A43E04">
            <w:pPr>
              <w:pStyle w:val="P68B1DB1-Normal11"/>
              <w:spacing w:after="120"/>
              <w:jc w:val="center"/>
              <w:rPr>
                <w:noProof/>
              </w:rPr>
            </w:pPr>
            <w:r>
              <w:rPr>
                <w:noProof/>
              </w:rPr>
              <w:t>M7–10</w:t>
            </w:r>
          </w:p>
        </w:tc>
        <w:tc>
          <w:tcPr>
            <w:tcW w:w="1559" w:type="dxa"/>
            <w:shd w:val="clear" w:color="auto" w:fill="C6EFCE"/>
            <w:noWrap/>
            <w:vAlign w:val="center"/>
          </w:tcPr>
          <w:p w14:paraId="78562516" w14:textId="568E05F6" w:rsidR="00154E32" w:rsidRDefault="00A43E04">
            <w:pPr>
              <w:pStyle w:val="P68B1DB1-Normal11"/>
              <w:spacing w:after="120"/>
              <w:jc w:val="center"/>
              <w:rPr>
                <w:noProof/>
              </w:rPr>
            </w:pPr>
            <w:r>
              <w:rPr>
                <w:noProof/>
              </w:rPr>
              <w:t>Reforma 5: Načrt za nova znanja in spretnosti – prehodi</w:t>
            </w:r>
          </w:p>
        </w:tc>
        <w:tc>
          <w:tcPr>
            <w:tcW w:w="1134" w:type="dxa"/>
            <w:shd w:val="clear" w:color="auto" w:fill="C6EFCE"/>
            <w:noWrap/>
            <w:vAlign w:val="center"/>
          </w:tcPr>
          <w:p w14:paraId="1BD9AD03" w14:textId="5D2F3005" w:rsidR="00154E32" w:rsidRDefault="00A43E04">
            <w:pPr>
              <w:pStyle w:val="P68B1DB1-Normal11"/>
              <w:spacing w:after="120"/>
              <w:jc w:val="center"/>
              <w:rPr>
                <w:noProof/>
              </w:rPr>
            </w:pPr>
            <w:r>
              <w:rPr>
                <w:noProof/>
              </w:rPr>
              <w:t>Mejnik</w:t>
            </w:r>
          </w:p>
        </w:tc>
        <w:tc>
          <w:tcPr>
            <w:tcW w:w="1418" w:type="dxa"/>
            <w:shd w:val="clear" w:color="auto" w:fill="C6EFCE"/>
            <w:noWrap/>
            <w:vAlign w:val="center"/>
          </w:tcPr>
          <w:p w14:paraId="08CF14D9" w14:textId="136C2E20" w:rsidR="00154E32" w:rsidRDefault="00A43E04">
            <w:pPr>
              <w:pStyle w:val="P68B1DB1-Normal11"/>
              <w:spacing w:after="120"/>
              <w:jc w:val="center"/>
              <w:rPr>
                <w:noProof/>
              </w:rPr>
            </w:pPr>
            <w:r>
              <w:rPr>
                <w:noProof/>
              </w:rPr>
              <w:t>Začetek veljavnosti regionalnih zakonov</w:t>
            </w:r>
          </w:p>
        </w:tc>
        <w:tc>
          <w:tcPr>
            <w:tcW w:w="1984" w:type="dxa"/>
            <w:shd w:val="clear" w:color="auto" w:fill="C6EFCE"/>
            <w:noWrap/>
            <w:vAlign w:val="center"/>
          </w:tcPr>
          <w:p w14:paraId="0B5F8A9F" w14:textId="0E68826E" w:rsidR="00154E32" w:rsidRDefault="00A43E04">
            <w:pPr>
              <w:pStyle w:val="P68B1DB1-Normal11"/>
              <w:spacing w:after="120"/>
              <w:jc w:val="center"/>
              <w:rPr>
                <w:noProof/>
              </w:rPr>
            </w:pPr>
            <w:r>
              <w:rPr>
                <w:noProof/>
              </w:rPr>
              <w:t>Določba v zakonih, ki določajo začetek veljavnosti regionalnih zakonov</w:t>
            </w:r>
          </w:p>
        </w:tc>
        <w:tc>
          <w:tcPr>
            <w:tcW w:w="1134" w:type="dxa"/>
            <w:shd w:val="clear" w:color="auto" w:fill="C6EFCE"/>
            <w:noWrap/>
            <w:vAlign w:val="center"/>
          </w:tcPr>
          <w:p w14:paraId="6B55BBAB" w14:textId="77777777" w:rsidR="00154E32" w:rsidRDefault="00154E32">
            <w:pPr>
              <w:spacing w:after="120"/>
              <w:jc w:val="center"/>
              <w:rPr>
                <w:rFonts w:ascii="Arial Narrow" w:hAnsi="Arial Narrow"/>
                <w:noProof/>
                <w:color w:val="006100"/>
                <w:sz w:val="20"/>
              </w:rPr>
            </w:pPr>
          </w:p>
        </w:tc>
        <w:tc>
          <w:tcPr>
            <w:tcW w:w="993" w:type="dxa"/>
            <w:shd w:val="clear" w:color="auto" w:fill="C6EFCE"/>
            <w:noWrap/>
            <w:vAlign w:val="center"/>
          </w:tcPr>
          <w:p w14:paraId="530D7B04"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473537DF"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5FAD43AC" w14:textId="0688CFBD" w:rsidR="00154E32" w:rsidRDefault="00A43E04">
            <w:pPr>
              <w:pStyle w:val="P68B1DB1-Normal11"/>
              <w:spacing w:after="120"/>
              <w:jc w:val="center"/>
              <w:rPr>
                <w:noProof/>
              </w:rPr>
            </w:pPr>
            <w:r>
              <w:rPr>
                <w:noProof/>
              </w:rPr>
              <w:t>Q3</w:t>
            </w:r>
          </w:p>
        </w:tc>
        <w:tc>
          <w:tcPr>
            <w:tcW w:w="709" w:type="dxa"/>
            <w:shd w:val="clear" w:color="auto" w:fill="C6EFCE"/>
            <w:noWrap/>
            <w:vAlign w:val="center"/>
          </w:tcPr>
          <w:p w14:paraId="1509F946" w14:textId="37763150" w:rsidR="00154E32" w:rsidRDefault="00A43E04">
            <w:pPr>
              <w:pStyle w:val="P68B1DB1-Normal11"/>
              <w:spacing w:after="120"/>
              <w:jc w:val="center"/>
              <w:rPr>
                <w:noProof/>
              </w:rPr>
            </w:pPr>
            <w:r>
              <w:rPr>
                <w:noProof/>
              </w:rPr>
              <w:t>2025</w:t>
            </w:r>
          </w:p>
        </w:tc>
        <w:tc>
          <w:tcPr>
            <w:tcW w:w="3261" w:type="dxa"/>
            <w:shd w:val="clear" w:color="auto" w:fill="C6EFCE"/>
            <w:noWrap/>
            <w:vAlign w:val="center"/>
          </w:tcPr>
          <w:p w14:paraId="6F35F7C5" w14:textId="77777777" w:rsidR="00154E32" w:rsidRDefault="00A43E04">
            <w:pPr>
              <w:pStyle w:val="P68B1DB1-Normal11"/>
              <w:spacing w:after="120"/>
              <w:rPr>
                <w:noProof/>
              </w:rPr>
            </w:pPr>
            <w:r>
              <w:rPr>
                <w:noProof/>
              </w:rPr>
              <w:t>Začetek veljavnosti regionalnih zakonov.</w:t>
            </w:r>
          </w:p>
          <w:p w14:paraId="7D27E287" w14:textId="7C4F1F5B" w:rsidR="00154E32" w:rsidRDefault="00A43E04">
            <w:pPr>
              <w:pStyle w:val="P68B1DB1-Normal11"/>
              <w:spacing w:after="120"/>
              <w:rPr>
                <w:noProof/>
              </w:rPr>
            </w:pPr>
            <w:r>
              <w:rPr>
                <w:noProof/>
              </w:rPr>
              <w:t>Zakoni se nanašajo na vse regije in avtonomne pokrajine ter uvajajo:</w:t>
            </w:r>
          </w:p>
          <w:p w14:paraId="35143016" w14:textId="42FAC816" w:rsidR="00154E32" w:rsidRDefault="00A43E04">
            <w:pPr>
              <w:pStyle w:val="P68B1DB1-ListParagraph13"/>
              <w:numPr>
                <w:ilvl w:val="0"/>
                <w:numId w:val="35"/>
              </w:numPr>
              <w:spacing w:before="0"/>
              <w:ind w:left="382" w:hanging="283"/>
              <w:contextualSpacing w:val="0"/>
              <w:rPr>
                <w:noProof/>
              </w:rPr>
            </w:pPr>
            <w:r>
              <w:rPr>
                <w:noProof/>
              </w:rPr>
              <w:t xml:space="preserve">mehanizme za zagotovitev, da se dejavnosti usposabljanja načrtujejo na podlagi potreb, izraženih na trgu dela, pri čemer imajo prednost tisti, pri katerih obstaja največje neskladje med ponudbo znanj in spretnosti ter povpraševanjem po njih, na primer z odobrenimi pakti za znanja in spretnosti; </w:t>
            </w:r>
          </w:p>
          <w:p w14:paraId="14E1237E" w14:textId="45D447BF" w:rsidR="00154E32" w:rsidRDefault="00A43E04">
            <w:pPr>
              <w:pStyle w:val="P68B1DB1-ListParagraph13"/>
              <w:numPr>
                <w:ilvl w:val="0"/>
                <w:numId w:val="35"/>
              </w:numPr>
              <w:spacing w:before="0"/>
              <w:ind w:left="382" w:hanging="283"/>
              <w:contextualSpacing w:val="0"/>
              <w:rPr>
                <w:noProof/>
              </w:rPr>
            </w:pPr>
            <w:r>
              <w:rPr>
                <w:noProof/>
              </w:rPr>
              <w:t>obveznost navedbe ocenjenih rezultatov zaposlitve v obvestilih in obvestilih o usposabljanju;</w:t>
            </w:r>
          </w:p>
          <w:p w14:paraId="0D802DE8" w14:textId="0B921D54" w:rsidR="00154E32" w:rsidRDefault="00A43E04">
            <w:pPr>
              <w:pStyle w:val="P68B1DB1-ListParagraph13"/>
              <w:numPr>
                <w:ilvl w:val="0"/>
                <w:numId w:val="35"/>
              </w:numPr>
              <w:spacing w:before="0"/>
              <w:ind w:left="382" w:hanging="283"/>
              <w:contextualSpacing w:val="0"/>
              <w:rPr>
                <w:noProof/>
              </w:rPr>
            </w:pPr>
            <w:r>
              <w:rPr>
                <w:noProof/>
              </w:rPr>
              <w:t>priznavanje usposabljanja v podjetju;</w:t>
            </w:r>
          </w:p>
          <w:p w14:paraId="274D77E1" w14:textId="4E17CEE5" w:rsidR="00154E32" w:rsidRDefault="00A43E04">
            <w:pPr>
              <w:pStyle w:val="P68B1DB1-ListParagraph13"/>
              <w:numPr>
                <w:ilvl w:val="0"/>
                <w:numId w:val="35"/>
              </w:numPr>
              <w:spacing w:before="0"/>
              <w:ind w:left="382" w:hanging="283"/>
              <w:contextualSpacing w:val="0"/>
              <w:rPr>
                <w:noProof/>
              </w:rPr>
            </w:pPr>
            <w:r>
              <w:rPr>
                <w:noProof/>
              </w:rPr>
              <w:t>priznavanje pridobljenih spretnosti in kratkih tečajev usposabljanja (tako imenovanih mikrokvalifikacij);</w:t>
            </w:r>
          </w:p>
          <w:p w14:paraId="3AACB976" w14:textId="479B2E56" w:rsidR="00154E32" w:rsidRDefault="00A43E04">
            <w:pPr>
              <w:pStyle w:val="P68B1DB1-ListParagraph13"/>
              <w:numPr>
                <w:ilvl w:val="0"/>
                <w:numId w:val="35"/>
              </w:numPr>
              <w:spacing w:before="0"/>
              <w:ind w:left="382" w:hanging="283"/>
              <w:contextualSpacing w:val="0"/>
              <w:rPr>
                <w:noProof/>
              </w:rPr>
            </w:pPr>
            <w:r>
              <w:rPr>
                <w:noProof/>
              </w:rPr>
              <w:t>Mehanizmi za spodbujanje zasebnega sofinanciranja.</w:t>
            </w:r>
          </w:p>
        </w:tc>
      </w:tr>
      <w:tr w:rsidR="00154E32" w14:paraId="18929F2D" w14:textId="77777777">
        <w:trPr>
          <w:trHeight w:val="309"/>
        </w:trPr>
        <w:tc>
          <w:tcPr>
            <w:tcW w:w="1185" w:type="dxa"/>
            <w:shd w:val="clear" w:color="auto" w:fill="C6EFCE"/>
            <w:noWrap/>
            <w:vAlign w:val="center"/>
          </w:tcPr>
          <w:p w14:paraId="2D7281E6" w14:textId="783C0F31" w:rsidR="00154E32" w:rsidRDefault="00A43E04">
            <w:pPr>
              <w:pStyle w:val="P68B1DB1-Normal11"/>
              <w:spacing w:after="120"/>
              <w:jc w:val="center"/>
              <w:rPr>
                <w:noProof/>
              </w:rPr>
            </w:pPr>
            <w:r>
              <w:rPr>
                <w:noProof/>
              </w:rPr>
              <w:t>M7–11</w:t>
            </w:r>
          </w:p>
        </w:tc>
        <w:tc>
          <w:tcPr>
            <w:tcW w:w="1559" w:type="dxa"/>
            <w:shd w:val="clear" w:color="auto" w:fill="C6EFCE"/>
            <w:noWrap/>
            <w:vAlign w:val="center"/>
          </w:tcPr>
          <w:p w14:paraId="1CEE215C" w14:textId="599CB525" w:rsidR="00154E32" w:rsidRDefault="00A43E04">
            <w:pPr>
              <w:pStyle w:val="P68B1DB1-Normal11"/>
              <w:spacing w:after="120"/>
              <w:jc w:val="center"/>
              <w:rPr>
                <w:noProof/>
              </w:rPr>
            </w:pPr>
            <w:r>
              <w:rPr>
                <w:noProof/>
              </w:rPr>
              <w:t>Naložba 1: Ukrep razširitve: Krepitev pametnih omrežij</w:t>
            </w:r>
          </w:p>
        </w:tc>
        <w:tc>
          <w:tcPr>
            <w:tcW w:w="1134" w:type="dxa"/>
            <w:shd w:val="clear" w:color="auto" w:fill="C6EFCE"/>
            <w:noWrap/>
            <w:vAlign w:val="center"/>
          </w:tcPr>
          <w:p w14:paraId="768297DE" w14:textId="316C44BD" w:rsidR="00154E32" w:rsidRDefault="00A43E04">
            <w:pPr>
              <w:pStyle w:val="P68B1DB1-Normal11"/>
              <w:spacing w:after="120"/>
              <w:jc w:val="center"/>
              <w:rPr>
                <w:noProof/>
              </w:rPr>
            </w:pPr>
            <w:r>
              <w:rPr>
                <w:noProof/>
              </w:rPr>
              <w:t>Tarča</w:t>
            </w:r>
          </w:p>
        </w:tc>
        <w:tc>
          <w:tcPr>
            <w:tcW w:w="1418" w:type="dxa"/>
            <w:shd w:val="clear" w:color="auto" w:fill="C6EFCE"/>
            <w:noWrap/>
            <w:vAlign w:val="center"/>
          </w:tcPr>
          <w:p w14:paraId="0B090A80" w14:textId="2195E5BF" w:rsidR="00154E32" w:rsidRDefault="00A43E04">
            <w:pPr>
              <w:pStyle w:val="P68B1DB1-Normal11"/>
              <w:spacing w:after="120"/>
              <w:jc w:val="center"/>
              <w:rPr>
                <w:noProof/>
              </w:rPr>
            </w:pPr>
            <w:r>
              <w:rPr>
                <w:noProof/>
              </w:rPr>
              <w:t>Pametna omrežja – elektrifikacija porabe energije</w:t>
            </w:r>
          </w:p>
        </w:tc>
        <w:tc>
          <w:tcPr>
            <w:tcW w:w="1984" w:type="dxa"/>
            <w:shd w:val="clear" w:color="auto" w:fill="C6EFCE"/>
            <w:noWrap/>
            <w:vAlign w:val="center"/>
          </w:tcPr>
          <w:p w14:paraId="74E484DF" w14:textId="77777777" w:rsidR="00154E32" w:rsidRDefault="00154E32">
            <w:pPr>
              <w:spacing w:after="120"/>
              <w:jc w:val="center"/>
              <w:rPr>
                <w:rFonts w:ascii="Arial Narrow" w:hAnsi="Arial Narrow"/>
                <w:noProof/>
                <w:color w:val="006100"/>
                <w:sz w:val="20"/>
              </w:rPr>
            </w:pPr>
          </w:p>
        </w:tc>
        <w:tc>
          <w:tcPr>
            <w:tcW w:w="1134" w:type="dxa"/>
            <w:shd w:val="clear" w:color="auto" w:fill="C6EFCE"/>
            <w:noWrap/>
            <w:vAlign w:val="center"/>
          </w:tcPr>
          <w:p w14:paraId="7DCA5DF0" w14:textId="0E9B971F" w:rsidR="00154E32" w:rsidRDefault="00A43E04">
            <w:pPr>
              <w:pStyle w:val="P68B1DB1-Normal11"/>
              <w:spacing w:after="120"/>
              <w:jc w:val="center"/>
              <w:rPr>
                <w:noProof/>
              </w:rPr>
            </w:pPr>
            <w:r>
              <w:rPr>
                <w:noProof/>
              </w:rPr>
              <w:t>Število</w:t>
            </w:r>
          </w:p>
        </w:tc>
        <w:tc>
          <w:tcPr>
            <w:tcW w:w="993" w:type="dxa"/>
            <w:shd w:val="clear" w:color="auto" w:fill="C6EFCE"/>
            <w:noWrap/>
            <w:vAlign w:val="center"/>
          </w:tcPr>
          <w:p w14:paraId="5782B500" w14:textId="020145B9" w:rsidR="00154E32" w:rsidRDefault="00A43E04">
            <w:pPr>
              <w:pStyle w:val="P68B1DB1-Normal11"/>
              <w:spacing w:after="120"/>
              <w:jc w:val="center"/>
              <w:rPr>
                <w:noProof/>
              </w:rPr>
            </w:pPr>
            <w:r>
              <w:rPr>
                <w:noProof/>
              </w:rPr>
              <w:t>1 500 000</w:t>
            </w:r>
          </w:p>
        </w:tc>
        <w:tc>
          <w:tcPr>
            <w:tcW w:w="992" w:type="dxa"/>
            <w:shd w:val="clear" w:color="auto" w:fill="C6EFCE"/>
            <w:noWrap/>
            <w:vAlign w:val="center"/>
          </w:tcPr>
          <w:p w14:paraId="4C66A1BB" w14:textId="014E9A30" w:rsidR="00154E32" w:rsidRDefault="00A43E04">
            <w:pPr>
              <w:pStyle w:val="P68B1DB1-Normal11"/>
              <w:spacing w:after="120"/>
              <w:jc w:val="center"/>
              <w:rPr>
                <w:noProof/>
              </w:rPr>
            </w:pPr>
            <w:r>
              <w:rPr>
                <w:noProof/>
              </w:rPr>
              <w:t>1 730 000</w:t>
            </w:r>
          </w:p>
        </w:tc>
        <w:tc>
          <w:tcPr>
            <w:tcW w:w="992" w:type="dxa"/>
            <w:shd w:val="clear" w:color="auto" w:fill="C6EFCE"/>
            <w:noWrap/>
            <w:vAlign w:val="center"/>
          </w:tcPr>
          <w:p w14:paraId="18576FE2" w14:textId="78FEFB07" w:rsidR="00154E32" w:rsidRDefault="00A43E04">
            <w:pPr>
              <w:pStyle w:val="P68B1DB1-Normal11"/>
              <w:spacing w:after="120"/>
              <w:jc w:val="center"/>
              <w:rPr>
                <w:noProof/>
              </w:rPr>
            </w:pPr>
            <w:r>
              <w:rPr>
                <w:noProof/>
              </w:rPr>
              <w:t>Q2</w:t>
            </w:r>
          </w:p>
        </w:tc>
        <w:tc>
          <w:tcPr>
            <w:tcW w:w="709" w:type="dxa"/>
            <w:shd w:val="clear" w:color="auto" w:fill="C6EFCE"/>
            <w:noWrap/>
            <w:vAlign w:val="center"/>
          </w:tcPr>
          <w:p w14:paraId="6D6BE89F" w14:textId="68F12DF2" w:rsidR="00154E32" w:rsidRDefault="00A43E04">
            <w:pPr>
              <w:pStyle w:val="P68B1DB1-Normal11"/>
              <w:spacing w:after="120"/>
              <w:jc w:val="center"/>
              <w:rPr>
                <w:noProof/>
              </w:rPr>
            </w:pPr>
            <w:r>
              <w:rPr>
                <w:noProof/>
              </w:rPr>
              <w:t>2026</w:t>
            </w:r>
          </w:p>
        </w:tc>
        <w:tc>
          <w:tcPr>
            <w:tcW w:w="3261" w:type="dxa"/>
            <w:shd w:val="clear" w:color="auto" w:fill="C6EFCE"/>
            <w:noWrap/>
            <w:vAlign w:val="center"/>
          </w:tcPr>
          <w:p w14:paraId="5FC80C74" w14:textId="79B417C9" w:rsidR="00154E32" w:rsidRDefault="00A43E04">
            <w:pPr>
              <w:pStyle w:val="P68B1DB1-Normal11"/>
              <w:spacing w:after="120"/>
              <w:rPr>
                <w:noProof/>
                <w:color w:val="FF0000"/>
              </w:rPr>
            </w:pPr>
            <w:r>
              <w:rPr>
                <w:noProof/>
              </w:rPr>
              <w:t>Elektrifikacija porabe energije, ki je dosegla vsaj 1730000 prebivalcev.</w:t>
            </w:r>
          </w:p>
        </w:tc>
      </w:tr>
      <w:tr w:rsidR="00154E32" w14:paraId="6A2B6F4C" w14:textId="77777777">
        <w:trPr>
          <w:trHeight w:val="309"/>
        </w:trPr>
        <w:tc>
          <w:tcPr>
            <w:tcW w:w="1185" w:type="dxa"/>
            <w:shd w:val="clear" w:color="auto" w:fill="C6EFCE"/>
            <w:noWrap/>
            <w:vAlign w:val="center"/>
          </w:tcPr>
          <w:p w14:paraId="49BDE9F4" w14:textId="71E80DF2" w:rsidR="00154E32" w:rsidRDefault="00A43E04">
            <w:pPr>
              <w:pStyle w:val="P68B1DB1-Normal11"/>
              <w:spacing w:after="120"/>
              <w:jc w:val="center"/>
              <w:rPr>
                <w:noProof/>
              </w:rPr>
            </w:pPr>
            <w:r>
              <w:rPr>
                <w:noProof/>
              </w:rPr>
              <w:t>M7–12</w:t>
            </w:r>
          </w:p>
        </w:tc>
        <w:tc>
          <w:tcPr>
            <w:tcW w:w="1559" w:type="dxa"/>
            <w:shd w:val="clear" w:color="auto" w:fill="C6EFCE"/>
            <w:noWrap/>
            <w:vAlign w:val="center"/>
          </w:tcPr>
          <w:p w14:paraId="15C51D32" w14:textId="4369D599" w:rsidR="00154E32" w:rsidRDefault="00A43E04">
            <w:pPr>
              <w:pStyle w:val="P68B1DB1-Normal11"/>
              <w:spacing w:after="120"/>
              <w:jc w:val="center"/>
              <w:rPr>
                <w:noProof/>
              </w:rPr>
            </w:pPr>
            <w:r>
              <w:rPr>
                <w:noProof/>
              </w:rPr>
              <w:t>Naložba 2: Ukrep razširitve: Intervencije za povečanje odpornosti električnega omrežja</w:t>
            </w:r>
          </w:p>
        </w:tc>
        <w:tc>
          <w:tcPr>
            <w:tcW w:w="1134" w:type="dxa"/>
            <w:shd w:val="clear" w:color="auto" w:fill="C6EFCE"/>
            <w:noWrap/>
            <w:vAlign w:val="center"/>
          </w:tcPr>
          <w:p w14:paraId="45FDBBB0" w14:textId="78FA3048" w:rsidR="00154E32" w:rsidRDefault="00A43E04">
            <w:pPr>
              <w:pStyle w:val="P68B1DB1-Normal11"/>
              <w:spacing w:after="120"/>
              <w:jc w:val="center"/>
              <w:rPr>
                <w:noProof/>
              </w:rPr>
            </w:pPr>
            <w:r>
              <w:rPr>
                <w:noProof/>
              </w:rPr>
              <w:t>Tarča</w:t>
            </w:r>
          </w:p>
        </w:tc>
        <w:tc>
          <w:tcPr>
            <w:tcW w:w="1418" w:type="dxa"/>
            <w:shd w:val="clear" w:color="auto" w:fill="C6EFCE"/>
            <w:noWrap/>
            <w:vAlign w:val="center"/>
          </w:tcPr>
          <w:p w14:paraId="32163571" w14:textId="311B4347" w:rsidR="00154E32" w:rsidRDefault="00A43E04">
            <w:pPr>
              <w:pStyle w:val="P68B1DB1-Normal11"/>
              <w:spacing w:after="120"/>
              <w:jc w:val="center"/>
              <w:rPr>
                <w:noProof/>
              </w:rPr>
            </w:pPr>
            <w:r>
              <w:rPr>
                <w:noProof/>
              </w:rPr>
              <w:t>Povečanje odpornosti omrežja elektroenergetskega sistema</w:t>
            </w:r>
          </w:p>
        </w:tc>
        <w:tc>
          <w:tcPr>
            <w:tcW w:w="1984" w:type="dxa"/>
            <w:shd w:val="clear" w:color="auto" w:fill="C6EFCE"/>
            <w:noWrap/>
            <w:vAlign w:val="center"/>
          </w:tcPr>
          <w:p w14:paraId="190CF61D" w14:textId="77777777" w:rsidR="00154E32" w:rsidRDefault="00154E32">
            <w:pPr>
              <w:spacing w:after="120"/>
              <w:jc w:val="center"/>
              <w:rPr>
                <w:rFonts w:ascii="Arial Narrow" w:hAnsi="Arial Narrow"/>
                <w:noProof/>
                <w:color w:val="006100"/>
                <w:sz w:val="20"/>
              </w:rPr>
            </w:pPr>
          </w:p>
        </w:tc>
        <w:tc>
          <w:tcPr>
            <w:tcW w:w="1134" w:type="dxa"/>
            <w:shd w:val="clear" w:color="auto" w:fill="C6EFCE"/>
            <w:noWrap/>
            <w:vAlign w:val="center"/>
          </w:tcPr>
          <w:p w14:paraId="214A63A5" w14:textId="7DF0BDDA" w:rsidR="00154E32" w:rsidRDefault="00A43E04">
            <w:pPr>
              <w:pStyle w:val="P68B1DB1-Normal11"/>
              <w:spacing w:after="120"/>
              <w:jc w:val="center"/>
              <w:rPr>
                <w:noProof/>
              </w:rPr>
            </w:pPr>
            <w:r>
              <w:rPr>
                <w:noProof/>
              </w:rPr>
              <w:t>Število</w:t>
            </w:r>
          </w:p>
        </w:tc>
        <w:tc>
          <w:tcPr>
            <w:tcW w:w="993" w:type="dxa"/>
            <w:shd w:val="clear" w:color="auto" w:fill="C6EFCE"/>
            <w:noWrap/>
            <w:vAlign w:val="center"/>
          </w:tcPr>
          <w:p w14:paraId="3DDD71C1" w14:textId="17B043D7" w:rsidR="00154E32" w:rsidRDefault="00A43E04">
            <w:pPr>
              <w:pStyle w:val="P68B1DB1-Normal11"/>
              <w:spacing w:after="120"/>
              <w:jc w:val="center"/>
              <w:rPr>
                <w:noProof/>
              </w:rPr>
            </w:pPr>
            <w:r>
              <w:rPr>
                <w:noProof/>
              </w:rPr>
              <w:t>4 000</w:t>
            </w:r>
          </w:p>
        </w:tc>
        <w:tc>
          <w:tcPr>
            <w:tcW w:w="992" w:type="dxa"/>
            <w:shd w:val="clear" w:color="auto" w:fill="C6EFCE"/>
            <w:noWrap/>
            <w:vAlign w:val="center"/>
          </w:tcPr>
          <w:p w14:paraId="7361D785" w14:textId="405A4DC1" w:rsidR="00154E32" w:rsidRDefault="00A43E04">
            <w:pPr>
              <w:pStyle w:val="P68B1DB1-Normal11"/>
              <w:spacing w:after="120"/>
              <w:jc w:val="center"/>
              <w:rPr>
                <w:noProof/>
              </w:rPr>
            </w:pPr>
            <w:r>
              <w:rPr>
                <w:noProof/>
              </w:rPr>
              <w:t>4 648</w:t>
            </w:r>
          </w:p>
        </w:tc>
        <w:tc>
          <w:tcPr>
            <w:tcW w:w="992" w:type="dxa"/>
            <w:shd w:val="clear" w:color="auto" w:fill="C6EFCE"/>
            <w:noWrap/>
            <w:vAlign w:val="center"/>
          </w:tcPr>
          <w:p w14:paraId="0B96046D" w14:textId="60EC74DD" w:rsidR="00154E32" w:rsidRDefault="00A43E04">
            <w:pPr>
              <w:pStyle w:val="P68B1DB1-Normal11"/>
              <w:spacing w:after="120"/>
              <w:jc w:val="center"/>
              <w:rPr>
                <w:noProof/>
              </w:rPr>
            </w:pPr>
            <w:r>
              <w:rPr>
                <w:noProof/>
              </w:rPr>
              <w:t>Q2</w:t>
            </w:r>
          </w:p>
        </w:tc>
        <w:tc>
          <w:tcPr>
            <w:tcW w:w="709" w:type="dxa"/>
            <w:shd w:val="clear" w:color="auto" w:fill="C6EFCE"/>
            <w:noWrap/>
            <w:vAlign w:val="center"/>
          </w:tcPr>
          <w:p w14:paraId="15348DDC" w14:textId="6A4C288F" w:rsidR="00154E32" w:rsidRDefault="00A43E04">
            <w:pPr>
              <w:pStyle w:val="P68B1DB1-Normal11"/>
              <w:spacing w:after="120"/>
              <w:jc w:val="center"/>
              <w:rPr>
                <w:noProof/>
              </w:rPr>
            </w:pPr>
            <w:r>
              <w:rPr>
                <w:noProof/>
              </w:rPr>
              <w:t>2026</w:t>
            </w:r>
          </w:p>
        </w:tc>
        <w:tc>
          <w:tcPr>
            <w:tcW w:w="3261" w:type="dxa"/>
            <w:shd w:val="clear" w:color="auto" w:fill="C6EFCE"/>
            <w:noWrap/>
            <w:vAlign w:val="center"/>
          </w:tcPr>
          <w:p w14:paraId="1C32F69C" w14:textId="69AB7D63" w:rsidR="00154E32" w:rsidRDefault="00A43E04">
            <w:pPr>
              <w:pStyle w:val="P68B1DB1-Normal11"/>
              <w:spacing w:after="120"/>
              <w:rPr>
                <w:noProof/>
                <w:color w:val="FF0000"/>
              </w:rPr>
            </w:pPr>
            <w:r>
              <w:rPr>
                <w:noProof/>
              </w:rPr>
              <w:t>Povečanje odpornosti vsaj 4 648 km v elektroenergetskem omrežju.</w:t>
            </w:r>
          </w:p>
        </w:tc>
      </w:tr>
      <w:tr w:rsidR="00154E32" w14:paraId="5937F440" w14:textId="77777777">
        <w:trPr>
          <w:trHeight w:val="309"/>
        </w:trPr>
        <w:tc>
          <w:tcPr>
            <w:tcW w:w="1185" w:type="dxa"/>
            <w:shd w:val="clear" w:color="auto" w:fill="C6EFCE"/>
            <w:noWrap/>
            <w:vAlign w:val="center"/>
          </w:tcPr>
          <w:p w14:paraId="31CEF176" w14:textId="76C3FF7A" w:rsidR="00154E32" w:rsidRDefault="00A43E04">
            <w:pPr>
              <w:pStyle w:val="P68B1DB1-Normal11"/>
              <w:spacing w:after="120"/>
              <w:jc w:val="center"/>
              <w:rPr>
                <w:noProof/>
              </w:rPr>
            </w:pPr>
            <w:r>
              <w:rPr>
                <w:noProof/>
              </w:rPr>
              <w:t>M7–13</w:t>
            </w:r>
          </w:p>
        </w:tc>
        <w:tc>
          <w:tcPr>
            <w:tcW w:w="1559" w:type="dxa"/>
            <w:shd w:val="clear" w:color="auto" w:fill="C6EFCE"/>
            <w:noWrap/>
            <w:vAlign w:val="center"/>
          </w:tcPr>
          <w:p w14:paraId="6B11FF73" w14:textId="40A6986D" w:rsidR="00154E32" w:rsidRDefault="00A43E04">
            <w:pPr>
              <w:pStyle w:val="P68B1DB1-Normal11"/>
              <w:spacing w:after="120"/>
              <w:jc w:val="center"/>
              <w:rPr>
                <w:noProof/>
              </w:rPr>
            </w:pPr>
            <w:r>
              <w:rPr>
                <w:noProof/>
              </w:rPr>
              <w:t>Naložba 3: Ukrep razširitve: Proizvodnja vodika na degradiranih območjih (Hydrogen Valleys)</w:t>
            </w:r>
          </w:p>
        </w:tc>
        <w:tc>
          <w:tcPr>
            <w:tcW w:w="1134" w:type="dxa"/>
            <w:shd w:val="clear" w:color="auto" w:fill="C6EFCE"/>
            <w:noWrap/>
            <w:vAlign w:val="center"/>
          </w:tcPr>
          <w:p w14:paraId="2C81D8D6" w14:textId="5A88E119" w:rsidR="00154E32" w:rsidRDefault="00A43E04">
            <w:pPr>
              <w:pStyle w:val="P68B1DB1-Normal11"/>
              <w:spacing w:after="120"/>
              <w:jc w:val="center"/>
              <w:rPr>
                <w:noProof/>
              </w:rPr>
            </w:pPr>
            <w:r>
              <w:rPr>
                <w:noProof/>
              </w:rPr>
              <w:t>Tarča</w:t>
            </w:r>
          </w:p>
        </w:tc>
        <w:tc>
          <w:tcPr>
            <w:tcW w:w="1418" w:type="dxa"/>
            <w:shd w:val="clear" w:color="auto" w:fill="C6EFCE"/>
            <w:noWrap/>
            <w:vAlign w:val="center"/>
          </w:tcPr>
          <w:p w14:paraId="0C685F8A" w14:textId="50306103" w:rsidR="00154E32" w:rsidRDefault="00A43E04">
            <w:pPr>
              <w:pStyle w:val="P68B1DB1-Normal11"/>
              <w:spacing w:after="120"/>
              <w:jc w:val="center"/>
              <w:rPr>
                <w:noProof/>
              </w:rPr>
            </w:pPr>
            <w:r>
              <w:rPr>
                <w:noProof/>
              </w:rPr>
              <w:t>Zaključek projekta v zvezi s proizvodnjo vodika na industrijskih območjih</w:t>
            </w:r>
          </w:p>
        </w:tc>
        <w:tc>
          <w:tcPr>
            <w:tcW w:w="1984" w:type="dxa"/>
            <w:shd w:val="clear" w:color="auto" w:fill="C6EFCE"/>
            <w:noWrap/>
            <w:vAlign w:val="center"/>
          </w:tcPr>
          <w:p w14:paraId="1B25E3C9" w14:textId="77777777" w:rsidR="00154E32" w:rsidRDefault="00154E32">
            <w:pPr>
              <w:spacing w:after="120"/>
              <w:jc w:val="center"/>
              <w:rPr>
                <w:rFonts w:ascii="Arial Narrow" w:hAnsi="Arial Narrow"/>
                <w:noProof/>
                <w:color w:val="006100"/>
                <w:sz w:val="20"/>
              </w:rPr>
            </w:pPr>
          </w:p>
        </w:tc>
        <w:tc>
          <w:tcPr>
            <w:tcW w:w="1134" w:type="dxa"/>
            <w:shd w:val="clear" w:color="auto" w:fill="C6EFCE"/>
            <w:noWrap/>
            <w:vAlign w:val="center"/>
          </w:tcPr>
          <w:p w14:paraId="17A067C5" w14:textId="6B067D44" w:rsidR="00154E32" w:rsidRDefault="00A43E04">
            <w:pPr>
              <w:pStyle w:val="P68B1DB1-Normal11"/>
              <w:spacing w:after="120"/>
              <w:jc w:val="center"/>
              <w:rPr>
                <w:noProof/>
              </w:rPr>
            </w:pPr>
            <w:r>
              <w:rPr>
                <w:noProof/>
              </w:rPr>
              <w:t>Število</w:t>
            </w:r>
          </w:p>
        </w:tc>
        <w:tc>
          <w:tcPr>
            <w:tcW w:w="993" w:type="dxa"/>
            <w:shd w:val="clear" w:color="auto" w:fill="C6EFCE"/>
            <w:noWrap/>
            <w:vAlign w:val="center"/>
          </w:tcPr>
          <w:p w14:paraId="7FB9AA8F" w14:textId="730076FC" w:rsidR="00154E32" w:rsidRDefault="00A43E04">
            <w:pPr>
              <w:pStyle w:val="P68B1DB1-Normal11"/>
              <w:spacing w:after="120"/>
              <w:jc w:val="center"/>
              <w:rPr>
                <w:noProof/>
              </w:rPr>
            </w:pPr>
            <w:r>
              <w:rPr>
                <w:noProof/>
              </w:rPr>
              <w:t>10</w:t>
            </w:r>
          </w:p>
        </w:tc>
        <w:tc>
          <w:tcPr>
            <w:tcW w:w="992" w:type="dxa"/>
            <w:shd w:val="clear" w:color="auto" w:fill="C6EFCE"/>
            <w:noWrap/>
            <w:vAlign w:val="center"/>
          </w:tcPr>
          <w:p w14:paraId="10D1206B" w14:textId="73E1A74B" w:rsidR="00154E32" w:rsidRDefault="00A43E04">
            <w:pPr>
              <w:pStyle w:val="P68B1DB1-Normal11"/>
              <w:spacing w:after="120"/>
              <w:jc w:val="center"/>
              <w:rPr>
                <w:noProof/>
              </w:rPr>
            </w:pPr>
            <w:r>
              <w:rPr>
                <w:noProof/>
              </w:rPr>
              <w:t>12</w:t>
            </w:r>
          </w:p>
        </w:tc>
        <w:tc>
          <w:tcPr>
            <w:tcW w:w="992" w:type="dxa"/>
            <w:shd w:val="clear" w:color="auto" w:fill="C6EFCE"/>
            <w:noWrap/>
            <w:vAlign w:val="center"/>
          </w:tcPr>
          <w:p w14:paraId="41D57513" w14:textId="32DBCAEE" w:rsidR="00154E32" w:rsidRDefault="00A43E04">
            <w:pPr>
              <w:pStyle w:val="P68B1DB1-Normal11"/>
              <w:spacing w:after="120"/>
              <w:jc w:val="center"/>
              <w:rPr>
                <w:noProof/>
              </w:rPr>
            </w:pPr>
            <w:r>
              <w:rPr>
                <w:noProof/>
              </w:rPr>
              <w:t>Q2</w:t>
            </w:r>
          </w:p>
        </w:tc>
        <w:tc>
          <w:tcPr>
            <w:tcW w:w="709" w:type="dxa"/>
            <w:shd w:val="clear" w:color="auto" w:fill="C6EFCE"/>
            <w:noWrap/>
            <w:vAlign w:val="center"/>
          </w:tcPr>
          <w:p w14:paraId="34F92954" w14:textId="3504C87B" w:rsidR="00154E32" w:rsidRDefault="00A43E04">
            <w:pPr>
              <w:pStyle w:val="P68B1DB1-Normal11"/>
              <w:spacing w:after="120"/>
              <w:jc w:val="center"/>
              <w:rPr>
                <w:noProof/>
              </w:rPr>
            </w:pPr>
            <w:r>
              <w:rPr>
                <w:noProof/>
              </w:rPr>
              <w:t>2026</w:t>
            </w:r>
          </w:p>
        </w:tc>
        <w:tc>
          <w:tcPr>
            <w:tcW w:w="3261" w:type="dxa"/>
            <w:shd w:val="clear" w:color="auto" w:fill="C6EFCE"/>
            <w:noWrap/>
            <w:vAlign w:val="center"/>
          </w:tcPr>
          <w:p w14:paraId="55B343AC" w14:textId="0B68BBEA" w:rsidR="00154E32" w:rsidRDefault="00A43E04">
            <w:pPr>
              <w:pStyle w:val="P68B1DB1-Normal11"/>
              <w:spacing w:after="120"/>
              <w:rPr>
                <w:noProof/>
              </w:rPr>
            </w:pPr>
            <w:r>
              <w:rPr>
                <w:noProof/>
              </w:rPr>
              <w:t xml:space="preserve">Dokončati vsaj 12 projektov za proizvodnjo vodika na opuščenih industrijskih območjih s povprečno zmogljivostjo najmanj 1–5 MW. </w:t>
            </w:r>
          </w:p>
        </w:tc>
      </w:tr>
      <w:tr w:rsidR="00154E32" w14:paraId="377B4079" w14:textId="77777777">
        <w:trPr>
          <w:trHeight w:val="309"/>
        </w:trPr>
        <w:tc>
          <w:tcPr>
            <w:tcW w:w="1185" w:type="dxa"/>
            <w:shd w:val="clear" w:color="auto" w:fill="C6EFCE"/>
            <w:noWrap/>
            <w:vAlign w:val="center"/>
          </w:tcPr>
          <w:p w14:paraId="5CA05D38" w14:textId="72D4DA23" w:rsidR="00154E32" w:rsidRDefault="00A43E04">
            <w:pPr>
              <w:pStyle w:val="P68B1DB1-Normal11"/>
              <w:spacing w:after="120"/>
              <w:jc w:val="center"/>
              <w:rPr>
                <w:noProof/>
              </w:rPr>
            </w:pPr>
            <w:r>
              <w:rPr>
                <w:noProof/>
              </w:rPr>
              <w:t>M7–14</w:t>
            </w:r>
          </w:p>
        </w:tc>
        <w:tc>
          <w:tcPr>
            <w:tcW w:w="1559" w:type="dxa"/>
            <w:shd w:val="clear" w:color="auto" w:fill="C6EFCE"/>
            <w:noWrap/>
            <w:vAlign w:val="center"/>
          </w:tcPr>
          <w:p w14:paraId="0F252229" w14:textId="273DE3BA" w:rsidR="00154E32" w:rsidRDefault="00A43E04">
            <w:pPr>
              <w:pStyle w:val="P68B1DB1-Normal11"/>
              <w:spacing w:after="120"/>
              <w:jc w:val="center"/>
              <w:rPr>
                <w:noProof/>
              </w:rPr>
            </w:pPr>
            <w:r>
              <w:rPr>
                <w:noProof/>
              </w:rPr>
              <w:t>Naložba 4: Tirenska povezava</w:t>
            </w:r>
          </w:p>
        </w:tc>
        <w:tc>
          <w:tcPr>
            <w:tcW w:w="1134" w:type="dxa"/>
            <w:shd w:val="clear" w:color="auto" w:fill="C6EFCE"/>
            <w:noWrap/>
            <w:vAlign w:val="center"/>
          </w:tcPr>
          <w:p w14:paraId="1E9C3931" w14:textId="5CA4E33F" w:rsidR="00154E32" w:rsidRDefault="00A43E04">
            <w:pPr>
              <w:pStyle w:val="P68B1DB1-Normal11"/>
              <w:spacing w:after="120"/>
              <w:jc w:val="center"/>
              <w:rPr>
                <w:noProof/>
              </w:rPr>
            </w:pPr>
            <w:r>
              <w:rPr>
                <w:noProof/>
              </w:rPr>
              <w:t>Mejnik</w:t>
            </w:r>
          </w:p>
        </w:tc>
        <w:tc>
          <w:tcPr>
            <w:tcW w:w="1418" w:type="dxa"/>
            <w:shd w:val="clear" w:color="auto" w:fill="C6EFCE"/>
            <w:noWrap/>
            <w:vAlign w:val="center"/>
          </w:tcPr>
          <w:p w14:paraId="6A4ACC6A" w14:textId="004702E4" w:rsidR="00154E32" w:rsidRDefault="00A43E04">
            <w:pPr>
              <w:pStyle w:val="P68B1DB1-Normal11"/>
              <w:spacing w:after="120"/>
              <w:jc w:val="center"/>
              <w:rPr>
                <w:noProof/>
              </w:rPr>
            </w:pPr>
            <w:r>
              <w:rPr>
                <w:noProof/>
              </w:rPr>
              <w:t>Dodelitev pogodb</w:t>
            </w:r>
          </w:p>
        </w:tc>
        <w:tc>
          <w:tcPr>
            <w:tcW w:w="1984" w:type="dxa"/>
            <w:shd w:val="clear" w:color="auto" w:fill="C6EFCE"/>
            <w:noWrap/>
            <w:vAlign w:val="center"/>
          </w:tcPr>
          <w:p w14:paraId="5290E083" w14:textId="03C7EF91" w:rsidR="00154E32" w:rsidRDefault="00A43E04">
            <w:pPr>
              <w:pStyle w:val="P68B1DB1-Normal11"/>
              <w:spacing w:after="120"/>
              <w:jc w:val="center"/>
              <w:rPr>
                <w:noProof/>
              </w:rPr>
            </w:pPr>
            <w:r>
              <w:rPr>
                <w:noProof/>
              </w:rPr>
              <w:t>Obvestilo o oddaji naročil</w:t>
            </w:r>
          </w:p>
        </w:tc>
        <w:tc>
          <w:tcPr>
            <w:tcW w:w="1134" w:type="dxa"/>
            <w:shd w:val="clear" w:color="auto" w:fill="C6EFCE"/>
            <w:noWrap/>
            <w:vAlign w:val="center"/>
          </w:tcPr>
          <w:p w14:paraId="1B01F1E9" w14:textId="77777777" w:rsidR="00154E32" w:rsidRDefault="00154E32">
            <w:pPr>
              <w:spacing w:after="120"/>
              <w:jc w:val="center"/>
              <w:rPr>
                <w:rFonts w:ascii="Arial Narrow" w:hAnsi="Arial Narrow"/>
                <w:noProof/>
                <w:color w:val="006100"/>
                <w:sz w:val="20"/>
              </w:rPr>
            </w:pPr>
          </w:p>
        </w:tc>
        <w:tc>
          <w:tcPr>
            <w:tcW w:w="993" w:type="dxa"/>
            <w:shd w:val="clear" w:color="auto" w:fill="C6EFCE"/>
            <w:noWrap/>
            <w:vAlign w:val="center"/>
          </w:tcPr>
          <w:p w14:paraId="34AA35D6"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00E02372"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31BC7194" w14:textId="15BCB8BB" w:rsidR="00154E32" w:rsidRDefault="00A43E04">
            <w:pPr>
              <w:pStyle w:val="P68B1DB1-Normal11"/>
              <w:spacing w:after="120"/>
              <w:jc w:val="center"/>
              <w:rPr>
                <w:noProof/>
              </w:rPr>
            </w:pPr>
            <w:r>
              <w:rPr>
                <w:noProof/>
              </w:rPr>
              <w:t>Q3</w:t>
            </w:r>
          </w:p>
        </w:tc>
        <w:tc>
          <w:tcPr>
            <w:tcW w:w="709" w:type="dxa"/>
            <w:shd w:val="clear" w:color="auto" w:fill="C6EFCE"/>
            <w:noWrap/>
            <w:vAlign w:val="center"/>
          </w:tcPr>
          <w:p w14:paraId="255E1834" w14:textId="308D8463" w:rsidR="00154E32" w:rsidRDefault="00A43E04">
            <w:pPr>
              <w:pStyle w:val="P68B1DB1-Normal11"/>
              <w:spacing w:after="120"/>
              <w:jc w:val="center"/>
              <w:rPr>
                <w:noProof/>
              </w:rPr>
            </w:pPr>
            <w:r>
              <w:rPr>
                <w:noProof/>
              </w:rPr>
              <w:t>2024</w:t>
            </w:r>
          </w:p>
        </w:tc>
        <w:tc>
          <w:tcPr>
            <w:tcW w:w="3261" w:type="dxa"/>
            <w:shd w:val="clear" w:color="auto" w:fill="C6EFCE"/>
            <w:noWrap/>
            <w:vAlign w:val="center"/>
          </w:tcPr>
          <w:p w14:paraId="25D35547" w14:textId="24ACCD7A" w:rsidR="00154E32" w:rsidRDefault="00A43E04">
            <w:pPr>
              <w:pStyle w:val="P68B1DB1-Normal11"/>
              <w:spacing w:after="120"/>
              <w:rPr>
                <w:noProof/>
              </w:rPr>
            </w:pPr>
            <w:r>
              <w:rPr>
                <w:noProof/>
              </w:rPr>
              <w:t>Obvestilo o oddaji vseh naročil za gradnje, potrebne za polaganje 514 km kablov, ki povezujejo Caracoli z Ebolijem.</w:t>
            </w:r>
          </w:p>
        </w:tc>
      </w:tr>
      <w:tr w:rsidR="00154E32" w14:paraId="441A8BE6" w14:textId="77777777">
        <w:trPr>
          <w:trHeight w:val="309"/>
        </w:trPr>
        <w:tc>
          <w:tcPr>
            <w:tcW w:w="1185" w:type="dxa"/>
            <w:shd w:val="clear" w:color="auto" w:fill="C6EFCE"/>
            <w:noWrap/>
            <w:vAlign w:val="center"/>
          </w:tcPr>
          <w:p w14:paraId="1985C15C" w14:textId="5727D76A" w:rsidR="00154E32" w:rsidRDefault="00A43E04">
            <w:pPr>
              <w:pStyle w:val="P68B1DB1-Normal11"/>
              <w:spacing w:after="120"/>
              <w:jc w:val="center"/>
              <w:rPr>
                <w:noProof/>
              </w:rPr>
            </w:pPr>
            <w:r>
              <w:rPr>
                <w:noProof/>
              </w:rPr>
              <w:t>M7–15</w:t>
            </w:r>
          </w:p>
        </w:tc>
        <w:tc>
          <w:tcPr>
            <w:tcW w:w="1559" w:type="dxa"/>
            <w:shd w:val="clear" w:color="auto" w:fill="C6EFCE"/>
            <w:noWrap/>
            <w:vAlign w:val="center"/>
          </w:tcPr>
          <w:p w14:paraId="3B57A9A3" w14:textId="619D3D0A" w:rsidR="00154E32" w:rsidRDefault="00A43E04">
            <w:pPr>
              <w:pStyle w:val="P68B1DB1-Normal11"/>
              <w:spacing w:after="120"/>
              <w:jc w:val="center"/>
              <w:rPr>
                <w:noProof/>
              </w:rPr>
            </w:pPr>
            <w:r>
              <w:rPr>
                <w:noProof/>
              </w:rPr>
              <w:t>Naložba 4: Tirenska povezava</w:t>
            </w:r>
          </w:p>
        </w:tc>
        <w:tc>
          <w:tcPr>
            <w:tcW w:w="1134" w:type="dxa"/>
            <w:shd w:val="clear" w:color="auto" w:fill="C6EFCE"/>
            <w:noWrap/>
            <w:vAlign w:val="center"/>
          </w:tcPr>
          <w:p w14:paraId="2D139A13" w14:textId="46ED216C" w:rsidR="00154E32" w:rsidRDefault="00A43E04">
            <w:pPr>
              <w:pStyle w:val="P68B1DB1-Normal11"/>
              <w:spacing w:after="120"/>
              <w:jc w:val="center"/>
              <w:rPr>
                <w:noProof/>
              </w:rPr>
            </w:pPr>
            <w:r>
              <w:rPr>
                <w:noProof/>
              </w:rPr>
              <w:t>Tarča</w:t>
            </w:r>
          </w:p>
        </w:tc>
        <w:tc>
          <w:tcPr>
            <w:tcW w:w="1418" w:type="dxa"/>
            <w:shd w:val="clear" w:color="auto" w:fill="C6EFCE"/>
            <w:noWrap/>
            <w:vAlign w:val="center"/>
          </w:tcPr>
          <w:p w14:paraId="640A85CB" w14:textId="360B658D" w:rsidR="00154E32" w:rsidRDefault="00A43E04">
            <w:pPr>
              <w:pStyle w:val="P68B1DB1-Normal11"/>
              <w:spacing w:after="120"/>
              <w:jc w:val="center"/>
              <w:rPr>
                <w:noProof/>
              </w:rPr>
            </w:pPr>
            <w:r>
              <w:rPr>
                <w:noProof/>
              </w:rPr>
              <w:t>514 km položenega kabla</w:t>
            </w:r>
          </w:p>
        </w:tc>
        <w:tc>
          <w:tcPr>
            <w:tcW w:w="1984" w:type="dxa"/>
            <w:shd w:val="clear" w:color="auto" w:fill="C6EFCE"/>
            <w:noWrap/>
            <w:vAlign w:val="center"/>
          </w:tcPr>
          <w:p w14:paraId="02BBB41C" w14:textId="1DF8059B" w:rsidR="00154E32" w:rsidRDefault="00154E32">
            <w:pPr>
              <w:spacing w:after="120"/>
              <w:jc w:val="center"/>
              <w:rPr>
                <w:rFonts w:ascii="Arial Narrow" w:hAnsi="Arial Narrow"/>
                <w:noProof/>
                <w:color w:val="006100"/>
                <w:sz w:val="20"/>
              </w:rPr>
            </w:pPr>
          </w:p>
        </w:tc>
        <w:tc>
          <w:tcPr>
            <w:tcW w:w="1134" w:type="dxa"/>
            <w:shd w:val="clear" w:color="auto" w:fill="C6EFCE"/>
            <w:noWrap/>
            <w:vAlign w:val="center"/>
          </w:tcPr>
          <w:p w14:paraId="75F95735" w14:textId="52A7229C" w:rsidR="00154E32" w:rsidRDefault="00A43E04">
            <w:pPr>
              <w:pStyle w:val="P68B1DB1-Normal11"/>
              <w:spacing w:after="120"/>
              <w:jc w:val="center"/>
              <w:rPr>
                <w:noProof/>
              </w:rPr>
            </w:pPr>
            <w:r>
              <w:rPr>
                <w:noProof/>
              </w:rPr>
              <w:t>Kilometri</w:t>
            </w:r>
          </w:p>
        </w:tc>
        <w:tc>
          <w:tcPr>
            <w:tcW w:w="993" w:type="dxa"/>
            <w:shd w:val="clear" w:color="auto" w:fill="C6EFCE"/>
            <w:noWrap/>
            <w:vAlign w:val="center"/>
          </w:tcPr>
          <w:p w14:paraId="79937F91" w14:textId="61FE6467" w:rsidR="00154E32" w:rsidRDefault="00A43E04">
            <w:pPr>
              <w:pStyle w:val="P68B1DB1-Normal11"/>
              <w:spacing w:after="120"/>
              <w:jc w:val="center"/>
              <w:rPr>
                <w:noProof/>
              </w:rPr>
            </w:pPr>
            <w:r>
              <w:rPr>
                <w:noProof/>
              </w:rPr>
              <w:t>0</w:t>
            </w:r>
          </w:p>
        </w:tc>
        <w:tc>
          <w:tcPr>
            <w:tcW w:w="992" w:type="dxa"/>
            <w:shd w:val="clear" w:color="auto" w:fill="C6EFCE"/>
            <w:noWrap/>
            <w:vAlign w:val="center"/>
          </w:tcPr>
          <w:p w14:paraId="2A91E36D" w14:textId="7133D8AF" w:rsidR="00154E32" w:rsidRDefault="00A43E04">
            <w:pPr>
              <w:pStyle w:val="P68B1DB1-Normal11"/>
              <w:spacing w:after="120"/>
              <w:jc w:val="center"/>
              <w:rPr>
                <w:noProof/>
              </w:rPr>
            </w:pPr>
            <w:r>
              <w:rPr>
                <w:noProof/>
              </w:rPr>
              <w:t>514</w:t>
            </w:r>
          </w:p>
        </w:tc>
        <w:tc>
          <w:tcPr>
            <w:tcW w:w="992" w:type="dxa"/>
            <w:shd w:val="clear" w:color="auto" w:fill="C6EFCE"/>
            <w:noWrap/>
            <w:vAlign w:val="center"/>
          </w:tcPr>
          <w:p w14:paraId="39CE88EA" w14:textId="1F5C4EFF" w:rsidR="00154E32" w:rsidRDefault="00A43E04">
            <w:pPr>
              <w:pStyle w:val="P68B1DB1-Normal11"/>
              <w:spacing w:after="120"/>
              <w:jc w:val="center"/>
              <w:rPr>
                <w:noProof/>
              </w:rPr>
            </w:pPr>
            <w:r>
              <w:rPr>
                <w:noProof/>
              </w:rPr>
              <w:t>Q2</w:t>
            </w:r>
          </w:p>
        </w:tc>
        <w:tc>
          <w:tcPr>
            <w:tcW w:w="709" w:type="dxa"/>
            <w:shd w:val="clear" w:color="auto" w:fill="C6EFCE"/>
            <w:noWrap/>
            <w:vAlign w:val="center"/>
          </w:tcPr>
          <w:p w14:paraId="43675B50" w14:textId="13372911" w:rsidR="00154E32" w:rsidRDefault="00A43E04">
            <w:pPr>
              <w:pStyle w:val="P68B1DB1-Normal11"/>
              <w:spacing w:after="120"/>
              <w:jc w:val="center"/>
              <w:rPr>
                <w:noProof/>
              </w:rPr>
            </w:pPr>
            <w:r>
              <w:rPr>
                <w:noProof/>
              </w:rPr>
              <w:t>2026</w:t>
            </w:r>
          </w:p>
        </w:tc>
        <w:tc>
          <w:tcPr>
            <w:tcW w:w="3261" w:type="dxa"/>
            <w:shd w:val="clear" w:color="auto" w:fill="C6EFCE"/>
            <w:noWrap/>
            <w:vAlign w:val="center"/>
          </w:tcPr>
          <w:p w14:paraId="6F26F1E3" w14:textId="0E108CCD" w:rsidR="00154E32" w:rsidRDefault="00A43E04">
            <w:pPr>
              <w:pStyle w:val="P68B1DB1-Normal11"/>
              <w:spacing w:after="120"/>
              <w:rPr>
                <w:noProof/>
              </w:rPr>
            </w:pPr>
            <w:r>
              <w:rPr>
                <w:noProof/>
              </w:rPr>
              <w:t>514 km položenega kabla, ki povezuje Caracoli (Palermo) z Ebolijem (Salerno) in zagotavlja zmogljivost 500 MW.</w:t>
            </w:r>
          </w:p>
        </w:tc>
      </w:tr>
      <w:tr w:rsidR="00154E32" w14:paraId="79E5721E" w14:textId="77777777">
        <w:trPr>
          <w:trHeight w:val="309"/>
        </w:trPr>
        <w:tc>
          <w:tcPr>
            <w:tcW w:w="1185" w:type="dxa"/>
            <w:shd w:val="clear" w:color="auto" w:fill="C6EFCE"/>
            <w:noWrap/>
            <w:vAlign w:val="center"/>
          </w:tcPr>
          <w:p w14:paraId="7D9E4564" w14:textId="1EF602AB" w:rsidR="00154E32" w:rsidRDefault="00A43E04">
            <w:pPr>
              <w:pStyle w:val="P68B1DB1-Normal11"/>
              <w:spacing w:after="120"/>
              <w:jc w:val="center"/>
              <w:rPr>
                <w:noProof/>
              </w:rPr>
            </w:pPr>
            <w:r>
              <w:rPr>
                <w:noProof/>
              </w:rPr>
              <w:t>M7–16</w:t>
            </w:r>
          </w:p>
        </w:tc>
        <w:tc>
          <w:tcPr>
            <w:tcW w:w="1559" w:type="dxa"/>
            <w:shd w:val="clear" w:color="auto" w:fill="C6EFCE"/>
            <w:noWrap/>
            <w:vAlign w:val="center"/>
          </w:tcPr>
          <w:p w14:paraId="3BD908CF" w14:textId="500316DE" w:rsidR="00154E32" w:rsidRDefault="00A43E04">
            <w:pPr>
              <w:pStyle w:val="P68B1DB1-Normal11"/>
              <w:spacing w:after="120"/>
              <w:jc w:val="center"/>
              <w:rPr>
                <w:noProof/>
              </w:rPr>
            </w:pPr>
            <w:r>
              <w:rPr>
                <w:noProof/>
              </w:rPr>
              <w:t>Naložba 5: SA.CO.I.3</w:t>
            </w:r>
          </w:p>
        </w:tc>
        <w:tc>
          <w:tcPr>
            <w:tcW w:w="1134" w:type="dxa"/>
            <w:shd w:val="clear" w:color="auto" w:fill="C6EFCE"/>
            <w:noWrap/>
            <w:vAlign w:val="center"/>
          </w:tcPr>
          <w:p w14:paraId="1033D43B" w14:textId="48F8CD45" w:rsidR="00154E32" w:rsidRDefault="00A43E04">
            <w:pPr>
              <w:pStyle w:val="P68B1DB1-Normal11"/>
              <w:spacing w:after="120"/>
              <w:jc w:val="center"/>
              <w:rPr>
                <w:noProof/>
              </w:rPr>
            </w:pPr>
            <w:r>
              <w:rPr>
                <w:noProof/>
              </w:rPr>
              <w:t>Mejnik</w:t>
            </w:r>
          </w:p>
        </w:tc>
        <w:tc>
          <w:tcPr>
            <w:tcW w:w="1418" w:type="dxa"/>
            <w:shd w:val="clear" w:color="auto" w:fill="C6EFCE"/>
            <w:noWrap/>
            <w:vAlign w:val="center"/>
          </w:tcPr>
          <w:p w14:paraId="2F61858B" w14:textId="366AD03D" w:rsidR="00154E32" w:rsidRDefault="00A43E04">
            <w:pPr>
              <w:pStyle w:val="P68B1DB1-Normal11"/>
              <w:spacing w:after="120"/>
              <w:jc w:val="center"/>
              <w:rPr>
                <w:noProof/>
              </w:rPr>
            </w:pPr>
            <w:r>
              <w:rPr>
                <w:noProof/>
              </w:rPr>
              <w:t>Dodelitev pogodb</w:t>
            </w:r>
          </w:p>
        </w:tc>
        <w:tc>
          <w:tcPr>
            <w:tcW w:w="1984" w:type="dxa"/>
            <w:shd w:val="clear" w:color="auto" w:fill="C6EFCE"/>
            <w:noWrap/>
            <w:vAlign w:val="center"/>
          </w:tcPr>
          <w:p w14:paraId="4B4D027B" w14:textId="7F5E5DF3" w:rsidR="00154E32" w:rsidRDefault="00A43E04">
            <w:pPr>
              <w:pStyle w:val="P68B1DB1-Normal11"/>
              <w:spacing w:after="120"/>
              <w:jc w:val="center"/>
              <w:rPr>
                <w:noProof/>
              </w:rPr>
            </w:pPr>
            <w:r>
              <w:rPr>
                <w:noProof/>
              </w:rPr>
              <w:t>Obvestilo o oddaji naročil</w:t>
            </w:r>
          </w:p>
        </w:tc>
        <w:tc>
          <w:tcPr>
            <w:tcW w:w="1134" w:type="dxa"/>
            <w:shd w:val="clear" w:color="auto" w:fill="C6EFCE"/>
            <w:noWrap/>
            <w:vAlign w:val="center"/>
          </w:tcPr>
          <w:p w14:paraId="6465127B" w14:textId="354488AF" w:rsidR="00154E32" w:rsidRDefault="00154E32">
            <w:pPr>
              <w:spacing w:after="120"/>
              <w:jc w:val="center"/>
              <w:rPr>
                <w:rFonts w:ascii="Arial Narrow" w:hAnsi="Arial Narrow"/>
                <w:noProof/>
                <w:color w:val="FF0000"/>
                <w:sz w:val="20"/>
              </w:rPr>
            </w:pPr>
          </w:p>
        </w:tc>
        <w:tc>
          <w:tcPr>
            <w:tcW w:w="993" w:type="dxa"/>
            <w:shd w:val="clear" w:color="auto" w:fill="C6EFCE"/>
            <w:noWrap/>
            <w:vAlign w:val="center"/>
          </w:tcPr>
          <w:p w14:paraId="1482E4CF"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7C9090CB"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510FB368" w14:textId="080D9BC8" w:rsidR="00154E32" w:rsidRDefault="00A43E04">
            <w:pPr>
              <w:pStyle w:val="P68B1DB1-Normal11"/>
              <w:spacing w:after="120"/>
              <w:jc w:val="center"/>
              <w:rPr>
                <w:noProof/>
              </w:rPr>
            </w:pPr>
            <w:r>
              <w:rPr>
                <w:noProof/>
              </w:rPr>
              <w:t>Q4</w:t>
            </w:r>
          </w:p>
        </w:tc>
        <w:tc>
          <w:tcPr>
            <w:tcW w:w="709" w:type="dxa"/>
            <w:shd w:val="clear" w:color="auto" w:fill="C6EFCE"/>
            <w:noWrap/>
            <w:vAlign w:val="center"/>
          </w:tcPr>
          <w:p w14:paraId="626279C4" w14:textId="318B4C80" w:rsidR="00154E32" w:rsidRDefault="00A43E04">
            <w:pPr>
              <w:pStyle w:val="P68B1DB1-Normal11"/>
              <w:spacing w:after="120"/>
              <w:jc w:val="center"/>
              <w:rPr>
                <w:noProof/>
              </w:rPr>
            </w:pPr>
            <w:r>
              <w:rPr>
                <w:noProof/>
              </w:rPr>
              <w:t>2024</w:t>
            </w:r>
          </w:p>
        </w:tc>
        <w:tc>
          <w:tcPr>
            <w:tcW w:w="3261" w:type="dxa"/>
            <w:shd w:val="clear" w:color="auto" w:fill="C6EFCE"/>
            <w:noWrap/>
            <w:vAlign w:val="center"/>
          </w:tcPr>
          <w:p w14:paraId="76E63E00" w14:textId="40F2015F" w:rsidR="00154E32" w:rsidRDefault="00A43E04">
            <w:pPr>
              <w:pStyle w:val="P68B1DB1-Normal11"/>
              <w:spacing w:after="120"/>
              <w:rPr>
                <w:noProof/>
              </w:rPr>
            </w:pPr>
            <w:r>
              <w:rPr>
                <w:noProof/>
              </w:rPr>
              <w:t>Obvestilo o oddaji vseh naročil za gradnje, potrebne za dokončanje slamnatih predelovalnih postaj na Sardiniji in Toskani.</w:t>
            </w:r>
          </w:p>
        </w:tc>
      </w:tr>
      <w:tr w:rsidR="00154E32" w14:paraId="01E96E37" w14:textId="77777777">
        <w:trPr>
          <w:trHeight w:val="309"/>
        </w:trPr>
        <w:tc>
          <w:tcPr>
            <w:tcW w:w="1185" w:type="dxa"/>
            <w:shd w:val="clear" w:color="auto" w:fill="C6EFCE"/>
            <w:noWrap/>
            <w:vAlign w:val="center"/>
          </w:tcPr>
          <w:p w14:paraId="7C17D32E" w14:textId="4D2F6A91" w:rsidR="00154E32" w:rsidRDefault="00A43E04">
            <w:pPr>
              <w:pStyle w:val="P68B1DB1-Normal11"/>
              <w:spacing w:after="120"/>
              <w:jc w:val="center"/>
              <w:rPr>
                <w:noProof/>
              </w:rPr>
            </w:pPr>
            <w:r>
              <w:rPr>
                <w:noProof/>
              </w:rPr>
              <w:t>M7–17</w:t>
            </w:r>
          </w:p>
        </w:tc>
        <w:tc>
          <w:tcPr>
            <w:tcW w:w="1559" w:type="dxa"/>
            <w:shd w:val="clear" w:color="auto" w:fill="C6EFCE"/>
            <w:noWrap/>
            <w:vAlign w:val="center"/>
          </w:tcPr>
          <w:p w14:paraId="390D78F5" w14:textId="577773A6" w:rsidR="00154E32" w:rsidRDefault="00A43E04">
            <w:pPr>
              <w:pStyle w:val="P68B1DB1-Normal11"/>
              <w:spacing w:after="120"/>
              <w:jc w:val="center"/>
              <w:rPr>
                <w:noProof/>
              </w:rPr>
            </w:pPr>
            <w:r>
              <w:rPr>
                <w:noProof/>
              </w:rPr>
              <w:t>Naložba 5: SA.CO.I.3</w:t>
            </w:r>
          </w:p>
        </w:tc>
        <w:tc>
          <w:tcPr>
            <w:tcW w:w="1134" w:type="dxa"/>
            <w:shd w:val="clear" w:color="auto" w:fill="C6EFCE"/>
            <w:noWrap/>
            <w:vAlign w:val="center"/>
          </w:tcPr>
          <w:p w14:paraId="54E6228C" w14:textId="1F8C516A" w:rsidR="00154E32" w:rsidRDefault="00A43E04">
            <w:pPr>
              <w:pStyle w:val="P68B1DB1-Normal11"/>
              <w:spacing w:after="120"/>
              <w:jc w:val="center"/>
              <w:rPr>
                <w:noProof/>
              </w:rPr>
            </w:pPr>
            <w:r>
              <w:rPr>
                <w:noProof/>
              </w:rPr>
              <w:t>Mejnik</w:t>
            </w:r>
          </w:p>
        </w:tc>
        <w:tc>
          <w:tcPr>
            <w:tcW w:w="1418" w:type="dxa"/>
            <w:shd w:val="clear" w:color="auto" w:fill="C6EFCE"/>
            <w:noWrap/>
            <w:vAlign w:val="center"/>
          </w:tcPr>
          <w:p w14:paraId="1BC84302" w14:textId="730C86B6" w:rsidR="00154E32" w:rsidRDefault="00A43E04">
            <w:pPr>
              <w:pStyle w:val="P68B1DB1-Normal11"/>
              <w:spacing w:after="120"/>
              <w:jc w:val="center"/>
              <w:rPr>
                <w:noProof/>
              </w:rPr>
            </w:pPr>
            <w:r>
              <w:rPr>
                <w:noProof/>
              </w:rPr>
              <w:t>Dokončanje lupin predelovalnih postaj na Sardiniji (Codrongianos) in Toskani (Suvereto)</w:t>
            </w:r>
          </w:p>
        </w:tc>
        <w:tc>
          <w:tcPr>
            <w:tcW w:w="1984" w:type="dxa"/>
            <w:shd w:val="clear" w:color="auto" w:fill="C6EFCE"/>
            <w:noWrap/>
            <w:vAlign w:val="center"/>
          </w:tcPr>
          <w:p w14:paraId="6CBF57A6" w14:textId="58925461" w:rsidR="00154E32" w:rsidRDefault="00A43E04">
            <w:pPr>
              <w:pStyle w:val="P68B1DB1-Normal11"/>
              <w:spacing w:after="120"/>
              <w:jc w:val="center"/>
              <w:rPr>
                <w:noProof/>
              </w:rPr>
            </w:pPr>
            <w:r>
              <w:rPr>
                <w:noProof/>
              </w:rPr>
              <w:t>Obvestilo o zaključku del</w:t>
            </w:r>
          </w:p>
        </w:tc>
        <w:tc>
          <w:tcPr>
            <w:tcW w:w="1134" w:type="dxa"/>
            <w:shd w:val="clear" w:color="auto" w:fill="C6EFCE"/>
            <w:noWrap/>
            <w:vAlign w:val="center"/>
          </w:tcPr>
          <w:p w14:paraId="039276CA" w14:textId="77777777" w:rsidR="00154E32" w:rsidRDefault="00154E32">
            <w:pPr>
              <w:spacing w:after="120"/>
              <w:jc w:val="center"/>
              <w:rPr>
                <w:rFonts w:ascii="Arial Narrow" w:hAnsi="Arial Narrow"/>
                <w:noProof/>
                <w:color w:val="006100"/>
                <w:sz w:val="20"/>
              </w:rPr>
            </w:pPr>
          </w:p>
        </w:tc>
        <w:tc>
          <w:tcPr>
            <w:tcW w:w="993" w:type="dxa"/>
            <w:shd w:val="clear" w:color="auto" w:fill="C6EFCE"/>
            <w:noWrap/>
            <w:vAlign w:val="center"/>
          </w:tcPr>
          <w:p w14:paraId="24E3E40C"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55B070D5"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6CE5785D" w14:textId="089DEF35" w:rsidR="00154E32" w:rsidRDefault="00A43E04">
            <w:pPr>
              <w:pStyle w:val="P68B1DB1-Normal11"/>
              <w:spacing w:after="120"/>
              <w:jc w:val="center"/>
              <w:rPr>
                <w:noProof/>
              </w:rPr>
            </w:pPr>
            <w:r>
              <w:rPr>
                <w:noProof/>
              </w:rPr>
              <w:t>Q2</w:t>
            </w:r>
          </w:p>
        </w:tc>
        <w:tc>
          <w:tcPr>
            <w:tcW w:w="709" w:type="dxa"/>
            <w:shd w:val="clear" w:color="auto" w:fill="C6EFCE"/>
            <w:noWrap/>
            <w:vAlign w:val="center"/>
          </w:tcPr>
          <w:p w14:paraId="3A477196" w14:textId="3170E629" w:rsidR="00154E32" w:rsidRDefault="00A43E04">
            <w:pPr>
              <w:pStyle w:val="P68B1DB1-Normal11"/>
              <w:spacing w:after="120"/>
              <w:jc w:val="center"/>
              <w:rPr>
                <w:noProof/>
              </w:rPr>
            </w:pPr>
            <w:r>
              <w:rPr>
                <w:noProof/>
              </w:rPr>
              <w:t>2026</w:t>
            </w:r>
          </w:p>
        </w:tc>
        <w:tc>
          <w:tcPr>
            <w:tcW w:w="3261" w:type="dxa"/>
            <w:shd w:val="clear" w:color="auto" w:fill="C6EFCE"/>
            <w:noWrap/>
            <w:vAlign w:val="center"/>
          </w:tcPr>
          <w:p w14:paraId="61DD4D40" w14:textId="5D3877D4" w:rsidR="00154E32" w:rsidRDefault="00A43E04">
            <w:pPr>
              <w:pStyle w:val="P68B1DB1-Normal11"/>
              <w:spacing w:after="120"/>
              <w:rPr>
                <w:noProof/>
              </w:rPr>
            </w:pPr>
            <w:r>
              <w:rPr>
                <w:noProof/>
              </w:rPr>
              <w:t>Obvestilo o dokončanju lupin predelovalnih postaj na Sardiniji in Toskani.</w:t>
            </w:r>
          </w:p>
        </w:tc>
      </w:tr>
      <w:tr w:rsidR="00154E32" w14:paraId="4B6306F5" w14:textId="77777777">
        <w:trPr>
          <w:trHeight w:val="309"/>
        </w:trPr>
        <w:tc>
          <w:tcPr>
            <w:tcW w:w="1185" w:type="dxa"/>
            <w:shd w:val="clear" w:color="auto" w:fill="C6EFCE"/>
            <w:noWrap/>
            <w:vAlign w:val="center"/>
          </w:tcPr>
          <w:p w14:paraId="3560B194" w14:textId="51090FA8" w:rsidR="00154E32" w:rsidRDefault="00A43E04">
            <w:pPr>
              <w:pStyle w:val="P68B1DB1-Normal11"/>
              <w:spacing w:after="120"/>
              <w:jc w:val="center"/>
              <w:rPr>
                <w:noProof/>
              </w:rPr>
            </w:pPr>
            <w:r>
              <w:rPr>
                <w:noProof/>
              </w:rPr>
              <w:t>M7–18</w:t>
            </w:r>
          </w:p>
        </w:tc>
        <w:tc>
          <w:tcPr>
            <w:tcW w:w="1559" w:type="dxa"/>
            <w:shd w:val="clear" w:color="auto" w:fill="C6EFCE"/>
            <w:noWrap/>
            <w:vAlign w:val="center"/>
          </w:tcPr>
          <w:p w14:paraId="5989477E" w14:textId="3DD09A8F" w:rsidR="00154E32" w:rsidRDefault="00A43E04">
            <w:pPr>
              <w:pStyle w:val="P68B1DB1-Normal11"/>
              <w:spacing w:after="120"/>
              <w:jc w:val="center"/>
              <w:rPr>
                <w:noProof/>
              </w:rPr>
            </w:pPr>
            <w:r>
              <w:rPr>
                <w:noProof/>
              </w:rPr>
              <w:t>Naložba 6: Projekti čezmejnih elektroenergetskih povezav med Italijo in sosednjimi državami</w:t>
            </w:r>
          </w:p>
        </w:tc>
        <w:tc>
          <w:tcPr>
            <w:tcW w:w="1134" w:type="dxa"/>
            <w:shd w:val="clear" w:color="auto" w:fill="C6EFCE"/>
            <w:noWrap/>
            <w:vAlign w:val="center"/>
          </w:tcPr>
          <w:p w14:paraId="0288869E" w14:textId="2F384008" w:rsidR="00154E32" w:rsidRDefault="00A43E04">
            <w:pPr>
              <w:pStyle w:val="P68B1DB1-Normal11"/>
              <w:spacing w:after="120"/>
              <w:jc w:val="center"/>
              <w:rPr>
                <w:noProof/>
              </w:rPr>
            </w:pPr>
            <w:r>
              <w:rPr>
                <w:noProof/>
              </w:rPr>
              <w:t>Mejnik</w:t>
            </w:r>
          </w:p>
        </w:tc>
        <w:tc>
          <w:tcPr>
            <w:tcW w:w="1418" w:type="dxa"/>
            <w:shd w:val="clear" w:color="auto" w:fill="C6EFCE"/>
            <w:noWrap/>
            <w:vAlign w:val="center"/>
          </w:tcPr>
          <w:p w14:paraId="4AA106B5" w14:textId="7CF70716" w:rsidR="00154E32" w:rsidRDefault="00A43E04">
            <w:pPr>
              <w:pStyle w:val="P68B1DB1-Normal11"/>
              <w:spacing w:after="120"/>
              <w:jc w:val="center"/>
              <w:rPr>
                <w:noProof/>
                <w:color w:val="FF0000"/>
              </w:rPr>
            </w:pPr>
            <w:r>
              <w:rPr>
                <w:noProof/>
              </w:rPr>
              <w:t>Oddaja naročil za gradnjo povezovalnega daljnovoda Italija-Avstrija „Somplago-Würmlach“</w:t>
            </w:r>
          </w:p>
        </w:tc>
        <w:tc>
          <w:tcPr>
            <w:tcW w:w="1984" w:type="dxa"/>
            <w:shd w:val="clear" w:color="auto" w:fill="C6EFCE"/>
            <w:noWrap/>
            <w:vAlign w:val="center"/>
          </w:tcPr>
          <w:p w14:paraId="1E8B2726" w14:textId="2968FD42" w:rsidR="00154E32" w:rsidRDefault="00A43E04">
            <w:pPr>
              <w:pStyle w:val="P68B1DB1-Normal11"/>
              <w:spacing w:after="120"/>
              <w:jc w:val="center"/>
              <w:rPr>
                <w:noProof/>
              </w:rPr>
            </w:pPr>
            <w:r>
              <w:rPr>
                <w:noProof/>
              </w:rPr>
              <w:t>Obvestilo o oddaji naročil</w:t>
            </w:r>
          </w:p>
        </w:tc>
        <w:tc>
          <w:tcPr>
            <w:tcW w:w="1134" w:type="dxa"/>
            <w:shd w:val="clear" w:color="auto" w:fill="C6EFCE"/>
            <w:noWrap/>
            <w:vAlign w:val="center"/>
          </w:tcPr>
          <w:p w14:paraId="5B699BAB" w14:textId="77777777" w:rsidR="00154E32" w:rsidRDefault="00154E32">
            <w:pPr>
              <w:spacing w:after="120"/>
              <w:jc w:val="center"/>
              <w:rPr>
                <w:rFonts w:ascii="Arial Narrow" w:hAnsi="Arial Narrow"/>
                <w:noProof/>
                <w:color w:val="006100"/>
                <w:sz w:val="20"/>
              </w:rPr>
            </w:pPr>
          </w:p>
        </w:tc>
        <w:tc>
          <w:tcPr>
            <w:tcW w:w="993" w:type="dxa"/>
            <w:shd w:val="clear" w:color="auto" w:fill="C6EFCE"/>
            <w:noWrap/>
            <w:vAlign w:val="center"/>
          </w:tcPr>
          <w:p w14:paraId="7D85D82B"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12C2DCCA"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589CEBE7" w14:textId="4D0BB9CF" w:rsidR="00154E32" w:rsidRDefault="00A43E04">
            <w:pPr>
              <w:pStyle w:val="P68B1DB1-Normal11"/>
              <w:spacing w:after="120"/>
              <w:jc w:val="center"/>
              <w:rPr>
                <w:noProof/>
              </w:rPr>
            </w:pPr>
            <w:r>
              <w:rPr>
                <w:noProof/>
              </w:rPr>
              <w:t>Q3</w:t>
            </w:r>
          </w:p>
        </w:tc>
        <w:tc>
          <w:tcPr>
            <w:tcW w:w="709" w:type="dxa"/>
            <w:shd w:val="clear" w:color="auto" w:fill="C6EFCE"/>
            <w:noWrap/>
            <w:vAlign w:val="center"/>
          </w:tcPr>
          <w:p w14:paraId="1712D171" w14:textId="3CC9B15D" w:rsidR="00154E32" w:rsidRDefault="00A43E04">
            <w:pPr>
              <w:pStyle w:val="P68B1DB1-Normal11"/>
              <w:spacing w:after="120"/>
              <w:jc w:val="center"/>
              <w:rPr>
                <w:noProof/>
              </w:rPr>
            </w:pPr>
            <w:r>
              <w:rPr>
                <w:noProof/>
              </w:rPr>
              <w:t>2025</w:t>
            </w:r>
          </w:p>
        </w:tc>
        <w:tc>
          <w:tcPr>
            <w:tcW w:w="3261" w:type="dxa"/>
            <w:shd w:val="clear" w:color="auto" w:fill="C6EFCE"/>
            <w:noWrap/>
            <w:vAlign w:val="center"/>
          </w:tcPr>
          <w:p w14:paraId="47F98B55" w14:textId="674B3E3A" w:rsidR="00154E32" w:rsidRDefault="00A43E04">
            <w:pPr>
              <w:pStyle w:val="P68B1DB1-Normal11"/>
              <w:spacing w:after="120"/>
              <w:rPr>
                <w:noProof/>
                <w:color w:val="FF0000"/>
              </w:rPr>
            </w:pPr>
            <w:r>
              <w:rPr>
                <w:noProof/>
              </w:rPr>
              <w:t>Obvestilo o oddaji vseh naročil, potrebnih za začetek gradnje povezovalnega daljnovoda Italija-Avstrija „Somplago-Würmlach“.</w:t>
            </w:r>
          </w:p>
        </w:tc>
      </w:tr>
      <w:tr w:rsidR="00154E32" w14:paraId="29E6D484" w14:textId="77777777">
        <w:trPr>
          <w:trHeight w:val="309"/>
        </w:trPr>
        <w:tc>
          <w:tcPr>
            <w:tcW w:w="1185" w:type="dxa"/>
            <w:shd w:val="clear" w:color="auto" w:fill="C6EFCE"/>
            <w:noWrap/>
            <w:vAlign w:val="center"/>
          </w:tcPr>
          <w:p w14:paraId="1879ABBC" w14:textId="33BD8832" w:rsidR="00154E32" w:rsidRDefault="00A43E04">
            <w:pPr>
              <w:pStyle w:val="P68B1DB1-Normal11"/>
              <w:spacing w:after="120"/>
              <w:jc w:val="center"/>
              <w:rPr>
                <w:noProof/>
              </w:rPr>
            </w:pPr>
            <w:r>
              <w:rPr>
                <w:noProof/>
              </w:rPr>
              <w:t>M7–19</w:t>
            </w:r>
          </w:p>
        </w:tc>
        <w:tc>
          <w:tcPr>
            <w:tcW w:w="1559" w:type="dxa"/>
            <w:shd w:val="clear" w:color="auto" w:fill="C6EFCE"/>
            <w:noWrap/>
            <w:vAlign w:val="center"/>
          </w:tcPr>
          <w:p w14:paraId="0EBE10AF" w14:textId="7C5C1ACB" w:rsidR="00154E32" w:rsidRDefault="00A43E04">
            <w:pPr>
              <w:pStyle w:val="P68B1DB1-Normal11"/>
              <w:spacing w:after="120"/>
              <w:jc w:val="center"/>
              <w:rPr>
                <w:noProof/>
              </w:rPr>
            </w:pPr>
            <w:r>
              <w:rPr>
                <w:noProof/>
              </w:rPr>
              <w:t>Naložba 6: Projekti čezmejnih elektroenergetskih povezav med Italijo in sosednjimi državami</w:t>
            </w:r>
          </w:p>
        </w:tc>
        <w:tc>
          <w:tcPr>
            <w:tcW w:w="1134" w:type="dxa"/>
            <w:shd w:val="clear" w:color="auto" w:fill="C6EFCE"/>
            <w:noWrap/>
            <w:vAlign w:val="center"/>
          </w:tcPr>
          <w:p w14:paraId="2C92C4B2" w14:textId="3EF8C9CA" w:rsidR="00154E32" w:rsidRDefault="00A43E04">
            <w:pPr>
              <w:pStyle w:val="P68B1DB1-Normal11"/>
              <w:spacing w:after="120"/>
              <w:jc w:val="center"/>
              <w:rPr>
                <w:noProof/>
              </w:rPr>
            </w:pPr>
            <w:r>
              <w:rPr>
                <w:noProof/>
              </w:rPr>
              <w:t>Tarča</w:t>
            </w:r>
          </w:p>
        </w:tc>
        <w:tc>
          <w:tcPr>
            <w:tcW w:w="1418" w:type="dxa"/>
            <w:shd w:val="clear" w:color="auto" w:fill="C6EFCE"/>
            <w:noWrap/>
            <w:vAlign w:val="center"/>
          </w:tcPr>
          <w:p w14:paraId="1590A035" w14:textId="1F28A099" w:rsidR="00154E32" w:rsidRDefault="00A43E04">
            <w:pPr>
              <w:pStyle w:val="P68B1DB1-Normal11"/>
              <w:spacing w:after="120"/>
              <w:jc w:val="center"/>
              <w:rPr>
                <w:noProof/>
              </w:rPr>
            </w:pPr>
            <w:r>
              <w:rPr>
                <w:noProof/>
              </w:rPr>
              <w:t>Povečanje nazivne zmogljivosti povezovalnih daljnovodov med Italijo in Avstrijo zaradi dokončanja povezovalnega daljnovoda</w:t>
            </w:r>
          </w:p>
        </w:tc>
        <w:tc>
          <w:tcPr>
            <w:tcW w:w="1984" w:type="dxa"/>
            <w:shd w:val="clear" w:color="auto" w:fill="C6EFCE"/>
            <w:noWrap/>
            <w:vAlign w:val="center"/>
          </w:tcPr>
          <w:p w14:paraId="685EC5ED" w14:textId="11D5A9F9" w:rsidR="00154E32" w:rsidRDefault="00154E32">
            <w:pPr>
              <w:spacing w:after="120"/>
              <w:jc w:val="center"/>
              <w:rPr>
                <w:rFonts w:ascii="Arial Narrow" w:hAnsi="Arial Narrow"/>
                <w:noProof/>
                <w:color w:val="006100"/>
                <w:sz w:val="20"/>
              </w:rPr>
            </w:pPr>
          </w:p>
        </w:tc>
        <w:tc>
          <w:tcPr>
            <w:tcW w:w="1134" w:type="dxa"/>
            <w:shd w:val="clear" w:color="auto" w:fill="C6EFCE"/>
            <w:noWrap/>
            <w:vAlign w:val="center"/>
          </w:tcPr>
          <w:p w14:paraId="16DC098A" w14:textId="419EA49B" w:rsidR="00154E32" w:rsidRDefault="00A43E04">
            <w:pPr>
              <w:pStyle w:val="P68B1DB1-Normal11"/>
              <w:spacing w:after="120"/>
              <w:jc w:val="center"/>
              <w:rPr>
                <w:noProof/>
              </w:rPr>
            </w:pPr>
            <w:r>
              <w:rPr>
                <w:noProof/>
              </w:rPr>
              <w:t>MW</w:t>
            </w:r>
          </w:p>
        </w:tc>
        <w:tc>
          <w:tcPr>
            <w:tcW w:w="993" w:type="dxa"/>
            <w:shd w:val="clear" w:color="auto" w:fill="C6EFCE"/>
            <w:noWrap/>
            <w:vAlign w:val="center"/>
          </w:tcPr>
          <w:p w14:paraId="1266B0F4" w14:textId="2CA59FA5" w:rsidR="00154E32" w:rsidRDefault="00A43E04">
            <w:pPr>
              <w:pStyle w:val="P68B1DB1-Normal11"/>
              <w:spacing w:after="120"/>
              <w:jc w:val="center"/>
              <w:rPr>
                <w:noProof/>
              </w:rPr>
            </w:pPr>
            <w:r>
              <w:rPr>
                <w:noProof/>
              </w:rPr>
              <w:t>0</w:t>
            </w:r>
          </w:p>
        </w:tc>
        <w:tc>
          <w:tcPr>
            <w:tcW w:w="992" w:type="dxa"/>
            <w:shd w:val="clear" w:color="auto" w:fill="C6EFCE"/>
            <w:noWrap/>
            <w:vAlign w:val="center"/>
          </w:tcPr>
          <w:p w14:paraId="089F2E80" w14:textId="15BD571A" w:rsidR="00154E32" w:rsidRDefault="00A43E04">
            <w:pPr>
              <w:pStyle w:val="P68B1DB1-Normal11"/>
              <w:spacing w:after="120"/>
              <w:jc w:val="center"/>
              <w:rPr>
                <w:noProof/>
              </w:rPr>
            </w:pPr>
            <w:r>
              <w:rPr>
                <w:noProof/>
              </w:rPr>
              <w:t>300</w:t>
            </w:r>
          </w:p>
        </w:tc>
        <w:tc>
          <w:tcPr>
            <w:tcW w:w="992" w:type="dxa"/>
            <w:shd w:val="clear" w:color="auto" w:fill="C6EFCE"/>
            <w:noWrap/>
            <w:vAlign w:val="center"/>
          </w:tcPr>
          <w:p w14:paraId="5DC79E45" w14:textId="4A1CD07B" w:rsidR="00154E32" w:rsidRDefault="00A43E04">
            <w:pPr>
              <w:pStyle w:val="P68B1DB1-Normal11"/>
              <w:spacing w:after="120"/>
              <w:jc w:val="center"/>
              <w:rPr>
                <w:noProof/>
              </w:rPr>
            </w:pPr>
            <w:r>
              <w:rPr>
                <w:noProof/>
              </w:rPr>
              <w:t>Q2</w:t>
            </w:r>
          </w:p>
        </w:tc>
        <w:tc>
          <w:tcPr>
            <w:tcW w:w="709" w:type="dxa"/>
            <w:shd w:val="clear" w:color="auto" w:fill="C6EFCE"/>
            <w:noWrap/>
            <w:vAlign w:val="center"/>
          </w:tcPr>
          <w:p w14:paraId="4E0F98A1" w14:textId="3E99FA5D" w:rsidR="00154E32" w:rsidRDefault="00A43E04">
            <w:pPr>
              <w:pStyle w:val="P68B1DB1-Normal11"/>
              <w:spacing w:after="120"/>
              <w:jc w:val="center"/>
              <w:rPr>
                <w:noProof/>
              </w:rPr>
            </w:pPr>
            <w:r>
              <w:rPr>
                <w:noProof/>
              </w:rPr>
              <w:t>2026</w:t>
            </w:r>
          </w:p>
        </w:tc>
        <w:tc>
          <w:tcPr>
            <w:tcW w:w="3261" w:type="dxa"/>
            <w:shd w:val="clear" w:color="auto" w:fill="C6EFCE"/>
            <w:noWrap/>
            <w:vAlign w:val="center"/>
          </w:tcPr>
          <w:p w14:paraId="475F30FA" w14:textId="60A1A8C9" w:rsidR="00154E32" w:rsidRDefault="00A43E04">
            <w:pPr>
              <w:pStyle w:val="P68B1DB1-Normal11"/>
              <w:spacing w:after="120"/>
              <w:rPr>
                <w:noProof/>
              </w:rPr>
            </w:pPr>
            <w:r>
              <w:rPr>
                <w:noProof/>
              </w:rPr>
              <w:t>Dokončanje povezovalnega daljnovoda Italija-Avstrija: „Somplago – Würmlach“. Po zaključku del na italijanski strani se nazivna zmogljivost medsebojne povezave med Italijo in Avstrijo poveča za 300 MW.</w:t>
            </w:r>
          </w:p>
        </w:tc>
      </w:tr>
      <w:tr w:rsidR="00154E32" w14:paraId="4DD69E55" w14:textId="77777777">
        <w:trPr>
          <w:trHeight w:val="309"/>
        </w:trPr>
        <w:tc>
          <w:tcPr>
            <w:tcW w:w="1185" w:type="dxa"/>
            <w:shd w:val="clear" w:color="auto" w:fill="C6EFCE"/>
            <w:noWrap/>
            <w:vAlign w:val="center"/>
          </w:tcPr>
          <w:p w14:paraId="3E51D869" w14:textId="2C63BC43" w:rsidR="00154E32" w:rsidRDefault="00A43E04">
            <w:pPr>
              <w:pStyle w:val="P68B1DB1-Normal11"/>
              <w:spacing w:after="120"/>
              <w:jc w:val="center"/>
              <w:rPr>
                <w:noProof/>
              </w:rPr>
            </w:pPr>
            <w:r>
              <w:rPr>
                <w:noProof/>
              </w:rPr>
              <w:t>M7–20</w:t>
            </w:r>
          </w:p>
        </w:tc>
        <w:tc>
          <w:tcPr>
            <w:tcW w:w="1559" w:type="dxa"/>
            <w:shd w:val="clear" w:color="auto" w:fill="C6EFCE"/>
            <w:noWrap/>
            <w:vAlign w:val="center"/>
          </w:tcPr>
          <w:p w14:paraId="64E81998" w14:textId="76B47581" w:rsidR="00154E32" w:rsidRDefault="00A43E04">
            <w:pPr>
              <w:pStyle w:val="P68B1DB1-Normal11"/>
              <w:spacing w:after="120"/>
              <w:jc w:val="center"/>
              <w:rPr>
                <w:noProof/>
              </w:rPr>
            </w:pPr>
            <w:r>
              <w:rPr>
                <w:noProof/>
              </w:rPr>
              <w:t>Naložba 6: Projekti čezmejnih elektroenergetskih povezav med Italijo in sosednjimi državami</w:t>
            </w:r>
          </w:p>
        </w:tc>
        <w:tc>
          <w:tcPr>
            <w:tcW w:w="1134" w:type="dxa"/>
            <w:shd w:val="clear" w:color="auto" w:fill="C6EFCE"/>
            <w:noWrap/>
            <w:vAlign w:val="center"/>
          </w:tcPr>
          <w:p w14:paraId="372ADA2D" w14:textId="3DEBE789" w:rsidR="00154E32" w:rsidRDefault="00A43E04">
            <w:pPr>
              <w:pStyle w:val="P68B1DB1-Normal11"/>
              <w:spacing w:after="120"/>
              <w:jc w:val="center"/>
              <w:rPr>
                <w:noProof/>
              </w:rPr>
            </w:pPr>
            <w:r>
              <w:rPr>
                <w:noProof/>
              </w:rPr>
              <w:t>Mejnik</w:t>
            </w:r>
          </w:p>
        </w:tc>
        <w:tc>
          <w:tcPr>
            <w:tcW w:w="1418" w:type="dxa"/>
            <w:shd w:val="clear" w:color="auto" w:fill="C6EFCE"/>
            <w:noWrap/>
            <w:vAlign w:val="center"/>
          </w:tcPr>
          <w:p w14:paraId="0200B0CA" w14:textId="71D3649F" w:rsidR="00154E32" w:rsidRDefault="00A43E04">
            <w:pPr>
              <w:pStyle w:val="P68B1DB1-Normal11"/>
              <w:spacing w:after="120"/>
              <w:jc w:val="center"/>
              <w:rPr>
                <w:noProof/>
              </w:rPr>
            </w:pPr>
            <w:r>
              <w:rPr>
                <w:noProof/>
              </w:rPr>
              <w:t xml:space="preserve">Oddaja naročil za gradnjo dveh povezovalnih daljnovodov med Italijo in Slovenijo: „Zaule – Dekani“ in „Redipuglia – Vrtojba“  </w:t>
            </w:r>
          </w:p>
        </w:tc>
        <w:tc>
          <w:tcPr>
            <w:tcW w:w="1984" w:type="dxa"/>
            <w:shd w:val="clear" w:color="auto" w:fill="C6EFCE"/>
            <w:noWrap/>
            <w:vAlign w:val="center"/>
          </w:tcPr>
          <w:p w14:paraId="6F8AF0F3" w14:textId="59B49F21" w:rsidR="00154E32" w:rsidRDefault="00A43E04">
            <w:pPr>
              <w:pStyle w:val="P68B1DB1-Normal11"/>
              <w:spacing w:after="120"/>
              <w:jc w:val="center"/>
              <w:rPr>
                <w:noProof/>
              </w:rPr>
            </w:pPr>
            <w:r>
              <w:rPr>
                <w:noProof/>
              </w:rPr>
              <w:t>Obvestilo o oddaji naročil</w:t>
            </w:r>
          </w:p>
        </w:tc>
        <w:tc>
          <w:tcPr>
            <w:tcW w:w="1134" w:type="dxa"/>
            <w:shd w:val="clear" w:color="auto" w:fill="C6EFCE"/>
            <w:noWrap/>
            <w:vAlign w:val="center"/>
          </w:tcPr>
          <w:p w14:paraId="404A83A1" w14:textId="77777777" w:rsidR="00154E32" w:rsidRDefault="00154E32">
            <w:pPr>
              <w:spacing w:after="120"/>
              <w:jc w:val="center"/>
              <w:rPr>
                <w:rFonts w:ascii="Arial Narrow" w:hAnsi="Arial Narrow"/>
                <w:noProof/>
                <w:color w:val="006100"/>
                <w:sz w:val="20"/>
              </w:rPr>
            </w:pPr>
          </w:p>
        </w:tc>
        <w:tc>
          <w:tcPr>
            <w:tcW w:w="993" w:type="dxa"/>
            <w:shd w:val="clear" w:color="auto" w:fill="C6EFCE"/>
            <w:noWrap/>
            <w:vAlign w:val="center"/>
          </w:tcPr>
          <w:p w14:paraId="05A890E2"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2ECAD5F7"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367F307C" w14:textId="67585648" w:rsidR="00154E32" w:rsidRDefault="00A43E04">
            <w:pPr>
              <w:pStyle w:val="P68B1DB1-Normal11"/>
              <w:spacing w:after="120"/>
              <w:jc w:val="center"/>
              <w:rPr>
                <w:noProof/>
              </w:rPr>
            </w:pPr>
            <w:r>
              <w:rPr>
                <w:noProof/>
              </w:rPr>
              <w:t>Q2</w:t>
            </w:r>
          </w:p>
        </w:tc>
        <w:tc>
          <w:tcPr>
            <w:tcW w:w="709" w:type="dxa"/>
            <w:shd w:val="clear" w:color="auto" w:fill="C6EFCE"/>
            <w:noWrap/>
            <w:vAlign w:val="center"/>
          </w:tcPr>
          <w:p w14:paraId="4873D106" w14:textId="13F77C7B" w:rsidR="00154E32" w:rsidRDefault="00A43E04">
            <w:pPr>
              <w:pStyle w:val="P68B1DB1-Normal11"/>
              <w:spacing w:after="120"/>
              <w:jc w:val="center"/>
              <w:rPr>
                <w:noProof/>
              </w:rPr>
            </w:pPr>
            <w:r>
              <w:rPr>
                <w:noProof/>
              </w:rPr>
              <w:t>2025</w:t>
            </w:r>
          </w:p>
        </w:tc>
        <w:tc>
          <w:tcPr>
            <w:tcW w:w="3261" w:type="dxa"/>
            <w:shd w:val="clear" w:color="auto" w:fill="C6EFCE"/>
            <w:noWrap/>
            <w:vAlign w:val="center"/>
          </w:tcPr>
          <w:p w14:paraId="1E26B410" w14:textId="6FE42EAC" w:rsidR="00154E32" w:rsidRDefault="00A43E04">
            <w:pPr>
              <w:pStyle w:val="P68B1DB1-Normal11"/>
              <w:spacing w:after="120"/>
              <w:rPr>
                <w:noProof/>
              </w:rPr>
            </w:pPr>
            <w:r>
              <w:rPr>
                <w:noProof/>
              </w:rPr>
              <w:t>Obvestilo o oddaji vseh naročil, potrebnih za začetek gradnje dveh povezovalnih daljnovodov med Italijo in Slovenijo: „Zaule-Dekani“ in „Redipuglia-Vrtojba“.</w:t>
            </w:r>
          </w:p>
        </w:tc>
      </w:tr>
      <w:tr w:rsidR="00154E32" w14:paraId="1064D050" w14:textId="77777777">
        <w:trPr>
          <w:trHeight w:val="309"/>
        </w:trPr>
        <w:tc>
          <w:tcPr>
            <w:tcW w:w="1185" w:type="dxa"/>
            <w:shd w:val="clear" w:color="auto" w:fill="C6EFCE"/>
            <w:noWrap/>
            <w:vAlign w:val="center"/>
          </w:tcPr>
          <w:p w14:paraId="32A3E3D4" w14:textId="0CDBDE1E" w:rsidR="00154E32" w:rsidRDefault="00A43E04">
            <w:pPr>
              <w:pStyle w:val="P68B1DB1-Normal11"/>
              <w:spacing w:after="120"/>
              <w:jc w:val="center"/>
              <w:rPr>
                <w:noProof/>
              </w:rPr>
            </w:pPr>
            <w:r>
              <w:rPr>
                <w:noProof/>
              </w:rPr>
              <w:t>M7–21</w:t>
            </w:r>
          </w:p>
        </w:tc>
        <w:tc>
          <w:tcPr>
            <w:tcW w:w="1559" w:type="dxa"/>
            <w:shd w:val="clear" w:color="auto" w:fill="C6EFCE"/>
            <w:noWrap/>
            <w:vAlign w:val="center"/>
          </w:tcPr>
          <w:p w14:paraId="5468078B" w14:textId="775B4B83" w:rsidR="00154E32" w:rsidRDefault="00A43E04">
            <w:pPr>
              <w:pStyle w:val="P68B1DB1-Normal11"/>
              <w:spacing w:after="120"/>
              <w:jc w:val="center"/>
              <w:rPr>
                <w:noProof/>
              </w:rPr>
            </w:pPr>
            <w:r>
              <w:rPr>
                <w:noProof/>
              </w:rPr>
              <w:t>Naložba 6: Projekti čezmejnih elektroenergetskih povezav med Italijo in sosednjimi državami</w:t>
            </w:r>
          </w:p>
        </w:tc>
        <w:tc>
          <w:tcPr>
            <w:tcW w:w="1134" w:type="dxa"/>
            <w:shd w:val="clear" w:color="auto" w:fill="C6EFCE"/>
            <w:noWrap/>
            <w:vAlign w:val="center"/>
          </w:tcPr>
          <w:p w14:paraId="35F653F0" w14:textId="789A49E7" w:rsidR="00154E32" w:rsidRDefault="00A43E04">
            <w:pPr>
              <w:pStyle w:val="P68B1DB1-Normal11"/>
              <w:spacing w:after="120"/>
              <w:jc w:val="center"/>
              <w:rPr>
                <w:noProof/>
              </w:rPr>
            </w:pPr>
            <w:r>
              <w:rPr>
                <w:noProof/>
              </w:rPr>
              <w:t>Tarča</w:t>
            </w:r>
          </w:p>
        </w:tc>
        <w:tc>
          <w:tcPr>
            <w:tcW w:w="1418" w:type="dxa"/>
            <w:shd w:val="clear" w:color="auto" w:fill="C6EFCE"/>
            <w:noWrap/>
            <w:vAlign w:val="center"/>
          </w:tcPr>
          <w:p w14:paraId="45FEDC01" w14:textId="3228CCD0" w:rsidR="00154E32" w:rsidRDefault="00A43E04">
            <w:pPr>
              <w:pStyle w:val="P68B1DB1-Normal11"/>
              <w:spacing w:after="120"/>
              <w:jc w:val="center"/>
              <w:rPr>
                <w:noProof/>
              </w:rPr>
            </w:pPr>
            <w:r>
              <w:rPr>
                <w:noProof/>
              </w:rPr>
              <w:t>Povečanje nazivne zmogljivosti povezovalnih daljnovodov med Italijo in Slovenijo po zaključku del</w:t>
            </w:r>
          </w:p>
        </w:tc>
        <w:tc>
          <w:tcPr>
            <w:tcW w:w="1984" w:type="dxa"/>
            <w:shd w:val="clear" w:color="auto" w:fill="C6EFCE"/>
            <w:noWrap/>
            <w:vAlign w:val="center"/>
          </w:tcPr>
          <w:p w14:paraId="5D4AE695" w14:textId="4869C3A7" w:rsidR="00154E32" w:rsidRDefault="00154E32">
            <w:pPr>
              <w:spacing w:after="120"/>
              <w:jc w:val="center"/>
              <w:rPr>
                <w:rFonts w:ascii="Arial Narrow" w:hAnsi="Arial Narrow"/>
                <w:noProof/>
                <w:color w:val="006100"/>
                <w:sz w:val="20"/>
              </w:rPr>
            </w:pPr>
          </w:p>
        </w:tc>
        <w:tc>
          <w:tcPr>
            <w:tcW w:w="1134" w:type="dxa"/>
            <w:shd w:val="clear" w:color="auto" w:fill="C6EFCE"/>
            <w:noWrap/>
            <w:vAlign w:val="center"/>
          </w:tcPr>
          <w:p w14:paraId="1D7CC244" w14:textId="38B0F7E5" w:rsidR="00154E32" w:rsidRDefault="00A43E04">
            <w:pPr>
              <w:pStyle w:val="P68B1DB1-Normal11"/>
              <w:spacing w:after="120"/>
              <w:jc w:val="center"/>
              <w:rPr>
                <w:noProof/>
              </w:rPr>
            </w:pPr>
            <w:r>
              <w:rPr>
                <w:noProof/>
              </w:rPr>
              <w:t>MW</w:t>
            </w:r>
          </w:p>
        </w:tc>
        <w:tc>
          <w:tcPr>
            <w:tcW w:w="993" w:type="dxa"/>
            <w:shd w:val="clear" w:color="auto" w:fill="C6EFCE"/>
            <w:noWrap/>
            <w:vAlign w:val="center"/>
          </w:tcPr>
          <w:p w14:paraId="56355FE7" w14:textId="369C082E" w:rsidR="00154E32" w:rsidRDefault="00A43E04">
            <w:pPr>
              <w:pStyle w:val="P68B1DB1-Normal11"/>
              <w:spacing w:after="120"/>
              <w:jc w:val="center"/>
              <w:rPr>
                <w:noProof/>
              </w:rPr>
            </w:pPr>
            <w:r>
              <w:rPr>
                <w:noProof/>
              </w:rPr>
              <w:t>0</w:t>
            </w:r>
          </w:p>
        </w:tc>
        <w:tc>
          <w:tcPr>
            <w:tcW w:w="992" w:type="dxa"/>
            <w:shd w:val="clear" w:color="auto" w:fill="C6EFCE"/>
            <w:noWrap/>
            <w:vAlign w:val="center"/>
          </w:tcPr>
          <w:p w14:paraId="58ACF968" w14:textId="24AA22A9" w:rsidR="00154E32" w:rsidRDefault="00A43E04">
            <w:pPr>
              <w:pStyle w:val="P68B1DB1-Normal11"/>
              <w:spacing w:after="120"/>
              <w:jc w:val="center"/>
              <w:rPr>
                <w:noProof/>
              </w:rPr>
            </w:pPr>
            <w:r>
              <w:rPr>
                <w:noProof/>
              </w:rPr>
              <w:t>250</w:t>
            </w:r>
          </w:p>
        </w:tc>
        <w:tc>
          <w:tcPr>
            <w:tcW w:w="992" w:type="dxa"/>
            <w:shd w:val="clear" w:color="auto" w:fill="C6EFCE"/>
            <w:noWrap/>
            <w:vAlign w:val="center"/>
          </w:tcPr>
          <w:p w14:paraId="7EE8F879" w14:textId="02498B69" w:rsidR="00154E32" w:rsidRDefault="00A43E04">
            <w:pPr>
              <w:pStyle w:val="P68B1DB1-Normal11"/>
              <w:spacing w:after="120"/>
              <w:jc w:val="center"/>
              <w:rPr>
                <w:noProof/>
              </w:rPr>
            </w:pPr>
            <w:r>
              <w:rPr>
                <w:noProof/>
              </w:rPr>
              <w:t>Q4</w:t>
            </w:r>
          </w:p>
        </w:tc>
        <w:tc>
          <w:tcPr>
            <w:tcW w:w="709" w:type="dxa"/>
            <w:shd w:val="clear" w:color="auto" w:fill="C6EFCE"/>
            <w:noWrap/>
            <w:vAlign w:val="center"/>
          </w:tcPr>
          <w:p w14:paraId="4A913729" w14:textId="0BDD29D1" w:rsidR="00154E32" w:rsidRDefault="00A43E04">
            <w:pPr>
              <w:pStyle w:val="P68B1DB1-Normal11"/>
              <w:spacing w:after="120"/>
              <w:jc w:val="center"/>
              <w:rPr>
                <w:noProof/>
              </w:rPr>
            </w:pPr>
            <w:r>
              <w:rPr>
                <w:noProof/>
              </w:rPr>
              <w:t>2025</w:t>
            </w:r>
          </w:p>
        </w:tc>
        <w:tc>
          <w:tcPr>
            <w:tcW w:w="3261" w:type="dxa"/>
            <w:shd w:val="clear" w:color="auto" w:fill="C6EFCE"/>
            <w:noWrap/>
            <w:vAlign w:val="center"/>
          </w:tcPr>
          <w:p w14:paraId="3FFE0DD1" w14:textId="10AD0F56" w:rsidR="00154E32" w:rsidRDefault="00A43E04">
            <w:pPr>
              <w:pStyle w:val="P68B1DB1-Normal11"/>
              <w:spacing w:after="120"/>
              <w:rPr>
                <w:noProof/>
              </w:rPr>
            </w:pPr>
            <w:r>
              <w:rPr>
                <w:noProof/>
              </w:rPr>
              <w:t>Dokončanje povezovalnih daljnovodov Italija-Slovenija: „Zaule – Dekani“ in „Redipuglia – Vrtojba“. Po zaključku del na italijanski strani se skupna nazivna zmogljivost obeh povezovalnih daljnovodov med Italijo in Slovenijo poveča za 250 MW.</w:t>
            </w:r>
          </w:p>
        </w:tc>
      </w:tr>
      <w:tr w:rsidR="00154E32" w14:paraId="33CD3B47" w14:textId="77777777">
        <w:trPr>
          <w:trHeight w:val="309"/>
        </w:trPr>
        <w:tc>
          <w:tcPr>
            <w:tcW w:w="1185" w:type="dxa"/>
            <w:shd w:val="clear" w:color="auto" w:fill="C6EFCE"/>
            <w:noWrap/>
            <w:vAlign w:val="center"/>
          </w:tcPr>
          <w:p w14:paraId="71F918F7" w14:textId="120DDAEE" w:rsidR="00154E32" w:rsidRDefault="00A43E04">
            <w:pPr>
              <w:pStyle w:val="P68B1DB1-Normal11"/>
              <w:spacing w:after="120"/>
              <w:jc w:val="center"/>
              <w:rPr>
                <w:noProof/>
              </w:rPr>
            </w:pPr>
            <w:r>
              <w:rPr>
                <w:noProof/>
              </w:rPr>
              <w:t>M7–22</w:t>
            </w:r>
          </w:p>
        </w:tc>
        <w:tc>
          <w:tcPr>
            <w:tcW w:w="1559" w:type="dxa"/>
            <w:shd w:val="clear" w:color="auto" w:fill="C6EFCE"/>
            <w:noWrap/>
            <w:vAlign w:val="center"/>
          </w:tcPr>
          <w:p w14:paraId="7C3FB735" w14:textId="14C88238" w:rsidR="00154E32" w:rsidRDefault="00A43E04">
            <w:pPr>
              <w:pStyle w:val="P68B1DB1-Normal11"/>
              <w:spacing w:after="120"/>
              <w:jc w:val="center"/>
              <w:rPr>
                <w:noProof/>
              </w:rPr>
            </w:pPr>
            <w:r>
              <w:rPr>
                <w:noProof/>
              </w:rPr>
              <w:t>Naložba 7: Pametno nacionalno prenosno omrežje</w:t>
            </w:r>
          </w:p>
        </w:tc>
        <w:tc>
          <w:tcPr>
            <w:tcW w:w="1134" w:type="dxa"/>
            <w:shd w:val="clear" w:color="auto" w:fill="C6EFCE"/>
            <w:noWrap/>
            <w:vAlign w:val="center"/>
          </w:tcPr>
          <w:p w14:paraId="336479A5" w14:textId="633DFB96" w:rsidR="00154E32" w:rsidRDefault="00A43E04">
            <w:pPr>
              <w:pStyle w:val="P68B1DB1-Normal11"/>
              <w:spacing w:after="120"/>
              <w:jc w:val="center"/>
              <w:rPr>
                <w:noProof/>
              </w:rPr>
            </w:pPr>
            <w:r>
              <w:rPr>
                <w:noProof/>
              </w:rPr>
              <w:t>Tarča</w:t>
            </w:r>
          </w:p>
        </w:tc>
        <w:tc>
          <w:tcPr>
            <w:tcW w:w="1418" w:type="dxa"/>
            <w:shd w:val="clear" w:color="auto" w:fill="C6EFCE"/>
            <w:noWrap/>
            <w:vAlign w:val="center"/>
          </w:tcPr>
          <w:p w14:paraId="309B7F7E" w14:textId="333B40FB" w:rsidR="00154E32" w:rsidRDefault="00A43E04">
            <w:pPr>
              <w:pStyle w:val="P68B1DB1-Normal11"/>
              <w:spacing w:after="120"/>
              <w:jc w:val="center"/>
              <w:rPr>
                <w:noProof/>
              </w:rPr>
            </w:pPr>
            <w:r>
              <w:rPr>
                <w:noProof/>
              </w:rPr>
              <w:t>Namestitev opreme 5G ali arhitekture IKT na postajah</w:t>
            </w:r>
          </w:p>
        </w:tc>
        <w:tc>
          <w:tcPr>
            <w:tcW w:w="1984" w:type="dxa"/>
            <w:shd w:val="clear" w:color="auto" w:fill="C6EFCE"/>
            <w:noWrap/>
            <w:vAlign w:val="center"/>
          </w:tcPr>
          <w:p w14:paraId="5876C25D" w14:textId="7D50AAE9" w:rsidR="00154E32" w:rsidRDefault="00154E32">
            <w:pPr>
              <w:spacing w:after="120"/>
              <w:jc w:val="center"/>
              <w:rPr>
                <w:rFonts w:ascii="Arial Narrow" w:hAnsi="Arial Narrow"/>
                <w:noProof/>
                <w:color w:val="006100"/>
                <w:sz w:val="20"/>
              </w:rPr>
            </w:pPr>
          </w:p>
        </w:tc>
        <w:tc>
          <w:tcPr>
            <w:tcW w:w="1134" w:type="dxa"/>
            <w:shd w:val="clear" w:color="auto" w:fill="C6EFCE"/>
            <w:noWrap/>
            <w:vAlign w:val="center"/>
          </w:tcPr>
          <w:p w14:paraId="5F0B4F76" w14:textId="1BD2B5BE" w:rsidR="00154E32" w:rsidRDefault="00A43E04">
            <w:pPr>
              <w:pStyle w:val="P68B1DB1-Normal11"/>
              <w:spacing w:after="120"/>
              <w:jc w:val="center"/>
              <w:rPr>
                <w:noProof/>
              </w:rPr>
            </w:pPr>
            <w:r>
              <w:rPr>
                <w:noProof/>
              </w:rPr>
              <w:t>Število postaj</w:t>
            </w:r>
          </w:p>
        </w:tc>
        <w:tc>
          <w:tcPr>
            <w:tcW w:w="993" w:type="dxa"/>
            <w:shd w:val="clear" w:color="auto" w:fill="C6EFCE"/>
            <w:noWrap/>
            <w:vAlign w:val="center"/>
          </w:tcPr>
          <w:p w14:paraId="4FF44E5D" w14:textId="26324F25" w:rsidR="00154E32" w:rsidRDefault="00A43E04">
            <w:pPr>
              <w:pStyle w:val="P68B1DB1-Normal11"/>
              <w:spacing w:after="120"/>
              <w:jc w:val="center"/>
              <w:rPr>
                <w:noProof/>
              </w:rPr>
            </w:pPr>
            <w:r>
              <w:rPr>
                <w:noProof/>
              </w:rPr>
              <w:t>0</w:t>
            </w:r>
          </w:p>
        </w:tc>
        <w:tc>
          <w:tcPr>
            <w:tcW w:w="992" w:type="dxa"/>
            <w:shd w:val="clear" w:color="auto" w:fill="C6EFCE"/>
            <w:noWrap/>
            <w:vAlign w:val="center"/>
          </w:tcPr>
          <w:p w14:paraId="6A6F2039" w14:textId="30DB374B" w:rsidR="00154E32" w:rsidRDefault="00A43E04">
            <w:pPr>
              <w:pStyle w:val="P68B1DB1-Normal11"/>
              <w:spacing w:after="120"/>
              <w:jc w:val="center"/>
              <w:rPr>
                <w:strike/>
                <w:noProof/>
              </w:rPr>
            </w:pPr>
            <w:r>
              <w:rPr>
                <w:noProof/>
              </w:rPr>
              <w:t>40</w:t>
            </w:r>
          </w:p>
        </w:tc>
        <w:tc>
          <w:tcPr>
            <w:tcW w:w="992" w:type="dxa"/>
            <w:shd w:val="clear" w:color="auto" w:fill="C6EFCE"/>
            <w:noWrap/>
            <w:vAlign w:val="center"/>
          </w:tcPr>
          <w:p w14:paraId="44340DC3" w14:textId="619601F7" w:rsidR="00154E32" w:rsidRDefault="00A43E04">
            <w:pPr>
              <w:pStyle w:val="P68B1DB1-Normal11"/>
              <w:spacing w:after="120"/>
              <w:jc w:val="center"/>
              <w:rPr>
                <w:noProof/>
              </w:rPr>
            </w:pPr>
            <w:r>
              <w:rPr>
                <w:noProof/>
              </w:rPr>
              <w:t>Q2</w:t>
            </w:r>
          </w:p>
        </w:tc>
        <w:tc>
          <w:tcPr>
            <w:tcW w:w="709" w:type="dxa"/>
            <w:shd w:val="clear" w:color="auto" w:fill="C6EFCE"/>
            <w:noWrap/>
            <w:vAlign w:val="center"/>
          </w:tcPr>
          <w:p w14:paraId="1C00D0A0" w14:textId="19B23C14" w:rsidR="00154E32" w:rsidRDefault="00A43E04">
            <w:pPr>
              <w:pStyle w:val="P68B1DB1-Normal11"/>
              <w:spacing w:after="120"/>
              <w:jc w:val="center"/>
              <w:rPr>
                <w:noProof/>
              </w:rPr>
            </w:pPr>
            <w:r>
              <w:rPr>
                <w:noProof/>
              </w:rPr>
              <w:t>2026</w:t>
            </w:r>
          </w:p>
        </w:tc>
        <w:tc>
          <w:tcPr>
            <w:tcW w:w="3261" w:type="dxa"/>
            <w:shd w:val="clear" w:color="auto" w:fill="C6EFCE"/>
            <w:noWrap/>
            <w:vAlign w:val="center"/>
          </w:tcPr>
          <w:p w14:paraId="66505B58" w14:textId="439DA581" w:rsidR="00154E32" w:rsidRDefault="00A43E04">
            <w:pPr>
              <w:pStyle w:val="P68B1DB1-Normal11"/>
              <w:spacing w:after="120"/>
              <w:rPr>
                <w:noProof/>
              </w:rPr>
            </w:pPr>
            <w:r>
              <w:rPr>
                <w:noProof/>
              </w:rPr>
              <w:t>Nova oprema 5G ali arhitektura IKT se namesti in izvaja na vsaj 40 postajah.</w:t>
            </w:r>
          </w:p>
        </w:tc>
      </w:tr>
      <w:tr w:rsidR="00154E32" w14:paraId="7F323AA0" w14:textId="77777777">
        <w:trPr>
          <w:trHeight w:val="147"/>
        </w:trPr>
        <w:tc>
          <w:tcPr>
            <w:tcW w:w="1185" w:type="dxa"/>
            <w:shd w:val="clear" w:color="auto" w:fill="C6EFCE"/>
            <w:noWrap/>
            <w:vAlign w:val="center"/>
          </w:tcPr>
          <w:p w14:paraId="6C1F62E4" w14:textId="3784F124" w:rsidR="00154E32" w:rsidRDefault="00A43E04">
            <w:pPr>
              <w:pStyle w:val="P68B1DB1-Normal11"/>
              <w:spacing w:after="120"/>
              <w:jc w:val="center"/>
              <w:rPr>
                <w:noProof/>
              </w:rPr>
            </w:pPr>
            <w:r>
              <w:rPr>
                <w:noProof/>
              </w:rPr>
              <w:t>M7–23</w:t>
            </w:r>
          </w:p>
        </w:tc>
        <w:tc>
          <w:tcPr>
            <w:tcW w:w="1559" w:type="dxa"/>
            <w:shd w:val="clear" w:color="auto" w:fill="C6EFCE"/>
            <w:noWrap/>
            <w:vAlign w:val="center"/>
          </w:tcPr>
          <w:p w14:paraId="0B21A9C3" w14:textId="6E426D72" w:rsidR="00154E32" w:rsidRDefault="00A43E04">
            <w:pPr>
              <w:pStyle w:val="P68B1DB1-Normal11"/>
              <w:spacing w:after="120"/>
              <w:jc w:val="center"/>
              <w:rPr>
                <w:noProof/>
              </w:rPr>
            </w:pPr>
            <w:r>
              <w:rPr>
                <w:noProof/>
              </w:rPr>
              <w:t>Naložba 7: Pametno nacionalno prenosno omrežje</w:t>
            </w:r>
          </w:p>
        </w:tc>
        <w:tc>
          <w:tcPr>
            <w:tcW w:w="1134" w:type="dxa"/>
            <w:shd w:val="clear" w:color="auto" w:fill="C6EFCE"/>
            <w:noWrap/>
            <w:vAlign w:val="center"/>
          </w:tcPr>
          <w:p w14:paraId="257A44BB" w14:textId="5147731D" w:rsidR="00154E32" w:rsidRDefault="00A43E04">
            <w:pPr>
              <w:pStyle w:val="P68B1DB1-Normal11"/>
              <w:spacing w:after="120"/>
              <w:jc w:val="center"/>
              <w:rPr>
                <w:noProof/>
              </w:rPr>
            </w:pPr>
            <w:r>
              <w:rPr>
                <w:noProof/>
              </w:rPr>
              <w:t>Tarča</w:t>
            </w:r>
          </w:p>
        </w:tc>
        <w:tc>
          <w:tcPr>
            <w:tcW w:w="1418" w:type="dxa"/>
            <w:shd w:val="clear" w:color="auto" w:fill="C6EFCE"/>
            <w:noWrap/>
            <w:vAlign w:val="center"/>
          </w:tcPr>
          <w:p w14:paraId="5EAB77D3" w14:textId="2CAFD7F5" w:rsidR="00154E32" w:rsidRDefault="00A43E04">
            <w:pPr>
              <w:pStyle w:val="P68B1DB1-Normal11"/>
              <w:spacing w:after="120"/>
              <w:jc w:val="center"/>
              <w:rPr>
                <w:noProof/>
              </w:rPr>
            </w:pPr>
            <w:r>
              <w:rPr>
                <w:noProof/>
              </w:rPr>
              <w:t xml:space="preserve"> Novi sistem upravljanja in nadzora omrežja</w:t>
            </w:r>
          </w:p>
        </w:tc>
        <w:tc>
          <w:tcPr>
            <w:tcW w:w="1984" w:type="dxa"/>
            <w:shd w:val="clear" w:color="auto" w:fill="C6EFCE"/>
            <w:noWrap/>
            <w:vAlign w:val="center"/>
          </w:tcPr>
          <w:p w14:paraId="7320B4D6" w14:textId="5E430882" w:rsidR="00154E32" w:rsidRDefault="00154E32">
            <w:pPr>
              <w:spacing w:after="120"/>
              <w:jc w:val="center"/>
              <w:rPr>
                <w:rFonts w:ascii="Arial Narrow" w:hAnsi="Arial Narrow"/>
                <w:noProof/>
                <w:color w:val="006100"/>
                <w:sz w:val="20"/>
              </w:rPr>
            </w:pPr>
          </w:p>
        </w:tc>
        <w:tc>
          <w:tcPr>
            <w:tcW w:w="1134" w:type="dxa"/>
            <w:shd w:val="clear" w:color="auto" w:fill="C6EFCE"/>
            <w:noWrap/>
            <w:vAlign w:val="center"/>
          </w:tcPr>
          <w:p w14:paraId="48C6781E" w14:textId="2500B5AF" w:rsidR="00154E32" w:rsidRDefault="00A43E04">
            <w:pPr>
              <w:pStyle w:val="P68B1DB1-Normal11"/>
              <w:spacing w:after="120"/>
              <w:jc w:val="center"/>
              <w:rPr>
                <w:noProof/>
              </w:rPr>
            </w:pPr>
            <w:r>
              <w:rPr>
                <w:noProof/>
              </w:rPr>
              <w:t xml:space="preserve">Število </w:t>
            </w:r>
          </w:p>
        </w:tc>
        <w:tc>
          <w:tcPr>
            <w:tcW w:w="993" w:type="dxa"/>
            <w:shd w:val="clear" w:color="auto" w:fill="C6EFCE"/>
            <w:noWrap/>
            <w:vAlign w:val="center"/>
          </w:tcPr>
          <w:p w14:paraId="00FAF2D7" w14:textId="5D8FFA65" w:rsidR="00154E32" w:rsidRDefault="00A43E04">
            <w:pPr>
              <w:pStyle w:val="P68B1DB1-Normal11"/>
              <w:spacing w:after="120"/>
              <w:jc w:val="center"/>
              <w:rPr>
                <w:noProof/>
              </w:rPr>
            </w:pPr>
            <w:r>
              <w:rPr>
                <w:noProof/>
              </w:rPr>
              <w:t>0</w:t>
            </w:r>
          </w:p>
        </w:tc>
        <w:tc>
          <w:tcPr>
            <w:tcW w:w="992" w:type="dxa"/>
            <w:shd w:val="clear" w:color="auto" w:fill="C6EFCE"/>
            <w:noWrap/>
            <w:vAlign w:val="center"/>
          </w:tcPr>
          <w:p w14:paraId="3642D0B6" w14:textId="7CD59ACE" w:rsidR="00154E32" w:rsidRDefault="00A43E04">
            <w:pPr>
              <w:pStyle w:val="P68B1DB1-Normal11"/>
              <w:spacing w:after="120"/>
              <w:jc w:val="center"/>
              <w:rPr>
                <w:noProof/>
              </w:rPr>
            </w:pPr>
            <w:r>
              <w:rPr>
                <w:noProof/>
              </w:rPr>
              <w:t>250</w:t>
            </w:r>
          </w:p>
        </w:tc>
        <w:tc>
          <w:tcPr>
            <w:tcW w:w="992" w:type="dxa"/>
            <w:shd w:val="clear" w:color="auto" w:fill="C6EFCE"/>
            <w:noWrap/>
            <w:vAlign w:val="center"/>
          </w:tcPr>
          <w:p w14:paraId="3C4DAF35" w14:textId="3B72A30A" w:rsidR="00154E32" w:rsidRDefault="00A43E04">
            <w:pPr>
              <w:pStyle w:val="P68B1DB1-Normal11"/>
              <w:spacing w:after="120"/>
              <w:jc w:val="center"/>
              <w:rPr>
                <w:noProof/>
              </w:rPr>
            </w:pPr>
            <w:r>
              <w:rPr>
                <w:noProof/>
              </w:rPr>
              <w:t>Q2</w:t>
            </w:r>
          </w:p>
        </w:tc>
        <w:tc>
          <w:tcPr>
            <w:tcW w:w="709" w:type="dxa"/>
            <w:shd w:val="clear" w:color="auto" w:fill="C6EFCE"/>
            <w:noWrap/>
            <w:vAlign w:val="center"/>
          </w:tcPr>
          <w:p w14:paraId="0B476870" w14:textId="7DF27778" w:rsidR="00154E32" w:rsidRDefault="00A43E04">
            <w:pPr>
              <w:pStyle w:val="P68B1DB1-Normal11"/>
              <w:spacing w:after="120"/>
              <w:jc w:val="center"/>
              <w:rPr>
                <w:noProof/>
              </w:rPr>
            </w:pPr>
            <w:r>
              <w:rPr>
                <w:noProof/>
              </w:rPr>
              <w:t>2026</w:t>
            </w:r>
          </w:p>
        </w:tc>
        <w:tc>
          <w:tcPr>
            <w:tcW w:w="3261" w:type="dxa"/>
            <w:shd w:val="clear" w:color="auto" w:fill="C6EFCE"/>
            <w:noWrap/>
            <w:vAlign w:val="center"/>
          </w:tcPr>
          <w:p w14:paraId="4D7E3E8B" w14:textId="7DED83B3" w:rsidR="00154E32" w:rsidRDefault="00A43E04">
            <w:pPr>
              <w:pStyle w:val="P68B1DB1-Normal11"/>
              <w:spacing w:after="120"/>
              <w:rPr>
                <w:noProof/>
              </w:rPr>
            </w:pPr>
            <w:r>
              <w:rPr>
                <w:noProof/>
              </w:rPr>
              <w:t>Namestitev zavarovanega protokola 104 (protokol IEC 62351) na vsaj 250 električnih postajah.</w:t>
            </w:r>
          </w:p>
        </w:tc>
      </w:tr>
      <w:tr w:rsidR="00154E32" w14:paraId="04435CB1" w14:textId="77777777">
        <w:trPr>
          <w:trHeight w:val="147"/>
        </w:trPr>
        <w:tc>
          <w:tcPr>
            <w:tcW w:w="1185" w:type="dxa"/>
            <w:shd w:val="clear" w:color="auto" w:fill="C6EFCE"/>
            <w:noWrap/>
            <w:vAlign w:val="center"/>
          </w:tcPr>
          <w:p w14:paraId="458D236D" w14:textId="37A92257" w:rsidR="00154E32" w:rsidRDefault="00A43E04">
            <w:pPr>
              <w:pStyle w:val="P68B1DB1-Normal11"/>
              <w:spacing w:after="120"/>
              <w:jc w:val="center"/>
              <w:rPr>
                <w:noProof/>
              </w:rPr>
            </w:pPr>
            <w:r>
              <w:rPr>
                <w:noProof/>
              </w:rPr>
              <w:t>M7–24</w:t>
            </w:r>
          </w:p>
        </w:tc>
        <w:tc>
          <w:tcPr>
            <w:tcW w:w="1559" w:type="dxa"/>
            <w:shd w:val="clear" w:color="auto" w:fill="C6EFCE"/>
            <w:noWrap/>
            <w:vAlign w:val="center"/>
          </w:tcPr>
          <w:p w14:paraId="5294D594" w14:textId="58FC55BC" w:rsidR="00154E32" w:rsidRDefault="00A43E04">
            <w:pPr>
              <w:pStyle w:val="P68B1DB1-Normal11"/>
              <w:spacing w:after="120"/>
              <w:jc w:val="center"/>
              <w:rPr>
                <w:noProof/>
              </w:rPr>
            </w:pPr>
            <w:r>
              <w:rPr>
                <w:noProof/>
              </w:rPr>
              <w:t>Naložba 7: Pametno nacionalno prenosno omrežje</w:t>
            </w:r>
          </w:p>
        </w:tc>
        <w:tc>
          <w:tcPr>
            <w:tcW w:w="1134" w:type="dxa"/>
            <w:shd w:val="clear" w:color="auto" w:fill="C6EFCE"/>
            <w:noWrap/>
            <w:vAlign w:val="center"/>
          </w:tcPr>
          <w:p w14:paraId="32D26575" w14:textId="57ACA83E" w:rsidR="00154E32" w:rsidRDefault="00A43E04">
            <w:pPr>
              <w:pStyle w:val="P68B1DB1-Normal11"/>
              <w:spacing w:after="120"/>
              <w:jc w:val="center"/>
              <w:rPr>
                <w:noProof/>
              </w:rPr>
            </w:pPr>
            <w:r>
              <w:rPr>
                <w:noProof/>
              </w:rPr>
              <w:t xml:space="preserve">Tarča </w:t>
            </w:r>
          </w:p>
        </w:tc>
        <w:tc>
          <w:tcPr>
            <w:tcW w:w="1418" w:type="dxa"/>
            <w:shd w:val="clear" w:color="auto" w:fill="C6EFCE"/>
            <w:noWrap/>
            <w:vAlign w:val="center"/>
          </w:tcPr>
          <w:p w14:paraId="4C8B1969" w14:textId="15BF44A4" w:rsidR="00154E32" w:rsidRDefault="00A43E04">
            <w:pPr>
              <w:pStyle w:val="P68B1DB1-Normal11"/>
              <w:spacing w:after="120"/>
              <w:jc w:val="center"/>
              <w:rPr>
                <w:noProof/>
              </w:rPr>
            </w:pPr>
            <w:r>
              <w:rPr>
                <w:noProof/>
              </w:rPr>
              <w:t>Industrijski internet stvari</w:t>
            </w:r>
          </w:p>
        </w:tc>
        <w:tc>
          <w:tcPr>
            <w:tcW w:w="1984" w:type="dxa"/>
            <w:shd w:val="clear" w:color="auto" w:fill="C6EFCE"/>
            <w:noWrap/>
            <w:vAlign w:val="center"/>
          </w:tcPr>
          <w:p w14:paraId="0F5ABE2B" w14:textId="77777777" w:rsidR="00154E32" w:rsidRDefault="00154E32">
            <w:pPr>
              <w:spacing w:after="120"/>
              <w:jc w:val="center"/>
              <w:rPr>
                <w:rFonts w:ascii="Arial Narrow" w:hAnsi="Arial Narrow"/>
                <w:noProof/>
                <w:color w:val="006100"/>
                <w:sz w:val="20"/>
              </w:rPr>
            </w:pPr>
          </w:p>
        </w:tc>
        <w:tc>
          <w:tcPr>
            <w:tcW w:w="1134" w:type="dxa"/>
            <w:shd w:val="clear" w:color="auto" w:fill="C6EFCE"/>
            <w:noWrap/>
            <w:vAlign w:val="center"/>
          </w:tcPr>
          <w:p w14:paraId="273E361D" w14:textId="65B9138E" w:rsidR="00154E32" w:rsidRDefault="00A43E04">
            <w:pPr>
              <w:pStyle w:val="P68B1DB1-Normal11"/>
              <w:spacing w:after="120"/>
              <w:jc w:val="center"/>
              <w:rPr>
                <w:noProof/>
              </w:rPr>
            </w:pPr>
            <w:r>
              <w:rPr>
                <w:noProof/>
              </w:rPr>
              <w:t>Število</w:t>
            </w:r>
          </w:p>
        </w:tc>
        <w:tc>
          <w:tcPr>
            <w:tcW w:w="993" w:type="dxa"/>
            <w:shd w:val="clear" w:color="auto" w:fill="C6EFCE"/>
            <w:noWrap/>
            <w:vAlign w:val="center"/>
          </w:tcPr>
          <w:p w14:paraId="18AEBCBF" w14:textId="08300F79" w:rsidR="00154E32" w:rsidRDefault="00A43E04">
            <w:pPr>
              <w:pStyle w:val="P68B1DB1-Normal11"/>
              <w:spacing w:after="120"/>
              <w:jc w:val="center"/>
              <w:rPr>
                <w:noProof/>
              </w:rPr>
            </w:pPr>
            <w:r>
              <w:rPr>
                <w:noProof/>
              </w:rPr>
              <w:t>0</w:t>
            </w:r>
          </w:p>
        </w:tc>
        <w:tc>
          <w:tcPr>
            <w:tcW w:w="992" w:type="dxa"/>
            <w:shd w:val="clear" w:color="auto" w:fill="C6EFCE"/>
            <w:noWrap/>
            <w:vAlign w:val="center"/>
          </w:tcPr>
          <w:p w14:paraId="028BA66F" w14:textId="36CE431D" w:rsidR="00154E32" w:rsidRDefault="00A43E04">
            <w:pPr>
              <w:pStyle w:val="P68B1DB1-Normal11"/>
              <w:spacing w:after="120"/>
              <w:jc w:val="center"/>
              <w:rPr>
                <w:noProof/>
              </w:rPr>
            </w:pPr>
            <w:r>
              <w:rPr>
                <w:noProof/>
              </w:rPr>
              <w:t>1500</w:t>
            </w:r>
          </w:p>
        </w:tc>
        <w:tc>
          <w:tcPr>
            <w:tcW w:w="992" w:type="dxa"/>
            <w:shd w:val="clear" w:color="auto" w:fill="C6EFCE"/>
            <w:noWrap/>
            <w:vAlign w:val="center"/>
          </w:tcPr>
          <w:p w14:paraId="427CA8E5" w14:textId="21F1852E" w:rsidR="00154E32" w:rsidRDefault="00A43E04">
            <w:pPr>
              <w:pStyle w:val="P68B1DB1-Normal11"/>
              <w:spacing w:after="120"/>
              <w:jc w:val="center"/>
              <w:rPr>
                <w:noProof/>
              </w:rPr>
            </w:pPr>
            <w:r>
              <w:rPr>
                <w:noProof/>
              </w:rPr>
              <w:t>Q2</w:t>
            </w:r>
          </w:p>
        </w:tc>
        <w:tc>
          <w:tcPr>
            <w:tcW w:w="709" w:type="dxa"/>
            <w:shd w:val="clear" w:color="auto" w:fill="C6EFCE"/>
            <w:noWrap/>
            <w:vAlign w:val="center"/>
          </w:tcPr>
          <w:p w14:paraId="4368385A" w14:textId="498F00CA" w:rsidR="00154E32" w:rsidRDefault="00A43E04">
            <w:pPr>
              <w:pStyle w:val="P68B1DB1-Normal11"/>
              <w:spacing w:after="120"/>
              <w:jc w:val="center"/>
              <w:rPr>
                <w:noProof/>
              </w:rPr>
            </w:pPr>
            <w:r>
              <w:rPr>
                <w:noProof/>
              </w:rPr>
              <w:t>2026</w:t>
            </w:r>
          </w:p>
        </w:tc>
        <w:tc>
          <w:tcPr>
            <w:tcW w:w="3261" w:type="dxa"/>
            <w:shd w:val="clear" w:color="auto" w:fill="C6EFCE"/>
            <w:noWrap/>
            <w:vAlign w:val="center"/>
          </w:tcPr>
          <w:p w14:paraId="1046B967" w14:textId="0E5A18D6" w:rsidR="00154E32" w:rsidRDefault="00A43E04">
            <w:pPr>
              <w:pStyle w:val="P68B1DB1-Normal11"/>
              <w:spacing w:after="120"/>
              <w:rPr>
                <w:noProof/>
              </w:rPr>
            </w:pPr>
            <w:r>
              <w:rPr>
                <w:noProof/>
              </w:rPr>
              <w:t>Sistemi za spremljanje industrijskega interneta stvari, nameščeni v vsaj 1500 električnih stolpih za zbiranje podatkov, ki jih je mogoče nadaljevati v sistemu upravljanja.</w:t>
            </w:r>
          </w:p>
        </w:tc>
      </w:tr>
      <w:tr w:rsidR="00154E32" w14:paraId="5D811B63" w14:textId="77777777">
        <w:trPr>
          <w:trHeight w:val="2206"/>
        </w:trPr>
        <w:tc>
          <w:tcPr>
            <w:tcW w:w="1185"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D1055F1" w14:textId="3D46CE37" w:rsidR="00154E32" w:rsidRDefault="00A43E04">
            <w:pPr>
              <w:pStyle w:val="P68B1DB1-Normal11"/>
              <w:spacing w:after="120"/>
              <w:jc w:val="center"/>
              <w:rPr>
                <w:noProof/>
              </w:rPr>
            </w:pPr>
            <w:r>
              <w:rPr>
                <w:noProof/>
              </w:rPr>
              <w:t>M7–25</w:t>
            </w:r>
          </w:p>
        </w:tc>
        <w:tc>
          <w:tcPr>
            <w:tcW w:w="1559" w:type="dxa"/>
            <w:tcBorders>
              <w:top w:val="single" w:sz="4" w:space="0" w:color="auto"/>
              <w:left w:val="single" w:sz="4" w:space="0" w:color="auto"/>
              <w:bottom w:val="single" w:sz="4" w:space="0" w:color="auto"/>
              <w:right w:val="single" w:sz="4" w:space="0" w:color="auto"/>
            </w:tcBorders>
            <w:shd w:val="clear" w:color="auto" w:fill="C6EFCE"/>
            <w:noWrap/>
          </w:tcPr>
          <w:p w14:paraId="26BDF46A" w14:textId="3D94053D" w:rsidR="00154E32" w:rsidRDefault="00A43E04">
            <w:pPr>
              <w:pStyle w:val="P68B1DB1-Normal11"/>
              <w:spacing w:after="120"/>
              <w:jc w:val="center"/>
              <w:rPr>
                <w:noProof/>
              </w:rPr>
            </w:pPr>
            <w:r>
              <w:rPr>
                <w:noProof/>
              </w:rPr>
              <w:t>Naložba 10: Trajnostna, krožna in varna oskrba s kritičnimi surovinami</w:t>
            </w:r>
          </w:p>
        </w:tc>
        <w:tc>
          <w:tcPr>
            <w:tcW w:w="1134" w:type="dxa"/>
            <w:tcBorders>
              <w:top w:val="single" w:sz="4" w:space="0" w:color="auto"/>
              <w:left w:val="single" w:sz="4" w:space="0" w:color="auto"/>
              <w:bottom w:val="single" w:sz="4" w:space="0" w:color="auto"/>
              <w:right w:val="single" w:sz="4" w:space="0" w:color="auto"/>
            </w:tcBorders>
            <w:shd w:val="clear" w:color="auto" w:fill="C6EFCE"/>
            <w:noWrap/>
          </w:tcPr>
          <w:p w14:paraId="605655B5" w14:textId="11CC62FE" w:rsidR="00154E32" w:rsidRDefault="00A43E04">
            <w:pPr>
              <w:pStyle w:val="P68B1DB1-Normal11"/>
              <w:spacing w:after="120"/>
              <w:jc w:val="center"/>
              <w:rPr>
                <w:noProof/>
              </w:rPr>
            </w:pPr>
            <w:r>
              <w:rPr>
                <w:noProof/>
              </w:rPr>
              <w:t>Mejnik</w:t>
            </w:r>
          </w:p>
        </w:tc>
        <w:tc>
          <w:tcPr>
            <w:tcW w:w="1418" w:type="dxa"/>
            <w:tcBorders>
              <w:top w:val="single" w:sz="4" w:space="0" w:color="auto"/>
              <w:left w:val="single" w:sz="4" w:space="0" w:color="auto"/>
              <w:bottom w:val="single" w:sz="4" w:space="0" w:color="auto"/>
              <w:right w:val="single" w:sz="4" w:space="0" w:color="auto"/>
            </w:tcBorders>
            <w:shd w:val="clear" w:color="auto" w:fill="C6EFCE"/>
            <w:noWrap/>
          </w:tcPr>
          <w:p w14:paraId="6B22DA5E" w14:textId="04C9391C" w:rsidR="00154E32" w:rsidRDefault="00A43E04">
            <w:pPr>
              <w:pStyle w:val="P68B1DB1-Normal11"/>
              <w:spacing w:after="120"/>
              <w:jc w:val="center"/>
              <w:rPr>
                <w:noProof/>
              </w:rPr>
            </w:pPr>
            <w:r>
              <w:rPr>
                <w:noProof/>
              </w:rPr>
              <w:t>Objava poročila o prihodnjih potrebah po kritičnih surovinah in potencialu okoljsko primerne zasnove za zmanjšanje povpraševanja po kritičnih surovinah</w:t>
            </w:r>
          </w:p>
        </w:tc>
        <w:tc>
          <w:tcPr>
            <w:tcW w:w="198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3202B48" w14:textId="74ADDF78" w:rsidR="00154E32" w:rsidRDefault="00A43E04">
            <w:pPr>
              <w:pStyle w:val="P68B1DB1-Normal11"/>
              <w:spacing w:after="120"/>
              <w:jc w:val="center"/>
              <w:rPr>
                <w:noProof/>
              </w:rPr>
            </w:pPr>
            <w:r>
              <w:rPr>
                <w:noProof/>
              </w:rPr>
              <w:t>Objava poročila</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29289E" w14:textId="4FA13350" w:rsidR="00154E32" w:rsidRDefault="00A43E04">
            <w:pPr>
              <w:pStyle w:val="P68B1DB1-Normal11"/>
              <w:spacing w:after="120"/>
              <w:jc w:val="center"/>
              <w:rPr>
                <w:noProof/>
              </w:rPr>
            </w:pPr>
            <w:r>
              <w:rPr>
                <w:noProof/>
              </w:rPr>
              <w:t>JIH NI</w:t>
            </w:r>
          </w:p>
        </w:tc>
        <w:tc>
          <w:tcPr>
            <w:tcW w:w="99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A082FD4" w14:textId="385976C8" w:rsidR="00154E32" w:rsidRDefault="00A43E04">
            <w:pPr>
              <w:pStyle w:val="P68B1DB1-Normal11"/>
              <w:spacing w:after="120"/>
              <w:jc w:val="center"/>
              <w:rPr>
                <w:noProof/>
              </w:rPr>
            </w:pPr>
            <w:r>
              <w:rPr>
                <w:noProof/>
              </w:rPr>
              <w:t>JIH NI</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71FD0B9" w14:textId="263EEBF4" w:rsidR="00154E32" w:rsidRDefault="00A43E04">
            <w:pPr>
              <w:pStyle w:val="P68B1DB1-Normal11"/>
              <w:spacing w:after="120"/>
              <w:jc w:val="center"/>
              <w:rPr>
                <w:noProof/>
              </w:rPr>
            </w:pPr>
            <w:r>
              <w:rPr>
                <w:noProof/>
              </w:rPr>
              <w:t>JIH NI</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A973AF2" w14:textId="1DF4308D" w:rsidR="00154E32" w:rsidRDefault="00A43E04">
            <w:pPr>
              <w:pStyle w:val="P68B1DB1-Normal11"/>
              <w:spacing w:after="120"/>
              <w:jc w:val="center"/>
              <w:rPr>
                <w:noProof/>
              </w:rPr>
            </w:pPr>
            <w:r>
              <w:rPr>
                <w:noProof/>
              </w:rPr>
              <w:t>Q2</w:t>
            </w:r>
          </w:p>
        </w:tc>
        <w:tc>
          <w:tcPr>
            <w:tcW w:w="70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BD4BC7" w14:textId="1D0F9F48" w:rsidR="00154E32" w:rsidRDefault="00A43E04">
            <w:pPr>
              <w:pStyle w:val="P68B1DB1-Normal11"/>
              <w:spacing w:after="120"/>
              <w:jc w:val="center"/>
              <w:rPr>
                <w:noProof/>
              </w:rPr>
            </w:pPr>
            <w:r>
              <w:rPr>
                <w:noProof/>
              </w:rPr>
              <w:t>2025</w:t>
            </w:r>
          </w:p>
        </w:tc>
        <w:tc>
          <w:tcPr>
            <w:tcW w:w="3261" w:type="dxa"/>
            <w:tcBorders>
              <w:top w:val="single" w:sz="4" w:space="0" w:color="auto"/>
              <w:left w:val="single" w:sz="4" w:space="0" w:color="auto"/>
              <w:bottom w:val="single" w:sz="4" w:space="0" w:color="auto"/>
              <w:right w:val="single" w:sz="4" w:space="0" w:color="auto"/>
            </w:tcBorders>
            <w:shd w:val="clear" w:color="auto" w:fill="C6EFCE"/>
            <w:noWrap/>
          </w:tcPr>
          <w:p w14:paraId="7710E07D" w14:textId="6B91851F" w:rsidR="00154E32" w:rsidRDefault="00A43E04">
            <w:pPr>
              <w:pStyle w:val="P68B1DB1-Normal11"/>
              <w:spacing w:after="120"/>
              <w:rPr>
                <w:noProof/>
              </w:rPr>
            </w:pPr>
            <w:r>
              <w:rPr>
                <w:noProof/>
              </w:rPr>
              <w:t xml:space="preserve">V poročilu se analizirajo prihodnje potrebe po kritičnih surovinah in potencial okoljsko primerne zasnove za zmanjšanje povpraševanja po kritičnih surovinah. </w:t>
            </w:r>
          </w:p>
        </w:tc>
      </w:tr>
      <w:tr w:rsidR="00154E32" w14:paraId="6B9C217C" w14:textId="77777777">
        <w:trPr>
          <w:trHeight w:val="309"/>
        </w:trPr>
        <w:tc>
          <w:tcPr>
            <w:tcW w:w="1185" w:type="dxa"/>
            <w:shd w:val="clear" w:color="auto" w:fill="C6EFCE"/>
            <w:noWrap/>
            <w:vAlign w:val="center"/>
          </w:tcPr>
          <w:p w14:paraId="4C37C95A" w14:textId="100B3CA0" w:rsidR="00154E32" w:rsidRDefault="00A43E04">
            <w:pPr>
              <w:pStyle w:val="P68B1DB1-Normal11"/>
              <w:spacing w:after="120"/>
              <w:jc w:val="center"/>
              <w:rPr>
                <w:noProof/>
              </w:rPr>
            </w:pPr>
            <w:r>
              <w:rPr>
                <w:noProof/>
              </w:rPr>
              <w:t>M7–26</w:t>
            </w:r>
          </w:p>
        </w:tc>
        <w:tc>
          <w:tcPr>
            <w:tcW w:w="1559" w:type="dxa"/>
            <w:shd w:val="clear" w:color="auto" w:fill="C6EFCE"/>
            <w:noWrap/>
          </w:tcPr>
          <w:p w14:paraId="133462BB" w14:textId="6D361697" w:rsidR="00154E32" w:rsidRDefault="00A43E04">
            <w:pPr>
              <w:pStyle w:val="P68B1DB1-Normal11"/>
              <w:spacing w:after="120"/>
              <w:jc w:val="center"/>
              <w:rPr>
                <w:noProof/>
              </w:rPr>
            </w:pPr>
            <w:r>
              <w:rPr>
                <w:noProof/>
              </w:rPr>
              <w:t>Naložba 10: Trajnostna, krožna in varna oskrba s kritičnimi surovinami</w:t>
            </w:r>
          </w:p>
        </w:tc>
        <w:tc>
          <w:tcPr>
            <w:tcW w:w="1134" w:type="dxa"/>
            <w:shd w:val="clear" w:color="auto" w:fill="C6EFCE"/>
            <w:noWrap/>
          </w:tcPr>
          <w:p w14:paraId="5BBC5C06" w14:textId="5745C382" w:rsidR="00154E32" w:rsidRDefault="00A43E04">
            <w:pPr>
              <w:pStyle w:val="P68B1DB1-Normal11"/>
              <w:spacing w:after="120"/>
              <w:jc w:val="center"/>
              <w:rPr>
                <w:noProof/>
              </w:rPr>
            </w:pPr>
            <w:r>
              <w:rPr>
                <w:noProof/>
              </w:rPr>
              <w:t>Tarča</w:t>
            </w:r>
          </w:p>
        </w:tc>
        <w:tc>
          <w:tcPr>
            <w:tcW w:w="1418" w:type="dxa"/>
            <w:shd w:val="clear" w:color="auto" w:fill="C6EFCE"/>
            <w:noWrap/>
          </w:tcPr>
          <w:p w14:paraId="642345F1" w14:textId="4A98C6C3" w:rsidR="00154E32" w:rsidRDefault="00A43E04">
            <w:pPr>
              <w:pStyle w:val="P68B1DB1-Normal11"/>
              <w:spacing w:after="120"/>
              <w:jc w:val="center"/>
              <w:rPr>
                <w:noProof/>
              </w:rPr>
            </w:pPr>
            <w:r>
              <w:rPr>
                <w:noProof/>
              </w:rPr>
              <w:t>Geografski informacijski sistem (GIS) o rudarskih odpadkih za trajnostno, krožno in varno oskrbo s kritičnimi surovinami</w:t>
            </w:r>
          </w:p>
        </w:tc>
        <w:tc>
          <w:tcPr>
            <w:tcW w:w="1984" w:type="dxa"/>
            <w:shd w:val="clear" w:color="auto" w:fill="C6EFCE"/>
            <w:noWrap/>
            <w:vAlign w:val="center"/>
          </w:tcPr>
          <w:p w14:paraId="383F20BE" w14:textId="620E1608" w:rsidR="00154E32" w:rsidRDefault="00A43E04">
            <w:pPr>
              <w:pStyle w:val="P68B1DB1-Normal11"/>
              <w:spacing w:after="120"/>
              <w:jc w:val="center"/>
              <w:rPr>
                <w:noProof/>
              </w:rPr>
            </w:pPr>
            <w:r>
              <w:rPr>
                <w:noProof/>
              </w:rPr>
              <w:t>Objava podatkovne zbirke</w:t>
            </w:r>
          </w:p>
        </w:tc>
        <w:tc>
          <w:tcPr>
            <w:tcW w:w="1134" w:type="dxa"/>
            <w:shd w:val="clear" w:color="auto" w:fill="C6EFCE"/>
            <w:noWrap/>
            <w:vAlign w:val="center"/>
          </w:tcPr>
          <w:p w14:paraId="68D7EBF8" w14:textId="51702006" w:rsidR="00154E32" w:rsidRDefault="00154E32">
            <w:pPr>
              <w:spacing w:after="120"/>
              <w:jc w:val="center"/>
              <w:rPr>
                <w:rFonts w:ascii="Arial Narrow" w:hAnsi="Arial Narrow"/>
                <w:noProof/>
                <w:color w:val="006100"/>
                <w:sz w:val="20"/>
              </w:rPr>
            </w:pPr>
          </w:p>
        </w:tc>
        <w:tc>
          <w:tcPr>
            <w:tcW w:w="993" w:type="dxa"/>
            <w:shd w:val="clear" w:color="auto" w:fill="C6EFCE"/>
            <w:noWrap/>
            <w:vAlign w:val="center"/>
          </w:tcPr>
          <w:p w14:paraId="3E8465DB" w14:textId="55896E54"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78445773" w14:textId="145A78CA"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70DBCF42" w14:textId="2AEEDA6E" w:rsidR="00154E32" w:rsidRDefault="00A43E04">
            <w:pPr>
              <w:pStyle w:val="P68B1DB1-Normal11"/>
              <w:spacing w:after="120"/>
              <w:jc w:val="center"/>
              <w:rPr>
                <w:noProof/>
              </w:rPr>
            </w:pPr>
            <w:r>
              <w:rPr>
                <w:noProof/>
              </w:rPr>
              <w:t>Q4</w:t>
            </w:r>
          </w:p>
        </w:tc>
        <w:tc>
          <w:tcPr>
            <w:tcW w:w="709" w:type="dxa"/>
            <w:shd w:val="clear" w:color="auto" w:fill="C6EFCE"/>
            <w:noWrap/>
            <w:vAlign w:val="center"/>
          </w:tcPr>
          <w:p w14:paraId="3BAB1A2D" w14:textId="7CC250A2" w:rsidR="00154E32" w:rsidRDefault="00A43E04">
            <w:pPr>
              <w:pStyle w:val="P68B1DB1-Normal11"/>
              <w:spacing w:after="120"/>
              <w:jc w:val="center"/>
              <w:rPr>
                <w:noProof/>
              </w:rPr>
            </w:pPr>
            <w:r>
              <w:rPr>
                <w:noProof/>
              </w:rPr>
              <w:t>2025</w:t>
            </w:r>
          </w:p>
        </w:tc>
        <w:tc>
          <w:tcPr>
            <w:tcW w:w="3261" w:type="dxa"/>
            <w:shd w:val="clear" w:color="auto" w:fill="C6EFCE"/>
            <w:noWrap/>
            <w:vAlign w:val="center"/>
          </w:tcPr>
          <w:p w14:paraId="2E180C49" w14:textId="1654ED69" w:rsidR="00154E32" w:rsidRDefault="00A43E04">
            <w:pPr>
              <w:pStyle w:val="P68B1DB1-Normal11"/>
              <w:rPr>
                <w:noProof/>
              </w:rPr>
            </w:pPr>
            <w:r>
              <w:rPr>
                <w:noProof/>
              </w:rPr>
              <w:t>Javna podatkovna zbirka (geografski informacijski sistem), ki omogoča geolokalizacijo in vizualizacijo virov ali materialov, ki jih je mogoče reciklirati, v mestnih okoljih (mestnih rudnikih) ter obstoječih odpadkov v opuščenih rudnikih.</w:t>
            </w:r>
          </w:p>
        </w:tc>
      </w:tr>
      <w:tr w:rsidR="00154E32" w14:paraId="181B484A" w14:textId="77777777">
        <w:trPr>
          <w:trHeight w:val="309"/>
        </w:trPr>
        <w:tc>
          <w:tcPr>
            <w:tcW w:w="1185" w:type="dxa"/>
            <w:shd w:val="clear" w:color="auto" w:fill="C6EFCE"/>
            <w:noWrap/>
            <w:vAlign w:val="center"/>
          </w:tcPr>
          <w:p w14:paraId="187631E0" w14:textId="4389CF5A" w:rsidR="00154E32" w:rsidRDefault="00A43E04">
            <w:pPr>
              <w:pStyle w:val="P68B1DB1-Normal11"/>
              <w:spacing w:after="120"/>
              <w:jc w:val="center"/>
              <w:rPr>
                <w:noProof/>
              </w:rPr>
            </w:pPr>
            <w:r>
              <w:rPr>
                <w:noProof/>
              </w:rPr>
              <w:t>M7–27</w:t>
            </w:r>
          </w:p>
        </w:tc>
        <w:tc>
          <w:tcPr>
            <w:tcW w:w="1559" w:type="dxa"/>
            <w:shd w:val="clear" w:color="auto" w:fill="C6EFCE"/>
            <w:noWrap/>
          </w:tcPr>
          <w:p w14:paraId="09641F0B" w14:textId="5D3B7055" w:rsidR="00154E32" w:rsidRDefault="00A43E04">
            <w:pPr>
              <w:pStyle w:val="P68B1DB1-Normal11"/>
              <w:spacing w:after="120"/>
              <w:jc w:val="center"/>
              <w:rPr>
                <w:noProof/>
              </w:rPr>
            </w:pPr>
            <w:r>
              <w:rPr>
                <w:noProof/>
              </w:rPr>
              <w:t>Naložba 10: Trajnostna, krožna in varna oskrba s kritičnimi surovinami</w:t>
            </w:r>
          </w:p>
        </w:tc>
        <w:tc>
          <w:tcPr>
            <w:tcW w:w="1134" w:type="dxa"/>
            <w:shd w:val="clear" w:color="auto" w:fill="C6EFCE"/>
            <w:noWrap/>
          </w:tcPr>
          <w:p w14:paraId="6107931B" w14:textId="66888D2A" w:rsidR="00154E32" w:rsidRDefault="00A43E04">
            <w:pPr>
              <w:pStyle w:val="P68B1DB1-Normal11"/>
              <w:spacing w:after="120"/>
              <w:jc w:val="center"/>
              <w:rPr>
                <w:noProof/>
              </w:rPr>
            </w:pPr>
            <w:r>
              <w:rPr>
                <w:noProof/>
              </w:rPr>
              <w:t xml:space="preserve">Tarča </w:t>
            </w:r>
          </w:p>
        </w:tc>
        <w:tc>
          <w:tcPr>
            <w:tcW w:w="1418" w:type="dxa"/>
            <w:shd w:val="clear" w:color="auto" w:fill="C6EFCE"/>
            <w:noWrap/>
          </w:tcPr>
          <w:p w14:paraId="7AA34FCB" w14:textId="1450937F" w:rsidR="00154E32" w:rsidRDefault="00A43E04">
            <w:pPr>
              <w:pStyle w:val="P68B1DB1-Normal11"/>
              <w:spacing w:after="120"/>
              <w:jc w:val="center"/>
              <w:rPr>
                <w:noProof/>
              </w:rPr>
            </w:pPr>
            <w:r>
              <w:rPr>
                <w:noProof/>
              </w:rPr>
              <w:t>Zaključek projektov raziskav in razvoja na področju okoljsko primerne zasnove in urbanega rudarjenja za trajnostno, krožno in varno oskrbo s kritičnimi surovinami</w:t>
            </w:r>
          </w:p>
        </w:tc>
        <w:tc>
          <w:tcPr>
            <w:tcW w:w="1984" w:type="dxa"/>
            <w:shd w:val="clear" w:color="auto" w:fill="C6EFCE"/>
            <w:noWrap/>
            <w:vAlign w:val="center"/>
          </w:tcPr>
          <w:p w14:paraId="6639088B" w14:textId="6B6C5FE8" w:rsidR="00154E32" w:rsidRDefault="00154E32">
            <w:pPr>
              <w:spacing w:after="120"/>
              <w:jc w:val="center"/>
              <w:rPr>
                <w:rFonts w:ascii="Arial Narrow" w:hAnsi="Arial Narrow"/>
                <w:noProof/>
                <w:color w:val="006100"/>
                <w:sz w:val="20"/>
              </w:rPr>
            </w:pPr>
          </w:p>
        </w:tc>
        <w:tc>
          <w:tcPr>
            <w:tcW w:w="1134" w:type="dxa"/>
            <w:shd w:val="clear" w:color="auto" w:fill="C6EFCE"/>
            <w:noWrap/>
            <w:vAlign w:val="center"/>
          </w:tcPr>
          <w:p w14:paraId="3509A89E" w14:textId="2CFC67E5" w:rsidR="00154E32" w:rsidRDefault="00A43E04">
            <w:pPr>
              <w:pStyle w:val="P68B1DB1-Normal11"/>
              <w:spacing w:after="120"/>
              <w:jc w:val="center"/>
              <w:rPr>
                <w:noProof/>
              </w:rPr>
            </w:pPr>
            <w:r>
              <w:rPr>
                <w:noProof/>
              </w:rPr>
              <w:t>Število</w:t>
            </w:r>
          </w:p>
        </w:tc>
        <w:tc>
          <w:tcPr>
            <w:tcW w:w="993" w:type="dxa"/>
            <w:shd w:val="clear" w:color="auto" w:fill="C6EFCE"/>
            <w:noWrap/>
            <w:vAlign w:val="center"/>
          </w:tcPr>
          <w:p w14:paraId="4E96935C" w14:textId="089CF2FD" w:rsidR="00154E32" w:rsidRDefault="00A43E04">
            <w:pPr>
              <w:pStyle w:val="P68B1DB1-Normal11"/>
              <w:spacing w:after="120"/>
              <w:jc w:val="center"/>
              <w:rPr>
                <w:noProof/>
              </w:rPr>
            </w:pPr>
            <w:r>
              <w:rPr>
                <w:noProof/>
              </w:rPr>
              <w:t>0</w:t>
            </w:r>
          </w:p>
        </w:tc>
        <w:tc>
          <w:tcPr>
            <w:tcW w:w="992" w:type="dxa"/>
            <w:shd w:val="clear" w:color="auto" w:fill="C6EFCE"/>
            <w:noWrap/>
            <w:vAlign w:val="center"/>
          </w:tcPr>
          <w:p w14:paraId="01A001B9" w14:textId="07AF4616" w:rsidR="00154E32" w:rsidRDefault="00A43E04">
            <w:pPr>
              <w:pStyle w:val="P68B1DB1-Normal11"/>
              <w:spacing w:after="120"/>
              <w:jc w:val="center"/>
              <w:rPr>
                <w:noProof/>
              </w:rPr>
            </w:pPr>
            <w:r>
              <w:rPr>
                <w:noProof/>
              </w:rPr>
              <w:t>10</w:t>
            </w:r>
          </w:p>
        </w:tc>
        <w:tc>
          <w:tcPr>
            <w:tcW w:w="992" w:type="dxa"/>
            <w:shd w:val="clear" w:color="auto" w:fill="C6EFCE"/>
            <w:noWrap/>
            <w:vAlign w:val="center"/>
          </w:tcPr>
          <w:p w14:paraId="726ECCC1" w14:textId="54A859CE" w:rsidR="00154E32" w:rsidRDefault="00A43E04">
            <w:pPr>
              <w:pStyle w:val="P68B1DB1-Normal11"/>
              <w:spacing w:after="120"/>
              <w:jc w:val="center"/>
              <w:rPr>
                <w:noProof/>
              </w:rPr>
            </w:pPr>
            <w:r>
              <w:rPr>
                <w:noProof/>
              </w:rPr>
              <w:t>Q2</w:t>
            </w:r>
          </w:p>
        </w:tc>
        <w:tc>
          <w:tcPr>
            <w:tcW w:w="709" w:type="dxa"/>
            <w:shd w:val="clear" w:color="auto" w:fill="C6EFCE"/>
            <w:noWrap/>
            <w:vAlign w:val="center"/>
          </w:tcPr>
          <w:p w14:paraId="1FB1EAF2" w14:textId="221B81ED" w:rsidR="00154E32" w:rsidRDefault="00A43E04">
            <w:pPr>
              <w:pStyle w:val="P68B1DB1-Normal11"/>
              <w:spacing w:after="120"/>
              <w:jc w:val="center"/>
              <w:rPr>
                <w:noProof/>
              </w:rPr>
            </w:pPr>
            <w:r>
              <w:rPr>
                <w:noProof/>
              </w:rPr>
              <w:t>2026</w:t>
            </w:r>
          </w:p>
        </w:tc>
        <w:tc>
          <w:tcPr>
            <w:tcW w:w="3261" w:type="dxa"/>
            <w:shd w:val="clear" w:color="auto" w:fill="C6EFCE"/>
            <w:noWrap/>
          </w:tcPr>
          <w:p w14:paraId="078F1B69" w14:textId="64BA73D8" w:rsidR="00154E32" w:rsidRDefault="00A43E04">
            <w:pPr>
              <w:pStyle w:val="P68B1DB1-Normal11"/>
              <w:spacing w:after="120"/>
              <w:rPr>
                <w:noProof/>
              </w:rPr>
            </w:pPr>
            <w:r>
              <w:rPr>
                <w:noProof/>
              </w:rPr>
              <w:t>Zaključek vsaj 10 raziskovalnih in razvojnih projektov, osredotočenih na okoljsko primerno zasnovo ter izboljšanje zbiranja, logistike in recikliranja odpadne električne in elektronske opreme, vključno z lopaticami vetrnih turbin in fotonapetostnimi paneli.</w:t>
            </w:r>
          </w:p>
        </w:tc>
      </w:tr>
      <w:tr w:rsidR="00154E32" w14:paraId="292ED427" w14:textId="77777777">
        <w:trPr>
          <w:trHeight w:val="309"/>
        </w:trPr>
        <w:tc>
          <w:tcPr>
            <w:tcW w:w="1185" w:type="dxa"/>
            <w:shd w:val="clear" w:color="auto" w:fill="C6EFCE"/>
            <w:noWrap/>
            <w:vAlign w:val="center"/>
          </w:tcPr>
          <w:p w14:paraId="39005B4C" w14:textId="3EF934FD" w:rsidR="00154E32" w:rsidRDefault="00A43E04">
            <w:pPr>
              <w:pStyle w:val="P68B1DB1-Normal11"/>
              <w:spacing w:after="120"/>
              <w:jc w:val="center"/>
              <w:rPr>
                <w:noProof/>
              </w:rPr>
            </w:pPr>
            <w:r>
              <w:rPr>
                <w:noProof/>
              </w:rPr>
              <w:t>M7–28</w:t>
            </w:r>
          </w:p>
        </w:tc>
        <w:tc>
          <w:tcPr>
            <w:tcW w:w="1559" w:type="dxa"/>
            <w:shd w:val="clear" w:color="auto" w:fill="C6EFCE"/>
            <w:noWrap/>
            <w:vAlign w:val="center"/>
          </w:tcPr>
          <w:p w14:paraId="5DBB4E3F" w14:textId="27942131" w:rsidR="00154E32" w:rsidRDefault="00A43E04">
            <w:pPr>
              <w:pStyle w:val="P68B1DB1-Normal11"/>
              <w:spacing w:after="120"/>
              <w:jc w:val="center"/>
              <w:rPr>
                <w:noProof/>
              </w:rPr>
            </w:pPr>
            <w:r>
              <w:rPr>
                <w:noProof/>
              </w:rPr>
              <w:t>Naložba 10: Trajnostna, krožna in varna oskrba s kritičnimi surovinami</w:t>
            </w:r>
          </w:p>
        </w:tc>
        <w:tc>
          <w:tcPr>
            <w:tcW w:w="1134" w:type="dxa"/>
            <w:shd w:val="clear" w:color="auto" w:fill="C6EFCE"/>
            <w:noWrap/>
            <w:vAlign w:val="center"/>
          </w:tcPr>
          <w:p w14:paraId="75B5A658" w14:textId="0120C2DE" w:rsidR="00154E32" w:rsidRDefault="00A43E04">
            <w:pPr>
              <w:pStyle w:val="P68B1DB1-Normal11"/>
              <w:spacing w:after="120"/>
              <w:jc w:val="center"/>
              <w:rPr>
                <w:noProof/>
              </w:rPr>
            </w:pPr>
            <w:r>
              <w:rPr>
                <w:noProof/>
              </w:rPr>
              <w:t>Tarča</w:t>
            </w:r>
          </w:p>
        </w:tc>
        <w:tc>
          <w:tcPr>
            <w:tcW w:w="1418" w:type="dxa"/>
            <w:shd w:val="clear" w:color="auto" w:fill="C6EFCE"/>
            <w:noWrap/>
            <w:vAlign w:val="center"/>
          </w:tcPr>
          <w:p w14:paraId="54BB678B" w14:textId="60E07BA3" w:rsidR="00154E32" w:rsidRDefault="00A43E04">
            <w:pPr>
              <w:pStyle w:val="P68B1DB1-Normal11"/>
              <w:spacing w:after="120"/>
              <w:jc w:val="center"/>
              <w:rPr>
                <w:noProof/>
              </w:rPr>
            </w:pPr>
            <w:r>
              <w:rPr>
                <w:noProof/>
              </w:rPr>
              <w:t>Oprema laboratorijev, ki pripadajo tehnološkemu vozlišču za urbano rudarjenje in okoljsko primerno zasnovo</w:t>
            </w:r>
          </w:p>
        </w:tc>
        <w:tc>
          <w:tcPr>
            <w:tcW w:w="1984" w:type="dxa"/>
            <w:shd w:val="clear" w:color="auto" w:fill="C6EFCE"/>
            <w:noWrap/>
          </w:tcPr>
          <w:p w14:paraId="348016CA" w14:textId="77777777" w:rsidR="00154E32" w:rsidRDefault="00154E32">
            <w:pPr>
              <w:spacing w:after="120"/>
              <w:jc w:val="center"/>
              <w:rPr>
                <w:rFonts w:ascii="Arial Narrow" w:hAnsi="Arial Narrow"/>
                <w:noProof/>
                <w:color w:val="006100"/>
                <w:sz w:val="20"/>
              </w:rPr>
            </w:pPr>
          </w:p>
        </w:tc>
        <w:tc>
          <w:tcPr>
            <w:tcW w:w="1134" w:type="dxa"/>
            <w:shd w:val="clear" w:color="auto" w:fill="C6EFCE"/>
            <w:noWrap/>
            <w:vAlign w:val="center"/>
          </w:tcPr>
          <w:p w14:paraId="30F70E50" w14:textId="51F37EFA" w:rsidR="00154E32" w:rsidRDefault="00A43E04">
            <w:pPr>
              <w:pStyle w:val="P68B1DB1-Normal11"/>
              <w:spacing w:after="120"/>
              <w:jc w:val="center"/>
              <w:rPr>
                <w:noProof/>
              </w:rPr>
            </w:pPr>
            <w:r>
              <w:rPr>
                <w:noProof/>
              </w:rPr>
              <w:t>Število</w:t>
            </w:r>
          </w:p>
        </w:tc>
        <w:tc>
          <w:tcPr>
            <w:tcW w:w="993" w:type="dxa"/>
            <w:shd w:val="clear" w:color="auto" w:fill="C6EFCE"/>
            <w:noWrap/>
            <w:vAlign w:val="center"/>
          </w:tcPr>
          <w:p w14:paraId="10ECDF1E" w14:textId="132ABB70" w:rsidR="00154E32" w:rsidRDefault="00A43E04">
            <w:pPr>
              <w:pStyle w:val="P68B1DB1-Normal11"/>
              <w:spacing w:after="120"/>
              <w:jc w:val="center"/>
              <w:rPr>
                <w:noProof/>
              </w:rPr>
            </w:pPr>
            <w:r>
              <w:rPr>
                <w:noProof/>
              </w:rPr>
              <w:t>0</w:t>
            </w:r>
          </w:p>
        </w:tc>
        <w:tc>
          <w:tcPr>
            <w:tcW w:w="992" w:type="dxa"/>
            <w:shd w:val="clear" w:color="auto" w:fill="C6EFCE"/>
            <w:noWrap/>
            <w:vAlign w:val="center"/>
          </w:tcPr>
          <w:p w14:paraId="6A384362" w14:textId="768A30DC" w:rsidR="00154E32" w:rsidRDefault="00A43E04">
            <w:pPr>
              <w:pStyle w:val="P68B1DB1-Normal11"/>
              <w:spacing w:after="120"/>
              <w:jc w:val="center"/>
              <w:rPr>
                <w:noProof/>
              </w:rPr>
            </w:pPr>
            <w:r>
              <w:rPr>
                <w:noProof/>
              </w:rPr>
              <w:t>6</w:t>
            </w:r>
          </w:p>
        </w:tc>
        <w:tc>
          <w:tcPr>
            <w:tcW w:w="992" w:type="dxa"/>
            <w:shd w:val="clear" w:color="auto" w:fill="C6EFCE"/>
            <w:noWrap/>
            <w:vAlign w:val="center"/>
          </w:tcPr>
          <w:p w14:paraId="0B7DFD5E" w14:textId="36C37718" w:rsidR="00154E32" w:rsidRDefault="00A43E04">
            <w:pPr>
              <w:pStyle w:val="P68B1DB1-Normal11"/>
              <w:spacing w:after="120"/>
              <w:jc w:val="center"/>
              <w:rPr>
                <w:noProof/>
              </w:rPr>
            </w:pPr>
            <w:r>
              <w:rPr>
                <w:noProof/>
              </w:rPr>
              <w:t>Q2</w:t>
            </w:r>
          </w:p>
        </w:tc>
        <w:tc>
          <w:tcPr>
            <w:tcW w:w="709" w:type="dxa"/>
            <w:shd w:val="clear" w:color="auto" w:fill="C6EFCE"/>
            <w:noWrap/>
            <w:vAlign w:val="center"/>
          </w:tcPr>
          <w:p w14:paraId="7B6DAECD" w14:textId="7510DE83" w:rsidR="00154E32" w:rsidRDefault="00A43E04">
            <w:pPr>
              <w:pStyle w:val="P68B1DB1-Normal11"/>
              <w:spacing w:after="120"/>
              <w:jc w:val="center"/>
              <w:rPr>
                <w:noProof/>
              </w:rPr>
            </w:pPr>
            <w:r>
              <w:rPr>
                <w:noProof/>
              </w:rPr>
              <w:t>2026</w:t>
            </w:r>
          </w:p>
        </w:tc>
        <w:tc>
          <w:tcPr>
            <w:tcW w:w="3261" w:type="dxa"/>
            <w:shd w:val="clear" w:color="auto" w:fill="C6EFCE"/>
            <w:noWrap/>
            <w:vAlign w:val="center"/>
          </w:tcPr>
          <w:p w14:paraId="4AF98BFB" w14:textId="77777777" w:rsidR="00154E32" w:rsidRDefault="00A43E04">
            <w:pPr>
              <w:pStyle w:val="P68B1DB1-Normal11"/>
              <w:spacing w:after="120"/>
              <w:rPr>
                <w:noProof/>
              </w:rPr>
            </w:pPr>
            <w:r>
              <w:rPr>
                <w:noProof/>
              </w:rPr>
              <w:t>Oprema vsaj šestih laboratorijev, ki pripadajo tehnološkemu vozlišču za urbano rudarjenje in okoljsko primerno zasnovo.</w:t>
            </w:r>
          </w:p>
          <w:p w14:paraId="39D7DC65" w14:textId="32D47575" w:rsidR="00154E32" w:rsidRDefault="00A43E04">
            <w:pPr>
              <w:pStyle w:val="P68B1DB1-Normal11"/>
              <w:spacing w:after="120"/>
              <w:rPr>
                <w:noProof/>
              </w:rPr>
            </w:pPr>
            <w:r>
              <w:rPr>
                <w:noProof/>
              </w:rPr>
              <w:t xml:space="preserve">Laboratoriji omogočajo sodelovanje med zasebnimi podjetji in raziskovalnimi ustanovami pri iskanju rešitev za povečanje predelave in recikliranja kritičnih surovin, povezanih z zelenim prehodom. </w:t>
            </w:r>
          </w:p>
        </w:tc>
      </w:tr>
      <w:tr w:rsidR="00154E32" w14:paraId="2AB281F8" w14:textId="77777777">
        <w:trPr>
          <w:trHeight w:val="309"/>
        </w:trPr>
        <w:tc>
          <w:tcPr>
            <w:tcW w:w="1185" w:type="dxa"/>
            <w:tcBorders>
              <w:bottom w:val="single" w:sz="4" w:space="0" w:color="auto"/>
            </w:tcBorders>
            <w:shd w:val="clear" w:color="auto" w:fill="C6EFCE"/>
            <w:noWrap/>
            <w:vAlign w:val="center"/>
          </w:tcPr>
          <w:p w14:paraId="2AF02F49" w14:textId="77FB5D70" w:rsidR="00154E32" w:rsidRDefault="00A43E04">
            <w:pPr>
              <w:pStyle w:val="P68B1DB1-Normal11"/>
              <w:spacing w:after="120"/>
              <w:jc w:val="center"/>
              <w:rPr>
                <w:noProof/>
              </w:rPr>
            </w:pPr>
            <w:r>
              <w:rPr>
                <w:noProof/>
              </w:rPr>
              <w:t>M7–29</w:t>
            </w:r>
          </w:p>
        </w:tc>
        <w:tc>
          <w:tcPr>
            <w:tcW w:w="1559" w:type="dxa"/>
            <w:tcBorders>
              <w:bottom w:val="single" w:sz="4" w:space="0" w:color="auto"/>
            </w:tcBorders>
            <w:shd w:val="clear" w:color="auto" w:fill="C6EFCE"/>
            <w:noWrap/>
            <w:vAlign w:val="center"/>
          </w:tcPr>
          <w:p w14:paraId="5B52C754" w14:textId="1650BE13" w:rsidR="00154E32" w:rsidRDefault="00A43E04">
            <w:pPr>
              <w:pStyle w:val="P68B1DB1-Normal11"/>
              <w:spacing w:after="120"/>
              <w:jc w:val="center"/>
              <w:rPr>
                <w:noProof/>
              </w:rPr>
            </w:pPr>
            <w:r>
              <w:rPr>
                <w:noProof/>
              </w:rPr>
              <w:t>Naložba 9: Ukrep razširitve: Zagotavljanje tehnične pomoči in krepitev krepitve zmogljivosti za izvajanje italijanskega načrta za okrevanje in odpornost</w:t>
            </w:r>
          </w:p>
        </w:tc>
        <w:tc>
          <w:tcPr>
            <w:tcW w:w="1134" w:type="dxa"/>
            <w:tcBorders>
              <w:bottom w:val="single" w:sz="4" w:space="0" w:color="auto"/>
            </w:tcBorders>
            <w:shd w:val="clear" w:color="auto" w:fill="C6EFCE"/>
            <w:noWrap/>
            <w:vAlign w:val="center"/>
          </w:tcPr>
          <w:p w14:paraId="11B5CA1E" w14:textId="5BA81A3B" w:rsidR="00154E32" w:rsidRDefault="00A43E04">
            <w:pPr>
              <w:pStyle w:val="P68B1DB1-Normal11"/>
              <w:spacing w:after="120"/>
              <w:jc w:val="center"/>
              <w:rPr>
                <w:noProof/>
              </w:rPr>
            </w:pPr>
            <w:r>
              <w:rPr>
                <w:noProof/>
              </w:rPr>
              <w:t>Tarča</w:t>
            </w:r>
          </w:p>
        </w:tc>
        <w:tc>
          <w:tcPr>
            <w:tcW w:w="1418" w:type="dxa"/>
            <w:tcBorders>
              <w:bottom w:val="single" w:sz="4" w:space="0" w:color="auto"/>
            </w:tcBorders>
            <w:shd w:val="clear" w:color="auto" w:fill="C6EFCE"/>
            <w:noWrap/>
            <w:vAlign w:val="center"/>
          </w:tcPr>
          <w:p w14:paraId="0617AA42" w14:textId="177D46B2" w:rsidR="00154E32" w:rsidRDefault="00A43E04">
            <w:pPr>
              <w:pStyle w:val="P68B1DB1-Normal11"/>
              <w:spacing w:after="120"/>
              <w:jc w:val="center"/>
              <w:rPr>
                <w:noProof/>
              </w:rPr>
            </w:pPr>
            <w:r>
              <w:rPr>
                <w:noProof/>
              </w:rPr>
              <w:t>Izobraževanje in usposabljanje</w:t>
            </w:r>
          </w:p>
        </w:tc>
        <w:tc>
          <w:tcPr>
            <w:tcW w:w="1984" w:type="dxa"/>
            <w:tcBorders>
              <w:bottom w:val="single" w:sz="4" w:space="0" w:color="auto"/>
            </w:tcBorders>
            <w:shd w:val="clear" w:color="auto" w:fill="C6EFCE"/>
            <w:noWrap/>
            <w:vAlign w:val="center"/>
          </w:tcPr>
          <w:p w14:paraId="54EB52C8" w14:textId="77777777" w:rsidR="00154E32" w:rsidRDefault="00154E32">
            <w:pPr>
              <w:spacing w:after="120"/>
              <w:jc w:val="center"/>
              <w:rPr>
                <w:rFonts w:ascii="Arial Narrow" w:hAnsi="Arial Narrow"/>
                <w:noProof/>
                <w:color w:val="006100"/>
                <w:sz w:val="20"/>
              </w:rPr>
            </w:pPr>
          </w:p>
        </w:tc>
        <w:tc>
          <w:tcPr>
            <w:tcW w:w="1134" w:type="dxa"/>
            <w:tcBorders>
              <w:bottom w:val="single" w:sz="4" w:space="0" w:color="auto"/>
            </w:tcBorders>
            <w:shd w:val="clear" w:color="auto" w:fill="C6EFCE"/>
            <w:noWrap/>
            <w:vAlign w:val="center"/>
          </w:tcPr>
          <w:p w14:paraId="62D3B452" w14:textId="1A11D588" w:rsidR="00154E32" w:rsidRDefault="00A43E04">
            <w:pPr>
              <w:pStyle w:val="P68B1DB1-Normal11"/>
              <w:spacing w:after="120"/>
              <w:jc w:val="center"/>
              <w:rPr>
                <w:noProof/>
              </w:rPr>
            </w:pPr>
            <w:r>
              <w:rPr>
                <w:noProof/>
              </w:rPr>
              <w:t>Število</w:t>
            </w:r>
          </w:p>
        </w:tc>
        <w:tc>
          <w:tcPr>
            <w:tcW w:w="993" w:type="dxa"/>
            <w:tcBorders>
              <w:bottom w:val="single" w:sz="4" w:space="0" w:color="auto"/>
            </w:tcBorders>
            <w:shd w:val="clear" w:color="auto" w:fill="C6EFCE"/>
            <w:noWrap/>
            <w:vAlign w:val="center"/>
          </w:tcPr>
          <w:p w14:paraId="6EB99CAE" w14:textId="1D935E0D" w:rsidR="00154E32" w:rsidRDefault="00A43E04">
            <w:pPr>
              <w:pStyle w:val="P68B1DB1-Normal11"/>
              <w:spacing w:after="120"/>
              <w:jc w:val="center"/>
              <w:rPr>
                <w:noProof/>
              </w:rPr>
            </w:pPr>
            <w:r>
              <w:rPr>
                <w:noProof/>
              </w:rPr>
              <w:t>280 000</w:t>
            </w:r>
          </w:p>
        </w:tc>
        <w:tc>
          <w:tcPr>
            <w:tcW w:w="992" w:type="dxa"/>
            <w:tcBorders>
              <w:bottom w:val="single" w:sz="4" w:space="0" w:color="auto"/>
            </w:tcBorders>
            <w:shd w:val="clear" w:color="auto" w:fill="C6EFCE"/>
            <w:noWrap/>
            <w:vAlign w:val="center"/>
          </w:tcPr>
          <w:p w14:paraId="61BCB8D1" w14:textId="3E995D1C" w:rsidR="00154E32" w:rsidRDefault="00A43E04">
            <w:pPr>
              <w:pStyle w:val="P68B1DB1-Normal11"/>
              <w:spacing w:after="120"/>
              <w:jc w:val="center"/>
              <w:rPr>
                <w:noProof/>
              </w:rPr>
            </w:pPr>
            <w:r>
              <w:rPr>
                <w:noProof/>
              </w:rPr>
              <w:t>281 750</w:t>
            </w:r>
          </w:p>
        </w:tc>
        <w:tc>
          <w:tcPr>
            <w:tcW w:w="992" w:type="dxa"/>
            <w:tcBorders>
              <w:bottom w:val="single" w:sz="4" w:space="0" w:color="auto"/>
            </w:tcBorders>
            <w:shd w:val="clear" w:color="auto" w:fill="C6EFCE"/>
            <w:noWrap/>
            <w:vAlign w:val="center"/>
          </w:tcPr>
          <w:p w14:paraId="200B22A3" w14:textId="6CA4A05F" w:rsidR="00154E32" w:rsidRDefault="00A43E04">
            <w:pPr>
              <w:pStyle w:val="P68B1DB1-Normal11"/>
              <w:spacing w:after="120"/>
              <w:jc w:val="center"/>
              <w:rPr>
                <w:noProof/>
              </w:rPr>
            </w:pPr>
            <w:r>
              <w:rPr>
                <w:noProof/>
              </w:rPr>
              <w:t>Q2</w:t>
            </w:r>
          </w:p>
        </w:tc>
        <w:tc>
          <w:tcPr>
            <w:tcW w:w="709" w:type="dxa"/>
            <w:tcBorders>
              <w:bottom w:val="single" w:sz="4" w:space="0" w:color="auto"/>
            </w:tcBorders>
            <w:shd w:val="clear" w:color="auto" w:fill="C6EFCE"/>
            <w:noWrap/>
            <w:vAlign w:val="center"/>
          </w:tcPr>
          <w:p w14:paraId="663C9297" w14:textId="02A95719" w:rsidR="00154E32" w:rsidRDefault="00A43E04">
            <w:pPr>
              <w:pStyle w:val="P68B1DB1-Normal11"/>
              <w:spacing w:after="120"/>
              <w:jc w:val="center"/>
              <w:rPr>
                <w:noProof/>
              </w:rPr>
            </w:pPr>
            <w:r>
              <w:rPr>
                <w:noProof/>
              </w:rPr>
              <w:t>2026</w:t>
            </w:r>
          </w:p>
        </w:tc>
        <w:tc>
          <w:tcPr>
            <w:tcW w:w="3261" w:type="dxa"/>
            <w:tcBorders>
              <w:bottom w:val="single" w:sz="4" w:space="0" w:color="auto"/>
            </w:tcBorders>
            <w:shd w:val="clear" w:color="auto" w:fill="C6EFCE"/>
            <w:noWrap/>
            <w:vAlign w:val="center"/>
          </w:tcPr>
          <w:p w14:paraId="357F13DA" w14:textId="58836E0A" w:rsidR="00154E32" w:rsidRDefault="00A43E04">
            <w:pPr>
              <w:pStyle w:val="P68B1DB1-Normal11"/>
              <w:spacing w:after="120"/>
              <w:rPr>
                <w:noProof/>
              </w:rPr>
            </w:pPr>
            <w:r>
              <w:rPr>
                <w:noProof/>
              </w:rPr>
              <w:t>Vsaj 281750 javnih uslužbencev drugih javnih uprav je uspešno zaključilo pobude za usposabljanje (formalno certificiranje ali ocena učinka).</w:t>
            </w:r>
          </w:p>
          <w:p w14:paraId="3CD0A0B8" w14:textId="46A669D9" w:rsidR="00154E32" w:rsidRDefault="00A43E04">
            <w:pPr>
              <w:pStyle w:val="P68B1DB1-Normal11"/>
              <w:spacing w:after="120"/>
              <w:rPr>
                <w:noProof/>
              </w:rPr>
            </w:pPr>
            <w:r>
              <w:rPr>
                <w:noProof/>
              </w:rPr>
              <w:t>Vsaj 1750 teh javnih uslužbencev je zaposlenih v lokalni javnosti in morajo opraviti pobude za usposabljanje o zelenem prehodu, kot je podrobno opisano v opisu ukrepa.</w:t>
            </w:r>
          </w:p>
        </w:tc>
      </w:tr>
      <w:tr w:rsidR="00154E32" w14:paraId="52FBA040" w14:textId="77777777">
        <w:trPr>
          <w:trHeight w:val="309"/>
        </w:trPr>
        <w:tc>
          <w:tcPr>
            <w:tcW w:w="1185" w:type="dxa"/>
            <w:tcBorders>
              <w:top w:val="single" w:sz="4" w:space="0" w:color="auto"/>
            </w:tcBorders>
            <w:shd w:val="clear" w:color="auto" w:fill="C6EFCE"/>
            <w:noWrap/>
            <w:vAlign w:val="center"/>
          </w:tcPr>
          <w:p w14:paraId="31137837" w14:textId="403ED2A0" w:rsidR="00154E32" w:rsidRDefault="00A43E04">
            <w:pPr>
              <w:pStyle w:val="P68B1DB1-Normal11"/>
              <w:spacing w:after="120"/>
              <w:jc w:val="center"/>
              <w:rPr>
                <w:noProof/>
              </w:rPr>
            </w:pPr>
            <w:r>
              <w:rPr>
                <w:noProof/>
              </w:rPr>
              <w:t>M7–30</w:t>
            </w:r>
          </w:p>
        </w:tc>
        <w:tc>
          <w:tcPr>
            <w:tcW w:w="1559" w:type="dxa"/>
            <w:tcBorders>
              <w:top w:val="single" w:sz="4" w:space="0" w:color="auto"/>
            </w:tcBorders>
            <w:shd w:val="clear" w:color="auto" w:fill="C6EFCE"/>
            <w:noWrap/>
            <w:vAlign w:val="center"/>
          </w:tcPr>
          <w:p w14:paraId="52F7A3D5" w14:textId="5754BEE3" w:rsidR="00154E32" w:rsidRDefault="00A43E04">
            <w:pPr>
              <w:pStyle w:val="P68B1DB1-Normal11"/>
              <w:spacing w:after="120"/>
              <w:jc w:val="center"/>
              <w:rPr>
                <w:noProof/>
              </w:rPr>
            </w:pPr>
            <w:r>
              <w:rPr>
                <w:noProof/>
              </w:rPr>
              <w:t>Naložba 10: Pilotni projekti o znanjih in spretnostih „Crescere Green“</w:t>
            </w:r>
          </w:p>
        </w:tc>
        <w:tc>
          <w:tcPr>
            <w:tcW w:w="1134" w:type="dxa"/>
            <w:tcBorders>
              <w:top w:val="single" w:sz="4" w:space="0" w:color="auto"/>
            </w:tcBorders>
            <w:shd w:val="clear" w:color="auto" w:fill="C6EFCE"/>
            <w:noWrap/>
            <w:vAlign w:val="center"/>
          </w:tcPr>
          <w:p w14:paraId="0154F1A8" w14:textId="4B4BAD31" w:rsidR="00154E32" w:rsidRDefault="00A43E04">
            <w:pPr>
              <w:pStyle w:val="P68B1DB1-Normal11"/>
              <w:spacing w:after="120"/>
              <w:jc w:val="center"/>
              <w:rPr>
                <w:noProof/>
              </w:rPr>
            </w:pPr>
            <w:r>
              <w:rPr>
                <w:noProof/>
              </w:rPr>
              <w:t>Tarča</w:t>
            </w:r>
          </w:p>
        </w:tc>
        <w:tc>
          <w:tcPr>
            <w:tcW w:w="1418" w:type="dxa"/>
            <w:tcBorders>
              <w:top w:val="single" w:sz="4" w:space="0" w:color="auto"/>
            </w:tcBorders>
            <w:shd w:val="clear" w:color="auto" w:fill="C6EFCE"/>
            <w:noWrap/>
            <w:vAlign w:val="center"/>
          </w:tcPr>
          <w:p w14:paraId="32C77440" w14:textId="6F34496B" w:rsidR="00154E32" w:rsidRDefault="00A43E04">
            <w:pPr>
              <w:pStyle w:val="P68B1DB1-Normal11"/>
              <w:spacing w:after="120"/>
              <w:jc w:val="center"/>
              <w:rPr>
                <w:noProof/>
              </w:rPr>
            </w:pPr>
            <w:r>
              <w:rPr>
                <w:noProof/>
              </w:rPr>
              <w:t>Zagotavljanje usposabljanja za 20000 ljudi</w:t>
            </w:r>
          </w:p>
        </w:tc>
        <w:tc>
          <w:tcPr>
            <w:tcW w:w="1984" w:type="dxa"/>
            <w:tcBorders>
              <w:top w:val="single" w:sz="4" w:space="0" w:color="auto"/>
            </w:tcBorders>
            <w:shd w:val="clear" w:color="auto" w:fill="C6EFCE"/>
            <w:noWrap/>
            <w:vAlign w:val="center"/>
          </w:tcPr>
          <w:p w14:paraId="28C39A43" w14:textId="77777777" w:rsidR="00154E32" w:rsidRDefault="00154E32">
            <w:pPr>
              <w:spacing w:after="120"/>
              <w:jc w:val="center"/>
              <w:rPr>
                <w:rFonts w:ascii="Arial Narrow" w:hAnsi="Arial Narrow"/>
                <w:noProof/>
                <w:color w:val="006100"/>
                <w:sz w:val="20"/>
              </w:rPr>
            </w:pPr>
          </w:p>
        </w:tc>
        <w:tc>
          <w:tcPr>
            <w:tcW w:w="1134" w:type="dxa"/>
            <w:tcBorders>
              <w:top w:val="single" w:sz="4" w:space="0" w:color="auto"/>
            </w:tcBorders>
            <w:shd w:val="clear" w:color="auto" w:fill="C6EFCE"/>
            <w:noWrap/>
            <w:vAlign w:val="center"/>
          </w:tcPr>
          <w:p w14:paraId="7301C79A" w14:textId="292C4C9C" w:rsidR="00154E32" w:rsidRDefault="00A43E04">
            <w:pPr>
              <w:pStyle w:val="P68B1DB1-Normal11"/>
              <w:spacing w:after="120"/>
              <w:jc w:val="center"/>
              <w:rPr>
                <w:noProof/>
              </w:rPr>
            </w:pPr>
            <w:r>
              <w:rPr>
                <w:noProof/>
              </w:rPr>
              <w:t>Število</w:t>
            </w:r>
          </w:p>
        </w:tc>
        <w:tc>
          <w:tcPr>
            <w:tcW w:w="993" w:type="dxa"/>
            <w:tcBorders>
              <w:top w:val="single" w:sz="4" w:space="0" w:color="auto"/>
            </w:tcBorders>
            <w:shd w:val="clear" w:color="auto" w:fill="C6EFCE"/>
            <w:noWrap/>
            <w:vAlign w:val="center"/>
          </w:tcPr>
          <w:p w14:paraId="26535D8A" w14:textId="2383BF36" w:rsidR="00154E32" w:rsidRDefault="00A43E04">
            <w:pPr>
              <w:pStyle w:val="P68B1DB1-Normal11"/>
              <w:spacing w:after="120"/>
              <w:jc w:val="center"/>
              <w:rPr>
                <w:noProof/>
              </w:rPr>
            </w:pPr>
            <w:r>
              <w:rPr>
                <w:noProof/>
              </w:rPr>
              <w:t>0</w:t>
            </w:r>
          </w:p>
        </w:tc>
        <w:tc>
          <w:tcPr>
            <w:tcW w:w="992" w:type="dxa"/>
            <w:tcBorders>
              <w:top w:val="single" w:sz="4" w:space="0" w:color="auto"/>
            </w:tcBorders>
            <w:shd w:val="clear" w:color="auto" w:fill="C6EFCE"/>
            <w:noWrap/>
            <w:vAlign w:val="center"/>
          </w:tcPr>
          <w:p w14:paraId="6738394B" w14:textId="104B397C" w:rsidR="00154E32" w:rsidRDefault="00A43E04">
            <w:pPr>
              <w:pStyle w:val="P68B1DB1-Normal11"/>
              <w:spacing w:after="120"/>
              <w:jc w:val="center"/>
              <w:rPr>
                <w:noProof/>
              </w:rPr>
            </w:pPr>
            <w:r>
              <w:rPr>
                <w:noProof/>
              </w:rPr>
              <w:t>20 000</w:t>
            </w:r>
          </w:p>
        </w:tc>
        <w:tc>
          <w:tcPr>
            <w:tcW w:w="992" w:type="dxa"/>
            <w:tcBorders>
              <w:top w:val="single" w:sz="4" w:space="0" w:color="auto"/>
            </w:tcBorders>
            <w:shd w:val="clear" w:color="auto" w:fill="C6EFCE"/>
            <w:noWrap/>
            <w:vAlign w:val="center"/>
          </w:tcPr>
          <w:p w14:paraId="72FADAFE" w14:textId="30E90CBC" w:rsidR="00154E32" w:rsidRDefault="00A43E04">
            <w:pPr>
              <w:pStyle w:val="P68B1DB1-Normal11"/>
              <w:spacing w:after="120"/>
              <w:jc w:val="center"/>
              <w:rPr>
                <w:noProof/>
              </w:rPr>
            </w:pPr>
            <w:r>
              <w:rPr>
                <w:noProof/>
              </w:rPr>
              <w:t>Q2</w:t>
            </w:r>
          </w:p>
        </w:tc>
        <w:tc>
          <w:tcPr>
            <w:tcW w:w="709" w:type="dxa"/>
            <w:tcBorders>
              <w:top w:val="single" w:sz="4" w:space="0" w:color="auto"/>
            </w:tcBorders>
            <w:shd w:val="clear" w:color="auto" w:fill="C6EFCE"/>
            <w:noWrap/>
            <w:vAlign w:val="center"/>
          </w:tcPr>
          <w:p w14:paraId="1CB03FEE" w14:textId="779A5518" w:rsidR="00154E32" w:rsidRDefault="00A43E04">
            <w:pPr>
              <w:pStyle w:val="P68B1DB1-Normal11"/>
              <w:spacing w:after="120"/>
              <w:jc w:val="center"/>
              <w:rPr>
                <w:noProof/>
              </w:rPr>
            </w:pPr>
            <w:r>
              <w:rPr>
                <w:noProof/>
              </w:rPr>
              <w:t>2025</w:t>
            </w:r>
          </w:p>
        </w:tc>
        <w:tc>
          <w:tcPr>
            <w:tcW w:w="3261" w:type="dxa"/>
            <w:tcBorders>
              <w:top w:val="single" w:sz="4" w:space="0" w:color="auto"/>
            </w:tcBorders>
            <w:shd w:val="clear" w:color="auto" w:fill="C6EFCE"/>
            <w:noWrap/>
            <w:vAlign w:val="center"/>
          </w:tcPr>
          <w:p w14:paraId="76BF80E3" w14:textId="77777777" w:rsidR="00154E32" w:rsidRDefault="00A43E04">
            <w:pPr>
              <w:pStyle w:val="P68B1DB1-Normal11"/>
              <w:spacing w:after="120"/>
              <w:rPr>
                <w:noProof/>
              </w:rPr>
            </w:pPr>
            <w:r>
              <w:rPr>
                <w:noProof/>
              </w:rPr>
              <w:t xml:space="preserve">Pilotni projekt je organiziran po regijah in vključuje podjetja iz zasebnega sektorja. </w:t>
            </w:r>
          </w:p>
          <w:p w14:paraId="2BC07861" w14:textId="77777777" w:rsidR="00154E32" w:rsidRDefault="00A43E04">
            <w:pPr>
              <w:pStyle w:val="P68B1DB1-Normal11"/>
              <w:spacing w:after="120"/>
              <w:rPr>
                <w:noProof/>
              </w:rPr>
            </w:pPr>
            <w:r>
              <w:rPr>
                <w:noProof/>
              </w:rPr>
              <w:t>Izvajalci usposabljanja so certificirani (akreditati</w:t>
            </w:r>
            <w:r>
              <w:rPr>
                <w:i/>
                <w:noProof/>
              </w:rPr>
              <w:t>) po vsej</w:t>
            </w:r>
            <w:r>
              <w:rPr>
                <w:noProof/>
              </w:rPr>
              <w:t xml:space="preserve">državi v skladu z regionalno zakonodajo. Moduli usposabljanja so osredotočeni na sektorska znanja in spretnosti za zeleni prehod v skladu s poklici, opredeljenimi v paktih za znanja in spretnosti, in se spremljajo na nacionalni ravni. </w:t>
            </w:r>
          </w:p>
          <w:p w14:paraId="11D6FB15" w14:textId="2D8E0229" w:rsidR="00154E32" w:rsidRDefault="00A43E04">
            <w:pPr>
              <w:pStyle w:val="P68B1DB1-Normal11"/>
              <w:spacing w:after="120"/>
              <w:rPr>
                <w:noProof/>
              </w:rPr>
            </w:pPr>
            <w:r>
              <w:rPr>
                <w:noProof/>
              </w:rPr>
              <w:t>Module usposabljanja je dokončalo vsaj 20000 upravičencev med upravičenci programa za zajamčena zaposljivost delavcev (GOL). Dejavnosti, povezane s krepitvijo upravne zmogljivosti, se zaključijo.</w:t>
            </w:r>
          </w:p>
          <w:p w14:paraId="30915877" w14:textId="7F6AFFEF" w:rsidR="00154E32" w:rsidRDefault="00A43E04">
            <w:pPr>
              <w:pStyle w:val="P68B1DB1-Normal11"/>
              <w:spacing w:after="120"/>
              <w:rPr>
                <w:noProof/>
              </w:rPr>
            </w:pPr>
            <w:r>
              <w:rPr>
                <w:noProof/>
              </w:rPr>
              <w:t>Največ 4 % sredstev se nameni krepitvi upravne zmogljivosti akterjev, vključenih v načrtovanje in zagotavljanje usposabljanja.</w:t>
            </w:r>
          </w:p>
        </w:tc>
      </w:tr>
      <w:tr w:rsidR="00154E32" w14:paraId="6A3A1B42" w14:textId="77777777">
        <w:trPr>
          <w:trHeight w:val="309"/>
        </w:trPr>
        <w:tc>
          <w:tcPr>
            <w:tcW w:w="1185" w:type="dxa"/>
            <w:tcBorders>
              <w:top w:val="single" w:sz="4" w:space="0" w:color="auto"/>
            </w:tcBorders>
            <w:shd w:val="clear" w:color="auto" w:fill="C6EFCE"/>
            <w:noWrap/>
            <w:vAlign w:val="center"/>
          </w:tcPr>
          <w:p w14:paraId="0963A282" w14:textId="0B5A79E3" w:rsidR="00154E32" w:rsidRDefault="00A43E04">
            <w:pPr>
              <w:pStyle w:val="P68B1DB1-Normal11"/>
              <w:spacing w:after="120"/>
              <w:jc w:val="center"/>
              <w:rPr>
                <w:noProof/>
              </w:rPr>
            </w:pPr>
            <w:r>
              <w:rPr>
                <w:noProof/>
              </w:rPr>
              <w:t>M7–31</w:t>
            </w:r>
          </w:p>
        </w:tc>
        <w:tc>
          <w:tcPr>
            <w:tcW w:w="1559" w:type="dxa"/>
            <w:tcBorders>
              <w:top w:val="single" w:sz="4" w:space="0" w:color="auto"/>
            </w:tcBorders>
            <w:shd w:val="clear" w:color="auto" w:fill="C6EFCE"/>
            <w:noWrap/>
            <w:vAlign w:val="center"/>
          </w:tcPr>
          <w:p w14:paraId="4E5DF838" w14:textId="356C8F34" w:rsidR="00154E32" w:rsidRDefault="00A43E04">
            <w:pPr>
              <w:pStyle w:val="P68B1DB1-Normal11"/>
              <w:spacing w:after="120"/>
              <w:jc w:val="center"/>
              <w:rPr>
                <w:noProof/>
              </w:rPr>
            </w:pPr>
            <w:r>
              <w:rPr>
                <w:noProof/>
              </w:rPr>
              <w:t>Naložba 11:  Krepitev regionalnega javnega železniškega voznega parka z brezemisijskimi vlaki in univerzalnimi storitvami</w:t>
            </w:r>
          </w:p>
        </w:tc>
        <w:tc>
          <w:tcPr>
            <w:tcW w:w="1134" w:type="dxa"/>
            <w:tcBorders>
              <w:top w:val="single" w:sz="4" w:space="0" w:color="auto"/>
            </w:tcBorders>
            <w:shd w:val="clear" w:color="auto" w:fill="C6EFCE"/>
            <w:noWrap/>
            <w:vAlign w:val="center"/>
          </w:tcPr>
          <w:p w14:paraId="06084F85" w14:textId="20BE8201" w:rsidR="00154E32" w:rsidRDefault="00A43E04">
            <w:pPr>
              <w:pStyle w:val="P68B1DB1-Normal11"/>
              <w:spacing w:after="120"/>
              <w:jc w:val="center"/>
              <w:rPr>
                <w:noProof/>
              </w:rPr>
            </w:pPr>
            <w:r>
              <w:rPr>
                <w:noProof/>
              </w:rPr>
              <w:t>Tarča</w:t>
            </w:r>
          </w:p>
        </w:tc>
        <w:tc>
          <w:tcPr>
            <w:tcW w:w="1418" w:type="dxa"/>
            <w:tcBorders>
              <w:top w:val="single" w:sz="4" w:space="0" w:color="auto"/>
            </w:tcBorders>
            <w:shd w:val="clear" w:color="auto" w:fill="C6EFCE"/>
            <w:noWrap/>
            <w:vAlign w:val="center"/>
          </w:tcPr>
          <w:p w14:paraId="07DF4643" w14:textId="478E181C" w:rsidR="00154E32" w:rsidRDefault="00A43E04">
            <w:pPr>
              <w:pStyle w:val="P68B1DB1-Normal11"/>
              <w:spacing w:after="120"/>
              <w:jc w:val="center"/>
              <w:rPr>
                <w:noProof/>
              </w:rPr>
            </w:pPr>
            <w:r>
              <w:rPr>
                <w:noProof/>
              </w:rPr>
              <w:t xml:space="preserve">Število vlakov brez emisij in število prevoznih sredstev za univerzalno storitev </w:t>
            </w:r>
          </w:p>
        </w:tc>
        <w:tc>
          <w:tcPr>
            <w:tcW w:w="1984" w:type="dxa"/>
            <w:tcBorders>
              <w:top w:val="single" w:sz="4" w:space="0" w:color="auto"/>
            </w:tcBorders>
            <w:shd w:val="clear" w:color="auto" w:fill="C6EFCE"/>
            <w:noWrap/>
            <w:vAlign w:val="center"/>
          </w:tcPr>
          <w:p w14:paraId="1B971A82" w14:textId="313FC968" w:rsidR="00154E32" w:rsidRDefault="00A43E04">
            <w:pPr>
              <w:pStyle w:val="P68B1DB1-Normal11"/>
              <w:spacing w:after="120"/>
              <w:jc w:val="center"/>
              <w:rPr>
                <w:noProof/>
              </w:rPr>
            </w:pPr>
            <w:r>
              <w:rPr>
                <w:noProof/>
              </w:rPr>
              <w:t>JIH NI</w:t>
            </w:r>
          </w:p>
        </w:tc>
        <w:tc>
          <w:tcPr>
            <w:tcW w:w="1134" w:type="dxa"/>
            <w:tcBorders>
              <w:top w:val="single" w:sz="4" w:space="0" w:color="auto"/>
            </w:tcBorders>
            <w:shd w:val="clear" w:color="auto" w:fill="C6EFCE"/>
            <w:noWrap/>
            <w:vAlign w:val="center"/>
          </w:tcPr>
          <w:p w14:paraId="0EE0C07A" w14:textId="771E6F72" w:rsidR="00154E32" w:rsidRDefault="00A43E04">
            <w:pPr>
              <w:pStyle w:val="P68B1DB1-Normal11"/>
              <w:spacing w:after="120"/>
              <w:jc w:val="center"/>
              <w:rPr>
                <w:noProof/>
              </w:rPr>
            </w:pPr>
            <w:r>
              <w:rPr>
                <w:noProof/>
              </w:rPr>
              <w:t>Število</w:t>
            </w:r>
          </w:p>
        </w:tc>
        <w:tc>
          <w:tcPr>
            <w:tcW w:w="993" w:type="dxa"/>
            <w:tcBorders>
              <w:top w:val="single" w:sz="4" w:space="0" w:color="auto"/>
            </w:tcBorders>
            <w:shd w:val="clear" w:color="auto" w:fill="C6EFCE"/>
            <w:noWrap/>
            <w:vAlign w:val="center"/>
          </w:tcPr>
          <w:p w14:paraId="5F44B43A" w14:textId="65A6725B" w:rsidR="00154E32" w:rsidRDefault="00A43E04">
            <w:pPr>
              <w:pStyle w:val="P68B1DB1-Normal11"/>
              <w:spacing w:after="120"/>
              <w:jc w:val="center"/>
              <w:rPr>
                <w:noProof/>
              </w:rPr>
            </w:pPr>
            <w:r>
              <w:rPr>
                <w:noProof/>
              </w:rPr>
              <w:t>25</w:t>
            </w:r>
          </w:p>
        </w:tc>
        <w:tc>
          <w:tcPr>
            <w:tcW w:w="992" w:type="dxa"/>
            <w:tcBorders>
              <w:top w:val="single" w:sz="4" w:space="0" w:color="auto"/>
            </w:tcBorders>
            <w:shd w:val="clear" w:color="auto" w:fill="C6EFCE"/>
            <w:noWrap/>
            <w:vAlign w:val="center"/>
          </w:tcPr>
          <w:p w14:paraId="69C2FFD7" w14:textId="3D7DF655" w:rsidR="00154E32" w:rsidRDefault="00A43E04">
            <w:pPr>
              <w:pStyle w:val="P68B1DB1-Normal11"/>
              <w:spacing w:after="120"/>
              <w:jc w:val="center"/>
              <w:rPr>
                <w:noProof/>
              </w:rPr>
            </w:pPr>
            <w:r>
              <w:rPr>
                <w:noProof/>
              </w:rPr>
              <w:t>135</w:t>
            </w:r>
          </w:p>
        </w:tc>
        <w:tc>
          <w:tcPr>
            <w:tcW w:w="992" w:type="dxa"/>
            <w:tcBorders>
              <w:top w:val="single" w:sz="4" w:space="0" w:color="auto"/>
            </w:tcBorders>
            <w:shd w:val="clear" w:color="auto" w:fill="C6EFCE"/>
            <w:noWrap/>
            <w:vAlign w:val="center"/>
          </w:tcPr>
          <w:p w14:paraId="78DDD516" w14:textId="245FFC96" w:rsidR="00154E32" w:rsidRDefault="00A43E04">
            <w:pPr>
              <w:pStyle w:val="P68B1DB1-Normal11"/>
              <w:spacing w:after="120"/>
              <w:jc w:val="center"/>
              <w:rPr>
                <w:noProof/>
              </w:rPr>
            </w:pPr>
            <w:r>
              <w:rPr>
                <w:noProof/>
              </w:rPr>
              <w:t>Q2</w:t>
            </w:r>
          </w:p>
        </w:tc>
        <w:tc>
          <w:tcPr>
            <w:tcW w:w="709" w:type="dxa"/>
            <w:tcBorders>
              <w:top w:val="single" w:sz="4" w:space="0" w:color="auto"/>
            </w:tcBorders>
            <w:shd w:val="clear" w:color="auto" w:fill="C6EFCE"/>
            <w:noWrap/>
            <w:vAlign w:val="center"/>
          </w:tcPr>
          <w:p w14:paraId="7144A21A" w14:textId="1169DAF1" w:rsidR="00154E32" w:rsidRDefault="00A43E04">
            <w:pPr>
              <w:pStyle w:val="P68B1DB1-Normal11"/>
              <w:spacing w:after="120"/>
              <w:jc w:val="center"/>
              <w:rPr>
                <w:noProof/>
              </w:rPr>
            </w:pPr>
            <w:r>
              <w:rPr>
                <w:noProof/>
              </w:rPr>
              <w:t>2026</w:t>
            </w:r>
          </w:p>
        </w:tc>
        <w:tc>
          <w:tcPr>
            <w:tcW w:w="3261" w:type="dxa"/>
            <w:tcBorders>
              <w:top w:val="single" w:sz="4" w:space="0" w:color="auto"/>
            </w:tcBorders>
            <w:shd w:val="clear" w:color="auto" w:fill="C6EFCE"/>
            <w:noWrap/>
            <w:vAlign w:val="center"/>
          </w:tcPr>
          <w:p w14:paraId="710BBC0C" w14:textId="2500F7DD" w:rsidR="00154E32" w:rsidRDefault="00A43E04">
            <w:pPr>
              <w:pStyle w:val="P68B1DB1-Normal11"/>
              <w:spacing w:after="120"/>
              <w:rPr>
                <w:noProof/>
              </w:rPr>
            </w:pPr>
            <w:r>
              <w:rPr>
                <w:noProof/>
              </w:rPr>
              <w:t>Začetek obratovanja in pridobitev ES-izjave o verifikaciji skladnosti v skladu s členom 15 zakonodajnega odloka št. 57/2019 (tj. Dichiarazione di verifica di conformità CE di cui all’art 15 del D.Lgs 57/2019) za najmanj 69 brezemisijskih vlakov (električna energija vodikovih gorivnih celic) in 30 vagonov za univerzalno storitev poleg tirnih vozil, ki so že bila naročena v okviru naložbe 4.4.2 komponente 2 misije 2.</w:t>
            </w:r>
          </w:p>
        </w:tc>
      </w:tr>
      <w:tr w:rsidR="00154E32" w14:paraId="2340FF93" w14:textId="77777777">
        <w:trPr>
          <w:trHeight w:val="309"/>
        </w:trPr>
        <w:tc>
          <w:tcPr>
            <w:tcW w:w="1185" w:type="dxa"/>
            <w:tcBorders>
              <w:top w:val="single" w:sz="4" w:space="0" w:color="auto"/>
            </w:tcBorders>
            <w:shd w:val="clear" w:color="auto" w:fill="C6EFCE"/>
            <w:noWrap/>
            <w:vAlign w:val="center"/>
          </w:tcPr>
          <w:p w14:paraId="0DB967C1" w14:textId="60D6D7CA" w:rsidR="00154E32" w:rsidRDefault="00A43E04">
            <w:pPr>
              <w:pStyle w:val="P68B1DB1-Normal11"/>
              <w:spacing w:after="120"/>
              <w:jc w:val="center"/>
              <w:rPr>
                <w:noProof/>
              </w:rPr>
            </w:pPr>
            <w:r>
              <w:rPr>
                <w:noProof/>
              </w:rPr>
              <w:t>M7–32</w:t>
            </w:r>
          </w:p>
        </w:tc>
        <w:tc>
          <w:tcPr>
            <w:tcW w:w="1559" w:type="dxa"/>
            <w:tcBorders>
              <w:top w:val="single" w:sz="4" w:space="0" w:color="auto"/>
            </w:tcBorders>
            <w:shd w:val="clear" w:color="auto" w:fill="C6EFCE"/>
            <w:noWrap/>
            <w:vAlign w:val="center"/>
          </w:tcPr>
          <w:p w14:paraId="1CCE0546" w14:textId="208F3A63" w:rsidR="00154E32" w:rsidRDefault="00A43E04">
            <w:pPr>
              <w:pStyle w:val="P68B1DB1-Normal38"/>
              <w:spacing w:after="120"/>
              <w:jc w:val="center"/>
              <w:rPr>
                <w:noProof/>
              </w:rPr>
            </w:pPr>
            <w:r>
              <w:rPr>
                <w:noProof/>
              </w:rPr>
              <w:t>Naložba 12 Shema nepovratnih sredstev za razvoj mednarodnega, industrijskega in raziskovalnega vodilnega položaja na področju električnih avtobusov</w:t>
            </w:r>
          </w:p>
        </w:tc>
        <w:tc>
          <w:tcPr>
            <w:tcW w:w="1134" w:type="dxa"/>
            <w:tcBorders>
              <w:top w:val="single" w:sz="4" w:space="0" w:color="auto"/>
            </w:tcBorders>
            <w:shd w:val="clear" w:color="auto" w:fill="C6EFCE"/>
            <w:noWrap/>
            <w:vAlign w:val="center"/>
          </w:tcPr>
          <w:p w14:paraId="26ACFDB6" w14:textId="31BFABDA" w:rsidR="00154E32" w:rsidRDefault="00A43E04">
            <w:pPr>
              <w:pStyle w:val="P68B1DB1-Normal38"/>
              <w:spacing w:after="120"/>
              <w:jc w:val="center"/>
              <w:rPr>
                <w:noProof/>
              </w:rPr>
            </w:pPr>
            <w:r>
              <w:rPr>
                <w:noProof/>
              </w:rPr>
              <w:t>Mejnik</w:t>
            </w:r>
          </w:p>
        </w:tc>
        <w:tc>
          <w:tcPr>
            <w:tcW w:w="1418" w:type="dxa"/>
            <w:tcBorders>
              <w:top w:val="single" w:sz="4" w:space="0" w:color="auto"/>
            </w:tcBorders>
            <w:shd w:val="clear" w:color="auto" w:fill="C6EFCE"/>
            <w:noWrap/>
            <w:vAlign w:val="center"/>
          </w:tcPr>
          <w:p w14:paraId="558DFA32" w14:textId="21309367" w:rsidR="00154E32" w:rsidRDefault="00A43E04">
            <w:pPr>
              <w:pStyle w:val="P68B1DB1-Normal38"/>
              <w:spacing w:after="120"/>
              <w:jc w:val="center"/>
              <w:rPr>
                <w:noProof/>
              </w:rPr>
            </w:pPr>
            <w:r>
              <w:rPr>
                <w:noProof/>
              </w:rPr>
              <w:t>Izvedbeni sporazum</w:t>
            </w:r>
          </w:p>
        </w:tc>
        <w:tc>
          <w:tcPr>
            <w:tcW w:w="1984" w:type="dxa"/>
            <w:tcBorders>
              <w:top w:val="single" w:sz="4" w:space="0" w:color="auto"/>
            </w:tcBorders>
            <w:shd w:val="clear" w:color="auto" w:fill="C6EFCE"/>
            <w:noWrap/>
            <w:vAlign w:val="center"/>
          </w:tcPr>
          <w:p w14:paraId="42C42A27" w14:textId="5F939BA6" w:rsidR="00154E32" w:rsidRDefault="00A43E04">
            <w:pPr>
              <w:pStyle w:val="P68B1DB1-Normal38"/>
              <w:spacing w:after="120"/>
              <w:jc w:val="center"/>
              <w:rPr>
                <w:noProof/>
              </w:rPr>
            </w:pPr>
            <w:r>
              <w:rPr>
                <w:noProof/>
              </w:rPr>
              <w:t>Začetek veljavnosti izvedbenega sporazuma</w:t>
            </w:r>
          </w:p>
        </w:tc>
        <w:tc>
          <w:tcPr>
            <w:tcW w:w="1134" w:type="dxa"/>
            <w:tcBorders>
              <w:top w:val="single" w:sz="4" w:space="0" w:color="auto"/>
            </w:tcBorders>
            <w:shd w:val="clear" w:color="auto" w:fill="C6EFCE"/>
            <w:noWrap/>
            <w:vAlign w:val="center"/>
          </w:tcPr>
          <w:p w14:paraId="7A91F9C6" w14:textId="3CC72937" w:rsidR="00154E32" w:rsidRDefault="00A43E04">
            <w:pPr>
              <w:pStyle w:val="P68B1DB1-Normal38"/>
              <w:spacing w:after="120"/>
              <w:jc w:val="center"/>
              <w:rPr>
                <w:noProof/>
              </w:rPr>
            </w:pPr>
            <w:r>
              <w:rPr>
                <w:noProof/>
              </w:rPr>
              <w:t xml:space="preserve"> </w:t>
            </w:r>
          </w:p>
        </w:tc>
        <w:tc>
          <w:tcPr>
            <w:tcW w:w="993" w:type="dxa"/>
            <w:tcBorders>
              <w:top w:val="single" w:sz="4" w:space="0" w:color="auto"/>
            </w:tcBorders>
            <w:shd w:val="clear" w:color="auto" w:fill="C6EFCE"/>
            <w:noWrap/>
            <w:vAlign w:val="center"/>
          </w:tcPr>
          <w:p w14:paraId="4D281871" w14:textId="77777777" w:rsidR="00154E32" w:rsidRDefault="00154E32">
            <w:pPr>
              <w:spacing w:after="120"/>
              <w:jc w:val="center"/>
              <w:rPr>
                <w:rFonts w:ascii="Arial Narrow" w:hAnsi="Arial Narrow"/>
                <w:noProof/>
                <w:color w:val="006100"/>
                <w:sz w:val="20"/>
              </w:rPr>
            </w:pPr>
          </w:p>
        </w:tc>
        <w:tc>
          <w:tcPr>
            <w:tcW w:w="992" w:type="dxa"/>
            <w:tcBorders>
              <w:top w:val="single" w:sz="4" w:space="0" w:color="auto"/>
            </w:tcBorders>
            <w:shd w:val="clear" w:color="auto" w:fill="C6EFCE"/>
            <w:noWrap/>
            <w:vAlign w:val="center"/>
          </w:tcPr>
          <w:p w14:paraId="163E761A" w14:textId="3F84EAC3" w:rsidR="00154E32" w:rsidRDefault="00A43E04">
            <w:pPr>
              <w:pStyle w:val="P68B1DB1-Normal38"/>
              <w:spacing w:after="120"/>
              <w:jc w:val="center"/>
              <w:rPr>
                <w:noProof/>
              </w:rPr>
            </w:pPr>
            <w:r>
              <w:rPr>
                <w:noProof/>
              </w:rPr>
              <w:t xml:space="preserve"> </w:t>
            </w:r>
          </w:p>
        </w:tc>
        <w:tc>
          <w:tcPr>
            <w:tcW w:w="992" w:type="dxa"/>
            <w:tcBorders>
              <w:top w:val="single" w:sz="4" w:space="0" w:color="auto"/>
            </w:tcBorders>
            <w:shd w:val="clear" w:color="auto" w:fill="C6EFCE"/>
            <w:noWrap/>
            <w:vAlign w:val="center"/>
          </w:tcPr>
          <w:p w14:paraId="75458F1F" w14:textId="692F1520" w:rsidR="00154E32" w:rsidRDefault="00A43E04">
            <w:pPr>
              <w:pStyle w:val="P68B1DB1-Normal38"/>
              <w:spacing w:after="120"/>
              <w:jc w:val="center"/>
              <w:rPr>
                <w:noProof/>
              </w:rPr>
            </w:pPr>
            <w:r>
              <w:rPr>
                <w:noProof/>
              </w:rPr>
              <w:t>ČETRTLETJE 1</w:t>
            </w:r>
          </w:p>
        </w:tc>
        <w:tc>
          <w:tcPr>
            <w:tcW w:w="709" w:type="dxa"/>
            <w:tcBorders>
              <w:top w:val="single" w:sz="4" w:space="0" w:color="auto"/>
            </w:tcBorders>
            <w:shd w:val="clear" w:color="auto" w:fill="C6EFCE"/>
            <w:noWrap/>
            <w:vAlign w:val="center"/>
          </w:tcPr>
          <w:p w14:paraId="089083A3" w14:textId="4E4A681B" w:rsidR="00154E32" w:rsidRDefault="00A43E04">
            <w:pPr>
              <w:pStyle w:val="P68B1DB1-Normal38"/>
              <w:spacing w:after="120"/>
              <w:jc w:val="center"/>
              <w:rPr>
                <w:noProof/>
              </w:rPr>
            </w:pPr>
            <w:r>
              <w:rPr>
                <w:noProof/>
              </w:rPr>
              <w:t>2024</w:t>
            </w:r>
          </w:p>
        </w:tc>
        <w:tc>
          <w:tcPr>
            <w:tcW w:w="3261" w:type="dxa"/>
            <w:tcBorders>
              <w:top w:val="single" w:sz="4" w:space="0" w:color="auto"/>
            </w:tcBorders>
            <w:shd w:val="clear" w:color="auto" w:fill="C6EFCE"/>
            <w:noWrap/>
            <w:vAlign w:val="center"/>
          </w:tcPr>
          <w:p w14:paraId="1788BAD6" w14:textId="77777777" w:rsidR="00154E32" w:rsidRDefault="00A43E04">
            <w:pPr>
              <w:pStyle w:val="P68B1DB1-Normal38"/>
              <w:jc w:val="both"/>
              <w:rPr>
                <w:noProof/>
              </w:rPr>
            </w:pPr>
            <w:r>
              <w:rPr>
                <w:noProof/>
              </w:rPr>
              <w:t>Začetek veljavnosti izvedbenega sporazuma.</w:t>
            </w:r>
          </w:p>
          <w:p w14:paraId="2B16C2EE" w14:textId="77777777" w:rsidR="00154E32" w:rsidRDefault="00154E32">
            <w:pPr>
              <w:spacing w:after="120"/>
              <w:rPr>
                <w:rFonts w:ascii="Arial Narrow" w:hAnsi="Arial Narrow"/>
                <w:noProof/>
                <w:color w:val="006100"/>
                <w:sz w:val="20"/>
              </w:rPr>
            </w:pPr>
          </w:p>
        </w:tc>
      </w:tr>
      <w:tr w:rsidR="00154E32" w14:paraId="47126E7F" w14:textId="77777777">
        <w:trPr>
          <w:trHeight w:val="309"/>
        </w:trPr>
        <w:tc>
          <w:tcPr>
            <w:tcW w:w="1185" w:type="dxa"/>
            <w:tcBorders>
              <w:top w:val="single" w:sz="4" w:space="0" w:color="auto"/>
            </w:tcBorders>
            <w:shd w:val="clear" w:color="auto" w:fill="C6EFCE"/>
            <w:noWrap/>
            <w:vAlign w:val="center"/>
          </w:tcPr>
          <w:p w14:paraId="0DBBDBD3" w14:textId="79DA2E7D" w:rsidR="00154E32" w:rsidRDefault="00A43E04">
            <w:pPr>
              <w:pStyle w:val="P68B1DB1-Normal11"/>
              <w:spacing w:after="120"/>
              <w:jc w:val="center"/>
              <w:rPr>
                <w:noProof/>
              </w:rPr>
            </w:pPr>
            <w:r>
              <w:rPr>
                <w:noProof/>
              </w:rPr>
              <w:t>M7–33</w:t>
            </w:r>
          </w:p>
        </w:tc>
        <w:tc>
          <w:tcPr>
            <w:tcW w:w="1559" w:type="dxa"/>
            <w:tcBorders>
              <w:top w:val="single" w:sz="4" w:space="0" w:color="auto"/>
            </w:tcBorders>
            <w:shd w:val="clear" w:color="auto" w:fill="C6EFCE"/>
            <w:noWrap/>
            <w:vAlign w:val="center"/>
          </w:tcPr>
          <w:p w14:paraId="7AECD762" w14:textId="6E9D4E36" w:rsidR="00154E32" w:rsidRDefault="00A43E04">
            <w:pPr>
              <w:pStyle w:val="P68B1DB1-Normal38"/>
              <w:spacing w:after="120"/>
              <w:jc w:val="center"/>
              <w:rPr>
                <w:noProof/>
              </w:rPr>
            </w:pPr>
            <w:r>
              <w:rPr>
                <w:noProof/>
              </w:rPr>
              <w:t>Naložba 12 Shema nepovratnih sredstev za razvoj mednarodnega, industrijskega in raziskovalnega vodilnega položaja na področju električnih avtobusov</w:t>
            </w:r>
          </w:p>
        </w:tc>
        <w:tc>
          <w:tcPr>
            <w:tcW w:w="1134" w:type="dxa"/>
            <w:tcBorders>
              <w:top w:val="single" w:sz="4" w:space="0" w:color="auto"/>
            </w:tcBorders>
            <w:shd w:val="clear" w:color="auto" w:fill="C6EFCE"/>
            <w:noWrap/>
            <w:vAlign w:val="center"/>
          </w:tcPr>
          <w:p w14:paraId="6B0FD178" w14:textId="23CE58EB" w:rsidR="00154E32" w:rsidRDefault="00A43E04">
            <w:pPr>
              <w:pStyle w:val="P68B1DB1-Normal11"/>
              <w:spacing w:after="120"/>
              <w:jc w:val="center"/>
              <w:rPr>
                <w:noProof/>
              </w:rPr>
            </w:pPr>
            <w:r>
              <w:rPr>
                <w:noProof/>
              </w:rPr>
              <w:t>Tarča</w:t>
            </w:r>
          </w:p>
        </w:tc>
        <w:tc>
          <w:tcPr>
            <w:tcW w:w="1418" w:type="dxa"/>
            <w:tcBorders>
              <w:top w:val="single" w:sz="4" w:space="0" w:color="auto"/>
            </w:tcBorders>
            <w:shd w:val="clear" w:color="auto" w:fill="C6EFCE"/>
            <w:noWrap/>
            <w:vAlign w:val="center"/>
          </w:tcPr>
          <w:p w14:paraId="58E3E6FF" w14:textId="3E35E70B" w:rsidR="00154E32" w:rsidRDefault="00A43E04">
            <w:pPr>
              <w:pStyle w:val="P68B1DB1-Normal38"/>
              <w:spacing w:after="120"/>
              <w:jc w:val="center"/>
              <w:rPr>
                <w:noProof/>
              </w:rPr>
            </w:pPr>
            <w:r>
              <w:rPr>
                <w:noProof/>
              </w:rPr>
              <w:t>Pravni sporazumi, podpisani s končnimi upravičenci</w:t>
            </w:r>
          </w:p>
        </w:tc>
        <w:tc>
          <w:tcPr>
            <w:tcW w:w="1984" w:type="dxa"/>
            <w:tcBorders>
              <w:top w:val="single" w:sz="4" w:space="0" w:color="auto"/>
            </w:tcBorders>
            <w:shd w:val="clear" w:color="auto" w:fill="C6EFCE"/>
            <w:noWrap/>
            <w:vAlign w:val="center"/>
          </w:tcPr>
          <w:p w14:paraId="3A21AEF6" w14:textId="34ED6943" w:rsidR="00154E32" w:rsidRDefault="00A43E04">
            <w:pPr>
              <w:pStyle w:val="P68B1DB1-Normal38"/>
              <w:spacing w:after="120"/>
              <w:jc w:val="center"/>
              <w:rPr>
                <w:noProof/>
              </w:rPr>
            </w:pPr>
            <w:r>
              <w:rPr>
                <w:noProof/>
              </w:rPr>
              <w:t xml:space="preserve"> </w:t>
            </w:r>
          </w:p>
        </w:tc>
        <w:tc>
          <w:tcPr>
            <w:tcW w:w="1134" w:type="dxa"/>
            <w:tcBorders>
              <w:top w:val="single" w:sz="4" w:space="0" w:color="auto"/>
            </w:tcBorders>
            <w:shd w:val="clear" w:color="auto" w:fill="C6EFCE"/>
            <w:noWrap/>
            <w:vAlign w:val="center"/>
          </w:tcPr>
          <w:p w14:paraId="3941E38B" w14:textId="12EC0822" w:rsidR="00154E32" w:rsidRDefault="00A43E04">
            <w:pPr>
              <w:pStyle w:val="P68B1DB1-Normal38"/>
              <w:spacing w:after="120"/>
              <w:jc w:val="center"/>
              <w:rPr>
                <w:noProof/>
              </w:rPr>
            </w:pPr>
            <w:r>
              <w:rPr>
                <w:noProof/>
              </w:rPr>
              <w:t>Odstotek (%)</w:t>
            </w:r>
          </w:p>
        </w:tc>
        <w:tc>
          <w:tcPr>
            <w:tcW w:w="993" w:type="dxa"/>
            <w:tcBorders>
              <w:top w:val="single" w:sz="4" w:space="0" w:color="auto"/>
            </w:tcBorders>
            <w:shd w:val="clear" w:color="auto" w:fill="C6EFCE"/>
            <w:noWrap/>
            <w:vAlign w:val="center"/>
          </w:tcPr>
          <w:p w14:paraId="2FC30C9C" w14:textId="0400BD33" w:rsidR="00154E32" w:rsidRDefault="00A43E04">
            <w:pPr>
              <w:pStyle w:val="P68B1DB1-Normal38"/>
              <w:spacing w:after="120"/>
              <w:jc w:val="center"/>
              <w:rPr>
                <w:noProof/>
              </w:rPr>
            </w:pPr>
            <w:r>
              <w:rPr>
                <w:noProof/>
              </w:rPr>
              <w:t>0 %</w:t>
            </w:r>
          </w:p>
        </w:tc>
        <w:tc>
          <w:tcPr>
            <w:tcW w:w="992" w:type="dxa"/>
            <w:tcBorders>
              <w:top w:val="single" w:sz="4" w:space="0" w:color="auto"/>
            </w:tcBorders>
            <w:shd w:val="clear" w:color="auto" w:fill="C6EFCE"/>
            <w:noWrap/>
            <w:vAlign w:val="center"/>
          </w:tcPr>
          <w:p w14:paraId="68C79097" w14:textId="2B66ED86" w:rsidR="00154E32" w:rsidRDefault="00A43E04">
            <w:pPr>
              <w:pStyle w:val="P68B1DB1-Normal38"/>
              <w:spacing w:after="120"/>
              <w:jc w:val="center"/>
              <w:rPr>
                <w:noProof/>
              </w:rPr>
            </w:pPr>
            <w:r>
              <w:rPr>
                <w:noProof/>
              </w:rPr>
              <w:t>100 %</w:t>
            </w:r>
          </w:p>
        </w:tc>
        <w:tc>
          <w:tcPr>
            <w:tcW w:w="992" w:type="dxa"/>
            <w:tcBorders>
              <w:top w:val="single" w:sz="4" w:space="0" w:color="auto"/>
            </w:tcBorders>
            <w:shd w:val="clear" w:color="auto" w:fill="C6EFCE"/>
            <w:noWrap/>
            <w:vAlign w:val="center"/>
          </w:tcPr>
          <w:p w14:paraId="4B02DB7A" w14:textId="26B2F6A9" w:rsidR="00154E32" w:rsidRDefault="00A43E04">
            <w:pPr>
              <w:pStyle w:val="P68B1DB1-Normal38"/>
              <w:spacing w:after="120"/>
              <w:jc w:val="center"/>
              <w:rPr>
                <w:noProof/>
              </w:rPr>
            </w:pPr>
            <w:r>
              <w:rPr>
                <w:noProof/>
              </w:rPr>
              <w:t>ČETRTLETJE 1</w:t>
            </w:r>
          </w:p>
        </w:tc>
        <w:tc>
          <w:tcPr>
            <w:tcW w:w="709" w:type="dxa"/>
            <w:tcBorders>
              <w:top w:val="single" w:sz="4" w:space="0" w:color="auto"/>
            </w:tcBorders>
            <w:shd w:val="clear" w:color="auto" w:fill="C6EFCE"/>
            <w:noWrap/>
            <w:vAlign w:val="center"/>
          </w:tcPr>
          <w:p w14:paraId="47AAC35E" w14:textId="3AAD8816" w:rsidR="00154E32" w:rsidRDefault="00A43E04">
            <w:pPr>
              <w:pStyle w:val="P68B1DB1-Normal38"/>
              <w:spacing w:after="120"/>
              <w:jc w:val="center"/>
              <w:rPr>
                <w:noProof/>
              </w:rPr>
            </w:pPr>
            <w:r>
              <w:rPr>
                <w:noProof/>
              </w:rPr>
              <w:t>2026</w:t>
            </w:r>
          </w:p>
        </w:tc>
        <w:tc>
          <w:tcPr>
            <w:tcW w:w="3261" w:type="dxa"/>
            <w:tcBorders>
              <w:top w:val="single" w:sz="4" w:space="0" w:color="auto"/>
            </w:tcBorders>
            <w:shd w:val="clear" w:color="auto" w:fill="C6EFCE"/>
            <w:noWrap/>
            <w:vAlign w:val="center"/>
          </w:tcPr>
          <w:p w14:paraId="7D15C423" w14:textId="2E4A93E7" w:rsidR="00154E32" w:rsidRDefault="00A43E04">
            <w:pPr>
              <w:pStyle w:val="P68B1DB1-Normal38"/>
              <w:spacing w:after="120"/>
              <w:rPr>
                <w:noProof/>
              </w:rPr>
            </w:pPr>
            <w:r>
              <w:rPr>
                <w:noProof/>
              </w:rPr>
              <w:t>Invitalia S.p.A. sklene zakonite sporazume o dodelitvi nepovratnih sredstev s končnimi upravičenci za znesek, potreben za uporabo 100 % naložbe mehanizma za okrevanje in odpornost v shemo (ob upoštevanju provizij za upravljanje). Invitalia S.p.A. pripravi poročilo s podrobnim opisom deleža tega financiranja, ki prispeva k podnebnim ciljem, z uporabo metodologije iz Priloge VI k uredbi o mehanizmu za okrevanje in odpornost.</w:t>
            </w:r>
          </w:p>
        </w:tc>
      </w:tr>
      <w:tr w:rsidR="00154E32" w14:paraId="3D6735A7" w14:textId="77777777">
        <w:trPr>
          <w:trHeight w:val="309"/>
        </w:trPr>
        <w:tc>
          <w:tcPr>
            <w:tcW w:w="1185" w:type="dxa"/>
            <w:tcBorders>
              <w:top w:val="single" w:sz="4" w:space="0" w:color="auto"/>
            </w:tcBorders>
            <w:shd w:val="clear" w:color="auto" w:fill="C6EFCE"/>
            <w:noWrap/>
            <w:vAlign w:val="center"/>
          </w:tcPr>
          <w:p w14:paraId="28BDD1CC" w14:textId="687D0FE7" w:rsidR="00154E32" w:rsidRDefault="00A43E04">
            <w:pPr>
              <w:pStyle w:val="P68B1DB1-Normal11"/>
              <w:spacing w:after="120"/>
              <w:jc w:val="center"/>
              <w:rPr>
                <w:noProof/>
              </w:rPr>
            </w:pPr>
            <w:r>
              <w:rPr>
                <w:noProof/>
              </w:rPr>
              <w:t>M7–34</w:t>
            </w:r>
          </w:p>
        </w:tc>
        <w:tc>
          <w:tcPr>
            <w:tcW w:w="1559" w:type="dxa"/>
            <w:tcBorders>
              <w:top w:val="single" w:sz="4" w:space="0" w:color="auto"/>
            </w:tcBorders>
            <w:shd w:val="clear" w:color="auto" w:fill="C6EFCE"/>
            <w:noWrap/>
            <w:vAlign w:val="center"/>
          </w:tcPr>
          <w:p w14:paraId="15264E89" w14:textId="115AC5E4" w:rsidR="00154E32" w:rsidRDefault="00A43E04">
            <w:pPr>
              <w:pStyle w:val="P68B1DB1-Normal38"/>
              <w:spacing w:after="120"/>
              <w:jc w:val="center"/>
              <w:rPr>
                <w:noProof/>
              </w:rPr>
            </w:pPr>
            <w:r>
              <w:rPr>
                <w:noProof/>
              </w:rPr>
              <w:t>Naložba 12 Shema nepovratnih sredstev za razvoj mednarodnega, industrijskega in raziskovalnega vodilnega položaja na področju električnih avtobusov</w:t>
            </w:r>
          </w:p>
        </w:tc>
        <w:tc>
          <w:tcPr>
            <w:tcW w:w="1134" w:type="dxa"/>
            <w:tcBorders>
              <w:top w:val="single" w:sz="4" w:space="0" w:color="auto"/>
            </w:tcBorders>
            <w:shd w:val="clear" w:color="auto" w:fill="C6EFCE"/>
            <w:noWrap/>
            <w:vAlign w:val="center"/>
          </w:tcPr>
          <w:p w14:paraId="799FA5EC" w14:textId="62667380" w:rsidR="00154E32" w:rsidRDefault="00A43E04">
            <w:pPr>
              <w:pStyle w:val="P68B1DB1-Normal38"/>
              <w:spacing w:after="120"/>
              <w:jc w:val="center"/>
              <w:rPr>
                <w:noProof/>
              </w:rPr>
            </w:pPr>
            <w:r>
              <w:rPr>
                <w:noProof/>
              </w:rPr>
              <w:t>Mejnik</w:t>
            </w:r>
          </w:p>
        </w:tc>
        <w:tc>
          <w:tcPr>
            <w:tcW w:w="1418" w:type="dxa"/>
            <w:tcBorders>
              <w:top w:val="single" w:sz="4" w:space="0" w:color="auto"/>
            </w:tcBorders>
            <w:shd w:val="clear" w:color="auto" w:fill="C6EFCE"/>
            <w:noWrap/>
            <w:vAlign w:val="center"/>
          </w:tcPr>
          <w:p w14:paraId="7CAD4BDC" w14:textId="0F69E4C6" w:rsidR="00154E32" w:rsidRDefault="00A43E04">
            <w:pPr>
              <w:pStyle w:val="P68B1DB1-Normal38"/>
              <w:spacing w:after="120"/>
              <w:jc w:val="center"/>
              <w:rPr>
                <w:noProof/>
              </w:rPr>
            </w:pPr>
            <w:r>
              <w:rPr>
                <w:noProof/>
              </w:rPr>
              <w:t>Ministrstvo je zaključilo naložbo</w:t>
            </w:r>
          </w:p>
        </w:tc>
        <w:tc>
          <w:tcPr>
            <w:tcW w:w="1984" w:type="dxa"/>
            <w:tcBorders>
              <w:top w:val="single" w:sz="4" w:space="0" w:color="auto"/>
            </w:tcBorders>
            <w:shd w:val="clear" w:color="auto" w:fill="C6EFCE"/>
            <w:noWrap/>
            <w:vAlign w:val="center"/>
          </w:tcPr>
          <w:p w14:paraId="1F444450" w14:textId="6C7A294A" w:rsidR="00154E32" w:rsidRDefault="00A43E04">
            <w:pPr>
              <w:pStyle w:val="P68B1DB1-Normal38"/>
              <w:spacing w:after="120"/>
              <w:jc w:val="center"/>
              <w:rPr>
                <w:noProof/>
              </w:rPr>
            </w:pPr>
            <w:r>
              <w:rPr>
                <w:noProof/>
              </w:rPr>
              <w:t>Potrdilo o prenosu</w:t>
            </w:r>
          </w:p>
        </w:tc>
        <w:tc>
          <w:tcPr>
            <w:tcW w:w="1134" w:type="dxa"/>
            <w:tcBorders>
              <w:top w:val="single" w:sz="4" w:space="0" w:color="auto"/>
            </w:tcBorders>
            <w:shd w:val="clear" w:color="auto" w:fill="C6EFCE"/>
            <w:noWrap/>
            <w:vAlign w:val="center"/>
          </w:tcPr>
          <w:p w14:paraId="18FD819D" w14:textId="77777777" w:rsidR="00154E32" w:rsidRDefault="00154E32">
            <w:pPr>
              <w:spacing w:after="120"/>
              <w:jc w:val="center"/>
              <w:rPr>
                <w:rFonts w:ascii="Arial Narrow" w:hAnsi="Arial Narrow"/>
                <w:noProof/>
                <w:color w:val="006100"/>
                <w:sz w:val="20"/>
              </w:rPr>
            </w:pPr>
          </w:p>
        </w:tc>
        <w:tc>
          <w:tcPr>
            <w:tcW w:w="993" w:type="dxa"/>
            <w:tcBorders>
              <w:top w:val="single" w:sz="4" w:space="0" w:color="auto"/>
            </w:tcBorders>
            <w:shd w:val="clear" w:color="auto" w:fill="C6EFCE"/>
            <w:noWrap/>
            <w:vAlign w:val="center"/>
          </w:tcPr>
          <w:p w14:paraId="506221A0" w14:textId="77777777" w:rsidR="00154E32" w:rsidRDefault="00154E32">
            <w:pPr>
              <w:spacing w:after="120"/>
              <w:jc w:val="center"/>
              <w:rPr>
                <w:rFonts w:ascii="Arial Narrow" w:hAnsi="Arial Narrow"/>
                <w:noProof/>
                <w:color w:val="006100"/>
                <w:sz w:val="20"/>
              </w:rPr>
            </w:pPr>
          </w:p>
        </w:tc>
        <w:tc>
          <w:tcPr>
            <w:tcW w:w="992" w:type="dxa"/>
            <w:tcBorders>
              <w:top w:val="single" w:sz="4" w:space="0" w:color="auto"/>
            </w:tcBorders>
            <w:shd w:val="clear" w:color="auto" w:fill="C6EFCE"/>
            <w:noWrap/>
            <w:vAlign w:val="center"/>
          </w:tcPr>
          <w:p w14:paraId="5FB0DCCD" w14:textId="77777777" w:rsidR="00154E32" w:rsidRDefault="00154E32">
            <w:pPr>
              <w:spacing w:after="120"/>
              <w:jc w:val="center"/>
              <w:rPr>
                <w:rFonts w:ascii="Arial Narrow" w:hAnsi="Arial Narrow"/>
                <w:noProof/>
                <w:color w:val="006100"/>
                <w:sz w:val="20"/>
              </w:rPr>
            </w:pPr>
          </w:p>
        </w:tc>
        <w:tc>
          <w:tcPr>
            <w:tcW w:w="992" w:type="dxa"/>
            <w:tcBorders>
              <w:top w:val="single" w:sz="4" w:space="0" w:color="auto"/>
            </w:tcBorders>
            <w:shd w:val="clear" w:color="auto" w:fill="C6EFCE"/>
            <w:noWrap/>
            <w:vAlign w:val="center"/>
          </w:tcPr>
          <w:p w14:paraId="1F1390F9" w14:textId="258EDFEA" w:rsidR="00154E32" w:rsidRDefault="00A43E04">
            <w:pPr>
              <w:pStyle w:val="P68B1DB1-Normal11"/>
              <w:spacing w:after="120"/>
              <w:jc w:val="center"/>
              <w:rPr>
                <w:noProof/>
              </w:rPr>
            </w:pPr>
            <w:r>
              <w:rPr>
                <w:noProof/>
              </w:rPr>
              <w:t>Q2</w:t>
            </w:r>
          </w:p>
        </w:tc>
        <w:tc>
          <w:tcPr>
            <w:tcW w:w="709" w:type="dxa"/>
            <w:tcBorders>
              <w:top w:val="single" w:sz="4" w:space="0" w:color="auto"/>
            </w:tcBorders>
            <w:shd w:val="clear" w:color="auto" w:fill="C6EFCE"/>
            <w:noWrap/>
            <w:vAlign w:val="center"/>
          </w:tcPr>
          <w:p w14:paraId="4CAD5488" w14:textId="7530DA5D" w:rsidR="00154E32" w:rsidRDefault="00A43E04">
            <w:pPr>
              <w:pStyle w:val="P68B1DB1-Normal11"/>
              <w:spacing w:after="120"/>
              <w:jc w:val="center"/>
              <w:rPr>
                <w:noProof/>
              </w:rPr>
            </w:pPr>
            <w:r>
              <w:rPr>
                <w:noProof/>
              </w:rPr>
              <w:t>2026</w:t>
            </w:r>
          </w:p>
        </w:tc>
        <w:tc>
          <w:tcPr>
            <w:tcW w:w="3261" w:type="dxa"/>
            <w:tcBorders>
              <w:top w:val="single" w:sz="4" w:space="0" w:color="auto"/>
            </w:tcBorders>
            <w:shd w:val="clear" w:color="auto" w:fill="C6EFCE"/>
            <w:noWrap/>
            <w:vAlign w:val="center"/>
          </w:tcPr>
          <w:p w14:paraId="3090C876" w14:textId="2E4EE122" w:rsidR="00154E32" w:rsidRDefault="00A43E04">
            <w:pPr>
              <w:pStyle w:val="P68B1DB1-Normal11"/>
              <w:spacing w:after="120"/>
              <w:rPr>
                <w:noProof/>
              </w:rPr>
            </w:pPr>
            <w:r>
              <w:rPr>
                <w:noProof/>
              </w:rPr>
              <w:t>Italija prenese 100 000 000 EUR na Invitalia S.p.A. za shemo.</w:t>
            </w:r>
          </w:p>
        </w:tc>
      </w:tr>
    </w:tbl>
    <w:p w14:paraId="4CE926A9" w14:textId="77777777" w:rsidR="00154E32" w:rsidRDefault="00154E32">
      <w:pPr>
        <w:tabs>
          <w:tab w:val="left" w:pos="4252"/>
        </w:tabs>
        <w:spacing w:after="120"/>
        <w:rPr>
          <w:i/>
          <w:noProof/>
        </w:rPr>
        <w:sectPr w:rsidR="00154E32" w:rsidSect="001354D1">
          <w:headerReference w:type="even" r:id="rId393"/>
          <w:headerReference w:type="default" r:id="rId394"/>
          <w:footerReference w:type="even" r:id="rId395"/>
          <w:footerReference w:type="default" r:id="rId396"/>
          <w:headerReference w:type="first" r:id="rId397"/>
          <w:footerReference w:type="first" r:id="rId398"/>
          <w:pgSz w:w="16838" w:h="11906" w:orient="landscape" w:code="9"/>
          <w:pgMar w:top="1134" w:right="1134" w:bottom="1134" w:left="1134" w:header="567" w:footer="567" w:gutter="0"/>
          <w:cols w:space="720"/>
          <w:docGrid w:linePitch="360"/>
        </w:sectPr>
      </w:pPr>
    </w:p>
    <w:p w14:paraId="35F41414" w14:textId="2AC8DA1F" w:rsidR="00154E32" w:rsidRDefault="00A43E04">
      <w:pPr>
        <w:pStyle w:val="Heading3"/>
        <w:numPr>
          <w:ilvl w:val="0"/>
          <w:numId w:val="0"/>
        </w:numPr>
        <w:spacing w:before="0"/>
        <w:ind w:left="850" w:hanging="850"/>
        <w:rPr>
          <w:rFonts w:ascii="Segoe UI" w:hAnsi="Segoe UI" w:cs="Segoe UI"/>
          <w:b/>
          <w:i w:val="0"/>
          <w:noProof/>
          <w:sz w:val="18"/>
          <w:u w:val="single"/>
        </w:rPr>
      </w:pPr>
      <w:r>
        <w:rPr>
          <w:rStyle w:val="normaltextrun"/>
          <w:b/>
          <w:noProof/>
          <w:u w:val="single"/>
        </w:rPr>
        <w:t xml:space="preserve">Q.3. </w:t>
      </w:r>
      <w:r>
        <w:rPr>
          <w:noProof/>
        </w:rPr>
        <w:tab/>
      </w:r>
      <w:r>
        <w:rPr>
          <w:rStyle w:val="normaltextrun"/>
          <w:b/>
          <w:noProof/>
          <w:u w:val="single"/>
        </w:rPr>
        <w:t xml:space="preserve">Opis reform in naložb za posojilo </w:t>
      </w:r>
    </w:p>
    <w:p w14:paraId="4698A6B2" w14:textId="01DF445C" w:rsidR="00154E32" w:rsidRDefault="00A43E04">
      <w:pPr>
        <w:pStyle w:val="P68B1DB1-Heading437"/>
        <w:numPr>
          <w:ilvl w:val="3"/>
          <w:numId w:val="0"/>
        </w:numPr>
        <w:spacing w:before="0"/>
        <w:rPr>
          <w:i/>
          <w:noProof/>
        </w:rPr>
      </w:pPr>
      <w:bookmarkStart w:id="6" w:name="_Hlk140650645"/>
      <w:r>
        <w:rPr>
          <w:noProof/>
        </w:rPr>
        <w:t>Naložba 13. Faza 1 Jadranske črte (kompresorska postaja Sulmona in plinovod Sestino-Minerbio)</w:t>
      </w:r>
    </w:p>
    <w:p w14:paraId="470BDC62" w14:textId="77777777" w:rsidR="00154E32" w:rsidRDefault="00A43E04">
      <w:pPr>
        <w:pStyle w:val="Text1"/>
        <w:spacing w:before="0"/>
        <w:ind w:left="0"/>
        <w:rPr>
          <w:noProof/>
        </w:rPr>
      </w:pPr>
      <w:r>
        <w:rPr>
          <w:noProof/>
        </w:rPr>
        <w:t xml:space="preserve">Cilj te naložbe je izboljšati energetsko infrastrukturo in objekte za zadovoljitev takojšnjih potreb po zanesljivi oskrbi s plinom, vključno z utekočinjenim zemeljskim plinom, zlasti da se omogoči diverzifikacija oskrbe v interesu Unije kot celote. </w:t>
      </w:r>
    </w:p>
    <w:p w14:paraId="55B54CBD" w14:textId="6DF97EB7" w:rsidR="00154E32" w:rsidRDefault="00A43E04">
      <w:pPr>
        <w:pStyle w:val="Text1"/>
        <w:spacing w:before="0"/>
        <w:ind w:left="0"/>
        <w:rPr>
          <w:noProof/>
        </w:rPr>
      </w:pPr>
      <w:r>
        <w:rPr>
          <w:noProof/>
        </w:rPr>
        <w:t>Cilj naložbe je podpreti izgradnjo kompresorske postaje v Sulmoni in plinovoda, ki povezuje vozlišča Sestino in Minerbio, kot del Jadranske črte. Pričakuje se, da bo novozgrajena infrastruktura povečala zmogljivost prenosa plina za 14 mcm/d.</w:t>
      </w:r>
    </w:p>
    <w:p w14:paraId="1D95B459" w14:textId="466B95C4" w:rsidR="00154E32" w:rsidRDefault="00A43E04">
      <w:pPr>
        <w:pStyle w:val="Text1"/>
        <w:spacing w:before="0"/>
        <w:ind w:left="0"/>
        <w:rPr>
          <w:noProof/>
        </w:rPr>
      </w:pPr>
      <w:r>
        <w:rPr>
          <w:noProof/>
        </w:rPr>
        <w:t xml:space="preserve">Italija do začetka del na zadevnih območjih opredeli stanje ciljev ohranjanja, specifičnih za posamezno območje, in po potrebi ustrezno revidira presoje vplivov na okolje (Valutazione Incidenza Ambientale). </w:t>
      </w:r>
    </w:p>
    <w:p w14:paraId="47FE6645" w14:textId="39AAD8AC" w:rsidR="00154E32" w:rsidRDefault="00A43E04">
      <w:pPr>
        <w:pStyle w:val="Text1"/>
        <w:spacing w:before="0"/>
        <w:ind w:left="0"/>
        <w:rPr>
          <w:noProof/>
        </w:rPr>
      </w:pPr>
      <w:r>
        <w:rPr>
          <w:noProof/>
        </w:rPr>
        <w:t>Kompresorska postaja Sulmona in plinovod Sestino-Minerbio se zgradita do 31. avgusta 2026.</w:t>
      </w:r>
    </w:p>
    <w:p w14:paraId="7CDC22D8" w14:textId="5D59A173" w:rsidR="00154E32" w:rsidRDefault="00A43E04">
      <w:pPr>
        <w:pStyle w:val="P68B1DB1-Heading437"/>
        <w:numPr>
          <w:ilvl w:val="3"/>
          <w:numId w:val="0"/>
        </w:numPr>
        <w:ind w:left="850" w:hanging="850"/>
        <w:rPr>
          <w:noProof/>
        </w:rPr>
      </w:pPr>
      <w:r>
        <w:rPr>
          <w:noProof/>
        </w:rPr>
        <w:t>Naložba 14. Infrastruktura za čezmejni izvoz plina</w:t>
      </w:r>
    </w:p>
    <w:p w14:paraId="6C1A1146" w14:textId="77777777" w:rsidR="00154E32" w:rsidRDefault="00A43E04">
      <w:pPr>
        <w:pStyle w:val="Text1"/>
        <w:spacing w:before="0"/>
        <w:ind w:left="0"/>
        <w:rPr>
          <w:noProof/>
        </w:rPr>
      </w:pPr>
      <w:r>
        <w:rPr>
          <w:noProof/>
        </w:rPr>
        <w:t xml:space="preserve">Cilj te naložbe je izboljšati energetsko infrastrukturo in objekte za zadovoljitev takojšnjih potreb po zanesljivi oskrbi s plinom, vključno z utekočinjenim zemeljskim plinom, zlasti da se omogoči diverzifikacija oskrbe v interesu Unije kot celote. </w:t>
      </w:r>
    </w:p>
    <w:p w14:paraId="4735CFAB" w14:textId="664AD1D2" w:rsidR="00154E32" w:rsidRDefault="00A43E04">
      <w:pPr>
        <w:pStyle w:val="Text1"/>
        <w:spacing w:before="0"/>
        <w:ind w:left="0"/>
        <w:rPr>
          <w:noProof/>
        </w:rPr>
      </w:pPr>
      <w:r>
        <w:rPr>
          <w:noProof/>
        </w:rPr>
        <w:t xml:space="preserve">Ta naložba vključuje nadgradnjo obstoječe plinske infrastrukture, ki omogoča izvoz zemeljskega plina prek izhodne točke Tarvisio. Naložba zajema zlasti gradnjo nove električne kompresijske enote v kompresorski postaji Poggio Renatico. Pričakuje se, da bo novozgrajena infrastruktura povečala zmogljivost izvoza plina prek izstopne točke Tarvisio za 8 milijard kubičnih metrov na leto. </w:t>
      </w:r>
    </w:p>
    <w:p w14:paraId="2D560531" w14:textId="20478880" w:rsidR="00154E32" w:rsidRDefault="00A43E04">
      <w:pPr>
        <w:pStyle w:val="Text1"/>
        <w:spacing w:before="0"/>
        <w:ind w:left="0"/>
        <w:rPr>
          <w:noProof/>
        </w:rPr>
      </w:pPr>
      <w:r>
        <w:rPr>
          <w:noProof/>
        </w:rPr>
        <w:t xml:space="preserve">Kompresorska enota v kompresorski postaji Poggio Renatico se zgradi do 31. avgusta 2026. </w:t>
      </w:r>
    </w:p>
    <w:p w14:paraId="13A404AF" w14:textId="46C0F8C1" w:rsidR="00154E32" w:rsidRDefault="00A43E04">
      <w:pPr>
        <w:pStyle w:val="P68B1DB1-Heading437"/>
        <w:numPr>
          <w:ilvl w:val="3"/>
          <w:numId w:val="0"/>
        </w:numPr>
        <w:ind w:left="850" w:hanging="850"/>
        <w:rPr>
          <w:noProof/>
        </w:rPr>
      </w:pPr>
      <w:r>
        <w:rPr>
          <w:noProof/>
        </w:rPr>
        <w:t xml:space="preserve">Naložba 15. Transizione 5.0 </w:t>
      </w:r>
    </w:p>
    <w:bookmarkEnd w:id="6"/>
    <w:p w14:paraId="19129D56" w14:textId="3E5202C4" w:rsidR="00154E32" w:rsidRDefault="00A43E04">
      <w:pPr>
        <w:pStyle w:val="NormalWeb"/>
        <w:spacing w:before="0" w:beforeAutospacing="0" w:after="120" w:afterAutospacing="0"/>
        <w:jc w:val="both"/>
        <w:rPr>
          <w:noProof/>
          <w:color w:val="0000FF"/>
          <w:sz w:val="21"/>
        </w:rPr>
      </w:pPr>
      <w:r>
        <w:rPr>
          <w:rStyle w:val="normaltextrun"/>
          <w:noProof/>
        </w:rPr>
        <w:t>Ta ukrep podpira energetski prehod proizvodnih procesov na energetsko učinkovit in trajnosten model proizvodnje, ki temelji na obnovljivih virih energije. Zato bi moral ukrep v obdobju 2024–2026 privesti do 0,4 Mtoe prihrankov energije pri porabi končne energije.</w:t>
      </w:r>
      <w:r>
        <w:rPr>
          <w:noProof/>
          <w:color w:val="0000FF"/>
          <w:sz w:val="21"/>
        </w:rPr>
        <w:t xml:space="preserve"> </w:t>
      </w:r>
    </w:p>
    <w:p w14:paraId="7A2A9B85" w14:textId="2EFCAD86" w:rsidR="00154E32" w:rsidRDefault="00A43E04">
      <w:pPr>
        <w:pStyle w:val="NormalWeb"/>
        <w:spacing w:before="0" w:beforeAutospacing="0" w:after="120" w:afterAutospacing="0"/>
        <w:jc w:val="both"/>
        <w:rPr>
          <w:rStyle w:val="normaltextrun"/>
          <w:rFonts w:eastAsiaTheme="majorEastAsia"/>
          <w:noProof/>
        </w:rPr>
      </w:pPr>
      <w:r>
        <w:rPr>
          <w:rStyle w:val="normaltextrun"/>
          <w:noProof/>
        </w:rPr>
        <w:t>Družbam se odobri davčni dobropis, sorazmeren s stroški, nastalimi med 1. januarjem 2024 in 31. decembrom 2025, če vlagajo v:</w:t>
      </w:r>
    </w:p>
    <w:p w14:paraId="4F9D2EC2" w14:textId="77777777" w:rsidR="00154E32" w:rsidRDefault="00A43E04">
      <w:pPr>
        <w:pStyle w:val="ListParagraph"/>
        <w:keepNext/>
        <w:numPr>
          <w:ilvl w:val="0"/>
          <w:numId w:val="42"/>
        </w:numPr>
        <w:spacing w:before="0"/>
        <w:contextualSpacing w:val="0"/>
        <w:rPr>
          <w:rStyle w:val="normaltextrun"/>
          <w:noProof/>
        </w:rPr>
      </w:pPr>
      <w:r>
        <w:rPr>
          <w:rStyle w:val="normaltextrun"/>
          <w:noProof/>
        </w:rPr>
        <w:t>digitalna sredstva (4.0 opredmetena osnovna sredstva, 4,0 neopredmetena osnovna sredstva</w:t>
      </w:r>
      <w:r>
        <w:rPr>
          <w:rStyle w:val="FootnoteReference"/>
          <w:rFonts w:eastAsiaTheme="majorEastAsia"/>
          <w:noProof/>
        </w:rPr>
        <w:footnoteReference w:id="136"/>
      </w:r>
      <w:r>
        <w:rPr>
          <w:rStyle w:val="normaltextrun"/>
          <w:noProof/>
        </w:rPr>
        <w:t xml:space="preserve">) </w:t>
      </w:r>
    </w:p>
    <w:p w14:paraId="5C17A29D" w14:textId="610574F5" w:rsidR="00154E32" w:rsidRDefault="00A43E04">
      <w:pPr>
        <w:pStyle w:val="NormalWeb"/>
        <w:numPr>
          <w:ilvl w:val="0"/>
          <w:numId w:val="42"/>
        </w:numPr>
        <w:spacing w:before="0" w:beforeAutospacing="0" w:after="120" w:afterAutospacing="0"/>
        <w:jc w:val="both"/>
        <w:rPr>
          <w:rFonts w:eastAsiaTheme="majorEastAsia"/>
          <w:noProof/>
        </w:rPr>
      </w:pPr>
      <w:r>
        <w:rPr>
          <w:noProof/>
        </w:rPr>
        <w:t>sredstva, potrebna za lastno proizvodnjo in lastno porabo iz obnovljivih virov (razen biomase)</w:t>
      </w:r>
    </w:p>
    <w:p w14:paraId="11C64E95" w14:textId="77777777" w:rsidR="00154E32" w:rsidRDefault="00A43E04">
      <w:pPr>
        <w:pStyle w:val="NormalWeb"/>
        <w:numPr>
          <w:ilvl w:val="0"/>
          <w:numId w:val="42"/>
        </w:numPr>
        <w:spacing w:before="0" w:beforeAutospacing="0" w:after="120" w:afterAutospacing="0"/>
        <w:jc w:val="both"/>
        <w:rPr>
          <w:rFonts w:eastAsiaTheme="majorEastAsia"/>
          <w:noProof/>
        </w:rPr>
      </w:pPr>
      <w:r>
        <w:rPr>
          <w:rStyle w:val="normaltextrun"/>
          <w:noProof/>
        </w:rPr>
        <w:t>usposabljanje osebja na področju znanj in spretnosti za zeleni prehod.</w:t>
      </w:r>
    </w:p>
    <w:p w14:paraId="7FC17308" w14:textId="47A49467" w:rsidR="00154E32" w:rsidRDefault="00A43E04">
      <w:pPr>
        <w:pStyle w:val="NormalWeb"/>
        <w:spacing w:before="0" w:beforeAutospacing="0" w:after="120" w:afterAutospacing="0"/>
        <w:jc w:val="both"/>
        <w:rPr>
          <w:rFonts w:eastAsiaTheme="majorEastAsia"/>
          <w:noProof/>
        </w:rPr>
      </w:pPr>
      <w:r>
        <w:rPr>
          <w:noProof/>
        </w:rPr>
        <w:t>Davčna ugodnost je v skladu z vsaj tremi dodatnimi pragovi sorazmerna z zmanjšanjem porabe končne energije (za vsaj 3 %) ali doseženim prihrankom energije v ciljnih procesih (za vsaj 5 % v primerjavi s prejšnjimi porabami za take postopke), povezanim z naložbami v sredstva iz točke (a)</w:t>
      </w:r>
      <w:r>
        <w:rPr>
          <w:rStyle w:val="FootnoteReference"/>
          <w:rFonts w:eastAsiaTheme="majorEastAsia"/>
          <w:noProof/>
        </w:rPr>
        <w:footnoteReference w:id="137"/>
      </w:r>
      <w:r>
        <w:rPr>
          <w:noProof/>
        </w:rPr>
        <w:t>.</w:t>
      </w:r>
    </w:p>
    <w:p w14:paraId="3B66EFFE" w14:textId="0794CF6F" w:rsidR="00154E32" w:rsidRDefault="00A43E04">
      <w:pPr>
        <w:pStyle w:val="NormalWeb"/>
        <w:spacing w:before="0" w:beforeAutospacing="0" w:after="120" w:afterAutospacing="0"/>
        <w:jc w:val="both"/>
        <w:rPr>
          <w:rFonts w:eastAsiaTheme="majorEastAsia"/>
          <w:noProof/>
        </w:rPr>
      </w:pPr>
      <w:r>
        <w:rPr>
          <w:noProof/>
        </w:rPr>
        <w:t>Zato se intenzivnost davčne ugodnosti poveča v skladu s potrjenimi izboljšavami energetske učinkovitosti in doseženimi prihranki energije.</w:t>
      </w:r>
    </w:p>
    <w:p w14:paraId="7711C74D" w14:textId="20A4C43E" w:rsidR="00154E32" w:rsidRDefault="00A43E04">
      <w:pPr>
        <w:pStyle w:val="NormalWeb"/>
        <w:spacing w:before="0" w:beforeAutospacing="0" w:after="120" w:afterAutospacing="0"/>
        <w:jc w:val="both"/>
        <w:rPr>
          <w:rStyle w:val="normaltextrun"/>
          <w:rFonts w:eastAsiaTheme="majorEastAsia"/>
          <w:noProof/>
        </w:rPr>
      </w:pPr>
      <w:r>
        <w:rPr>
          <w:noProof/>
        </w:rPr>
        <w:t>Da bi bil projekt upravičen, ga potrdi neodvisni ocenjevalec, ki predhodno potrdi, da inovacijski projekt izpolnjuje merila za upravičenost, povezana z zmanjšanjem skupne porabe energije. Poleg tega naknadno certificiranje potrjuje dejansko realizacijo naložb v skladu z določbami predhodnega potrjevanja.</w:t>
      </w:r>
    </w:p>
    <w:p w14:paraId="0017C19F" w14:textId="512C9653" w:rsidR="00154E32" w:rsidRDefault="00A43E04">
      <w:pPr>
        <w:pStyle w:val="NormalWeb"/>
        <w:spacing w:before="0" w:beforeAutospacing="0" w:after="120" w:afterAutospacing="0"/>
        <w:jc w:val="both"/>
        <w:rPr>
          <w:rStyle w:val="normaltextrun"/>
          <w:rFonts w:eastAsiaTheme="majorEastAsia"/>
          <w:noProof/>
        </w:rPr>
      </w:pPr>
      <w:r>
        <w:rPr>
          <w:rStyle w:val="normaltextrun"/>
          <w:noProof/>
        </w:rPr>
        <w:t>Vsaj 4 032 000 000 EUR naložbe</w:t>
      </w:r>
      <w:r>
        <w:rPr>
          <w:rFonts w:ascii="Arial Narrow" w:hAnsi="Arial Narrow"/>
          <w:noProof/>
          <w:color w:val="006100"/>
          <w:sz w:val="20"/>
        </w:rPr>
        <w:t xml:space="preserve"> </w:t>
      </w:r>
      <w:r>
        <w:rPr>
          <w:rStyle w:val="normaltextrun"/>
          <w:noProof/>
        </w:rPr>
        <w:t>prispeva</w:t>
      </w:r>
      <w:r>
        <w:rPr>
          <w:rFonts w:ascii="Arial Narrow" w:hAnsi="Arial Narrow"/>
          <w:noProof/>
          <w:color w:val="006100"/>
          <w:sz w:val="20"/>
        </w:rPr>
        <w:t xml:space="preserve">  </w:t>
      </w:r>
      <w:r>
        <w:rPr>
          <w:rStyle w:val="normaltextrun"/>
          <w:noProof/>
        </w:rPr>
        <w:t>k ciljem na področju podnebnih sprememb v skladu s Prilogo VI k uredbi o mehanizmu za okrevanje in odpornost.</w:t>
      </w:r>
      <w:r>
        <w:rPr>
          <w:rStyle w:val="FootnoteReference"/>
          <w:noProof/>
        </w:rPr>
        <w:footnoteReference w:id="138"/>
      </w:r>
    </w:p>
    <w:p w14:paraId="2A6BB2ED" w14:textId="77777777" w:rsidR="00154E32" w:rsidRDefault="00A43E04">
      <w:pPr>
        <w:pStyle w:val="paragraph"/>
        <w:spacing w:before="0" w:beforeAutospacing="0" w:after="120" w:afterAutospacing="0"/>
        <w:jc w:val="both"/>
        <w:textAlignment w:val="baseline"/>
        <w:rPr>
          <w:rStyle w:val="normaltextrun"/>
          <w:rFonts w:eastAsiaTheme="majorEastAsia"/>
          <w:noProof/>
        </w:rPr>
      </w:pPr>
      <w:r>
        <w:rPr>
          <w:rStyle w:val="normaltextrun"/>
          <w:noProof/>
        </w:rPr>
        <w:t>Ukrep je sestavljen iz sheme davčnih dobropisov in zajema stroške, ki jih je treba zahtevati v obdobju med 1. januarjem 2025 in 31. avgustom 2026.</w:t>
      </w:r>
    </w:p>
    <w:p w14:paraId="5FF1F15B" w14:textId="4709E8A5" w:rsidR="00154E32" w:rsidRDefault="00A43E04">
      <w:pPr>
        <w:spacing w:after="120"/>
        <w:jc w:val="both"/>
        <w:rPr>
          <w:noProof/>
        </w:rPr>
      </w:pPr>
      <w:r>
        <w:rPr>
          <w:noProof/>
        </w:rPr>
        <w:t xml:space="preserve">1 % celotnega proračuna se nameni razvoju informacijske platforme za: I) upravlja potrdila, ki jih predložijo upravičenci; II) olajša ocenjevanje, izmenjavo in upravljanje podatkov, uporabljenih za analizo; ter iii) dejavnosti spremljanja in nadzora. </w:t>
      </w:r>
    </w:p>
    <w:p w14:paraId="59DA6CE4" w14:textId="4ABB65D7" w:rsidR="00154E32" w:rsidRDefault="00A43E04">
      <w:pPr>
        <w:spacing w:after="120"/>
        <w:jc w:val="both"/>
        <w:rPr>
          <w:noProof/>
        </w:rPr>
      </w:pPr>
      <w:r>
        <w:rPr>
          <w:noProof/>
        </w:rPr>
        <w:t>Poleg tega ukrep razširja področje delovanja znanstvenega odbora, ustanovljenega v mejniku M1C2–1 (Transizione 4.0), da bi do 31. avgusta 2026 pripravil poročilo o oceni učinkovitosti naložb nacionalnega načrta za okrevanje in odpornost v pristojnosti ministrstva za podjetja in Made v Italiji (MIMIT) ter morebitnih sinergij z drugimi viri financiranja EU v sektorjih, ki so strateški za konkurenčnost in avtonomijo na ravni EU in nacionalni ravni.</w:t>
      </w:r>
    </w:p>
    <w:p w14:paraId="159185D5" w14:textId="43C9B64B" w:rsidR="00154E32" w:rsidRDefault="00A43E04">
      <w:pPr>
        <w:pStyle w:val="P68B1DB1-Heading437"/>
        <w:numPr>
          <w:ilvl w:val="3"/>
          <w:numId w:val="0"/>
        </w:numPr>
        <w:rPr>
          <w:noProof/>
        </w:rPr>
      </w:pPr>
      <w:r>
        <w:rPr>
          <w:noProof/>
        </w:rPr>
        <w:t>Naložba 16. Podpora MSP za lastno proizvodnjo iz obnovljivih virov energije</w:t>
      </w:r>
    </w:p>
    <w:p w14:paraId="2DAD3D8A" w14:textId="6DC649B8" w:rsidR="00154E32" w:rsidRDefault="00A43E04">
      <w:pPr>
        <w:spacing w:after="120"/>
        <w:jc w:val="both"/>
        <w:rPr>
          <w:noProof/>
        </w:rPr>
      </w:pPr>
      <w:r>
        <w:rPr>
          <w:noProof/>
        </w:rPr>
        <w:t xml:space="preserve">Ta ukrep je sestavljen iz javne naložbe v shemo nepovratnih sredstev </w:t>
      </w:r>
      <w:r>
        <w:rPr>
          <w:i/>
          <w:noProof/>
        </w:rPr>
        <w:t>„Podpora MSP za lastno proizvodnjo iz obnovljivih virov energije“</w:t>
      </w:r>
      <w:r>
        <w:rPr>
          <w:noProof/>
        </w:rPr>
        <w:t>, da bi spodbudili zasebne naložbe in izboljšali dostop do financiranja za samoproizvodnjo energije iz obnovljivih virov v Italiji.</w:t>
      </w:r>
    </w:p>
    <w:p w14:paraId="6A1E94CC" w14:textId="18468A4D" w:rsidR="00154E32" w:rsidRDefault="00A43E04">
      <w:pPr>
        <w:spacing w:after="120"/>
        <w:jc w:val="both"/>
        <w:rPr>
          <w:noProof/>
        </w:rPr>
      </w:pPr>
      <w:r>
        <w:rPr>
          <w:noProof/>
        </w:rPr>
        <w:t xml:space="preserve">Cilj sheme je podpreti mikro, mala in srednja podjetja (MSP) pri izvajanju naložbenih programov, namenjenih samoproizvodnji energije iz obnovljivih virov. </w:t>
      </w:r>
    </w:p>
    <w:p w14:paraId="323F42C2" w14:textId="46625CA6" w:rsidR="00154E32" w:rsidRDefault="00A43E04">
      <w:pPr>
        <w:spacing w:after="120"/>
        <w:rPr>
          <w:noProof/>
        </w:rPr>
      </w:pPr>
      <w:r>
        <w:rPr>
          <w:noProof/>
        </w:rPr>
        <w:t>Shema deluje tako, da zagotavlja nepovratna sredstva neposredno zasebnemu sektorju. Na podlagi naložb v mehanizem za okrevanje in odpornost je cilj sheme na začetku zagotoviti vsaj 320 000 000 EUR nepovratnih</w:t>
      </w:r>
      <w:r>
        <w:rPr>
          <w:rFonts w:ascii="Arial Narrow" w:hAnsi="Arial Narrow"/>
          <w:noProof/>
          <w:color w:val="006100"/>
          <w:sz w:val="20"/>
        </w:rPr>
        <w:t xml:space="preserve"> </w:t>
      </w:r>
      <w:r>
        <w:rPr>
          <w:noProof/>
        </w:rPr>
        <w:t>sredstev.</w:t>
      </w:r>
    </w:p>
    <w:p w14:paraId="3FF0CE7D" w14:textId="20E0DE76" w:rsidR="00154E32" w:rsidRDefault="00A43E04">
      <w:pPr>
        <w:spacing w:after="120"/>
        <w:jc w:val="both"/>
        <w:rPr>
          <w:noProof/>
        </w:rPr>
      </w:pPr>
      <w:r>
        <w:rPr>
          <w:noProof/>
        </w:rPr>
        <w:t>Shemo upravlja družba Invitalia SpA kot izvajalski partner. Shema vključuje naslednje linije izdelkov:</w:t>
      </w:r>
    </w:p>
    <w:p w14:paraId="142E6C3A" w14:textId="77777777" w:rsidR="00154E32" w:rsidRDefault="00A43E04">
      <w:pPr>
        <w:pStyle w:val="ListParagraph"/>
        <w:numPr>
          <w:ilvl w:val="0"/>
          <w:numId w:val="38"/>
        </w:numPr>
        <w:spacing w:before="0"/>
        <w:contextualSpacing w:val="0"/>
        <w:rPr>
          <w:noProof/>
        </w:rPr>
      </w:pPr>
      <w:r>
        <w:rPr>
          <w:noProof/>
        </w:rPr>
        <w:t xml:space="preserve"> nepovratni prispevki – v povprečju približno 50 % vseh naložb – za nakup sistemov in z njimi povezanih digitalnih tehnologij, ki omogočajo neposredno proizvodnjo energije iz obnovljivih virov za takojšnjo lastno porabo ali s sistemi zbiranja/skladiščenja.</w:t>
      </w:r>
    </w:p>
    <w:p w14:paraId="51C862B4" w14:textId="76916B95" w:rsidR="00154E32" w:rsidRDefault="00A43E04">
      <w:pPr>
        <w:spacing w:after="120"/>
        <w:jc w:val="both"/>
        <w:rPr>
          <w:noProof/>
        </w:rPr>
      </w:pPr>
      <w:r>
        <w:rPr>
          <w:noProof/>
        </w:rPr>
        <w:t>Za izvedbo naložbe v shemo Italija in družba Invitalia SpA podpišeta izvedbeni sporazum, ki vsebuje naslednjo vsebino:</w:t>
      </w:r>
    </w:p>
    <w:p w14:paraId="0F7F667D" w14:textId="77777777" w:rsidR="00154E32" w:rsidRDefault="00A43E04">
      <w:pPr>
        <w:pStyle w:val="P68B1DB1-LegalNumPar27"/>
        <w:numPr>
          <w:ilvl w:val="0"/>
          <w:numId w:val="39"/>
        </w:numPr>
        <w:spacing w:after="120" w:line="240" w:lineRule="auto"/>
        <w:jc w:val="both"/>
        <w:rPr>
          <w:rFonts w:eastAsia="Times New Roman" w:cs="Times New Roman"/>
          <w:noProof/>
        </w:rPr>
      </w:pPr>
      <w:r>
        <w:rPr>
          <w:noProof/>
        </w:rPr>
        <w:t>Opis postopka odločanja v okviru sheme: Končno odločitev o naložbi sheme sprejme odbor za naložbe ali drug ustrezen enakovreden upravljavski organ in jo z večino glasov potrdijo člani, ki so neodvisni od vlade.</w:t>
      </w:r>
    </w:p>
    <w:p w14:paraId="258B8DBF" w14:textId="77777777" w:rsidR="00154E32" w:rsidRDefault="00A43E04">
      <w:pPr>
        <w:pStyle w:val="P68B1DB1-LegalNumPar27"/>
        <w:numPr>
          <w:ilvl w:val="0"/>
          <w:numId w:val="31"/>
        </w:numPr>
        <w:spacing w:after="120" w:line="240" w:lineRule="auto"/>
        <w:jc w:val="both"/>
        <w:rPr>
          <w:rFonts w:cs="Times New Roman"/>
          <w:noProof/>
        </w:rPr>
      </w:pPr>
      <w:r>
        <w:rPr>
          <w:noProof/>
        </w:rPr>
        <w:t>Ključne zahteve povezane naložbene politike,</w:t>
      </w:r>
      <w:r>
        <w:rPr>
          <w:b/>
          <w:noProof/>
        </w:rPr>
        <w:t xml:space="preserve"> </w:t>
      </w:r>
      <w:r>
        <w:rPr>
          <w:noProof/>
        </w:rPr>
        <w:t>ki vključujejo:</w:t>
      </w:r>
    </w:p>
    <w:p w14:paraId="75C9A509" w14:textId="77777777" w:rsidR="00154E32" w:rsidRDefault="00A43E04">
      <w:pPr>
        <w:pStyle w:val="P68B1DB1-LegalNumPar228"/>
        <w:numPr>
          <w:ilvl w:val="1"/>
          <w:numId w:val="41"/>
        </w:numPr>
        <w:spacing w:after="120" w:line="240" w:lineRule="auto"/>
        <w:ind w:left="1418"/>
        <w:jc w:val="both"/>
        <w:rPr>
          <w:rFonts w:cs="Times New Roman"/>
          <w:noProof/>
        </w:rPr>
      </w:pPr>
      <w:r>
        <w:rPr>
          <w:noProof/>
        </w:rPr>
        <w:t xml:space="preserve">Opis vrste zagotovljene podpore in upravičenih končnih upravičencev. </w:t>
      </w:r>
    </w:p>
    <w:p w14:paraId="53CD4381" w14:textId="77777777" w:rsidR="00154E32" w:rsidRDefault="00A43E04">
      <w:pPr>
        <w:pStyle w:val="P68B1DB1-LegalNumPar228"/>
        <w:numPr>
          <w:ilvl w:val="1"/>
          <w:numId w:val="41"/>
        </w:numPr>
        <w:spacing w:after="120" w:line="240" w:lineRule="auto"/>
        <w:ind w:left="1418"/>
        <w:jc w:val="both"/>
        <w:rPr>
          <w:rFonts w:cs="Times New Roman"/>
          <w:noProof/>
        </w:rPr>
      </w:pPr>
      <w:r>
        <w:rPr>
          <w:noProof/>
        </w:rPr>
        <w:t>Zahteva, da so vse podprte naložbe ekonomsko upravičene</w:t>
      </w:r>
      <w:r>
        <w:rPr>
          <w:b/>
          <w:noProof/>
        </w:rPr>
        <w:t>.</w:t>
      </w:r>
    </w:p>
    <w:p w14:paraId="04A381CF" w14:textId="77777777" w:rsidR="00154E32" w:rsidRDefault="00A43E04">
      <w:pPr>
        <w:pStyle w:val="P68B1DB1-LegalNumPar228"/>
        <w:numPr>
          <w:ilvl w:val="1"/>
          <w:numId w:val="41"/>
        </w:numPr>
        <w:spacing w:after="120" w:line="240" w:lineRule="auto"/>
        <w:ind w:left="1418"/>
        <w:jc w:val="both"/>
        <w:rPr>
          <w:rFonts w:cs="Times New Roman"/>
          <w:noProof/>
        </w:rPr>
      </w:pPr>
      <w:r>
        <w:rPr>
          <w:noProof/>
        </w:rPr>
        <w:t>Zahtevo po skladnosti z načelom, da se ne škoduje bistveno, kot je določeno v tehničnih smernicah za načelo, da se ne škoduje bistveno (2021/C58/01). Zlasti v primeru splošne podpore podjetjem naložbena politika izključuje podjetja s pomembnim poudarkom</w:t>
      </w:r>
      <w:r>
        <w:rPr>
          <w:noProof/>
        </w:rPr>
        <w:footnoteReference w:id="139"/>
      </w:r>
      <w:r>
        <w:rPr>
          <w:noProof/>
        </w:rPr>
        <w:t xml:space="preserve"> na naslednjih sektorjih: (I) proizvodnjo energije iz fosilnih goriv in z njo povezane dejavnosti</w:t>
      </w:r>
      <w:r>
        <w:rPr>
          <w:noProof/>
        </w:rPr>
        <w:footnoteReference w:id="140"/>
      </w:r>
      <w:r>
        <w:rPr>
          <w:noProof/>
        </w:rPr>
        <w:t>; (II) energetsko intenzivne industrije in/ali industrije z visokimi emisijami CO2</w:t>
      </w:r>
      <w:r>
        <w:rPr>
          <w:noProof/>
        </w:rPr>
        <w:footnoteReference w:id="141"/>
      </w:r>
      <w:r>
        <w:rPr>
          <w:noProof/>
        </w:rPr>
        <w:t>; (III) proizvodnjo, najem ali prodajo vozil, ki onesnažujejo okolje</w:t>
      </w:r>
      <w:r>
        <w:rPr>
          <w:noProof/>
        </w:rPr>
        <w:footnoteReference w:id="142"/>
      </w:r>
      <w:r>
        <w:rPr>
          <w:noProof/>
        </w:rPr>
        <w:t>; (IV) zbiranje, obdelava in odlaganje odpadkov</w:t>
      </w:r>
      <w:r>
        <w:rPr>
          <w:noProof/>
        </w:rPr>
        <w:footnoteReference w:id="143"/>
      </w:r>
      <w:r>
        <w:rPr>
          <w:noProof/>
        </w:rPr>
        <w:t>, (v) predelava jedrskega goriva, proizvodnja jedrske energije. Poleg tega naložbena politika zahteva</w:t>
      </w:r>
      <w:r>
        <w:rPr>
          <w:b/>
          <w:noProof/>
        </w:rPr>
        <w:t xml:space="preserve"> </w:t>
      </w:r>
      <w:r>
        <w:rPr>
          <w:noProof/>
        </w:rPr>
        <w:t xml:space="preserve">skladnost končnih upravičencev sheme z ustrezno okoljsko zakonodajo EU in nacionalno okoljsko zakonodajo. </w:t>
      </w:r>
    </w:p>
    <w:p w14:paraId="0FB7A2CA" w14:textId="77777777" w:rsidR="00154E32" w:rsidRDefault="00A43E04">
      <w:pPr>
        <w:pStyle w:val="P68B1DB1-LegalNumPar228"/>
        <w:numPr>
          <w:ilvl w:val="1"/>
          <w:numId w:val="41"/>
        </w:numPr>
        <w:spacing w:after="120" w:line="240" w:lineRule="auto"/>
        <w:ind w:left="1418"/>
        <w:jc w:val="both"/>
        <w:rPr>
          <w:rFonts w:cs="Times New Roman"/>
          <w:noProof/>
        </w:rPr>
      </w:pPr>
      <w:r>
        <w:rPr>
          <w:noProof/>
        </w:rPr>
        <w:t>Zahtevo, da končni upravičenci sheme ne prejmejo podpore iz drugih instrumentov Unije za kritje istih stroškov.</w:t>
      </w:r>
    </w:p>
    <w:p w14:paraId="12ECE8E4" w14:textId="77777777" w:rsidR="00154E32" w:rsidRDefault="00A43E04">
      <w:pPr>
        <w:pStyle w:val="P68B1DB1-LegalNumPar27"/>
        <w:numPr>
          <w:ilvl w:val="0"/>
          <w:numId w:val="31"/>
        </w:numPr>
        <w:spacing w:after="120" w:line="240" w:lineRule="auto"/>
        <w:jc w:val="both"/>
        <w:rPr>
          <w:rFonts w:cs="Times New Roman"/>
          <w:noProof/>
        </w:rPr>
      </w:pPr>
      <w:r>
        <w:rPr>
          <w:noProof/>
        </w:rPr>
        <w:t>Znesek, zajet v izvedbenem sporazumu, strukturo pristojbin za izvajalskega partnerja in zahtevo po vlaganju vseh neporabljenih prihodkov iz sheme, tudi po letu 2026, za iste namene politike.</w:t>
      </w:r>
    </w:p>
    <w:p w14:paraId="25AF2D93" w14:textId="77777777" w:rsidR="00154E32" w:rsidRDefault="00A43E04">
      <w:pPr>
        <w:pStyle w:val="P68B1DB1-LegalNumPar27"/>
        <w:numPr>
          <w:ilvl w:val="0"/>
          <w:numId w:val="31"/>
        </w:numPr>
        <w:spacing w:after="120" w:line="240" w:lineRule="auto"/>
        <w:jc w:val="both"/>
        <w:rPr>
          <w:rFonts w:cs="Times New Roman"/>
          <w:noProof/>
        </w:rPr>
      </w:pPr>
      <w:r>
        <w:rPr>
          <w:noProof/>
        </w:rPr>
        <w:t>Zahteve glede spremljanja, revizije in nadzora, vključno z:</w:t>
      </w:r>
    </w:p>
    <w:p w14:paraId="4C742376" w14:textId="77777777" w:rsidR="00154E32" w:rsidRDefault="00A43E04">
      <w:pPr>
        <w:numPr>
          <w:ilvl w:val="0"/>
          <w:numId w:val="40"/>
        </w:numPr>
        <w:spacing w:after="120"/>
        <w:jc w:val="both"/>
        <w:rPr>
          <w:noProof/>
        </w:rPr>
      </w:pPr>
      <w:r>
        <w:rPr>
          <w:noProof/>
        </w:rPr>
        <w:t>Opis sistema spremljanja izvajalskega partnerja za poročanje o mobiliziranih naložbah.</w:t>
      </w:r>
    </w:p>
    <w:p w14:paraId="1E815583" w14:textId="14D6525E" w:rsidR="00154E32" w:rsidRDefault="00A43E04">
      <w:pPr>
        <w:numPr>
          <w:ilvl w:val="0"/>
          <w:numId w:val="40"/>
        </w:numPr>
        <w:spacing w:after="120"/>
        <w:jc w:val="both"/>
        <w:rPr>
          <w:noProof/>
        </w:rPr>
      </w:pPr>
      <w:r>
        <w:rPr>
          <w:noProof/>
        </w:rPr>
        <w:t xml:space="preserve">Opis postopkov izvajalskega partnerja, ki zagotavljajo preprečevanje, odkrivanje in odpravljanje goljufij, korupcije in nasprotij interesov. </w:t>
      </w:r>
    </w:p>
    <w:p w14:paraId="62BA4ECA" w14:textId="77777777" w:rsidR="00154E32" w:rsidRDefault="00A43E04">
      <w:pPr>
        <w:numPr>
          <w:ilvl w:val="0"/>
          <w:numId w:val="40"/>
        </w:numPr>
        <w:spacing w:after="120"/>
        <w:jc w:val="both"/>
        <w:rPr>
          <w:noProof/>
        </w:rPr>
      </w:pPr>
      <w:r>
        <w:rPr>
          <w:noProof/>
        </w:rPr>
        <w:t>Obveznost preverjanja upravičenosti vsake operacije v skladu z zahtevami iz izvedbenega sporazuma, preden se zaveže k financiranju operacije.</w:t>
      </w:r>
    </w:p>
    <w:p w14:paraId="206D912C" w14:textId="77777777" w:rsidR="00154E32" w:rsidRDefault="00A43E04">
      <w:pPr>
        <w:numPr>
          <w:ilvl w:val="0"/>
          <w:numId w:val="40"/>
        </w:numPr>
        <w:spacing w:after="120"/>
        <w:jc w:val="both"/>
        <w:rPr>
          <w:noProof/>
        </w:rPr>
      </w:pPr>
      <w:r>
        <w:rPr>
          <w:noProof/>
        </w:rPr>
        <w:t xml:space="preserve">Obveznost izvajanja naknadnih revizij na podlagi tveganja v skladu z revizijskim načrtom družbe Invitalia SpA. S temi revizijami se preveri i) učinkovitost kontrolnih sistemov, vključno z odkrivanjem goljufij, korupcije in navzkrižja interesov; II) skladnost z načelom, da se ne škoduje bistveno, pravili o državni pomoči in zahtevami glede podnebnih ciljev; in iii) da se upošteva zahteva, da končni upravičenci sheme niso prejeli podpore iz drugih instrumentov Unije za kritje istih stroškov. Z revizijami se preveri tudi zakonitost transakcij in spoštovanje pogojev iz veljavnega izvedbenega sporazuma. </w:t>
      </w:r>
    </w:p>
    <w:p w14:paraId="26670D24" w14:textId="064F915E" w:rsidR="00154E32" w:rsidRDefault="00A43E04">
      <w:pPr>
        <w:numPr>
          <w:ilvl w:val="0"/>
          <w:numId w:val="31"/>
        </w:numPr>
        <w:spacing w:after="120"/>
        <w:ind w:left="720" w:hanging="360"/>
        <w:jc w:val="both"/>
        <w:rPr>
          <w:noProof/>
        </w:rPr>
      </w:pPr>
      <w:r>
        <w:rPr>
          <w:noProof/>
        </w:rPr>
        <w:t>Zahteve za podnebne naložbe, ki jih izvaja izvajalski partner: 320 000 000 EUR</w:t>
      </w:r>
      <w:r>
        <w:rPr>
          <w:rFonts w:ascii="Arial Narrow" w:hAnsi="Arial Narrow"/>
          <w:noProof/>
          <w:color w:val="006100"/>
          <w:sz w:val="20"/>
        </w:rPr>
        <w:t xml:space="preserve"> </w:t>
      </w:r>
      <w:r>
        <w:rPr>
          <w:noProof/>
        </w:rPr>
        <w:t>naložb</w:t>
      </w:r>
      <w:r>
        <w:rPr>
          <w:rFonts w:ascii="Arial Narrow" w:hAnsi="Arial Narrow"/>
          <w:noProof/>
          <w:color w:val="006100"/>
          <w:sz w:val="20"/>
        </w:rPr>
        <w:t xml:space="preserve"> </w:t>
      </w:r>
      <w:r>
        <w:rPr>
          <w:noProof/>
        </w:rPr>
        <w:t>mehanizma za okrevanje in odpornost v mehanizem prispeva k ciljem na področju podnebnih sprememb v skladu s Prilogo VI k uredbi o mehanizmu za okrevanje in odpornost.</w:t>
      </w:r>
      <w:r>
        <w:rPr>
          <w:rStyle w:val="FootnoteReference"/>
          <w:noProof/>
        </w:rPr>
        <w:footnoteReference w:id="144"/>
      </w:r>
    </w:p>
    <w:p w14:paraId="5A6FF4D8" w14:textId="0F4D0FF7" w:rsidR="00154E32" w:rsidRDefault="00A43E04">
      <w:pPr>
        <w:spacing w:after="120"/>
        <w:jc w:val="both"/>
        <w:rPr>
          <w:noProof/>
        </w:rPr>
      </w:pPr>
      <w:r>
        <w:rPr>
          <w:noProof/>
        </w:rPr>
        <w:t>Ukrep se izvede do 31. avgusta 2026.</w:t>
      </w:r>
    </w:p>
    <w:p w14:paraId="50F8F612" w14:textId="688B0F49" w:rsidR="00154E32" w:rsidRDefault="00A43E04">
      <w:pPr>
        <w:pStyle w:val="P68B1DB1-Heading437"/>
        <w:numPr>
          <w:ilvl w:val="3"/>
          <w:numId w:val="0"/>
        </w:numPr>
        <w:spacing w:before="0"/>
        <w:rPr>
          <w:noProof/>
        </w:rPr>
      </w:pPr>
      <w:r>
        <w:rPr>
          <w:noProof/>
        </w:rPr>
        <w:t>Naložba 17. Finančni instrument za energetsko prenovo javnih in socialnih stanovanj ter gospodinjstev z nizkimi dohodki in ranljivih gospodinjstev</w:t>
      </w:r>
    </w:p>
    <w:p w14:paraId="7A04F697" w14:textId="1431B0AB" w:rsidR="00154E32" w:rsidRDefault="00A43E04">
      <w:pPr>
        <w:spacing w:after="120"/>
        <w:jc w:val="both"/>
        <w:rPr>
          <w:rFonts w:eastAsia="@MS Mincho"/>
          <w:noProof/>
        </w:rPr>
      </w:pPr>
      <w:r>
        <w:rPr>
          <w:rFonts w:eastAsia="@MS Mincho"/>
          <w:noProof/>
        </w:rPr>
        <w:t xml:space="preserve">Cilj ukrepa je podpreti prenovo gospodinjstev z nizkimi dohodki in ranljivih gospodinjstev ter ublažiti energijsko revščino. </w:t>
      </w:r>
      <w:r>
        <w:rPr>
          <w:noProof/>
        </w:rPr>
        <w:t xml:space="preserve">Ta ukrep je sestavljen iz </w:t>
      </w:r>
      <w:r>
        <w:rPr>
          <w:rFonts w:eastAsia="@MS Mincho"/>
          <w:noProof/>
        </w:rPr>
        <w:t>javnih naložb</w:t>
      </w:r>
      <w:r>
        <w:rPr>
          <w:noProof/>
        </w:rPr>
        <w:t xml:space="preserve"> v instrument, tj. „Finančni instrument za zmanjšanje energijske revščine“, </w:t>
      </w:r>
      <w:r>
        <w:rPr>
          <w:rFonts w:eastAsia="@MS Mincho"/>
          <w:noProof/>
        </w:rPr>
        <w:t xml:space="preserve">da bi spodbudili zasebne naložbe in izboljšali dostop do financiranja energetske prenove v socialnih in javnih stanovanjih, s čimer bi dosegli vsaj 30-odstotno izboljšanje energijske učinkovitosti. </w:t>
      </w:r>
    </w:p>
    <w:p w14:paraId="75F884CA" w14:textId="77777777" w:rsidR="00154E32" w:rsidRDefault="00A43E04">
      <w:pPr>
        <w:keepNext/>
        <w:spacing w:after="120"/>
        <w:jc w:val="both"/>
        <w:rPr>
          <w:noProof/>
        </w:rPr>
      </w:pPr>
      <w:r>
        <w:rPr>
          <w:noProof/>
        </w:rPr>
        <w:t>Instrument upravlja izvajalski partner. To je lahko Cassa Depositi e Prestiti ali Evropska investicijska banka. Tudi Cassa Depositi e Prestiti in Evropska investicijska banka lahko delujeta skupaj z izvajalskimi partnerji. Izvajalski partner se pojasni v nadaljnjih specifikacijah operativnih ureditev. Sklad deluje z zagotavljanjem nepovratnih sredstev in/ali subvencioniranih posojil podjetjem za energetske storitve za energetsko učinkovito prenovo stanovanjskih enot.</w:t>
      </w:r>
    </w:p>
    <w:p w14:paraId="07F6DA5B" w14:textId="09443B1E" w:rsidR="00154E32" w:rsidRDefault="00A43E04">
      <w:pPr>
        <w:keepNext/>
        <w:spacing w:after="120"/>
        <w:jc w:val="both"/>
        <w:rPr>
          <w:noProof/>
        </w:rPr>
      </w:pPr>
      <w:r>
        <w:rPr>
          <w:noProof/>
        </w:rPr>
        <w:t>Na podlagi naložb v mehanizem za okrevanje in odpornost je cilj mehanizma na začetku zagotoviti</w:t>
      </w:r>
      <w:r>
        <w:rPr>
          <w:rFonts w:ascii="Arial Narrow" w:hAnsi="Arial Narrow"/>
          <w:noProof/>
          <w:color w:val="006100"/>
          <w:sz w:val="20"/>
        </w:rPr>
        <w:t xml:space="preserve"> </w:t>
      </w:r>
      <w:r>
        <w:rPr>
          <w:noProof/>
        </w:rPr>
        <w:t>vsaj</w:t>
      </w:r>
      <w:r>
        <w:rPr>
          <w:rFonts w:ascii="Arial Narrow" w:hAnsi="Arial Narrow"/>
          <w:noProof/>
          <w:color w:val="006100"/>
          <w:sz w:val="20"/>
        </w:rPr>
        <w:t xml:space="preserve"> </w:t>
      </w:r>
      <w:r>
        <w:rPr>
          <w:noProof/>
        </w:rPr>
        <w:t>1381000000</w:t>
      </w:r>
      <w:r>
        <w:rPr>
          <w:rFonts w:ascii="Arial Narrow" w:hAnsi="Arial Narrow"/>
          <w:noProof/>
          <w:color w:val="006100"/>
          <w:sz w:val="20"/>
        </w:rPr>
        <w:t xml:space="preserve"> </w:t>
      </w:r>
      <w:r>
        <w:rPr>
          <w:noProof/>
        </w:rPr>
        <w:t>EUR finančne podpore.</w:t>
      </w:r>
    </w:p>
    <w:p w14:paraId="73F439EC" w14:textId="5545CB34" w:rsidR="00154E32" w:rsidRDefault="00A43E04">
      <w:pPr>
        <w:spacing w:after="120"/>
        <w:jc w:val="both"/>
        <w:rPr>
          <w:noProof/>
        </w:rPr>
      </w:pPr>
      <w:r>
        <w:rPr>
          <w:noProof/>
        </w:rPr>
        <w:t>Instrument vključuje naslednje vrste produktov:</w:t>
      </w:r>
    </w:p>
    <w:p w14:paraId="1F37D43E" w14:textId="78EF89FE" w:rsidR="00154E32" w:rsidRDefault="00A43E04">
      <w:pPr>
        <w:pStyle w:val="P68B1DB1-Normal39"/>
        <w:numPr>
          <w:ilvl w:val="0"/>
          <w:numId w:val="24"/>
        </w:numPr>
        <w:shd w:val="clear" w:color="auto" w:fill="FFFFFF"/>
        <w:spacing w:after="120"/>
        <w:jc w:val="both"/>
        <w:rPr>
          <w:noProof/>
        </w:rPr>
      </w:pPr>
      <w:r>
        <w:rPr>
          <w:noProof/>
        </w:rPr>
        <w:t>Javna stanovanja:</w:t>
      </w:r>
    </w:p>
    <w:p w14:paraId="3BD60B4A" w14:textId="11C7EA0D" w:rsidR="00154E32" w:rsidRDefault="00A43E04">
      <w:pPr>
        <w:shd w:val="clear" w:color="auto" w:fill="FFFFFF"/>
        <w:spacing w:after="120"/>
        <w:jc w:val="both"/>
        <w:rPr>
          <w:noProof/>
        </w:rPr>
      </w:pPr>
      <w:r>
        <w:rPr>
          <w:noProof/>
        </w:rPr>
        <w:t>Ta linija produktov zagotavlja finančno podporo v obliki nepovratnih sredstev, subvencioniranih obrestnih mer, subvencioniranih posojil in tržnih posojil podjetjem za energetske storitve (ESCO) za energetsko prenovo javnih stanovanj.</w:t>
      </w:r>
    </w:p>
    <w:p w14:paraId="45A5BFD0" w14:textId="588D23DB" w:rsidR="00154E32" w:rsidRDefault="00A43E04">
      <w:pPr>
        <w:pStyle w:val="P68B1DB1-ListParagraph40"/>
        <w:numPr>
          <w:ilvl w:val="0"/>
          <w:numId w:val="26"/>
        </w:numPr>
        <w:shd w:val="clear" w:color="auto" w:fill="FFFFFF"/>
        <w:spacing w:before="0"/>
        <w:contextualSpacing w:val="0"/>
        <w:rPr>
          <w:noProof/>
        </w:rPr>
      </w:pPr>
      <w:r>
        <w:rPr>
          <w:noProof/>
        </w:rPr>
        <w:t>Socialna stanovanja:</w:t>
      </w:r>
    </w:p>
    <w:p w14:paraId="4D3449ED" w14:textId="2290EDD3" w:rsidR="00154E32" w:rsidRDefault="00A43E04">
      <w:pPr>
        <w:shd w:val="clear" w:color="auto" w:fill="FFFFFF" w:themeFill="background1"/>
        <w:spacing w:after="120"/>
        <w:jc w:val="both"/>
        <w:rPr>
          <w:b/>
          <w:noProof/>
          <w:color w:val="000000" w:themeColor="text1"/>
        </w:rPr>
      </w:pPr>
      <w:r>
        <w:rPr>
          <w:noProof/>
        </w:rPr>
        <w:t>Ta linija produktov zagotavlja finančno podporo v obliki nepovratnih sredstev, subvencioniranih obrestnih mer, subvencioniranih posojil in tržnih posojil podjetjem za energetske storitve (ESCO) za energetsko prenovo socialnih stanovanj.</w:t>
      </w:r>
    </w:p>
    <w:p w14:paraId="2DE05576" w14:textId="04E16513" w:rsidR="00154E32" w:rsidRDefault="00A43E04">
      <w:pPr>
        <w:pStyle w:val="P68B1DB1-ListParagraph40"/>
        <w:numPr>
          <w:ilvl w:val="0"/>
          <w:numId w:val="32"/>
        </w:numPr>
        <w:shd w:val="clear" w:color="auto" w:fill="FFFFFF" w:themeFill="background1"/>
        <w:spacing w:before="0"/>
        <w:contextualSpacing w:val="0"/>
        <w:rPr>
          <w:noProof/>
        </w:rPr>
      </w:pPr>
      <w:r>
        <w:rPr>
          <w:noProof/>
        </w:rPr>
        <w:t>Energijske prenove v gospodinjstvih z nizkimi dohodki v večstanovanjskih stavbah:</w:t>
      </w:r>
    </w:p>
    <w:p w14:paraId="4AB3C3A5" w14:textId="08FA2A89" w:rsidR="00154E32" w:rsidRDefault="00A43E04">
      <w:pPr>
        <w:shd w:val="clear" w:color="auto" w:fill="FFFFFF" w:themeFill="background1"/>
        <w:spacing w:after="120"/>
        <w:jc w:val="both"/>
        <w:rPr>
          <w:noProof/>
        </w:rPr>
      </w:pPr>
      <w:r>
        <w:rPr>
          <w:noProof/>
        </w:rPr>
        <w:t>Ta linija produktov zagotavlja finančno podporo v obliki nepovratnih sredstev, subvencioniranih obrestnih mer, subvencioniranih posojil, tržnih posojil podjetjem za energetske storitve (ESCO) za energijsko prenovo v gospodinjstvih z nizkimi dohodki in ranljivih gospodinjstvih v večstanovanjskih stavbah.</w:t>
      </w:r>
    </w:p>
    <w:p w14:paraId="2ABE86BE" w14:textId="3E32E9FB" w:rsidR="00154E32" w:rsidRDefault="00A43E04">
      <w:pPr>
        <w:shd w:val="clear" w:color="auto" w:fill="FFFFFF" w:themeFill="background1"/>
        <w:spacing w:after="120"/>
        <w:jc w:val="both"/>
        <w:rPr>
          <w:noProof/>
        </w:rPr>
      </w:pPr>
      <w:r>
        <w:rPr>
          <w:noProof/>
        </w:rPr>
        <w:t>Dve tretjini objekta sta namenjeni energetski prenovi javnih in socialnih stanovanj; tretjina se nameni energetskim prenovam v gospodinjstvih z nizkimi dohodki v večstanovanjskih stavbah.</w:t>
      </w:r>
    </w:p>
    <w:p w14:paraId="6A440162" w14:textId="4E9C9B2A" w:rsidR="00154E32" w:rsidRDefault="00A43E04">
      <w:pPr>
        <w:spacing w:after="120"/>
        <w:jc w:val="both"/>
        <w:rPr>
          <w:noProof/>
        </w:rPr>
      </w:pPr>
      <w:r>
        <w:rPr>
          <w:noProof/>
        </w:rPr>
        <w:t>Za izvedbo naložbe v instrument Italija in izvajalski partner podpišeta izvedbeni sporazum, ki vsebuje naslednjo vsebino:</w:t>
      </w:r>
    </w:p>
    <w:p w14:paraId="544A295C" w14:textId="77777777" w:rsidR="00154E32" w:rsidRDefault="00A43E04">
      <w:pPr>
        <w:pStyle w:val="ListParagraph"/>
        <w:numPr>
          <w:ilvl w:val="0"/>
          <w:numId w:val="33"/>
        </w:numPr>
        <w:spacing w:before="0"/>
        <w:ind w:left="709" w:hanging="425"/>
        <w:contextualSpacing w:val="0"/>
        <w:rPr>
          <w:noProof/>
        </w:rPr>
      </w:pPr>
      <w:r>
        <w:rPr>
          <w:noProof/>
        </w:rPr>
        <w:t>Opis postopka odločanja instrumenta: Končno odločitev o naložbah Sklada za spodbujanje naložb sprejme odbor za naložbe ali drug ustrezen enakovreden upravljavski organ in jo z večino glasov potrdijo člani, ki so neodvisni od vlade.</w:t>
      </w:r>
    </w:p>
    <w:p w14:paraId="41088549" w14:textId="77777777" w:rsidR="00154E32" w:rsidRDefault="00A43E04">
      <w:pPr>
        <w:pStyle w:val="ListParagraph"/>
        <w:numPr>
          <w:ilvl w:val="0"/>
          <w:numId w:val="33"/>
        </w:numPr>
        <w:spacing w:before="0"/>
        <w:ind w:left="709" w:hanging="425"/>
        <w:contextualSpacing w:val="0"/>
        <w:rPr>
          <w:noProof/>
        </w:rPr>
      </w:pPr>
      <w:r>
        <w:rPr>
          <w:noProof/>
        </w:rPr>
        <w:t>Ključne zahteve povezane naložbene politike,</w:t>
      </w:r>
      <w:r>
        <w:rPr>
          <w:b/>
          <w:noProof/>
        </w:rPr>
        <w:t xml:space="preserve"> </w:t>
      </w:r>
      <w:r>
        <w:rPr>
          <w:noProof/>
        </w:rPr>
        <w:t>ki vključujejo:</w:t>
      </w:r>
    </w:p>
    <w:p w14:paraId="4B392CBD" w14:textId="5CB388EE" w:rsidR="00154E32" w:rsidRDefault="00A43E04">
      <w:pPr>
        <w:pStyle w:val="ListParagraph"/>
        <w:numPr>
          <w:ilvl w:val="1"/>
          <w:numId w:val="33"/>
        </w:numPr>
        <w:spacing w:before="0"/>
        <w:ind w:left="1418"/>
        <w:contextualSpacing w:val="0"/>
        <w:rPr>
          <w:noProof/>
        </w:rPr>
      </w:pPr>
      <w:r>
        <w:rPr>
          <w:noProof/>
        </w:rPr>
        <w:t>Opis finančnih produktov in upravičenih končnih upravičencev</w:t>
      </w:r>
      <w:r>
        <w:rPr>
          <w:rStyle w:val="FootnoteReference"/>
          <w:noProof/>
        </w:rPr>
        <w:footnoteReference w:id="145"/>
      </w:r>
      <w:r>
        <w:rPr>
          <w:noProof/>
        </w:rPr>
        <w:t>.</w:t>
      </w:r>
    </w:p>
    <w:p w14:paraId="3D8332FA" w14:textId="77777777" w:rsidR="00154E32" w:rsidRDefault="00A43E04">
      <w:pPr>
        <w:pStyle w:val="ListParagraph"/>
        <w:numPr>
          <w:ilvl w:val="1"/>
          <w:numId w:val="33"/>
        </w:numPr>
        <w:spacing w:before="0"/>
        <w:ind w:left="1418"/>
        <w:contextualSpacing w:val="0"/>
        <w:rPr>
          <w:noProof/>
        </w:rPr>
      </w:pPr>
      <w:r>
        <w:rPr>
          <w:noProof/>
        </w:rPr>
        <w:t>Zahteva, da so vse podprte naložbe ekonomsko upravičene</w:t>
      </w:r>
      <w:r>
        <w:rPr>
          <w:b/>
          <w:noProof/>
        </w:rPr>
        <w:t>.</w:t>
      </w:r>
    </w:p>
    <w:p w14:paraId="001B7036" w14:textId="77777777" w:rsidR="00154E32" w:rsidRDefault="00A43E04">
      <w:pPr>
        <w:pStyle w:val="ListParagraph"/>
        <w:numPr>
          <w:ilvl w:val="1"/>
          <w:numId w:val="33"/>
        </w:numPr>
        <w:spacing w:before="0"/>
        <w:ind w:left="1418"/>
        <w:contextualSpacing w:val="0"/>
        <w:rPr>
          <w:noProof/>
        </w:rPr>
      </w:pPr>
      <w:r>
        <w:rPr>
          <w:noProof/>
        </w:rPr>
        <w:t>Zahtevo po skladnosti z načelom, da se ne škoduje bistveno, kot je določeno v tehničnih smernicah za načelo, da se ne škoduje bistveno (2021/C58/01). Naložbena politika zlasti izključuje naslednji seznam dejavnosti in sredstev iz upravičenosti: (I) dejavnosti in sredstva, povezana s fosilnimi gorivi, vključno z nadaljnjo uporabo,</w:t>
      </w:r>
      <w:r>
        <w:rPr>
          <w:rStyle w:val="FootnoteReference"/>
          <w:noProof/>
        </w:rPr>
        <w:footnoteReference w:id="146"/>
      </w:r>
      <w:r>
        <w:rPr>
          <w:noProof/>
        </w:rPr>
        <w:t>(ii) dejavnosti in sredstva v okviru sistema EU za trgovanje z emisijami (ETS), s katerimi se dosegajo predvidene emisije toplogrednih plinov, ki niso nižje od ustreznih referenčnih vrednosti,</w:t>
      </w:r>
      <w:r>
        <w:rPr>
          <w:noProof/>
        </w:rPr>
        <w:footnoteReference w:id="147"/>
      </w:r>
      <w:r>
        <w:rPr>
          <w:noProof/>
        </w:rPr>
        <w:t>(iii) dejavnosti in sredstva, povezana z odlagališči odpadkov, sežigalnicami</w:t>
      </w:r>
      <w:r>
        <w:rPr>
          <w:rStyle w:val="FootnoteReference"/>
          <w:noProof/>
        </w:rPr>
        <w:footnoteReference w:id="148"/>
      </w:r>
      <w:r>
        <w:rPr>
          <w:noProof/>
        </w:rPr>
        <w:t xml:space="preserve"> in napravami za mehansko-biološko obdelavo</w:t>
      </w:r>
      <w:r>
        <w:rPr>
          <w:rStyle w:val="FootnoteReference"/>
          <w:noProof/>
        </w:rPr>
        <w:footnoteReference w:id="149"/>
      </w:r>
      <w:r>
        <w:rPr>
          <w:noProof/>
        </w:rPr>
        <w:t xml:space="preserve">. </w:t>
      </w:r>
    </w:p>
    <w:p w14:paraId="43ECEFCB" w14:textId="77777777" w:rsidR="00154E32" w:rsidRDefault="00A43E04">
      <w:pPr>
        <w:pStyle w:val="ListParagraph"/>
        <w:numPr>
          <w:ilvl w:val="1"/>
          <w:numId w:val="33"/>
        </w:numPr>
        <w:spacing w:before="0"/>
        <w:ind w:left="1418"/>
        <w:contextualSpacing w:val="0"/>
        <w:rPr>
          <w:noProof/>
        </w:rPr>
      </w:pPr>
      <w:r>
        <w:rPr>
          <w:noProof/>
        </w:rPr>
        <w:t>Zahteva, da končni upravičenci Instrumenta ne prejmejo podpore iz drugih instrumentov Unije za kritje istih stroškov.</w:t>
      </w:r>
    </w:p>
    <w:p w14:paraId="7A5DAE21" w14:textId="77777777" w:rsidR="00154E32" w:rsidRDefault="00A43E04">
      <w:pPr>
        <w:pStyle w:val="ListParagraph"/>
        <w:numPr>
          <w:ilvl w:val="0"/>
          <w:numId w:val="33"/>
        </w:numPr>
        <w:spacing w:before="0"/>
        <w:ind w:left="709"/>
        <w:contextualSpacing w:val="0"/>
        <w:rPr>
          <w:noProof/>
        </w:rPr>
      </w:pPr>
      <w:r>
        <w:rPr>
          <w:noProof/>
        </w:rPr>
        <w:t>Znesek, zajet v izvedbenem sporazumu, strukturo pristojbin za izvajalskega partnerja in zahtevo po ponovnem vlaganju morebitnih vrnjenih sredstev v skladu z naložbeno politiko mehanizma, razen če se uporabijo za servisiranje odplačil posojil iz mehanizma za okrevanje in odpornost.</w:t>
      </w:r>
    </w:p>
    <w:p w14:paraId="51E94BEC" w14:textId="77777777" w:rsidR="00154E32" w:rsidRDefault="00A43E04">
      <w:pPr>
        <w:pStyle w:val="ListParagraph"/>
        <w:numPr>
          <w:ilvl w:val="0"/>
          <w:numId w:val="33"/>
        </w:numPr>
        <w:spacing w:before="0"/>
        <w:ind w:left="709"/>
        <w:contextualSpacing w:val="0"/>
        <w:rPr>
          <w:noProof/>
        </w:rPr>
      </w:pPr>
      <w:r>
        <w:rPr>
          <w:noProof/>
        </w:rPr>
        <w:t>Zahteve glede spremljanja, revizije in nadzora, vključno z:</w:t>
      </w:r>
    </w:p>
    <w:p w14:paraId="5187B3FA" w14:textId="77777777" w:rsidR="00154E32" w:rsidRDefault="00A43E04">
      <w:pPr>
        <w:pStyle w:val="ListParagraph"/>
        <w:numPr>
          <w:ilvl w:val="1"/>
          <w:numId w:val="33"/>
        </w:numPr>
        <w:spacing w:before="0"/>
        <w:contextualSpacing w:val="0"/>
        <w:rPr>
          <w:noProof/>
        </w:rPr>
      </w:pPr>
      <w:r>
        <w:rPr>
          <w:noProof/>
        </w:rPr>
        <w:t>Opis sistema spremljanja izvajalskega partnerja za poročanje o mobiliziranih naložbah.</w:t>
      </w:r>
    </w:p>
    <w:p w14:paraId="012BA1E5" w14:textId="26B47E4B" w:rsidR="00154E32" w:rsidRDefault="00A43E04">
      <w:pPr>
        <w:pStyle w:val="ListParagraph"/>
        <w:numPr>
          <w:ilvl w:val="1"/>
          <w:numId w:val="33"/>
        </w:numPr>
        <w:spacing w:before="0"/>
        <w:contextualSpacing w:val="0"/>
        <w:rPr>
          <w:noProof/>
        </w:rPr>
      </w:pPr>
      <w:r>
        <w:rPr>
          <w:noProof/>
        </w:rPr>
        <w:t xml:space="preserve">Opis postopkov izvajalskega partnerja, ki zagotavljajo preprečevanje, odkrivanje in odpravljanje goljufij, korupcije in nasprotij interesov. </w:t>
      </w:r>
    </w:p>
    <w:p w14:paraId="12681A0C" w14:textId="77777777" w:rsidR="00154E32" w:rsidRDefault="00A43E04">
      <w:pPr>
        <w:pStyle w:val="ListParagraph"/>
        <w:numPr>
          <w:ilvl w:val="1"/>
          <w:numId w:val="33"/>
        </w:numPr>
        <w:spacing w:before="0"/>
        <w:contextualSpacing w:val="0"/>
        <w:rPr>
          <w:noProof/>
        </w:rPr>
      </w:pPr>
      <w:r>
        <w:rPr>
          <w:noProof/>
        </w:rPr>
        <w:t>Obveznost preverjanja upravičenosti vsake operacije v skladu z zahtevami iz izvedbenega sporazuma, preden se zaveže k financiranju operacije.</w:t>
      </w:r>
    </w:p>
    <w:p w14:paraId="429888DF" w14:textId="2FC5F46B" w:rsidR="00154E32" w:rsidRDefault="00A43E04">
      <w:pPr>
        <w:pStyle w:val="ListParagraph"/>
        <w:numPr>
          <w:ilvl w:val="1"/>
          <w:numId w:val="33"/>
        </w:numPr>
        <w:spacing w:before="0"/>
        <w:rPr>
          <w:noProof/>
        </w:rPr>
      </w:pPr>
      <w:r>
        <w:rPr>
          <w:noProof/>
        </w:rPr>
        <w:t xml:space="preserve">Obveznost izvajanja naknadnih revizij na podlagi tveganja v skladu z revizijskim načrtom Cassa Depositi e Prestiti in/ali Evropske investicijske banke. S temi revizijami se preveri i) učinkovitost kontrolnih sistemov, vključno z odkrivanjem goljufij, korupcije in navzkrižja interesov; II) skladnost z načelom, da se ne škoduje bistveno, pravili o državni pomoči ter podnebnimi in ciljnimi zahtevami; in iii) da se spoštuje zahteva, da končni upravičenci instrumenta niso prejeli podpore iz drugih instrumentov Unije za kritje istih stroškov. Z revizijami se preveri tudi zakonitost transakcij in spoštovanje pogojev iz veljavnega izvedbenega sporazuma. </w:t>
      </w:r>
    </w:p>
    <w:p w14:paraId="199C984F" w14:textId="77777777" w:rsidR="00154E32" w:rsidRDefault="00A43E04">
      <w:pPr>
        <w:spacing w:after="120"/>
        <w:jc w:val="both"/>
        <w:rPr>
          <w:noProof/>
        </w:rPr>
        <w:sectPr w:rsidR="00154E32" w:rsidSect="00C9514F">
          <w:headerReference w:type="even" r:id="rId399"/>
          <w:headerReference w:type="default" r:id="rId400"/>
          <w:footerReference w:type="even" r:id="rId401"/>
          <w:footerReference w:type="default" r:id="rId402"/>
          <w:headerReference w:type="first" r:id="rId403"/>
          <w:footerReference w:type="first" r:id="rId404"/>
          <w:pgSz w:w="11906" w:h="16838" w:code="12"/>
          <w:pgMar w:top="1440" w:right="1440" w:bottom="1440" w:left="1440" w:header="567" w:footer="567" w:gutter="0"/>
          <w:cols w:space="720"/>
          <w:docGrid w:linePitch="360"/>
        </w:sectPr>
      </w:pPr>
      <w:r>
        <w:rPr>
          <w:noProof/>
        </w:rPr>
        <w:t>Zahteve za podnebne naložbe, ki jih izvaja izvajalski partner: 1 381 000 000 EUR naložb mehanizma za okrevanje in odpornost v mehanizem prispeva k ciljem na področju podnebnih sprememb v skladu s Prilogo VI k uredbi o mehanizmu za okrevanje in odpornost.</w:t>
      </w:r>
      <w:r>
        <w:rPr>
          <w:rStyle w:val="FootnoteReference"/>
          <w:noProof/>
        </w:rPr>
        <w:footnoteReference w:id="150"/>
      </w:r>
    </w:p>
    <w:p w14:paraId="190896D7" w14:textId="77777777" w:rsidR="00154E32" w:rsidRDefault="00A43E04">
      <w:pPr>
        <w:spacing w:after="160" w:line="259" w:lineRule="auto"/>
        <w:rPr>
          <w:rStyle w:val="eop"/>
          <w:noProof/>
          <w:u w:val="single"/>
        </w:rPr>
      </w:pPr>
      <w:r>
        <w:rPr>
          <w:rStyle w:val="normaltextrun"/>
          <w:b/>
          <w:noProof/>
          <w:u w:val="single"/>
        </w:rPr>
        <w:t xml:space="preserve">VPRAŠANJE.4. </w:t>
      </w:r>
      <w:r>
        <w:rPr>
          <w:noProof/>
        </w:rPr>
        <w:tab/>
      </w:r>
      <w:r>
        <w:rPr>
          <w:rStyle w:val="normaltextrun"/>
          <w:b/>
          <w:noProof/>
          <w:u w:val="single"/>
        </w:rPr>
        <w:t xml:space="preserve">Mejniki, cilji, kazalniki in časovni razpored za spremljanje in izvajanje posojila </w:t>
      </w:r>
      <w:r>
        <w:rPr>
          <w:rStyle w:val="eop"/>
          <w:noProof/>
          <w:u w:val="single"/>
        </w:rPr>
        <w:t xml:space="preserve"> </w:t>
      </w:r>
    </w:p>
    <w:tbl>
      <w:tblPr>
        <w:tblW w:w="5507" w:type="pct"/>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187"/>
        <w:gridCol w:w="1559"/>
        <w:gridCol w:w="1134"/>
        <w:gridCol w:w="1417"/>
        <w:gridCol w:w="1701"/>
        <w:gridCol w:w="1276"/>
        <w:gridCol w:w="992"/>
        <w:gridCol w:w="1276"/>
        <w:gridCol w:w="851"/>
        <w:gridCol w:w="708"/>
        <w:gridCol w:w="3261"/>
      </w:tblGrid>
      <w:tr w:rsidR="00154E32" w14:paraId="502669C7" w14:textId="77777777">
        <w:trPr>
          <w:trHeight w:val="765"/>
          <w:tblHeader/>
        </w:trPr>
        <w:tc>
          <w:tcPr>
            <w:tcW w:w="1187" w:type="dxa"/>
            <w:vMerge w:val="restart"/>
            <w:shd w:val="clear" w:color="auto" w:fill="BDD7EE"/>
            <w:vAlign w:val="center"/>
            <w:hideMark/>
          </w:tcPr>
          <w:p w14:paraId="797FD2A9" w14:textId="77777777" w:rsidR="00154E32" w:rsidRDefault="00A43E04">
            <w:pPr>
              <w:pStyle w:val="P68B1DB1-Normal9"/>
              <w:spacing w:after="120"/>
              <w:jc w:val="center"/>
              <w:rPr>
                <w:noProof/>
              </w:rPr>
            </w:pPr>
            <w:r>
              <w:rPr>
                <w:noProof/>
              </w:rPr>
              <w:t>Zaporedna številka</w:t>
            </w:r>
          </w:p>
        </w:tc>
        <w:tc>
          <w:tcPr>
            <w:tcW w:w="1559" w:type="dxa"/>
            <w:vMerge w:val="restart"/>
            <w:shd w:val="clear" w:color="auto" w:fill="BDD7EE"/>
            <w:vAlign w:val="center"/>
            <w:hideMark/>
          </w:tcPr>
          <w:p w14:paraId="37C1920F" w14:textId="77777777" w:rsidR="00154E32" w:rsidRDefault="00A43E04">
            <w:pPr>
              <w:pStyle w:val="P68B1DB1-Normal9"/>
              <w:spacing w:after="120"/>
              <w:jc w:val="center"/>
              <w:rPr>
                <w:noProof/>
              </w:rPr>
            </w:pPr>
            <w:r>
              <w:rPr>
                <w:noProof/>
              </w:rPr>
              <w:t>Povezani ukrep (reforma ali naložba)</w:t>
            </w:r>
          </w:p>
        </w:tc>
        <w:tc>
          <w:tcPr>
            <w:tcW w:w="1134" w:type="dxa"/>
            <w:vMerge w:val="restart"/>
            <w:shd w:val="clear" w:color="auto" w:fill="BDD7EE"/>
            <w:vAlign w:val="center"/>
            <w:hideMark/>
          </w:tcPr>
          <w:p w14:paraId="180D1C3F" w14:textId="77777777" w:rsidR="00154E32" w:rsidRDefault="00A43E04">
            <w:pPr>
              <w:pStyle w:val="P68B1DB1-Normal9"/>
              <w:spacing w:after="120"/>
              <w:jc w:val="center"/>
              <w:rPr>
                <w:noProof/>
              </w:rPr>
            </w:pPr>
            <w:r>
              <w:rPr>
                <w:noProof/>
              </w:rPr>
              <w:t>Mejnik</w:t>
            </w:r>
          </w:p>
          <w:p w14:paraId="4A016BB6" w14:textId="77777777" w:rsidR="00154E32" w:rsidRDefault="00A43E04">
            <w:pPr>
              <w:pStyle w:val="P68B1DB1-Normal9"/>
              <w:spacing w:after="120"/>
              <w:jc w:val="center"/>
              <w:rPr>
                <w:noProof/>
              </w:rPr>
            </w:pPr>
            <w:r>
              <w:rPr>
                <w:noProof/>
              </w:rPr>
              <w:t>/Ciljni cilj</w:t>
            </w:r>
          </w:p>
        </w:tc>
        <w:tc>
          <w:tcPr>
            <w:tcW w:w="1417" w:type="dxa"/>
            <w:vMerge w:val="restart"/>
            <w:shd w:val="clear" w:color="auto" w:fill="BDD7EE"/>
            <w:vAlign w:val="center"/>
            <w:hideMark/>
          </w:tcPr>
          <w:p w14:paraId="338E0241" w14:textId="77777777" w:rsidR="00154E32" w:rsidRDefault="00A43E04">
            <w:pPr>
              <w:pStyle w:val="P68B1DB1-Normal9"/>
              <w:spacing w:after="120"/>
              <w:jc w:val="center"/>
              <w:rPr>
                <w:noProof/>
              </w:rPr>
            </w:pPr>
            <w:r>
              <w:rPr>
                <w:noProof/>
              </w:rPr>
              <w:t>Ime</w:t>
            </w:r>
          </w:p>
        </w:tc>
        <w:tc>
          <w:tcPr>
            <w:tcW w:w="1701" w:type="dxa"/>
            <w:vMerge w:val="restart"/>
            <w:shd w:val="clear" w:color="auto" w:fill="BDD7EE"/>
            <w:vAlign w:val="center"/>
            <w:hideMark/>
          </w:tcPr>
          <w:p w14:paraId="69F948FC" w14:textId="77777777" w:rsidR="00154E32" w:rsidRDefault="00A43E04">
            <w:pPr>
              <w:pStyle w:val="P68B1DB1-Normal10"/>
              <w:spacing w:after="120"/>
              <w:jc w:val="center"/>
              <w:rPr>
                <w:b/>
                <w:noProof/>
                <w:sz w:val="20"/>
              </w:rPr>
            </w:pPr>
            <w:r>
              <w:rPr>
                <w:b/>
                <w:noProof/>
                <w:sz w:val="20"/>
              </w:rPr>
              <w:t>Kakovostni kazalniki</w:t>
            </w:r>
            <w:r>
              <w:rPr>
                <w:noProof/>
              </w:rPr>
              <w:t xml:space="preserve"> </w:t>
            </w:r>
            <w:r>
              <w:rPr>
                <w:noProof/>
              </w:rPr>
              <w:br/>
            </w:r>
            <w:r>
              <w:rPr>
                <w:b/>
                <w:noProof/>
                <w:sz w:val="20"/>
              </w:rPr>
              <w:t>(za mejnike)</w:t>
            </w:r>
          </w:p>
        </w:tc>
        <w:tc>
          <w:tcPr>
            <w:tcW w:w="3544" w:type="dxa"/>
            <w:gridSpan w:val="3"/>
            <w:shd w:val="clear" w:color="auto" w:fill="BDD7EE"/>
            <w:vAlign w:val="center"/>
            <w:hideMark/>
          </w:tcPr>
          <w:p w14:paraId="1B71CF6E" w14:textId="77777777" w:rsidR="00154E32" w:rsidRDefault="00A43E04">
            <w:pPr>
              <w:pStyle w:val="P68B1DB1-Normal10"/>
              <w:spacing w:after="120"/>
              <w:jc w:val="center"/>
              <w:rPr>
                <w:b/>
                <w:noProof/>
                <w:sz w:val="20"/>
              </w:rPr>
            </w:pPr>
            <w:r>
              <w:rPr>
                <w:b/>
                <w:noProof/>
                <w:sz w:val="20"/>
              </w:rPr>
              <w:t>Kvantitativni kazalniki</w:t>
            </w:r>
            <w:r>
              <w:rPr>
                <w:noProof/>
              </w:rPr>
              <w:t xml:space="preserve"> </w:t>
            </w:r>
            <w:r>
              <w:rPr>
                <w:noProof/>
              </w:rPr>
              <w:br/>
            </w:r>
            <w:r>
              <w:rPr>
                <w:b/>
                <w:noProof/>
                <w:sz w:val="20"/>
              </w:rPr>
              <w:t>(za ciljne vrednosti)</w:t>
            </w:r>
          </w:p>
        </w:tc>
        <w:tc>
          <w:tcPr>
            <w:tcW w:w="1559" w:type="dxa"/>
            <w:gridSpan w:val="2"/>
            <w:shd w:val="clear" w:color="auto" w:fill="BDD7EE"/>
            <w:vAlign w:val="center"/>
            <w:hideMark/>
          </w:tcPr>
          <w:p w14:paraId="782F674E" w14:textId="77777777" w:rsidR="00154E32" w:rsidRDefault="00A43E04">
            <w:pPr>
              <w:pStyle w:val="P68B1DB1-Normal9"/>
              <w:spacing w:after="120"/>
              <w:jc w:val="center"/>
              <w:rPr>
                <w:noProof/>
              </w:rPr>
            </w:pPr>
            <w:r>
              <w:rPr>
                <w:noProof/>
              </w:rPr>
              <w:t>Okvirni časovni razpored za dokončanje</w:t>
            </w:r>
          </w:p>
        </w:tc>
        <w:tc>
          <w:tcPr>
            <w:tcW w:w="3261" w:type="dxa"/>
            <w:vMerge w:val="restart"/>
            <w:shd w:val="clear" w:color="auto" w:fill="BDD7EE"/>
            <w:vAlign w:val="center"/>
            <w:hideMark/>
          </w:tcPr>
          <w:p w14:paraId="4D9B0BF4" w14:textId="77777777" w:rsidR="00154E32" w:rsidRDefault="00A43E04">
            <w:pPr>
              <w:pStyle w:val="P68B1DB1-Normal9"/>
              <w:spacing w:after="120"/>
              <w:jc w:val="center"/>
              <w:rPr>
                <w:noProof/>
              </w:rPr>
            </w:pPr>
            <w:r>
              <w:rPr>
                <w:noProof/>
              </w:rPr>
              <w:t>Opis vsakega mejnika in cilja</w:t>
            </w:r>
          </w:p>
        </w:tc>
      </w:tr>
      <w:tr w:rsidR="00154E32" w14:paraId="430A4BA3" w14:textId="77777777">
        <w:trPr>
          <w:trHeight w:val="691"/>
          <w:tblHeader/>
        </w:trPr>
        <w:tc>
          <w:tcPr>
            <w:tcW w:w="1187" w:type="dxa"/>
            <w:vMerge/>
            <w:vAlign w:val="center"/>
            <w:hideMark/>
          </w:tcPr>
          <w:p w14:paraId="6CB4E4D6" w14:textId="77777777" w:rsidR="00154E32" w:rsidRDefault="00154E32">
            <w:pPr>
              <w:spacing w:after="120"/>
              <w:jc w:val="center"/>
              <w:rPr>
                <w:rFonts w:ascii="Arial Narrow" w:hAnsi="Arial Narrow"/>
                <w:b/>
                <w:noProof/>
                <w:sz w:val="20"/>
              </w:rPr>
            </w:pPr>
          </w:p>
        </w:tc>
        <w:tc>
          <w:tcPr>
            <w:tcW w:w="1559" w:type="dxa"/>
            <w:vMerge/>
            <w:vAlign w:val="center"/>
            <w:hideMark/>
          </w:tcPr>
          <w:p w14:paraId="72BBD502" w14:textId="77777777" w:rsidR="00154E32" w:rsidRDefault="00154E32">
            <w:pPr>
              <w:spacing w:after="120"/>
              <w:jc w:val="center"/>
              <w:rPr>
                <w:rFonts w:ascii="Arial Narrow" w:hAnsi="Arial Narrow"/>
                <w:b/>
                <w:noProof/>
                <w:sz w:val="20"/>
              </w:rPr>
            </w:pPr>
          </w:p>
        </w:tc>
        <w:tc>
          <w:tcPr>
            <w:tcW w:w="1134" w:type="dxa"/>
            <w:vMerge/>
            <w:vAlign w:val="center"/>
            <w:hideMark/>
          </w:tcPr>
          <w:p w14:paraId="2AE7A3E4" w14:textId="77777777" w:rsidR="00154E32" w:rsidRDefault="00154E32">
            <w:pPr>
              <w:spacing w:after="120"/>
              <w:jc w:val="center"/>
              <w:rPr>
                <w:rFonts w:ascii="Arial Narrow" w:hAnsi="Arial Narrow"/>
                <w:b/>
                <w:noProof/>
                <w:sz w:val="20"/>
              </w:rPr>
            </w:pPr>
          </w:p>
        </w:tc>
        <w:tc>
          <w:tcPr>
            <w:tcW w:w="1417" w:type="dxa"/>
            <w:vMerge/>
            <w:vAlign w:val="center"/>
            <w:hideMark/>
          </w:tcPr>
          <w:p w14:paraId="1387268A" w14:textId="77777777" w:rsidR="00154E32" w:rsidRDefault="00154E32">
            <w:pPr>
              <w:spacing w:after="120"/>
              <w:jc w:val="center"/>
              <w:rPr>
                <w:rFonts w:ascii="Arial Narrow" w:hAnsi="Arial Narrow"/>
                <w:b/>
                <w:noProof/>
                <w:sz w:val="20"/>
              </w:rPr>
            </w:pPr>
          </w:p>
        </w:tc>
        <w:tc>
          <w:tcPr>
            <w:tcW w:w="1701" w:type="dxa"/>
            <w:vMerge/>
            <w:vAlign w:val="center"/>
            <w:hideMark/>
          </w:tcPr>
          <w:p w14:paraId="42DE4543" w14:textId="77777777" w:rsidR="00154E32" w:rsidRDefault="00154E32">
            <w:pPr>
              <w:spacing w:after="120"/>
              <w:jc w:val="center"/>
              <w:rPr>
                <w:rFonts w:ascii="Arial Narrow" w:hAnsi="Arial Narrow"/>
                <w:b/>
                <w:noProof/>
                <w:sz w:val="20"/>
              </w:rPr>
            </w:pPr>
          </w:p>
        </w:tc>
        <w:tc>
          <w:tcPr>
            <w:tcW w:w="1276" w:type="dxa"/>
            <w:shd w:val="clear" w:color="auto" w:fill="BDD7EE"/>
            <w:vAlign w:val="center"/>
            <w:hideMark/>
          </w:tcPr>
          <w:p w14:paraId="6E4FA4C2" w14:textId="39724F32" w:rsidR="00154E32" w:rsidRDefault="00A43E04">
            <w:pPr>
              <w:pStyle w:val="P68B1DB1-Normal9"/>
              <w:spacing w:after="120"/>
              <w:jc w:val="center"/>
              <w:rPr>
                <w:noProof/>
              </w:rPr>
            </w:pPr>
            <w:r>
              <w:rPr>
                <w:noProof/>
              </w:rPr>
              <w:t>Merska enota</w:t>
            </w:r>
          </w:p>
        </w:tc>
        <w:tc>
          <w:tcPr>
            <w:tcW w:w="992" w:type="dxa"/>
            <w:shd w:val="clear" w:color="auto" w:fill="BDD7EE"/>
            <w:vAlign w:val="center"/>
            <w:hideMark/>
          </w:tcPr>
          <w:p w14:paraId="00709440" w14:textId="77777777" w:rsidR="00154E32" w:rsidRDefault="00A43E04">
            <w:pPr>
              <w:pStyle w:val="P68B1DB1-Normal9"/>
              <w:spacing w:after="120"/>
              <w:jc w:val="center"/>
              <w:rPr>
                <w:noProof/>
              </w:rPr>
            </w:pPr>
            <w:r>
              <w:rPr>
                <w:noProof/>
              </w:rPr>
              <w:t>Izhodišče</w:t>
            </w:r>
          </w:p>
        </w:tc>
        <w:tc>
          <w:tcPr>
            <w:tcW w:w="1276" w:type="dxa"/>
            <w:shd w:val="clear" w:color="auto" w:fill="BDD7EE"/>
            <w:vAlign w:val="center"/>
            <w:hideMark/>
          </w:tcPr>
          <w:p w14:paraId="79F412C5" w14:textId="77777777" w:rsidR="00154E32" w:rsidRDefault="00A43E04">
            <w:pPr>
              <w:pStyle w:val="P68B1DB1-Normal9"/>
              <w:spacing w:after="120"/>
              <w:jc w:val="center"/>
              <w:rPr>
                <w:noProof/>
              </w:rPr>
            </w:pPr>
            <w:r>
              <w:rPr>
                <w:noProof/>
              </w:rPr>
              <w:t>Cilj</w:t>
            </w:r>
          </w:p>
        </w:tc>
        <w:tc>
          <w:tcPr>
            <w:tcW w:w="851" w:type="dxa"/>
            <w:shd w:val="clear" w:color="auto" w:fill="BDD7EE"/>
            <w:vAlign w:val="center"/>
            <w:hideMark/>
          </w:tcPr>
          <w:p w14:paraId="23810043" w14:textId="77777777" w:rsidR="00154E32" w:rsidRDefault="00A43E04">
            <w:pPr>
              <w:pStyle w:val="P68B1DB1-Normal9"/>
              <w:spacing w:after="120"/>
              <w:jc w:val="center"/>
              <w:rPr>
                <w:noProof/>
              </w:rPr>
            </w:pPr>
            <w:r>
              <w:rPr>
                <w:noProof/>
              </w:rPr>
              <w:t>Četrtletje</w:t>
            </w:r>
          </w:p>
        </w:tc>
        <w:tc>
          <w:tcPr>
            <w:tcW w:w="708" w:type="dxa"/>
            <w:shd w:val="clear" w:color="auto" w:fill="BDD7EE"/>
            <w:vAlign w:val="center"/>
            <w:hideMark/>
          </w:tcPr>
          <w:p w14:paraId="26F3D08D" w14:textId="77777777" w:rsidR="00154E32" w:rsidRDefault="00A43E04">
            <w:pPr>
              <w:pStyle w:val="P68B1DB1-Normal9"/>
              <w:spacing w:after="120"/>
              <w:jc w:val="center"/>
              <w:rPr>
                <w:noProof/>
              </w:rPr>
            </w:pPr>
            <w:r>
              <w:rPr>
                <w:noProof/>
              </w:rPr>
              <w:t>Leto</w:t>
            </w:r>
          </w:p>
        </w:tc>
        <w:tc>
          <w:tcPr>
            <w:tcW w:w="3261" w:type="dxa"/>
            <w:vMerge/>
            <w:vAlign w:val="center"/>
            <w:hideMark/>
          </w:tcPr>
          <w:p w14:paraId="72946C43" w14:textId="77777777" w:rsidR="00154E32" w:rsidRDefault="00154E32">
            <w:pPr>
              <w:spacing w:after="120"/>
              <w:jc w:val="center"/>
              <w:rPr>
                <w:rFonts w:ascii="Arial Narrow" w:hAnsi="Arial Narrow"/>
                <w:b/>
                <w:noProof/>
                <w:sz w:val="20"/>
              </w:rPr>
            </w:pPr>
          </w:p>
        </w:tc>
      </w:tr>
      <w:tr w:rsidR="00154E32" w14:paraId="486CEA35" w14:textId="77777777">
        <w:trPr>
          <w:trHeight w:val="309"/>
        </w:trPr>
        <w:tc>
          <w:tcPr>
            <w:tcW w:w="1187" w:type="dxa"/>
            <w:shd w:val="clear" w:color="auto" w:fill="C6EFCE"/>
            <w:noWrap/>
            <w:vAlign w:val="center"/>
          </w:tcPr>
          <w:p w14:paraId="713589D9" w14:textId="05901AC2" w:rsidR="00154E32" w:rsidRDefault="00A43E04">
            <w:pPr>
              <w:pStyle w:val="P68B1DB1-Normal11"/>
              <w:spacing w:after="120"/>
              <w:jc w:val="center"/>
              <w:rPr>
                <w:noProof/>
              </w:rPr>
            </w:pPr>
            <w:r>
              <w:rPr>
                <w:noProof/>
              </w:rPr>
              <w:t>M7–35</w:t>
            </w:r>
          </w:p>
        </w:tc>
        <w:tc>
          <w:tcPr>
            <w:tcW w:w="1559" w:type="dxa"/>
            <w:shd w:val="clear" w:color="auto" w:fill="C6EFCE"/>
            <w:noWrap/>
            <w:vAlign w:val="center"/>
          </w:tcPr>
          <w:p w14:paraId="2DF648FD" w14:textId="33E5DD2D" w:rsidR="00154E32" w:rsidRDefault="00A43E04">
            <w:pPr>
              <w:pStyle w:val="P68B1DB1-Normal11"/>
              <w:spacing w:after="120"/>
              <w:jc w:val="center"/>
              <w:rPr>
                <w:noProof/>
              </w:rPr>
            </w:pPr>
            <w:r>
              <w:rPr>
                <w:noProof/>
              </w:rPr>
              <w:t>Naložba 13: Faza 1 Jadranske črte (kompresorska postaja Sulmona in plinovod Sestino-Minerbio)</w:t>
            </w:r>
          </w:p>
        </w:tc>
        <w:tc>
          <w:tcPr>
            <w:tcW w:w="1134" w:type="dxa"/>
            <w:shd w:val="clear" w:color="auto" w:fill="C6EFCE"/>
            <w:noWrap/>
            <w:vAlign w:val="center"/>
          </w:tcPr>
          <w:p w14:paraId="5C5ACED3" w14:textId="3734F7F6" w:rsidR="00154E32" w:rsidRDefault="00A43E04">
            <w:pPr>
              <w:pStyle w:val="P68B1DB1-Normal11"/>
              <w:spacing w:after="120"/>
              <w:jc w:val="center"/>
              <w:rPr>
                <w:noProof/>
              </w:rPr>
            </w:pPr>
            <w:r>
              <w:rPr>
                <w:noProof/>
              </w:rPr>
              <w:t>Mejnik</w:t>
            </w:r>
          </w:p>
        </w:tc>
        <w:tc>
          <w:tcPr>
            <w:tcW w:w="1417" w:type="dxa"/>
            <w:shd w:val="clear" w:color="auto" w:fill="C6EFCE"/>
            <w:noWrap/>
            <w:vAlign w:val="center"/>
          </w:tcPr>
          <w:p w14:paraId="22BD6858" w14:textId="73FB1B78" w:rsidR="00154E32" w:rsidRDefault="00A43E04">
            <w:pPr>
              <w:pStyle w:val="P68B1DB1-Normal11"/>
              <w:spacing w:after="120"/>
              <w:jc w:val="center"/>
              <w:rPr>
                <w:noProof/>
              </w:rPr>
            </w:pPr>
            <w:r>
              <w:rPr>
                <w:noProof/>
              </w:rPr>
              <w:t>Sprejetje in posodobitev ustreznih presoj vplivov na okolje (VIncA)</w:t>
            </w:r>
          </w:p>
        </w:tc>
        <w:tc>
          <w:tcPr>
            <w:tcW w:w="1701" w:type="dxa"/>
            <w:shd w:val="clear" w:color="auto" w:fill="C6EFCE"/>
            <w:noWrap/>
            <w:vAlign w:val="center"/>
          </w:tcPr>
          <w:p w14:paraId="5758BCD4" w14:textId="3204C9DE" w:rsidR="00154E32" w:rsidRDefault="00A43E04">
            <w:pPr>
              <w:pStyle w:val="P68B1DB1-Normal11"/>
              <w:spacing w:after="120"/>
              <w:jc w:val="center"/>
              <w:rPr>
                <w:noProof/>
              </w:rPr>
            </w:pPr>
            <w:r>
              <w:rPr>
                <w:noProof/>
              </w:rPr>
              <w:t>Opredeljeni SSCO in Vinca so bili ustrezno revidirani in sprejeti.</w:t>
            </w:r>
          </w:p>
        </w:tc>
        <w:tc>
          <w:tcPr>
            <w:tcW w:w="1276" w:type="dxa"/>
            <w:shd w:val="clear" w:color="auto" w:fill="C6EFCE"/>
            <w:noWrap/>
            <w:vAlign w:val="center"/>
          </w:tcPr>
          <w:p w14:paraId="0250E816"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74E44A03" w14:textId="77777777" w:rsidR="00154E32" w:rsidRDefault="00154E32">
            <w:pPr>
              <w:spacing w:after="120"/>
              <w:jc w:val="center"/>
              <w:rPr>
                <w:rFonts w:ascii="Arial Narrow" w:hAnsi="Arial Narrow"/>
                <w:noProof/>
                <w:color w:val="006100"/>
                <w:sz w:val="20"/>
              </w:rPr>
            </w:pPr>
          </w:p>
        </w:tc>
        <w:tc>
          <w:tcPr>
            <w:tcW w:w="1276" w:type="dxa"/>
            <w:shd w:val="clear" w:color="auto" w:fill="C6EFCE"/>
            <w:noWrap/>
            <w:vAlign w:val="center"/>
          </w:tcPr>
          <w:p w14:paraId="74F853DE" w14:textId="77777777" w:rsidR="00154E32" w:rsidRDefault="00154E32">
            <w:pPr>
              <w:spacing w:after="120"/>
              <w:jc w:val="center"/>
              <w:rPr>
                <w:rFonts w:ascii="Arial Narrow" w:hAnsi="Arial Narrow"/>
                <w:noProof/>
                <w:color w:val="006100"/>
                <w:sz w:val="20"/>
              </w:rPr>
            </w:pPr>
          </w:p>
        </w:tc>
        <w:tc>
          <w:tcPr>
            <w:tcW w:w="851" w:type="dxa"/>
            <w:shd w:val="clear" w:color="auto" w:fill="C6EFCE"/>
            <w:noWrap/>
            <w:vAlign w:val="center"/>
          </w:tcPr>
          <w:p w14:paraId="75B66973" w14:textId="3D8EFBBF" w:rsidR="00154E32" w:rsidRDefault="00A43E04">
            <w:pPr>
              <w:pStyle w:val="P68B1DB1-Normal11"/>
              <w:spacing w:after="120"/>
              <w:jc w:val="center"/>
              <w:rPr>
                <w:noProof/>
              </w:rPr>
            </w:pPr>
            <w:r>
              <w:rPr>
                <w:noProof/>
              </w:rPr>
              <w:t>ČETRTLETJE 1</w:t>
            </w:r>
          </w:p>
        </w:tc>
        <w:tc>
          <w:tcPr>
            <w:tcW w:w="708" w:type="dxa"/>
            <w:shd w:val="clear" w:color="auto" w:fill="C6EFCE"/>
            <w:noWrap/>
            <w:vAlign w:val="center"/>
          </w:tcPr>
          <w:p w14:paraId="71F86014" w14:textId="197DF872" w:rsidR="00154E32" w:rsidRDefault="00A43E04">
            <w:pPr>
              <w:pStyle w:val="P68B1DB1-Normal11"/>
              <w:spacing w:after="120"/>
              <w:jc w:val="center"/>
              <w:rPr>
                <w:noProof/>
              </w:rPr>
            </w:pPr>
            <w:r>
              <w:rPr>
                <w:noProof/>
              </w:rPr>
              <w:t>2024</w:t>
            </w:r>
          </w:p>
        </w:tc>
        <w:tc>
          <w:tcPr>
            <w:tcW w:w="3261" w:type="dxa"/>
            <w:shd w:val="clear" w:color="auto" w:fill="C6EFCE"/>
            <w:noWrap/>
            <w:vAlign w:val="center"/>
          </w:tcPr>
          <w:p w14:paraId="10B0ED2E" w14:textId="194F44BE" w:rsidR="00154E32" w:rsidRDefault="00A43E04">
            <w:pPr>
              <w:pStyle w:val="P68B1DB1-Normal11"/>
              <w:spacing w:after="120"/>
              <w:rPr>
                <w:noProof/>
              </w:rPr>
            </w:pPr>
            <w:bookmarkStart w:id="7" w:name="_Hlk147330404"/>
            <w:r>
              <w:rPr>
                <w:noProof/>
              </w:rPr>
              <w:t>Italijanski organi:</w:t>
            </w:r>
          </w:p>
          <w:p w14:paraId="6E87C74A" w14:textId="77777777" w:rsidR="00154E32" w:rsidRDefault="00A43E04">
            <w:pPr>
              <w:pStyle w:val="P68B1DB1-ListParagraph13"/>
              <w:numPr>
                <w:ilvl w:val="0"/>
                <w:numId w:val="22"/>
              </w:numPr>
              <w:spacing w:before="0"/>
              <w:contextualSpacing w:val="0"/>
              <w:jc w:val="left"/>
              <w:rPr>
                <w:noProof/>
              </w:rPr>
            </w:pPr>
            <w:r>
              <w:rPr>
                <w:noProof/>
              </w:rPr>
              <w:t>Določi cilje ohranjanja za posamezna območja za območja Natura 2000, na katera vpliva projekt, v skladu z metodologijo, ki jo je ministrstvo za okolje in energetsko varnost sprejelo v letih 2022 in 2023.</w:t>
            </w:r>
          </w:p>
          <w:p w14:paraId="291561E1" w14:textId="77777777" w:rsidR="00154E32" w:rsidRDefault="00A43E04">
            <w:pPr>
              <w:pStyle w:val="P68B1DB1-ListParagraph13"/>
              <w:numPr>
                <w:ilvl w:val="0"/>
                <w:numId w:val="22"/>
              </w:numPr>
              <w:spacing w:before="0"/>
              <w:contextualSpacing w:val="0"/>
              <w:jc w:val="left"/>
              <w:rPr>
                <w:noProof/>
              </w:rPr>
            </w:pPr>
            <w:r>
              <w:rPr>
                <w:noProof/>
              </w:rPr>
              <w:t>Preverjanje ustreznih presoj, ki so bile že izvedene v skladu z direktivo o habitatih (Vincas), glede na novoustanovljene SSCO.</w:t>
            </w:r>
            <w:bookmarkEnd w:id="7"/>
          </w:p>
          <w:p w14:paraId="608AD07B" w14:textId="340B320D" w:rsidR="00154E32" w:rsidRDefault="00A43E04">
            <w:pPr>
              <w:pStyle w:val="P68B1DB1-ListParagraph13"/>
              <w:numPr>
                <w:ilvl w:val="0"/>
                <w:numId w:val="22"/>
              </w:numPr>
              <w:spacing w:before="0"/>
              <w:contextualSpacing w:val="0"/>
              <w:jc w:val="left"/>
              <w:rPr>
                <w:noProof/>
              </w:rPr>
            </w:pPr>
            <w:r>
              <w:rPr>
                <w:noProof/>
              </w:rPr>
              <w:t>Posodobitev (po potrebi) ustreznih presoj (Vincas), ki so že bile izvedene na podlagi direktive o habitatih v skladu z nacionalnimi smernicami z dne 28. decembra 2019, in zagotovitev njihove vključitve v celoten postopek presoje vplivov na okolje.</w:t>
            </w:r>
          </w:p>
        </w:tc>
      </w:tr>
      <w:tr w:rsidR="00154E32" w14:paraId="31A96044" w14:textId="77777777">
        <w:trPr>
          <w:trHeight w:val="309"/>
        </w:trPr>
        <w:tc>
          <w:tcPr>
            <w:tcW w:w="1187" w:type="dxa"/>
            <w:shd w:val="clear" w:color="auto" w:fill="C6EFCE"/>
            <w:noWrap/>
            <w:vAlign w:val="center"/>
          </w:tcPr>
          <w:p w14:paraId="7D048B72" w14:textId="10CDB865" w:rsidR="00154E32" w:rsidRDefault="00A43E04">
            <w:pPr>
              <w:pStyle w:val="P68B1DB1-Normal11"/>
              <w:spacing w:after="120"/>
              <w:jc w:val="center"/>
              <w:rPr>
                <w:noProof/>
              </w:rPr>
            </w:pPr>
            <w:r>
              <w:rPr>
                <w:noProof/>
              </w:rPr>
              <w:t>M7–36</w:t>
            </w:r>
          </w:p>
        </w:tc>
        <w:tc>
          <w:tcPr>
            <w:tcW w:w="1559" w:type="dxa"/>
            <w:shd w:val="clear" w:color="auto" w:fill="C6EFCE"/>
            <w:noWrap/>
            <w:vAlign w:val="center"/>
          </w:tcPr>
          <w:p w14:paraId="32668F73" w14:textId="7D327A27" w:rsidR="00154E32" w:rsidRDefault="00A43E04">
            <w:pPr>
              <w:pStyle w:val="P68B1DB1-Normal11"/>
              <w:spacing w:after="120"/>
              <w:jc w:val="center"/>
              <w:rPr>
                <w:noProof/>
              </w:rPr>
            </w:pPr>
            <w:r>
              <w:rPr>
                <w:noProof/>
              </w:rPr>
              <w:t>Naložba 13: Faza 1 Jadranske črte (kompresorska postaja Sulmona in plinovod Sestino-Minerbio)</w:t>
            </w:r>
          </w:p>
        </w:tc>
        <w:tc>
          <w:tcPr>
            <w:tcW w:w="1134" w:type="dxa"/>
            <w:shd w:val="clear" w:color="auto" w:fill="C6EFCE"/>
            <w:noWrap/>
            <w:vAlign w:val="center"/>
          </w:tcPr>
          <w:p w14:paraId="2399EC25" w14:textId="113656EB" w:rsidR="00154E32" w:rsidRDefault="00A43E04">
            <w:pPr>
              <w:pStyle w:val="P68B1DB1-Normal11"/>
              <w:spacing w:after="120"/>
              <w:jc w:val="center"/>
              <w:rPr>
                <w:noProof/>
              </w:rPr>
            </w:pPr>
            <w:r>
              <w:rPr>
                <w:noProof/>
              </w:rPr>
              <w:t>Mejnik</w:t>
            </w:r>
          </w:p>
        </w:tc>
        <w:tc>
          <w:tcPr>
            <w:tcW w:w="1417" w:type="dxa"/>
            <w:shd w:val="clear" w:color="auto" w:fill="C6EFCE"/>
            <w:noWrap/>
            <w:vAlign w:val="center"/>
          </w:tcPr>
          <w:p w14:paraId="63051836" w14:textId="26318F37" w:rsidR="00154E32" w:rsidRDefault="00A43E04">
            <w:pPr>
              <w:pStyle w:val="P68B1DB1-Normal11"/>
              <w:spacing w:after="120"/>
              <w:jc w:val="center"/>
              <w:rPr>
                <w:noProof/>
              </w:rPr>
            </w:pPr>
            <w:r>
              <w:rPr>
                <w:noProof/>
              </w:rPr>
              <w:t>Dodelitev pogodb</w:t>
            </w:r>
          </w:p>
        </w:tc>
        <w:tc>
          <w:tcPr>
            <w:tcW w:w="1701" w:type="dxa"/>
            <w:shd w:val="clear" w:color="auto" w:fill="C6EFCE"/>
            <w:noWrap/>
            <w:vAlign w:val="center"/>
          </w:tcPr>
          <w:p w14:paraId="557EC87A" w14:textId="554F07E5" w:rsidR="00154E32" w:rsidRDefault="00A43E04">
            <w:pPr>
              <w:pStyle w:val="P68B1DB1-Normal11"/>
              <w:spacing w:after="120"/>
              <w:jc w:val="center"/>
              <w:rPr>
                <w:noProof/>
              </w:rPr>
            </w:pPr>
            <w:r>
              <w:rPr>
                <w:noProof/>
              </w:rPr>
              <w:t>Obvestilo o oddaji naročil</w:t>
            </w:r>
          </w:p>
        </w:tc>
        <w:tc>
          <w:tcPr>
            <w:tcW w:w="1276" w:type="dxa"/>
            <w:shd w:val="clear" w:color="auto" w:fill="C6EFCE"/>
            <w:noWrap/>
            <w:vAlign w:val="center"/>
          </w:tcPr>
          <w:p w14:paraId="7BDDC9A2" w14:textId="77777777"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068D397A" w14:textId="77777777" w:rsidR="00154E32" w:rsidRDefault="00154E32">
            <w:pPr>
              <w:spacing w:after="120"/>
              <w:jc w:val="center"/>
              <w:rPr>
                <w:rFonts w:ascii="Arial Narrow" w:hAnsi="Arial Narrow"/>
                <w:noProof/>
                <w:color w:val="006100"/>
                <w:sz w:val="20"/>
              </w:rPr>
            </w:pPr>
          </w:p>
        </w:tc>
        <w:tc>
          <w:tcPr>
            <w:tcW w:w="1276" w:type="dxa"/>
            <w:shd w:val="clear" w:color="auto" w:fill="C6EFCE"/>
            <w:noWrap/>
            <w:vAlign w:val="center"/>
          </w:tcPr>
          <w:p w14:paraId="72E2A6E7" w14:textId="77777777" w:rsidR="00154E32" w:rsidRDefault="00154E32">
            <w:pPr>
              <w:spacing w:after="120"/>
              <w:jc w:val="center"/>
              <w:rPr>
                <w:rFonts w:ascii="Arial Narrow" w:hAnsi="Arial Narrow"/>
                <w:noProof/>
                <w:color w:val="006100"/>
                <w:sz w:val="20"/>
              </w:rPr>
            </w:pPr>
          </w:p>
        </w:tc>
        <w:tc>
          <w:tcPr>
            <w:tcW w:w="851" w:type="dxa"/>
            <w:shd w:val="clear" w:color="auto" w:fill="C6EFCE"/>
            <w:noWrap/>
            <w:vAlign w:val="center"/>
          </w:tcPr>
          <w:p w14:paraId="7C29E4D9" w14:textId="3778E963" w:rsidR="00154E32" w:rsidRDefault="00A43E04">
            <w:pPr>
              <w:pStyle w:val="P68B1DB1-Normal11"/>
              <w:spacing w:after="120"/>
              <w:jc w:val="center"/>
              <w:rPr>
                <w:noProof/>
              </w:rPr>
            </w:pPr>
            <w:r>
              <w:rPr>
                <w:noProof/>
              </w:rPr>
              <w:t>Q2</w:t>
            </w:r>
          </w:p>
        </w:tc>
        <w:tc>
          <w:tcPr>
            <w:tcW w:w="708" w:type="dxa"/>
            <w:shd w:val="clear" w:color="auto" w:fill="C6EFCE"/>
            <w:noWrap/>
            <w:vAlign w:val="center"/>
          </w:tcPr>
          <w:p w14:paraId="6E3D5FA0" w14:textId="37FD41F5" w:rsidR="00154E32" w:rsidRDefault="00A43E04">
            <w:pPr>
              <w:pStyle w:val="P68B1DB1-Normal11"/>
              <w:spacing w:after="120"/>
              <w:jc w:val="center"/>
              <w:rPr>
                <w:noProof/>
              </w:rPr>
            </w:pPr>
            <w:r>
              <w:rPr>
                <w:noProof/>
              </w:rPr>
              <w:t>2024</w:t>
            </w:r>
          </w:p>
        </w:tc>
        <w:tc>
          <w:tcPr>
            <w:tcW w:w="3261" w:type="dxa"/>
            <w:shd w:val="clear" w:color="auto" w:fill="C6EFCE"/>
            <w:noWrap/>
            <w:vAlign w:val="center"/>
          </w:tcPr>
          <w:p w14:paraId="438A74A3" w14:textId="66FBF93C" w:rsidR="00154E32" w:rsidRDefault="00A43E04">
            <w:pPr>
              <w:pStyle w:val="P68B1DB1-ListParagraph13"/>
              <w:spacing w:before="0"/>
              <w:ind w:left="0"/>
              <w:contextualSpacing w:val="0"/>
              <w:jc w:val="left"/>
              <w:rPr>
                <w:noProof/>
              </w:rPr>
            </w:pPr>
            <w:r>
              <w:rPr>
                <w:noProof/>
              </w:rPr>
              <w:t>Obvestilo o oddaji vseh naročil za dela, potrebna za dokončanje kompresorske postaje Sulmona in plinovoda Sestino-Minerbio.</w:t>
            </w:r>
          </w:p>
        </w:tc>
      </w:tr>
      <w:tr w:rsidR="00154E32" w14:paraId="01EC62B7" w14:textId="77777777">
        <w:trPr>
          <w:trHeight w:val="309"/>
        </w:trPr>
        <w:tc>
          <w:tcPr>
            <w:tcW w:w="1187" w:type="dxa"/>
            <w:shd w:val="clear" w:color="auto" w:fill="C6EFCE"/>
            <w:noWrap/>
            <w:vAlign w:val="center"/>
          </w:tcPr>
          <w:p w14:paraId="38961761" w14:textId="73FA1C9D" w:rsidR="00154E32" w:rsidRDefault="00A43E04">
            <w:pPr>
              <w:pStyle w:val="P68B1DB1-Normal11"/>
              <w:jc w:val="center"/>
              <w:rPr>
                <w:noProof/>
              </w:rPr>
            </w:pPr>
            <w:r>
              <w:rPr>
                <w:noProof/>
              </w:rPr>
              <w:t>M7–37</w:t>
            </w:r>
          </w:p>
        </w:tc>
        <w:tc>
          <w:tcPr>
            <w:tcW w:w="1559" w:type="dxa"/>
            <w:shd w:val="clear" w:color="auto" w:fill="C6EFCE"/>
            <w:noWrap/>
            <w:vAlign w:val="center"/>
          </w:tcPr>
          <w:p w14:paraId="710BA832" w14:textId="4571C212" w:rsidR="00154E32" w:rsidRDefault="00A43E04">
            <w:pPr>
              <w:pStyle w:val="P68B1DB1-Normal11"/>
              <w:jc w:val="center"/>
              <w:rPr>
                <w:noProof/>
              </w:rPr>
            </w:pPr>
            <w:r>
              <w:rPr>
                <w:noProof/>
              </w:rPr>
              <w:t>Naložba 13: Faza 1 Jadranske črte (kompresorska postaja Sulmona in plinovod Sestino-Minerbio)</w:t>
            </w:r>
          </w:p>
        </w:tc>
        <w:tc>
          <w:tcPr>
            <w:tcW w:w="1134" w:type="dxa"/>
            <w:shd w:val="clear" w:color="auto" w:fill="C6EFCE"/>
            <w:noWrap/>
            <w:vAlign w:val="center"/>
          </w:tcPr>
          <w:p w14:paraId="67407CB3" w14:textId="14CA213B" w:rsidR="00154E32" w:rsidRDefault="00A43E04">
            <w:pPr>
              <w:pStyle w:val="P68B1DB1-Normal11"/>
              <w:jc w:val="center"/>
              <w:rPr>
                <w:noProof/>
              </w:rPr>
            </w:pPr>
            <w:r>
              <w:rPr>
                <w:noProof/>
              </w:rPr>
              <w:t>Mejnik</w:t>
            </w:r>
          </w:p>
        </w:tc>
        <w:tc>
          <w:tcPr>
            <w:tcW w:w="1417" w:type="dxa"/>
            <w:shd w:val="clear" w:color="auto" w:fill="C6EFCE"/>
            <w:noWrap/>
            <w:vAlign w:val="center"/>
          </w:tcPr>
          <w:p w14:paraId="2FFCC6A8" w14:textId="3902949A" w:rsidR="00154E32" w:rsidRDefault="00A43E04">
            <w:pPr>
              <w:pStyle w:val="P68B1DB1-Normal11"/>
              <w:jc w:val="center"/>
              <w:rPr>
                <w:rFonts w:eastAsia="Calibri" w:cstheme="minorHAnsi"/>
                <w:noProof/>
              </w:rPr>
            </w:pPr>
            <w:r>
              <w:rPr>
                <w:noProof/>
              </w:rPr>
              <w:t>Dokončanje del</w:t>
            </w:r>
          </w:p>
        </w:tc>
        <w:tc>
          <w:tcPr>
            <w:tcW w:w="1701" w:type="dxa"/>
            <w:shd w:val="clear" w:color="auto" w:fill="C6EFCE"/>
            <w:noWrap/>
            <w:vAlign w:val="center"/>
          </w:tcPr>
          <w:p w14:paraId="0F5DD687" w14:textId="37983213" w:rsidR="00154E32" w:rsidRDefault="00A43E04">
            <w:pPr>
              <w:pStyle w:val="P68B1DB1-Normal11"/>
              <w:jc w:val="center"/>
              <w:rPr>
                <w:noProof/>
              </w:rPr>
            </w:pPr>
            <w:r>
              <w:rPr>
                <w:noProof/>
              </w:rPr>
              <w:t>Obvestilo o zaključku del</w:t>
            </w:r>
          </w:p>
        </w:tc>
        <w:tc>
          <w:tcPr>
            <w:tcW w:w="1276" w:type="dxa"/>
            <w:shd w:val="clear" w:color="auto" w:fill="C6EFCE"/>
            <w:noWrap/>
            <w:vAlign w:val="center"/>
          </w:tcPr>
          <w:p w14:paraId="1DFBB510" w14:textId="633B5F97" w:rsidR="00154E32" w:rsidRDefault="00154E32">
            <w:pPr>
              <w:jc w:val="center"/>
              <w:rPr>
                <w:rFonts w:ascii="Arial Narrow" w:hAnsi="Arial Narrow"/>
                <w:noProof/>
                <w:color w:val="006100"/>
                <w:sz w:val="20"/>
              </w:rPr>
            </w:pPr>
          </w:p>
        </w:tc>
        <w:tc>
          <w:tcPr>
            <w:tcW w:w="992" w:type="dxa"/>
            <w:shd w:val="clear" w:color="auto" w:fill="C6EFCE"/>
            <w:noWrap/>
            <w:vAlign w:val="center"/>
          </w:tcPr>
          <w:p w14:paraId="5C5DED3E" w14:textId="53214C56" w:rsidR="00154E32" w:rsidRDefault="00154E32">
            <w:pPr>
              <w:jc w:val="center"/>
              <w:rPr>
                <w:rFonts w:ascii="Arial Narrow" w:hAnsi="Arial Narrow"/>
                <w:noProof/>
                <w:color w:val="006100"/>
                <w:sz w:val="20"/>
              </w:rPr>
            </w:pPr>
          </w:p>
        </w:tc>
        <w:tc>
          <w:tcPr>
            <w:tcW w:w="1276" w:type="dxa"/>
            <w:shd w:val="clear" w:color="auto" w:fill="C6EFCE"/>
            <w:noWrap/>
            <w:vAlign w:val="center"/>
          </w:tcPr>
          <w:p w14:paraId="1A6359D6" w14:textId="1F386FAF" w:rsidR="00154E32" w:rsidRDefault="00154E32">
            <w:pPr>
              <w:jc w:val="center"/>
              <w:rPr>
                <w:rFonts w:ascii="Arial Narrow" w:hAnsi="Arial Narrow"/>
                <w:noProof/>
                <w:color w:val="006100"/>
                <w:sz w:val="20"/>
              </w:rPr>
            </w:pPr>
          </w:p>
        </w:tc>
        <w:tc>
          <w:tcPr>
            <w:tcW w:w="851" w:type="dxa"/>
            <w:shd w:val="clear" w:color="auto" w:fill="C6EFCE"/>
            <w:noWrap/>
            <w:vAlign w:val="center"/>
          </w:tcPr>
          <w:p w14:paraId="707A394F" w14:textId="4E8AC454" w:rsidR="00154E32" w:rsidRDefault="00A43E04">
            <w:pPr>
              <w:pStyle w:val="P68B1DB1-Normal11"/>
              <w:jc w:val="center"/>
              <w:rPr>
                <w:noProof/>
              </w:rPr>
            </w:pPr>
            <w:r>
              <w:rPr>
                <w:noProof/>
              </w:rPr>
              <w:t>Q2</w:t>
            </w:r>
          </w:p>
        </w:tc>
        <w:tc>
          <w:tcPr>
            <w:tcW w:w="708" w:type="dxa"/>
            <w:shd w:val="clear" w:color="auto" w:fill="C6EFCE"/>
            <w:noWrap/>
            <w:vAlign w:val="center"/>
          </w:tcPr>
          <w:p w14:paraId="1BF59259" w14:textId="3C9AB67D" w:rsidR="00154E32" w:rsidRDefault="00A43E04">
            <w:pPr>
              <w:pStyle w:val="P68B1DB1-Normal11"/>
              <w:jc w:val="center"/>
              <w:rPr>
                <w:noProof/>
              </w:rPr>
            </w:pPr>
            <w:r>
              <w:rPr>
                <w:noProof/>
              </w:rPr>
              <w:t>2026</w:t>
            </w:r>
          </w:p>
        </w:tc>
        <w:tc>
          <w:tcPr>
            <w:tcW w:w="3261" w:type="dxa"/>
            <w:shd w:val="clear" w:color="auto" w:fill="C6EFCE"/>
            <w:noWrap/>
            <w:vAlign w:val="center"/>
          </w:tcPr>
          <w:p w14:paraId="36FC238B" w14:textId="19082E71" w:rsidR="00154E32" w:rsidRDefault="00A43E04">
            <w:pPr>
              <w:pStyle w:val="P68B1DB1-Normal11"/>
              <w:rPr>
                <w:noProof/>
              </w:rPr>
            </w:pPr>
            <w:r>
              <w:rPr>
                <w:noProof/>
              </w:rPr>
              <w:t>Kompresorska postaja Sulmona in plinovod Sestino-Minerbio se dokončata.</w:t>
            </w:r>
          </w:p>
        </w:tc>
      </w:tr>
      <w:tr w:rsidR="00154E32" w14:paraId="33F6A0B9" w14:textId="77777777">
        <w:trPr>
          <w:trHeight w:val="309"/>
        </w:trPr>
        <w:tc>
          <w:tcPr>
            <w:tcW w:w="1187" w:type="dxa"/>
            <w:shd w:val="clear" w:color="auto" w:fill="C6EFCE"/>
            <w:noWrap/>
            <w:vAlign w:val="center"/>
          </w:tcPr>
          <w:p w14:paraId="1829C4C0" w14:textId="2AEE70F1" w:rsidR="00154E32" w:rsidRDefault="00A43E04">
            <w:pPr>
              <w:pStyle w:val="P68B1DB1-Normal11"/>
              <w:jc w:val="center"/>
              <w:rPr>
                <w:noProof/>
              </w:rPr>
            </w:pPr>
            <w:r>
              <w:rPr>
                <w:noProof/>
              </w:rPr>
              <w:t>M7–38</w:t>
            </w:r>
          </w:p>
        </w:tc>
        <w:tc>
          <w:tcPr>
            <w:tcW w:w="1559" w:type="dxa"/>
            <w:shd w:val="clear" w:color="auto" w:fill="C6EFCE"/>
            <w:noWrap/>
            <w:vAlign w:val="center"/>
          </w:tcPr>
          <w:p w14:paraId="156DBD43" w14:textId="7D45BDBA" w:rsidR="00154E32" w:rsidRDefault="00A43E04">
            <w:pPr>
              <w:pStyle w:val="P68B1DB1-Normal11"/>
              <w:jc w:val="center"/>
              <w:rPr>
                <w:noProof/>
              </w:rPr>
            </w:pPr>
            <w:r>
              <w:rPr>
                <w:noProof/>
              </w:rPr>
              <w:t>Naložba 14: Infrastruktura za čezmejni izvoz plina</w:t>
            </w:r>
          </w:p>
        </w:tc>
        <w:tc>
          <w:tcPr>
            <w:tcW w:w="1134" w:type="dxa"/>
            <w:shd w:val="clear" w:color="auto" w:fill="C6EFCE"/>
            <w:noWrap/>
            <w:vAlign w:val="center"/>
          </w:tcPr>
          <w:p w14:paraId="2E028011" w14:textId="379B4BBF" w:rsidR="00154E32" w:rsidRDefault="00A43E04">
            <w:pPr>
              <w:pStyle w:val="P68B1DB1-Normal11"/>
              <w:jc w:val="center"/>
              <w:rPr>
                <w:noProof/>
              </w:rPr>
            </w:pPr>
            <w:r>
              <w:rPr>
                <w:noProof/>
              </w:rPr>
              <w:t>Mejnik</w:t>
            </w:r>
          </w:p>
        </w:tc>
        <w:tc>
          <w:tcPr>
            <w:tcW w:w="1417" w:type="dxa"/>
            <w:shd w:val="clear" w:color="auto" w:fill="C6EFCE"/>
            <w:noWrap/>
            <w:vAlign w:val="center"/>
          </w:tcPr>
          <w:p w14:paraId="30F7E604" w14:textId="34FEE9B6" w:rsidR="00154E32" w:rsidRDefault="00A43E04">
            <w:pPr>
              <w:pStyle w:val="P68B1DB1-Normal11"/>
              <w:jc w:val="center"/>
              <w:rPr>
                <w:noProof/>
              </w:rPr>
            </w:pPr>
            <w:r>
              <w:rPr>
                <w:noProof/>
              </w:rPr>
              <w:t>Dodelitev pogodb</w:t>
            </w:r>
          </w:p>
        </w:tc>
        <w:tc>
          <w:tcPr>
            <w:tcW w:w="1701" w:type="dxa"/>
            <w:shd w:val="clear" w:color="auto" w:fill="C6EFCE"/>
            <w:noWrap/>
            <w:vAlign w:val="center"/>
          </w:tcPr>
          <w:p w14:paraId="313FF920" w14:textId="128B9C8D" w:rsidR="00154E32" w:rsidRDefault="00A43E04">
            <w:pPr>
              <w:pStyle w:val="P68B1DB1-Normal11"/>
              <w:jc w:val="center"/>
              <w:rPr>
                <w:noProof/>
              </w:rPr>
            </w:pPr>
            <w:r>
              <w:rPr>
                <w:noProof/>
              </w:rPr>
              <w:t>Obvestilo o oddaji naročil</w:t>
            </w:r>
          </w:p>
        </w:tc>
        <w:tc>
          <w:tcPr>
            <w:tcW w:w="1276" w:type="dxa"/>
            <w:shd w:val="clear" w:color="auto" w:fill="C6EFCE"/>
            <w:noWrap/>
            <w:vAlign w:val="center"/>
          </w:tcPr>
          <w:p w14:paraId="7E451A03" w14:textId="3C32F1DB" w:rsidR="00154E32" w:rsidRDefault="00154E32">
            <w:pPr>
              <w:jc w:val="center"/>
              <w:rPr>
                <w:rFonts w:ascii="Arial Narrow" w:hAnsi="Arial Narrow"/>
                <w:noProof/>
                <w:color w:val="FF0000"/>
                <w:sz w:val="20"/>
              </w:rPr>
            </w:pPr>
          </w:p>
        </w:tc>
        <w:tc>
          <w:tcPr>
            <w:tcW w:w="992" w:type="dxa"/>
            <w:shd w:val="clear" w:color="auto" w:fill="C6EFCE"/>
            <w:noWrap/>
            <w:vAlign w:val="center"/>
          </w:tcPr>
          <w:p w14:paraId="3C03D9AE" w14:textId="77777777" w:rsidR="00154E32" w:rsidRDefault="00154E32">
            <w:pPr>
              <w:jc w:val="center"/>
              <w:rPr>
                <w:rFonts w:ascii="Arial Narrow" w:hAnsi="Arial Narrow"/>
                <w:noProof/>
                <w:color w:val="006100"/>
                <w:sz w:val="20"/>
              </w:rPr>
            </w:pPr>
          </w:p>
        </w:tc>
        <w:tc>
          <w:tcPr>
            <w:tcW w:w="1276" w:type="dxa"/>
            <w:shd w:val="clear" w:color="auto" w:fill="C6EFCE"/>
            <w:noWrap/>
            <w:vAlign w:val="center"/>
          </w:tcPr>
          <w:p w14:paraId="7AC2B3F6" w14:textId="77777777" w:rsidR="00154E32" w:rsidRDefault="00154E32">
            <w:pPr>
              <w:jc w:val="center"/>
              <w:rPr>
                <w:rFonts w:ascii="Arial Narrow" w:hAnsi="Arial Narrow"/>
                <w:noProof/>
                <w:color w:val="006100"/>
                <w:sz w:val="20"/>
              </w:rPr>
            </w:pPr>
          </w:p>
        </w:tc>
        <w:tc>
          <w:tcPr>
            <w:tcW w:w="851" w:type="dxa"/>
            <w:shd w:val="clear" w:color="auto" w:fill="C6EFCE"/>
            <w:noWrap/>
            <w:vAlign w:val="center"/>
          </w:tcPr>
          <w:p w14:paraId="1A7ED6B6" w14:textId="464F3E89" w:rsidR="00154E32" w:rsidRDefault="00A43E04">
            <w:pPr>
              <w:pStyle w:val="P68B1DB1-Normal11"/>
              <w:jc w:val="center"/>
              <w:rPr>
                <w:noProof/>
              </w:rPr>
            </w:pPr>
            <w:r>
              <w:rPr>
                <w:noProof/>
              </w:rPr>
              <w:t>Q2</w:t>
            </w:r>
          </w:p>
        </w:tc>
        <w:tc>
          <w:tcPr>
            <w:tcW w:w="708" w:type="dxa"/>
            <w:shd w:val="clear" w:color="auto" w:fill="C6EFCE"/>
            <w:noWrap/>
            <w:vAlign w:val="center"/>
          </w:tcPr>
          <w:p w14:paraId="0EFFBECA" w14:textId="62B09172" w:rsidR="00154E32" w:rsidRDefault="00A43E04">
            <w:pPr>
              <w:pStyle w:val="P68B1DB1-Normal11"/>
              <w:jc w:val="center"/>
              <w:rPr>
                <w:noProof/>
              </w:rPr>
            </w:pPr>
            <w:r>
              <w:rPr>
                <w:noProof/>
              </w:rPr>
              <w:t>2024</w:t>
            </w:r>
          </w:p>
        </w:tc>
        <w:tc>
          <w:tcPr>
            <w:tcW w:w="3261" w:type="dxa"/>
            <w:shd w:val="clear" w:color="auto" w:fill="C6EFCE"/>
            <w:noWrap/>
            <w:vAlign w:val="center"/>
          </w:tcPr>
          <w:p w14:paraId="0447077B" w14:textId="3AB7C980" w:rsidR="00154E32" w:rsidRDefault="00A43E04">
            <w:pPr>
              <w:pStyle w:val="P68B1DB1-Normal11"/>
              <w:rPr>
                <w:noProof/>
              </w:rPr>
            </w:pPr>
            <w:r>
              <w:rPr>
                <w:noProof/>
              </w:rPr>
              <w:t>Obvestilo o oddaji vseh naročil za gradnje, potrebne za dokončanje kompresorske postaje Poggio Renatico</w:t>
            </w:r>
          </w:p>
        </w:tc>
      </w:tr>
      <w:tr w:rsidR="00154E32" w14:paraId="5D835847" w14:textId="77777777">
        <w:trPr>
          <w:trHeight w:val="309"/>
        </w:trPr>
        <w:tc>
          <w:tcPr>
            <w:tcW w:w="1187" w:type="dxa"/>
            <w:shd w:val="clear" w:color="auto" w:fill="C6EFCE"/>
            <w:noWrap/>
            <w:vAlign w:val="center"/>
          </w:tcPr>
          <w:p w14:paraId="50FB7CAA" w14:textId="7FFAC309" w:rsidR="00154E32" w:rsidRDefault="00A43E04">
            <w:pPr>
              <w:pStyle w:val="P68B1DB1-Normal11"/>
              <w:jc w:val="center"/>
              <w:rPr>
                <w:noProof/>
              </w:rPr>
            </w:pPr>
            <w:r>
              <w:rPr>
                <w:noProof/>
              </w:rPr>
              <w:t>M7–39</w:t>
            </w:r>
          </w:p>
        </w:tc>
        <w:tc>
          <w:tcPr>
            <w:tcW w:w="1559" w:type="dxa"/>
            <w:shd w:val="clear" w:color="auto" w:fill="C6EFCE"/>
            <w:noWrap/>
            <w:vAlign w:val="center"/>
          </w:tcPr>
          <w:p w14:paraId="5AEA7433" w14:textId="01842A7B" w:rsidR="00154E32" w:rsidRDefault="00A43E04">
            <w:pPr>
              <w:pStyle w:val="P68B1DB1-Normal11"/>
              <w:jc w:val="center"/>
              <w:rPr>
                <w:noProof/>
              </w:rPr>
            </w:pPr>
            <w:r>
              <w:rPr>
                <w:noProof/>
              </w:rPr>
              <w:t>Naložba 14: Infrastruktura za čezmejni izvoz plina</w:t>
            </w:r>
          </w:p>
        </w:tc>
        <w:tc>
          <w:tcPr>
            <w:tcW w:w="1134" w:type="dxa"/>
            <w:shd w:val="clear" w:color="auto" w:fill="C6EFCE"/>
            <w:noWrap/>
            <w:vAlign w:val="center"/>
          </w:tcPr>
          <w:p w14:paraId="6F78BEB0" w14:textId="04ACFFD8" w:rsidR="00154E32" w:rsidRDefault="00A43E04">
            <w:pPr>
              <w:pStyle w:val="P68B1DB1-Normal11"/>
              <w:jc w:val="center"/>
              <w:rPr>
                <w:noProof/>
              </w:rPr>
            </w:pPr>
            <w:r>
              <w:rPr>
                <w:noProof/>
              </w:rPr>
              <w:t>Mejnik</w:t>
            </w:r>
          </w:p>
        </w:tc>
        <w:tc>
          <w:tcPr>
            <w:tcW w:w="1417" w:type="dxa"/>
            <w:shd w:val="clear" w:color="auto" w:fill="C6EFCE"/>
            <w:noWrap/>
            <w:vAlign w:val="center"/>
          </w:tcPr>
          <w:p w14:paraId="063850F0" w14:textId="56371B69" w:rsidR="00154E32" w:rsidRDefault="00A43E04">
            <w:pPr>
              <w:pStyle w:val="P68B1DB1-Normal11"/>
              <w:jc w:val="center"/>
              <w:rPr>
                <w:noProof/>
              </w:rPr>
            </w:pPr>
            <w:r>
              <w:rPr>
                <w:noProof/>
              </w:rPr>
              <w:t>Dokončanje del</w:t>
            </w:r>
          </w:p>
        </w:tc>
        <w:tc>
          <w:tcPr>
            <w:tcW w:w="1701" w:type="dxa"/>
            <w:shd w:val="clear" w:color="auto" w:fill="C6EFCE"/>
            <w:noWrap/>
            <w:vAlign w:val="center"/>
          </w:tcPr>
          <w:p w14:paraId="3985C95A" w14:textId="386A2345" w:rsidR="00154E32" w:rsidRDefault="00A43E04">
            <w:pPr>
              <w:pStyle w:val="P68B1DB1-Normal11"/>
              <w:jc w:val="center"/>
              <w:rPr>
                <w:noProof/>
              </w:rPr>
            </w:pPr>
            <w:r>
              <w:rPr>
                <w:noProof/>
              </w:rPr>
              <w:t>Obvestilo o zaključku del</w:t>
            </w:r>
          </w:p>
        </w:tc>
        <w:tc>
          <w:tcPr>
            <w:tcW w:w="1276" w:type="dxa"/>
            <w:shd w:val="clear" w:color="auto" w:fill="C6EFCE"/>
            <w:noWrap/>
            <w:vAlign w:val="center"/>
          </w:tcPr>
          <w:p w14:paraId="5C8A4415" w14:textId="5AD7E9B4" w:rsidR="00154E32" w:rsidRDefault="00154E32">
            <w:pPr>
              <w:jc w:val="center"/>
              <w:rPr>
                <w:rFonts w:ascii="Arial Narrow" w:hAnsi="Arial Narrow"/>
                <w:noProof/>
                <w:color w:val="006100"/>
                <w:sz w:val="20"/>
              </w:rPr>
            </w:pPr>
          </w:p>
        </w:tc>
        <w:tc>
          <w:tcPr>
            <w:tcW w:w="992" w:type="dxa"/>
            <w:shd w:val="clear" w:color="auto" w:fill="C6EFCE"/>
            <w:noWrap/>
            <w:vAlign w:val="center"/>
          </w:tcPr>
          <w:p w14:paraId="3F62B0EC" w14:textId="282D7DDA" w:rsidR="00154E32" w:rsidRDefault="00154E32">
            <w:pPr>
              <w:jc w:val="center"/>
              <w:rPr>
                <w:rFonts w:ascii="Arial Narrow" w:hAnsi="Arial Narrow"/>
                <w:noProof/>
                <w:color w:val="006100"/>
                <w:sz w:val="20"/>
              </w:rPr>
            </w:pPr>
          </w:p>
        </w:tc>
        <w:tc>
          <w:tcPr>
            <w:tcW w:w="1276" w:type="dxa"/>
            <w:shd w:val="clear" w:color="auto" w:fill="C6EFCE"/>
            <w:noWrap/>
            <w:vAlign w:val="center"/>
          </w:tcPr>
          <w:p w14:paraId="482A18AA" w14:textId="7441D767" w:rsidR="00154E32" w:rsidRDefault="00154E32">
            <w:pPr>
              <w:jc w:val="center"/>
              <w:rPr>
                <w:rFonts w:ascii="Arial Narrow" w:hAnsi="Arial Narrow"/>
                <w:noProof/>
                <w:color w:val="006100"/>
                <w:sz w:val="20"/>
              </w:rPr>
            </w:pPr>
          </w:p>
        </w:tc>
        <w:tc>
          <w:tcPr>
            <w:tcW w:w="851" w:type="dxa"/>
            <w:shd w:val="clear" w:color="auto" w:fill="C6EFCE"/>
            <w:noWrap/>
            <w:vAlign w:val="center"/>
          </w:tcPr>
          <w:p w14:paraId="1200FDD0" w14:textId="3BFB6B59" w:rsidR="00154E32" w:rsidRDefault="00A43E04">
            <w:pPr>
              <w:pStyle w:val="P68B1DB1-Normal11"/>
              <w:jc w:val="center"/>
              <w:rPr>
                <w:noProof/>
              </w:rPr>
            </w:pPr>
            <w:r>
              <w:rPr>
                <w:noProof/>
              </w:rPr>
              <w:t>Q2</w:t>
            </w:r>
          </w:p>
        </w:tc>
        <w:tc>
          <w:tcPr>
            <w:tcW w:w="708" w:type="dxa"/>
            <w:shd w:val="clear" w:color="auto" w:fill="C6EFCE"/>
            <w:noWrap/>
            <w:vAlign w:val="center"/>
          </w:tcPr>
          <w:p w14:paraId="4B15D60D" w14:textId="279807E7" w:rsidR="00154E32" w:rsidRDefault="00A43E04">
            <w:pPr>
              <w:pStyle w:val="P68B1DB1-Normal11"/>
              <w:jc w:val="center"/>
              <w:rPr>
                <w:noProof/>
              </w:rPr>
            </w:pPr>
            <w:r>
              <w:rPr>
                <w:noProof/>
              </w:rPr>
              <w:t>2026</w:t>
            </w:r>
          </w:p>
        </w:tc>
        <w:tc>
          <w:tcPr>
            <w:tcW w:w="3261" w:type="dxa"/>
            <w:shd w:val="clear" w:color="auto" w:fill="C6EFCE"/>
            <w:noWrap/>
            <w:vAlign w:val="center"/>
          </w:tcPr>
          <w:p w14:paraId="1FC1811F" w14:textId="5102872E" w:rsidR="00154E32" w:rsidRDefault="00A43E04">
            <w:pPr>
              <w:pStyle w:val="P68B1DB1-Normal11"/>
              <w:rPr>
                <w:noProof/>
              </w:rPr>
            </w:pPr>
            <w:r>
              <w:rPr>
                <w:noProof/>
              </w:rPr>
              <w:t>Kompresijska enota v kompresorski postaji Poggio Renatico se dokonča.</w:t>
            </w:r>
          </w:p>
        </w:tc>
      </w:tr>
      <w:tr w:rsidR="00154E32" w14:paraId="19B21631" w14:textId="77777777">
        <w:trPr>
          <w:trHeight w:val="309"/>
        </w:trPr>
        <w:tc>
          <w:tcPr>
            <w:tcW w:w="1187" w:type="dxa"/>
            <w:shd w:val="clear" w:color="auto" w:fill="C6EFCE"/>
            <w:noWrap/>
            <w:vAlign w:val="center"/>
          </w:tcPr>
          <w:p w14:paraId="4C065DBB" w14:textId="36B534DD" w:rsidR="00154E32" w:rsidRDefault="00A43E04">
            <w:pPr>
              <w:pStyle w:val="P68B1DB1-Normal11"/>
              <w:jc w:val="center"/>
              <w:rPr>
                <w:noProof/>
              </w:rPr>
            </w:pPr>
            <w:r>
              <w:rPr>
                <w:noProof/>
              </w:rPr>
              <w:t>M7–40</w:t>
            </w:r>
          </w:p>
        </w:tc>
        <w:tc>
          <w:tcPr>
            <w:tcW w:w="1559" w:type="dxa"/>
            <w:shd w:val="clear" w:color="auto" w:fill="C6EFCE"/>
            <w:noWrap/>
            <w:vAlign w:val="center"/>
          </w:tcPr>
          <w:p w14:paraId="2B46A7E0" w14:textId="3012751A" w:rsidR="00154E32" w:rsidRDefault="00A43E04">
            <w:pPr>
              <w:pStyle w:val="P68B1DB1-Normal11"/>
              <w:jc w:val="center"/>
              <w:rPr>
                <w:noProof/>
              </w:rPr>
            </w:pPr>
            <w:r>
              <w:rPr>
                <w:noProof/>
              </w:rPr>
              <w:t>Naložba 15: Transizione 5.0 Zeleni</w:t>
            </w:r>
          </w:p>
        </w:tc>
        <w:tc>
          <w:tcPr>
            <w:tcW w:w="1134" w:type="dxa"/>
            <w:shd w:val="clear" w:color="auto" w:fill="C6EFCE"/>
            <w:noWrap/>
            <w:vAlign w:val="center"/>
          </w:tcPr>
          <w:p w14:paraId="50A30727" w14:textId="6CC85106" w:rsidR="00154E32" w:rsidRDefault="00A43E04">
            <w:pPr>
              <w:pStyle w:val="P68B1DB1-Normal11"/>
              <w:jc w:val="center"/>
              <w:rPr>
                <w:noProof/>
              </w:rPr>
            </w:pPr>
            <w:r>
              <w:rPr>
                <w:noProof/>
              </w:rPr>
              <w:t>Mejnik</w:t>
            </w:r>
          </w:p>
        </w:tc>
        <w:tc>
          <w:tcPr>
            <w:tcW w:w="1417" w:type="dxa"/>
            <w:shd w:val="clear" w:color="auto" w:fill="C6EFCE"/>
            <w:noWrap/>
            <w:vAlign w:val="center"/>
          </w:tcPr>
          <w:p w14:paraId="195647A6" w14:textId="3B2FE18D" w:rsidR="00154E32" w:rsidRDefault="00A43E04">
            <w:pPr>
              <w:pStyle w:val="P68B1DB1-Normal11"/>
              <w:jc w:val="center"/>
              <w:rPr>
                <w:noProof/>
              </w:rPr>
            </w:pPr>
            <w:r>
              <w:rPr>
                <w:noProof/>
              </w:rPr>
              <w:t>Začetek veljavnosti pravnega akta o določitvi meril za upravičene intervencije</w:t>
            </w:r>
          </w:p>
        </w:tc>
        <w:tc>
          <w:tcPr>
            <w:tcW w:w="1701" w:type="dxa"/>
            <w:shd w:val="clear" w:color="auto" w:fill="C6EFCE"/>
            <w:noWrap/>
            <w:vAlign w:val="center"/>
          </w:tcPr>
          <w:p w14:paraId="30FC7F65" w14:textId="0359D165" w:rsidR="00154E32" w:rsidRDefault="00A43E04">
            <w:pPr>
              <w:pStyle w:val="P68B1DB1-Normal11"/>
              <w:jc w:val="center"/>
              <w:rPr>
                <w:noProof/>
              </w:rPr>
            </w:pPr>
            <w:r>
              <w:rPr>
                <w:noProof/>
              </w:rPr>
              <w:t>Določba v</w:t>
            </w:r>
          </w:p>
          <w:p w14:paraId="61B000E2" w14:textId="27C2BA7A" w:rsidR="00154E32" w:rsidRDefault="00A43E04">
            <w:pPr>
              <w:pStyle w:val="P68B1DB1-Normal11"/>
              <w:jc w:val="center"/>
              <w:rPr>
                <w:noProof/>
              </w:rPr>
            </w:pPr>
            <w:r>
              <w:rPr>
                <w:noProof/>
              </w:rPr>
              <w:t>zakon, ki navaja</w:t>
            </w:r>
          </w:p>
          <w:p w14:paraId="381ECAF9" w14:textId="7478A94B" w:rsidR="00154E32" w:rsidRDefault="00A43E04">
            <w:pPr>
              <w:pStyle w:val="P68B1DB1-Normal11"/>
              <w:jc w:val="center"/>
              <w:rPr>
                <w:noProof/>
              </w:rPr>
            </w:pPr>
            <w:r>
              <w:rPr>
                <w:noProof/>
              </w:rPr>
              <w:t>vstop v</w:t>
            </w:r>
          </w:p>
          <w:p w14:paraId="1E077509" w14:textId="105D8961" w:rsidR="00154E32" w:rsidRDefault="00A43E04">
            <w:pPr>
              <w:pStyle w:val="P68B1DB1-Normal11"/>
              <w:jc w:val="center"/>
              <w:rPr>
                <w:noProof/>
                <w:color w:val="FF0000"/>
              </w:rPr>
            </w:pPr>
            <w:r>
              <w:rPr>
                <w:noProof/>
              </w:rPr>
              <w:t>moč zakona</w:t>
            </w:r>
          </w:p>
        </w:tc>
        <w:tc>
          <w:tcPr>
            <w:tcW w:w="1276" w:type="dxa"/>
            <w:shd w:val="clear" w:color="auto" w:fill="C6EFCE"/>
            <w:noWrap/>
            <w:vAlign w:val="center"/>
          </w:tcPr>
          <w:p w14:paraId="1F21A9EC" w14:textId="77777777" w:rsidR="00154E32" w:rsidRDefault="00154E32">
            <w:pPr>
              <w:jc w:val="center"/>
              <w:rPr>
                <w:rFonts w:ascii="Arial Narrow" w:hAnsi="Arial Narrow"/>
                <w:noProof/>
                <w:color w:val="006100"/>
                <w:sz w:val="20"/>
              </w:rPr>
            </w:pPr>
          </w:p>
        </w:tc>
        <w:tc>
          <w:tcPr>
            <w:tcW w:w="992" w:type="dxa"/>
            <w:shd w:val="clear" w:color="auto" w:fill="C6EFCE"/>
            <w:noWrap/>
            <w:vAlign w:val="center"/>
          </w:tcPr>
          <w:p w14:paraId="6980796E" w14:textId="77777777" w:rsidR="00154E32" w:rsidRDefault="00154E32">
            <w:pPr>
              <w:jc w:val="center"/>
              <w:rPr>
                <w:rFonts w:ascii="Arial Narrow" w:hAnsi="Arial Narrow"/>
                <w:noProof/>
                <w:color w:val="006100"/>
                <w:sz w:val="20"/>
              </w:rPr>
            </w:pPr>
          </w:p>
        </w:tc>
        <w:tc>
          <w:tcPr>
            <w:tcW w:w="1276" w:type="dxa"/>
            <w:shd w:val="clear" w:color="auto" w:fill="C6EFCE"/>
            <w:noWrap/>
            <w:vAlign w:val="center"/>
          </w:tcPr>
          <w:p w14:paraId="00BF61BB" w14:textId="77777777" w:rsidR="00154E32" w:rsidRDefault="00154E32">
            <w:pPr>
              <w:jc w:val="center"/>
              <w:rPr>
                <w:rFonts w:ascii="Arial Narrow" w:hAnsi="Arial Narrow"/>
                <w:noProof/>
                <w:color w:val="006100"/>
                <w:sz w:val="20"/>
              </w:rPr>
            </w:pPr>
          </w:p>
        </w:tc>
        <w:tc>
          <w:tcPr>
            <w:tcW w:w="851" w:type="dxa"/>
            <w:shd w:val="clear" w:color="auto" w:fill="C6EFCE"/>
            <w:noWrap/>
            <w:vAlign w:val="center"/>
          </w:tcPr>
          <w:p w14:paraId="49150492" w14:textId="1BD5AED0" w:rsidR="00154E32" w:rsidRDefault="00A43E04">
            <w:pPr>
              <w:pStyle w:val="P68B1DB1-Normal11"/>
              <w:jc w:val="center"/>
              <w:rPr>
                <w:noProof/>
              </w:rPr>
            </w:pPr>
            <w:r>
              <w:rPr>
                <w:noProof/>
              </w:rPr>
              <w:t>ČETRTLETJE 1</w:t>
            </w:r>
          </w:p>
        </w:tc>
        <w:tc>
          <w:tcPr>
            <w:tcW w:w="708" w:type="dxa"/>
            <w:shd w:val="clear" w:color="auto" w:fill="C6EFCE"/>
            <w:noWrap/>
            <w:vAlign w:val="center"/>
          </w:tcPr>
          <w:p w14:paraId="465D3360" w14:textId="6D2B5D18" w:rsidR="00154E32" w:rsidRDefault="00A43E04">
            <w:pPr>
              <w:pStyle w:val="P68B1DB1-Normal11"/>
              <w:jc w:val="center"/>
              <w:rPr>
                <w:noProof/>
              </w:rPr>
            </w:pPr>
            <w:r>
              <w:rPr>
                <w:noProof/>
              </w:rPr>
              <w:t>2024</w:t>
            </w:r>
          </w:p>
        </w:tc>
        <w:tc>
          <w:tcPr>
            <w:tcW w:w="3261" w:type="dxa"/>
            <w:shd w:val="clear" w:color="auto" w:fill="C6EFCE"/>
            <w:noWrap/>
            <w:vAlign w:val="center"/>
          </w:tcPr>
          <w:p w14:paraId="0088C31E" w14:textId="69E45F86" w:rsidR="00154E32" w:rsidRDefault="00A43E04">
            <w:pPr>
              <w:pStyle w:val="P68B1DB1-Normal11"/>
              <w:rPr>
                <w:noProof/>
              </w:rPr>
            </w:pPr>
            <w:r>
              <w:rPr>
                <w:noProof/>
              </w:rPr>
              <w:t>S pravnim aktom se potencialnim prejemnikom dajo na voljo davčni dobropisi v okviru prehoda 5.0, pri čemer se določijo merila za upravičenost, tudi v smislu minimalnih prihrankov energije, in zgornja meja odhodkov za ukrep.</w:t>
            </w:r>
          </w:p>
        </w:tc>
      </w:tr>
      <w:tr w:rsidR="00154E32" w14:paraId="00414DB7" w14:textId="77777777">
        <w:trPr>
          <w:trHeight w:val="64"/>
        </w:trPr>
        <w:tc>
          <w:tcPr>
            <w:tcW w:w="1187" w:type="dxa"/>
            <w:shd w:val="clear" w:color="auto" w:fill="C6EFCE"/>
            <w:noWrap/>
            <w:vAlign w:val="center"/>
          </w:tcPr>
          <w:p w14:paraId="6328F05C" w14:textId="51A45B74" w:rsidR="00154E32" w:rsidRDefault="00A43E04">
            <w:pPr>
              <w:pStyle w:val="P68B1DB1-Normal11"/>
              <w:jc w:val="center"/>
              <w:rPr>
                <w:noProof/>
              </w:rPr>
            </w:pPr>
            <w:r>
              <w:rPr>
                <w:noProof/>
              </w:rPr>
              <w:t>M7–41</w:t>
            </w:r>
          </w:p>
        </w:tc>
        <w:tc>
          <w:tcPr>
            <w:tcW w:w="1559" w:type="dxa"/>
            <w:shd w:val="clear" w:color="auto" w:fill="C6EFCE"/>
            <w:noWrap/>
            <w:vAlign w:val="center"/>
          </w:tcPr>
          <w:p w14:paraId="3499E1CC" w14:textId="149658D1" w:rsidR="00154E32" w:rsidRDefault="00A43E04">
            <w:pPr>
              <w:pStyle w:val="P68B1DB1-Normal11"/>
              <w:jc w:val="center"/>
              <w:rPr>
                <w:noProof/>
              </w:rPr>
            </w:pPr>
            <w:r>
              <w:rPr>
                <w:noProof/>
              </w:rPr>
              <w:t>Naložba 15: Transizione 5.0 Zeleni</w:t>
            </w:r>
          </w:p>
        </w:tc>
        <w:tc>
          <w:tcPr>
            <w:tcW w:w="1134" w:type="dxa"/>
            <w:shd w:val="clear" w:color="auto" w:fill="C6EFCE"/>
            <w:noWrap/>
            <w:vAlign w:val="center"/>
          </w:tcPr>
          <w:p w14:paraId="0E7829ED" w14:textId="32C6B92B" w:rsidR="00154E32" w:rsidRDefault="00A43E04">
            <w:pPr>
              <w:pStyle w:val="P68B1DB1-Normal11"/>
              <w:jc w:val="center"/>
              <w:rPr>
                <w:noProof/>
              </w:rPr>
            </w:pPr>
            <w:r>
              <w:rPr>
                <w:noProof/>
              </w:rPr>
              <w:t>Tarča</w:t>
            </w:r>
          </w:p>
        </w:tc>
        <w:tc>
          <w:tcPr>
            <w:tcW w:w="1417" w:type="dxa"/>
            <w:shd w:val="clear" w:color="auto" w:fill="C6EFCE"/>
            <w:noWrap/>
            <w:vAlign w:val="center"/>
          </w:tcPr>
          <w:p w14:paraId="32ED2245" w14:textId="69E7A026" w:rsidR="00154E32" w:rsidRDefault="00A43E04">
            <w:pPr>
              <w:pStyle w:val="P68B1DB1-Normal11"/>
              <w:jc w:val="center"/>
              <w:rPr>
                <w:noProof/>
              </w:rPr>
            </w:pPr>
            <w:r>
              <w:rPr>
                <w:noProof/>
              </w:rPr>
              <w:t>Dodeljevanje sredstev iz mehanizma za okrevanje in odpornost</w:t>
            </w:r>
          </w:p>
        </w:tc>
        <w:tc>
          <w:tcPr>
            <w:tcW w:w="1701" w:type="dxa"/>
            <w:shd w:val="clear" w:color="auto" w:fill="C6EFCE"/>
            <w:noWrap/>
            <w:vAlign w:val="center"/>
          </w:tcPr>
          <w:p w14:paraId="4E487B3F" w14:textId="77777777" w:rsidR="00154E32" w:rsidRDefault="00154E32">
            <w:pPr>
              <w:jc w:val="center"/>
              <w:rPr>
                <w:rFonts w:ascii="Arial Narrow" w:hAnsi="Arial Narrow"/>
                <w:noProof/>
                <w:color w:val="006100"/>
                <w:sz w:val="20"/>
              </w:rPr>
            </w:pPr>
          </w:p>
        </w:tc>
        <w:tc>
          <w:tcPr>
            <w:tcW w:w="1276" w:type="dxa"/>
            <w:shd w:val="clear" w:color="auto" w:fill="C6EFCE"/>
            <w:noWrap/>
            <w:vAlign w:val="center"/>
          </w:tcPr>
          <w:p w14:paraId="4DACF2FB" w14:textId="682DA812" w:rsidR="00154E32" w:rsidRDefault="00A43E04">
            <w:pPr>
              <w:pStyle w:val="P68B1DB1-Normal11"/>
              <w:jc w:val="center"/>
              <w:rPr>
                <w:noProof/>
              </w:rPr>
            </w:pPr>
            <w:r>
              <w:rPr>
                <w:noProof/>
              </w:rPr>
              <w:t>Znesek odobrenih sredstev (v EUR)</w:t>
            </w:r>
          </w:p>
        </w:tc>
        <w:tc>
          <w:tcPr>
            <w:tcW w:w="992" w:type="dxa"/>
            <w:shd w:val="clear" w:color="auto" w:fill="C6EFCE"/>
            <w:noWrap/>
            <w:vAlign w:val="center"/>
          </w:tcPr>
          <w:p w14:paraId="7EF271E1" w14:textId="54038D51" w:rsidR="00154E32" w:rsidRDefault="00A43E04">
            <w:pPr>
              <w:pStyle w:val="P68B1DB1-Normal11"/>
              <w:jc w:val="center"/>
              <w:rPr>
                <w:noProof/>
              </w:rPr>
            </w:pPr>
            <w:r>
              <w:rPr>
                <w:noProof/>
              </w:rPr>
              <w:t>0</w:t>
            </w:r>
          </w:p>
        </w:tc>
        <w:tc>
          <w:tcPr>
            <w:tcW w:w="1276" w:type="dxa"/>
            <w:shd w:val="clear" w:color="auto" w:fill="C6EFCE"/>
            <w:noWrap/>
            <w:vAlign w:val="center"/>
          </w:tcPr>
          <w:p w14:paraId="3607B7C1" w14:textId="367A8864" w:rsidR="00154E32" w:rsidRDefault="00A43E04">
            <w:pPr>
              <w:pStyle w:val="P68B1DB1-Normal11"/>
              <w:jc w:val="center"/>
              <w:rPr>
                <w:noProof/>
              </w:rPr>
            </w:pPr>
            <w:r>
              <w:rPr>
                <w:noProof/>
              </w:rPr>
              <w:t>6 300 000 000</w:t>
            </w:r>
          </w:p>
        </w:tc>
        <w:tc>
          <w:tcPr>
            <w:tcW w:w="851" w:type="dxa"/>
            <w:shd w:val="clear" w:color="auto" w:fill="C6EFCE"/>
            <w:noWrap/>
            <w:vAlign w:val="center"/>
          </w:tcPr>
          <w:p w14:paraId="61213A0F" w14:textId="3CBAF6EE" w:rsidR="00154E32" w:rsidRDefault="00A43E04">
            <w:pPr>
              <w:pStyle w:val="P68B1DB1-Normal11"/>
              <w:jc w:val="center"/>
              <w:rPr>
                <w:noProof/>
              </w:rPr>
            </w:pPr>
            <w:r>
              <w:rPr>
                <w:noProof/>
              </w:rPr>
              <w:t>Q2</w:t>
            </w:r>
          </w:p>
        </w:tc>
        <w:tc>
          <w:tcPr>
            <w:tcW w:w="708" w:type="dxa"/>
            <w:shd w:val="clear" w:color="auto" w:fill="C6EFCE"/>
            <w:noWrap/>
            <w:vAlign w:val="center"/>
          </w:tcPr>
          <w:p w14:paraId="52BD2E36" w14:textId="6F54DA2B" w:rsidR="00154E32" w:rsidRDefault="00A43E04">
            <w:pPr>
              <w:pStyle w:val="P68B1DB1-Normal11"/>
              <w:jc w:val="center"/>
              <w:rPr>
                <w:noProof/>
              </w:rPr>
            </w:pPr>
            <w:r>
              <w:rPr>
                <w:noProof/>
              </w:rPr>
              <w:t>2026</w:t>
            </w:r>
          </w:p>
        </w:tc>
        <w:tc>
          <w:tcPr>
            <w:tcW w:w="3261" w:type="dxa"/>
            <w:shd w:val="clear" w:color="auto" w:fill="C6EFCE"/>
            <w:noWrap/>
            <w:vAlign w:val="center"/>
          </w:tcPr>
          <w:p w14:paraId="0723B7F5" w14:textId="77777777" w:rsidR="00154E32" w:rsidRDefault="00A43E04">
            <w:pPr>
              <w:pStyle w:val="P68B1DB1-Normal11"/>
              <w:rPr>
                <w:noProof/>
              </w:rPr>
            </w:pPr>
            <w:r>
              <w:rPr>
                <w:noProof/>
              </w:rPr>
              <w:t xml:space="preserve">Uradno obvestilo o dodelitvi vseh sredstev mehanizma za okrevanje in odpornost, namenjenih tej naložbi. </w:t>
            </w:r>
          </w:p>
          <w:p w14:paraId="0054E269" w14:textId="77777777" w:rsidR="00154E32" w:rsidRDefault="00154E32">
            <w:pPr>
              <w:rPr>
                <w:rFonts w:ascii="Arial Narrow" w:hAnsi="Arial Narrow"/>
                <w:noProof/>
                <w:color w:val="006100"/>
                <w:sz w:val="20"/>
              </w:rPr>
            </w:pPr>
          </w:p>
          <w:p w14:paraId="3EA2A283" w14:textId="537E96A8" w:rsidR="00154E32" w:rsidRDefault="00A43E04">
            <w:pPr>
              <w:pStyle w:val="P68B1DB1-Normal11"/>
              <w:rPr>
                <w:noProof/>
              </w:rPr>
            </w:pPr>
            <w:r>
              <w:rPr>
                <w:noProof/>
              </w:rPr>
              <w:t>Zadovoljivo izpolnjevanje cilja je odvisno tudi od objave poročila o oceni naložb mehanizma za okrevanje in odpornost, za katere je odgovorno ministrstvo za podjetja in Made v Italiji.</w:t>
            </w:r>
          </w:p>
        </w:tc>
      </w:tr>
      <w:tr w:rsidR="00154E32" w14:paraId="7560E5FF" w14:textId="77777777">
        <w:trPr>
          <w:trHeight w:val="309"/>
        </w:trPr>
        <w:tc>
          <w:tcPr>
            <w:tcW w:w="1187" w:type="dxa"/>
            <w:shd w:val="clear" w:color="auto" w:fill="C6EFCE"/>
            <w:noWrap/>
            <w:vAlign w:val="center"/>
          </w:tcPr>
          <w:p w14:paraId="1F12BA52" w14:textId="3755EB26" w:rsidR="00154E32" w:rsidRDefault="00A43E04">
            <w:pPr>
              <w:pStyle w:val="P68B1DB1-Normal11"/>
              <w:spacing w:after="120"/>
              <w:jc w:val="center"/>
              <w:rPr>
                <w:noProof/>
              </w:rPr>
            </w:pPr>
            <w:r>
              <w:rPr>
                <w:noProof/>
              </w:rPr>
              <w:t>M7–42</w:t>
            </w:r>
          </w:p>
        </w:tc>
        <w:tc>
          <w:tcPr>
            <w:tcW w:w="1559" w:type="dxa"/>
            <w:shd w:val="clear" w:color="auto" w:fill="C6EFCE"/>
            <w:noWrap/>
            <w:vAlign w:val="center"/>
          </w:tcPr>
          <w:p w14:paraId="2C829290" w14:textId="41B14794" w:rsidR="00154E32" w:rsidRDefault="00A43E04">
            <w:pPr>
              <w:pStyle w:val="P68B1DB1-Normal11"/>
              <w:spacing w:after="120"/>
              <w:jc w:val="center"/>
              <w:rPr>
                <w:noProof/>
              </w:rPr>
            </w:pPr>
            <w:r>
              <w:rPr>
                <w:noProof/>
              </w:rPr>
              <w:t>Naložba 15: Transizione 5.0 Zeleni</w:t>
            </w:r>
          </w:p>
        </w:tc>
        <w:tc>
          <w:tcPr>
            <w:tcW w:w="1134" w:type="dxa"/>
            <w:shd w:val="clear" w:color="auto" w:fill="C6EFCE"/>
            <w:noWrap/>
            <w:vAlign w:val="center"/>
          </w:tcPr>
          <w:p w14:paraId="283D6FB0" w14:textId="51DB775C" w:rsidR="00154E32" w:rsidRDefault="00A43E04">
            <w:pPr>
              <w:pStyle w:val="P68B1DB1-Normal11"/>
              <w:spacing w:after="120"/>
              <w:jc w:val="center"/>
              <w:rPr>
                <w:noProof/>
              </w:rPr>
            </w:pPr>
            <w:r>
              <w:rPr>
                <w:noProof/>
              </w:rPr>
              <w:t>Tarča</w:t>
            </w:r>
          </w:p>
        </w:tc>
        <w:tc>
          <w:tcPr>
            <w:tcW w:w="1417" w:type="dxa"/>
            <w:shd w:val="clear" w:color="auto" w:fill="C6EFCE"/>
            <w:noWrap/>
            <w:vAlign w:val="center"/>
          </w:tcPr>
          <w:p w14:paraId="57F27074" w14:textId="242174F6" w:rsidR="00154E32" w:rsidRDefault="00A43E04">
            <w:pPr>
              <w:pStyle w:val="P68B1DB1-Normal11"/>
              <w:spacing w:after="120"/>
              <w:jc w:val="center"/>
              <w:rPr>
                <w:noProof/>
              </w:rPr>
            </w:pPr>
            <w:r>
              <w:rPr>
                <w:noProof/>
              </w:rPr>
              <w:t>0,4 Mtoe prihrankov energije pri porabi končne energije v obdobju 2024–2026</w:t>
            </w:r>
          </w:p>
        </w:tc>
        <w:tc>
          <w:tcPr>
            <w:tcW w:w="1701" w:type="dxa"/>
            <w:shd w:val="clear" w:color="auto" w:fill="C6EFCE"/>
            <w:noWrap/>
            <w:vAlign w:val="center"/>
          </w:tcPr>
          <w:p w14:paraId="0AD0F0DB" w14:textId="553F5F56" w:rsidR="00154E32" w:rsidRDefault="00154E32">
            <w:pPr>
              <w:spacing w:after="120"/>
              <w:jc w:val="center"/>
              <w:rPr>
                <w:rFonts w:ascii="Arial Narrow" w:hAnsi="Arial Narrow"/>
                <w:noProof/>
                <w:color w:val="006100"/>
                <w:sz w:val="20"/>
              </w:rPr>
            </w:pPr>
          </w:p>
        </w:tc>
        <w:tc>
          <w:tcPr>
            <w:tcW w:w="1276" w:type="dxa"/>
            <w:shd w:val="clear" w:color="auto" w:fill="C6EFCE"/>
            <w:noWrap/>
            <w:vAlign w:val="center"/>
          </w:tcPr>
          <w:p w14:paraId="0CB4A574" w14:textId="2AEE5686" w:rsidR="00154E32" w:rsidRDefault="00A43E04">
            <w:pPr>
              <w:pStyle w:val="P68B1DB1-Normal11"/>
              <w:spacing w:after="120"/>
              <w:jc w:val="center"/>
              <w:rPr>
                <w:noProof/>
              </w:rPr>
            </w:pPr>
            <w:r>
              <w:rPr>
                <w:noProof/>
              </w:rPr>
              <w:t>Mtoe</w:t>
            </w:r>
          </w:p>
        </w:tc>
        <w:tc>
          <w:tcPr>
            <w:tcW w:w="992" w:type="dxa"/>
            <w:shd w:val="clear" w:color="auto" w:fill="C6EFCE"/>
            <w:noWrap/>
            <w:vAlign w:val="center"/>
          </w:tcPr>
          <w:p w14:paraId="093C06D8" w14:textId="2CBA6B1F" w:rsidR="00154E32" w:rsidRDefault="00A43E04">
            <w:pPr>
              <w:pStyle w:val="P68B1DB1-Normal11"/>
              <w:spacing w:after="120"/>
              <w:jc w:val="center"/>
              <w:rPr>
                <w:noProof/>
              </w:rPr>
            </w:pPr>
            <w:r>
              <w:rPr>
                <w:noProof/>
              </w:rPr>
              <w:t>0</w:t>
            </w:r>
          </w:p>
        </w:tc>
        <w:tc>
          <w:tcPr>
            <w:tcW w:w="1276" w:type="dxa"/>
            <w:shd w:val="clear" w:color="auto" w:fill="C6EFCE"/>
            <w:noWrap/>
            <w:vAlign w:val="center"/>
          </w:tcPr>
          <w:p w14:paraId="5EDF4CAE" w14:textId="42905948" w:rsidR="00154E32" w:rsidRDefault="00A43E04">
            <w:pPr>
              <w:pStyle w:val="P68B1DB1-Normal11"/>
              <w:spacing w:after="120"/>
              <w:jc w:val="center"/>
              <w:rPr>
                <w:noProof/>
              </w:rPr>
            </w:pPr>
            <w:r>
              <w:rPr>
                <w:noProof/>
              </w:rPr>
              <w:t>0.4</w:t>
            </w:r>
          </w:p>
        </w:tc>
        <w:tc>
          <w:tcPr>
            <w:tcW w:w="851" w:type="dxa"/>
            <w:shd w:val="clear" w:color="auto" w:fill="C6EFCE"/>
            <w:noWrap/>
            <w:vAlign w:val="center"/>
          </w:tcPr>
          <w:p w14:paraId="378DA29A" w14:textId="7BD24414" w:rsidR="00154E32" w:rsidRDefault="00A43E04">
            <w:pPr>
              <w:pStyle w:val="P68B1DB1-Normal11"/>
              <w:spacing w:after="120"/>
              <w:jc w:val="center"/>
              <w:rPr>
                <w:noProof/>
              </w:rPr>
            </w:pPr>
            <w:r>
              <w:rPr>
                <w:noProof/>
              </w:rPr>
              <w:t>Q2</w:t>
            </w:r>
          </w:p>
        </w:tc>
        <w:tc>
          <w:tcPr>
            <w:tcW w:w="708" w:type="dxa"/>
            <w:shd w:val="clear" w:color="auto" w:fill="C6EFCE"/>
            <w:noWrap/>
            <w:vAlign w:val="center"/>
          </w:tcPr>
          <w:p w14:paraId="4FA3BD4B" w14:textId="7D08D74F" w:rsidR="00154E32" w:rsidRDefault="00A43E04">
            <w:pPr>
              <w:pStyle w:val="P68B1DB1-Normal11"/>
              <w:spacing w:after="120"/>
              <w:jc w:val="center"/>
              <w:rPr>
                <w:noProof/>
              </w:rPr>
            </w:pPr>
            <w:r>
              <w:rPr>
                <w:noProof/>
              </w:rPr>
              <w:t>2026</w:t>
            </w:r>
          </w:p>
        </w:tc>
        <w:tc>
          <w:tcPr>
            <w:tcW w:w="3261" w:type="dxa"/>
            <w:shd w:val="clear" w:color="auto" w:fill="C6EFCE"/>
            <w:noWrap/>
            <w:vAlign w:val="center"/>
          </w:tcPr>
          <w:p w14:paraId="57A1CDCC" w14:textId="728DE1DE" w:rsidR="00154E32" w:rsidRDefault="00A43E04">
            <w:pPr>
              <w:pStyle w:val="P68B1DB1-Normal11"/>
              <w:spacing w:after="120"/>
              <w:rPr>
                <w:noProof/>
              </w:rPr>
            </w:pPr>
            <w:r>
              <w:rPr>
                <w:noProof/>
              </w:rPr>
              <w:t>Naložba ustvari 0,4 srednjeročnega cilja prihranka energije pri porabi končne energije v obdobju 2024–2026.</w:t>
            </w:r>
          </w:p>
        </w:tc>
      </w:tr>
      <w:tr w:rsidR="00154E32" w14:paraId="610FEABA" w14:textId="77777777">
        <w:trPr>
          <w:trHeight w:val="309"/>
        </w:trPr>
        <w:tc>
          <w:tcPr>
            <w:tcW w:w="1187" w:type="dxa"/>
            <w:shd w:val="clear" w:color="auto" w:fill="C6EFCE"/>
            <w:noWrap/>
            <w:vAlign w:val="center"/>
          </w:tcPr>
          <w:p w14:paraId="452CD2A7" w14:textId="268F1E30" w:rsidR="00154E32" w:rsidRDefault="00A43E04">
            <w:pPr>
              <w:pStyle w:val="P68B1DB1-Normal11"/>
              <w:spacing w:after="120"/>
              <w:jc w:val="center"/>
              <w:rPr>
                <w:noProof/>
              </w:rPr>
            </w:pPr>
            <w:r>
              <w:rPr>
                <w:noProof/>
              </w:rPr>
              <w:t>M7–43</w:t>
            </w:r>
          </w:p>
        </w:tc>
        <w:tc>
          <w:tcPr>
            <w:tcW w:w="1559" w:type="dxa"/>
            <w:shd w:val="clear" w:color="auto" w:fill="C6EFCE"/>
            <w:noWrap/>
            <w:vAlign w:val="center"/>
          </w:tcPr>
          <w:p w14:paraId="639A2E1A" w14:textId="192FCE39" w:rsidR="00154E32" w:rsidRDefault="00A43E04">
            <w:pPr>
              <w:pStyle w:val="P68B1DB1-Normal11"/>
              <w:spacing w:after="120"/>
              <w:jc w:val="center"/>
              <w:rPr>
                <w:noProof/>
              </w:rPr>
            </w:pPr>
            <w:r>
              <w:rPr>
                <w:noProof/>
              </w:rPr>
              <w:t>Naložba 16: Podpora MSP za lastno proizvodnjo iz obnovljivih virov energije</w:t>
            </w:r>
          </w:p>
        </w:tc>
        <w:tc>
          <w:tcPr>
            <w:tcW w:w="1134" w:type="dxa"/>
            <w:shd w:val="clear" w:color="auto" w:fill="C6EFCE"/>
            <w:noWrap/>
            <w:vAlign w:val="center"/>
          </w:tcPr>
          <w:p w14:paraId="2CE788B1" w14:textId="79142297" w:rsidR="00154E32" w:rsidRDefault="00A43E04">
            <w:pPr>
              <w:pStyle w:val="P68B1DB1-Normal11"/>
              <w:spacing w:after="120"/>
              <w:jc w:val="center"/>
              <w:rPr>
                <w:noProof/>
              </w:rPr>
            </w:pPr>
            <w:r>
              <w:rPr>
                <w:noProof/>
              </w:rPr>
              <w:t>Mejnik</w:t>
            </w:r>
          </w:p>
        </w:tc>
        <w:tc>
          <w:tcPr>
            <w:tcW w:w="1417" w:type="dxa"/>
            <w:shd w:val="clear" w:color="auto" w:fill="C6EFCE"/>
            <w:noWrap/>
            <w:vAlign w:val="center"/>
          </w:tcPr>
          <w:p w14:paraId="4973C1B2" w14:textId="65E2CECF" w:rsidR="00154E32" w:rsidRDefault="00A43E04">
            <w:pPr>
              <w:pStyle w:val="P68B1DB1-Normal11"/>
              <w:spacing w:after="120"/>
              <w:jc w:val="center"/>
              <w:rPr>
                <w:noProof/>
              </w:rPr>
            </w:pPr>
            <w:r>
              <w:rPr>
                <w:noProof/>
              </w:rPr>
              <w:t>Izvedbeni sporazum</w:t>
            </w:r>
          </w:p>
        </w:tc>
        <w:tc>
          <w:tcPr>
            <w:tcW w:w="1701" w:type="dxa"/>
            <w:shd w:val="clear" w:color="auto" w:fill="C6EFCE"/>
            <w:noWrap/>
            <w:vAlign w:val="center"/>
          </w:tcPr>
          <w:p w14:paraId="78DAA9DE" w14:textId="0E788516" w:rsidR="00154E32" w:rsidRDefault="00A43E04">
            <w:pPr>
              <w:pStyle w:val="P68B1DB1-Normal11"/>
              <w:spacing w:after="120"/>
              <w:jc w:val="center"/>
              <w:rPr>
                <w:noProof/>
              </w:rPr>
            </w:pPr>
            <w:r>
              <w:rPr>
                <w:noProof/>
              </w:rPr>
              <w:t>Začetek veljavnosti izvedbenega sporazuma</w:t>
            </w:r>
          </w:p>
        </w:tc>
        <w:tc>
          <w:tcPr>
            <w:tcW w:w="1276" w:type="dxa"/>
            <w:shd w:val="clear" w:color="auto" w:fill="C6EFCE"/>
            <w:noWrap/>
            <w:vAlign w:val="center"/>
          </w:tcPr>
          <w:p w14:paraId="77B3B28A" w14:textId="27514BFF"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43D552F1" w14:textId="74DD3ADE" w:rsidR="00154E32" w:rsidRDefault="00154E32">
            <w:pPr>
              <w:spacing w:after="120"/>
              <w:jc w:val="center"/>
              <w:rPr>
                <w:rFonts w:ascii="Arial Narrow" w:hAnsi="Arial Narrow"/>
                <w:noProof/>
                <w:color w:val="006100"/>
                <w:sz w:val="20"/>
              </w:rPr>
            </w:pPr>
          </w:p>
        </w:tc>
        <w:tc>
          <w:tcPr>
            <w:tcW w:w="1276" w:type="dxa"/>
            <w:shd w:val="clear" w:color="auto" w:fill="C6EFCE"/>
            <w:noWrap/>
            <w:vAlign w:val="center"/>
          </w:tcPr>
          <w:p w14:paraId="69DBB64C" w14:textId="6628508E" w:rsidR="00154E32" w:rsidRDefault="00154E32">
            <w:pPr>
              <w:spacing w:after="120"/>
              <w:jc w:val="center"/>
              <w:rPr>
                <w:rFonts w:ascii="Arial Narrow" w:hAnsi="Arial Narrow"/>
                <w:noProof/>
                <w:color w:val="006100"/>
                <w:sz w:val="20"/>
              </w:rPr>
            </w:pPr>
          </w:p>
        </w:tc>
        <w:tc>
          <w:tcPr>
            <w:tcW w:w="851" w:type="dxa"/>
            <w:shd w:val="clear" w:color="auto" w:fill="C6EFCE"/>
            <w:noWrap/>
            <w:vAlign w:val="center"/>
          </w:tcPr>
          <w:p w14:paraId="2CED7E24" w14:textId="492AD846" w:rsidR="00154E32" w:rsidRDefault="00A43E04">
            <w:pPr>
              <w:pStyle w:val="P68B1DB1-Normal11"/>
              <w:spacing w:after="120"/>
              <w:jc w:val="center"/>
              <w:rPr>
                <w:noProof/>
              </w:rPr>
            </w:pPr>
            <w:r>
              <w:rPr>
                <w:noProof/>
              </w:rPr>
              <w:t>Q4</w:t>
            </w:r>
          </w:p>
        </w:tc>
        <w:tc>
          <w:tcPr>
            <w:tcW w:w="708" w:type="dxa"/>
            <w:shd w:val="clear" w:color="auto" w:fill="C6EFCE"/>
            <w:noWrap/>
            <w:vAlign w:val="center"/>
          </w:tcPr>
          <w:p w14:paraId="2E0D0093" w14:textId="25FED716" w:rsidR="00154E32" w:rsidRDefault="00A43E04">
            <w:pPr>
              <w:pStyle w:val="P68B1DB1-Normal11"/>
              <w:spacing w:after="120"/>
              <w:jc w:val="center"/>
              <w:rPr>
                <w:noProof/>
              </w:rPr>
            </w:pPr>
            <w:r>
              <w:rPr>
                <w:noProof/>
              </w:rPr>
              <w:t>2024</w:t>
            </w:r>
          </w:p>
        </w:tc>
        <w:tc>
          <w:tcPr>
            <w:tcW w:w="3261" w:type="dxa"/>
            <w:shd w:val="clear" w:color="auto" w:fill="C6EFCE"/>
            <w:noWrap/>
            <w:vAlign w:val="center"/>
          </w:tcPr>
          <w:p w14:paraId="43DBC48B" w14:textId="0CB7B2C2" w:rsidR="00154E32" w:rsidRDefault="00A43E04">
            <w:pPr>
              <w:pStyle w:val="P68B1DB1-Normal11"/>
              <w:spacing w:after="120"/>
              <w:rPr>
                <w:noProof/>
              </w:rPr>
            </w:pPr>
            <w:r>
              <w:rPr>
                <w:noProof/>
              </w:rPr>
              <w:t>Začetek veljavnosti izvedbenega sporazuma.</w:t>
            </w:r>
          </w:p>
        </w:tc>
      </w:tr>
      <w:tr w:rsidR="00154E32" w14:paraId="232C2BE7" w14:textId="77777777">
        <w:trPr>
          <w:trHeight w:val="309"/>
        </w:trPr>
        <w:tc>
          <w:tcPr>
            <w:tcW w:w="1187" w:type="dxa"/>
            <w:shd w:val="clear" w:color="auto" w:fill="C6EFCE"/>
            <w:noWrap/>
            <w:vAlign w:val="center"/>
          </w:tcPr>
          <w:p w14:paraId="0B66D527" w14:textId="7ED4FCD2" w:rsidR="00154E32" w:rsidRDefault="00A43E04">
            <w:pPr>
              <w:pStyle w:val="P68B1DB1-Normal11"/>
              <w:spacing w:after="120"/>
              <w:jc w:val="center"/>
              <w:rPr>
                <w:noProof/>
                <w:color w:val="000000" w:themeColor="text1"/>
              </w:rPr>
            </w:pPr>
            <w:r>
              <w:rPr>
                <w:noProof/>
              </w:rPr>
              <w:t>M7–44</w:t>
            </w:r>
          </w:p>
        </w:tc>
        <w:tc>
          <w:tcPr>
            <w:tcW w:w="1559" w:type="dxa"/>
            <w:shd w:val="clear" w:color="auto" w:fill="C6EFCE"/>
            <w:noWrap/>
            <w:vAlign w:val="center"/>
          </w:tcPr>
          <w:p w14:paraId="030C0167" w14:textId="3D005885" w:rsidR="00154E32" w:rsidRDefault="00A43E04">
            <w:pPr>
              <w:pStyle w:val="P68B1DB1-Normal11"/>
              <w:spacing w:after="120"/>
              <w:jc w:val="center"/>
              <w:rPr>
                <w:noProof/>
              </w:rPr>
            </w:pPr>
            <w:r>
              <w:rPr>
                <w:noProof/>
              </w:rPr>
              <w:t>Naložba 16: Podpora MSP za lastno proizvodnjo iz obnovljivih virov energije</w:t>
            </w:r>
          </w:p>
        </w:tc>
        <w:tc>
          <w:tcPr>
            <w:tcW w:w="1134" w:type="dxa"/>
            <w:shd w:val="clear" w:color="auto" w:fill="C6EFCE"/>
            <w:noWrap/>
            <w:vAlign w:val="center"/>
          </w:tcPr>
          <w:p w14:paraId="7E9E83C9" w14:textId="0581B784" w:rsidR="00154E32" w:rsidRDefault="00A43E04">
            <w:pPr>
              <w:pStyle w:val="P68B1DB1-Normal11"/>
              <w:spacing w:after="120"/>
              <w:jc w:val="center"/>
              <w:rPr>
                <w:noProof/>
              </w:rPr>
            </w:pPr>
            <w:r>
              <w:rPr>
                <w:noProof/>
              </w:rPr>
              <w:t>Mejnik</w:t>
            </w:r>
          </w:p>
        </w:tc>
        <w:tc>
          <w:tcPr>
            <w:tcW w:w="1417" w:type="dxa"/>
            <w:shd w:val="clear" w:color="auto" w:fill="C6EFCE"/>
            <w:noWrap/>
            <w:vAlign w:val="center"/>
          </w:tcPr>
          <w:p w14:paraId="2232BF25" w14:textId="6A78709A" w:rsidR="00154E32" w:rsidRDefault="00A43E04">
            <w:pPr>
              <w:pStyle w:val="P68B1DB1-Normal11"/>
              <w:spacing w:after="120"/>
              <w:jc w:val="center"/>
              <w:rPr>
                <w:noProof/>
              </w:rPr>
            </w:pPr>
            <w:r>
              <w:rPr>
                <w:noProof/>
              </w:rPr>
              <w:t>Italijansko ministrstvo za podjetja in Made je zaključilo prenos sredstev na Invitalijo</w:t>
            </w:r>
          </w:p>
        </w:tc>
        <w:tc>
          <w:tcPr>
            <w:tcW w:w="1701" w:type="dxa"/>
            <w:shd w:val="clear" w:color="auto" w:fill="C6EFCE"/>
            <w:noWrap/>
            <w:vAlign w:val="center"/>
          </w:tcPr>
          <w:p w14:paraId="0FDBA212" w14:textId="332DD118" w:rsidR="00154E32" w:rsidRDefault="00A43E04">
            <w:pPr>
              <w:pStyle w:val="P68B1DB1-Normal11"/>
              <w:spacing w:after="120"/>
              <w:jc w:val="center"/>
              <w:rPr>
                <w:noProof/>
              </w:rPr>
            </w:pPr>
            <w:r>
              <w:rPr>
                <w:noProof/>
              </w:rPr>
              <w:t>Potrdilo o prenosu</w:t>
            </w:r>
          </w:p>
        </w:tc>
        <w:tc>
          <w:tcPr>
            <w:tcW w:w="1276" w:type="dxa"/>
            <w:shd w:val="clear" w:color="auto" w:fill="C6EFCE"/>
            <w:noWrap/>
            <w:vAlign w:val="center"/>
          </w:tcPr>
          <w:p w14:paraId="77E545C8" w14:textId="730C949F" w:rsidR="00154E32" w:rsidRDefault="00154E32">
            <w:pPr>
              <w:spacing w:after="120"/>
              <w:jc w:val="center"/>
              <w:rPr>
                <w:rFonts w:ascii="Arial Narrow" w:hAnsi="Arial Narrow"/>
                <w:noProof/>
                <w:color w:val="006100"/>
                <w:sz w:val="20"/>
              </w:rPr>
            </w:pPr>
          </w:p>
        </w:tc>
        <w:tc>
          <w:tcPr>
            <w:tcW w:w="992" w:type="dxa"/>
            <w:shd w:val="clear" w:color="auto" w:fill="C6EFCE"/>
            <w:noWrap/>
            <w:vAlign w:val="center"/>
          </w:tcPr>
          <w:p w14:paraId="31B3012B" w14:textId="44AE8049" w:rsidR="00154E32" w:rsidRDefault="00154E32">
            <w:pPr>
              <w:spacing w:after="120"/>
              <w:jc w:val="center"/>
              <w:rPr>
                <w:rFonts w:ascii="Arial Narrow" w:hAnsi="Arial Narrow"/>
                <w:noProof/>
                <w:color w:val="006100"/>
                <w:sz w:val="20"/>
              </w:rPr>
            </w:pPr>
          </w:p>
        </w:tc>
        <w:tc>
          <w:tcPr>
            <w:tcW w:w="1276" w:type="dxa"/>
            <w:shd w:val="clear" w:color="auto" w:fill="C6EFCE"/>
            <w:noWrap/>
            <w:vAlign w:val="center"/>
          </w:tcPr>
          <w:p w14:paraId="3B409DAC" w14:textId="757C5957" w:rsidR="00154E32" w:rsidRDefault="00154E32">
            <w:pPr>
              <w:spacing w:after="120"/>
              <w:jc w:val="center"/>
              <w:rPr>
                <w:rFonts w:ascii="Arial Narrow" w:hAnsi="Arial Narrow"/>
                <w:noProof/>
                <w:color w:val="006100"/>
                <w:sz w:val="20"/>
              </w:rPr>
            </w:pPr>
          </w:p>
        </w:tc>
        <w:tc>
          <w:tcPr>
            <w:tcW w:w="851" w:type="dxa"/>
            <w:shd w:val="clear" w:color="auto" w:fill="C6EFCE"/>
            <w:noWrap/>
            <w:vAlign w:val="center"/>
          </w:tcPr>
          <w:p w14:paraId="38ED9B2A" w14:textId="44F79564" w:rsidR="00154E32" w:rsidRDefault="00A43E04">
            <w:pPr>
              <w:pStyle w:val="P68B1DB1-Normal11"/>
              <w:spacing w:after="120"/>
              <w:jc w:val="center"/>
              <w:rPr>
                <w:noProof/>
              </w:rPr>
            </w:pPr>
            <w:r>
              <w:rPr>
                <w:noProof/>
              </w:rPr>
              <w:t>Q4</w:t>
            </w:r>
          </w:p>
        </w:tc>
        <w:tc>
          <w:tcPr>
            <w:tcW w:w="708" w:type="dxa"/>
            <w:shd w:val="clear" w:color="auto" w:fill="C6EFCE"/>
            <w:noWrap/>
            <w:vAlign w:val="center"/>
          </w:tcPr>
          <w:p w14:paraId="0E665F45" w14:textId="306D1D64" w:rsidR="00154E32" w:rsidRDefault="00A43E04">
            <w:pPr>
              <w:pStyle w:val="P68B1DB1-Normal11"/>
              <w:spacing w:after="120"/>
              <w:jc w:val="center"/>
              <w:rPr>
                <w:noProof/>
              </w:rPr>
            </w:pPr>
            <w:r>
              <w:rPr>
                <w:noProof/>
              </w:rPr>
              <w:t>2024</w:t>
            </w:r>
          </w:p>
        </w:tc>
        <w:tc>
          <w:tcPr>
            <w:tcW w:w="3261" w:type="dxa"/>
            <w:shd w:val="clear" w:color="auto" w:fill="C6EFCE"/>
            <w:noWrap/>
            <w:vAlign w:val="center"/>
          </w:tcPr>
          <w:p w14:paraId="086198B6" w14:textId="5E3207C7" w:rsidR="00154E32" w:rsidRDefault="00A43E04">
            <w:pPr>
              <w:pStyle w:val="P68B1DB1-Normal11"/>
              <w:spacing w:after="120"/>
              <w:rPr>
                <w:noProof/>
              </w:rPr>
            </w:pPr>
            <w:r>
              <w:rPr>
                <w:noProof/>
              </w:rPr>
              <w:t>Italija prenese 320 000 000 EUR na Invitalijo za instrument.</w:t>
            </w:r>
          </w:p>
        </w:tc>
      </w:tr>
      <w:tr w:rsidR="00154E32" w14:paraId="14E39A56" w14:textId="77777777">
        <w:trPr>
          <w:trHeight w:val="309"/>
        </w:trPr>
        <w:tc>
          <w:tcPr>
            <w:tcW w:w="1187" w:type="dxa"/>
            <w:shd w:val="clear" w:color="auto" w:fill="C6EFCE"/>
            <w:noWrap/>
            <w:vAlign w:val="center"/>
          </w:tcPr>
          <w:p w14:paraId="4E54FA68" w14:textId="6286BA22" w:rsidR="00154E32" w:rsidRDefault="00A43E04">
            <w:pPr>
              <w:pStyle w:val="P68B1DB1-Normal11"/>
              <w:spacing w:after="120"/>
              <w:jc w:val="center"/>
              <w:rPr>
                <w:noProof/>
              </w:rPr>
            </w:pPr>
            <w:r>
              <w:rPr>
                <w:noProof/>
              </w:rPr>
              <w:t>M7–45</w:t>
            </w:r>
          </w:p>
        </w:tc>
        <w:tc>
          <w:tcPr>
            <w:tcW w:w="1559" w:type="dxa"/>
            <w:shd w:val="clear" w:color="auto" w:fill="C6EFCE"/>
            <w:noWrap/>
            <w:vAlign w:val="center"/>
          </w:tcPr>
          <w:p w14:paraId="2D173C14" w14:textId="152E8F33" w:rsidR="00154E32" w:rsidRDefault="00A43E04">
            <w:pPr>
              <w:pStyle w:val="P68B1DB1-Normal11"/>
              <w:spacing w:after="120"/>
              <w:jc w:val="center"/>
              <w:rPr>
                <w:noProof/>
              </w:rPr>
            </w:pPr>
            <w:r>
              <w:rPr>
                <w:noProof/>
              </w:rPr>
              <w:t>Naložba 16: Podpora MSP za lastno proizvodnjo iz obnovljivih virov energije</w:t>
            </w:r>
          </w:p>
        </w:tc>
        <w:tc>
          <w:tcPr>
            <w:tcW w:w="1134" w:type="dxa"/>
            <w:shd w:val="clear" w:color="auto" w:fill="C6EFCE"/>
            <w:noWrap/>
            <w:vAlign w:val="center"/>
          </w:tcPr>
          <w:p w14:paraId="6F688C00" w14:textId="382D013C" w:rsidR="00154E32" w:rsidRDefault="00A43E04">
            <w:pPr>
              <w:pStyle w:val="P68B1DB1-Normal11"/>
              <w:spacing w:after="120"/>
              <w:jc w:val="center"/>
              <w:rPr>
                <w:noProof/>
              </w:rPr>
            </w:pPr>
            <w:r>
              <w:rPr>
                <w:noProof/>
              </w:rPr>
              <w:t>Tarča</w:t>
            </w:r>
          </w:p>
        </w:tc>
        <w:tc>
          <w:tcPr>
            <w:tcW w:w="1417" w:type="dxa"/>
            <w:shd w:val="clear" w:color="auto" w:fill="C6EFCE"/>
            <w:noWrap/>
            <w:vAlign w:val="center"/>
          </w:tcPr>
          <w:p w14:paraId="18CFD9CF" w14:textId="212E8BEC" w:rsidR="00154E32" w:rsidRDefault="00A43E04">
            <w:pPr>
              <w:pStyle w:val="P68B1DB1-Normal11"/>
              <w:spacing w:after="120"/>
              <w:jc w:val="center"/>
              <w:rPr>
                <w:noProof/>
              </w:rPr>
            </w:pPr>
            <w:r>
              <w:rPr>
                <w:noProof/>
              </w:rPr>
              <w:t>Pravni sporazumi s končnimi upravičenci</w:t>
            </w:r>
          </w:p>
        </w:tc>
        <w:tc>
          <w:tcPr>
            <w:tcW w:w="1701" w:type="dxa"/>
            <w:shd w:val="clear" w:color="auto" w:fill="C6EFCE"/>
            <w:noWrap/>
            <w:vAlign w:val="center"/>
          </w:tcPr>
          <w:p w14:paraId="78E38CC6" w14:textId="11BA8E44" w:rsidR="00154E32" w:rsidRDefault="00A43E04">
            <w:pPr>
              <w:pStyle w:val="P68B1DB1-Normal11"/>
              <w:spacing w:after="120"/>
              <w:jc w:val="center"/>
              <w:rPr>
                <w:noProof/>
              </w:rPr>
            </w:pPr>
            <w:r>
              <w:rPr>
                <w:noProof/>
              </w:rPr>
              <w:t>Začetek veljavnosti aktov o odobritvi</w:t>
            </w:r>
          </w:p>
        </w:tc>
        <w:tc>
          <w:tcPr>
            <w:tcW w:w="1276" w:type="dxa"/>
            <w:shd w:val="clear" w:color="auto" w:fill="C6EFCE"/>
            <w:noWrap/>
            <w:vAlign w:val="center"/>
          </w:tcPr>
          <w:p w14:paraId="3CF07CA7" w14:textId="77777777" w:rsidR="00154E32" w:rsidRDefault="00A43E04">
            <w:pPr>
              <w:pStyle w:val="P68B1DB1-Normal11"/>
              <w:spacing w:after="120"/>
              <w:jc w:val="center"/>
              <w:rPr>
                <w:noProof/>
              </w:rPr>
            </w:pPr>
            <w:r>
              <w:rPr>
                <w:noProof/>
              </w:rPr>
              <w:t>Delež</w:t>
            </w:r>
          </w:p>
          <w:p w14:paraId="4C9C7912" w14:textId="70EAE41D" w:rsidR="00154E32" w:rsidRDefault="00A43E04">
            <w:pPr>
              <w:pStyle w:val="P68B1DB1-Normal11"/>
              <w:spacing w:after="120"/>
              <w:jc w:val="center"/>
              <w:rPr>
                <w:noProof/>
              </w:rPr>
            </w:pPr>
            <w:r>
              <w:rPr>
                <w:noProof/>
              </w:rPr>
              <w:t>(%)</w:t>
            </w:r>
          </w:p>
        </w:tc>
        <w:tc>
          <w:tcPr>
            <w:tcW w:w="992" w:type="dxa"/>
            <w:shd w:val="clear" w:color="auto" w:fill="C6EFCE"/>
            <w:noWrap/>
            <w:vAlign w:val="center"/>
          </w:tcPr>
          <w:p w14:paraId="29DD8C2B" w14:textId="7E3E1761" w:rsidR="00154E32" w:rsidRDefault="00A43E04">
            <w:pPr>
              <w:pStyle w:val="P68B1DB1-Normal11"/>
              <w:spacing w:after="120"/>
              <w:jc w:val="center"/>
              <w:rPr>
                <w:noProof/>
              </w:rPr>
            </w:pPr>
            <w:r>
              <w:rPr>
                <w:noProof/>
              </w:rPr>
              <w:t>0</w:t>
            </w:r>
          </w:p>
        </w:tc>
        <w:tc>
          <w:tcPr>
            <w:tcW w:w="1276" w:type="dxa"/>
            <w:shd w:val="clear" w:color="auto" w:fill="C6EFCE"/>
            <w:noWrap/>
            <w:vAlign w:val="center"/>
          </w:tcPr>
          <w:p w14:paraId="3357254A" w14:textId="2F13E557" w:rsidR="00154E32" w:rsidRDefault="00A43E04">
            <w:pPr>
              <w:pStyle w:val="P68B1DB1-Normal11"/>
              <w:spacing w:after="120"/>
              <w:jc w:val="center"/>
              <w:rPr>
                <w:noProof/>
              </w:rPr>
            </w:pPr>
            <w:r>
              <w:rPr>
                <w:noProof/>
              </w:rPr>
              <w:t>100 %</w:t>
            </w:r>
          </w:p>
        </w:tc>
        <w:tc>
          <w:tcPr>
            <w:tcW w:w="851" w:type="dxa"/>
            <w:shd w:val="clear" w:color="auto" w:fill="C6EFCE"/>
            <w:noWrap/>
            <w:vAlign w:val="center"/>
          </w:tcPr>
          <w:p w14:paraId="313E4F4A" w14:textId="2952133F" w:rsidR="00154E32" w:rsidRDefault="00A43E04">
            <w:pPr>
              <w:pStyle w:val="P68B1DB1-Normal11"/>
              <w:spacing w:after="120"/>
              <w:jc w:val="center"/>
              <w:rPr>
                <w:noProof/>
              </w:rPr>
            </w:pPr>
            <w:r>
              <w:rPr>
                <w:noProof/>
              </w:rPr>
              <w:t>Q2</w:t>
            </w:r>
          </w:p>
        </w:tc>
        <w:tc>
          <w:tcPr>
            <w:tcW w:w="708" w:type="dxa"/>
            <w:shd w:val="clear" w:color="auto" w:fill="C6EFCE"/>
            <w:noWrap/>
            <w:vAlign w:val="center"/>
          </w:tcPr>
          <w:p w14:paraId="3E74A7B2" w14:textId="4CB92D28" w:rsidR="00154E32" w:rsidRDefault="00A43E04">
            <w:pPr>
              <w:pStyle w:val="P68B1DB1-Normal11"/>
              <w:spacing w:after="120"/>
              <w:jc w:val="center"/>
              <w:rPr>
                <w:noProof/>
              </w:rPr>
            </w:pPr>
            <w:r>
              <w:rPr>
                <w:noProof/>
              </w:rPr>
              <w:t>2026</w:t>
            </w:r>
          </w:p>
        </w:tc>
        <w:tc>
          <w:tcPr>
            <w:tcW w:w="3261" w:type="dxa"/>
            <w:shd w:val="clear" w:color="auto" w:fill="C6EFCE"/>
            <w:noWrap/>
            <w:vAlign w:val="center"/>
          </w:tcPr>
          <w:p w14:paraId="1C521B07" w14:textId="5F106AC4" w:rsidR="00154E32" w:rsidRDefault="00A43E04">
            <w:pPr>
              <w:pStyle w:val="P68B1DB1-Normal11"/>
              <w:spacing w:after="120"/>
              <w:rPr>
                <w:noProof/>
              </w:rPr>
            </w:pPr>
            <w:r>
              <w:rPr>
                <w:noProof/>
              </w:rPr>
              <w:t xml:space="preserve">Invitalia sprejme akte o dodelitvi sredstev v korist končnih upravičencev v znesku, potrebnem za uporabo 100 % od 320 000 000 EUR naložb v okviru mehanizma za okrevanje in odpornost. </w:t>
            </w:r>
          </w:p>
        </w:tc>
      </w:tr>
      <w:tr w:rsidR="00154E32" w14:paraId="1A681D32" w14:textId="77777777">
        <w:trPr>
          <w:trHeight w:val="309"/>
        </w:trPr>
        <w:tc>
          <w:tcPr>
            <w:tcW w:w="118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664C31" w14:textId="611D425E" w:rsidR="00154E32" w:rsidRDefault="00A43E04">
            <w:pPr>
              <w:pStyle w:val="P68B1DB1-Normal11"/>
              <w:spacing w:after="120"/>
              <w:jc w:val="center"/>
              <w:rPr>
                <w:noProof/>
              </w:rPr>
            </w:pPr>
            <w:r>
              <w:rPr>
                <w:noProof/>
              </w:rPr>
              <w:t>M7–46</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D85D91A" w14:textId="2B6DF6D6" w:rsidR="00154E32" w:rsidRDefault="00A43E04">
            <w:pPr>
              <w:pStyle w:val="P68B1DB1-Normal11"/>
              <w:spacing w:after="120"/>
              <w:jc w:val="center"/>
              <w:rPr>
                <w:noProof/>
              </w:rPr>
            </w:pPr>
            <w:r>
              <w:rPr>
                <w:noProof/>
              </w:rPr>
              <w:t>Naložba 17: Finančni instrument za energetsko prenovo javnih in socialnih stanovanj</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E6AA76" w14:textId="1D2452FD" w:rsidR="00154E32" w:rsidRDefault="00A43E04">
            <w:pPr>
              <w:pStyle w:val="P68B1DB1-Normal11"/>
              <w:spacing w:after="120"/>
              <w:jc w:val="center"/>
              <w:rPr>
                <w:noProof/>
              </w:rPr>
            </w:pPr>
            <w:r>
              <w:rPr>
                <w:noProof/>
              </w:rPr>
              <w:t>Mejnik</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6265FEA" w14:textId="77777777" w:rsidR="00154E32" w:rsidRDefault="00A43E04">
            <w:pPr>
              <w:pStyle w:val="P68B1DB1-Normal11"/>
              <w:spacing w:after="120"/>
              <w:jc w:val="center"/>
              <w:rPr>
                <w:noProof/>
              </w:rPr>
            </w:pPr>
            <w:r>
              <w:rPr>
                <w:noProof/>
              </w:rPr>
              <w:t>Opredelitev cilja nalog in nalog</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3A4EFA" w14:textId="637CE1A6" w:rsidR="00154E32" w:rsidRDefault="00A43E04">
            <w:pPr>
              <w:pStyle w:val="P68B1DB1-Normal11"/>
              <w:spacing w:after="120"/>
              <w:jc w:val="center"/>
              <w:rPr>
                <w:noProof/>
              </w:rPr>
            </w:pPr>
            <w:r>
              <w:rPr>
                <w:noProof/>
              </w:rPr>
              <w:t>Začetek veljavnosti akta z opredelitvijo pristojnosti in nalog finančnega instrumenta</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CF4A4CA" w14:textId="77777777" w:rsidR="00154E32" w:rsidRDefault="00154E32">
            <w:pPr>
              <w:spacing w:after="120"/>
              <w:jc w:val="center"/>
              <w:rPr>
                <w:rFonts w:ascii="Arial Narrow" w:hAnsi="Arial Narrow"/>
                <w:noProof/>
                <w:color w:val="006100"/>
                <w:sz w:val="20"/>
              </w:rPr>
            </w:pP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062964D" w14:textId="77777777" w:rsidR="00154E32" w:rsidRDefault="00154E32">
            <w:pPr>
              <w:spacing w:after="120"/>
              <w:jc w:val="center"/>
              <w:rPr>
                <w:rFonts w:ascii="Arial Narrow" w:hAnsi="Arial Narrow"/>
                <w:noProof/>
                <w:color w:val="0061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12CD54D" w14:textId="77777777" w:rsidR="00154E32" w:rsidRDefault="00154E32">
            <w:pPr>
              <w:spacing w:after="120"/>
              <w:jc w:val="center"/>
              <w:rPr>
                <w:rFonts w:ascii="Arial Narrow" w:hAnsi="Arial Narrow"/>
                <w:noProof/>
                <w:color w:val="0061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FFAFD5" w14:textId="6DE81B87" w:rsidR="00154E32" w:rsidRDefault="00A43E04">
            <w:pPr>
              <w:pStyle w:val="P68B1DB1-Normal11"/>
              <w:spacing w:after="120"/>
              <w:jc w:val="center"/>
              <w:rPr>
                <w:noProof/>
              </w:rPr>
            </w:pPr>
            <w:r>
              <w:rPr>
                <w:noProof/>
              </w:rPr>
              <w:t>Q3</w:t>
            </w:r>
          </w:p>
        </w:tc>
        <w:tc>
          <w:tcPr>
            <w:tcW w:w="70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095573" w14:textId="77777777" w:rsidR="00154E32" w:rsidRDefault="00A43E04">
            <w:pPr>
              <w:pStyle w:val="P68B1DB1-Normal11"/>
              <w:spacing w:after="120"/>
              <w:jc w:val="center"/>
              <w:rPr>
                <w:noProof/>
              </w:rPr>
            </w:pPr>
            <w:r>
              <w:rPr>
                <w:noProof/>
              </w:rPr>
              <w:t>2024</w:t>
            </w:r>
          </w:p>
        </w:tc>
        <w:tc>
          <w:tcPr>
            <w:tcW w:w="3261" w:type="dxa"/>
            <w:tcBorders>
              <w:top w:val="single" w:sz="4" w:space="0" w:color="auto"/>
              <w:left w:val="single" w:sz="4" w:space="0" w:color="auto"/>
              <w:bottom w:val="single" w:sz="4" w:space="0" w:color="auto"/>
              <w:right w:val="single" w:sz="4" w:space="0" w:color="auto"/>
            </w:tcBorders>
            <w:shd w:val="clear" w:color="auto" w:fill="C6EFCE"/>
            <w:noWrap/>
          </w:tcPr>
          <w:p w14:paraId="441FD2CD" w14:textId="6EFF6143" w:rsidR="00154E32" w:rsidRDefault="00A43E04">
            <w:pPr>
              <w:pStyle w:val="P68B1DB1-Normal11"/>
              <w:spacing w:after="120"/>
              <w:rPr>
                <w:noProof/>
              </w:rPr>
            </w:pPr>
            <w:r>
              <w:rPr>
                <w:noProof/>
              </w:rPr>
              <w:t xml:space="preserve">Opredeli pristojnosti in naloge finančnega instrumenta, ki je usmerjen v javna in socialna stanovanja ter energijsko prenovo v gospodinjstvih z nizkimi dohodki in ranljivih gospodinjstvih v večstanovanjskih stavbah. </w:t>
            </w:r>
          </w:p>
          <w:p w14:paraId="13E6DAE4" w14:textId="77777777" w:rsidR="00154E32" w:rsidRDefault="00154E32">
            <w:pPr>
              <w:spacing w:after="120"/>
              <w:rPr>
                <w:rFonts w:ascii="Arial Narrow" w:hAnsi="Arial Narrow"/>
                <w:noProof/>
                <w:color w:val="006100"/>
                <w:sz w:val="20"/>
              </w:rPr>
            </w:pPr>
          </w:p>
        </w:tc>
      </w:tr>
      <w:tr w:rsidR="00154E32" w14:paraId="7B6229D6" w14:textId="77777777">
        <w:trPr>
          <w:trHeight w:val="309"/>
        </w:trPr>
        <w:tc>
          <w:tcPr>
            <w:tcW w:w="118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734BBC4" w14:textId="59217D68" w:rsidR="00154E32" w:rsidRDefault="00A43E04">
            <w:pPr>
              <w:pStyle w:val="P68B1DB1-Normal11"/>
              <w:spacing w:after="120"/>
              <w:jc w:val="center"/>
              <w:rPr>
                <w:noProof/>
              </w:rPr>
            </w:pPr>
            <w:r>
              <w:rPr>
                <w:noProof/>
              </w:rPr>
              <w:t>M7–47</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D141550" w14:textId="70166B24" w:rsidR="00154E32" w:rsidRDefault="00A43E04">
            <w:pPr>
              <w:pStyle w:val="P68B1DB1-Normal11"/>
              <w:spacing w:after="120"/>
              <w:jc w:val="center"/>
              <w:rPr>
                <w:noProof/>
              </w:rPr>
            </w:pPr>
            <w:r>
              <w:rPr>
                <w:noProof/>
              </w:rPr>
              <w:t>Naložba 17: Finančni instrument za energetsko prenovo javnih in socialnih stanovanj</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825FFF" w14:textId="0E19BA18" w:rsidR="00154E32" w:rsidRDefault="00A43E04">
            <w:pPr>
              <w:pStyle w:val="P68B1DB1-Normal11"/>
              <w:spacing w:after="120"/>
              <w:jc w:val="center"/>
              <w:rPr>
                <w:noProof/>
              </w:rPr>
            </w:pPr>
            <w:r>
              <w:rPr>
                <w:noProof/>
              </w:rPr>
              <w:t>Mejnik</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2A9B3D9" w14:textId="77777777" w:rsidR="00154E32" w:rsidRDefault="00A43E04">
            <w:pPr>
              <w:pStyle w:val="P68B1DB1-Normal11"/>
              <w:spacing w:after="120"/>
              <w:jc w:val="center"/>
              <w:rPr>
                <w:noProof/>
              </w:rPr>
            </w:pPr>
            <w:r>
              <w:rPr>
                <w:noProof/>
              </w:rPr>
              <w:t>Izvedbeni sporazum</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654933" w14:textId="77777777" w:rsidR="00154E32" w:rsidRDefault="00A43E04">
            <w:pPr>
              <w:pStyle w:val="P68B1DB1-Normal11"/>
              <w:spacing w:after="120"/>
              <w:jc w:val="center"/>
              <w:rPr>
                <w:noProof/>
              </w:rPr>
            </w:pPr>
            <w:r>
              <w:rPr>
                <w:noProof/>
              </w:rPr>
              <w:t>Začetek veljavnosti izvedbenega sporazuma</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FB5FA4E" w14:textId="7FBB56B6" w:rsidR="00154E32" w:rsidRDefault="00154E32">
            <w:pPr>
              <w:spacing w:after="120"/>
              <w:jc w:val="center"/>
              <w:rPr>
                <w:rFonts w:ascii="Arial Narrow" w:hAnsi="Arial Narrow"/>
                <w:noProof/>
                <w:color w:val="006100"/>
                <w:sz w:val="20"/>
              </w:rPr>
            </w:pP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3504579" w14:textId="50FA91E1" w:rsidR="00154E32" w:rsidRDefault="00154E32">
            <w:pPr>
              <w:spacing w:after="120"/>
              <w:jc w:val="center"/>
              <w:rPr>
                <w:rFonts w:ascii="Arial Narrow" w:hAnsi="Arial Narrow"/>
                <w:noProof/>
                <w:color w:val="0061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9860334" w14:textId="37BB580E" w:rsidR="00154E32" w:rsidRDefault="00154E32">
            <w:pPr>
              <w:spacing w:after="120"/>
              <w:jc w:val="center"/>
              <w:rPr>
                <w:rFonts w:ascii="Arial Narrow" w:hAnsi="Arial Narrow"/>
                <w:noProof/>
                <w:color w:val="006100"/>
                <w:sz w:val="20"/>
              </w:rPr>
            </w:pPr>
          </w:p>
        </w:tc>
        <w:tc>
          <w:tcPr>
            <w:tcW w:w="85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535D057" w14:textId="72D76196" w:rsidR="00154E32" w:rsidRDefault="00A43E04">
            <w:pPr>
              <w:pStyle w:val="P68B1DB1-Normal11"/>
              <w:spacing w:after="120"/>
              <w:jc w:val="center"/>
              <w:rPr>
                <w:noProof/>
              </w:rPr>
            </w:pPr>
            <w:r>
              <w:rPr>
                <w:noProof/>
              </w:rPr>
              <w:t>ČETRTLETJE 1</w:t>
            </w:r>
          </w:p>
        </w:tc>
        <w:tc>
          <w:tcPr>
            <w:tcW w:w="70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86430A" w14:textId="7E9CA1C1" w:rsidR="00154E32" w:rsidRDefault="00A43E04">
            <w:pPr>
              <w:pStyle w:val="P68B1DB1-Normal11"/>
              <w:spacing w:after="120"/>
              <w:jc w:val="center"/>
              <w:rPr>
                <w:noProof/>
              </w:rPr>
            </w:pPr>
            <w:r>
              <w:rPr>
                <w:noProof/>
              </w:rPr>
              <w:t>2025</w:t>
            </w:r>
          </w:p>
        </w:tc>
        <w:tc>
          <w:tcPr>
            <w:tcW w:w="3261" w:type="dxa"/>
            <w:tcBorders>
              <w:top w:val="single" w:sz="4" w:space="0" w:color="auto"/>
              <w:left w:val="single" w:sz="4" w:space="0" w:color="auto"/>
              <w:bottom w:val="single" w:sz="4" w:space="0" w:color="auto"/>
              <w:right w:val="single" w:sz="4" w:space="0" w:color="auto"/>
            </w:tcBorders>
            <w:shd w:val="clear" w:color="auto" w:fill="C6EFCE"/>
            <w:noWrap/>
          </w:tcPr>
          <w:p w14:paraId="45C6C1A1" w14:textId="77777777" w:rsidR="00154E32" w:rsidRDefault="00A43E04">
            <w:pPr>
              <w:pStyle w:val="P68B1DB1-Normal11"/>
              <w:spacing w:after="120"/>
              <w:jc w:val="both"/>
              <w:rPr>
                <w:noProof/>
              </w:rPr>
            </w:pPr>
            <w:r>
              <w:rPr>
                <w:noProof/>
              </w:rPr>
              <w:t>Začetek veljavnosti sporazuma o izvajanju v skladu z zahtevami iz opisa ukrepa.</w:t>
            </w:r>
          </w:p>
          <w:p w14:paraId="74FF2603" w14:textId="05185265" w:rsidR="00154E32" w:rsidRDefault="00A43E04">
            <w:pPr>
              <w:pStyle w:val="P68B1DB1-Normal11"/>
              <w:spacing w:after="120"/>
              <w:jc w:val="both"/>
              <w:rPr>
                <w:noProof/>
              </w:rPr>
            </w:pPr>
            <w:r>
              <w:rPr>
                <w:noProof/>
              </w:rPr>
              <w:t>Izvedbeni sporazum vključuje zlasti merila za upravičenost v zvezi z minimalnim izboljšanjem energetske učinkovitosti, ki ga mora doseči instrument (vsaj 30-odstotno zmanjšanje povpraševanja po primarni energiji), in upravičenimi gospodinjstvi (kadar je upravičenost opredeljena na podlagi njihove ranljivosti).</w:t>
            </w:r>
          </w:p>
        </w:tc>
      </w:tr>
      <w:tr w:rsidR="00154E32" w14:paraId="16B3F611" w14:textId="77777777">
        <w:trPr>
          <w:trHeight w:val="309"/>
        </w:trPr>
        <w:tc>
          <w:tcPr>
            <w:tcW w:w="118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FEBF48B" w14:textId="48B3F0C4" w:rsidR="00154E32" w:rsidRDefault="00A43E04">
            <w:pPr>
              <w:pStyle w:val="P68B1DB1-Normal11"/>
              <w:spacing w:after="120"/>
              <w:jc w:val="center"/>
              <w:rPr>
                <w:noProof/>
              </w:rPr>
            </w:pPr>
            <w:r>
              <w:rPr>
                <w:noProof/>
              </w:rPr>
              <w:t>M7–48</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A1177CD" w14:textId="6A0F1A40" w:rsidR="00154E32" w:rsidRDefault="00A43E04">
            <w:pPr>
              <w:pStyle w:val="P68B1DB1-Normal11"/>
              <w:spacing w:after="120"/>
              <w:jc w:val="center"/>
              <w:rPr>
                <w:noProof/>
              </w:rPr>
            </w:pPr>
            <w:r>
              <w:rPr>
                <w:noProof/>
              </w:rPr>
              <w:t>Naložba 17: Finančni instrument za energetsko prenovo javnih in socialnih stanovanj</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2DBE54" w14:textId="3D7A1AB1" w:rsidR="00154E32" w:rsidRDefault="00A43E04">
            <w:pPr>
              <w:pStyle w:val="P68B1DB1-Normal11"/>
              <w:spacing w:after="120"/>
              <w:jc w:val="center"/>
              <w:rPr>
                <w:noProof/>
              </w:rPr>
            </w:pPr>
            <w:r>
              <w:rPr>
                <w:noProof/>
              </w:rPr>
              <w:t>Mejnik</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4EB619A" w14:textId="77777777" w:rsidR="00154E32" w:rsidRDefault="00A43E04">
            <w:pPr>
              <w:pStyle w:val="P68B1DB1-Normal11"/>
              <w:spacing w:after="120"/>
              <w:jc w:val="center"/>
              <w:rPr>
                <w:noProof/>
              </w:rPr>
            </w:pPr>
            <w:r>
              <w:rPr>
                <w:noProof/>
              </w:rPr>
              <w:t>Ministrstvo je zaključilo naložbo</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50C168E" w14:textId="77777777" w:rsidR="00154E32" w:rsidRDefault="00A43E04">
            <w:pPr>
              <w:pStyle w:val="P68B1DB1-Normal11"/>
              <w:spacing w:after="120"/>
              <w:jc w:val="center"/>
              <w:rPr>
                <w:noProof/>
              </w:rPr>
            </w:pPr>
            <w:r>
              <w:rPr>
                <w:noProof/>
              </w:rPr>
              <w:t>Potrdilo o prenosu</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CA159C" w14:textId="14AB2F04" w:rsidR="00154E32" w:rsidRDefault="00A43E04">
            <w:pPr>
              <w:pStyle w:val="P68B1DB1-Normal11"/>
              <w:spacing w:after="120"/>
              <w:jc w:val="center"/>
              <w:rPr>
                <w:noProof/>
              </w:rPr>
            </w:pPr>
            <w:r>
              <w:rPr>
                <w:noProof/>
              </w:rPr>
              <w:t>EUR</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2ABDB35" w14:textId="717D6BEF" w:rsidR="00154E32" w:rsidRDefault="00A43E04">
            <w:pPr>
              <w:pStyle w:val="P68B1DB1-Normal11"/>
              <w:spacing w:after="120"/>
              <w:jc w:val="center"/>
              <w:rPr>
                <w:noProof/>
              </w:rPr>
            </w:pPr>
            <w:r>
              <w:rPr>
                <w:noProof/>
              </w:rPr>
              <w:t>0</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0582C7" w14:textId="69CFA634" w:rsidR="00154E32" w:rsidRDefault="00A43E04">
            <w:pPr>
              <w:pStyle w:val="P68B1DB1-Normal11"/>
              <w:spacing w:after="120"/>
              <w:jc w:val="center"/>
              <w:rPr>
                <w:noProof/>
              </w:rPr>
            </w:pPr>
            <w:r>
              <w:rPr>
                <w:noProof/>
              </w:rPr>
              <w:t>1 381 000 000</w:t>
            </w:r>
          </w:p>
        </w:tc>
        <w:tc>
          <w:tcPr>
            <w:tcW w:w="85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C76F651" w14:textId="77777777" w:rsidR="00154E32" w:rsidRDefault="00A43E04">
            <w:pPr>
              <w:pStyle w:val="P68B1DB1-Normal11"/>
              <w:spacing w:after="120"/>
              <w:jc w:val="center"/>
              <w:rPr>
                <w:noProof/>
              </w:rPr>
            </w:pPr>
            <w:r>
              <w:rPr>
                <w:noProof/>
              </w:rPr>
              <w:t>Q4</w:t>
            </w:r>
          </w:p>
        </w:tc>
        <w:tc>
          <w:tcPr>
            <w:tcW w:w="70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AD45C16" w14:textId="77777777" w:rsidR="00154E32" w:rsidRDefault="00A43E04">
            <w:pPr>
              <w:pStyle w:val="P68B1DB1-Normal11"/>
              <w:spacing w:after="120"/>
              <w:jc w:val="center"/>
              <w:rPr>
                <w:noProof/>
              </w:rPr>
            </w:pPr>
            <w:r>
              <w:rPr>
                <w:noProof/>
              </w:rPr>
              <w:t>2024</w:t>
            </w:r>
          </w:p>
        </w:tc>
        <w:tc>
          <w:tcPr>
            <w:tcW w:w="3261" w:type="dxa"/>
            <w:tcBorders>
              <w:top w:val="single" w:sz="4" w:space="0" w:color="auto"/>
              <w:left w:val="single" w:sz="4" w:space="0" w:color="auto"/>
              <w:bottom w:val="single" w:sz="4" w:space="0" w:color="auto"/>
              <w:right w:val="single" w:sz="4" w:space="0" w:color="auto"/>
            </w:tcBorders>
            <w:shd w:val="clear" w:color="auto" w:fill="C6EFCE"/>
            <w:noWrap/>
          </w:tcPr>
          <w:p w14:paraId="1FDDAFF4" w14:textId="09A0E592" w:rsidR="00154E32" w:rsidRDefault="00A43E04">
            <w:pPr>
              <w:pStyle w:val="P68B1DB1-Normal11"/>
              <w:spacing w:after="120"/>
              <w:jc w:val="both"/>
              <w:rPr>
                <w:noProof/>
              </w:rPr>
            </w:pPr>
            <w:r>
              <w:rPr>
                <w:noProof/>
              </w:rPr>
              <w:t>Italija prenese 1 381 000 000 EUR na izvajalskega partnerja za instrument.</w:t>
            </w:r>
          </w:p>
        </w:tc>
      </w:tr>
      <w:tr w:rsidR="00154E32" w14:paraId="4476B6A8" w14:textId="77777777">
        <w:trPr>
          <w:trHeight w:val="309"/>
        </w:trPr>
        <w:tc>
          <w:tcPr>
            <w:tcW w:w="118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0F39629" w14:textId="5FE61AA6" w:rsidR="00154E32" w:rsidRDefault="00A43E04">
            <w:pPr>
              <w:pStyle w:val="P68B1DB1-Normal11"/>
              <w:spacing w:after="120"/>
              <w:jc w:val="center"/>
              <w:rPr>
                <w:noProof/>
              </w:rPr>
            </w:pPr>
            <w:r>
              <w:rPr>
                <w:noProof/>
              </w:rPr>
              <w:t>M7–49</w:t>
            </w:r>
          </w:p>
        </w:tc>
        <w:tc>
          <w:tcPr>
            <w:tcW w:w="1559"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BD46E45" w14:textId="5DFF7438" w:rsidR="00154E32" w:rsidRDefault="00A43E04">
            <w:pPr>
              <w:pStyle w:val="P68B1DB1-Normal11"/>
              <w:spacing w:after="120"/>
              <w:jc w:val="center"/>
              <w:rPr>
                <w:noProof/>
              </w:rPr>
            </w:pPr>
            <w:r>
              <w:rPr>
                <w:noProof/>
              </w:rPr>
              <w:t>Naložba 17: Finančni instrument za energetsko prenovo javnih in socialnih stanovanj</w:t>
            </w:r>
          </w:p>
        </w:tc>
        <w:tc>
          <w:tcPr>
            <w:tcW w:w="1134"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9742EE" w14:textId="78444F33" w:rsidR="00154E32" w:rsidRDefault="00A43E04">
            <w:pPr>
              <w:pStyle w:val="P68B1DB1-Normal11"/>
              <w:spacing w:after="120"/>
              <w:jc w:val="center"/>
              <w:rPr>
                <w:noProof/>
              </w:rPr>
            </w:pPr>
            <w:r>
              <w:rPr>
                <w:noProof/>
              </w:rPr>
              <w:t>Tarča</w:t>
            </w:r>
          </w:p>
        </w:tc>
        <w:tc>
          <w:tcPr>
            <w:tcW w:w="1417"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8EF73A8" w14:textId="77777777" w:rsidR="00154E32" w:rsidRDefault="00A43E04">
            <w:pPr>
              <w:pStyle w:val="P68B1DB1-Normal11"/>
              <w:spacing w:after="120"/>
              <w:jc w:val="center"/>
              <w:rPr>
                <w:noProof/>
              </w:rPr>
            </w:pPr>
            <w:r>
              <w:rPr>
                <w:noProof/>
              </w:rPr>
              <w:t>Pravni sporazumi, podpisani s končnimi upravičenci</w:t>
            </w:r>
          </w:p>
        </w:tc>
        <w:tc>
          <w:tcPr>
            <w:tcW w:w="170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1534F403" w14:textId="77777777" w:rsidR="00154E32" w:rsidRDefault="00154E32">
            <w:pPr>
              <w:spacing w:after="120"/>
              <w:jc w:val="center"/>
              <w:rPr>
                <w:rFonts w:ascii="Arial Narrow" w:hAnsi="Arial Narrow"/>
                <w:noProof/>
                <w:color w:val="006100"/>
                <w:sz w:val="20"/>
              </w:rPr>
            </w:pP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B81D3DC" w14:textId="77777777" w:rsidR="00154E32" w:rsidRDefault="00A43E04">
            <w:pPr>
              <w:pStyle w:val="P68B1DB1-Normal11"/>
              <w:spacing w:after="120"/>
              <w:jc w:val="center"/>
              <w:rPr>
                <w:noProof/>
              </w:rPr>
            </w:pPr>
            <w:r>
              <w:rPr>
                <w:noProof/>
              </w:rPr>
              <w:t>Odstotek (%)</w:t>
            </w:r>
          </w:p>
        </w:tc>
        <w:tc>
          <w:tcPr>
            <w:tcW w:w="992"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EA95E50" w14:textId="77777777" w:rsidR="00154E32" w:rsidRDefault="00A43E04">
            <w:pPr>
              <w:pStyle w:val="P68B1DB1-Normal11"/>
              <w:spacing w:after="120"/>
              <w:jc w:val="center"/>
              <w:rPr>
                <w:noProof/>
              </w:rPr>
            </w:pPr>
            <w:r>
              <w:rPr>
                <w:noProof/>
              </w:rPr>
              <w:t>0 %</w:t>
            </w:r>
          </w:p>
        </w:tc>
        <w:tc>
          <w:tcPr>
            <w:tcW w:w="1276"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293F02A" w14:textId="77777777" w:rsidR="00154E32" w:rsidRDefault="00A43E04">
            <w:pPr>
              <w:pStyle w:val="P68B1DB1-Normal11"/>
              <w:spacing w:after="120"/>
              <w:jc w:val="center"/>
              <w:rPr>
                <w:noProof/>
              </w:rPr>
            </w:pPr>
            <w:r>
              <w:rPr>
                <w:noProof/>
              </w:rPr>
              <w:t>100 %</w:t>
            </w:r>
          </w:p>
        </w:tc>
        <w:tc>
          <w:tcPr>
            <w:tcW w:w="851"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0715193" w14:textId="77777777" w:rsidR="00154E32" w:rsidRDefault="00A43E04">
            <w:pPr>
              <w:pStyle w:val="P68B1DB1-Normal11"/>
              <w:spacing w:after="120"/>
              <w:jc w:val="center"/>
              <w:rPr>
                <w:noProof/>
              </w:rPr>
            </w:pPr>
            <w:r>
              <w:rPr>
                <w:noProof/>
              </w:rPr>
              <w:t>Q2</w:t>
            </w:r>
          </w:p>
        </w:tc>
        <w:tc>
          <w:tcPr>
            <w:tcW w:w="708"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65357D5" w14:textId="77777777" w:rsidR="00154E32" w:rsidRDefault="00A43E04">
            <w:pPr>
              <w:pStyle w:val="P68B1DB1-Normal11"/>
              <w:spacing w:after="120"/>
              <w:jc w:val="center"/>
              <w:rPr>
                <w:noProof/>
              </w:rPr>
            </w:pPr>
            <w:r>
              <w:rPr>
                <w:noProof/>
              </w:rPr>
              <w:t>2026</w:t>
            </w:r>
          </w:p>
        </w:tc>
        <w:tc>
          <w:tcPr>
            <w:tcW w:w="3261" w:type="dxa"/>
            <w:tcBorders>
              <w:top w:val="single" w:sz="4" w:space="0" w:color="auto"/>
              <w:left w:val="single" w:sz="4" w:space="0" w:color="auto"/>
              <w:bottom w:val="single" w:sz="4" w:space="0" w:color="auto"/>
              <w:right w:val="single" w:sz="4" w:space="0" w:color="auto"/>
            </w:tcBorders>
            <w:shd w:val="clear" w:color="auto" w:fill="C6EFCE"/>
            <w:noWrap/>
          </w:tcPr>
          <w:p w14:paraId="065D61B8" w14:textId="77777777" w:rsidR="00154E32" w:rsidRDefault="00A43E04">
            <w:pPr>
              <w:pStyle w:val="P68B1DB1-Normal11"/>
              <w:spacing w:after="120"/>
              <w:jc w:val="both"/>
              <w:rPr>
                <w:noProof/>
              </w:rPr>
            </w:pPr>
            <w:r>
              <w:rPr>
                <w:noProof/>
              </w:rPr>
              <w:t>Izvajalski partner sklene pravne sporazume o financiranju s podjetji za energetske storitve (ESCO) za znesek, potreben za uporabo 100 % naložbe mehanizma za okrevanje in odpornost v mehanizem (ob upoštevanju provizij za upravljanje).</w:t>
            </w:r>
          </w:p>
          <w:p w14:paraId="452407DB" w14:textId="77777777" w:rsidR="00154E32" w:rsidRDefault="00A43E04">
            <w:pPr>
              <w:pStyle w:val="P68B1DB1-Normal11"/>
              <w:spacing w:after="120"/>
              <w:jc w:val="both"/>
              <w:rPr>
                <w:noProof/>
              </w:rPr>
            </w:pPr>
            <w:r>
              <w:rPr>
                <w:noProof/>
              </w:rPr>
              <w:t>Sporazum o financiranju s podjetji za energetske storitve (ESCO) določa sredstva, ki bodo predmet prenove za energijsko učinkovitost.</w:t>
            </w:r>
          </w:p>
          <w:p w14:paraId="477A936E" w14:textId="5A72B0FB" w:rsidR="00154E32" w:rsidRDefault="00A43E04">
            <w:pPr>
              <w:pStyle w:val="P68B1DB1-Normal11"/>
              <w:spacing w:after="120"/>
              <w:jc w:val="both"/>
              <w:rPr>
                <w:noProof/>
              </w:rPr>
            </w:pPr>
            <w:r>
              <w:rPr>
                <w:noProof/>
              </w:rPr>
              <w:t>100 % tega financiranja prispeva k podnebnim ciljem z uporabo metodologije iz Priloge VI k uredbi o mehanizmu za okrevanje in odpornost.</w:t>
            </w:r>
          </w:p>
        </w:tc>
      </w:tr>
    </w:tbl>
    <w:p w14:paraId="45F22E0F" w14:textId="77777777" w:rsidR="00154E32" w:rsidRDefault="00154E32">
      <w:pPr>
        <w:spacing w:after="120"/>
        <w:jc w:val="both"/>
        <w:rPr>
          <w:rFonts w:ascii="Calibri" w:eastAsia="Calibri" w:hAnsi="Calibri" w:cs="Calibri"/>
          <w:noProof/>
          <w:color w:val="000000" w:themeColor="text1"/>
        </w:rPr>
        <w:sectPr w:rsidR="00154E32" w:rsidSect="00C9514F">
          <w:headerReference w:type="even" r:id="rId405"/>
          <w:headerReference w:type="default" r:id="rId406"/>
          <w:footerReference w:type="even" r:id="rId407"/>
          <w:footerReference w:type="default" r:id="rId408"/>
          <w:headerReference w:type="first" r:id="rId409"/>
          <w:footerReference w:type="first" r:id="rId410"/>
          <w:pgSz w:w="16838" w:h="11906" w:orient="landscape" w:code="12"/>
          <w:pgMar w:top="1440" w:right="1440" w:bottom="1440" w:left="1440" w:header="567" w:footer="567" w:gutter="0"/>
          <w:cols w:space="720"/>
          <w:docGrid w:linePitch="360"/>
        </w:sectPr>
      </w:pPr>
    </w:p>
    <w:p w14:paraId="4AF9AD57" w14:textId="77777777" w:rsidR="00154E32" w:rsidRDefault="00A43E04">
      <w:pPr>
        <w:pStyle w:val="Heading1"/>
        <w:rPr>
          <w:noProof/>
        </w:rPr>
      </w:pPr>
      <w:r>
        <w:rPr>
          <w:noProof/>
        </w:rPr>
        <w:t xml:space="preserve">Ocenjeni skupni stroški načrta za okrevanje in odpornost </w:t>
      </w:r>
    </w:p>
    <w:p w14:paraId="53BA8B92" w14:textId="10A433C9" w:rsidR="00154E32" w:rsidRDefault="00A43E04">
      <w:pPr>
        <w:pStyle w:val="P68B1DB1-Normal41"/>
        <w:spacing w:before="120" w:after="120"/>
        <w:jc w:val="both"/>
        <w:rPr>
          <w:noProof/>
        </w:rPr>
      </w:pPr>
      <w:r>
        <w:rPr>
          <w:noProof/>
        </w:rPr>
        <w:t>Ocenjeni skupni stroški načrta za okrevanje in odpornost Italije znašajo 194 415 951 466 EUR.</w:t>
      </w:r>
    </w:p>
    <w:p w14:paraId="10B07BC1" w14:textId="77777777" w:rsidR="00154E32" w:rsidRDefault="00A43E04">
      <w:pPr>
        <w:pStyle w:val="P68B1DB1-Normal42"/>
        <w:spacing w:before="120" w:after="120"/>
        <w:jc w:val="both"/>
        <w:rPr>
          <w:noProof/>
        </w:rPr>
      </w:pPr>
      <w:r>
        <w:rPr>
          <w:noProof/>
        </w:rPr>
        <w:t>ODDELEK 2: FINANČNA PODPORA</w:t>
      </w:r>
    </w:p>
    <w:p w14:paraId="06D860FA" w14:textId="77777777" w:rsidR="00154E32" w:rsidRDefault="00A43E04">
      <w:pPr>
        <w:pStyle w:val="P68B1DB1-NumPar143"/>
        <w:numPr>
          <w:ilvl w:val="0"/>
          <w:numId w:val="141"/>
        </w:numPr>
        <w:rPr>
          <w:noProof/>
        </w:rPr>
      </w:pPr>
      <w:r>
        <w:rPr>
          <w:noProof/>
        </w:rPr>
        <w:t>Finančni prispevek</w:t>
      </w:r>
    </w:p>
    <w:p w14:paraId="2E81C0B0" w14:textId="77777777" w:rsidR="00154E32" w:rsidRDefault="00A43E04">
      <w:pPr>
        <w:pStyle w:val="P68B1DB1-Normal44"/>
        <w:spacing w:before="120" w:after="120"/>
        <w:ind w:left="850"/>
        <w:jc w:val="both"/>
        <w:rPr>
          <w:noProof/>
        </w:rPr>
      </w:pPr>
      <w:r>
        <w:rPr>
          <w:noProof/>
        </w:rPr>
        <w:t>Obroki iz člena 2(2) se razporedijo na naslednji način:</w:t>
      </w:r>
    </w:p>
    <w:p w14:paraId="59D37537" w14:textId="43336A9A" w:rsidR="00154E32" w:rsidRDefault="00A43E04">
      <w:pPr>
        <w:pStyle w:val="P68B1DB1-Normal44"/>
        <w:numPr>
          <w:ilvl w:val="1"/>
          <w:numId w:val="6"/>
        </w:numPr>
        <w:spacing w:before="120" w:after="120"/>
        <w:jc w:val="both"/>
        <w:rPr>
          <w:noProof/>
        </w:rPr>
      </w:pPr>
      <w:r>
        <w:rPr>
          <w:noProof/>
        </w:rPr>
        <w:t>Prva namestitev (nepovratna podpora):</w:t>
      </w:r>
    </w:p>
    <w:tbl>
      <w:tblPr>
        <w:tblW w:w="9663" w:type="dxa"/>
        <w:tblInd w:w="113" w:type="dxa"/>
        <w:tblLook w:val="04A0" w:firstRow="1" w:lastRow="0" w:firstColumn="1" w:lastColumn="0" w:noHBand="0" w:noVBand="1"/>
      </w:tblPr>
      <w:tblGrid>
        <w:gridCol w:w="1413"/>
        <w:gridCol w:w="3118"/>
        <w:gridCol w:w="1418"/>
        <w:gridCol w:w="3714"/>
      </w:tblGrid>
      <w:tr w:rsidR="00154E32" w14:paraId="1D626B0F" w14:textId="77777777">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93593CA" w14:textId="77777777" w:rsidR="00154E32" w:rsidRDefault="00A43E04">
            <w:pPr>
              <w:pStyle w:val="P68B1DB1-Normal45"/>
              <w:jc w:val="center"/>
              <w:rPr>
                <w:noProof/>
              </w:rPr>
            </w:pPr>
            <w:r>
              <w:rPr>
                <w:noProof/>
              </w:rPr>
              <w:t>Zaporedna številka</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773AB9D" w14:textId="77777777" w:rsidR="00154E32" w:rsidRDefault="00A43E04">
            <w:pPr>
              <w:pStyle w:val="P68B1DB1-Normal45"/>
              <w:jc w:val="center"/>
              <w:rPr>
                <w:noProof/>
              </w:rPr>
            </w:pPr>
            <w:r>
              <w:rPr>
                <w:noProof/>
              </w:rPr>
              <w:t>Povezani ukrep (reforma ali naložba)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B8B7562" w14:textId="77777777" w:rsidR="00154E32" w:rsidRDefault="00A43E04">
            <w:pPr>
              <w:pStyle w:val="P68B1DB1-Normal45"/>
              <w:jc w:val="center"/>
              <w:rPr>
                <w:noProof/>
              </w:rPr>
            </w:pPr>
            <w:r>
              <w:rPr>
                <w:noProof/>
              </w:rPr>
              <w:t>Mejnik/cilj</w:t>
            </w:r>
          </w:p>
        </w:tc>
        <w:tc>
          <w:tcPr>
            <w:tcW w:w="3714"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0231827" w14:textId="77777777" w:rsidR="00154E32" w:rsidRDefault="00A43E04">
            <w:pPr>
              <w:pStyle w:val="P68B1DB1-Normal45"/>
              <w:jc w:val="center"/>
              <w:rPr>
                <w:noProof/>
              </w:rPr>
            </w:pPr>
            <w:r>
              <w:rPr>
                <w:noProof/>
              </w:rPr>
              <w:t>Ime</w:t>
            </w:r>
          </w:p>
        </w:tc>
      </w:tr>
      <w:tr w:rsidR="00154E32" w14:paraId="5C45399F" w14:textId="77777777">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3B1DE96" w14:textId="77777777" w:rsidR="00154E32" w:rsidRDefault="00154E32">
            <w:pPr>
              <w:rPr>
                <w:b/>
                <w:noProof/>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39B50CEA" w14:textId="77777777" w:rsidR="00154E32" w:rsidRDefault="00154E32">
            <w:pPr>
              <w:rPr>
                <w:b/>
                <w:noProof/>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1BD407A" w14:textId="77777777" w:rsidR="00154E32" w:rsidRDefault="00154E32">
            <w:pPr>
              <w:rPr>
                <w:b/>
                <w:noProof/>
              </w:rPr>
            </w:pPr>
          </w:p>
        </w:tc>
        <w:tc>
          <w:tcPr>
            <w:tcW w:w="3714" w:type="dxa"/>
            <w:vMerge/>
            <w:tcBorders>
              <w:top w:val="single" w:sz="4" w:space="0" w:color="auto"/>
              <w:left w:val="single" w:sz="4" w:space="0" w:color="auto"/>
              <w:bottom w:val="single" w:sz="4" w:space="0" w:color="auto"/>
              <w:right w:val="single" w:sz="4" w:space="0" w:color="auto"/>
            </w:tcBorders>
            <w:vAlign w:val="center"/>
            <w:hideMark/>
          </w:tcPr>
          <w:p w14:paraId="045F6F80" w14:textId="77777777" w:rsidR="00154E32" w:rsidRDefault="00154E32">
            <w:pPr>
              <w:rPr>
                <w:b/>
                <w:noProof/>
              </w:rPr>
            </w:pPr>
          </w:p>
        </w:tc>
      </w:tr>
      <w:tr w:rsidR="00154E32" w14:paraId="210B8C65"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66C06479" w14:textId="77777777" w:rsidR="00154E32" w:rsidRDefault="00A43E04">
            <w:pPr>
              <w:pStyle w:val="P68B1DB1-Normal12"/>
              <w:jc w:val="center"/>
              <w:rPr>
                <w:noProof/>
              </w:rPr>
            </w:pPr>
            <w:r>
              <w:rPr>
                <w:noProof/>
              </w:rPr>
              <w:t>M1C1–51</w:t>
            </w:r>
          </w:p>
        </w:tc>
        <w:tc>
          <w:tcPr>
            <w:tcW w:w="3118" w:type="dxa"/>
            <w:tcBorders>
              <w:top w:val="single" w:sz="4" w:space="0" w:color="auto"/>
              <w:left w:val="nil"/>
              <w:bottom w:val="single" w:sz="4" w:space="0" w:color="auto"/>
              <w:right w:val="single" w:sz="4" w:space="0" w:color="auto"/>
            </w:tcBorders>
            <w:shd w:val="clear" w:color="auto" w:fill="C6EFCE"/>
            <w:noWrap/>
            <w:vAlign w:val="center"/>
            <w:hideMark/>
          </w:tcPr>
          <w:p w14:paraId="7DDB5C61" w14:textId="77777777" w:rsidR="00154E32" w:rsidRDefault="00A43E04">
            <w:pPr>
              <w:pStyle w:val="P68B1DB1-Normal12"/>
              <w:rPr>
                <w:noProof/>
              </w:rPr>
            </w:pPr>
            <w:r>
              <w:rPr>
                <w:noProof/>
              </w:rPr>
              <w:t>Reforma 1.9: Reforma javne uprave</w:t>
            </w:r>
          </w:p>
        </w:tc>
        <w:tc>
          <w:tcPr>
            <w:tcW w:w="1418" w:type="dxa"/>
            <w:tcBorders>
              <w:top w:val="single" w:sz="4" w:space="0" w:color="auto"/>
              <w:left w:val="nil"/>
              <w:bottom w:val="single" w:sz="4" w:space="0" w:color="auto"/>
              <w:right w:val="single" w:sz="4" w:space="0" w:color="auto"/>
            </w:tcBorders>
            <w:shd w:val="clear" w:color="auto" w:fill="C6EFCE"/>
            <w:noWrap/>
            <w:vAlign w:val="center"/>
            <w:hideMark/>
          </w:tcPr>
          <w:p w14:paraId="6374010D" w14:textId="77777777" w:rsidR="00154E32" w:rsidRDefault="00A43E04">
            <w:pPr>
              <w:pStyle w:val="P68B1DB1-Normal12"/>
              <w:rPr>
                <w:noProof/>
              </w:rPr>
            </w:pPr>
            <w:r>
              <w:rPr>
                <w:noProof/>
              </w:rPr>
              <w:t>Mejnik</w:t>
            </w:r>
          </w:p>
        </w:tc>
        <w:tc>
          <w:tcPr>
            <w:tcW w:w="3714" w:type="dxa"/>
            <w:tcBorders>
              <w:top w:val="single" w:sz="4" w:space="0" w:color="auto"/>
              <w:left w:val="nil"/>
              <w:bottom w:val="single" w:sz="4" w:space="0" w:color="auto"/>
              <w:right w:val="single" w:sz="4" w:space="0" w:color="auto"/>
            </w:tcBorders>
            <w:shd w:val="clear" w:color="auto" w:fill="C6EFCE"/>
            <w:noWrap/>
            <w:vAlign w:val="center"/>
            <w:hideMark/>
          </w:tcPr>
          <w:p w14:paraId="74594DD3" w14:textId="77777777" w:rsidR="00154E32" w:rsidRDefault="00A43E04">
            <w:pPr>
              <w:pStyle w:val="P68B1DB1-Normal12"/>
              <w:rPr>
                <w:noProof/>
              </w:rPr>
            </w:pPr>
            <w:r>
              <w:rPr>
                <w:noProof/>
              </w:rPr>
              <w:t>Začetek veljavnosti primarne zakonodaje o upravljanju italijanskega načrta za okrevanje in odpornost</w:t>
            </w:r>
          </w:p>
        </w:tc>
      </w:tr>
      <w:tr w:rsidR="00154E32" w14:paraId="129A27C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hideMark/>
          </w:tcPr>
          <w:p w14:paraId="5315B22B" w14:textId="77777777" w:rsidR="00154E32" w:rsidRDefault="00A43E04">
            <w:pPr>
              <w:pStyle w:val="P68B1DB1-Normal12"/>
              <w:jc w:val="center"/>
              <w:rPr>
                <w:noProof/>
              </w:rPr>
            </w:pPr>
            <w:r>
              <w:rPr>
                <w:noProof/>
              </w:rPr>
              <w:t>M1C1–52</w:t>
            </w:r>
          </w:p>
        </w:tc>
        <w:tc>
          <w:tcPr>
            <w:tcW w:w="3118" w:type="dxa"/>
            <w:tcBorders>
              <w:top w:val="nil"/>
              <w:left w:val="nil"/>
              <w:bottom w:val="single" w:sz="4" w:space="0" w:color="auto"/>
              <w:right w:val="single" w:sz="4" w:space="0" w:color="auto"/>
            </w:tcBorders>
            <w:shd w:val="clear" w:color="auto" w:fill="C6EFCE"/>
            <w:noWrap/>
            <w:vAlign w:val="center"/>
            <w:hideMark/>
          </w:tcPr>
          <w:p w14:paraId="0260ED4C" w14:textId="77777777" w:rsidR="00154E32" w:rsidRDefault="00A43E04">
            <w:pPr>
              <w:pStyle w:val="P68B1DB1-Normal12"/>
              <w:rPr>
                <w:noProof/>
              </w:rPr>
            </w:pPr>
            <w:r>
              <w:rPr>
                <w:noProof/>
              </w:rPr>
              <w:t>Reforma 1.9: Reforma javne uprave</w:t>
            </w:r>
          </w:p>
        </w:tc>
        <w:tc>
          <w:tcPr>
            <w:tcW w:w="1418" w:type="dxa"/>
            <w:tcBorders>
              <w:top w:val="nil"/>
              <w:left w:val="nil"/>
              <w:bottom w:val="single" w:sz="4" w:space="0" w:color="auto"/>
              <w:right w:val="single" w:sz="4" w:space="0" w:color="auto"/>
            </w:tcBorders>
            <w:shd w:val="clear" w:color="auto" w:fill="C6EFCE"/>
            <w:noWrap/>
            <w:vAlign w:val="center"/>
            <w:hideMark/>
          </w:tcPr>
          <w:p w14:paraId="5B7C2FA2" w14:textId="77777777" w:rsidR="00154E32" w:rsidRDefault="00A43E04">
            <w:pPr>
              <w:pStyle w:val="P68B1DB1-Normal12"/>
              <w:rPr>
                <w:noProof/>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hideMark/>
          </w:tcPr>
          <w:p w14:paraId="463C4E71" w14:textId="77777777" w:rsidR="00154E32" w:rsidRDefault="00A43E04">
            <w:pPr>
              <w:pStyle w:val="P68B1DB1-Normal12"/>
              <w:rPr>
                <w:noProof/>
              </w:rPr>
            </w:pPr>
            <w:r>
              <w:rPr>
                <w:noProof/>
              </w:rPr>
              <w:t>Začetek veljavnosti primarne zakonodaje o poenostavitvi upravnih postopkov za izvajanje italijanskega načrta za okrevanje in odpornost.</w:t>
            </w:r>
          </w:p>
        </w:tc>
      </w:tr>
      <w:tr w:rsidR="00154E32" w14:paraId="4F3DF7D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hideMark/>
          </w:tcPr>
          <w:p w14:paraId="3EF5F31C" w14:textId="77777777" w:rsidR="00154E32" w:rsidRDefault="00A43E04">
            <w:pPr>
              <w:pStyle w:val="P68B1DB1-Normal12"/>
              <w:jc w:val="center"/>
              <w:rPr>
                <w:noProof/>
              </w:rPr>
            </w:pPr>
            <w:r>
              <w:rPr>
                <w:noProof/>
              </w:rPr>
              <w:t>M1C1–53</w:t>
            </w:r>
          </w:p>
        </w:tc>
        <w:tc>
          <w:tcPr>
            <w:tcW w:w="3118" w:type="dxa"/>
            <w:tcBorders>
              <w:top w:val="nil"/>
              <w:left w:val="nil"/>
              <w:bottom w:val="single" w:sz="4" w:space="0" w:color="auto"/>
              <w:right w:val="single" w:sz="4" w:space="0" w:color="auto"/>
            </w:tcBorders>
            <w:shd w:val="clear" w:color="auto" w:fill="C6EFCE"/>
            <w:noWrap/>
            <w:vAlign w:val="center"/>
            <w:hideMark/>
          </w:tcPr>
          <w:p w14:paraId="7C7C5AE0" w14:textId="77777777" w:rsidR="00154E32" w:rsidRDefault="00A43E04">
            <w:pPr>
              <w:pStyle w:val="P68B1DB1-Normal12"/>
              <w:rPr>
                <w:noProof/>
              </w:rPr>
            </w:pPr>
            <w:r>
              <w:rPr>
                <w:noProof/>
              </w:rPr>
              <w:t>Naložba 1.9: Zagotavljanje tehnične pomoči in krepitev krepitve zmogljivosti za izvajanje italijanskega načrta za okrevanje in odpornost</w:t>
            </w:r>
          </w:p>
        </w:tc>
        <w:tc>
          <w:tcPr>
            <w:tcW w:w="1418" w:type="dxa"/>
            <w:tcBorders>
              <w:top w:val="nil"/>
              <w:left w:val="nil"/>
              <w:bottom w:val="single" w:sz="4" w:space="0" w:color="auto"/>
              <w:right w:val="single" w:sz="4" w:space="0" w:color="auto"/>
            </w:tcBorders>
            <w:shd w:val="clear" w:color="auto" w:fill="C6EFCE"/>
            <w:noWrap/>
            <w:vAlign w:val="center"/>
            <w:hideMark/>
          </w:tcPr>
          <w:p w14:paraId="49B73E2F" w14:textId="77777777" w:rsidR="00154E32" w:rsidRDefault="00A43E04">
            <w:pPr>
              <w:pStyle w:val="P68B1DB1-Normal12"/>
              <w:rPr>
                <w:noProof/>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hideMark/>
          </w:tcPr>
          <w:p w14:paraId="15D95FD4" w14:textId="77777777" w:rsidR="00154E32" w:rsidRDefault="00A43E04">
            <w:pPr>
              <w:pStyle w:val="P68B1DB1-Normal12"/>
              <w:rPr>
                <w:noProof/>
              </w:rPr>
            </w:pPr>
            <w:r>
              <w:rPr>
                <w:noProof/>
              </w:rPr>
              <w:t>Začetek veljavnosti primarne zakonodaje za zagotavljanje tehnične pomoči in krepitev krepitve zmogljivosti za izvajanje italijanskega načrta za okrevanje in odpornost</w:t>
            </w:r>
          </w:p>
        </w:tc>
      </w:tr>
      <w:tr w:rsidR="00154E32" w14:paraId="507F823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75908C9" w14:textId="77777777" w:rsidR="00154E32" w:rsidRDefault="00A43E04">
            <w:pPr>
              <w:pStyle w:val="P68B1DB1-Normal12"/>
              <w:jc w:val="center"/>
              <w:rPr>
                <w:noProof/>
              </w:rPr>
            </w:pPr>
            <w:r>
              <w:rPr>
                <w:noProof/>
              </w:rPr>
              <w:t>M1C1–69</w:t>
            </w:r>
          </w:p>
        </w:tc>
        <w:tc>
          <w:tcPr>
            <w:tcW w:w="3118" w:type="dxa"/>
            <w:tcBorders>
              <w:top w:val="nil"/>
              <w:left w:val="nil"/>
              <w:bottom w:val="single" w:sz="4" w:space="0" w:color="auto"/>
              <w:right w:val="single" w:sz="4" w:space="0" w:color="auto"/>
            </w:tcBorders>
            <w:shd w:val="clear" w:color="auto" w:fill="C6EFCE"/>
            <w:noWrap/>
            <w:vAlign w:val="center"/>
          </w:tcPr>
          <w:p w14:paraId="4DB2C429" w14:textId="77777777" w:rsidR="00154E32" w:rsidRDefault="00A43E04">
            <w:pPr>
              <w:pStyle w:val="P68B1DB1-Normal12"/>
              <w:rPr>
                <w:noProof/>
              </w:rPr>
            </w:pPr>
            <w:r>
              <w:rPr>
                <w:noProof/>
              </w:rPr>
              <w:t>Reforma 1.10: Reforma zakonodajnega okvira za javna naročila</w:t>
            </w:r>
          </w:p>
        </w:tc>
        <w:tc>
          <w:tcPr>
            <w:tcW w:w="1418" w:type="dxa"/>
            <w:tcBorders>
              <w:top w:val="nil"/>
              <w:left w:val="nil"/>
              <w:bottom w:val="single" w:sz="4" w:space="0" w:color="auto"/>
              <w:right w:val="single" w:sz="4" w:space="0" w:color="auto"/>
            </w:tcBorders>
            <w:shd w:val="clear" w:color="auto" w:fill="C6EFCE"/>
            <w:noWrap/>
            <w:vAlign w:val="center"/>
          </w:tcPr>
          <w:p w14:paraId="5E1C3B20" w14:textId="77777777" w:rsidR="00154E32" w:rsidRDefault="00A43E04">
            <w:pPr>
              <w:pStyle w:val="P68B1DB1-Normal12"/>
              <w:rPr>
                <w:noProof/>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7C15197B" w14:textId="77777777" w:rsidR="00154E32" w:rsidRDefault="00A43E04">
            <w:pPr>
              <w:pStyle w:val="P68B1DB1-Normal12"/>
              <w:rPr>
                <w:noProof/>
              </w:rPr>
            </w:pPr>
            <w:r>
              <w:rPr>
                <w:noProof/>
              </w:rPr>
              <w:t>Začetek veljavnosti Uredbe o poenostavitvi sistema javnih naročil</w:t>
            </w:r>
          </w:p>
        </w:tc>
      </w:tr>
      <w:tr w:rsidR="00154E32" w14:paraId="1D64D99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6B4300F" w14:textId="77777777" w:rsidR="00154E32" w:rsidRDefault="00A43E04">
            <w:pPr>
              <w:pStyle w:val="P68B1DB1-Normal12"/>
              <w:jc w:val="center"/>
              <w:rPr>
                <w:noProof/>
              </w:rPr>
            </w:pPr>
            <w:r>
              <w:rPr>
                <w:noProof/>
              </w:rPr>
              <w:t>M1C1–1</w:t>
            </w:r>
          </w:p>
        </w:tc>
        <w:tc>
          <w:tcPr>
            <w:tcW w:w="3118" w:type="dxa"/>
            <w:tcBorders>
              <w:top w:val="nil"/>
              <w:left w:val="nil"/>
              <w:bottom w:val="single" w:sz="4" w:space="0" w:color="auto"/>
              <w:right w:val="single" w:sz="4" w:space="0" w:color="auto"/>
            </w:tcBorders>
            <w:shd w:val="clear" w:color="auto" w:fill="C6EFCE"/>
            <w:noWrap/>
            <w:vAlign w:val="center"/>
          </w:tcPr>
          <w:p w14:paraId="09A47762" w14:textId="77777777" w:rsidR="00154E32" w:rsidRDefault="00A43E04">
            <w:pPr>
              <w:pStyle w:val="P68B1DB1-Normal12"/>
              <w:rPr>
                <w:noProof/>
              </w:rPr>
            </w:pPr>
            <w:r>
              <w:rPr>
                <w:noProof/>
              </w:rPr>
              <w:t>Reforma 1.1: Javno naročanje IKT</w:t>
            </w:r>
          </w:p>
        </w:tc>
        <w:tc>
          <w:tcPr>
            <w:tcW w:w="1418" w:type="dxa"/>
            <w:tcBorders>
              <w:top w:val="nil"/>
              <w:left w:val="nil"/>
              <w:bottom w:val="single" w:sz="4" w:space="0" w:color="auto"/>
              <w:right w:val="single" w:sz="4" w:space="0" w:color="auto"/>
            </w:tcBorders>
            <w:shd w:val="clear" w:color="auto" w:fill="C6EFCE"/>
            <w:noWrap/>
            <w:vAlign w:val="center"/>
          </w:tcPr>
          <w:p w14:paraId="0584AC78" w14:textId="77777777" w:rsidR="00154E32" w:rsidRDefault="00A43E04">
            <w:pPr>
              <w:pStyle w:val="P68B1DB1-Normal12"/>
              <w:rPr>
                <w:noProof/>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4DD91E1B" w14:textId="77777777" w:rsidR="00154E32" w:rsidRDefault="00A43E04">
            <w:pPr>
              <w:pStyle w:val="P68B1DB1-Normal12"/>
              <w:rPr>
                <w:noProof/>
              </w:rPr>
            </w:pPr>
            <w:r>
              <w:rPr>
                <w:noProof/>
              </w:rPr>
              <w:t>Začetek veljavnosti zakonskih odlokov za reformo 1.1 „Javna naročila IKT“</w:t>
            </w:r>
          </w:p>
        </w:tc>
      </w:tr>
      <w:tr w:rsidR="00154E32" w14:paraId="445B024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0FC18EC" w14:textId="77777777" w:rsidR="00154E32" w:rsidRDefault="00A43E04">
            <w:pPr>
              <w:pStyle w:val="P68B1DB1-Normal12"/>
              <w:jc w:val="center"/>
              <w:rPr>
                <w:noProof/>
              </w:rPr>
            </w:pPr>
            <w:r>
              <w:rPr>
                <w:noProof/>
              </w:rPr>
              <w:t>M1C1–2</w:t>
            </w:r>
          </w:p>
        </w:tc>
        <w:tc>
          <w:tcPr>
            <w:tcW w:w="3118" w:type="dxa"/>
            <w:tcBorders>
              <w:top w:val="nil"/>
              <w:left w:val="nil"/>
              <w:bottom w:val="single" w:sz="4" w:space="0" w:color="auto"/>
              <w:right w:val="single" w:sz="4" w:space="0" w:color="auto"/>
            </w:tcBorders>
            <w:shd w:val="clear" w:color="auto" w:fill="C6EFCE"/>
            <w:noWrap/>
            <w:vAlign w:val="center"/>
          </w:tcPr>
          <w:p w14:paraId="2254EFE0" w14:textId="77777777" w:rsidR="00154E32" w:rsidRDefault="00A43E04">
            <w:pPr>
              <w:pStyle w:val="P68B1DB1-Normal12"/>
              <w:rPr>
                <w:noProof/>
              </w:rPr>
            </w:pPr>
            <w:r>
              <w:rPr>
                <w:noProof/>
              </w:rPr>
              <w:t>Reforma 1.3: Računalništvo v oblaku na prvem mestu in interoperabilnost</w:t>
            </w:r>
          </w:p>
        </w:tc>
        <w:tc>
          <w:tcPr>
            <w:tcW w:w="1418" w:type="dxa"/>
            <w:tcBorders>
              <w:top w:val="nil"/>
              <w:left w:val="nil"/>
              <w:bottom w:val="single" w:sz="4" w:space="0" w:color="auto"/>
              <w:right w:val="single" w:sz="4" w:space="0" w:color="auto"/>
            </w:tcBorders>
            <w:shd w:val="clear" w:color="auto" w:fill="C6EFCE"/>
            <w:noWrap/>
            <w:vAlign w:val="center"/>
          </w:tcPr>
          <w:p w14:paraId="2F832B8F" w14:textId="77777777" w:rsidR="00154E32" w:rsidRDefault="00A43E04">
            <w:pPr>
              <w:pStyle w:val="P68B1DB1-Normal12"/>
              <w:rPr>
                <w:noProof/>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562AD5DA" w14:textId="77777777" w:rsidR="00154E32" w:rsidRDefault="00A43E04">
            <w:pPr>
              <w:pStyle w:val="P68B1DB1-Normal12"/>
              <w:rPr>
                <w:noProof/>
              </w:rPr>
            </w:pPr>
            <w:r>
              <w:rPr>
                <w:noProof/>
              </w:rPr>
              <w:t>Začetek veljavnosti zakonskih odlokov za reformo 1.3 „Najprej v oblaku in interoperabilnost“</w:t>
            </w:r>
          </w:p>
        </w:tc>
      </w:tr>
      <w:tr w:rsidR="00154E32" w14:paraId="04B4E2D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273682F" w14:textId="77777777" w:rsidR="00154E32" w:rsidRDefault="00A43E04">
            <w:pPr>
              <w:pStyle w:val="P68B1DB1-Normal12"/>
              <w:jc w:val="center"/>
              <w:rPr>
                <w:noProof/>
              </w:rPr>
            </w:pPr>
            <w:r>
              <w:rPr>
                <w:noProof/>
              </w:rPr>
              <w:t>M1C1–29</w:t>
            </w:r>
          </w:p>
        </w:tc>
        <w:tc>
          <w:tcPr>
            <w:tcW w:w="3118" w:type="dxa"/>
            <w:tcBorders>
              <w:top w:val="nil"/>
              <w:left w:val="nil"/>
              <w:bottom w:val="single" w:sz="4" w:space="0" w:color="auto"/>
              <w:right w:val="single" w:sz="4" w:space="0" w:color="auto"/>
            </w:tcBorders>
            <w:shd w:val="clear" w:color="auto" w:fill="C6EFCE"/>
            <w:noWrap/>
            <w:vAlign w:val="center"/>
          </w:tcPr>
          <w:p w14:paraId="5070BFB8" w14:textId="77777777" w:rsidR="00154E32" w:rsidRDefault="00A43E04">
            <w:pPr>
              <w:pStyle w:val="P68B1DB1-Normal12"/>
              <w:rPr>
                <w:noProof/>
              </w:rPr>
            </w:pPr>
            <w:r>
              <w:rPr>
                <w:noProof/>
              </w:rPr>
              <w:t>Reforma 1.4: Reforma civilnega pravosodja</w:t>
            </w:r>
          </w:p>
        </w:tc>
        <w:tc>
          <w:tcPr>
            <w:tcW w:w="1418" w:type="dxa"/>
            <w:tcBorders>
              <w:top w:val="nil"/>
              <w:left w:val="nil"/>
              <w:bottom w:val="single" w:sz="4" w:space="0" w:color="auto"/>
              <w:right w:val="single" w:sz="4" w:space="0" w:color="auto"/>
            </w:tcBorders>
            <w:shd w:val="clear" w:color="auto" w:fill="C6EFCE"/>
            <w:noWrap/>
            <w:vAlign w:val="center"/>
          </w:tcPr>
          <w:p w14:paraId="1077DE5F" w14:textId="77777777" w:rsidR="00154E32" w:rsidRDefault="00A43E04">
            <w:pPr>
              <w:pStyle w:val="P68B1DB1-Normal12"/>
              <w:rPr>
                <w:noProof/>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619AA4E5" w14:textId="77777777" w:rsidR="00154E32" w:rsidRDefault="00A43E04">
            <w:pPr>
              <w:pStyle w:val="P68B1DB1-Normal12"/>
              <w:rPr>
                <w:noProof/>
              </w:rPr>
            </w:pPr>
            <w:r>
              <w:rPr>
                <w:noProof/>
              </w:rPr>
              <w:t>Začetek veljavnosti pooblastitvene zakonodaje za reformo civilnega pravosodja</w:t>
            </w:r>
          </w:p>
        </w:tc>
      </w:tr>
      <w:tr w:rsidR="00154E32" w14:paraId="035B9CB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A6F69C3" w14:textId="77777777" w:rsidR="00154E32" w:rsidRDefault="00A43E04">
            <w:pPr>
              <w:pStyle w:val="P68B1DB1-Normal12"/>
              <w:jc w:val="center"/>
              <w:rPr>
                <w:noProof/>
              </w:rPr>
            </w:pPr>
            <w:r>
              <w:rPr>
                <w:noProof/>
              </w:rPr>
              <w:t>M1C1–30</w:t>
            </w:r>
          </w:p>
        </w:tc>
        <w:tc>
          <w:tcPr>
            <w:tcW w:w="3118" w:type="dxa"/>
            <w:tcBorders>
              <w:top w:val="nil"/>
              <w:left w:val="nil"/>
              <w:bottom w:val="single" w:sz="4" w:space="0" w:color="auto"/>
              <w:right w:val="single" w:sz="4" w:space="0" w:color="auto"/>
            </w:tcBorders>
            <w:shd w:val="clear" w:color="auto" w:fill="C6EFCE"/>
            <w:noWrap/>
            <w:vAlign w:val="center"/>
          </w:tcPr>
          <w:p w14:paraId="0F3929E5" w14:textId="77777777" w:rsidR="00154E32" w:rsidRDefault="00A43E04">
            <w:pPr>
              <w:pStyle w:val="P68B1DB1-Normal12"/>
              <w:rPr>
                <w:noProof/>
              </w:rPr>
            </w:pPr>
            <w:r>
              <w:rPr>
                <w:noProof/>
              </w:rPr>
              <w:t>Reforma 1.5: Reforma kazenskega pravosodja</w:t>
            </w:r>
          </w:p>
        </w:tc>
        <w:tc>
          <w:tcPr>
            <w:tcW w:w="1418" w:type="dxa"/>
            <w:tcBorders>
              <w:top w:val="nil"/>
              <w:left w:val="nil"/>
              <w:bottom w:val="single" w:sz="4" w:space="0" w:color="auto"/>
              <w:right w:val="single" w:sz="4" w:space="0" w:color="auto"/>
            </w:tcBorders>
            <w:shd w:val="clear" w:color="auto" w:fill="C6EFCE"/>
            <w:noWrap/>
            <w:vAlign w:val="center"/>
          </w:tcPr>
          <w:p w14:paraId="1F08F7AE" w14:textId="77777777" w:rsidR="00154E32" w:rsidRDefault="00A43E04">
            <w:pPr>
              <w:pStyle w:val="P68B1DB1-Normal12"/>
              <w:rPr>
                <w:noProof/>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36129E9C" w14:textId="77777777" w:rsidR="00154E32" w:rsidRDefault="00A43E04">
            <w:pPr>
              <w:pStyle w:val="P68B1DB1-Normal12"/>
              <w:rPr>
                <w:noProof/>
              </w:rPr>
            </w:pPr>
            <w:r>
              <w:rPr>
                <w:noProof/>
              </w:rPr>
              <w:t>Začetek veljavnosti omogočitvene zakonodaje za reformo kazenskega pravosodja</w:t>
            </w:r>
          </w:p>
        </w:tc>
      </w:tr>
      <w:tr w:rsidR="00154E32" w14:paraId="0F4A21B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C96F9DB" w14:textId="77777777" w:rsidR="00154E32" w:rsidRDefault="00A43E04">
            <w:pPr>
              <w:pStyle w:val="P68B1DB1-Normal12"/>
              <w:jc w:val="center"/>
              <w:rPr>
                <w:noProof/>
              </w:rPr>
            </w:pPr>
            <w:r>
              <w:rPr>
                <w:noProof/>
              </w:rPr>
              <w:t>M1C1–31</w:t>
            </w:r>
          </w:p>
        </w:tc>
        <w:tc>
          <w:tcPr>
            <w:tcW w:w="3118" w:type="dxa"/>
            <w:tcBorders>
              <w:top w:val="nil"/>
              <w:left w:val="nil"/>
              <w:bottom w:val="single" w:sz="4" w:space="0" w:color="auto"/>
              <w:right w:val="single" w:sz="4" w:space="0" w:color="auto"/>
            </w:tcBorders>
            <w:shd w:val="clear" w:color="auto" w:fill="C6EFCE"/>
            <w:noWrap/>
            <w:vAlign w:val="center"/>
          </w:tcPr>
          <w:p w14:paraId="76FC324D" w14:textId="77777777" w:rsidR="00154E32" w:rsidRDefault="00A43E04">
            <w:pPr>
              <w:pStyle w:val="P68B1DB1-Normal12"/>
              <w:rPr>
                <w:noProof/>
              </w:rPr>
            </w:pPr>
            <w:r>
              <w:rPr>
                <w:noProof/>
              </w:rPr>
              <w:t>Reforma 1.6: Reforma insolvenčnega okvira</w:t>
            </w:r>
          </w:p>
        </w:tc>
        <w:tc>
          <w:tcPr>
            <w:tcW w:w="1418" w:type="dxa"/>
            <w:tcBorders>
              <w:top w:val="nil"/>
              <w:left w:val="nil"/>
              <w:bottom w:val="single" w:sz="4" w:space="0" w:color="auto"/>
              <w:right w:val="single" w:sz="4" w:space="0" w:color="auto"/>
            </w:tcBorders>
            <w:shd w:val="clear" w:color="auto" w:fill="C6EFCE"/>
            <w:noWrap/>
            <w:vAlign w:val="center"/>
          </w:tcPr>
          <w:p w14:paraId="4422BBF8" w14:textId="77777777" w:rsidR="00154E32" w:rsidRDefault="00A43E04">
            <w:pPr>
              <w:pStyle w:val="P68B1DB1-Normal12"/>
              <w:rPr>
                <w:noProof/>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0391E6A6" w14:textId="77777777" w:rsidR="00154E32" w:rsidRDefault="00A43E04">
            <w:pPr>
              <w:pStyle w:val="P68B1DB1-Normal12"/>
              <w:rPr>
                <w:noProof/>
              </w:rPr>
            </w:pPr>
            <w:r>
              <w:rPr>
                <w:noProof/>
              </w:rPr>
              <w:t>Začetek veljavnosti omogočitvene zakonodaje za okvir reforme na področju insolventnosti</w:t>
            </w:r>
          </w:p>
        </w:tc>
      </w:tr>
      <w:tr w:rsidR="00154E32" w14:paraId="6B55D84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9FBE776" w14:textId="77777777" w:rsidR="00154E32" w:rsidRDefault="00A43E04">
            <w:pPr>
              <w:pStyle w:val="P68B1DB1-Normal12"/>
              <w:jc w:val="center"/>
              <w:rPr>
                <w:noProof/>
              </w:rPr>
            </w:pPr>
            <w:r>
              <w:rPr>
                <w:noProof/>
              </w:rPr>
              <w:t>M1C1–32</w:t>
            </w:r>
          </w:p>
        </w:tc>
        <w:tc>
          <w:tcPr>
            <w:tcW w:w="3118" w:type="dxa"/>
            <w:tcBorders>
              <w:top w:val="nil"/>
              <w:left w:val="nil"/>
              <w:bottom w:val="single" w:sz="4" w:space="0" w:color="auto"/>
              <w:right w:val="single" w:sz="4" w:space="0" w:color="auto"/>
            </w:tcBorders>
            <w:shd w:val="clear" w:color="auto" w:fill="C6EFCE"/>
            <w:noWrap/>
            <w:vAlign w:val="center"/>
          </w:tcPr>
          <w:p w14:paraId="3FEB5104" w14:textId="77777777" w:rsidR="00154E32" w:rsidRDefault="00A43E04">
            <w:pPr>
              <w:pStyle w:val="P68B1DB1-Normal12"/>
              <w:rPr>
                <w:noProof/>
              </w:rPr>
            </w:pPr>
            <w:r>
              <w:rPr>
                <w:noProof/>
              </w:rPr>
              <w:t>Naložba 1.8: Postopki zaposlovanja na civilnih, kazenskih in upravnih sodiščih</w:t>
            </w:r>
          </w:p>
        </w:tc>
        <w:tc>
          <w:tcPr>
            <w:tcW w:w="1418" w:type="dxa"/>
            <w:tcBorders>
              <w:top w:val="nil"/>
              <w:left w:val="nil"/>
              <w:bottom w:val="single" w:sz="4" w:space="0" w:color="auto"/>
              <w:right w:val="single" w:sz="4" w:space="0" w:color="auto"/>
            </w:tcBorders>
            <w:shd w:val="clear" w:color="auto" w:fill="C6EFCE"/>
            <w:noWrap/>
            <w:vAlign w:val="center"/>
          </w:tcPr>
          <w:p w14:paraId="418FD44E" w14:textId="77777777" w:rsidR="00154E32" w:rsidRDefault="00A43E04">
            <w:pPr>
              <w:pStyle w:val="P68B1DB1-Normal12"/>
              <w:rPr>
                <w:noProof/>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45D0839C" w14:textId="77777777" w:rsidR="00154E32" w:rsidRDefault="00A43E04">
            <w:pPr>
              <w:pStyle w:val="P68B1DB1-Normal12"/>
              <w:rPr>
                <w:noProof/>
              </w:rPr>
            </w:pPr>
            <w:r>
              <w:rPr>
                <w:noProof/>
              </w:rPr>
              <w:t>Začetek veljavnosti posebne zakonodaje, ki ureja zaposlovanje v okviru nacionalnega načrta za okrevanje in odpornost</w:t>
            </w:r>
          </w:p>
        </w:tc>
      </w:tr>
      <w:tr w:rsidR="00154E32" w14:paraId="5FA8A4E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756149F" w14:textId="77777777" w:rsidR="00154E32" w:rsidRDefault="00A43E04">
            <w:pPr>
              <w:pStyle w:val="P68B1DB1-Normal12"/>
              <w:jc w:val="center"/>
              <w:rPr>
                <w:noProof/>
              </w:rPr>
            </w:pPr>
            <w:r>
              <w:rPr>
                <w:noProof/>
              </w:rPr>
              <w:t>M1C1–54</w:t>
            </w:r>
          </w:p>
        </w:tc>
        <w:tc>
          <w:tcPr>
            <w:tcW w:w="3118" w:type="dxa"/>
            <w:tcBorders>
              <w:top w:val="nil"/>
              <w:left w:val="nil"/>
              <w:bottom w:val="single" w:sz="4" w:space="0" w:color="auto"/>
              <w:right w:val="single" w:sz="4" w:space="0" w:color="auto"/>
            </w:tcBorders>
            <w:shd w:val="clear" w:color="auto" w:fill="C6EFCE"/>
            <w:noWrap/>
            <w:vAlign w:val="center"/>
          </w:tcPr>
          <w:p w14:paraId="1C61FDE4" w14:textId="77777777" w:rsidR="00154E32" w:rsidRDefault="00A43E04">
            <w:pPr>
              <w:pStyle w:val="P68B1DB1-Normal12"/>
              <w:rPr>
                <w:noProof/>
              </w:rPr>
            </w:pPr>
            <w:r>
              <w:rPr>
                <w:noProof/>
              </w:rPr>
              <w:t>Naložba 1.9: Zagotavljanje tehnične pomoči in krepitev krepitve zmogljivosti za izvajanje italijanskega načrta za okrevanje in odpornost</w:t>
            </w:r>
          </w:p>
        </w:tc>
        <w:tc>
          <w:tcPr>
            <w:tcW w:w="1418" w:type="dxa"/>
            <w:tcBorders>
              <w:top w:val="nil"/>
              <w:left w:val="nil"/>
              <w:bottom w:val="single" w:sz="4" w:space="0" w:color="auto"/>
              <w:right w:val="single" w:sz="4" w:space="0" w:color="auto"/>
            </w:tcBorders>
            <w:shd w:val="clear" w:color="auto" w:fill="C6EFCE"/>
            <w:noWrap/>
            <w:vAlign w:val="center"/>
          </w:tcPr>
          <w:p w14:paraId="7655DD68" w14:textId="77777777" w:rsidR="00154E32" w:rsidRDefault="00A43E04">
            <w:pPr>
              <w:pStyle w:val="P68B1DB1-Normal12"/>
              <w:rPr>
                <w:noProof/>
              </w:rPr>
            </w:pPr>
            <w:r>
              <w:rPr>
                <w:noProof/>
              </w:rPr>
              <w:t>Tarča</w:t>
            </w:r>
          </w:p>
        </w:tc>
        <w:tc>
          <w:tcPr>
            <w:tcW w:w="3714" w:type="dxa"/>
            <w:tcBorders>
              <w:top w:val="nil"/>
              <w:left w:val="nil"/>
              <w:bottom w:val="single" w:sz="4" w:space="0" w:color="auto"/>
              <w:right w:val="single" w:sz="4" w:space="0" w:color="auto"/>
            </w:tcBorders>
            <w:shd w:val="clear" w:color="auto" w:fill="C6EFCE"/>
            <w:noWrap/>
            <w:vAlign w:val="center"/>
          </w:tcPr>
          <w:p w14:paraId="571BC6DB" w14:textId="77777777" w:rsidR="00154E32" w:rsidRDefault="00A43E04">
            <w:pPr>
              <w:pStyle w:val="P68B1DB1-Normal12"/>
              <w:rPr>
                <w:noProof/>
              </w:rPr>
            </w:pPr>
            <w:r>
              <w:rPr>
                <w:noProof/>
              </w:rPr>
              <w:t>Zaključeno zaposlovanje strokovnjakov za izvajanje italijanskega načrta za okrevanje in odpornost</w:t>
            </w:r>
          </w:p>
        </w:tc>
      </w:tr>
      <w:tr w:rsidR="00154E32" w14:paraId="73F1200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3CC5BCF" w14:textId="77777777" w:rsidR="00154E32" w:rsidRDefault="00A43E04">
            <w:pPr>
              <w:pStyle w:val="P68B1DB1-Normal12"/>
              <w:jc w:val="center"/>
              <w:rPr>
                <w:noProof/>
              </w:rPr>
            </w:pPr>
            <w:r>
              <w:rPr>
                <w:noProof/>
              </w:rPr>
              <w:t>M1C1–55</w:t>
            </w:r>
          </w:p>
        </w:tc>
        <w:tc>
          <w:tcPr>
            <w:tcW w:w="3118" w:type="dxa"/>
            <w:tcBorders>
              <w:top w:val="nil"/>
              <w:left w:val="nil"/>
              <w:bottom w:val="single" w:sz="4" w:space="0" w:color="auto"/>
              <w:right w:val="single" w:sz="4" w:space="0" w:color="auto"/>
            </w:tcBorders>
            <w:shd w:val="clear" w:color="auto" w:fill="C6EFCE"/>
            <w:noWrap/>
            <w:vAlign w:val="center"/>
          </w:tcPr>
          <w:p w14:paraId="31EAFF20" w14:textId="77777777" w:rsidR="00154E32" w:rsidRDefault="00A43E04">
            <w:pPr>
              <w:pStyle w:val="P68B1DB1-Normal12"/>
              <w:rPr>
                <w:noProof/>
              </w:rPr>
            </w:pPr>
            <w:r>
              <w:rPr>
                <w:noProof/>
              </w:rPr>
              <w:t>Reforma 1.9: Reforma javne uprave</w:t>
            </w:r>
          </w:p>
        </w:tc>
        <w:tc>
          <w:tcPr>
            <w:tcW w:w="1418" w:type="dxa"/>
            <w:tcBorders>
              <w:top w:val="nil"/>
              <w:left w:val="nil"/>
              <w:bottom w:val="single" w:sz="4" w:space="0" w:color="auto"/>
              <w:right w:val="single" w:sz="4" w:space="0" w:color="auto"/>
            </w:tcBorders>
            <w:shd w:val="clear" w:color="auto" w:fill="C6EFCE"/>
            <w:noWrap/>
            <w:vAlign w:val="center"/>
          </w:tcPr>
          <w:p w14:paraId="1F4A29D2" w14:textId="77777777" w:rsidR="00154E32" w:rsidRDefault="00A43E04">
            <w:pPr>
              <w:pStyle w:val="P68B1DB1-Normal12"/>
              <w:rPr>
                <w:noProof/>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7B3323CB" w14:textId="77777777" w:rsidR="00154E32" w:rsidRDefault="00A43E04">
            <w:pPr>
              <w:pStyle w:val="P68B1DB1-Normal12"/>
              <w:rPr>
                <w:noProof/>
              </w:rPr>
            </w:pPr>
            <w:r>
              <w:rPr>
                <w:noProof/>
              </w:rPr>
              <w:t>Razširitev metodologije, ki se uporablja za italijanski načrt za okrevanje in odpornost, na nacionalni proračun, da se poveča črpanje naložb</w:t>
            </w:r>
          </w:p>
        </w:tc>
      </w:tr>
      <w:tr w:rsidR="00154E32" w14:paraId="3925E2D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4667AFF" w14:textId="77777777" w:rsidR="00154E32" w:rsidRDefault="00A43E04">
            <w:pPr>
              <w:pStyle w:val="P68B1DB1-Normal12"/>
              <w:jc w:val="center"/>
              <w:rPr>
                <w:noProof/>
              </w:rPr>
            </w:pPr>
            <w:r>
              <w:rPr>
                <w:noProof/>
              </w:rPr>
              <w:t>M1C1–68</w:t>
            </w:r>
          </w:p>
        </w:tc>
        <w:tc>
          <w:tcPr>
            <w:tcW w:w="3118" w:type="dxa"/>
            <w:tcBorders>
              <w:top w:val="nil"/>
              <w:left w:val="nil"/>
              <w:bottom w:val="single" w:sz="4" w:space="0" w:color="auto"/>
              <w:right w:val="single" w:sz="4" w:space="0" w:color="auto"/>
            </w:tcBorders>
            <w:shd w:val="clear" w:color="auto" w:fill="C6EFCE"/>
            <w:noWrap/>
            <w:vAlign w:val="center"/>
          </w:tcPr>
          <w:p w14:paraId="6A894301" w14:textId="77777777" w:rsidR="00154E32" w:rsidRDefault="00A43E04">
            <w:pPr>
              <w:pStyle w:val="P68B1DB1-Normal12"/>
              <w:rPr>
                <w:noProof/>
              </w:rPr>
            </w:pPr>
            <w:r>
              <w:rPr>
                <w:noProof/>
              </w:rPr>
              <w:t>Reforma 1.9: Reforma javne uprave</w:t>
            </w:r>
          </w:p>
        </w:tc>
        <w:tc>
          <w:tcPr>
            <w:tcW w:w="1418" w:type="dxa"/>
            <w:tcBorders>
              <w:top w:val="nil"/>
              <w:left w:val="nil"/>
              <w:bottom w:val="single" w:sz="4" w:space="0" w:color="auto"/>
              <w:right w:val="single" w:sz="4" w:space="0" w:color="auto"/>
            </w:tcBorders>
            <w:shd w:val="clear" w:color="auto" w:fill="C6EFCE"/>
            <w:noWrap/>
            <w:vAlign w:val="center"/>
          </w:tcPr>
          <w:p w14:paraId="2EDC6A4F" w14:textId="77777777" w:rsidR="00154E32" w:rsidRDefault="00A43E04">
            <w:pPr>
              <w:pStyle w:val="P68B1DB1-Normal12"/>
              <w:rPr>
                <w:noProof/>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58E73695" w14:textId="77777777" w:rsidR="00154E32" w:rsidRDefault="00A43E04">
            <w:pPr>
              <w:pStyle w:val="P68B1DB1-Normal12"/>
              <w:rPr>
                <w:noProof/>
              </w:rPr>
            </w:pPr>
            <w:r>
              <w:rPr>
                <w:noProof/>
              </w:rPr>
              <w:t>Sistem arhivov za revizijo in nadzor: informacije za spremljanje izvajanja mehanizma za okrevanje in odpornost</w:t>
            </w:r>
          </w:p>
        </w:tc>
      </w:tr>
      <w:tr w:rsidR="00154E32" w14:paraId="401673D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D7B7351" w14:textId="77777777" w:rsidR="00154E32" w:rsidRDefault="00A43E04">
            <w:pPr>
              <w:pStyle w:val="P68B1DB1-Normal12"/>
              <w:jc w:val="center"/>
              <w:rPr>
                <w:noProof/>
              </w:rPr>
            </w:pPr>
            <w:r>
              <w:rPr>
                <w:noProof/>
              </w:rPr>
              <w:t>M1C1–71</w:t>
            </w:r>
          </w:p>
        </w:tc>
        <w:tc>
          <w:tcPr>
            <w:tcW w:w="3118" w:type="dxa"/>
            <w:tcBorders>
              <w:top w:val="nil"/>
              <w:left w:val="nil"/>
              <w:bottom w:val="single" w:sz="4" w:space="0" w:color="auto"/>
              <w:right w:val="single" w:sz="4" w:space="0" w:color="auto"/>
            </w:tcBorders>
            <w:shd w:val="clear" w:color="auto" w:fill="C6EFCE"/>
            <w:noWrap/>
            <w:vAlign w:val="center"/>
          </w:tcPr>
          <w:p w14:paraId="0403F340" w14:textId="77777777" w:rsidR="00154E32" w:rsidRDefault="00A43E04">
            <w:pPr>
              <w:pStyle w:val="P68B1DB1-Normal12"/>
              <w:rPr>
                <w:noProof/>
              </w:rPr>
            </w:pPr>
            <w:r>
              <w:rPr>
                <w:noProof/>
              </w:rPr>
              <w:t>Reforma 1.10: Reforma zakonodajnega okvira za javna naročila</w:t>
            </w:r>
          </w:p>
        </w:tc>
        <w:tc>
          <w:tcPr>
            <w:tcW w:w="1418" w:type="dxa"/>
            <w:tcBorders>
              <w:top w:val="nil"/>
              <w:left w:val="nil"/>
              <w:bottom w:val="single" w:sz="4" w:space="0" w:color="auto"/>
              <w:right w:val="single" w:sz="4" w:space="0" w:color="auto"/>
            </w:tcBorders>
            <w:shd w:val="clear" w:color="auto" w:fill="C6EFCE"/>
            <w:noWrap/>
            <w:vAlign w:val="center"/>
          </w:tcPr>
          <w:p w14:paraId="26978570" w14:textId="77777777" w:rsidR="00154E32" w:rsidRDefault="00A43E04">
            <w:pPr>
              <w:pStyle w:val="P68B1DB1-Normal12"/>
              <w:rPr>
                <w:noProof/>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1DE6F374" w14:textId="77777777" w:rsidR="00154E32" w:rsidRDefault="00A43E04">
            <w:pPr>
              <w:pStyle w:val="P68B1DB1-Normal12"/>
              <w:rPr>
                <w:noProof/>
              </w:rPr>
            </w:pPr>
            <w:r>
              <w:rPr>
                <w:noProof/>
              </w:rPr>
              <w:t>Začetek veljavnosti vse potrebne zakonodaje, predpisov in izvedbenih aktov (vključno s sekundarno zakonodajo) za sistem javnega naročanja</w:t>
            </w:r>
          </w:p>
        </w:tc>
      </w:tr>
      <w:tr w:rsidR="00154E32" w14:paraId="5B4CC04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86702FB" w14:textId="77777777" w:rsidR="00154E32" w:rsidRDefault="00A43E04">
            <w:pPr>
              <w:pStyle w:val="P68B1DB1-Normal12"/>
              <w:jc w:val="center"/>
              <w:rPr>
                <w:noProof/>
              </w:rPr>
            </w:pPr>
            <w:r>
              <w:rPr>
                <w:noProof/>
              </w:rPr>
              <w:t>M1C1–100</w:t>
            </w:r>
          </w:p>
        </w:tc>
        <w:tc>
          <w:tcPr>
            <w:tcW w:w="3118" w:type="dxa"/>
            <w:tcBorders>
              <w:top w:val="nil"/>
              <w:left w:val="nil"/>
              <w:bottom w:val="single" w:sz="4" w:space="0" w:color="auto"/>
              <w:right w:val="single" w:sz="4" w:space="0" w:color="auto"/>
            </w:tcBorders>
            <w:shd w:val="clear" w:color="auto" w:fill="C6EFCE"/>
            <w:noWrap/>
            <w:vAlign w:val="center"/>
          </w:tcPr>
          <w:p w14:paraId="62EA2508" w14:textId="77777777" w:rsidR="00154E32" w:rsidRDefault="00A43E04">
            <w:pPr>
              <w:pStyle w:val="P68B1DB1-Normal12"/>
              <w:rPr>
                <w:noProof/>
              </w:rPr>
            </w:pPr>
            <w:r>
              <w:rPr>
                <w:noProof/>
              </w:rPr>
              <w:t>Reforma 1.13: Reforma okvira za pregled porabe</w:t>
            </w:r>
          </w:p>
        </w:tc>
        <w:tc>
          <w:tcPr>
            <w:tcW w:w="1418" w:type="dxa"/>
            <w:tcBorders>
              <w:top w:val="nil"/>
              <w:left w:val="nil"/>
              <w:bottom w:val="single" w:sz="4" w:space="0" w:color="auto"/>
              <w:right w:val="single" w:sz="4" w:space="0" w:color="auto"/>
            </w:tcBorders>
            <w:shd w:val="clear" w:color="auto" w:fill="C6EFCE"/>
            <w:noWrap/>
            <w:vAlign w:val="center"/>
          </w:tcPr>
          <w:p w14:paraId="4B9B998B" w14:textId="77777777" w:rsidR="00154E32" w:rsidRDefault="00A43E04">
            <w:pPr>
              <w:pStyle w:val="P68B1DB1-Normal12"/>
              <w:rPr>
                <w:noProof/>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2B5E4A15" w14:textId="77777777" w:rsidR="00154E32" w:rsidRDefault="00A43E04">
            <w:pPr>
              <w:pStyle w:val="P68B1DB1-Normal12"/>
              <w:rPr>
                <w:noProof/>
              </w:rPr>
            </w:pPr>
            <w:r>
              <w:rPr>
                <w:noProof/>
              </w:rPr>
              <w:t>Začetek veljavnosti zakonodajnih določb za izboljšanje učinkovitosti pregleda porabe – okrepitev ministrstva za finance</w:t>
            </w:r>
          </w:p>
        </w:tc>
      </w:tr>
      <w:tr w:rsidR="00154E32" w14:paraId="47B7098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A79238F" w14:textId="77777777" w:rsidR="00154E32" w:rsidRDefault="00A43E04">
            <w:pPr>
              <w:pStyle w:val="P68B1DB1-Normal12"/>
              <w:jc w:val="center"/>
              <w:rPr>
                <w:noProof/>
              </w:rPr>
            </w:pPr>
            <w:r>
              <w:rPr>
                <w:noProof/>
              </w:rPr>
              <w:t>M1C1–1001</w:t>
            </w:r>
          </w:p>
        </w:tc>
        <w:tc>
          <w:tcPr>
            <w:tcW w:w="3118" w:type="dxa"/>
            <w:tcBorders>
              <w:top w:val="nil"/>
              <w:left w:val="nil"/>
              <w:bottom w:val="single" w:sz="4" w:space="0" w:color="auto"/>
              <w:right w:val="single" w:sz="4" w:space="0" w:color="auto"/>
            </w:tcBorders>
            <w:shd w:val="clear" w:color="auto" w:fill="C6EFCE"/>
            <w:noWrap/>
            <w:vAlign w:val="center"/>
          </w:tcPr>
          <w:p w14:paraId="0455EE88" w14:textId="77777777" w:rsidR="00154E32" w:rsidRDefault="00A43E04">
            <w:pPr>
              <w:pStyle w:val="P68B1DB1-Normal12"/>
              <w:rPr>
                <w:noProof/>
              </w:rPr>
            </w:pPr>
            <w:r>
              <w:rPr>
                <w:noProof/>
              </w:rPr>
              <w:t xml:space="preserve">Reforma 1.12: Reforma davčne uprave </w:t>
            </w:r>
          </w:p>
        </w:tc>
        <w:tc>
          <w:tcPr>
            <w:tcW w:w="1418" w:type="dxa"/>
            <w:tcBorders>
              <w:top w:val="nil"/>
              <w:left w:val="nil"/>
              <w:bottom w:val="single" w:sz="4" w:space="0" w:color="auto"/>
              <w:right w:val="single" w:sz="4" w:space="0" w:color="auto"/>
            </w:tcBorders>
            <w:shd w:val="clear" w:color="auto" w:fill="C6EFCE"/>
            <w:noWrap/>
            <w:vAlign w:val="center"/>
          </w:tcPr>
          <w:p w14:paraId="6FAC991E" w14:textId="77777777" w:rsidR="00154E32" w:rsidRDefault="00A43E04">
            <w:pPr>
              <w:pStyle w:val="P68B1DB1-Normal12"/>
              <w:rPr>
                <w:noProof/>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4B7AF933" w14:textId="77777777" w:rsidR="00154E32" w:rsidRDefault="00A43E04">
            <w:pPr>
              <w:pStyle w:val="P68B1DB1-Normal12"/>
              <w:rPr>
                <w:noProof/>
              </w:rPr>
            </w:pPr>
            <w:r>
              <w:rPr>
                <w:noProof/>
              </w:rPr>
              <w:t>Sprejetje pregleda možnih ukrepov za zmanjšanje davčnih utaj</w:t>
            </w:r>
          </w:p>
        </w:tc>
      </w:tr>
      <w:tr w:rsidR="00154E32" w14:paraId="1A95A76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3F6088A" w14:textId="77777777" w:rsidR="00154E32" w:rsidRDefault="00A43E04">
            <w:pPr>
              <w:pStyle w:val="P68B1DB1-Normal12"/>
              <w:jc w:val="center"/>
              <w:rPr>
                <w:noProof/>
              </w:rPr>
            </w:pPr>
            <w:r>
              <w:rPr>
                <w:noProof/>
              </w:rPr>
              <w:t>M1C2–1</w:t>
            </w:r>
          </w:p>
        </w:tc>
        <w:tc>
          <w:tcPr>
            <w:tcW w:w="3118" w:type="dxa"/>
            <w:tcBorders>
              <w:top w:val="nil"/>
              <w:left w:val="nil"/>
              <w:bottom w:val="single" w:sz="4" w:space="0" w:color="auto"/>
              <w:right w:val="single" w:sz="4" w:space="0" w:color="auto"/>
            </w:tcBorders>
            <w:shd w:val="clear" w:color="auto" w:fill="C6EFCE"/>
            <w:noWrap/>
            <w:vAlign w:val="center"/>
          </w:tcPr>
          <w:p w14:paraId="20B27751" w14:textId="77777777" w:rsidR="00154E32" w:rsidRDefault="00A43E04">
            <w:pPr>
              <w:pStyle w:val="P68B1DB1-Normal12"/>
              <w:rPr>
                <w:noProof/>
              </w:rPr>
            </w:pPr>
            <w:r>
              <w:rPr>
                <w:noProof/>
              </w:rPr>
              <w:t>Naložba 1: Prehod 4.0</w:t>
            </w:r>
          </w:p>
        </w:tc>
        <w:tc>
          <w:tcPr>
            <w:tcW w:w="1418" w:type="dxa"/>
            <w:tcBorders>
              <w:top w:val="nil"/>
              <w:left w:val="nil"/>
              <w:bottom w:val="single" w:sz="4" w:space="0" w:color="auto"/>
              <w:right w:val="single" w:sz="4" w:space="0" w:color="auto"/>
            </w:tcBorders>
            <w:shd w:val="clear" w:color="auto" w:fill="C6EFCE"/>
            <w:noWrap/>
            <w:vAlign w:val="center"/>
          </w:tcPr>
          <w:p w14:paraId="79982874" w14:textId="77777777" w:rsidR="00154E32" w:rsidRDefault="00A43E04">
            <w:pPr>
              <w:pStyle w:val="P68B1DB1-Normal12"/>
              <w:rPr>
                <w:noProof/>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5D54D5A9" w14:textId="77777777" w:rsidR="00154E32" w:rsidRDefault="00A43E04">
            <w:pPr>
              <w:pStyle w:val="P68B1DB1-Normal12"/>
              <w:rPr>
                <w:noProof/>
              </w:rPr>
            </w:pPr>
            <w:r>
              <w:rPr>
                <w:noProof/>
              </w:rPr>
              <w:t>Začetek veljavnosti pravnih aktov, s katerimi se potencialnim upravičencem dajo na voljo davčni dobropisi v okviru prehoda 4.0, in ustanovitev znanstvenega odbora</w:t>
            </w:r>
          </w:p>
        </w:tc>
      </w:tr>
      <w:tr w:rsidR="00154E32" w14:paraId="2B8AED0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A443A03" w14:textId="77777777" w:rsidR="00154E32" w:rsidRDefault="00A43E04">
            <w:pPr>
              <w:pStyle w:val="P68B1DB1-Normal12"/>
              <w:jc w:val="center"/>
              <w:rPr>
                <w:noProof/>
              </w:rPr>
            </w:pPr>
            <w:r>
              <w:rPr>
                <w:noProof/>
              </w:rPr>
              <w:t>M1C3–8</w:t>
            </w:r>
          </w:p>
        </w:tc>
        <w:tc>
          <w:tcPr>
            <w:tcW w:w="3118" w:type="dxa"/>
            <w:tcBorders>
              <w:top w:val="nil"/>
              <w:left w:val="nil"/>
              <w:bottom w:val="single" w:sz="4" w:space="0" w:color="auto"/>
              <w:right w:val="single" w:sz="4" w:space="0" w:color="auto"/>
            </w:tcBorders>
            <w:shd w:val="clear" w:color="auto" w:fill="C6EFCE"/>
            <w:noWrap/>
            <w:vAlign w:val="center"/>
          </w:tcPr>
          <w:p w14:paraId="2672813F" w14:textId="77777777" w:rsidR="00154E32" w:rsidRDefault="00A43E04">
            <w:pPr>
              <w:pStyle w:val="P68B1DB1-Normal12"/>
              <w:rPr>
                <w:noProof/>
              </w:rPr>
            </w:pPr>
            <w:r>
              <w:rPr>
                <w:noProof/>
              </w:rPr>
              <w:t>Naložbe – 4.1 Digitalno vozlišče za turizem</w:t>
            </w:r>
          </w:p>
        </w:tc>
        <w:tc>
          <w:tcPr>
            <w:tcW w:w="1418" w:type="dxa"/>
            <w:tcBorders>
              <w:top w:val="nil"/>
              <w:left w:val="nil"/>
              <w:bottom w:val="single" w:sz="4" w:space="0" w:color="auto"/>
              <w:right w:val="single" w:sz="4" w:space="0" w:color="auto"/>
            </w:tcBorders>
            <w:shd w:val="clear" w:color="auto" w:fill="C6EFCE"/>
            <w:noWrap/>
            <w:vAlign w:val="center"/>
          </w:tcPr>
          <w:p w14:paraId="11D526FB" w14:textId="77777777" w:rsidR="00154E32" w:rsidRDefault="00A43E04">
            <w:pPr>
              <w:pStyle w:val="P68B1DB1-Normal12"/>
              <w:rPr>
                <w:noProof/>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39451D89" w14:textId="77777777" w:rsidR="00154E32" w:rsidRDefault="00A43E04">
            <w:pPr>
              <w:pStyle w:val="P68B1DB1-Normal12"/>
              <w:rPr>
                <w:noProof/>
              </w:rPr>
            </w:pPr>
            <w:r>
              <w:rPr>
                <w:noProof/>
              </w:rPr>
              <w:t>Oddaja naročil za razvoj digitalnega turističnega portala</w:t>
            </w:r>
          </w:p>
        </w:tc>
      </w:tr>
      <w:tr w:rsidR="00154E32" w14:paraId="5012146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BB33035" w14:textId="77777777" w:rsidR="00154E32" w:rsidRDefault="00A43E04">
            <w:pPr>
              <w:pStyle w:val="P68B1DB1-Normal12"/>
              <w:jc w:val="center"/>
              <w:rPr>
                <w:noProof/>
              </w:rPr>
            </w:pPr>
            <w:r>
              <w:rPr>
                <w:noProof/>
              </w:rPr>
              <w:t>M2C2–7</w:t>
            </w:r>
          </w:p>
        </w:tc>
        <w:tc>
          <w:tcPr>
            <w:tcW w:w="3118" w:type="dxa"/>
            <w:tcBorders>
              <w:top w:val="nil"/>
              <w:left w:val="nil"/>
              <w:bottom w:val="single" w:sz="4" w:space="0" w:color="auto"/>
              <w:right w:val="single" w:sz="4" w:space="0" w:color="auto"/>
            </w:tcBorders>
            <w:shd w:val="clear" w:color="auto" w:fill="C6EFCE"/>
            <w:noWrap/>
            <w:vAlign w:val="center"/>
          </w:tcPr>
          <w:p w14:paraId="744D29DB" w14:textId="77777777" w:rsidR="00154E32" w:rsidRDefault="00A43E04">
            <w:pPr>
              <w:pStyle w:val="P68B1DB1-Normal12"/>
              <w:rPr>
                <w:noProof/>
              </w:rPr>
            </w:pPr>
            <w:r>
              <w:rPr>
                <w:noProof/>
              </w:rPr>
              <w:t>Reforma 2 Nova zakonodaja za spodbujanje proizvodnje in porabe obnovljivega plina</w:t>
            </w:r>
          </w:p>
        </w:tc>
        <w:tc>
          <w:tcPr>
            <w:tcW w:w="1418" w:type="dxa"/>
            <w:tcBorders>
              <w:top w:val="nil"/>
              <w:left w:val="nil"/>
              <w:bottom w:val="single" w:sz="4" w:space="0" w:color="auto"/>
              <w:right w:val="single" w:sz="4" w:space="0" w:color="auto"/>
            </w:tcBorders>
            <w:shd w:val="clear" w:color="auto" w:fill="C6EFCE"/>
            <w:noWrap/>
            <w:vAlign w:val="center"/>
          </w:tcPr>
          <w:p w14:paraId="4F4BB723" w14:textId="77777777" w:rsidR="00154E32" w:rsidRDefault="00A43E04">
            <w:pPr>
              <w:pStyle w:val="P68B1DB1-Normal12"/>
              <w:rPr>
                <w:noProof/>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26BD87DE" w14:textId="77777777" w:rsidR="00154E32" w:rsidRDefault="00A43E04">
            <w:pPr>
              <w:pStyle w:val="P68B1DB1-Normal12"/>
              <w:rPr>
                <w:noProof/>
              </w:rPr>
            </w:pPr>
            <w:r>
              <w:rPr>
                <w:noProof/>
              </w:rPr>
              <w:t>Začetek veljavnosti zakonske uredbe za spodbujanje uporabe obnovljivega plina za uporabo biometana v prometnem, industrijskem in stanovanjskem sektorju ter izvedbene uredbe, ki določa pogoje in merila v zvezi z njegovo uporabo in novim sistemom spodbud.</w:t>
            </w:r>
          </w:p>
        </w:tc>
      </w:tr>
      <w:tr w:rsidR="00154E32" w14:paraId="4C5D98E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0A6B66C" w14:textId="77777777" w:rsidR="00154E32" w:rsidRDefault="00A43E04">
            <w:pPr>
              <w:pStyle w:val="P68B1DB1-Normal12"/>
              <w:jc w:val="center"/>
              <w:rPr>
                <w:noProof/>
              </w:rPr>
            </w:pPr>
            <w:r>
              <w:rPr>
                <w:noProof/>
              </w:rPr>
              <w:t>M2C2–37</w:t>
            </w:r>
          </w:p>
        </w:tc>
        <w:tc>
          <w:tcPr>
            <w:tcW w:w="3118" w:type="dxa"/>
            <w:tcBorders>
              <w:top w:val="nil"/>
              <w:left w:val="nil"/>
              <w:bottom w:val="single" w:sz="4" w:space="0" w:color="auto"/>
              <w:right w:val="single" w:sz="4" w:space="0" w:color="auto"/>
            </w:tcBorders>
            <w:shd w:val="clear" w:color="auto" w:fill="C6EFCE"/>
            <w:noWrap/>
            <w:vAlign w:val="center"/>
          </w:tcPr>
          <w:p w14:paraId="76B12DBD" w14:textId="77777777" w:rsidR="00154E32" w:rsidRDefault="00A43E04">
            <w:pPr>
              <w:pStyle w:val="P68B1DB1-Normal12"/>
              <w:rPr>
                <w:noProof/>
              </w:rPr>
            </w:pPr>
            <w:r>
              <w:rPr>
                <w:noProof/>
              </w:rPr>
              <w:t>Reforma 5: Pametnejši postopki za ocenjevanje projektov v sektorju sistemov lokalnega javnega prevoza s fiksnimi napravami in v sektorju hitrega množičnega prometa</w:t>
            </w:r>
          </w:p>
        </w:tc>
        <w:tc>
          <w:tcPr>
            <w:tcW w:w="1418" w:type="dxa"/>
            <w:tcBorders>
              <w:top w:val="nil"/>
              <w:left w:val="nil"/>
              <w:bottom w:val="single" w:sz="4" w:space="0" w:color="auto"/>
              <w:right w:val="single" w:sz="4" w:space="0" w:color="auto"/>
            </w:tcBorders>
            <w:shd w:val="clear" w:color="auto" w:fill="C6EFCE"/>
            <w:noWrap/>
            <w:vAlign w:val="center"/>
          </w:tcPr>
          <w:p w14:paraId="0634AA11" w14:textId="77777777" w:rsidR="00154E32" w:rsidRDefault="00A43E04">
            <w:pPr>
              <w:pStyle w:val="P68B1DB1-Normal12"/>
              <w:rPr>
                <w:noProof/>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2D6D1223" w14:textId="77777777" w:rsidR="00154E32" w:rsidRDefault="00A43E04">
            <w:pPr>
              <w:pStyle w:val="P68B1DB1-Normal12"/>
              <w:rPr>
                <w:noProof/>
              </w:rPr>
            </w:pPr>
            <w:r>
              <w:rPr>
                <w:noProof/>
              </w:rPr>
              <w:t>Začetek veljavnosti zakonskega odloka</w:t>
            </w:r>
          </w:p>
        </w:tc>
      </w:tr>
      <w:tr w:rsidR="00154E32" w14:paraId="626803A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DBF23F1" w14:textId="77777777" w:rsidR="00154E32" w:rsidRDefault="00A43E04">
            <w:pPr>
              <w:pStyle w:val="P68B1DB1-Normal12"/>
              <w:jc w:val="center"/>
              <w:rPr>
                <w:noProof/>
              </w:rPr>
            </w:pPr>
            <w:r>
              <w:rPr>
                <w:noProof/>
              </w:rPr>
              <w:t>M2C2–41</w:t>
            </w:r>
          </w:p>
        </w:tc>
        <w:tc>
          <w:tcPr>
            <w:tcW w:w="3118" w:type="dxa"/>
            <w:tcBorders>
              <w:top w:val="nil"/>
              <w:left w:val="nil"/>
              <w:bottom w:val="single" w:sz="4" w:space="0" w:color="auto"/>
              <w:right w:val="single" w:sz="4" w:space="0" w:color="auto"/>
            </w:tcBorders>
            <w:shd w:val="clear" w:color="auto" w:fill="C6EFCE"/>
            <w:noWrap/>
            <w:vAlign w:val="center"/>
          </w:tcPr>
          <w:p w14:paraId="68D2A878" w14:textId="77777777" w:rsidR="00154E32" w:rsidRDefault="00A43E04">
            <w:pPr>
              <w:pStyle w:val="P68B1DB1-Normal12"/>
              <w:rPr>
                <w:noProof/>
              </w:rPr>
            </w:pPr>
            <w:r>
              <w:rPr>
                <w:noProof/>
              </w:rPr>
              <w:t>Naložba 5.3: Električni avtobusi</w:t>
            </w:r>
          </w:p>
        </w:tc>
        <w:tc>
          <w:tcPr>
            <w:tcW w:w="1418" w:type="dxa"/>
            <w:tcBorders>
              <w:top w:val="nil"/>
              <w:left w:val="nil"/>
              <w:bottom w:val="single" w:sz="4" w:space="0" w:color="auto"/>
              <w:right w:val="single" w:sz="4" w:space="0" w:color="auto"/>
            </w:tcBorders>
            <w:shd w:val="clear" w:color="auto" w:fill="C6EFCE"/>
            <w:noWrap/>
            <w:vAlign w:val="center"/>
          </w:tcPr>
          <w:p w14:paraId="7495EE37" w14:textId="77777777" w:rsidR="00154E32" w:rsidRDefault="00A43E04">
            <w:pPr>
              <w:pStyle w:val="P68B1DB1-Normal12"/>
              <w:rPr>
                <w:noProof/>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36E0A007" w14:textId="77777777" w:rsidR="00154E32" w:rsidRDefault="00A43E04">
            <w:pPr>
              <w:pStyle w:val="P68B1DB1-Normal12"/>
              <w:rPr>
                <w:noProof/>
              </w:rPr>
            </w:pPr>
            <w:r>
              <w:rPr>
                <w:noProof/>
              </w:rPr>
              <w:t>Začetek veljavnosti ministrskega odloka, ki določa znesek razpoložljivih sredstev za dosego namena intervencije (dobavna veriga)</w:t>
            </w:r>
          </w:p>
        </w:tc>
      </w:tr>
      <w:tr w:rsidR="00154E32" w14:paraId="66946D2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B6233EE" w14:textId="77777777" w:rsidR="00154E32" w:rsidRDefault="00A43E04">
            <w:pPr>
              <w:pStyle w:val="P68B1DB1-Normal12"/>
              <w:jc w:val="center"/>
              <w:rPr>
                <w:noProof/>
              </w:rPr>
            </w:pPr>
            <w:r>
              <w:rPr>
                <w:noProof/>
              </w:rPr>
              <w:t>M2C3–1</w:t>
            </w:r>
          </w:p>
        </w:tc>
        <w:tc>
          <w:tcPr>
            <w:tcW w:w="3118" w:type="dxa"/>
            <w:tcBorders>
              <w:top w:val="nil"/>
              <w:left w:val="nil"/>
              <w:bottom w:val="single" w:sz="4" w:space="0" w:color="auto"/>
              <w:right w:val="single" w:sz="4" w:space="0" w:color="auto"/>
            </w:tcBorders>
            <w:shd w:val="clear" w:color="auto" w:fill="C6EFCE"/>
            <w:noWrap/>
            <w:vAlign w:val="center"/>
          </w:tcPr>
          <w:p w14:paraId="116F05C2" w14:textId="77777777" w:rsidR="00154E32" w:rsidRDefault="00A43E04">
            <w:pPr>
              <w:pStyle w:val="P68B1DB1-Normal12"/>
              <w:rPr>
                <w:noProof/>
              </w:rPr>
            </w:pPr>
            <w:r>
              <w:rPr>
                <w:noProof/>
              </w:rPr>
              <w:t xml:space="preserve">Naložba 2.1 – Krepitev ekobonusa za energetsko učinkovitost </w:t>
            </w:r>
          </w:p>
        </w:tc>
        <w:tc>
          <w:tcPr>
            <w:tcW w:w="1418" w:type="dxa"/>
            <w:tcBorders>
              <w:top w:val="nil"/>
              <w:left w:val="nil"/>
              <w:bottom w:val="single" w:sz="4" w:space="0" w:color="auto"/>
              <w:right w:val="single" w:sz="4" w:space="0" w:color="auto"/>
            </w:tcBorders>
            <w:shd w:val="clear" w:color="auto" w:fill="C6EFCE"/>
            <w:noWrap/>
            <w:vAlign w:val="center"/>
          </w:tcPr>
          <w:p w14:paraId="6B3CA436" w14:textId="77777777" w:rsidR="00154E32" w:rsidRDefault="00A43E04">
            <w:pPr>
              <w:pStyle w:val="P68B1DB1-Normal12"/>
              <w:rPr>
                <w:noProof/>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1074A96D" w14:textId="77777777" w:rsidR="00154E32" w:rsidRDefault="00A43E04">
            <w:pPr>
              <w:pStyle w:val="P68B1DB1-Normal12"/>
              <w:rPr>
                <w:noProof/>
              </w:rPr>
            </w:pPr>
            <w:r>
              <w:rPr>
                <w:noProof/>
              </w:rPr>
              <w:t xml:space="preserve">Začetek veljavnosti razširitve Superbonusa  </w:t>
            </w:r>
          </w:p>
        </w:tc>
      </w:tr>
      <w:tr w:rsidR="00154E32" w14:paraId="14BAADB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72D2220" w14:textId="77777777" w:rsidR="00154E32" w:rsidRDefault="00A43E04">
            <w:pPr>
              <w:pStyle w:val="P68B1DB1-Normal12"/>
              <w:jc w:val="center"/>
              <w:rPr>
                <w:noProof/>
              </w:rPr>
            </w:pPr>
            <w:r>
              <w:rPr>
                <w:noProof/>
              </w:rPr>
              <w:t>M2C4–3</w:t>
            </w:r>
          </w:p>
        </w:tc>
        <w:tc>
          <w:tcPr>
            <w:tcW w:w="3118" w:type="dxa"/>
            <w:tcBorders>
              <w:top w:val="nil"/>
              <w:left w:val="nil"/>
              <w:bottom w:val="single" w:sz="4" w:space="0" w:color="auto"/>
              <w:right w:val="single" w:sz="4" w:space="0" w:color="auto"/>
            </w:tcBorders>
            <w:shd w:val="clear" w:color="auto" w:fill="C6EFCE"/>
            <w:noWrap/>
            <w:vAlign w:val="center"/>
          </w:tcPr>
          <w:p w14:paraId="49830A1B" w14:textId="77777777" w:rsidR="00154E32" w:rsidRDefault="00A43E04">
            <w:pPr>
              <w:pStyle w:val="P68B1DB1-Normal12"/>
              <w:rPr>
                <w:noProof/>
              </w:rPr>
            </w:pPr>
            <w:r>
              <w:rPr>
                <w:noProof/>
              </w:rPr>
              <w:t>Reforma 4.2 „Ukrepi za zagotovitev popolnih upravljavskih zmogljivosti za integrirane storitve v zvezi z vodo“</w:t>
            </w:r>
          </w:p>
        </w:tc>
        <w:tc>
          <w:tcPr>
            <w:tcW w:w="1418" w:type="dxa"/>
            <w:tcBorders>
              <w:top w:val="nil"/>
              <w:left w:val="nil"/>
              <w:bottom w:val="single" w:sz="4" w:space="0" w:color="auto"/>
              <w:right w:val="single" w:sz="4" w:space="0" w:color="auto"/>
            </w:tcBorders>
            <w:shd w:val="clear" w:color="auto" w:fill="C6EFCE"/>
            <w:noWrap/>
            <w:vAlign w:val="center"/>
          </w:tcPr>
          <w:p w14:paraId="4327778A" w14:textId="77777777" w:rsidR="00154E32" w:rsidRDefault="00A43E04">
            <w:pPr>
              <w:pStyle w:val="P68B1DB1-Normal12"/>
              <w:rPr>
                <w:noProof/>
                <w:color w:val="006600"/>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5C21B8C8" w14:textId="77777777" w:rsidR="00154E32" w:rsidRDefault="00A43E04">
            <w:pPr>
              <w:pStyle w:val="P68B1DB1-Normal12"/>
              <w:rPr>
                <w:noProof/>
                <w:color w:val="006600"/>
              </w:rPr>
            </w:pPr>
            <w:r>
              <w:rPr>
                <w:noProof/>
              </w:rPr>
              <w:t>Reforma pravnega okvira za boljše upravljanje in trajnostno rabo vode</w:t>
            </w:r>
          </w:p>
        </w:tc>
      </w:tr>
      <w:tr w:rsidR="00154E32" w14:paraId="6DE04D8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8A7363F" w14:textId="77777777" w:rsidR="00154E32" w:rsidRDefault="00A43E04">
            <w:pPr>
              <w:pStyle w:val="P68B1DB1-Normal12"/>
              <w:jc w:val="center"/>
              <w:rPr>
                <w:noProof/>
              </w:rPr>
            </w:pPr>
            <w:r>
              <w:rPr>
                <w:noProof/>
              </w:rPr>
              <w:t xml:space="preserve">M3C2–3 </w:t>
            </w:r>
          </w:p>
        </w:tc>
        <w:tc>
          <w:tcPr>
            <w:tcW w:w="3118" w:type="dxa"/>
            <w:tcBorders>
              <w:top w:val="nil"/>
              <w:left w:val="nil"/>
              <w:bottom w:val="single" w:sz="4" w:space="0" w:color="auto"/>
              <w:right w:val="single" w:sz="4" w:space="0" w:color="auto"/>
            </w:tcBorders>
            <w:shd w:val="clear" w:color="auto" w:fill="C6EFCE"/>
            <w:noWrap/>
            <w:vAlign w:val="center"/>
          </w:tcPr>
          <w:p w14:paraId="21D8F6E4" w14:textId="77777777" w:rsidR="00154E32" w:rsidRDefault="00A43E04">
            <w:pPr>
              <w:pStyle w:val="P68B1DB1-Normal12"/>
              <w:rPr>
                <w:noProof/>
              </w:rPr>
            </w:pPr>
            <w:r>
              <w:rPr>
                <w:noProof/>
              </w:rPr>
              <w:t>Reforma 2.1 – Izvajanje enotnega carinskega okenca („Sportello Unico Doganale“) </w:t>
            </w:r>
          </w:p>
        </w:tc>
        <w:tc>
          <w:tcPr>
            <w:tcW w:w="1418" w:type="dxa"/>
            <w:tcBorders>
              <w:top w:val="nil"/>
              <w:left w:val="nil"/>
              <w:bottom w:val="single" w:sz="4" w:space="0" w:color="auto"/>
              <w:right w:val="single" w:sz="4" w:space="0" w:color="auto"/>
            </w:tcBorders>
            <w:shd w:val="clear" w:color="auto" w:fill="C6EFCE"/>
            <w:noWrap/>
            <w:vAlign w:val="center"/>
          </w:tcPr>
          <w:p w14:paraId="1B8440CD" w14:textId="77777777" w:rsidR="00154E32" w:rsidRDefault="00A43E04">
            <w:pPr>
              <w:pStyle w:val="P68B1DB1-Normal12"/>
              <w:rPr>
                <w:noProof/>
                <w:color w:val="006600"/>
              </w:rPr>
            </w:pPr>
            <w:r>
              <w:rPr>
                <w:noProof/>
              </w:rPr>
              <w:t>Mejnik </w:t>
            </w:r>
          </w:p>
        </w:tc>
        <w:tc>
          <w:tcPr>
            <w:tcW w:w="3714" w:type="dxa"/>
            <w:tcBorders>
              <w:top w:val="nil"/>
              <w:left w:val="nil"/>
              <w:bottom w:val="single" w:sz="4" w:space="0" w:color="auto"/>
              <w:right w:val="single" w:sz="4" w:space="0" w:color="auto"/>
            </w:tcBorders>
            <w:shd w:val="clear" w:color="auto" w:fill="C6EFCE"/>
            <w:noWrap/>
            <w:vAlign w:val="center"/>
          </w:tcPr>
          <w:p w14:paraId="3BB6C640" w14:textId="77777777" w:rsidR="00154E32" w:rsidRDefault="00A43E04">
            <w:pPr>
              <w:pStyle w:val="P68B1DB1-Normal12"/>
              <w:rPr>
                <w:noProof/>
                <w:color w:val="006600"/>
              </w:rPr>
            </w:pPr>
            <w:r>
              <w:rPr>
                <w:noProof/>
              </w:rPr>
              <w:t>Začetek veljavnosti Uredbe o enotnem carinskem centru (Sportello Unico Doganale) </w:t>
            </w:r>
          </w:p>
        </w:tc>
      </w:tr>
      <w:tr w:rsidR="00154E32" w14:paraId="2711B93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10C254A" w14:textId="77777777" w:rsidR="00154E32" w:rsidRDefault="00A43E04">
            <w:pPr>
              <w:pStyle w:val="P68B1DB1-Normal12"/>
              <w:jc w:val="center"/>
              <w:rPr>
                <w:noProof/>
              </w:rPr>
            </w:pPr>
            <w:r>
              <w:rPr>
                <w:noProof/>
              </w:rPr>
              <w:t>M4C1–1</w:t>
            </w:r>
          </w:p>
        </w:tc>
        <w:tc>
          <w:tcPr>
            <w:tcW w:w="3118" w:type="dxa"/>
            <w:tcBorders>
              <w:top w:val="nil"/>
              <w:left w:val="nil"/>
              <w:bottom w:val="single" w:sz="4" w:space="0" w:color="auto"/>
              <w:right w:val="single" w:sz="4" w:space="0" w:color="auto"/>
            </w:tcBorders>
            <w:shd w:val="clear" w:color="auto" w:fill="C6EFCE"/>
            <w:noWrap/>
            <w:vAlign w:val="center"/>
          </w:tcPr>
          <w:p w14:paraId="59FF6684" w14:textId="77777777" w:rsidR="00154E32" w:rsidRDefault="00A43E04">
            <w:pPr>
              <w:pStyle w:val="P68B1DB1-Normal12"/>
              <w:rPr>
                <w:noProof/>
              </w:rPr>
            </w:pPr>
            <w:r>
              <w:rPr>
                <w:noProof/>
              </w:rPr>
              <w:t>Reforma 1.5: Reforma skupin univerzitetnih diplom; Reforma 1.6: Omogočanje reforme univerzitetnih diplom; Reforma 4.1: Doktoratska reforma programov</w:t>
            </w:r>
          </w:p>
        </w:tc>
        <w:tc>
          <w:tcPr>
            <w:tcW w:w="1418" w:type="dxa"/>
            <w:tcBorders>
              <w:top w:val="nil"/>
              <w:left w:val="nil"/>
              <w:bottom w:val="single" w:sz="4" w:space="0" w:color="auto"/>
              <w:right w:val="single" w:sz="4" w:space="0" w:color="auto"/>
            </w:tcBorders>
            <w:shd w:val="clear" w:color="auto" w:fill="C6EFCE"/>
            <w:noWrap/>
            <w:vAlign w:val="center"/>
          </w:tcPr>
          <w:p w14:paraId="360CBF9A" w14:textId="77777777" w:rsidR="00154E32" w:rsidRDefault="00A43E04">
            <w:pPr>
              <w:pStyle w:val="P68B1DB1-Normal12"/>
              <w:rPr>
                <w:noProof/>
                <w:color w:val="006600"/>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221F5522" w14:textId="77777777" w:rsidR="00154E32" w:rsidRDefault="00A43E04">
            <w:pPr>
              <w:pStyle w:val="P68B1DB1-Normal12"/>
              <w:rPr>
                <w:noProof/>
                <w:color w:val="006600"/>
              </w:rPr>
            </w:pPr>
            <w:r>
              <w:rPr>
                <w:noProof/>
              </w:rPr>
              <w:t>Začetek veljavnosti reform sistema terciarnega izobraževanja za izboljšanje rezultatov izobraževanja (primarna zakonodaja) o: a) omogočanje univerzitetnih diplom; b) skupine univerzitetnih diplom; C) reforma doktorskih programov</w:t>
            </w:r>
          </w:p>
        </w:tc>
      </w:tr>
      <w:tr w:rsidR="00154E32" w14:paraId="563298C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DFA5D59" w14:textId="77777777" w:rsidR="00154E32" w:rsidRDefault="00A43E04">
            <w:pPr>
              <w:pStyle w:val="P68B1DB1-Normal12"/>
              <w:jc w:val="center"/>
              <w:rPr>
                <w:noProof/>
              </w:rPr>
            </w:pPr>
            <w:r>
              <w:rPr>
                <w:noProof/>
              </w:rPr>
              <w:t>M4C1–2</w:t>
            </w:r>
          </w:p>
        </w:tc>
        <w:tc>
          <w:tcPr>
            <w:tcW w:w="3118" w:type="dxa"/>
            <w:tcBorders>
              <w:top w:val="nil"/>
              <w:left w:val="nil"/>
              <w:bottom w:val="single" w:sz="4" w:space="0" w:color="auto"/>
              <w:right w:val="single" w:sz="4" w:space="0" w:color="auto"/>
            </w:tcBorders>
            <w:shd w:val="clear" w:color="auto" w:fill="C6EFCE"/>
            <w:noWrap/>
            <w:vAlign w:val="center"/>
          </w:tcPr>
          <w:p w14:paraId="38DC034A" w14:textId="77777777" w:rsidR="00154E32" w:rsidRDefault="00A43E04">
            <w:pPr>
              <w:pStyle w:val="P68B1DB1-Normal12"/>
              <w:rPr>
                <w:noProof/>
              </w:rPr>
            </w:pPr>
            <w:r>
              <w:rPr>
                <w:noProof/>
              </w:rPr>
              <w:t>Naložba 1.7: Štipendije za dostop do univerz</w:t>
            </w:r>
          </w:p>
        </w:tc>
        <w:tc>
          <w:tcPr>
            <w:tcW w:w="1418" w:type="dxa"/>
            <w:tcBorders>
              <w:top w:val="nil"/>
              <w:left w:val="nil"/>
              <w:bottom w:val="single" w:sz="4" w:space="0" w:color="auto"/>
              <w:right w:val="single" w:sz="4" w:space="0" w:color="auto"/>
            </w:tcBorders>
            <w:shd w:val="clear" w:color="auto" w:fill="C6EFCE"/>
            <w:noWrap/>
            <w:vAlign w:val="center"/>
          </w:tcPr>
          <w:p w14:paraId="6B76ED58" w14:textId="77777777" w:rsidR="00154E32" w:rsidRDefault="00A43E04">
            <w:pPr>
              <w:pStyle w:val="P68B1DB1-Normal12"/>
              <w:rPr>
                <w:noProof/>
                <w:color w:val="006600"/>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4C7C4367" w14:textId="77777777" w:rsidR="00154E32" w:rsidRDefault="00A43E04">
            <w:pPr>
              <w:pStyle w:val="P68B1DB1-Normal12"/>
              <w:rPr>
                <w:noProof/>
                <w:color w:val="006600"/>
              </w:rPr>
            </w:pPr>
            <w:r>
              <w:rPr>
                <w:noProof/>
              </w:rPr>
              <w:t>Začetek veljavnosti ministrskih odlokov za reformo štipendij za izboljšanje dostopa do terciarnega izobraževanja</w:t>
            </w:r>
          </w:p>
        </w:tc>
      </w:tr>
      <w:tr w:rsidR="00154E32" w14:paraId="2D1B115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E1B6294" w14:textId="77777777" w:rsidR="00154E32" w:rsidRDefault="00A43E04">
            <w:pPr>
              <w:pStyle w:val="P68B1DB1-Normal12"/>
              <w:jc w:val="center"/>
              <w:rPr>
                <w:noProof/>
              </w:rPr>
            </w:pPr>
            <w:r>
              <w:rPr>
                <w:noProof/>
              </w:rPr>
              <w:t xml:space="preserve">M5C1–1 </w:t>
            </w:r>
          </w:p>
        </w:tc>
        <w:tc>
          <w:tcPr>
            <w:tcW w:w="3118" w:type="dxa"/>
            <w:tcBorders>
              <w:top w:val="nil"/>
              <w:left w:val="nil"/>
              <w:bottom w:val="single" w:sz="4" w:space="0" w:color="auto"/>
              <w:right w:val="single" w:sz="4" w:space="0" w:color="auto"/>
            </w:tcBorders>
            <w:shd w:val="clear" w:color="auto" w:fill="C6EFCE"/>
            <w:noWrap/>
            <w:vAlign w:val="center"/>
          </w:tcPr>
          <w:p w14:paraId="2BA1BDA1" w14:textId="77777777" w:rsidR="00154E32" w:rsidRDefault="00A43E04">
            <w:pPr>
              <w:pStyle w:val="P68B1DB1-Normal12"/>
              <w:rPr>
                <w:noProof/>
              </w:rPr>
            </w:pPr>
            <w:r>
              <w:rPr>
                <w:noProof/>
              </w:rPr>
              <w:t>Reforma 1 – aktivne politike trga dela in poklicno usposabljanje</w:t>
            </w:r>
          </w:p>
        </w:tc>
        <w:tc>
          <w:tcPr>
            <w:tcW w:w="1418" w:type="dxa"/>
            <w:tcBorders>
              <w:top w:val="nil"/>
              <w:left w:val="nil"/>
              <w:bottom w:val="single" w:sz="4" w:space="0" w:color="auto"/>
              <w:right w:val="single" w:sz="4" w:space="0" w:color="auto"/>
            </w:tcBorders>
            <w:shd w:val="clear" w:color="auto" w:fill="C6EFCE"/>
            <w:noWrap/>
            <w:vAlign w:val="center"/>
          </w:tcPr>
          <w:p w14:paraId="76F498AF" w14:textId="77777777" w:rsidR="00154E32" w:rsidRDefault="00A43E04">
            <w:pPr>
              <w:pStyle w:val="P68B1DB1-Normal12"/>
              <w:rPr>
                <w:noProof/>
                <w:color w:val="006600"/>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2092718E" w14:textId="77777777" w:rsidR="00154E32" w:rsidRDefault="00A43E04">
            <w:pPr>
              <w:pStyle w:val="P68B1DB1-Normal12"/>
              <w:rPr>
                <w:noProof/>
                <w:color w:val="006600"/>
              </w:rPr>
            </w:pPr>
            <w:r>
              <w:rPr>
                <w:noProof/>
              </w:rPr>
              <w:t>Začetek veljavnosti medresorskega odloka o vzpostavitvi nacionalnega programa za zajamčeno zaposljivost delavcev (GOL) in medministrske uredbe o nacionalnem načrtu za nova znanja in spretnosti</w:t>
            </w:r>
          </w:p>
        </w:tc>
      </w:tr>
      <w:tr w:rsidR="00154E32" w14:paraId="192BEC6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2758F74" w14:textId="77777777" w:rsidR="00154E32" w:rsidRDefault="00A43E04">
            <w:pPr>
              <w:pStyle w:val="P68B1DB1-Normal12"/>
              <w:jc w:val="center"/>
              <w:rPr>
                <w:noProof/>
              </w:rPr>
            </w:pPr>
            <w:r>
              <w:rPr>
                <w:noProof/>
              </w:rPr>
              <w:t>M5C2–1</w:t>
            </w:r>
          </w:p>
        </w:tc>
        <w:tc>
          <w:tcPr>
            <w:tcW w:w="3118" w:type="dxa"/>
            <w:tcBorders>
              <w:top w:val="nil"/>
              <w:left w:val="nil"/>
              <w:bottom w:val="single" w:sz="4" w:space="0" w:color="auto"/>
              <w:right w:val="single" w:sz="4" w:space="0" w:color="auto"/>
            </w:tcBorders>
            <w:shd w:val="clear" w:color="auto" w:fill="C6EFCE"/>
            <w:noWrap/>
            <w:vAlign w:val="center"/>
          </w:tcPr>
          <w:p w14:paraId="730CFBE0" w14:textId="77777777" w:rsidR="00154E32" w:rsidRDefault="00A43E04">
            <w:pPr>
              <w:pStyle w:val="P68B1DB1-Normal12"/>
              <w:rPr>
                <w:noProof/>
              </w:rPr>
            </w:pPr>
            <w:r>
              <w:rPr>
                <w:noProof/>
              </w:rPr>
              <w:t>Reforma 1 – Okvirni zakon o invalidnosti</w:t>
            </w:r>
          </w:p>
        </w:tc>
        <w:tc>
          <w:tcPr>
            <w:tcW w:w="1418" w:type="dxa"/>
            <w:tcBorders>
              <w:top w:val="nil"/>
              <w:left w:val="nil"/>
              <w:bottom w:val="single" w:sz="4" w:space="0" w:color="auto"/>
              <w:right w:val="single" w:sz="4" w:space="0" w:color="auto"/>
            </w:tcBorders>
            <w:shd w:val="clear" w:color="auto" w:fill="C6EFCE"/>
            <w:noWrap/>
            <w:vAlign w:val="center"/>
          </w:tcPr>
          <w:p w14:paraId="5427BD0F" w14:textId="77777777" w:rsidR="00154E32" w:rsidRDefault="00A43E04">
            <w:pPr>
              <w:pStyle w:val="P68B1DB1-Normal12"/>
              <w:rPr>
                <w:noProof/>
                <w:color w:val="006600"/>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138CBC99" w14:textId="77777777" w:rsidR="00154E32" w:rsidRDefault="00A43E04">
            <w:pPr>
              <w:pStyle w:val="P68B1DB1-Normal12"/>
              <w:rPr>
                <w:noProof/>
                <w:color w:val="006600"/>
              </w:rPr>
            </w:pPr>
            <w:r>
              <w:rPr>
                <w:noProof/>
              </w:rPr>
              <w:t>Začetek veljavnosti okvirnega zakona za krepitev avtonomije invalidov.</w:t>
            </w:r>
          </w:p>
        </w:tc>
      </w:tr>
      <w:tr w:rsidR="00154E32" w14:paraId="50B715B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5184B49" w14:textId="77777777" w:rsidR="00154E32" w:rsidRDefault="00A43E04">
            <w:pPr>
              <w:pStyle w:val="P68B1DB1-Normal12"/>
              <w:jc w:val="center"/>
              <w:rPr>
                <w:noProof/>
              </w:rPr>
            </w:pPr>
            <w:r>
              <w:rPr>
                <w:noProof/>
              </w:rPr>
              <w:t>M5C2–5</w:t>
            </w:r>
          </w:p>
        </w:tc>
        <w:tc>
          <w:tcPr>
            <w:tcW w:w="3118" w:type="dxa"/>
            <w:tcBorders>
              <w:top w:val="nil"/>
              <w:left w:val="nil"/>
              <w:bottom w:val="single" w:sz="4" w:space="0" w:color="auto"/>
              <w:right w:val="single" w:sz="4" w:space="0" w:color="auto"/>
            </w:tcBorders>
            <w:shd w:val="clear" w:color="auto" w:fill="C6EFCE"/>
            <w:noWrap/>
            <w:vAlign w:val="center"/>
          </w:tcPr>
          <w:p w14:paraId="500D07A2" w14:textId="77777777" w:rsidR="00154E32" w:rsidRDefault="00A43E04">
            <w:pPr>
              <w:pStyle w:val="P68B1DB1-Normal12"/>
              <w:rPr>
                <w:noProof/>
              </w:rPr>
            </w:pPr>
            <w:r>
              <w:rPr>
                <w:noProof/>
              </w:rPr>
              <w:t>Naložba 1 – Podpora ranljivim osebam in preprečevanje institucionalizacije</w:t>
            </w:r>
          </w:p>
        </w:tc>
        <w:tc>
          <w:tcPr>
            <w:tcW w:w="1418" w:type="dxa"/>
            <w:tcBorders>
              <w:top w:val="nil"/>
              <w:left w:val="nil"/>
              <w:bottom w:val="single" w:sz="4" w:space="0" w:color="auto"/>
              <w:right w:val="single" w:sz="4" w:space="0" w:color="auto"/>
            </w:tcBorders>
            <w:shd w:val="clear" w:color="auto" w:fill="C6EFCE"/>
            <w:noWrap/>
            <w:vAlign w:val="center"/>
          </w:tcPr>
          <w:p w14:paraId="1EEAC312" w14:textId="77777777" w:rsidR="00154E32" w:rsidRDefault="00A43E04">
            <w:pPr>
              <w:pStyle w:val="P68B1DB1-Normal12"/>
              <w:rPr>
                <w:noProof/>
                <w:color w:val="006600"/>
              </w:rPr>
            </w:pPr>
            <w:r>
              <w:rPr>
                <w:noProof/>
              </w:rPr>
              <w:t>Mejnik</w:t>
            </w:r>
          </w:p>
        </w:tc>
        <w:tc>
          <w:tcPr>
            <w:tcW w:w="3714" w:type="dxa"/>
            <w:tcBorders>
              <w:top w:val="nil"/>
              <w:left w:val="nil"/>
              <w:bottom w:val="single" w:sz="4" w:space="0" w:color="auto"/>
              <w:right w:val="single" w:sz="4" w:space="0" w:color="auto"/>
            </w:tcBorders>
            <w:shd w:val="clear" w:color="auto" w:fill="C6EFCE"/>
            <w:noWrap/>
            <w:vAlign w:val="center"/>
          </w:tcPr>
          <w:p w14:paraId="2F4A4EA0" w14:textId="77777777" w:rsidR="00154E32" w:rsidRDefault="00A43E04">
            <w:pPr>
              <w:pStyle w:val="P68B1DB1-Normal12"/>
              <w:rPr>
                <w:noProof/>
                <w:color w:val="006600"/>
              </w:rPr>
            </w:pPr>
            <w:r>
              <w:rPr>
                <w:noProof/>
              </w:rPr>
              <w:t>Začetek veljavnosti operativnega načrta</w:t>
            </w:r>
          </w:p>
        </w:tc>
      </w:tr>
      <w:tr w:rsidR="00154E32" w14:paraId="7AC6A1EE"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1AC99D53" w14:textId="77777777" w:rsidR="00154E32" w:rsidRDefault="00154E32">
            <w:pPr>
              <w:jc w:val="center"/>
              <w:rPr>
                <w:noProof/>
                <w:color w:val="006100"/>
                <w:sz w:val="20"/>
              </w:rPr>
            </w:pPr>
          </w:p>
        </w:tc>
        <w:tc>
          <w:tcPr>
            <w:tcW w:w="3118" w:type="dxa"/>
            <w:tcBorders>
              <w:top w:val="single" w:sz="4" w:space="0" w:color="auto"/>
              <w:left w:val="nil"/>
              <w:bottom w:val="single" w:sz="4" w:space="0" w:color="auto"/>
              <w:right w:val="single" w:sz="4" w:space="0" w:color="auto"/>
            </w:tcBorders>
            <w:shd w:val="clear" w:color="auto" w:fill="C6EFCE"/>
            <w:noWrap/>
            <w:vAlign w:val="bottom"/>
          </w:tcPr>
          <w:p w14:paraId="43A52C54" w14:textId="77777777" w:rsidR="00154E32" w:rsidRDefault="00154E32">
            <w:pPr>
              <w:rPr>
                <w:noProof/>
                <w:color w:val="006100"/>
                <w:sz w:val="20"/>
              </w:rPr>
            </w:pPr>
          </w:p>
        </w:tc>
        <w:tc>
          <w:tcPr>
            <w:tcW w:w="1418" w:type="dxa"/>
            <w:tcBorders>
              <w:top w:val="single" w:sz="4" w:space="0" w:color="auto"/>
              <w:left w:val="nil"/>
              <w:bottom w:val="single" w:sz="4" w:space="0" w:color="auto"/>
              <w:right w:val="single" w:sz="4" w:space="0" w:color="auto"/>
            </w:tcBorders>
            <w:shd w:val="clear" w:color="auto" w:fill="C6EFCE"/>
            <w:noWrap/>
            <w:vAlign w:val="bottom"/>
          </w:tcPr>
          <w:p w14:paraId="32A26EAE" w14:textId="77777777" w:rsidR="00154E32" w:rsidRDefault="00A43E04">
            <w:pPr>
              <w:pStyle w:val="P68B1DB1-Normal12"/>
              <w:rPr>
                <w:noProof/>
              </w:rPr>
            </w:pPr>
            <w:r>
              <w:rPr>
                <w:noProof/>
              </w:rPr>
              <w:t>Znesek obroka</w:t>
            </w:r>
          </w:p>
        </w:tc>
        <w:tc>
          <w:tcPr>
            <w:tcW w:w="3714" w:type="dxa"/>
            <w:tcBorders>
              <w:top w:val="single" w:sz="4" w:space="0" w:color="auto"/>
              <w:left w:val="nil"/>
              <w:bottom w:val="single" w:sz="4" w:space="0" w:color="auto"/>
              <w:right w:val="single" w:sz="4" w:space="0" w:color="auto"/>
            </w:tcBorders>
            <w:shd w:val="clear" w:color="auto" w:fill="C6EFCE"/>
            <w:noWrap/>
            <w:vAlign w:val="bottom"/>
          </w:tcPr>
          <w:p w14:paraId="1C7CCCB9" w14:textId="3FE8F320" w:rsidR="00154E32" w:rsidRDefault="00A43E04">
            <w:pPr>
              <w:pStyle w:val="P68B1DB1-Normal46"/>
              <w:rPr>
                <w:noProof/>
              </w:rPr>
            </w:pPr>
            <w:r>
              <w:rPr>
                <w:noProof/>
              </w:rPr>
              <w:t>11</w:t>
            </w:r>
            <w:r>
              <w:rPr>
                <w:noProof/>
              </w:rPr>
              <w:t> </w:t>
            </w:r>
            <w:r>
              <w:rPr>
                <w:noProof/>
              </w:rPr>
              <w:t>494</w:t>
            </w:r>
            <w:r>
              <w:rPr>
                <w:noProof/>
              </w:rPr>
              <w:t> </w:t>
            </w:r>
            <w:r>
              <w:rPr>
                <w:noProof/>
              </w:rPr>
              <w:t>252</w:t>
            </w:r>
            <w:r>
              <w:rPr>
                <w:noProof/>
              </w:rPr>
              <w:t> </w:t>
            </w:r>
            <w:r>
              <w:rPr>
                <w:noProof/>
              </w:rPr>
              <w:t>874</w:t>
            </w:r>
            <w:r>
              <w:rPr>
                <w:noProof/>
              </w:rPr>
              <w:t> </w:t>
            </w:r>
            <w:r>
              <w:rPr>
                <w:noProof/>
              </w:rPr>
              <w:t xml:space="preserve">EUR   </w:t>
            </w:r>
          </w:p>
        </w:tc>
      </w:tr>
    </w:tbl>
    <w:p w14:paraId="00AFF423" w14:textId="77777777" w:rsidR="00154E32" w:rsidRDefault="00154E32">
      <w:pPr>
        <w:spacing w:before="120" w:after="120"/>
        <w:ind w:left="850"/>
        <w:jc w:val="both"/>
        <w:rPr>
          <w:rFonts w:eastAsia="Calibri"/>
          <w:noProof/>
        </w:rPr>
      </w:pPr>
    </w:p>
    <w:p w14:paraId="7AD70CCD" w14:textId="6D9EDEA5" w:rsidR="00154E32" w:rsidRDefault="00A43E04">
      <w:pPr>
        <w:pStyle w:val="P68B1DB1-Normal44"/>
        <w:numPr>
          <w:ilvl w:val="1"/>
          <w:numId w:val="6"/>
        </w:numPr>
        <w:spacing w:before="120" w:after="120"/>
        <w:jc w:val="both"/>
        <w:rPr>
          <w:noProof/>
        </w:rPr>
      </w:pPr>
      <w:r>
        <w:rPr>
          <w:noProof/>
        </w:rPr>
        <w:t>Drugi obrok (nepovratna podpora):</w:t>
      </w:r>
    </w:p>
    <w:tbl>
      <w:tblPr>
        <w:tblW w:w="9692" w:type="dxa"/>
        <w:tblInd w:w="113" w:type="dxa"/>
        <w:tblLook w:val="04A0" w:firstRow="1" w:lastRow="0" w:firstColumn="1" w:lastColumn="0" w:noHBand="0" w:noVBand="1"/>
      </w:tblPr>
      <w:tblGrid>
        <w:gridCol w:w="1413"/>
        <w:gridCol w:w="3118"/>
        <w:gridCol w:w="1418"/>
        <w:gridCol w:w="3743"/>
      </w:tblGrid>
      <w:tr w:rsidR="00154E32" w14:paraId="3835E099" w14:textId="77777777">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F3E3F36" w14:textId="77777777" w:rsidR="00154E32" w:rsidRDefault="00A43E04">
            <w:pPr>
              <w:pStyle w:val="P68B1DB1-Normal45"/>
              <w:jc w:val="center"/>
              <w:rPr>
                <w:noProof/>
              </w:rPr>
            </w:pPr>
            <w:r>
              <w:rPr>
                <w:noProof/>
              </w:rPr>
              <w:t>Zaporedna številka</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20BDCD9" w14:textId="77777777" w:rsidR="00154E32" w:rsidRDefault="00A43E04">
            <w:pPr>
              <w:pStyle w:val="P68B1DB1-Normal45"/>
              <w:jc w:val="center"/>
              <w:rPr>
                <w:noProof/>
              </w:rPr>
            </w:pPr>
            <w:r>
              <w:rPr>
                <w:noProof/>
              </w:rPr>
              <w:t>Povezani ukrep (reforma ali naložba)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C244FB1" w14:textId="77777777" w:rsidR="00154E32" w:rsidRDefault="00A43E04">
            <w:pPr>
              <w:pStyle w:val="P68B1DB1-Normal45"/>
              <w:jc w:val="center"/>
              <w:rPr>
                <w:noProof/>
              </w:rPr>
            </w:pPr>
            <w:r>
              <w:rPr>
                <w:noProof/>
              </w:rPr>
              <w:t>Mejnik/cilj</w:t>
            </w:r>
          </w:p>
        </w:tc>
        <w:tc>
          <w:tcPr>
            <w:tcW w:w="374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812117F" w14:textId="77777777" w:rsidR="00154E32" w:rsidRDefault="00A43E04">
            <w:pPr>
              <w:pStyle w:val="P68B1DB1-Normal45"/>
              <w:jc w:val="center"/>
              <w:rPr>
                <w:noProof/>
              </w:rPr>
            </w:pPr>
            <w:r>
              <w:rPr>
                <w:noProof/>
              </w:rPr>
              <w:t>Ime</w:t>
            </w:r>
          </w:p>
        </w:tc>
      </w:tr>
      <w:tr w:rsidR="00154E32" w14:paraId="330FA35D" w14:textId="77777777">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5F60E8C" w14:textId="77777777" w:rsidR="00154E32" w:rsidRDefault="00154E32">
            <w:pPr>
              <w:rPr>
                <w:b/>
                <w:noProof/>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4B98D6D8" w14:textId="77777777" w:rsidR="00154E32" w:rsidRDefault="00154E32">
            <w:pPr>
              <w:rPr>
                <w:b/>
                <w:noProof/>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176E8F9" w14:textId="77777777" w:rsidR="00154E32" w:rsidRDefault="00154E32">
            <w:pPr>
              <w:rPr>
                <w:b/>
                <w:noProof/>
              </w:rPr>
            </w:pPr>
          </w:p>
        </w:tc>
        <w:tc>
          <w:tcPr>
            <w:tcW w:w="3743" w:type="dxa"/>
            <w:vMerge/>
            <w:tcBorders>
              <w:top w:val="single" w:sz="4" w:space="0" w:color="auto"/>
              <w:left w:val="single" w:sz="4" w:space="0" w:color="auto"/>
              <w:bottom w:val="single" w:sz="4" w:space="0" w:color="auto"/>
              <w:right w:val="single" w:sz="4" w:space="0" w:color="auto"/>
            </w:tcBorders>
            <w:vAlign w:val="center"/>
            <w:hideMark/>
          </w:tcPr>
          <w:p w14:paraId="09D45D65" w14:textId="77777777" w:rsidR="00154E32" w:rsidRDefault="00154E32">
            <w:pPr>
              <w:rPr>
                <w:b/>
                <w:noProof/>
              </w:rPr>
            </w:pPr>
          </w:p>
        </w:tc>
      </w:tr>
      <w:tr w:rsidR="00154E32" w14:paraId="7A94F076"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9FAFF0C" w14:textId="77777777" w:rsidR="00154E32" w:rsidRDefault="00A43E04">
            <w:pPr>
              <w:pStyle w:val="P68B1DB1-Normal12"/>
              <w:jc w:val="center"/>
              <w:rPr>
                <w:noProof/>
              </w:rPr>
            </w:pPr>
            <w:r>
              <w:rPr>
                <w:noProof/>
              </w:rPr>
              <w:t>M2C4–5</w:t>
            </w:r>
          </w:p>
        </w:tc>
        <w:tc>
          <w:tcPr>
            <w:tcW w:w="3118" w:type="dxa"/>
            <w:tcBorders>
              <w:top w:val="single" w:sz="4" w:space="0" w:color="auto"/>
              <w:left w:val="nil"/>
              <w:bottom w:val="single" w:sz="4" w:space="0" w:color="auto"/>
              <w:right w:val="single" w:sz="4" w:space="0" w:color="auto"/>
            </w:tcBorders>
            <w:shd w:val="clear" w:color="auto" w:fill="C6EFCE"/>
            <w:noWrap/>
            <w:vAlign w:val="center"/>
          </w:tcPr>
          <w:p w14:paraId="2D176E84" w14:textId="77777777" w:rsidR="00154E32" w:rsidRDefault="00A43E04">
            <w:pPr>
              <w:pStyle w:val="P68B1DB1-Normal12"/>
              <w:rPr>
                <w:noProof/>
              </w:rPr>
            </w:pPr>
            <w:r>
              <w:rPr>
                <w:noProof/>
              </w:rPr>
              <w:t>Naložba 3.2: Digitalizacija nacionalnih parkov</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76F77ADE" w14:textId="77777777" w:rsidR="00154E32" w:rsidRDefault="00A43E04">
            <w:pPr>
              <w:pStyle w:val="P68B1DB1-Normal12"/>
              <w:rPr>
                <w:noProof/>
              </w:rPr>
            </w:pPr>
            <w:r>
              <w:rPr>
                <w:noProof/>
              </w:rPr>
              <w:t>Mejnik</w:t>
            </w:r>
          </w:p>
        </w:tc>
        <w:tc>
          <w:tcPr>
            <w:tcW w:w="3743" w:type="dxa"/>
            <w:tcBorders>
              <w:top w:val="single" w:sz="4" w:space="0" w:color="auto"/>
              <w:left w:val="nil"/>
              <w:bottom w:val="single" w:sz="4" w:space="0" w:color="auto"/>
              <w:right w:val="single" w:sz="4" w:space="0" w:color="auto"/>
            </w:tcBorders>
            <w:shd w:val="clear" w:color="auto" w:fill="C6EFCE"/>
            <w:noWrap/>
            <w:vAlign w:val="center"/>
          </w:tcPr>
          <w:p w14:paraId="0F318A57" w14:textId="77777777" w:rsidR="00154E32" w:rsidRDefault="00A43E04">
            <w:pPr>
              <w:pStyle w:val="P68B1DB1-Normal12"/>
              <w:rPr>
                <w:noProof/>
              </w:rPr>
            </w:pPr>
            <w:r>
              <w:rPr>
                <w:noProof/>
              </w:rPr>
              <w:t>Začetek veljavnosti upravne poenostavitve in razvoja digitalnih storitev za obiskovalce nacionalnih parkov in zaščitenih morskih območij</w:t>
            </w:r>
          </w:p>
        </w:tc>
      </w:tr>
      <w:tr w:rsidR="00154E32" w14:paraId="458D2A2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ED9DC4C" w14:textId="77777777" w:rsidR="00154E32" w:rsidRDefault="00A43E04">
            <w:pPr>
              <w:pStyle w:val="P68B1DB1-Normal12"/>
              <w:jc w:val="center"/>
              <w:rPr>
                <w:noProof/>
              </w:rPr>
            </w:pPr>
            <w:r>
              <w:rPr>
                <w:noProof/>
              </w:rPr>
              <w:t>M5C2–9</w:t>
            </w:r>
          </w:p>
        </w:tc>
        <w:tc>
          <w:tcPr>
            <w:tcW w:w="3118" w:type="dxa"/>
            <w:tcBorders>
              <w:top w:val="nil"/>
              <w:left w:val="nil"/>
              <w:bottom w:val="single" w:sz="4" w:space="0" w:color="auto"/>
              <w:right w:val="single" w:sz="4" w:space="0" w:color="auto"/>
            </w:tcBorders>
            <w:shd w:val="clear" w:color="auto" w:fill="C6EFCE"/>
            <w:noWrap/>
            <w:vAlign w:val="center"/>
          </w:tcPr>
          <w:p w14:paraId="46E52C25" w14:textId="77777777" w:rsidR="00154E32" w:rsidRDefault="00A43E04">
            <w:pPr>
              <w:pStyle w:val="P68B1DB1-Normal12"/>
              <w:rPr>
                <w:noProof/>
              </w:rPr>
            </w:pPr>
            <w:r>
              <w:rPr>
                <w:noProof/>
              </w:rPr>
              <w:t>Naložba 3 – Najprej stanovanjske in poštne postaje</w:t>
            </w:r>
          </w:p>
        </w:tc>
        <w:tc>
          <w:tcPr>
            <w:tcW w:w="1418" w:type="dxa"/>
            <w:tcBorders>
              <w:top w:val="nil"/>
              <w:left w:val="nil"/>
              <w:bottom w:val="single" w:sz="4" w:space="0" w:color="auto"/>
              <w:right w:val="single" w:sz="4" w:space="0" w:color="auto"/>
            </w:tcBorders>
            <w:shd w:val="clear" w:color="auto" w:fill="C6EFCE"/>
            <w:noWrap/>
            <w:vAlign w:val="center"/>
          </w:tcPr>
          <w:p w14:paraId="60DB6DCB" w14:textId="77777777" w:rsidR="00154E32" w:rsidRDefault="00A43E04">
            <w:pPr>
              <w:pStyle w:val="P68B1DB1-Normal12"/>
              <w:rPr>
                <w:noProof/>
              </w:rPr>
            </w:pPr>
            <w:r>
              <w:rPr>
                <w:noProof/>
              </w:rPr>
              <w:t>Mejnik</w:t>
            </w:r>
          </w:p>
        </w:tc>
        <w:tc>
          <w:tcPr>
            <w:tcW w:w="3743" w:type="dxa"/>
            <w:tcBorders>
              <w:top w:val="nil"/>
              <w:left w:val="nil"/>
              <w:bottom w:val="single" w:sz="4" w:space="0" w:color="auto"/>
              <w:right w:val="single" w:sz="4" w:space="0" w:color="auto"/>
            </w:tcBorders>
            <w:shd w:val="clear" w:color="auto" w:fill="C6EFCE"/>
            <w:noWrap/>
            <w:vAlign w:val="center"/>
          </w:tcPr>
          <w:p w14:paraId="5D0FE33B" w14:textId="77777777" w:rsidR="00154E32" w:rsidRDefault="00A43E04">
            <w:pPr>
              <w:pStyle w:val="P68B1DB1-Normal12"/>
              <w:rPr>
                <w:noProof/>
              </w:rPr>
            </w:pPr>
            <w:r>
              <w:rPr>
                <w:noProof/>
              </w:rPr>
              <w:t>Začetek veljavnosti operativnega načrta v zvezi s projekti v zvezi s stanovanjskimi prvimi in poštnimi postajami, v katerem so opredeljene zahteve za projekte, ki jih lahko predložijo lokalni subjekti, in objava razpisa za zbiranje predlogov</w:t>
            </w:r>
          </w:p>
        </w:tc>
      </w:tr>
      <w:tr w:rsidR="00154E32" w14:paraId="222E2E7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396B3DE" w14:textId="77777777" w:rsidR="00154E32" w:rsidRDefault="00A43E04">
            <w:pPr>
              <w:pStyle w:val="P68B1DB1-Normal12"/>
              <w:jc w:val="center"/>
              <w:rPr>
                <w:noProof/>
              </w:rPr>
            </w:pPr>
            <w:r>
              <w:rPr>
                <w:noProof/>
              </w:rPr>
              <w:t>M1C1–33</w:t>
            </w:r>
          </w:p>
        </w:tc>
        <w:tc>
          <w:tcPr>
            <w:tcW w:w="3118" w:type="dxa"/>
            <w:tcBorders>
              <w:top w:val="nil"/>
              <w:left w:val="nil"/>
              <w:bottom w:val="single" w:sz="4" w:space="0" w:color="auto"/>
              <w:right w:val="single" w:sz="4" w:space="0" w:color="auto"/>
            </w:tcBorders>
            <w:shd w:val="clear" w:color="auto" w:fill="C6EFCE"/>
            <w:noWrap/>
            <w:vAlign w:val="center"/>
          </w:tcPr>
          <w:p w14:paraId="577F311A" w14:textId="77777777" w:rsidR="00154E32" w:rsidRDefault="00A43E04">
            <w:pPr>
              <w:pStyle w:val="P68B1DB1-Normal12"/>
              <w:rPr>
                <w:noProof/>
              </w:rPr>
            </w:pPr>
            <w:r>
              <w:rPr>
                <w:noProof/>
              </w:rPr>
              <w:t>Naložba 1.8: Postopki zaposlovanja na upravnih sodiščih</w:t>
            </w:r>
          </w:p>
        </w:tc>
        <w:tc>
          <w:tcPr>
            <w:tcW w:w="1418" w:type="dxa"/>
            <w:tcBorders>
              <w:top w:val="nil"/>
              <w:left w:val="nil"/>
              <w:bottom w:val="single" w:sz="4" w:space="0" w:color="auto"/>
              <w:right w:val="single" w:sz="4" w:space="0" w:color="auto"/>
            </w:tcBorders>
            <w:shd w:val="clear" w:color="auto" w:fill="C6EFCE"/>
            <w:noWrap/>
            <w:vAlign w:val="center"/>
          </w:tcPr>
          <w:p w14:paraId="458B8A09" w14:textId="77777777" w:rsidR="00154E32" w:rsidRDefault="00A43E04">
            <w:pPr>
              <w:pStyle w:val="P68B1DB1-Normal12"/>
              <w:rPr>
                <w:noProof/>
              </w:rPr>
            </w:pPr>
            <w:r>
              <w:rPr>
                <w:noProof/>
              </w:rPr>
              <w:t>Tarča</w:t>
            </w:r>
          </w:p>
        </w:tc>
        <w:tc>
          <w:tcPr>
            <w:tcW w:w="3743" w:type="dxa"/>
            <w:tcBorders>
              <w:top w:val="nil"/>
              <w:left w:val="nil"/>
              <w:bottom w:val="single" w:sz="4" w:space="0" w:color="auto"/>
              <w:right w:val="single" w:sz="4" w:space="0" w:color="auto"/>
            </w:tcBorders>
            <w:shd w:val="clear" w:color="auto" w:fill="C6EFCE"/>
            <w:noWrap/>
            <w:vAlign w:val="center"/>
          </w:tcPr>
          <w:p w14:paraId="153B6213" w14:textId="77777777" w:rsidR="00154E32" w:rsidRDefault="00A43E04">
            <w:pPr>
              <w:pStyle w:val="P68B1DB1-Normal12"/>
              <w:rPr>
                <w:noProof/>
              </w:rPr>
            </w:pPr>
            <w:r>
              <w:rPr>
                <w:noProof/>
              </w:rPr>
              <w:t>Začetek postopkov zaposlovanja na upravnih sodiščih</w:t>
            </w:r>
          </w:p>
        </w:tc>
      </w:tr>
      <w:tr w:rsidR="00154E32" w14:paraId="2856F2B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0B99AF1" w14:textId="77777777" w:rsidR="00154E32" w:rsidRDefault="00A43E04">
            <w:pPr>
              <w:pStyle w:val="P68B1DB1-Normal12"/>
              <w:jc w:val="center"/>
              <w:rPr>
                <w:noProof/>
              </w:rPr>
            </w:pPr>
            <w:r>
              <w:rPr>
                <w:noProof/>
              </w:rPr>
              <w:t>M1C1–56</w:t>
            </w:r>
          </w:p>
        </w:tc>
        <w:tc>
          <w:tcPr>
            <w:tcW w:w="3118" w:type="dxa"/>
            <w:tcBorders>
              <w:top w:val="nil"/>
              <w:left w:val="nil"/>
              <w:bottom w:val="single" w:sz="4" w:space="0" w:color="auto"/>
              <w:right w:val="single" w:sz="4" w:space="0" w:color="auto"/>
            </w:tcBorders>
            <w:shd w:val="clear" w:color="auto" w:fill="C6EFCE"/>
            <w:noWrap/>
            <w:vAlign w:val="center"/>
          </w:tcPr>
          <w:p w14:paraId="4B79F83A" w14:textId="77777777" w:rsidR="00154E32" w:rsidRDefault="00A43E04">
            <w:pPr>
              <w:pStyle w:val="P68B1DB1-Normal12"/>
              <w:rPr>
                <w:noProof/>
              </w:rPr>
            </w:pPr>
            <w:r>
              <w:rPr>
                <w:noProof/>
              </w:rPr>
              <w:t>Reforma 1.9: Reforma javne uprave</w:t>
            </w:r>
          </w:p>
        </w:tc>
        <w:tc>
          <w:tcPr>
            <w:tcW w:w="1418" w:type="dxa"/>
            <w:tcBorders>
              <w:top w:val="nil"/>
              <w:left w:val="nil"/>
              <w:bottom w:val="single" w:sz="4" w:space="0" w:color="auto"/>
              <w:right w:val="single" w:sz="4" w:space="0" w:color="auto"/>
            </w:tcBorders>
            <w:shd w:val="clear" w:color="auto" w:fill="C6EFCE"/>
            <w:noWrap/>
            <w:vAlign w:val="center"/>
          </w:tcPr>
          <w:p w14:paraId="21349965" w14:textId="77777777" w:rsidR="00154E32" w:rsidRDefault="00A43E04">
            <w:pPr>
              <w:pStyle w:val="P68B1DB1-Normal12"/>
              <w:rPr>
                <w:noProof/>
              </w:rPr>
            </w:pPr>
            <w:r>
              <w:rPr>
                <w:noProof/>
              </w:rPr>
              <w:t>Mejnik</w:t>
            </w:r>
          </w:p>
        </w:tc>
        <w:tc>
          <w:tcPr>
            <w:tcW w:w="3743" w:type="dxa"/>
            <w:tcBorders>
              <w:top w:val="nil"/>
              <w:left w:val="nil"/>
              <w:bottom w:val="single" w:sz="4" w:space="0" w:color="auto"/>
              <w:right w:val="single" w:sz="4" w:space="0" w:color="auto"/>
            </w:tcBorders>
            <w:shd w:val="clear" w:color="auto" w:fill="C6EFCE"/>
            <w:noWrap/>
            <w:vAlign w:val="center"/>
          </w:tcPr>
          <w:p w14:paraId="79ED86BD" w14:textId="77777777" w:rsidR="00154E32" w:rsidRDefault="00A43E04">
            <w:pPr>
              <w:pStyle w:val="P68B1DB1-Normal12"/>
              <w:rPr>
                <w:noProof/>
              </w:rPr>
            </w:pPr>
            <w:r>
              <w:rPr>
                <w:noProof/>
              </w:rPr>
              <w:t>Začetek veljavnosti zakonodaje, ki omogoča reformo zaposlovanja v javnem sektorju</w:t>
            </w:r>
          </w:p>
        </w:tc>
      </w:tr>
      <w:tr w:rsidR="00154E32" w14:paraId="6782570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AA9A88D" w14:textId="77777777" w:rsidR="00154E32" w:rsidRDefault="00A43E04">
            <w:pPr>
              <w:pStyle w:val="P68B1DB1-Normal12"/>
              <w:jc w:val="center"/>
              <w:rPr>
                <w:noProof/>
              </w:rPr>
            </w:pPr>
            <w:r>
              <w:rPr>
                <w:noProof/>
              </w:rPr>
              <w:t>M1C1–70</w:t>
            </w:r>
          </w:p>
        </w:tc>
        <w:tc>
          <w:tcPr>
            <w:tcW w:w="3118" w:type="dxa"/>
            <w:tcBorders>
              <w:top w:val="nil"/>
              <w:left w:val="nil"/>
              <w:bottom w:val="single" w:sz="4" w:space="0" w:color="auto"/>
              <w:right w:val="single" w:sz="4" w:space="0" w:color="auto"/>
            </w:tcBorders>
            <w:shd w:val="clear" w:color="auto" w:fill="C6EFCE"/>
            <w:noWrap/>
            <w:vAlign w:val="center"/>
          </w:tcPr>
          <w:p w14:paraId="49B3F5CD" w14:textId="77777777" w:rsidR="00154E32" w:rsidRDefault="00A43E04">
            <w:pPr>
              <w:pStyle w:val="P68B1DB1-Normal12"/>
              <w:rPr>
                <w:noProof/>
              </w:rPr>
            </w:pPr>
            <w:r>
              <w:rPr>
                <w:noProof/>
              </w:rPr>
              <w:t>Reforma 1.10: Reforma zakonodajnega okvira za javna naročila</w:t>
            </w:r>
          </w:p>
        </w:tc>
        <w:tc>
          <w:tcPr>
            <w:tcW w:w="1418" w:type="dxa"/>
            <w:tcBorders>
              <w:top w:val="nil"/>
              <w:left w:val="nil"/>
              <w:bottom w:val="single" w:sz="4" w:space="0" w:color="auto"/>
              <w:right w:val="single" w:sz="4" w:space="0" w:color="auto"/>
            </w:tcBorders>
            <w:shd w:val="clear" w:color="auto" w:fill="C6EFCE"/>
            <w:noWrap/>
            <w:vAlign w:val="center"/>
          </w:tcPr>
          <w:p w14:paraId="17E98561" w14:textId="77777777" w:rsidR="00154E32" w:rsidRDefault="00A43E04">
            <w:pPr>
              <w:pStyle w:val="P68B1DB1-Normal12"/>
              <w:rPr>
                <w:noProof/>
              </w:rPr>
            </w:pPr>
            <w:r>
              <w:rPr>
                <w:noProof/>
              </w:rPr>
              <w:t>Mejnik</w:t>
            </w:r>
          </w:p>
        </w:tc>
        <w:tc>
          <w:tcPr>
            <w:tcW w:w="3743" w:type="dxa"/>
            <w:tcBorders>
              <w:top w:val="nil"/>
              <w:left w:val="nil"/>
              <w:bottom w:val="single" w:sz="4" w:space="0" w:color="auto"/>
              <w:right w:val="single" w:sz="4" w:space="0" w:color="auto"/>
            </w:tcBorders>
            <w:shd w:val="clear" w:color="auto" w:fill="C6EFCE"/>
            <w:noWrap/>
            <w:vAlign w:val="center"/>
          </w:tcPr>
          <w:p w14:paraId="74AE8DC9" w14:textId="77777777" w:rsidR="00154E32" w:rsidRDefault="00A43E04">
            <w:pPr>
              <w:pStyle w:val="P68B1DB1-Normal12"/>
              <w:rPr>
                <w:noProof/>
              </w:rPr>
            </w:pPr>
            <w:r>
              <w:rPr>
                <w:noProof/>
              </w:rPr>
              <w:t>Začetek veljavnosti revizije zakonika o javnem naročanju (D.Lgs. n. 50/2016)</w:t>
            </w:r>
          </w:p>
        </w:tc>
      </w:tr>
      <w:tr w:rsidR="00154E32" w14:paraId="59CC26A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E515687" w14:textId="77777777" w:rsidR="00154E32" w:rsidRDefault="00A43E04">
            <w:pPr>
              <w:pStyle w:val="P68B1DB1-Normal12"/>
              <w:jc w:val="center"/>
              <w:rPr>
                <w:noProof/>
              </w:rPr>
            </w:pPr>
            <w:r>
              <w:rPr>
                <w:noProof/>
              </w:rPr>
              <w:t>M1C1–1003</w:t>
            </w:r>
          </w:p>
        </w:tc>
        <w:tc>
          <w:tcPr>
            <w:tcW w:w="3118" w:type="dxa"/>
            <w:tcBorders>
              <w:top w:val="nil"/>
              <w:left w:val="nil"/>
              <w:bottom w:val="single" w:sz="4" w:space="0" w:color="auto"/>
              <w:right w:val="single" w:sz="4" w:space="0" w:color="auto"/>
            </w:tcBorders>
            <w:shd w:val="clear" w:color="auto" w:fill="C6EFCE"/>
            <w:noWrap/>
            <w:vAlign w:val="center"/>
          </w:tcPr>
          <w:p w14:paraId="6171283F" w14:textId="77777777" w:rsidR="00154E32" w:rsidRDefault="00A43E04">
            <w:pPr>
              <w:pStyle w:val="P68B1DB1-Normal12"/>
              <w:rPr>
                <w:noProof/>
              </w:rPr>
            </w:pPr>
            <w:r>
              <w:rPr>
                <w:noProof/>
              </w:rPr>
              <w:t>Reforma 1.12: Reforma davčne uprave</w:t>
            </w:r>
          </w:p>
        </w:tc>
        <w:tc>
          <w:tcPr>
            <w:tcW w:w="1418" w:type="dxa"/>
            <w:tcBorders>
              <w:top w:val="nil"/>
              <w:left w:val="nil"/>
              <w:bottom w:val="single" w:sz="4" w:space="0" w:color="auto"/>
              <w:right w:val="single" w:sz="4" w:space="0" w:color="auto"/>
            </w:tcBorders>
            <w:shd w:val="clear" w:color="auto" w:fill="C6EFCE"/>
            <w:noWrap/>
            <w:vAlign w:val="center"/>
          </w:tcPr>
          <w:p w14:paraId="4D21E35C" w14:textId="77777777" w:rsidR="00154E32" w:rsidRDefault="00A43E04">
            <w:pPr>
              <w:pStyle w:val="P68B1DB1-Normal12"/>
              <w:rPr>
                <w:noProof/>
              </w:rPr>
            </w:pPr>
            <w:r>
              <w:rPr>
                <w:noProof/>
              </w:rPr>
              <w:t>Mejnik</w:t>
            </w:r>
          </w:p>
        </w:tc>
        <w:tc>
          <w:tcPr>
            <w:tcW w:w="3743" w:type="dxa"/>
            <w:tcBorders>
              <w:top w:val="nil"/>
              <w:left w:val="nil"/>
              <w:bottom w:val="single" w:sz="4" w:space="0" w:color="auto"/>
              <w:right w:val="single" w:sz="4" w:space="0" w:color="auto"/>
            </w:tcBorders>
            <w:shd w:val="clear" w:color="auto" w:fill="C6EFCE"/>
            <w:noWrap/>
            <w:vAlign w:val="center"/>
          </w:tcPr>
          <w:p w14:paraId="281C1E89" w14:textId="77777777" w:rsidR="00154E32" w:rsidRDefault="00A43E04">
            <w:pPr>
              <w:pStyle w:val="P68B1DB1-Normal12"/>
              <w:rPr>
                <w:noProof/>
              </w:rPr>
            </w:pPr>
            <w:r>
              <w:rPr>
                <w:noProof/>
              </w:rPr>
              <w:t>Začetek veljavnosti primarne in sekundarne zakonodaje in regulativnih določb ter dokončanje upravnih postopkov za spodbujanje izpolnjevanja davčnih obveznosti ter izboljšanje revizij in kontrol</w:t>
            </w:r>
          </w:p>
        </w:tc>
      </w:tr>
      <w:tr w:rsidR="00154E32" w14:paraId="5C55D19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7F33640" w14:textId="77777777" w:rsidR="00154E32" w:rsidRDefault="00A43E04">
            <w:pPr>
              <w:pStyle w:val="P68B1DB1-Normal12"/>
              <w:jc w:val="center"/>
              <w:rPr>
                <w:noProof/>
              </w:rPr>
            </w:pPr>
            <w:r>
              <w:rPr>
                <w:noProof/>
              </w:rPr>
              <w:t>M1C1–104</w:t>
            </w:r>
          </w:p>
        </w:tc>
        <w:tc>
          <w:tcPr>
            <w:tcW w:w="3118" w:type="dxa"/>
            <w:tcBorders>
              <w:top w:val="nil"/>
              <w:left w:val="nil"/>
              <w:bottom w:val="single" w:sz="4" w:space="0" w:color="auto"/>
              <w:right w:val="single" w:sz="4" w:space="0" w:color="auto"/>
            </w:tcBorders>
            <w:shd w:val="clear" w:color="auto" w:fill="C6EFCE"/>
            <w:noWrap/>
            <w:vAlign w:val="center"/>
          </w:tcPr>
          <w:p w14:paraId="1874F278" w14:textId="77777777" w:rsidR="00154E32" w:rsidRDefault="00A43E04">
            <w:pPr>
              <w:pStyle w:val="P68B1DB1-Normal12"/>
              <w:rPr>
                <w:noProof/>
              </w:rPr>
            </w:pPr>
            <w:r>
              <w:rPr>
                <w:noProof/>
              </w:rPr>
              <w:t>Reforma 1.13: Reforma okvira za pregled porabe</w:t>
            </w:r>
          </w:p>
        </w:tc>
        <w:tc>
          <w:tcPr>
            <w:tcW w:w="1418" w:type="dxa"/>
            <w:tcBorders>
              <w:top w:val="nil"/>
              <w:left w:val="nil"/>
              <w:bottom w:val="single" w:sz="4" w:space="0" w:color="auto"/>
              <w:right w:val="single" w:sz="4" w:space="0" w:color="auto"/>
            </w:tcBorders>
            <w:shd w:val="clear" w:color="auto" w:fill="C6EFCE"/>
            <w:noWrap/>
            <w:vAlign w:val="center"/>
          </w:tcPr>
          <w:p w14:paraId="5986A86E" w14:textId="77777777" w:rsidR="00154E32" w:rsidRDefault="00A43E04">
            <w:pPr>
              <w:pStyle w:val="P68B1DB1-Normal12"/>
              <w:rPr>
                <w:noProof/>
              </w:rPr>
            </w:pPr>
            <w:r>
              <w:rPr>
                <w:noProof/>
              </w:rPr>
              <w:t>Mejnik</w:t>
            </w:r>
          </w:p>
        </w:tc>
        <w:tc>
          <w:tcPr>
            <w:tcW w:w="3743" w:type="dxa"/>
            <w:tcBorders>
              <w:top w:val="nil"/>
              <w:left w:val="nil"/>
              <w:bottom w:val="single" w:sz="4" w:space="0" w:color="auto"/>
              <w:right w:val="single" w:sz="4" w:space="0" w:color="auto"/>
            </w:tcBorders>
            <w:shd w:val="clear" w:color="auto" w:fill="C6EFCE"/>
            <w:noWrap/>
            <w:vAlign w:val="center"/>
          </w:tcPr>
          <w:p w14:paraId="1DF85EB4" w14:textId="77777777" w:rsidR="00154E32" w:rsidRDefault="00A43E04">
            <w:pPr>
              <w:pStyle w:val="P68B1DB1-Normal12"/>
              <w:rPr>
                <w:noProof/>
              </w:rPr>
            </w:pPr>
            <w:r>
              <w:rPr>
                <w:noProof/>
              </w:rPr>
              <w:t>Sprejetje ciljev glede prihrankov za preglede porabe za obdobje 2023–2025</w:t>
            </w:r>
          </w:p>
        </w:tc>
      </w:tr>
      <w:tr w:rsidR="00154E32" w14:paraId="41C4C31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3568284" w14:textId="77777777" w:rsidR="00154E32" w:rsidRDefault="00A43E04">
            <w:pPr>
              <w:pStyle w:val="P68B1DB1-Normal12"/>
              <w:jc w:val="center"/>
              <w:rPr>
                <w:noProof/>
              </w:rPr>
            </w:pPr>
            <w:r>
              <w:rPr>
                <w:noProof/>
              </w:rPr>
              <w:t>M1C3–11</w:t>
            </w:r>
          </w:p>
        </w:tc>
        <w:tc>
          <w:tcPr>
            <w:tcW w:w="3118" w:type="dxa"/>
            <w:tcBorders>
              <w:top w:val="nil"/>
              <w:left w:val="nil"/>
              <w:bottom w:val="single" w:sz="4" w:space="0" w:color="auto"/>
              <w:right w:val="single" w:sz="4" w:space="0" w:color="auto"/>
            </w:tcBorders>
            <w:shd w:val="clear" w:color="auto" w:fill="C6EFCE"/>
            <w:noWrap/>
            <w:vAlign w:val="center"/>
          </w:tcPr>
          <w:p w14:paraId="08D9FB0A" w14:textId="77777777" w:rsidR="00154E32" w:rsidRDefault="00A43E04">
            <w:pPr>
              <w:pStyle w:val="P68B1DB1-Normal12"/>
              <w:rPr>
                <w:noProof/>
              </w:rPr>
            </w:pPr>
            <w:r>
              <w:rPr>
                <w:noProof/>
              </w:rPr>
              <w:t>Naložba 1.3 – Izboljšanje energetske učinkovitosti v kinematografih, gledališčih in muzejih</w:t>
            </w:r>
          </w:p>
        </w:tc>
        <w:tc>
          <w:tcPr>
            <w:tcW w:w="1418" w:type="dxa"/>
            <w:tcBorders>
              <w:top w:val="nil"/>
              <w:left w:val="nil"/>
              <w:bottom w:val="single" w:sz="4" w:space="0" w:color="auto"/>
              <w:right w:val="single" w:sz="4" w:space="0" w:color="auto"/>
            </w:tcBorders>
            <w:shd w:val="clear" w:color="auto" w:fill="C6EFCE"/>
            <w:noWrap/>
            <w:vAlign w:val="center"/>
          </w:tcPr>
          <w:p w14:paraId="2D80767E" w14:textId="77777777" w:rsidR="00154E32" w:rsidRDefault="00A43E04">
            <w:pPr>
              <w:pStyle w:val="P68B1DB1-Normal12"/>
              <w:rPr>
                <w:noProof/>
              </w:rPr>
            </w:pPr>
            <w:r>
              <w:rPr>
                <w:noProof/>
              </w:rPr>
              <w:t>Mejnik</w:t>
            </w:r>
          </w:p>
        </w:tc>
        <w:tc>
          <w:tcPr>
            <w:tcW w:w="3743" w:type="dxa"/>
            <w:tcBorders>
              <w:top w:val="nil"/>
              <w:left w:val="nil"/>
              <w:bottom w:val="single" w:sz="4" w:space="0" w:color="auto"/>
              <w:right w:val="single" w:sz="4" w:space="0" w:color="auto"/>
            </w:tcBorders>
            <w:shd w:val="clear" w:color="auto" w:fill="C6EFCE"/>
            <w:noWrap/>
            <w:vAlign w:val="center"/>
          </w:tcPr>
          <w:p w14:paraId="344E7AAB" w14:textId="77777777" w:rsidR="00154E32" w:rsidRDefault="00A43E04">
            <w:pPr>
              <w:pStyle w:val="P68B1DB1-Normal12"/>
              <w:rPr>
                <w:noProof/>
              </w:rPr>
            </w:pPr>
            <w:r>
              <w:rPr>
                <w:noProof/>
              </w:rPr>
              <w:t xml:space="preserve">Začetek veljavnosti odloka ministrstva za kulturo o dodelitvi sredstev: izboljšanje energetske učinkovitosti v krajih kulture </w:t>
            </w:r>
          </w:p>
        </w:tc>
      </w:tr>
      <w:tr w:rsidR="00154E32" w14:paraId="7E6698D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47E3D4D" w14:textId="77777777" w:rsidR="00154E32" w:rsidRDefault="00A43E04">
            <w:pPr>
              <w:pStyle w:val="P68B1DB1-Normal12"/>
              <w:jc w:val="center"/>
              <w:rPr>
                <w:noProof/>
              </w:rPr>
            </w:pPr>
            <w:r>
              <w:rPr>
                <w:noProof/>
              </w:rPr>
              <w:t>M2C1–1</w:t>
            </w:r>
          </w:p>
        </w:tc>
        <w:tc>
          <w:tcPr>
            <w:tcW w:w="3118" w:type="dxa"/>
            <w:tcBorders>
              <w:top w:val="nil"/>
              <w:left w:val="nil"/>
              <w:bottom w:val="single" w:sz="4" w:space="0" w:color="auto"/>
              <w:right w:val="single" w:sz="4" w:space="0" w:color="auto"/>
            </w:tcBorders>
            <w:shd w:val="clear" w:color="auto" w:fill="C6EFCE"/>
            <w:noWrap/>
            <w:vAlign w:val="center"/>
          </w:tcPr>
          <w:p w14:paraId="6A027FEC" w14:textId="77777777" w:rsidR="00154E32" w:rsidRDefault="00A43E04">
            <w:pPr>
              <w:pStyle w:val="P68B1DB1-Normal12"/>
              <w:rPr>
                <w:noProof/>
              </w:rPr>
            </w:pPr>
            <w:r>
              <w:rPr>
                <w:noProof/>
              </w:rPr>
              <w:t>Reforma 1.1 – Nacionalna strategija za krožno gospodarstvo</w:t>
            </w:r>
          </w:p>
        </w:tc>
        <w:tc>
          <w:tcPr>
            <w:tcW w:w="1418" w:type="dxa"/>
            <w:tcBorders>
              <w:top w:val="nil"/>
              <w:left w:val="nil"/>
              <w:bottom w:val="single" w:sz="4" w:space="0" w:color="auto"/>
              <w:right w:val="single" w:sz="4" w:space="0" w:color="auto"/>
            </w:tcBorders>
            <w:shd w:val="clear" w:color="auto" w:fill="C6EFCE"/>
            <w:noWrap/>
            <w:vAlign w:val="center"/>
          </w:tcPr>
          <w:p w14:paraId="7CF26F7A" w14:textId="77777777" w:rsidR="00154E32" w:rsidRDefault="00A43E04">
            <w:pPr>
              <w:pStyle w:val="P68B1DB1-Normal12"/>
              <w:rPr>
                <w:noProof/>
              </w:rPr>
            </w:pPr>
            <w:r>
              <w:rPr>
                <w:noProof/>
              </w:rPr>
              <w:t>Mejnik</w:t>
            </w:r>
          </w:p>
        </w:tc>
        <w:tc>
          <w:tcPr>
            <w:tcW w:w="3743" w:type="dxa"/>
            <w:tcBorders>
              <w:top w:val="nil"/>
              <w:left w:val="nil"/>
              <w:bottom w:val="single" w:sz="4" w:space="0" w:color="auto"/>
              <w:right w:val="single" w:sz="4" w:space="0" w:color="auto"/>
            </w:tcBorders>
            <w:shd w:val="clear" w:color="auto" w:fill="C6EFCE"/>
            <w:noWrap/>
            <w:vAlign w:val="center"/>
          </w:tcPr>
          <w:p w14:paraId="7BAB86FD" w14:textId="77777777" w:rsidR="00154E32" w:rsidRDefault="00A43E04">
            <w:pPr>
              <w:pStyle w:val="P68B1DB1-Normal12"/>
              <w:rPr>
                <w:noProof/>
              </w:rPr>
            </w:pPr>
            <w:r>
              <w:rPr>
                <w:noProof/>
              </w:rPr>
              <w:t>Začetek veljavnosti ministrske uredbe za sprejetje nacionalne strategije za krožno gospodarstvo</w:t>
            </w:r>
          </w:p>
        </w:tc>
      </w:tr>
      <w:tr w:rsidR="00154E32" w14:paraId="58ADD87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10320FD" w14:textId="77777777" w:rsidR="00154E32" w:rsidRDefault="00A43E04">
            <w:pPr>
              <w:pStyle w:val="P68B1DB1-Normal12"/>
              <w:jc w:val="center"/>
              <w:rPr>
                <w:noProof/>
              </w:rPr>
            </w:pPr>
            <w:r>
              <w:rPr>
                <w:noProof/>
              </w:rPr>
              <w:t>M2C1–2</w:t>
            </w:r>
          </w:p>
        </w:tc>
        <w:tc>
          <w:tcPr>
            <w:tcW w:w="3118" w:type="dxa"/>
            <w:tcBorders>
              <w:top w:val="nil"/>
              <w:left w:val="nil"/>
              <w:bottom w:val="single" w:sz="4" w:space="0" w:color="auto"/>
              <w:right w:val="single" w:sz="4" w:space="0" w:color="auto"/>
            </w:tcBorders>
            <w:shd w:val="clear" w:color="auto" w:fill="C6EFCE"/>
            <w:noWrap/>
            <w:vAlign w:val="center"/>
          </w:tcPr>
          <w:p w14:paraId="3015677F" w14:textId="77777777" w:rsidR="00154E32" w:rsidRDefault="00A43E04">
            <w:pPr>
              <w:pStyle w:val="P68B1DB1-Normal12"/>
              <w:rPr>
                <w:noProof/>
              </w:rPr>
            </w:pPr>
            <w:r>
              <w:rPr>
                <w:noProof/>
              </w:rPr>
              <w:t>Reforma 1.3 – Tehnična podpora lokalnim organom</w:t>
            </w:r>
          </w:p>
        </w:tc>
        <w:tc>
          <w:tcPr>
            <w:tcW w:w="1418" w:type="dxa"/>
            <w:tcBorders>
              <w:top w:val="nil"/>
              <w:left w:val="nil"/>
              <w:bottom w:val="single" w:sz="4" w:space="0" w:color="auto"/>
              <w:right w:val="single" w:sz="4" w:space="0" w:color="auto"/>
            </w:tcBorders>
            <w:shd w:val="clear" w:color="auto" w:fill="C6EFCE"/>
            <w:noWrap/>
            <w:vAlign w:val="center"/>
          </w:tcPr>
          <w:p w14:paraId="403047F5" w14:textId="77777777" w:rsidR="00154E32" w:rsidRDefault="00A43E04">
            <w:pPr>
              <w:pStyle w:val="P68B1DB1-Normal12"/>
              <w:rPr>
                <w:noProof/>
              </w:rPr>
            </w:pPr>
            <w:r>
              <w:rPr>
                <w:noProof/>
              </w:rPr>
              <w:t>Mejnik</w:t>
            </w:r>
          </w:p>
        </w:tc>
        <w:tc>
          <w:tcPr>
            <w:tcW w:w="3743" w:type="dxa"/>
            <w:tcBorders>
              <w:top w:val="nil"/>
              <w:left w:val="nil"/>
              <w:bottom w:val="single" w:sz="4" w:space="0" w:color="auto"/>
              <w:right w:val="single" w:sz="4" w:space="0" w:color="auto"/>
            </w:tcBorders>
            <w:shd w:val="clear" w:color="auto" w:fill="C6EFCE"/>
            <w:noWrap/>
            <w:vAlign w:val="center"/>
          </w:tcPr>
          <w:p w14:paraId="17454D29" w14:textId="77777777" w:rsidR="00154E32" w:rsidRDefault="00A43E04">
            <w:pPr>
              <w:pStyle w:val="P68B1DB1-Normal12"/>
              <w:rPr>
                <w:noProof/>
              </w:rPr>
            </w:pPr>
            <w:r>
              <w:rPr>
                <w:noProof/>
              </w:rPr>
              <w:t>Odobritev sporazuma za pripravo akcijskega načrta za krepitev zmogljivosti v podporo lokalnim javnim organom</w:t>
            </w:r>
          </w:p>
        </w:tc>
      </w:tr>
      <w:tr w:rsidR="00154E32" w14:paraId="678D621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0570EE6" w14:textId="77777777" w:rsidR="00154E32" w:rsidRDefault="00A43E04">
            <w:pPr>
              <w:pStyle w:val="P68B1DB1-Normal12"/>
              <w:jc w:val="center"/>
              <w:rPr>
                <w:noProof/>
              </w:rPr>
            </w:pPr>
            <w:r>
              <w:rPr>
                <w:noProof/>
              </w:rPr>
              <w:t>M2C1–11</w:t>
            </w:r>
          </w:p>
        </w:tc>
        <w:tc>
          <w:tcPr>
            <w:tcW w:w="3118" w:type="dxa"/>
            <w:tcBorders>
              <w:top w:val="nil"/>
              <w:left w:val="nil"/>
              <w:bottom w:val="single" w:sz="4" w:space="0" w:color="auto"/>
              <w:right w:val="single" w:sz="4" w:space="0" w:color="auto"/>
            </w:tcBorders>
            <w:shd w:val="clear" w:color="auto" w:fill="C6EFCE"/>
            <w:noWrap/>
            <w:vAlign w:val="center"/>
          </w:tcPr>
          <w:p w14:paraId="46E35F14" w14:textId="77777777" w:rsidR="00154E32" w:rsidRDefault="00A43E04">
            <w:pPr>
              <w:pStyle w:val="P68B1DB1-Normal12"/>
              <w:rPr>
                <w:noProof/>
              </w:rPr>
            </w:pPr>
            <w:r>
              <w:rPr>
                <w:noProof/>
              </w:rPr>
              <w:t>Naložba 3.3: Kultura in ozaveščenost o okoljskih temah in izzivih</w:t>
            </w:r>
          </w:p>
        </w:tc>
        <w:tc>
          <w:tcPr>
            <w:tcW w:w="1418" w:type="dxa"/>
            <w:tcBorders>
              <w:top w:val="nil"/>
              <w:left w:val="nil"/>
              <w:bottom w:val="single" w:sz="4" w:space="0" w:color="auto"/>
              <w:right w:val="single" w:sz="4" w:space="0" w:color="auto"/>
            </w:tcBorders>
            <w:shd w:val="clear" w:color="auto" w:fill="C6EFCE"/>
            <w:noWrap/>
            <w:vAlign w:val="center"/>
          </w:tcPr>
          <w:p w14:paraId="1BC34DB9" w14:textId="77777777" w:rsidR="00154E32" w:rsidRDefault="00A43E04">
            <w:pPr>
              <w:pStyle w:val="P68B1DB1-Normal12"/>
              <w:rPr>
                <w:noProof/>
              </w:rPr>
            </w:pPr>
            <w:r>
              <w:rPr>
                <w:noProof/>
              </w:rPr>
              <w:t>Mejnik</w:t>
            </w:r>
          </w:p>
        </w:tc>
        <w:tc>
          <w:tcPr>
            <w:tcW w:w="3743" w:type="dxa"/>
            <w:tcBorders>
              <w:top w:val="nil"/>
              <w:left w:val="nil"/>
              <w:bottom w:val="single" w:sz="4" w:space="0" w:color="auto"/>
              <w:right w:val="single" w:sz="4" w:space="0" w:color="auto"/>
            </w:tcBorders>
            <w:shd w:val="clear" w:color="auto" w:fill="C6EFCE"/>
            <w:noWrap/>
            <w:vAlign w:val="center"/>
          </w:tcPr>
          <w:p w14:paraId="2E896250" w14:textId="77777777" w:rsidR="00154E32" w:rsidRDefault="00A43E04">
            <w:pPr>
              <w:pStyle w:val="P68B1DB1-Normal12"/>
              <w:rPr>
                <w:noProof/>
              </w:rPr>
            </w:pPr>
            <w:r>
              <w:rPr>
                <w:noProof/>
              </w:rPr>
              <w:t>Vzpostavitev spletne platforme in pogodb z avtorji</w:t>
            </w:r>
          </w:p>
        </w:tc>
      </w:tr>
      <w:tr w:rsidR="00154E32" w14:paraId="7F215F6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5F7F933" w14:textId="77777777" w:rsidR="00154E32" w:rsidRDefault="00A43E04">
            <w:pPr>
              <w:pStyle w:val="P68B1DB1-Normal12"/>
              <w:jc w:val="center"/>
              <w:rPr>
                <w:noProof/>
              </w:rPr>
            </w:pPr>
            <w:r>
              <w:rPr>
                <w:noProof/>
              </w:rPr>
              <w:t>M2C2–18</w:t>
            </w:r>
          </w:p>
        </w:tc>
        <w:tc>
          <w:tcPr>
            <w:tcW w:w="3118" w:type="dxa"/>
            <w:tcBorders>
              <w:top w:val="nil"/>
              <w:left w:val="nil"/>
              <w:bottom w:val="single" w:sz="4" w:space="0" w:color="auto"/>
              <w:right w:val="single" w:sz="4" w:space="0" w:color="auto"/>
            </w:tcBorders>
            <w:shd w:val="clear" w:color="auto" w:fill="C6EFCE"/>
            <w:noWrap/>
            <w:vAlign w:val="center"/>
          </w:tcPr>
          <w:p w14:paraId="051FD6E6" w14:textId="77777777" w:rsidR="00154E32" w:rsidRDefault="00A43E04">
            <w:pPr>
              <w:pStyle w:val="P68B1DB1-Normal12"/>
              <w:rPr>
                <w:noProof/>
              </w:rPr>
            </w:pPr>
            <w:r>
              <w:rPr>
                <w:noProof/>
              </w:rPr>
              <w:t>Naložba 3.5 Raziskave in razvoj na področju vodika</w:t>
            </w:r>
          </w:p>
        </w:tc>
        <w:tc>
          <w:tcPr>
            <w:tcW w:w="1418" w:type="dxa"/>
            <w:tcBorders>
              <w:top w:val="nil"/>
              <w:left w:val="nil"/>
              <w:bottom w:val="single" w:sz="4" w:space="0" w:color="auto"/>
              <w:right w:val="single" w:sz="4" w:space="0" w:color="auto"/>
            </w:tcBorders>
            <w:shd w:val="clear" w:color="auto" w:fill="C6EFCE"/>
            <w:noWrap/>
            <w:vAlign w:val="center"/>
          </w:tcPr>
          <w:p w14:paraId="3183DFF7" w14:textId="77777777" w:rsidR="00154E32" w:rsidRDefault="00A43E04">
            <w:pPr>
              <w:pStyle w:val="P68B1DB1-Normal12"/>
              <w:rPr>
                <w:noProof/>
              </w:rPr>
            </w:pPr>
            <w:r>
              <w:rPr>
                <w:noProof/>
              </w:rPr>
              <w:t>Mejnik</w:t>
            </w:r>
          </w:p>
        </w:tc>
        <w:tc>
          <w:tcPr>
            <w:tcW w:w="3743" w:type="dxa"/>
            <w:tcBorders>
              <w:top w:val="nil"/>
              <w:left w:val="nil"/>
              <w:bottom w:val="single" w:sz="4" w:space="0" w:color="auto"/>
              <w:right w:val="single" w:sz="4" w:space="0" w:color="auto"/>
            </w:tcBorders>
            <w:shd w:val="clear" w:color="auto" w:fill="C6EFCE"/>
            <w:noWrap/>
            <w:vAlign w:val="center"/>
          </w:tcPr>
          <w:p w14:paraId="2B33D93A" w14:textId="77777777" w:rsidR="00154E32" w:rsidRDefault="00A43E04">
            <w:pPr>
              <w:pStyle w:val="P68B1DB1-Normal12"/>
              <w:rPr>
                <w:noProof/>
              </w:rPr>
            </w:pPr>
            <w:r>
              <w:rPr>
                <w:noProof/>
              </w:rPr>
              <w:t>Dodelitev vseh javnih naročil za raziskave in razvoj raziskovalnim projektom na področju vodika</w:t>
            </w:r>
          </w:p>
        </w:tc>
      </w:tr>
      <w:tr w:rsidR="00154E32" w14:paraId="738F579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E552039" w14:textId="77777777" w:rsidR="00154E32" w:rsidRDefault="00A43E04">
            <w:pPr>
              <w:pStyle w:val="P68B1DB1-Normal12"/>
              <w:jc w:val="center"/>
              <w:rPr>
                <w:noProof/>
              </w:rPr>
            </w:pPr>
            <w:r>
              <w:rPr>
                <w:noProof/>
              </w:rPr>
              <w:t>M2C2–21</w:t>
            </w:r>
          </w:p>
        </w:tc>
        <w:tc>
          <w:tcPr>
            <w:tcW w:w="3118" w:type="dxa"/>
            <w:tcBorders>
              <w:top w:val="nil"/>
              <w:left w:val="nil"/>
              <w:bottom w:val="single" w:sz="4" w:space="0" w:color="auto"/>
              <w:right w:val="single" w:sz="4" w:space="0" w:color="auto"/>
            </w:tcBorders>
            <w:shd w:val="clear" w:color="auto" w:fill="C6EFCE"/>
            <w:noWrap/>
            <w:vAlign w:val="center"/>
          </w:tcPr>
          <w:p w14:paraId="62C1FAA7" w14:textId="77777777" w:rsidR="00154E32" w:rsidRDefault="00A43E04">
            <w:pPr>
              <w:pStyle w:val="P68B1DB1-Normal12"/>
              <w:rPr>
                <w:noProof/>
              </w:rPr>
            </w:pPr>
            <w:r>
              <w:rPr>
                <w:noProof/>
              </w:rPr>
              <w:t>Reforma 4 Ukrepi za spodbujanje konkurenčnosti vodika</w:t>
            </w:r>
          </w:p>
        </w:tc>
        <w:tc>
          <w:tcPr>
            <w:tcW w:w="1418" w:type="dxa"/>
            <w:tcBorders>
              <w:top w:val="nil"/>
              <w:left w:val="nil"/>
              <w:bottom w:val="single" w:sz="4" w:space="0" w:color="auto"/>
              <w:right w:val="single" w:sz="4" w:space="0" w:color="auto"/>
            </w:tcBorders>
            <w:shd w:val="clear" w:color="auto" w:fill="C6EFCE"/>
            <w:noWrap/>
            <w:vAlign w:val="center"/>
          </w:tcPr>
          <w:p w14:paraId="46B9D19A" w14:textId="77777777" w:rsidR="00154E32" w:rsidRDefault="00A43E04">
            <w:pPr>
              <w:pStyle w:val="P68B1DB1-Normal12"/>
              <w:rPr>
                <w:noProof/>
              </w:rPr>
            </w:pPr>
            <w:r>
              <w:rPr>
                <w:noProof/>
              </w:rPr>
              <w:t>Mejnik</w:t>
            </w:r>
          </w:p>
        </w:tc>
        <w:tc>
          <w:tcPr>
            <w:tcW w:w="3743" w:type="dxa"/>
            <w:tcBorders>
              <w:top w:val="nil"/>
              <w:left w:val="nil"/>
              <w:bottom w:val="single" w:sz="4" w:space="0" w:color="auto"/>
              <w:right w:val="single" w:sz="4" w:space="0" w:color="auto"/>
            </w:tcBorders>
            <w:shd w:val="clear" w:color="auto" w:fill="C6EFCE"/>
            <w:noWrap/>
            <w:vAlign w:val="center"/>
          </w:tcPr>
          <w:p w14:paraId="61AAE13A" w14:textId="77777777" w:rsidR="00154E32" w:rsidRDefault="00A43E04">
            <w:pPr>
              <w:pStyle w:val="P68B1DB1-Normal12"/>
              <w:rPr>
                <w:noProof/>
              </w:rPr>
            </w:pPr>
            <w:r>
              <w:rPr>
                <w:noProof/>
              </w:rPr>
              <w:t>Začetek veljavnosti davčnih spodbud</w:t>
            </w:r>
          </w:p>
        </w:tc>
      </w:tr>
      <w:tr w:rsidR="00154E32" w14:paraId="39F7935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D1F4C49" w14:textId="77777777" w:rsidR="00154E32" w:rsidRDefault="00A43E04">
            <w:pPr>
              <w:pStyle w:val="P68B1DB1-Normal12"/>
              <w:jc w:val="center"/>
              <w:rPr>
                <w:noProof/>
              </w:rPr>
            </w:pPr>
            <w:r>
              <w:rPr>
                <w:noProof/>
              </w:rPr>
              <w:t>M2C2–38</w:t>
            </w:r>
          </w:p>
        </w:tc>
        <w:tc>
          <w:tcPr>
            <w:tcW w:w="3118" w:type="dxa"/>
            <w:tcBorders>
              <w:top w:val="nil"/>
              <w:left w:val="nil"/>
              <w:bottom w:val="single" w:sz="4" w:space="0" w:color="auto"/>
              <w:right w:val="single" w:sz="4" w:space="0" w:color="auto"/>
            </w:tcBorders>
            <w:shd w:val="clear" w:color="auto" w:fill="C6EFCE"/>
            <w:noWrap/>
            <w:vAlign w:val="center"/>
          </w:tcPr>
          <w:p w14:paraId="14BE7B0B" w14:textId="77777777" w:rsidR="00154E32" w:rsidRDefault="00A43E04">
            <w:pPr>
              <w:pStyle w:val="P68B1DB1-Normal12"/>
              <w:rPr>
                <w:noProof/>
              </w:rPr>
            </w:pPr>
            <w:r>
              <w:rPr>
                <w:noProof/>
              </w:rPr>
              <w:t>Naložba 5.1: Obnovljivi viri energije in baterije</w:t>
            </w:r>
          </w:p>
        </w:tc>
        <w:tc>
          <w:tcPr>
            <w:tcW w:w="1418" w:type="dxa"/>
            <w:tcBorders>
              <w:top w:val="nil"/>
              <w:left w:val="nil"/>
              <w:bottom w:val="single" w:sz="4" w:space="0" w:color="auto"/>
              <w:right w:val="single" w:sz="4" w:space="0" w:color="auto"/>
            </w:tcBorders>
            <w:shd w:val="clear" w:color="auto" w:fill="C6EFCE"/>
            <w:noWrap/>
            <w:vAlign w:val="center"/>
          </w:tcPr>
          <w:p w14:paraId="6A830566" w14:textId="77777777" w:rsidR="00154E32" w:rsidRDefault="00A43E04">
            <w:pPr>
              <w:pStyle w:val="P68B1DB1-Normal12"/>
              <w:rPr>
                <w:noProof/>
              </w:rPr>
            </w:pPr>
            <w:r>
              <w:rPr>
                <w:noProof/>
              </w:rPr>
              <w:t>Mejnik</w:t>
            </w:r>
          </w:p>
        </w:tc>
        <w:tc>
          <w:tcPr>
            <w:tcW w:w="3743" w:type="dxa"/>
            <w:tcBorders>
              <w:top w:val="nil"/>
              <w:left w:val="nil"/>
              <w:bottom w:val="single" w:sz="4" w:space="0" w:color="auto"/>
              <w:right w:val="single" w:sz="4" w:space="0" w:color="auto"/>
            </w:tcBorders>
            <w:shd w:val="clear" w:color="auto" w:fill="C6EFCE"/>
            <w:noWrap/>
            <w:vAlign w:val="center"/>
          </w:tcPr>
          <w:p w14:paraId="3F7300EE" w14:textId="77777777" w:rsidR="00154E32" w:rsidRDefault="00A43E04">
            <w:pPr>
              <w:pStyle w:val="P68B1DB1-Normal12"/>
              <w:rPr>
                <w:noProof/>
              </w:rPr>
            </w:pPr>
            <w:r>
              <w:rPr>
                <w:noProof/>
              </w:rPr>
              <w:t>Začetek veljavnosti ministrske uredbe</w:t>
            </w:r>
          </w:p>
        </w:tc>
      </w:tr>
      <w:tr w:rsidR="00154E32" w14:paraId="1E4A847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9DD15A6" w14:textId="77777777" w:rsidR="00154E32" w:rsidRDefault="00A43E04">
            <w:pPr>
              <w:pStyle w:val="P68B1DB1-Normal12"/>
              <w:jc w:val="center"/>
              <w:rPr>
                <w:noProof/>
              </w:rPr>
            </w:pPr>
            <w:r>
              <w:rPr>
                <w:noProof/>
              </w:rPr>
              <w:t>M2C2–42</w:t>
            </w:r>
          </w:p>
        </w:tc>
        <w:tc>
          <w:tcPr>
            <w:tcW w:w="3118" w:type="dxa"/>
            <w:tcBorders>
              <w:top w:val="nil"/>
              <w:left w:val="nil"/>
              <w:bottom w:val="single" w:sz="4" w:space="0" w:color="auto"/>
              <w:right w:val="single" w:sz="4" w:space="0" w:color="auto"/>
            </w:tcBorders>
            <w:shd w:val="clear" w:color="auto" w:fill="C6EFCE"/>
            <w:noWrap/>
            <w:vAlign w:val="center"/>
          </w:tcPr>
          <w:p w14:paraId="61946A5A" w14:textId="77777777" w:rsidR="00154E32" w:rsidRDefault="00A43E04">
            <w:pPr>
              <w:pStyle w:val="P68B1DB1-Normal12"/>
              <w:rPr>
                <w:noProof/>
              </w:rPr>
            </w:pPr>
            <w:r>
              <w:rPr>
                <w:noProof/>
              </w:rPr>
              <w:t>Naložba 5.4: Podpora zagonskim podjetjem in tveganemu kapitalu, dejavnim v ekološkem prehodu</w:t>
            </w:r>
          </w:p>
        </w:tc>
        <w:tc>
          <w:tcPr>
            <w:tcW w:w="1418" w:type="dxa"/>
            <w:tcBorders>
              <w:top w:val="nil"/>
              <w:left w:val="nil"/>
              <w:bottom w:val="single" w:sz="4" w:space="0" w:color="auto"/>
              <w:right w:val="single" w:sz="4" w:space="0" w:color="auto"/>
            </w:tcBorders>
            <w:shd w:val="clear" w:color="auto" w:fill="C6EFCE"/>
            <w:noWrap/>
            <w:vAlign w:val="center"/>
          </w:tcPr>
          <w:p w14:paraId="15C0F1DD" w14:textId="77777777" w:rsidR="00154E32" w:rsidRDefault="00A43E04">
            <w:pPr>
              <w:pStyle w:val="P68B1DB1-Normal12"/>
              <w:rPr>
                <w:noProof/>
              </w:rPr>
            </w:pPr>
            <w:r>
              <w:rPr>
                <w:noProof/>
              </w:rPr>
              <w:t>Mejnik</w:t>
            </w:r>
          </w:p>
        </w:tc>
        <w:tc>
          <w:tcPr>
            <w:tcW w:w="3743" w:type="dxa"/>
            <w:tcBorders>
              <w:top w:val="nil"/>
              <w:left w:val="nil"/>
              <w:bottom w:val="single" w:sz="4" w:space="0" w:color="auto"/>
              <w:right w:val="single" w:sz="4" w:space="0" w:color="auto"/>
            </w:tcBorders>
            <w:shd w:val="clear" w:color="auto" w:fill="C6EFCE"/>
            <w:noWrap/>
            <w:vAlign w:val="center"/>
          </w:tcPr>
          <w:p w14:paraId="260B65BB" w14:textId="77777777" w:rsidR="00154E32" w:rsidRDefault="00A43E04">
            <w:pPr>
              <w:pStyle w:val="P68B1DB1-Normal12"/>
              <w:rPr>
                <w:noProof/>
              </w:rPr>
            </w:pPr>
            <w:r>
              <w:rPr>
                <w:noProof/>
              </w:rPr>
              <w:t>Podpis finančnega sporazuma</w:t>
            </w:r>
          </w:p>
        </w:tc>
      </w:tr>
      <w:tr w:rsidR="00154E32" w14:paraId="75C687A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BC962D0" w14:textId="77777777" w:rsidR="00154E32" w:rsidRDefault="00A43E04">
            <w:pPr>
              <w:pStyle w:val="P68B1DB1-Normal12"/>
              <w:jc w:val="center"/>
              <w:rPr>
                <w:noProof/>
              </w:rPr>
            </w:pPr>
            <w:r>
              <w:rPr>
                <w:noProof/>
              </w:rPr>
              <w:t>M2C3–4</w:t>
            </w:r>
          </w:p>
        </w:tc>
        <w:tc>
          <w:tcPr>
            <w:tcW w:w="3118" w:type="dxa"/>
            <w:tcBorders>
              <w:top w:val="nil"/>
              <w:left w:val="nil"/>
              <w:bottom w:val="single" w:sz="4" w:space="0" w:color="auto"/>
              <w:right w:val="single" w:sz="4" w:space="0" w:color="auto"/>
            </w:tcBorders>
            <w:shd w:val="clear" w:color="auto" w:fill="C6EFCE"/>
            <w:noWrap/>
            <w:vAlign w:val="center"/>
          </w:tcPr>
          <w:p w14:paraId="67E09044" w14:textId="77777777" w:rsidR="00154E32" w:rsidRDefault="00A43E04">
            <w:pPr>
              <w:pStyle w:val="P68B1DB1-Normal12"/>
              <w:rPr>
                <w:noProof/>
              </w:rPr>
            </w:pPr>
            <w:r>
              <w:rPr>
                <w:noProof/>
              </w:rPr>
              <w:t>Reforma 1.1: Poenostavitev in pospešitev postopkov za posredovanje na področju energijske učinkovitosti</w:t>
            </w:r>
          </w:p>
        </w:tc>
        <w:tc>
          <w:tcPr>
            <w:tcW w:w="1418" w:type="dxa"/>
            <w:tcBorders>
              <w:top w:val="nil"/>
              <w:left w:val="nil"/>
              <w:bottom w:val="single" w:sz="4" w:space="0" w:color="auto"/>
              <w:right w:val="single" w:sz="4" w:space="0" w:color="auto"/>
            </w:tcBorders>
            <w:shd w:val="clear" w:color="auto" w:fill="C6EFCE"/>
            <w:noWrap/>
            <w:vAlign w:val="center"/>
          </w:tcPr>
          <w:p w14:paraId="2D0B5E37" w14:textId="77777777" w:rsidR="00154E32" w:rsidRDefault="00A43E04">
            <w:pPr>
              <w:pStyle w:val="P68B1DB1-Normal12"/>
              <w:rPr>
                <w:noProof/>
              </w:rPr>
            </w:pPr>
            <w:r>
              <w:rPr>
                <w:noProof/>
              </w:rPr>
              <w:t>Mejnik</w:t>
            </w:r>
          </w:p>
        </w:tc>
        <w:tc>
          <w:tcPr>
            <w:tcW w:w="3743" w:type="dxa"/>
            <w:tcBorders>
              <w:top w:val="nil"/>
              <w:left w:val="nil"/>
              <w:bottom w:val="single" w:sz="4" w:space="0" w:color="auto"/>
              <w:right w:val="single" w:sz="4" w:space="0" w:color="auto"/>
            </w:tcBorders>
            <w:shd w:val="clear" w:color="auto" w:fill="C6EFCE"/>
            <w:noWrap/>
            <w:vAlign w:val="center"/>
          </w:tcPr>
          <w:p w14:paraId="282A31D5" w14:textId="77777777" w:rsidR="00154E32" w:rsidRDefault="00A43E04">
            <w:pPr>
              <w:pStyle w:val="P68B1DB1-Normal12"/>
              <w:rPr>
                <w:noProof/>
              </w:rPr>
            </w:pPr>
            <w:r>
              <w:rPr>
                <w:noProof/>
              </w:rPr>
              <w:t>Poenostavitev in pospešitev postopkov za posredovanje na področju energijske učinkovitosti</w:t>
            </w:r>
          </w:p>
        </w:tc>
      </w:tr>
      <w:tr w:rsidR="00154E32" w14:paraId="769BE93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C4EF240" w14:textId="77777777" w:rsidR="00154E32" w:rsidRDefault="00A43E04">
            <w:pPr>
              <w:pStyle w:val="P68B1DB1-Normal12"/>
              <w:jc w:val="center"/>
              <w:rPr>
                <w:noProof/>
              </w:rPr>
            </w:pPr>
            <w:r>
              <w:rPr>
                <w:noProof/>
              </w:rPr>
              <w:t>M2C4–1</w:t>
            </w:r>
          </w:p>
        </w:tc>
        <w:tc>
          <w:tcPr>
            <w:tcW w:w="3118" w:type="dxa"/>
            <w:tcBorders>
              <w:top w:val="nil"/>
              <w:left w:val="nil"/>
              <w:bottom w:val="single" w:sz="4" w:space="0" w:color="auto"/>
              <w:right w:val="single" w:sz="4" w:space="0" w:color="auto"/>
            </w:tcBorders>
            <w:shd w:val="clear" w:color="auto" w:fill="C6EFCE"/>
            <w:noWrap/>
            <w:vAlign w:val="center"/>
          </w:tcPr>
          <w:p w14:paraId="5BB06055" w14:textId="77777777" w:rsidR="00154E32" w:rsidRDefault="00A43E04">
            <w:pPr>
              <w:pStyle w:val="P68B1DB1-Normal12"/>
              <w:rPr>
                <w:noProof/>
              </w:rPr>
            </w:pPr>
            <w:r>
              <w:rPr>
                <w:noProof/>
              </w:rPr>
              <w:t>Reforma 2.1. Poenostavitev in pospešitev postopkov za izvajanje ukrepov proti hidrogeološki nestabilnosti</w:t>
            </w:r>
          </w:p>
        </w:tc>
        <w:tc>
          <w:tcPr>
            <w:tcW w:w="1418" w:type="dxa"/>
            <w:tcBorders>
              <w:top w:val="nil"/>
              <w:left w:val="nil"/>
              <w:bottom w:val="single" w:sz="4" w:space="0" w:color="auto"/>
              <w:right w:val="single" w:sz="4" w:space="0" w:color="auto"/>
            </w:tcBorders>
            <w:shd w:val="clear" w:color="auto" w:fill="C6EFCE"/>
            <w:noWrap/>
            <w:vAlign w:val="center"/>
          </w:tcPr>
          <w:p w14:paraId="186C89FA" w14:textId="77777777" w:rsidR="00154E32" w:rsidRDefault="00A43E04">
            <w:pPr>
              <w:pStyle w:val="P68B1DB1-Normal12"/>
              <w:rPr>
                <w:noProof/>
              </w:rPr>
            </w:pPr>
            <w:r>
              <w:rPr>
                <w:noProof/>
              </w:rPr>
              <w:t>Mejnik</w:t>
            </w:r>
          </w:p>
        </w:tc>
        <w:tc>
          <w:tcPr>
            <w:tcW w:w="3743" w:type="dxa"/>
            <w:tcBorders>
              <w:top w:val="nil"/>
              <w:left w:val="nil"/>
              <w:bottom w:val="single" w:sz="4" w:space="0" w:color="auto"/>
              <w:right w:val="single" w:sz="4" w:space="0" w:color="auto"/>
            </w:tcBorders>
            <w:shd w:val="clear" w:color="auto" w:fill="C6EFCE"/>
            <w:noWrap/>
            <w:vAlign w:val="center"/>
          </w:tcPr>
          <w:p w14:paraId="16F60148" w14:textId="77777777" w:rsidR="00154E32" w:rsidRDefault="00A43E04">
            <w:pPr>
              <w:pStyle w:val="P68B1DB1-Normal12"/>
              <w:rPr>
                <w:noProof/>
              </w:rPr>
            </w:pPr>
            <w:r>
              <w:rPr>
                <w:noProof/>
              </w:rPr>
              <w:t>Začetek veljavnosti poenostavitve pravnega okvira za boljše obvladovanje hidroloških tveganj</w:t>
            </w:r>
          </w:p>
        </w:tc>
      </w:tr>
      <w:tr w:rsidR="00154E32" w14:paraId="05819BF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64FD14E" w14:textId="77777777" w:rsidR="00154E32" w:rsidRDefault="00A43E04">
            <w:pPr>
              <w:pStyle w:val="P68B1DB1-Normal12"/>
              <w:jc w:val="center"/>
              <w:rPr>
                <w:noProof/>
              </w:rPr>
            </w:pPr>
            <w:r>
              <w:rPr>
                <w:noProof/>
              </w:rPr>
              <w:t>M2C4–4</w:t>
            </w:r>
          </w:p>
        </w:tc>
        <w:tc>
          <w:tcPr>
            <w:tcW w:w="3118" w:type="dxa"/>
            <w:tcBorders>
              <w:top w:val="nil"/>
              <w:left w:val="nil"/>
              <w:bottom w:val="single" w:sz="4" w:space="0" w:color="auto"/>
              <w:right w:val="single" w:sz="4" w:space="0" w:color="auto"/>
            </w:tcBorders>
            <w:shd w:val="clear" w:color="auto" w:fill="C6EFCE"/>
            <w:noWrap/>
            <w:vAlign w:val="center"/>
          </w:tcPr>
          <w:p w14:paraId="4F1D78D3" w14:textId="77777777" w:rsidR="00154E32" w:rsidRDefault="00A43E04">
            <w:pPr>
              <w:pStyle w:val="P68B1DB1-Normal12"/>
              <w:rPr>
                <w:noProof/>
              </w:rPr>
            </w:pPr>
            <w:r>
              <w:rPr>
                <w:noProof/>
              </w:rPr>
              <w:t>Reforma 4.2 „Ukrepi za zagotovitev popolnih upravljavskih zmogljivosti za integrirane storitve v zvezi z vodo</w:t>
            </w:r>
          </w:p>
        </w:tc>
        <w:tc>
          <w:tcPr>
            <w:tcW w:w="1418" w:type="dxa"/>
            <w:tcBorders>
              <w:top w:val="nil"/>
              <w:left w:val="nil"/>
              <w:bottom w:val="single" w:sz="4" w:space="0" w:color="auto"/>
              <w:right w:val="single" w:sz="4" w:space="0" w:color="auto"/>
            </w:tcBorders>
            <w:shd w:val="clear" w:color="auto" w:fill="C6EFCE"/>
            <w:noWrap/>
            <w:vAlign w:val="center"/>
          </w:tcPr>
          <w:p w14:paraId="38B1082D" w14:textId="77777777" w:rsidR="00154E32" w:rsidRDefault="00A43E04">
            <w:pPr>
              <w:pStyle w:val="P68B1DB1-Normal12"/>
              <w:rPr>
                <w:noProof/>
              </w:rPr>
            </w:pPr>
            <w:r>
              <w:rPr>
                <w:noProof/>
              </w:rPr>
              <w:t>Mejnik</w:t>
            </w:r>
          </w:p>
        </w:tc>
        <w:tc>
          <w:tcPr>
            <w:tcW w:w="3743" w:type="dxa"/>
            <w:tcBorders>
              <w:top w:val="nil"/>
              <w:left w:val="nil"/>
              <w:bottom w:val="single" w:sz="4" w:space="0" w:color="auto"/>
              <w:right w:val="single" w:sz="4" w:space="0" w:color="auto"/>
            </w:tcBorders>
            <w:shd w:val="clear" w:color="auto" w:fill="C6EFCE"/>
            <w:noWrap/>
            <w:vAlign w:val="center"/>
          </w:tcPr>
          <w:p w14:paraId="7A9371CC" w14:textId="77777777" w:rsidR="00154E32" w:rsidRDefault="00A43E04">
            <w:pPr>
              <w:pStyle w:val="P68B1DB1-Normal12"/>
              <w:rPr>
                <w:noProof/>
              </w:rPr>
            </w:pPr>
            <w:r>
              <w:rPr>
                <w:noProof/>
              </w:rPr>
              <w:t>Začetek veljavnosti novega pravnega okvira za namakanje</w:t>
            </w:r>
          </w:p>
        </w:tc>
      </w:tr>
      <w:tr w:rsidR="00154E32" w14:paraId="13031E0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84837B4" w14:textId="77777777" w:rsidR="00154E32" w:rsidRDefault="00A43E04">
            <w:pPr>
              <w:pStyle w:val="P68B1DB1-Normal12"/>
              <w:jc w:val="center"/>
              <w:rPr>
                <w:noProof/>
              </w:rPr>
            </w:pPr>
            <w:r>
              <w:rPr>
                <w:noProof/>
              </w:rPr>
              <w:t>M4C1–3</w:t>
            </w:r>
          </w:p>
        </w:tc>
        <w:tc>
          <w:tcPr>
            <w:tcW w:w="3118" w:type="dxa"/>
            <w:tcBorders>
              <w:top w:val="nil"/>
              <w:left w:val="nil"/>
              <w:bottom w:val="single" w:sz="4" w:space="0" w:color="auto"/>
              <w:right w:val="single" w:sz="4" w:space="0" w:color="auto"/>
            </w:tcBorders>
            <w:shd w:val="clear" w:color="auto" w:fill="C6EFCE"/>
            <w:noWrap/>
            <w:vAlign w:val="center"/>
          </w:tcPr>
          <w:p w14:paraId="658DD559" w14:textId="77777777" w:rsidR="00154E32" w:rsidRDefault="00A43E04">
            <w:pPr>
              <w:pStyle w:val="P68B1DB1-Normal12"/>
              <w:rPr>
                <w:noProof/>
              </w:rPr>
            </w:pPr>
            <w:r>
              <w:rPr>
                <w:noProof/>
              </w:rPr>
              <w:t>Reforma 2.1: Zaposlovanje učiteljev</w:t>
            </w:r>
          </w:p>
        </w:tc>
        <w:tc>
          <w:tcPr>
            <w:tcW w:w="1418" w:type="dxa"/>
            <w:tcBorders>
              <w:top w:val="nil"/>
              <w:left w:val="nil"/>
              <w:bottom w:val="single" w:sz="4" w:space="0" w:color="auto"/>
              <w:right w:val="single" w:sz="4" w:space="0" w:color="auto"/>
            </w:tcBorders>
            <w:shd w:val="clear" w:color="auto" w:fill="C6EFCE"/>
            <w:noWrap/>
            <w:vAlign w:val="center"/>
          </w:tcPr>
          <w:p w14:paraId="0D3E92D3" w14:textId="77777777" w:rsidR="00154E32" w:rsidRDefault="00A43E04">
            <w:pPr>
              <w:pStyle w:val="P68B1DB1-Normal12"/>
              <w:rPr>
                <w:noProof/>
              </w:rPr>
            </w:pPr>
            <w:r>
              <w:rPr>
                <w:noProof/>
              </w:rPr>
              <w:t>Mejnik</w:t>
            </w:r>
          </w:p>
        </w:tc>
        <w:tc>
          <w:tcPr>
            <w:tcW w:w="3743" w:type="dxa"/>
            <w:tcBorders>
              <w:top w:val="nil"/>
              <w:left w:val="nil"/>
              <w:bottom w:val="single" w:sz="4" w:space="0" w:color="auto"/>
              <w:right w:val="single" w:sz="4" w:space="0" w:color="auto"/>
            </w:tcBorders>
            <w:shd w:val="clear" w:color="auto" w:fill="C6EFCE"/>
            <w:noWrap/>
            <w:vAlign w:val="center"/>
          </w:tcPr>
          <w:p w14:paraId="349353D0" w14:textId="77777777" w:rsidR="00154E32" w:rsidRDefault="00A43E04">
            <w:pPr>
              <w:pStyle w:val="P68B1DB1-Normal12"/>
              <w:rPr>
                <w:noProof/>
              </w:rPr>
            </w:pPr>
            <w:r>
              <w:rPr>
                <w:noProof/>
              </w:rPr>
              <w:t>Začetek veljavnosti reforme učiteljskega poklica.</w:t>
            </w:r>
          </w:p>
        </w:tc>
      </w:tr>
      <w:tr w:rsidR="00154E32" w14:paraId="427DF03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9A355EB" w14:textId="77777777" w:rsidR="00154E32" w:rsidRDefault="00A43E04">
            <w:pPr>
              <w:pStyle w:val="P68B1DB1-Normal12"/>
              <w:jc w:val="center"/>
              <w:rPr>
                <w:noProof/>
              </w:rPr>
            </w:pPr>
            <w:r>
              <w:rPr>
                <w:noProof/>
              </w:rPr>
              <w:t>M4C1–4</w:t>
            </w:r>
          </w:p>
        </w:tc>
        <w:tc>
          <w:tcPr>
            <w:tcW w:w="3118" w:type="dxa"/>
            <w:tcBorders>
              <w:top w:val="nil"/>
              <w:left w:val="nil"/>
              <w:bottom w:val="single" w:sz="4" w:space="0" w:color="auto"/>
              <w:right w:val="single" w:sz="4" w:space="0" w:color="auto"/>
            </w:tcBorders>
            <w:shd w:val="clear" w:color="auto" w:fill="C6EFCE"/>
            <w:noWrap/>
            <w:vAlign w:val="center"/>
          </w:tcPr>
          <w:p w14:paraId="0A2409BE" w14:textId="77777777" w:rsidR="00154E32" w:rsidRDefault="00A43E04">
            <w:pPr>
              <w:pStyle w:val="P68B1DB1-Normal12"/>
              <w:rPr>
                <w:noProof/>
              </w:rPr>
            </w:pPr>
            <w:r>
              <w:rPr>
                <w:noProof/>
              </w:rPr>
              <w:t>Naložba 3.2: Šola 4.0: inovativne šole, ožičenje, nove učilnice in delavnice</w:t>
            </w:r>
          </w:p>
        </w:tc>
        <w:tc>
          <w:tcPr>
            <w:tcW w:w="1418" w:type="dxa"/>
            <w:tcBorders>
              <w:top w:val="nil"/>
              <w:left w:val="nil"/>
              <w:bottom w:val="single" w:sz="4" w:space="0" w:color="auto"/>
              <w:right w:val="single" w:sz="4" w:space="0" w:color="auto"/>
            </w:tcBorders>
            <w:shd w:val="clear" w:color="auto" w:fill="C6EFCE"/>
            <w:noWrap/>
            <w:vAlign w:val="center"/>
          </w:tcPr>
          <w:p w14:paraId="23966AC2" w14:textId="77777777" w:rsidR="00154E32" w:rsidRDefault="00A43E04">
            <w:pPr>
              <w:pStyle w:val="P68B1DB1-Normal12"/>
              <w:rPr>
                <w:noProof/>
              </w:rPr>
            </w:pPr>
            <w:r>
              <w:rPr>
                <w:noProof/>
              </w:rPr>
              <w:t>Mejnik</w:t>
            </w:r>
          </w:p>
        </w:tc>
        <w:tc>
          <w:tcPr>
            <w:tcW w:w="3743" w:type="dxa"/>
            <w:tcBorders>
              <w:top w:val="nil"/>
              <w:left w:val="nil"/>
              <w:bottom w:val="single" w:sz="4" w:space="0" w:color="auto"/>
              <w:right w:val="single" w:sz="4" w:space="0" w:color="auto"/>
            </w:tcBorders>
            <w:shd w:val="clear" w:color="auto" w:fill="C6EFCE"/>
            <w:noWrap/>
            <w:vAlign w:val="center"/>
          </w:tcPr>
          <w:p w14:paraId="5C8A58CF" w14:textId="77777777" w:rsidR="00154E32" w:rsidRDefault="00A43E04">
            <w:pPr>
              <w:pStyle w:val="P68B1DB1-Normal12"/>
              <w:rPr>
                <w:noProof/>
              </w:rPr>
            </w:pPr>
            <w:r>
              <w:rPr>
                <w:noProof/>
              </w:rPr>
              <w:t>Sprejet je načrt šole 4.0 za spodbujanje digitalnega prehoda italijanskega šolskega sistema</w:t>
            </w:r>
          </w:p>
        </w:tc>
      </w:tr>
      <w:tr w:rsidR="00154E32" w14:paraId="7D119BB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47540D9" w14:textId="77777777" w:rsidR="00154E32" w:rsidRDefault="00A43E04">
            <w:pPr>
              <w:pStyle w:val="P68B1DB1-Normal12"/>
              <w:jc w:val="center"/>
              <w:rPr>
                <w:noProof/>
              </w:rPr>
            </w:pPr>
            <w:r>
              <w:rPr>
                <w:noProof/>
              </w:rPr>
              <w:t>M4C2–4</w:t>
            </w:r>
          </w:p>
        </w:tc>
        <w:tc>
          <w:tcPr>
            <w:tcW w:w="3118" w:type="dxa"/>
            <w:tcBorders>
              <w:top w:val="nil"/>
              <w:left w:val="nil"/>
              <w:bottom w:val="single" w:sz="4" w:space="0" w:color="auto"/>
              <w:right w:val="single" w:sz="4" w:space="0" w:color="auto"/>
            </w:tcBorders>
            <w:shd w:val="clear" w:color="auto" w:fill="C6EFCE"/>
            <w:noWrap/>
            <w:vAlign w:val="center"/>
          </w:tcPr>
          <w:p w14:paraId="5145C0FD" w14:textId="77777777" w:rsidR="00154E32" w:rsidRDefault="00A43E04">
            <w:pPr>
              <w:pStyle w:val="P68B1DB1-Normal12"/>
              <w:rPr>
                <w:noProof/>
              </w:rPr>
            </w:pPr>
            <w:r>
              <w:rPr>
                <w:noProof/>
              </w:rPr>
              <w:t>Reforma 1.1: Izvajanje podpornih ukrepov za raziskave in razvoj za spodbujanje poenostavitve in mobilnosti</w:t>
            </w:r>
          </w:p>
        </w:tc>
        <w:tc>
          <w:tcPr>
            <w:tcW w:w="1418" w:type="dxa"/>
            <w:tcBorders>
              <w:top w:val="nil"/>
              <w:left w:val="nil"/>
              <w:bottom w:val="single" w:sz="4" w:space="0" w:color="auto"/>
              <w:right w:val="single" w:sz="4" w:space="0" w:color="auto"/>
            </w:tcBorders>
            <w:shd w:val="clear" w:color="auto" w:fill="C6EFCE"/>
            <w:noWrap/>
            <w:vAlign w:val="center"/>
          </w:tcPr>
          <w:p w14:paraId="7C0982FF" w14:textId="77777777" w:rsidR="00154E32" w:rsidRDefault="00A43E04">
            <w:pPr>
              <w:pStyle w:val="P68B1DB1-Normal12"/>
              <w:rPr>
                <w:noProof/>
              </w:rPr>
            </w:pPr>
            <w:r>
              <w:rPr>
                <w:noProof/>
              </w:rPr>
              <w:t>Mejnik</w:t>
            </w:r>
          </w:p>
        </w:tc>
        <w:tc>
          <w:tcPr>
            <w:tcW w:w="3743" w:type="dxa"/>
            <w:tcBorders>
              <w:top w:val="nil"/>
              <w:left w:val="nil"/>
              <w:bottom w:val="single" w:sz="4" w:space="0" w:color="auto"/>
              <w:right w:val="single" w:sz="4" w:space="0" w:color="auto"/>
            </w:tcBorders>
            <w:shd w:val="clear" w:color="auto" w:fill="C6EFCE"/>
            <w:noWrap/>
            <w:vAlign w:val="center"/>
          </w:tcPr>
          <w:p w14:paraId="13F36FB8" w14:textId="77777777" w:rsidR="00154E32" w:rsidRDefault="00A43E04">
            <w:pPr>
              <w:pStyle w:val="P68B1DB1-Normal12"/>
              <w:rPr>
                <w:noProof/>
              </w:rPr>
            </w:pPr>
            <w:r>
              <w:rPr>
                <w:noProof/>
              </w:rPr>
              <w:t>Začetek veljavnosti ministrskih odlokov o poenostavitvi raziskav in razvoja ter mobilnosti, povezanih z običajnim finančnim skladom.</w:t>
            </w:r>
          </w:p>
        </w:tc>
      </w:tr>
      <w:tr w:rsidR="00154E32" w14:paraId="2E5C1B55"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278FAC53" w14:textId="77777777" w:rsidR="00154E32" w:rsidRDefault="00154E32">
            <w:pPr>
              <w:jc w:val="center"/>
              <w:rPr>
                <w:noProof/>
                <w:color w:val="006100"/>
                <w:sz w:val="20"/>
              </w:rPr>
            </w:pPr>
          </w:p>
        </w:tc>
        <w:tc>
          <w:tcPr>
            <w:tcW w:w="3118" w:type="dxa"/>
            <w:tcBorders>
              <w:top w:val="single" w:sz="4" w:space="0" w:color="auto"/>
              <w:left w:val="nil"/>
              <w:bottom w:val="single" w:sz="4" w:space="0" w:color="auto"/>
              <w:right w:val="single" w:sz="4" w:space="0" w:color="auto"/>
            </w:tcBorders>
            <w:shd w:val="clear" w:color="auto" w:fill="C6EFCE"/>
            <w:noWrap/>
            <w:vAlign w:val="bottom"/>
          </w:tcPr>
          <w:p w14:paraId="4DD2B4E8" w14:textId="77777777" w:rsidR="00154E32" w:rsidRDefault="00154E32">
            <w:pPr>
              <w:rPr>
                <w:noProof/>
                <w:color w:val="006100"/>
                <w:sz w:val="20"/>
              </w:rPr>
            </w:pPr>
          </w:p>
        </w:tc>
        <w:tc>
          <w:tcPr>
            <w:tcW w:w="1418" w:type="dxa"/>
            <w:tcBorders>
              <w:top w:val="single" w:sz="4" w:space="0" w:color="auto"/>
              <w:left w:val="nil"/>
              <w:bottom w:val="single" w:sz="4" w:space="0" w:color="auto"/>
              <w:right w:val="single" w:sz="4" w:space="0" w:color="auto"/>
            </w:tcBorders>
            <w:shd w:val="clear" w:color="auto" w:fill="C6EFCE"/>
            <w:noWrap/>
            <w:vAlign w:val="bottom"/>
          </w:tcPr>
          <w:p w14:paraId="2773106F" w14:textId="77777777" w:rsidR="00154E32" w:rsidRDefault="00A43E04">
            <w:pPr>
              <w:pStyle w:val="P68B1DB1-Normal12"/>
              <w:rPr>
                <w:noProof/>
              </w:rPr>
            </w:pPr>
            <w:r>
              <w:rPr>
                <w:noProof/>
              </w:rPr>
              <w:t>Znesek obroka</w:t>
            </w:r>
          </w:p>
        </w:tc>
        <w:tc>
          <w:tcPr>
            <w:tcW w:w="3743" w:type="dxa"/>
            <w:tcBorders>
              <w:top w:val="single" w:sz="4" w:space="0" w:color="auto"/>
              <w:left w:val="nil"/>
              <w:bottom w:val="single" w:sz="4" w:space="0" w:color="auto"/>
              <w:right w:val="single" w:sz="4" w:space="0" w:color="auto"/>
            </w:tcBorders>
            <w:shd w:val="clear" w:color="auto" w:fill="C6EFCE"/>
            <w:noWrap/>
            <w:vAlign w:val="bottom"/>
          </w:tcPr>
          <w:p w14:paraId="044A383C" w14:textId="060E6C35" w:rsidR="00154E32" w:rsidRDefault="00A43E04">
            <w:pPr>
              <w:pStyle w:val="P68B1DB1-Normal46"/>
              <w:rPr>
                <w:noProof/>
              </w:rPr>
            </w:pPr>
            <w:r>
              <w:rPr>
                <w:noProof/>
              </w:rPr>
              <w:t>11</w:t>
            </w:r>
            <w:r>
              <w:rPr>
                <w:noProof/>
              </w:rPr>
              <w:t> </w:t>
            </w:r>
            <w:r>
              <w:rPr>
                <w:noProof/>
              </w:rPr>
              <w:t>494</w:t>
            </w:r>
            <w:r>
              <w:rPr>
                <w:noProof/>
              </w:rPr>
              <w:t> </w:t>
            </w:r>
            <w:r>
              <w:rPr>
                <w:noProof/>
              </w:rPr>
              <w:t>252</w:t>
            </w:r>
            <w:r>
              <w:rPr>
                <w:noProof/>
              </w:rPr>
              <w:t> </w:t>
            </w:r>
            <w:r>
              <w:rPr>
                <w:noProof/>
              </w:rPr>
              <w:t>874</w:t>
            </w:r>
            <w:r>
              <w:rPr>
                <w:noProof/>
              </w:rPr>
              <w:t> </w:t>
            </w:r>
            <w:r>
              <w:rPr>
                <w:noProof/>
              </w:rPr>
              <w:t xml:space="preserve">EUR  </w:t>
            </w:r>
          </w:p>
        </w:tc>
      </w:tr>
    </w:tbl>
    <w:p w14:paraId="4608591D" w14:textId="1F3C23D8" w:rsidR="00154E32" w:rsidRDefault="00A43E04">
      <w:pPr>
        <w:pStyle w:val="P68B1DB1-Normal44"/>
        <w:numPr>
          <w:ilvl w:val="1"/>
          <w:numId w:val="6"/>
        </w:numPr>
        <w:spacing w:before="120" w:after="120"/>
        <w:jc w:val="both"/>
        <w:rPr>
          <w:noProof/>
        </w:rPr>
      </w:pPr>
      <w:r>
        <w:rPr>
          <w:noProof/>
        </w:rPr>
        <w:t>Tretji obrok (nepovratna podpora):</w:t>
      </w:r>
    </w:p>
    <w:tbl>
      <w:tblPr>
        <w:tblW w:w="9814" w:type="dxa"/>
        <w:tblInd w:w="113" w:type="dxa"/>
        <w:tblLook w:val="04A0" w:firstRow="1" w:lastRow="0" w:firstColumn="1" w:lastColumn="0" w:noHBand="0" w:noVBand="1"/>
      </w:tblPr>
      <w:tblGrid>
        <w:gridCol w:w="1413"/>
        <w:gridCol w:w="3118"/>
        <w:gridCol w:w="1418"/>
        <w:gridCol w:w="3865"/>
      </w:tblGrid>
      <w:tr w:rsidR="00154E32" w14:paraId="024385C5" w14:textId="77777777">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151C294" w14:textId="77777777" w:rsidR="00154E32" w:rsidRDefault="00A43E04">
            <w:pPr>
              <w:pStyle w:val="P68B1DB1-Normal45"/>
              <w:jc w:val="center"/>
              <w:rPr>
                <w:noProof/>
              </w:rPr>
            </w:pPr>
            <w:r>
              <w:rPr>
                <w:noProof/>
              </w:rPr>
              <w:t>Zaporedna številka</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8A2855B" w14:textId="77777777" w:rsidR="00154E32" w:rsidRDefault="00A43E04">
            <w:pPr>
              <w:pStyle w:val="P68B1DB1-Normal45"/>
              <w:jc w:val="center"/>
              <w:rPr>
                <w:noProof/>
              </w:rPr>
            </w:pPr>
            <w:r>
              <w:rPr>
                <w:noProof/>
              </w:rPr>
              <w:t>Povezani ukrep (reforma ali naložba)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DE2A284" w14:textId="77777777" w:rsidR="00154E32" w:rsidRDefault="00A43E04">
            <w:pPr>
              <w:pStyle w:val="P68B1DB1-Normal45"/>
              <w:jc w:val="center"/>
              <w:rPr>
                <w:noProof/>
              </w:rPr>
            </w:pPr>
            <w:r>
              <w:rPr>
                <w:noProof/>
              </w:rPr>
              <w:t>Mejnik/cilj</w:t>
            </w:r>
          </w:p>
        </w:tc>
        <w:tc>
          <w:tcPr>
            <w:tcW w:w="386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A816D1B" w14:textId="77777777" w:rsidR="00154E32" w:rsidRDefault="00A43E04">
            <w:pPr>
              <w:pStyle w:val="P68B1DB1-Normal45"/>
              <w:jc w:val="center"/>
              <w:rPr>
                <w:noProof/>
              </w:rPr>
            </w:pPr>
            <w:r>
              <w:rPr>
                <w:noProof/>
              </w:rPr>
              <w:t>Ime</w:t>
            </w:r>
          </w:p>
        </w:tc>
      </w:tr>
      <w:tr w:rsidR="00154E32" w14:paraId="4C58571F" w14:textId="77777777">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36F8BB0" w14:textId="77777777" w:rsidR="00154E32" w:rsidRDefault="00154E32">
            <w:pPr>
              <w:rPr>
                <w:b/>
                <w:noProof/>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94ED6D4" w14:textId="77777777" w:rsidR="00154E32" w:rsidRDefault="00154E32">
            <w:pPr>
              <w:rPr>
                <w:b/>
                <w:noProof/>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0943F30" w14:textId="77777777" w:rsidR="00154E32" w:rsidRDefault="00154E32">
            <w:pPr>
              <w:rPr>
                <w:b/>
                <w:noProof/>
              </w:rPr>
            </w:pPr>
          </w:p>
        </w:tc>
        <w:tc>
          <w:tcPr>
            <w:tcW w:w="3865" w:type="dxa"/>
            <w:vMerge/>
            <w:tcBorders>
              <w:top w:val="single" w:sz="4" w:space="0" w:color="auto"/>
              <w:left w:val="single" w:sz="4" w:space="0" w:color="auto"/>
              <w:bottom w:val="single" w:sz="4" w:space="0" w:color="auto"/>
              <w:right w:val="single" w:sz="4" w:space="0" w:color="auto"/>
            </w:tcBorders>
            <w:vAlign w:val="center"/>
            <w:hideMark/>
          </w:tcPr>
          <w:p w14:paraId="5248C271" w14:textId="77777777" w:rsidR="00154E32" w:rsidRDefault="00154E32">
            <w:pPr>
              <w:rPr>
                <w:b/>
                <w:noProof/>
              </w:rPr>
            </w:pPr>
          </w:p>
        </w:tc>
      </w:tr>
      <w:tr w:rsidR="00154E32" w14:paraId="09249A6E"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4131F0B" w14:textId="77777777" w:rsidR="00154E32" w:rsidRDefault="00A43E04">
            <w:pPr>
              <w:pStyle w:val="P68B1DB1-Normal12"/>
              <w:jc w:val="center"/>
              <w:rPr>
                <w:noProof/>
              </w:rPr>
            </w:pPr>
            <w:r>
              <w:rPr>
                <w:noProof/>
              </w:rPr>
              <w:t>M2C4–2</w:t>
            </w:r>
          </w:p>
        </w:tc>
        <w:tc>
          <w:tcPr>
            <w:tcW w:w="3118" w:type="dxa"/>
            <w:tcBorders>
              <w:top w:val="single" w:sz="4" w:space="0" w:color="auto"/>
              <w:left w:val="nil"/>
              <w:bottom w:val="single" w:sz="4" w:space="0" w:color="auto"/>
              <w:right w:val="single" w:sz="4" w:space="0" w:color="auto"/>
            </w:tcBorders>
            <w:shd w:val="clear" w:color="auto" w:fill="C6EFCE"/>
            <w:noWrap/>
            <w:vAlign w:val="center"/>
          </w:tcPr>
          <w:p w14:paraId="1C9AE096" w14:textId="77777777" w:rsidR="00154E32" w:rsidRDefault="00A43E04">
            <w:pPr>
              <w:pStyle w:val="P68B1DB1-Normal12"/>
              <w:rPr>
                <w:noProof/>
              </w:rPr>
            </w:pPr>
            <w:r>
              <w:rPr>
                <w:noProof/>
              </w:rPr>
              <w:t>Reforma 4.2 „Ukrepi za zagotovitev popolnih upravljavskih zmogljivosti za integrirane storitve v zvezi z vodo“</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7CA68A11" w14:textId="77777777" w:rsidR="00154E32" w:rsidRDefault="00A43E04">
            <w:pPr>
              <w:pStyle w:val="P68B1DB1-Normal12"/>
              <w:rPr>
                <w:noProof/>
              </w:rPr>
            </w:pPr>
            <w:r>
              <w:rPr>
                <w:noProof/>
              </w:rPr>
              <w:t>Mejnik</w:t>
            </w:r>
          </w:p>
        </w:tc>
        <w:tc>
          <w:tcPr>
            <w:tcW w:w="3865" w:type="dxa"/>
            <w:tcBorders>
              <w:top w:val="single" w:sz="4" w:space="0" w:color="auto"/>
              <w:left w:val="nil"/>
              <w:bottom w:val="single" w:sz="4" w:space="0" w:color="auto"/>
              <w:right w:val="single" w:sz="4" w:space="0" w:color="auto"/>
            </w:tcBorders>
            <w:shd w:val="clear" w:color="auto" w:fill="C6EFCE"/>
            <w:noWrap/>
            <w:vAlign w:val="center"/>
          </w:tcPr>
          <w:p w14:paraId="1C0BBB7E" w14:textId="77777777" w:rsidR="00154E32" w:rsidRDefault="00A43E04">
            <w:pPr>
              <w:pStyle w:val="P68B1DB1-Normal12"/>
              <w:rPr>
                <w:noProof/>
              </w:rPr>
            </w:pPr>
            <w:r>
              <w:rPr>
                <w:noProof/>
              </w:rPr>
              <w:t xml:space="preserve">Začetek veljavnosti reforme za zagotovitev popolnih upravljavskih zmogljivosti za integrirane storitve v zvezi z vodo </w:t>
            </w:r>
          </w:p>
        </w:tc>
      </w:tr>
      <w:tr w:rsidR="00154E32" w14:paraId="7F06C08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C4536A4" w14:textId="77777777" w:rsidR="00154E32" w:rsidRDefault="00A43E04">
            <w:pPr>
              <w:pStyle w:val="P68B1DB1-Normal12"/>
              <w:jc w:val="center"/>
              <w:rPr>
                <w:noProof/>
              </w:rPr>
            </w:pPr>
            <w:r>
              <w:rPr>
                <w:noProof/>
              </w:rPr>
              <w:t>M1C1–3</w:t>
            </w:r>
          </w:p>
        </w:tc>
        <w:tc>
          <w:tcPr>
            <w:tcW w:w="3118" w:type="dxa"/>
            <w:tcBorders>
              <w:top w:val="nil"/>
              <w:left w:val="nil"/>
              <w:bottom w:val="single" w:sz="4" w:space="0" w:color="auto"/>
              <w:right w:val="single" w:sz="4" w:space="0" w:color="auto"/>
            </w:tcBorders>
            <w:shd w:val="clear" w:color="auto" w:fill="C6EFCE"/>
            <w:noWrap/>
            <w:vAlign w:val="center"/>
          </w:tcPr>
          <w:p w14:paraId="664E12C2" w14:textId="77777777" w:rsidR="00154E32" w:rsidRDefault="00A43E04">
            <w:pPr>
              <w:pStyle w:val="P68B1DB1-Normal12"/>
              <w:rPr>
                <w:noProof/>
              </w:rPr>
            </w:pPr>
            <w:r>
              <w:rPr>
                <w:noProof/>
              </w:rPr>
              <w:t>Naložba 1.1: Digitalna infrastruktura</w:t>
            </w:r>
          </w:p>
        </w:tc>
        <w:tc>
          <w:tcPr>
            <w:tcW w:w="1418" w:type="dxa"/>
            <w:tcBorders>
              <w:top w:val="nil"/>
              <w:left w:val="nil"/>
              <w:bottom w:val="single" w:sz="4" w:space="0" w:color="auto"/>
              <w:right w:val="single" w:sz="4" w:space="0" w:color="auto"/>
            </w:tcBorders>
            <w:shd w:val="clear" w:color="auto" w:fill="C6EFCE"/>
            <w:noWrap/>
            <w:vAlign w:val="center"/>
          </w:tcPr>
          <w:p w14:paraId="5C328CDE" w14:textId="77777777" w:rsidR="00154E32" w:rsidRDefault="00A43E04">
            <w:pPr>
              <w:pStyle w:val="P68B1DB1-Normal12"/>
              <w:rPr>
                <w:noProof/>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1A530C2C" w14:textId="77777777" w:rsidR="00154E32" w:rsidRDefault="00A43E04">
            <w:pPr>
              <w:pStyle w:val="P68B1DB1-Normal12"/>
              <w:rPr>
                <w:noProof/>
              </w:rPr>
            </w:pPr>
            <w:r>
              <w:rPr>
                <w:noProof/>
              </w:rPr>
              <w:t>Zaključek Polo Strategico Nazionale (PSN)</w:t>
            </w:r>
          </w:p>
        </w:tc>
      </w:tr>
      <w:tr w:rsidR="00154E32" w14:paraId="62D1831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1162037" w14:textId="77777777" w:rsidR="00154E32" w:rsidRDefault="00A43E04">
            <w:pPr>
              <w:pStyle w:val="P68B1DB1-Normal12"/>
              <w:jc w:val="center"/>
              <w:rPr>
                <w:noProof/>
              </w:rPr>
            </w:pPr>
            <w:r>
              <w:rPr>
                <w:noProof/>
              </w:rPr>
              <w:t>M1C1–4</w:t>
            </w:r>
          </w:p>
        </w:tc>
        <w:tc>
          <w:tcPr>
            <w:tcW w:w="3118" w:type="dxa"/>
            <w:tcBorders>
              <w:top w:val="nil"/>
              <w:left w:val="nil"/>
              <w:bottom w:val="single" w:sz="4" w:space="0" w:color="auto"/>
              <w:right w:val="single" w:sz="4" w:space="0" w:color="auto"/>
            </w:tcBorders>
            <w:shd w:val="clear" w:color="auto" w:fill="C6EFCE"/>
            <w:noWrap/>
            <w:vAlign w:val="center"/>
          </w:tcPr>
          <w:p w14:paraId="08DEB7F9" w14:textId="77777777" w:rsidR="00154E32" w:rsidRDefault="00A43E04">
            <w:pPr>
              <w:pStyle w:val="P68B1DB1-Normal12"/>
              <w:rPr>
                <w:noProof/>
              </w:rPr>
            </w:pPr>
            <w:r>
              <w:rPr>
                <w:noProof/>
              </w:rPr>
              <w:t>Naložba 1.3.1: Nacionalna platforma digitalnih podatkov</w:t>
            </w:r>
          </w:p>
        </w:tc>
        <w:tc>
          <w:tcPr>
            <w:tcW w:w="1418" w:type="dxa"/>
            <w:tcBorders>
              <w:top w:val="nil"/>
              <w:left w:val="nil"/>
              <w:bottom w:val="single" w:sz="4" w:space="0" w:color="auto"/>
              <w:right w:val="single" w:sz="4" w:space="0" w:color="auto"/>
            </w:tcBorders>
            <w:shd w:val="clear" w:color="auto" w:fill="C6EFCE"/>
            <w:noWrap/>
            <w:vAlign w:val="center"/>
          </w:tcPr>
          <w:p w14:paraId="634484B3" w14:textId="77777777" w:rsidR="00154E32" w:rsidRDefault="00A43E04">
            <w:pPr>
              <w:pStyle w:val="P68B1DB1-Normal12"/>
              <w:rPr>
                <w:noProof/>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56A3BE89" w14:textId="77777777" w:rsidR="00154E32" w:rsidRDefault="00A43E04">
            <w:pPr>
              <w:pStyle w:val="P68B1DB1-Normal12"/>
              <w:rPr>
                <w:noProof/>
              </w:rPr>
            </w:pPr>
            <w:r>
              <w:rPr>
                <w:noProof/>
              </w:rPr>
              <w:t>Delovanje nacionalne digitalne podatkovne platforme</w:t>
            </w:r>
          </w:p>
        </w:tc>
      </w:tr>
      <w:tr w:rsidR="00154E32" w14:paraId="73F43AF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A9F8DE2" w14:textId="77777777" w:rsidR="00154E32" w:rsidRDefault="00A43E04">
            <w:pPr>
              <w:pStyle w:val="P68B1DB1-Normal12"/>
              <w:jc w:val="center"/>
              <w:rPr>
                <w:noProof/>
              </w:rPr>
            </w:pPr>
            <w:r>
              <w:rPr>
                <w:noProof/>
              </w:rPr>
              <w:t>M1C1–5</w:t>
            </w:r>
          </w:p>
        </w:tc>
        <w:tc>
          <w:tcPr>
            <w:tcW w:w="3118" w:type="dxa"/>
            <w:tcBorders>
              <w:top w:val="nil"/>
              <w:left w:val="nil"/>
              <w:bottom w:val="single" w:sz="4" w:space="0" w:color="auto"/>
              <w:right w:val="single" w:sz="4" w:space="0" w:color="auto"/>
            </w:tcBorders>
            <w:shd w:val="clear" w:color="auto" w:fill="C6EFCE"/>
            <w:noWrap/>
            <w:vAlign w:val="center"/>
          </w:tcPr>
          <w:p w14:paraId="7612E03B" w14:textId="77777777" w:rsidR="00154E32" w:rsidRDefault="00A43E04">
            <w:pPr>
              <w:pStyle w:val="P68B1DB1-Normal12"/>
              <w:rPr>
                <w:noProof/>
              </w:rPr>
            </w:pPr>
            <w:r>
              <w:rPr>
                <w:noProof/>
              </w:rPr>
              <w:t>Naložba 1.5: Kibernetska varnost</w:t>
            </w:r>
          </w:p>
        </w:tc>
        <w:tc>
          <w:tcPr>
            <w:tcW w:w="1418" w:type="dxa"/>
            <w:tcBorders>
              <w:top w:val="nil"/>
              <w:left w:val="nil"/>
              <w:bottom w:val="single" w:sz="4" w:space="0" w:color="auto"/>
              <w:right w:val="single" w:sz="4" w:space="0" w:color="auto"/>
            </w:tcBorders>
            <w:shd w:val="clear" w:color="auto" w:fill="C6EFCE"/>
            <w:noWrap/>
            <w:vAlign w:val="center"/>
          </w:tcPr>
          <w:p w14:paraId="4D311C10" w14:textId="77777777" w:rsidR="00154E32" w:rsidRDefault="00A43E04">
            <w:pPr>
              <w:pStyle w:val="P68B1DB1-Normal12"/>
              <w:rPr>
                <w:noProof/>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700E698D" w14:textId="77777777" w:rsidR="00154E32" w:rsidRDefault="00A43E04">
            <w:pPr>
              <w:pStyle w:val="P68B1DB1-Normal12"/>
              <w:rPr>
                <w:noProof/>
              </w:rPr>
            </w:pPr>
            <w:r>
              <w:rPr>
                <w:noProof/>
              </w:rPr>
              <w:t>Ustanovitev nove nacionalne agencije za kibernetsko varnost</w:t>
            </w:r>
          </w:p>
        </w:tc>
      </w:tr>
      <w:tr w:rsidR="00154E32" w14:paraId="5F08800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B86C934" w14:textId="77777777" w:rsidR="00154E32" w:rsidRDefault="00A43E04">
            <w:pPr>
              <w:pStyle w:val="P68B1DB1-Normal12"/>
              <w:jc w:val="center"/>
              <w:rPr>
                <w:noProof/>
              </w:rPr>
            </w:pPr>
            <w:r>
              <w:rPr>
                <w:noProof/>
              </w:rPr>
              <w:t>M1C1–6</w:t>
            </w:r>
          </w:p>
        </w:tc>
        <w:tc>
          <w:tcPr>
            <w:tcW w:w="3118" w:type="dxa"/>
            <w:tcBorders>
              <w:top w:val="nil"/>
              <w:left w:val="nil"/>
              <w:bottom w:val="single" w:sz="4" w:space="0" w:color="auto"/>
              <w:right w:val="single" w:sz="4" w:space="0" w:color="auto"/>
            </w:tcBorders>
            <w:shd w:val="clear" w:color="auto" w:fill="C6EFCE"/>
            <w:noWrap/>
            <w:vAlign w:val="center"/>
          </w:tcPr>
          <w:p w14:paraId="7CE1C7FF" w14:textId="77777777" w:rsidR="00154E32" w:rsidRDefault="00A43E04">
            <w:pPr>
              <w:pStyle w:val="P68B1DB1-Normal12"/>
              <w:rPr>
                <w:noProof/>
              </w:rPr>
            </w:pPr>
            <w:r>
              <w:rPr>
                <w:noProof/>
              </w:rPr>
              <w:t>Naložba 1.5: Kibernetska varnost</w:t>
            </w:r>
          </w:p>
        </w:tc>
        <w:tc>
          <w:tcPr>
            <w:tcW w:w="1418" w:type="dxa"/>
            <w:tcBorders>
              <w:top w:val="nil"/>
              <w:left w:val="nil"/>
              <w:bottom w:val="single" w:sz="4" w:space="0" w:color="auto"/>
              <w:right w:val="single" w:sz="4" w:space="0" w:color="auto"/>
            </w:tcBorders>
            <w:shd w:val="clear" w:color="auto" w:fill="C6EFCE"/>
            <w:noWrap/>
            <w:vAlign w:val="center"/>
          </w:tcPr>
          <w:p w14:paraId="7CC2886E" w14:textId="77777777" w:rsidR="00154E32" w:rsidRDefault="00A43E04">
            <w:pPr>
              <w:pStyle w:val="P68B1DB1-Normal12"/>
              <w:rPr>
                <w:noProof/>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4DF8DB79" w14:textId="77777777" w:rsidR="00154E32" w:rsidRDefault="00A43E04">
            <w:pPr>
              <w:pStyle w:val="P68B1DB1-Normal12"/>
              <w:rPr>
                <w:noProof/>
              </w:rPr>
            </w:pPr>
            <w:r>
              <w:rPr>
                <w:noProof/>
              </w:rPr>
              <w:t>Začetno uvajanje nacionalnih storitev kibernetske varnosti</w:t>
            </w:r>
          </w:p>
        </w:tc>
      </w:tr>
      <w:tr w:rsidR="00154E32" w14:paraId="0754A16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4239867" w14:textId="77777777" w:rsidR="00154E32" w:rsidRDefault="00A43E04">
            <w:pPr>
              <w:pStyle w:val="P68B1DB1-Normal12"/>
              <w:jc w:val="center"/>
              <w:rPr>
                <w:noProof/>
              </w:rPr>
            </w:pPr>
            <w:r>
              <w:rPr>
                <w:noProof/>
              </w:rPr>
              <w:t>M1C1–7</w:t>
            </w:r>
          </w:p>
        </w:tc>
        <w:tc>
          <w:tcPr>
            <w:tcW w:w="3118" w:type="dxa"/>
            <w:tcBorders>
              <w:top w:val="nil"/>
              <w:left w:val="nil"/>
              <w:bottom w:val="single" w:sz="4" w:space="0" w:color="auto"/>
              <w:right w:val="single" w:sz="4" w:space="0" w:color="auto"/>
            </w:tcBorders>
            <w:shd w:val="clear" w:color="auto" w:fill="C6EFCE"/>
            <w:noWrap/>
            <w:vAlign w:val="center"/>
          </w:tcPr>
          <w:p w14:paraId="449A92CA" w14:textId="77777777" w:rsidR="00154E32" w:rsidRDefault="00A43E04">
            <w:pPr>
              <w:pStyle w:val="P68B1DB1-Normal12"/>
              <w:rPr>
                <w:noProof/>
              </w:rPr>
            </w:pPr>
            <w:r>
              <w:rPr>
                <w:noProof/>
              </w:rPr>
              <w:t>Naložba 1.5: Kibernetska varnost</w:t>
            </w:r>
          </w:p>
        </w:tc>
        <w:tc>
          <w:tcPr>
            <w:tcW w:w="1418" w:type="dxa"/>
            <w:tcBorders>
              <w:top w:val="nil"/>
              <w:left w:val="nil"/>
              <w:bottom w:val="single" w:sz="4" w:space="0" w:color="auto"/>
              <w:right w:val="single" w:sz="4" w:space="0" w:color="auto"/>
            </w:tcBorders>
            <w:shd w:val="clear" w:color="auto" w:fill="C6EFCE"/>
            <w:noWrap/>
            <w:vAlign w:val="center"/>
          </w:tcPr>
          <w:p w14:paraId="78FE3462" w14:textId="77777777" w:rsidR="00154E32" w:rsidRDefault="00A43E04">
            <w:pPr>
              <w:pStyle w:val="P68B1DB1-Normal12"/>
              <w:rPr>
                <w:noProof/>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4B2C8E1C" w14:textId="77777777" w:rsidR="00154E32" w:rsidRDefault="00A43E04">
            <w:pPr>
              <w:pStyle w:val="P68B1DB1-Normal12"/>
              <w:rPr>
                <w:noProof/>
              </w:rPr>
            </w:pPr>
            <w:r>
              <w:rPr>
                <w:noProof/>
              </w:rPr>
              <w:t>Vzpostavitev mreže laboratorijev za presejalne in certifikacijske preglede na področju kibernetske varnosti</w:t>
            </w:r>
          </w:p>
        </w:tc>
      </w:tr>
      <w:tr w:rsidR="00154E32" w14:paraId="6B880E8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4C11FCC" w14:textId="77777777" w:rsidR="00154E32" w:rsidRDefault="00A43E04">
            <w:pPr>
              <w:pStyle w:val="P68B1DB1-Normal12"/>
              <w:jc w:val="center"/>
              <w:rPr>
                <w:noProof/>
              </w:rPr>
            </w:pPr>
            <w:r>
              <w:rPr>
                <w:noProof/>
              </w:rPr>
              <w:t>M1C1–8</w:t>
            </w:r>
          </w:p>
        </w:tc>
        <w:tc>
          <w:tcPr>
            <w:tcW w:w="3118" w:type="dxa"/>
            <w:tcBorders>
              <w:top w:val="nil"/>
              <w:left w:val="nil"/>
              <w:bottom w:val="single" w:sz="4" w:space="0" w:color="auto"/>
              <w:right w:val="single" w:sz="4" w:space="0" w:color="auto"/>
            </w:tcBorders>
            <w:shd w:val="clear" w:color="auto" w:fill="C6EFCE"/>
            <w:noWrap/>
            <w:vAlign w:val="center"/>
          </w:tcPr>
          <w:p w14:paraId="0FEDA91B" w14:textId="77777777" w:rsidR="00154E32" w:rsidRDefault="00A43E04">
            <w:pPr>
              <w:pStyle w:val="P68B1DB1-Normal12"/>
              <w:rPr>
                <w:noProof/>
              </w:rPr>
            </w:pPr>
            <w:r>
              <w:rPr>
                <w:noProof/>
              </w:rPr>
              <w:t>Naložba 1.5: Kibernetska varnost</w:t>
            </w:r>
          </w:p>
        </w:tc>
        <w:tc>
          <w:tcPr>
            <w:tcW w:w="1418" w:type="dxa"/>
            <w:tcBorders>
              <w:top w:val="nil"/>
              <w:left w:val="nil"/>
              <w:bottom w:val="single" w:sz="4" w:space="0" w:color="auto"/>
              <w:right w:val="single" w:sz="4" w:space="0" w:color="auto"/>
            </w:tcBorders>
            <w:shd w:val="clear" w:color="auto" w:fill="C6EFCE"/>
            <w:noWrap/>
            <w:vAlign w:val="center"/>
          </w:tcPr>
          <w:p w14:paraId="2B7D3C0A" w14:textId="77777777" w:rsidR="00154E32" w:rsidRDefault="00A43E04">
            <w:pPr>
              <w:pStyle w:val="P68B1DB1-Normal12"/>
              <w:rPr>
                <w:noProof/>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7E750D31" w14:textId="77777777" w:rsidR="00154E32" w:rsidRDefault="00A43E04">
            <w:pPr>
              <w:pStyle w:val="P68B1DB1-Normal12"/>
              <w:rPr>
                <w:noProof/>
              </w:rPr>
            </w:pPr>
            <w:r>
              <w:rPr>
                <w:noProof/>
              </w:rPr>
              <w:t>Aktiviranje centralne revizijske enote za varnostne ukrepe PSNC &amp; VOI</w:t>
            </w:r>
          </w:p>
        </w:tc>
      </w:tr>
      <w:tr w:rsidR="00154E32" w14:paraId="61DDCDF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DA24974" w14:textId="77777777" w:rsidR="00154E32" w:rsidRDefault="00A43E04">
            <w:pPr>
              <w:pStyle w:val="P68B1DB1-Normal12"/>
              <w:jc w:val="center"/>
              <w:rPr>
                <w:noProof/>
              </w:rPr>
            </w:pPr>
            <w:r>
              <w:rPr>
                <w:noProof/>
              </w:rPr>
              <w:t>M1C1–9</w:t>
            </w:r>
          </w:p>
        </w:tc>
        <w:tc>
          <w:tcPr>
            <w:tcW w:w="3118" w:type="dxa"/>
            <w:tcBorders>
              <w:top w:val="nil"/>
              <w:left w:val="nil"/>
              <w:bottom w:val="single" w:sz="4" w:space="0" w:color="auto"/>
              <w:right w:val="single" w:sz="4" w:space="0" w:color="auto"/>
            </w:tcBorders>
            <w:shd w:val="clear" w:color="auto" w:fill="C6EFCE"/>
            <w:noWrap/>
            <w:vAlign w:val="center"/>
          </w:tcPr>
          <w:p w14:paraId="35E8BD16" w14:textId="77777777" w:rsidR="00154E32" w:rsidRDefault="00A43E04">
            <w:pPr>
              <w:pStyle w:val="P68B1DB1-Normal12"/>
              <w:rPr>
                <w:noProof/>
              </w:rPr>
            </w:pPr>
            <w:r>
              <w:rPr>
                <w:noProof/>
              </w:rPr>
              <w:t>Naložba 1.5: Kibernetska varnost</w:t>
            </w:r>
          </w:p>
        </w:tc>
        <w:tc>
          <w:tcPr>
            <w:tcW w:w="1418" w:type="dxa"/>
            <w:tcBorders>
              <w:top w:val="nil"/>
              <w:left w:val="nil"/>
              <w:bottom w:val="single" w:sz="4" w:space="0" w:color="auto"/>
              <w:right w:val="single" w:sz="4" w:space="0" w:color="auto"/>
            </w:tcBorders>
            <w:shd w:val="clear" w:color="auto" w:fill="C6EFCE"/>
            <w:noWrap/>
            <w:vAlign w:val="center"/>
          </w:tcPr>
          <w:p w14:paraId="3CAAB595" w14:textId="77777777" w:rsidR="00154E32" w:rsidRDefault="00A43E04">
            <w:pPr>
              <w:pStyle w:val="P68B1DB1-Normal12"/>
              <w:rPr>
                <w:noProof/>
              </w:rPr>
            </w:pPr>
            <w:r>
              <w:rPr>
                <w:noProof/>
              </w:rPr>
              <w:t>Tarča</w:t>
            </w:r>
          </w:p>
        </w:tc>
        <w:tc>
          <w:tcPr>
            <w:tcW w:w="3865" w:type="dxa"/>
            <w:tcBorders>
              <w:top w:val="nil"/>
              <w:left w:val="nil"/>
              <w:bottom w:val="single" w:sz="4" w:space="0" w:color="auto"/>
              <w:right w:val="single" w:sz="4" w:space="0" w:color="auto"/>
            </w:tcBorders>
            <w:shd w:val="clear" w:color="auto" w:fill="C6EFCE"/>
            <w:noWrap/>
            <w:vAlign w:val="center"/>
          </w:tcPr>
          <w:p w14:paraId="7C04DEA1" w14:textId="77777777" w:rsidR="00154E32" w:rsidRDefault="00A43E04">
            <w:pPr>
              <w:pStyle w:val="P68B1DB1-Normal12"/>
              <w:rPr>
                <w:noProof/>
              </w:rPr>
            </w:pPr>
            <w:r>
              <w:rPr>
                <w:noProof/>
              </w:rPr>
              <w:t>Podpora za nadgradnjo varnostnih struktur T1</w:t>
            </w:r>
          </w:p>
        </w:tc>
      </w:tr>
      <w:tr w:rsidR="00154E32" w14:paraId="41A43CC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533196E" w14:textId="77777777" w:rsidR="00154E32" w:rsidRDefault="00A43E04">
            <w:pPr>
              <w:pStyle w:val="P68B1DB1-Normal12"/>
              <w:jc w:val="center"/>
              <w:rPr>
                <w:noProof/>
              </w:rPr>
            </w:pPr>
            <w:r>
              <w:rPr>
                <w:noProof/>
              </w:rPr>
              <w:t>M1C1–10</w:t>
            </w:r>
          </w:p>
        </w:tc>
        <w:tc>
          <w:tcPr>
            <w:tcW w:w="3118" w:type="dxa"/>
            <w:tcBorders>
              <w:top w:val="nil"/>
              <w:left w:val="nil"/>
              <w:bottom w:val="single" w:sz="4" w:space="0" w:color="auto"/>
              <w:right w:val="single" w:sz="4" w:space="0" w:color="auto"/>
            </w:tcBorders>
            <w:shd w:val="clear" w:color="auto" w:fill="C6EFCE"/>
            <w:noWrap/>
            <w:vAlign w:val="center"/>
          </w:tcPr>
          <w:p w14:paraId="64635A3D" w14:textId="77777777" w:rsidR="00154E32" w:rsidRDefault="00A43E04">
            <w:pPr>
              <w:pStyle w:val="P68B1DB1-Normal12"/>
              <w:rPr>
                <w:noProof/>
              </w:rPr>
            </w:pPr>
            <w:r>
              <w:rPr>
                <w:noProof/>
              </w:rPr>
              <w:t>Reforma 1.2: Podpora preoblikovanju</w:t>
            </w:r>
          </w:p>
        </w:tc>
        <w:tc>
          <w:tcPr>
            <w:tcW w:w="1418" w:type="dxa"/>
            <w:tcBorders>
              <w:top w:val="nil"/>
              <w:left w:val="nil"/>
              <w:bottom w:val="single" w:sz="4" w:space="0" w:color="auto"/>
              <w:right w:val="single" w:sz="4" w:space="0" w:color="auto"/>
            </w:tcBorders>
            <w:shd w:val="clear" w:color="auto" w:fill="C6EFCE"/>
            <w:noWrap/>
            <w:vAlign w:val="center"/>
          </w:tcPr>
          <w:p w14:paraId="5289C8BA" w14:textId="77777777" w:rsidR="00154E32" w:rsidRDefault="00A43E04">
            <w:pPr>
              <w:pStyle w:val="P68B1DB1-Normal12"/>
              <w:rPr>
                <w:noProof/>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0AE656FF" w14:textId="77777777" w:rsidR="00154E32" w:rsidRDefault="00A43E04">
            <w:pPr>
              <w:pStyle w:val="P68B1DB1-Normal12"/>
              <w:rPr>
                <w:noProof/>
              </w:rPr>
            </w:pPr>
            <w:r>
              <w:rPr>
                <w:noProof/>
              </w:rPr>
              <w:t>Začetek veljavnosti ustanovitve skupine za preoblikovanje in družbe NewCo</w:t>
            </w:r>
          </w:p>
        </w:tc>
      </w:tr>
      <w:tr w:rsidR="00154E32" w14:paraId="5EC0860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4BD0E83" w14:textId="77777777" w:rsidR="00154E32" w:rsidRDefault="00A43E04">
            <w:pPr>
              <w:pStyle w:val="P68B1DB1-Normal12"/>
              <w:jc w:val="center"/>
              <w:rPr>
                <w:noProof/>
              </w:rPr>
            </w:pPr>
            <w:r>
              <w:rPr>
                <w:noProof/>
              </w:rPr>
              <w:t>M1C1–34</w:t>
            </w:r>
          </w:p>
        </w:tc>
        <w:tc>
          <w:tcPr>
            <w:tcW w:w="3118" w:type="dxa"/>
            <w:tcBorders>
              <w:top w:val="nil"/>
              <w:left w:val="nil"/>
              <w:bottom w:val="single" w:sz="4" w:space="0" w:color="auto"/>
              <w:right w:val="single" w:sz="4" w:space="0" w:color="auto"/>
            </w:tcBorders>
            <w:shd w:val="clear" w:color="auto" w:fill="C6EFCE"/>
            <w:noWrap/>
            <w:vAlign w:val="center"/>
          </w:tcPr>
          <w:p w14:paraId="73E29E77" w14:textId="77777777" w:rsidR="00154E32" w:rsidRDefault="00A43E04">
            <w:pPr>
              <w:pStyle w:val="P68B1DB1-Normal12"/>
              <w:rPr>
                <w:noProof/>
              </w:rPr>
            </w:pPr>
            <w:r>
              <w:rPr>
                <w:noProof/>
              </w:rPr>
              <w:t>Naložba 1.8: Postopki zaposlovanja za sodni urad na civilnih in kazenskih sodiščih</w:t>
            </w:r>
          </w:p>
        </w:tc>
        <w:tc>
          <w:tcPr>
            <w:tcW w:w="1418" w:type="dxa"/>
            <w:tcBorders>
              <w:top w:val="nil"/>
              <w:left w:val="nil"/>
              <w:bottom w:val="single" w:sz="4" w:space="0" w:color="auto"/>
              <w:right w:val="single" w:sz="4" w:space="0" w:color="auto"/>
            </w:tcBorders>
            <w:shd w:val="clear" w:color="auto" w:fill="C6EFCE"/>
            <w:noWrap/>
            <w:vAlign w:val="center"/>
          </w:tcPr>
          <w:p w14:paraId="57E62421" w14:textId="77777777" w:rsidR="00154E32" w:rsidRDefault="00A43E04">
            <w:pPr>
              <w:pStyle w:val="P68B1DB1-Normal12"/>
              <w:rPr>
                <w:noProof/>
              </w:rPr>
            </w:pPr>
            <w:r>
              <w:rPr>
                <w:noProof/>
              </w:rPr>
              <w:t>Tarča</w:t>
            </w:r>
          </w:p>
        </w:tc>
        <w:tc>
          <w:tcPr>
            <w:tcW w:w="3865" w:type="dxa"/>
            <w:tcBorders>
              <w:top w:val="nil"/>
              <w:left w:val="nil"/>
              <w:bottom w:val="single" w:sz="4" w:space="0" w:color="auto"/>
              <w:right w:val="single" w:sz="4" w:space="0" w:color="auto"/>
            </w:tcBorders>
            <w:shd w:val="clear" w:color="auto" w:fill="C6EFCE"/>
            <w:noWrap/>
            <w:vAlign w:val="center"/>
          </w:tcPr>
          <w:p w14:paraId="3304EB38" w14:textId="77777777" w:rsidR="00154E32" w:rsidRDefault="00A43E04">
            <w:pPr>
              <w:pStyle w:val="P68B1DB1-Normal12"/>
              <w:rPr>
                <w:noProof/>
              </w:rPr>
            </w:pPr>
            <w:r>
              <w:rPr>
                <w:noProof/>
              </w:rPr>
              <w:t>Začetek postopkov zaposlovanja na civilnih in kazenskih sodiščih</w:t>
            </w:r>
          </w:p>
        </w:tc>
      </w:tr>
      <w:tr w:rsidR="00154E32" w14:paraId="6A9F3B9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AE2ADB6" w14:textId="77777777" w:rsidR="00154E32" w:rsidRDefault="00A43E04">
            <w:pPr>
              <w:pStyle w:val="P68B1DB1-Normal12"/>
              <w:jc w:val="center"/>
              <w:rPr>
                <w:noProof/>
              </w:rPr>
            </w:pPr>
            <w:r>
              <w:rPr>
                <w:noProof/>
              </w:rPr>
              <w:t>M1C1–35</w:t>
            </w:r>
          </w:p>
        </w:tc>
        <w:tc>
          <w:tcPr>
            <w:tcW w:w="3118" w:type="dxa"/>
            <w:tcBorders>
              <w:top w:val="nil"/>
              <w:left w:val="nil"/>
              <w:bottom w:val="single" w:sz="4" w:space="0" w:color="auto"/>
              <w:right w:val="single" w:sz="4" w:space="0" w:color="auto"/>
            </w:tcBorders>
            <w:shd w:val="clear" w:color="auto" w:fill="C6EFCE"/>
            <w:noWrap/>
            <w:vAlign w:val="center"/>
          </w:tcPr>
          <w:p w14:paraId="052ED991" w14:textId="77777777" w:rsidR="00154E32" w:rsidRDefault="00A43E04">
            <w:pPr>
              <w:pStyle w:val="P68B1DB1-Normal12"/>
              <w:rPr>
                <w:noProof/>
              </w:rPr>
            </w:pPr>
            <w:r>
              <w:rPr>
                <w:noProof/>
              </w:rPr>
              <w:t>Reforma 1.7: Reforma davčnih sodišč</w:t>
            </w:r>
          </w:p>
        </w:tc>
        <w:tc>
          <w:tcPr>
            <w:tcW w:w="1418" w:type="dxa"/>
            <w:tcBorders>
              <w:top w:val="nil"/>
              <w:left w:val="nil"/>
              <w:bottom w:val="single" w:sz="4" w:space="0" w:color="auto"/>
              <w:right w:val="single" w:sz="4" w:space="0" w:color="auto"/>
            </w:tcBorders>
            <w:shd w:val="clear" w:color="auto" w:fill="C6EFCE"/>
            <w:noWrap/>
            <w:vAlign w:val="center"/>
          </w:tcPr>
          <w:p w14:paraId="715D36DC" w14:textId="77777777" w:rsidR="00154E32" w:rsidRDefault="00A43E04">
            <w:pPr>
              <w:pStyle w:val="P68B1DB1-Normal12"/>
              <w:rPr>
                <w:noProof/>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200E960D" w14:textId="77777777" w:rsidR="00154E32" w:rsidRDefault="00A43E04">
            <w:pPr>
              <w:pStyle w:val="P68B1DB1-Normal12"/>
              <w:rPr>
                <w:noProof/>
              </w:rPr>
            </w:pPr>
            <w:r>
              <w:rPr>
                <w:noProof/>
              </w:rPr>
              <w:t>Celovita reforma davčnih sodišč prve in druge stopnje</w:t>
            </w:r>
          </w:p>
        </w:tc>
      </w:tr>
      <w:tr w:rsidR="00154E32" w14:paraId="29DAC0D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9BD61D9" w14:textId="77777777" w:rsidR="00154E32" w:rsidRDefault="00A43E04">
            <w:pPr>
              <w:pStyle w:val="P68B1DB1-Normal12"/>
              <w:jc w:val="center"/>
              <w:rPr>
                <w:noProof/>
              </w:rPr>
            </w:pPr>
            <w:r>
              <w:rPr>
                <w:noProof/>
              </w:rPr>
              <w:t>M1C1–36</w:t>
            </w:r>
          </w:p>
        </w:tc>
        <w:tc>
          <w:tcPr>
            <w:tcW w:w="3118" w:type="dxa"/>
            <w:tcBorders>
              <w:top w:val="nil"/>
              <w:left w:val="nil"/>
              <w:bottom w:val="single" w:sz="4" w:space="0" w:color="auto"/>
              <w:right w:val="single" w:sz="4" w:space="0" w:color="auto"/>
            </w:tcBorders>
            <w:shd w:val="clear" w:color="auto" w:fill="C6EFCE"/>
            <w:noWrap/>
            <w:vAlign w:val="center"/>
          </w:tcPr>
          <w:p w14:paraId="715FADCD" w14:textId="77777777" w:rsidR="00154E32" w:rsidRDefault="00A43E04">
            <w:pPr>
              <w:pStyle w:val="P68B1DB1-Normal12"/>
              <w:rPr>
                <w:noProof/>
              </w:rPr>
            </w:pPr>
            <w:r>
              <w:rPr>
                <w:noProof/>
              </w:rPr>
              <w:t>Reforme 1.4, 1.5 in 1.6: Reforma civilnega in kazenskega pravosodja ter reforma insolventnosti</w:t>
            </w:r>
          </w:p>
        </w:tc>
        <w:tc>
          <w:tcPr>
            <w:tcW w:w="1418" w:type="dxa"/>
            <w:tcBorders>
              <w:top w:val="nil"/>
              <w:left w:val="nil"/>
              <w:bottom w:val="single" w:sz="4" w:space="0" w:color="auto"/>
              <w:right w:val="single" w:sz="4" w:space="0" w:color="auto"/>
            </w:tcBorders>
            <w:shd w:val="clear" w:color="auto" w:fill="C6EFCE"/>
            <w:noWrap/>
            <w:vAlign w:val="center"/>
          </w:tcPr>
          <w:p w14:paraId="7E9B87EE" w14:textId="77777777" w:rsidR="00154E32" w:rsidRDefault="00A43E04">
            <w:pPr>
              <w:pStyle w:val="P68B1DB1-Normal12"/>
              <w:rPr>
                <w:noProof/>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2FBABC68" w14:textId="77777777" w:rsidR="00154E32" w:rsidRDefault="00A43E04">
            <w:pPr>
              <w:pStyle w:val="P68B1DB1-Normal12"/>
              <w:rPr>
                <w:noProof/>
              </w:rPr>
            </w:pPr>
            <w:r>
              <w:rPr>
                <w:noProof/>
              </w:rPr>
              <w:t>Začetek veljavnosti delegiranih aktov za reformo civilnega in kazenskega pravosodja ter reformo na področju insolventnosti</w:t>
            </w:r>
          </w:p>
        </w:tc>
      </w:tr>
      <w:tr w:rsidR="00154E32" w14:paraId="6FB2766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825CB61" w14:textId="77777777" w:rsidR="00154E32" w:rsidRDefault="00A43E04">
            <w:pPr>
              <w:pStyle w:val="P68B1DB1-Normal12"/>
              <w:jc w:val="center"/>
              <w:rPr>
                <w:noProof/>
              </w:rPr>
            </w:pPr>
            <w:r>
              <w:rPr>
                <w:noProof/>
              </w:rPr>
              <w:t>M1C1–57</w:t>
            </w:r>
          </w:p>
        </w:tc>
        <w:tc>
          <w:tcPr>
            <w:tcW w:w="3118" w:type="dxa"/>
            <w:tcBorders>
              <w:top w:val="nil"/>
              <w:left w:val="nil"/>
              <w:bottom w:val="single" w:sz="4" w:space="0" w:color="auto"/>
              <w:right w:val="single" w:sz="4" w:space="0" w:color="auto"/>
            </w:tcBorders>
            <w:shd w:val="clear" w:color="auto" w:fill="C6EFCE"/>
            <w:noWrap/>
            <w:vAlign w:val="center"/>
          </w:tcPr>
          <w:p w14:paraId="6CF8340F" w14:textId="77777777" w:rsidR="00154E32" w:rsidRDefault="00A43E04">
            <w:pPr>
              <w:pStyle w:val="P68B1DB1-Normal12"/>
              <w:rPr>
                <w:noProof/>
              </w:rPr>
            </w:pPr>
            <w:r>
              <w:rPr>
                <w:noProof/>
              </w:rPr>
              <w:t>Reforma 1.9: Reforma javne uprave</w:t>
            </w:r>
          </w:p>
        </w:tc>
        <w:tc>
          <w:tcPr>
            <w:tcW w:w="1418" w:type="dxa"/>
            <w:tcBorders>
              <w:top w:val="nil"/>
              <w:left w:val="nil"/>
              <w:bottom w:val="single" w:sz="4" w:space="0" w:color="auto"/>
              <w:right w:val="single" w:sz="4" w:space="0" w:color="auto"/>
            </w:tcBorders>
            <w:shd w:val="clear" w:color="auto" w:fill="C6EFCE"/>
            <w:noWrap/>
            <w:vAlign w:val="center"/>
          </w:tcPr>
          <w:p w14:paraId="08F20BE7" w14:textId="77777777" w:rsidR="00154E32" w:rsidRDefault="00A43E04">
            <w:pPr>
              <w:pStyle w:val="P68B1DB1-Normal12"/>
              <w:rPr>
                <w:noProof/>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48BF587C" w14:textId="77777777" w:rsidR="00154E32" w:rsidRDefault="00A43E04">
            <w:pPr>
              <w:pStyle w:val="P68B1DB1-Normal12"/>
              <w:rPr>
                <w:noProof/>
              </w:rPr>
            </w:pPr>
            <w:r>
              <w:rPr>
                <w:noProof/>
              </w:rPr>
              <w:t>Začetek veljavnosti upravnih postopkov za reformo poenostavitve, namenjeno izvajanju mehanizma za okrevanje in odpornost</w:t>
            </w:r>
          </w:p>
        </w:tc>
      </w:tr>
      <w:tr w:rsidR="00154E32" w14:paraId="685A52F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C74E95E" w14:textId="77777777" w:rsidR="00154E32" w:rsidRDefault="00A43E04">
            <w:pPr>
              <w:pStyle w:val="P68B1DB1-Normal12"/>
              <w:jc w:val="center"/>
              <w:rPr>
                <w:noProof/>
              </w:rPr>
            </w:pPr>
            <w:r>
              <w:rPr>
                <w:noProof/>
              </w:rPr>
              <w:t>M1C1–102</w:t>
            </w:r>
          </w:p>
        </w:tc>
        <w:tc>
          <w:tcPr>
            <w:tcW w:w="3118" w:type="dxa"/>
            <w:tcBorders>
              <w:top w:val="nil"/>
              <w:left w:val="nil"/>
              <w:bottom w:val="single" w:sz="4" w:space="0" w:color="auto"/>
              <w:right w:val="single" w:sz="4" w:space="0" w:color="auto"/>
            </w:tcBorders>
            <w:shd w:val="clear" w:color="auto" w:fill="C6EFCE"/>
            <w:noWrap/>
            <w:vAlign w:val="center"/>
          </w:tcPr>
          <w:p w14:paraId="1C298B8D" w14:textId="77777777" w:rsidR="00154E32" w:rsidRDefault="00A43E04">
            <w:pPr>
              <w:pStyle w:val="P68B1DB1-Normal12"/>
              <w:rPr>
                <w:noProof/>
              </w:rPr>
            </w:pPr>
            <w:r>
              <w:rPr>
                <w:noProof/>
              </w:rPr>
              <w:t>Reforma 1.13: Reforma okvira za pregled porabe</w:t>
            </w:r>
          </w:p>
        </w:tc>
        <w:tc>
          <w:tcPr>
            <w:tcW w:w="1418" w:type="dxa"/>
            <w:tcBorders>
              <w:top w:val="nil"/>
              <w:left w:val="nil"/>
              <w:bottom w:val="single" w:sz="4" w:space="0" w:color="auto"/>
              <w:right w:val="single" w:sz="4" w:space="0" w:color="auto"/>
            </w:tcBorders>
            <w:shd w:val="clear" w:color="auto" w:fill="C6EFCE"/>
            <w:noWrap/>
            <w:vAlign w:val="center"/>
          </w:tcPr>
          <w:p w14:paraId="00DB4FE2" w14:textId="77777777" w:rsidR="00154E32" w:rsidRDefault="00A43E04">
            <w:pPr>
              <w:pStyle w:val="P68B1DB1-Normal12"/>
              <w:rPr>
                <w:noProof/>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7894324B" w14:textId="77777777" w:rsidR="00154E32" w:rsidRDefault="00A43E04">
            <w:pPr>
              <w:pStyle w:val="P68B1DB1-Normal12"/>
              <w:rPr>
                <w:noProof/>
              </w:rPr>
            </w:pPr>
            <w:r>
              <w:rPr>
                <w:noProof/>
              </w:rPr>
              <w:t>Sprejetje poročila o učinkovitosti praks, ki jih izbrane javne uprave uporabljajo za oblikovanje in izvajanje načrtov varčevanja</w:t>
            </w:r>
          </w:p>
        </w:tc>
      </w:tr>
      <w:tr w:rsidR="00154E32" w14:paraId="047137C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C2EC74B" w14:textId="77777777" w:rsidR="00154E32" w:rsidRDefault="00A43E04">
            <w:pPr>
              <w:pStyle w:val="P68B1DB1-Normal12"/>
              <w:jc w:val="center"/>
              <w:rPr>
                <w:noProof/>
              </w:rPr>
            </w:pPr>
            <w:r>
              <w:rPr>
                <w:noProof/>
              </w:rPr>
              <w:t>M1C1–005</w:t>
            </w:r>
          </w:p>
        </w:tc>
        <w:tc>
          <w:tcPr>
            <w:tcW w:w="3118" w:type="dxa"/>
            <w:tcBorders>
              <w:top w:val="nil"/>
              <w:left w:val="nil"/>
              <w:bottom w:val="single" w:sz="4" w:space="0" w:color="auto"/>
              <w:right w:val="single" w:sz="4" w:space="0" w:color="auto"/>
            </w:tcBorders>
            <w:shd w:val="clear" w:color="auto" w:fill="C6EFCE"/>
            <w:noWrap/>
            <w:vAlign w:val="center"/>
          </w:tcPr>
          <w:p w14:paraId="59A06D19" w14:textId="77777777" w:rsidR="00154E32" w:rsidRDefault="00A43E04">
            <w:pPr>
              <w:pStyle w:val="P68B1DB1-Normal12"/>
              <w:rPr>
                <w:noProof/>
              </w:rPr>
            </w:pPr>
            <w:r>
              <w:rPr>
                <w:noProof/>
              </w:rPr>
              <w:t>Reforma 1.12: Reforma davčne uprave</w:t>
            </w:r>
          </w:p>
        </w:tc>
        <w:tc>
          <w:tcPr>
            <w:tcW w:w="1418" w:type="dxa"/>
            <w:tcBorders>
              <w:top w:val="nil"/>
              <w:left w:val="nil"/>
              <w:bottom w:val="single" w:sz="4" w:space="0" w:color="auto"/>
              <w:right w:val="single" w:sz="4" w:space="0" w:color="auto"/>
            </w:tcBorders>
            <w:shd w:val="clear" w:color="auto" w:fill="C6EFCE"/>
            <w:noWrap/>
            <w:vAlign w:val="center"/>
          </w:tcPr>
          <w:p w14:paraId="7A8644CD" w14:textId="77777777" w:rsidR="00154E32" w:rsidRDefault="00A43E04">
            <w:pPr>
              <w:pStyle w:val="P68B1DB1-Normal12"/>
              <w:rPr>
                <w:noProof/>
              </w:rPr>
            </w:pPr>
            <w:r>
              <w:rPr>
                <w:noProof/>
              </w:rPr>
              <w:t>Tarča</w:t>
            </w:r>
          </w:p>
        </w:tc>
        <w:tc>
          <w:tcPr>
            <w:tcW w:w="3865" w:type="dxa"/>
            <w:tcBorders>
              <w:top w:val="nil"/>
              <w:left w:val="nil"/>
              <w:bottom w:val="single" w:sz="4" w:space="0" w:color="auto"/>
              <w:right w:val="single" w:sz="4" w:space="0" w:color="auto"/>
            </w:tcBorders>
            <w:shd w:val="clear" w:color="auto" w:fill="C6EFCE"/>
            <w:noWrap/>
            <w:vAlign w:val="center"/>
          </w:tcPr>
          <w:p w14:paraId="0C0A5BD2" w14:textId="77777777" w:rsidR="00154E32" w:rsidRDefault="00A43E04">
            <w:pPr>
              <w:pStyle w:val="P68B1DB1-Normal12"/>
              <w:rPr>
                <w:noProof/>
              </w:rPr>
            </w:pPr>
            <w:r>
              <w:rPr>
                <w:noProof/>
              </w:rPr>
              <w:t>Večje število „pisem o skladnosti“</w:t>
            </w:r>
          </w:p>
        </w:tc>
      </w:tr>
      <w:tr w:rsidR="00154E32" w14:paraId="0694D84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675480D" w14:textId="77777777" w:rsidR="00154E32" w:rsidRDefault="00A43E04">
            <w:pPr>
              <w:pStyle w:val="P68B1DB1-Normal12"/>
              <w:jc w:val="center"/>
              <w:rPr>
                <w:noProof/>
              </w:rPr>
            </w:pPr>
            <w:r>
              <w:rPr>
                <w:noProof/>
              </w:rPr>
              <w:t>M1C1–106</w:t>
            </w:r>
          </w:p>
        </w:tc>
        <w:tc>
          <w:tcPr>
            <w:tcW w:w="3118" w:type="dxa"/>
            <w:tcBorders>
              <w:top w:val="nil"/>
              <w:left w:val="nil"/>
              <w:bottom w:val="single" w:sz="4" w:space="0" w:color="auto"/>
              <w:right w:val="single" w:sz="4" w:space="0" w:color="auto"/>
            </w:tcBorders>
            <w:shd w:val="clear" w:color="auto" w:fill="C6EFCE"/>
            <w:noWrap/>
            <w:vAlign w:val="center"/>
          </w:tcPr>
          <w:p w14:paraId="5C59D923" w14:textId="77777777" w:rsidR="00154E32" w:rsidRDefault="00A43E04">
            <w:pPr>
              <w:pStyle w:val="P68B1DB1-Normal12"/>
              <w:rPr>
                <w:noProof/>
              </w:rPr>
            </w:pPr>
            <w:r>
              <w:rPr>
                <w:noProof/>
              </w:rPr>
              <w:t>Reforma 1.12: Reforma davčne uprave</w:t>
            </w:r>
          </w:p>
        </w:tc>
        <w:tc>
          <w:tcPr>
            <w:tcW w:w="1418" w:type="dxa"/>
            <w:tcBorders>
              <w:top w:val="nil"/>
              <w:left w:val="nil"/>
              <w:bottom w:val="single" w:sz="4" w:space="0" w:color="auto"/>
              <w:right w:val="single" w:sz="4" w:space="0" w:color="auto"/>
            </w:tcBorders>
            <w:shd w:val="clear" w:color="auto" w:fill="C6EFCE"/>
            <w:noWrap/>
            <w:vAlign w:val="center"/>
          </w:tcPr>
          <w:p w14:paraId="7DEBF950" w14:textId="77777777" w:rsidR="00154E32" w:rsidRDefault="00A43E04">
            <w:pPr>
              <w:pStyle w:val="P68B1DB1-Normal12"/>
              <w:rPr>
                <w:noProof/>
              </w:rPr>
            </w:pPr>
            <w:r>
              <w:rPr>
                <w:noProof/>
              </w:rPr>
              <w:t>Tarča</w:t>
            </w:r>
          </w:p>
        </w:tc>
        <w:tc>
          <w:tcPr>
            <w:tcW w:w="3865" w:type="dxa"/>
            <w:tcBorders>
              <w:top w:val="nil"/>
              <w:left w:val="nil"/>
              <w:bottom w:val="single" w:sz="4" w:space="0" w:color="auto"/>
              <w:right w:val="single" w:sz="4" w:space="0" w:color="auto"/>
            </w:tcBorders>
            <w:shd w:val="clear" w:color="auto" w:fill="C6EFCE"/>
            <w:noWrap/>
            <w:vAlign w:val="center"/>
          </w:tcPr>
          <w:p w14:paraId="60C87DF4" w14:textId="77777777" w:rsidR="00154E32" w:rsidRDefault="00A43E04">
            <w:pPr>
              <w:pStyle w:val="P68B1DB1-Normal12"/>
              <w:rPr>
                <w:noProof/>
              </w:rPr>
            </w:pPr>
            <w:r>
              <w:rPr>
                <w:noProof/>
              </w:rPr>
              <w:t>Zmanjšanje števila lažno pozitivnih črk „skladnosti“</w:t>
            </w:r>
          </w:p>
        </w:tc>
      </w:tr>
      <w:tr w:rsidR="00154E32" w14:paraId="529CCBE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739DF15" w14:textId="77777777" w:rsidR="00154E32" w:rsidRDefault="00A43E04">
            <w:pPr>
              <w:pStyle w:val="P68B1DB1-Normal12"/>
              <w:jc w:val="center"/>
              <w:rPr>
                <w:noProof/>
              </w:rPr>
            </w:pPr>
            <w:r>
              <w:rPr>
                <w:noProof/>
              </w:rPr>
              <w:t>M1C1–107</w:t>
            </w:r>
          </w:p>
        </w:tc>
        <w:tc>
          <w:tcPr>
            <w:tcW w:w="3118" w:type="dxa"/>
            <w:tcBorders>
              <w:top w:val="nil"/>
              <w:left w:val="nil"/>
              <w:bottom w:val="single" w:sz="4" w:space="0" w:color="auto"/>
              <w:right w:val="single" w:sz="4" w:space="0" w:color="auto"/>
            </w:tcBorders>
            <w:shd w:val="clear" w:color="auto" w:fill="C6EFCE"/>
            <w:noWrap/>
            <w:vAlign w:val="center"/>
          </w:tcPr>
          <w:p w14:paraId="222FE074" w14:textId="77777777" w:rsidR="00154E32" w:rsidRDefault="00A43E04">
            <w:pPr>
              <w:pStyle w:val="P68B1DB1-Normal12"/>
              <w:rPr>
                <w:noProof/>
              </w:rPr>
            </w:pPr>
            <w:r>
              <w:rPr>
                <w:noProof/>
              </w:rPr>
              <w:t>Reforma 1.12: Reforma davčne uprave</w:t>
            </w:r>
          </w:p>
        </w:tc>
        <w:tc>
          <w:tcPr>
            <w:tcW w:w="1418" w:type="dxa"/>
            <w:tcBorders>
              <w:top w:val="nil"/>
              <w:left w:val="nil"/>
              <w:bottom w:val="single" w:sz="4" w:space="0" w:color="auto"/>
              <w:right w:val="single" w:sz="4" w:space="0" w:color="auto"/>
            </w:tcBorders>
            <w:shd w:val="clear" w:color="auto" w:fill="C6EFCE"/>
            <w:noWrap/>
            <w:vAlign w:val="center"/>
          </w:tcPr>
          <w:p w14:paraId="21C281FB" w14:textId="77777777" w:rsidR="00154E32" w:rsidRDefault="00A43E04">
            <w:pPr>
              <w:pStyle w:val="P68B1DB1-Normal12"/>
              <w:rPr>
                <w:noProof/>
                <w:color w:val="006600"/>
              </w:rPr>
            </w:pPr>
            <w:r>
              <w:rPr>
                <w:noProof/>
              </w:rPr>
              <w:t>Tarča</w:t>
            </w:r>
          </w:p>
        </w:tc>
        <w:tc>
          <w:tcPr>
            <w:tcW w:w="3865" w:type="dxa"/>
            <w:tcBorders>
              <w:top w:val="nil"/>
              <w:left w:val="nil"/>
              <w:bottom w:val="single" w:sz="4" w:space="0" w:color="auto"/>
              <w:right w:val="single" w:sz="4" w:space="0" w:color="auto"/>
            </w:tcBorders>
            <w:shd w:val="clear" w:color="auto" w:fill="C6EFCE"/>
            <w:noWrap/>
            <w:vAlign w:val="center"/>
          </w:tcPr>
          <w:p w14:paraId="3E014ABB" w14:textId="77777777" w:rsidR="00154E32" w:rsidRDefault="00A43E04">
            <w:pPr>
              <w:pStyle w:val="P68B1DB1-Normal12"/>
              <w:rPr>
                <w:noProof/>
                <w:color w:val="006600"/>
              </w:rPr>
            </w:pPr>
            <w:r>
              <w:rPr>
                <w:noProof/>
              </w:rPr>
              <w:t>Povečanje davčnih prihodkov, ustvarjenih z „pismi o skladnosti“</w:t>
            </w:r>
          </w:p>
        </w:tc>
      </w:tr>
      <w:tr w:rsidR="00154E32" w14:paraId="1F4A09A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446A924" w14:textId="77777777" w:rsidR="00154E32" w:rsidRDefault="00A43E04">
            <w:pPr>
              <w:pStyle w:val="P68B1DB1-Normal12"/>
              <w:jc w:val="center"/>
              <w:rPr>
                <w:noProof/>
              </w:rPr>
            </w:pPr>
            <w:r>
              <w:rPr>
                <w:noProof/>
              </w:rPr>
              <w:t>M1C2–6</w:t>
            </w:r>
          </w:p>
        </w:tc>
        <w:tc>
          <w:tcPr>
            <w:tcW w:w="3118" w:type="dxa"/>
            <w:tcBorders>
              <w:top w:val="nil"/>
              <w:left w:val="nil"/>
              <w:bottom w:val="single" w:sz="4" w:space="0" w:color="auto"/>
              <w:right w:val="single" w:sz="4" w:space="0" w:color="auto"/>
            </w:tcBorders>
            <w:shd w:val="clear" w:color="auto" w:fill="C6EFCE"/>
            <w:noWrap/>
            <w:vAlign w:val="center"/>
          </w:tcPr>
          <w:p w14:paraId="05D3B694" w14:textId="77777777" w:rsidR="00154E32" w:rsidRDefault="00A43E04">
            <w:pPr>
              <w:pStyle w:val="P68B1DB1-Normal12"/>
              <w:rPr>
                <w:noProof/>
              </w:rPr>
            </w:pPr>
            <w:r>
              <w:rPr>
                <w:noProof/>
              </w:rPr>
              <w:t>Reforma 2: Letna zakonodaja o konkurenci</w:t>
            </w:r>
          </w:p>
        </w:tc>
        <w:tc>
          <w:tcPr>
            <w:tcW w:w="1418" w:type="dxa"/>
            <w:tcBorders>
              <w:top w:val="nil"/>
              <w:left w:val="nil"/>
              <w:bottom w:val="single" w:sz="4" w:space="0" w:color="auto"/>
              <w:right w:val="single" w:sz="4" w:space="0" w:color="auto"/>
            </w:tcBorders>
            <w:shd w:val="clear" w:color="auto" w:fill="C6EFCE"/>
            <w:noWrap/>
            <w:vAlign w:val="center"/>
          </w:tcPr>
          <w:p w14:paraId="260FFFD8" w14:textId="77777777" w:rsidR="00154E32" w:rsidRDefault="00A43E04">
            <w:pPr>
              <w:pStyle w:val="P68B1DB1-Normal12"/>
              <w:rPr>
                <w:noProof/>
                <w:color w:val="006600"/>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4ED6BE29" w14:textId="77777777" w:rsidR="00154E32" w:rsidRDefault="00A43E04">
            <w:pPr>
              <w:pStyle w:val="P68B1DB1-Normal12"/>
              <w:rPr>
                <w:noProof/>
                <w:color w:val="006600"/>
              </w:rPr>
            </w:pPr>
            <w:r>
              <w:rPr>
                <w:noProof/>
              </w:rPr>
              <w:t>Začetek veljavnosti letnega konkurenčnega zakona za leto 2021</w:t>
            </w:r>
          </w:p>
        </w:tc>
      </w:tr>
      <w:tr w:rsidR="00154E32" w14:paraId="3CC810C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662296E" w14:textId="77777777" w:rsidR="00154E32" w:rsidRDefault="00A43E04">
            <w:pPr>
              <w:pStyle w:val="P68B1DB1-Normal12"/>
              <w:jc w:val="center"/>
              <w:rPr>
                <w:noProof/>
              </w:rPr>
            </w:pPr>
            <w:r>
              <w:rPr>
                <w:noProof/>
              </w:rPr>
              <w:t>M1C2–7</w:t>
            </w:r>
          </w:p>
        </w:tc>
        <w:tc>
          <w:tcPr>
            <w:tcW w:w="3118" w:type="dxa"/>
            <w:tcBorders>
              <w:top w:val="nil"/>
              <w:left w:val="nil"/>
              <w:bottom w:val="single" w:sz="4" w:space="0" w:color="auto"/>
              <w:right w:val="single" w:sz="4" w:space="0" w:color="auto"/>
            </w:tcBorders>
            <w:shd w:val="clear" w:color="auto" w:fill="C6EFCE"/>
            <w:noWrap/>
            <w:vAlign w:val="center"/>
          </w:tcPr>
          <w:p w14:paraId="2EDC5D45" w14:textId="77777777" w:rsidR="00154E32" w:rsidRDefault="00A43E04">
            <w:pPr>
              <w:pStyle w:val="P68B1DB1-Normal12"/>
              <w:rPr>
                <w:noProof/>
              </w:rPr>
            </w:pPr>
            <w:r>
              <w:rPr>
                <w:noProof/>
              </w:rPr>
              <w:t>Reforma 2: Letna zakonodaja o konkurenci</w:t>
            </w:r>
          </w:p>
        </w:tc>
        <w:tc>
          <w:tcPr>
            <w:tcW w:w="1418" w:type="dxa"/>
            <w:tcBorders>
              <w:top w:val="nil"/>
              <w:left w:val="nil"/>
              <w:bottom w:val="single" w:sz="4" w:space="0" w:color="auto"/>
              <w:right w:val="single" w:sz="4" w:space="0" w:color="auto"/>
            </w:tcBorders>
            <w:shd w:val="clear" w:color="auto" w:fill="C6EFCE"/>
            <w:noWrap/>
            <w:vAlign w:val="center"/>
          </w:tcPr>
          <w:p w14:paraId="56F2E0BA" w14:textId="77777777" w:rsidR="00154E32" w:rsidRDefault="00A43E04">
            <w:pPr>
              <w:pStyle w:val="P68B1DB1-Normal12"/>
              <w:rPr>
                <w:noProof/>
                <w:color w:val="006600"/>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3EA43668" w14:textId="77777777" w:rsidR="00154E32" w:rsidRDefault="00A43E04">
            <w:pPr>
              <w:pStyle w:val="P68B1DB1-Normal12"/>
              <w:rPr>
                <w:noProof/>
                <w:color w:val="006600"/>
              </w:rPr>
            </w:pPr>
            <w:r>
              <w:rPr>
                <w:noProof/>
              </w:rPr>
              <w:t>Začetek veljavnosti vseh izvedbenih ukrepov v zvezi z energijo in sekundarne zakonodaje (po potrebi)</w:t>
            </w:r>
          </w:p>
        </w:tc>
      </w:tr>
      <w:tr w:rsidR="00154E32" w14:paraId="0E6A4F4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2381900" w14:textId="77777777" w:rsidR="00154E32" w:rsidRDefault="00A43E04">
            <w:pPr>
              <w:pStyle w:val="P68B1DB1-Normal12"/>
              <w:jc w:val="center"/>
              <w:rPr>
                <w:noProof/>
              </w:rPr>
            </w:pPr>
            <w:r>
              <w:rPr>
                <w:noProof/>
              </w:rPr>
              <w:t>M1C2–8</w:t>
            </w:r>
          </w:p>
        </w:tc>
        <w:tc>
          <w:tcPr>
            <w:tcW w:w="3118" w:type="dxa"/>
            <w:tcBorders>
              <w:top w:val="nil"/>
              <w:left w:val="nil"/>
              <w:bottom w:val="single" w:sz="4" w:space="0" w:color="auto"/>
              <w:right w:val="single" w:sz="4" w:space="0" w:color="auto"/>
            </w:tcBorders>
            <w:shd w:val="clear" w:color="auto" w:fill="C6EFCE"/>
            <w:noWrap/>
            <w:vAlign w:val="center"/>
          </w:tcPr>
          <w:p w14:paraId="1D240120" w14:textId="77777777" w:rsidR="00154E32" w:rsidRDefault="00A43E04">
            <w:pPr>
              <w:pStyle w:val="P68B1DB1-Normal12"/>
              <w:rPr>
                <w:noProof/>
              </w:rPr>
            </w:pPr>
            <w:r>
              <w:rPr>
                <w:noProof/>
              </w:rPr>
              <w:t>Reforma 2: Letna zakonodaja o konkurenci</w:t>
            </w:r>
          </w:p>
        </w:tc>
        <w:tc>
          <w:tcPr>
            <w:tcW w:w="1418" w:type="dxa"/>
            <w:tcBorders>
              <w:top w:val="nil"/>
              <w:left w:val="nil"/>
              <w:bottom w:val="single" w:sz="4" w:space="0" w:color="auto"/>
              <w:right w:val="single" w:sz="4" w:space="0" w:color="auto"/>
            </w:tcBorders>
            <w:shd w:val="clear" w:color="auto" w:fill="C6EFCE"/>
            <w:noWrap/>
            <w:vAlign w:val="center"/>
          </w:tcPr>
          <w:p w14:paraId="094BE03A" w14:textId="77777777" w:rsidR="00154E32" w:rsidRDefault="00A43E04">
            <w:pPr>
              <w:pStyle w:val="P68B1DB1-Normal12"/>
              <w:rPr>
                <w:noProof/>
                <w:color w:val="006600"/>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3EE5BC01" w14:textId="77777777" w:rsidR="00154E32" w:rsidRDefault="00A43E04">
            <w:pPr>
              <w:pStyle w:val="P68B1DB1-Normal12"/>
              <w:rPr>
                <w:noProof/>
                <w:color w:val="006600"/>
              </w:rPr>
            </w:pPr>
            <w:r>
              <w:rPr>
                <w:noProof/>
              </w:rPr>
              <w:t>Začetek veljavnosti vseh izvedbenih ukrepov (po potrebi vključno s sekundarno zakonodajo) za učinkovito izvajanje in uporabo ukrepov, ki izhajajo iz letnega konkurenčnega prava za leto 2021</w:t>
            </w:r>
          </w:p>
        </w:tc>
      </w:tr>
      <w:tr w:rsidR="00154E32" w14:paraId="5D73684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F701343" w14:textId="77777777" w:rsidR="00154E32" w:rsidRDefault="00A43E04">
            <w:pPr>
              <w:pStyle w:val="P68B1DB1-Normal12"/>
              <w:jc w:val="center"/>
              <w:rPr>
                <w:noProof/>
              </w:rPr>
            </w:pPr>
            <w:r>
              <w:rPr>
                <w:noProof/>
              </w:rPr>
              <w:t>M1C3–6</w:t>
            </w:r>
          </w:p>
        </w:tc>
        <w:tc>
          <w:tcPr>
            <w:tcW w:w="3118" w:type="dxa"/>
            <w:tcBorders>
              <w:top w:val="nil"/>
              <w:left w:val="nil"/>
              <w:bottom w:val="single" w:sz="4" w:space="0" w:color="auto"/>
              <w:right w:val="single" w:sz="4" w:space="0" w:color="auto"/>
            </w:tcBorders>
            <w:shd w:val="clear" w:color="auto" w:fill="C6EFCE"/>
            <w:noWrap/>
            <w:vAlign w:val="center"/>
          </w:tcPr>
          <w:p w14:paraId="299FBB39" w14:textId="77777777" w:rsidR="00154E32" w:rsidRDefault="00A43E04">
            <w:pPr>
              <w:pStyle w:val="P68B1DB1-Normal12"/>
              <w:rPr>
                <w:noProof/>
              </w:rPr>
            </w:pPr>
            <w:r>
              <w:rPr>
                <w:noProof/>
              </w:rPr>
              <w:t>Reforma – 3.1 Minimalna okoljska merila za kulturne dogodke</w:t>
            </w:r>
          </w:p>
        </w:tc>
        <w:tc>
          <w:tcPr>
            <w:tcW w:w="1418" w:type="dxa"/>
            <w:tcBorders>
              <w:top w:val="nil"/>
              <w:left w:val="nil"/>
              <w:bottom w:val="single" w:sz="4" w:space="0" w:color="auto"/>
              <w:right w:val="single" w:sz="4" w:space="0" w:color="auto"/>
            </w:tcBorders>
            <w:shd w:val="clear" w:color="auto" w:fill="C6EFCE"/>
            <w:noWrap/>
            <w:vAlign w:val="center"/>
          </w:tcPr>
          <w:p w14:paraId="6FDE30ED" w14:textId="77777777" w:rsidR="00154E32" w:rsidRDefault="00A43E04">
            <w:pPr>
              <w:pStyle w:val="P68B1DB1-Normal12"/>
              <w:rPr>
                <w:noProof/>
                <w:color w:val="006600"/>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3A07EF48" w14:textId="77777777" w:rsidR="00154E32" w:rsidRDefault="00A43E04">
            <w:pPr>
              <w:pStyle w:val="P68B1DB1-Normal12"/>
              <w:rPr>
                <w:noProof/>
                <w:color w:val="006600"/>
              </w:rPr>
            </w:pPr>
            <w:r>
              <w:rPr>
                <w:noProof/>
              </w:rPr>
              <w:t>Začetek veljavnosti odloka o določitvi socialnih in okoljskih meril v razpisih za javna naročila v zvezi s kulturnimi dogodki, ki se financirajo iz javnih sredstev</w:t>
            </w:r>
          </w:p>
        </w:tc>
      </w:tr>
      <w:tr w:rsidR="00154E32" w14:paraId="5EAB296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F757FA8" w14:textId="77777777" w:rsidR="00154E32" w:rsidRDefault="00A43E04">
            <w:pPr>
              <w:pStyle w:val="P68B1DB1-Normal12"/>
              <w:jc w:val="center"/>
              <w:rPr>
                <w:noProof/>
              </w:rPr>
            </w:pPr>
            <w:r>
              <w:rPr>
                <w:noProof/>
              </w:rPr>
              <w:t>M2C1–3</w:t>
            </w:r>
          </w:p>
        </w:tc>
        <w:tc>
          <w:tcPr>
            <w:tcW w:w="3118" w:type="dxa"/>
            <w:tcBorders>
              <w:top w:val="nil"/>
              <w:left w:val="nil"/>
              <w:bottom w:val="single" w:sz="4" w:space="0" w:color="auto"/>
              <w:right w:val="single" w:sz="4" w:space="0" w:color="auto"/>
            </w:tcBorders>
            <w:shd w:val="clear" w:color="auto" w:fill="C6EFCE"/>
            <w:noWrap/>
            <w:vAlign w:val="center"/>
          </w:tcPr>
          <w:p w14:paraId="49AF2B85" w14:textId="77777777" w:rsidR="00154E32" w:rsidRDefault="00A43E04">
            <w:pPr>
              <w:pStyle w:val="P68B1DB1-Normal12"/>
              <w:rPr>
                <w:noProof/>
              </w:rPr>
            </w:pPr>
            <w:r>
              <w:rPr>
                <w:noProof/>
              </w:rPr>
              <w:t>Naložba 2.1: Logistični načrt za agroživilski, ribiški in akvakulturni sektor, gozdarstvo, cvetličarstvo in odraščanje rastlin</w:t>
            </w:r>
          </w:p>
        </w:tc>
        <w:tc>
          <w:tcPr>
            <w:tcW w:w="1418" w:type="dxa"/>
            <w:tcBorders>
              <w:top w:val="nil"/>
              <w:left w:val="nil"/>
              <w:bottom w:val="single" w:sz="4" w:space="0" w:color="auto"/>
              <w:right w:val="single" w:sz="4" w:space="0" w:color="auto"/>
            </w:tcBorders>
            <w:shd w:val="clear" w:color="auto" w:fill="C6EFCE"/>
            <w:noWrap/>
            <w:vAlign w:val="center"/>
          </w:tcPr>
          <w:p w14:paraId="60255ED6" w14:textId="77777777" w:rsidR="00154E32" w:rsidRDefault="00A43E04">
            <w:pPr>
              <w:pStyle w:val="P68B1DB1-Normal12"/>
              <w:rPr>
                <w:noProof/>
                <w:color w:val="006600"/>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14B42990" w14:textId="77777777" w:rsidR="00154E32" w:rsidRDefault="00A43E04">
            <w:pPr>
              <w:pStyle w:val="P68B1DB1-Normal12"/>
              <w:rPr>
                <w:noProof/>
                <w:color w:val="006600"/>
              </w:rPr>
            </w:pPr>
            <w:r>
              <w:rPr>
                <w:noProof/>
              </w:rPr>
              <w:t>Objava končne razvrstitve v skladu s shemo logističnih spodbud</w:t>
            </w:r>
          </w:p>
        </w:tc>
      </w:tr>
      <w:tr w:rsidR="00154E32" w14:paraId="380B013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760B8DF" w14:textId="77777777" w:rsidR="00154E32" w:rsidRDefault="00A43E04">
            <w:pPr>
              <w:pStyle w:val="P68B1DB1-Normal12"/>
              <w:jc w:val="center"/>
              <w:rPr>
                <w:noProof/>
              </w:rPr>
            </w:pPr>
            <w:r>
              <w:rPr>
                <w:noProof/>
              </w:rPr>
              <w:t>M2C1–4</w:t>
            </w:r>
          </w:p>
        </w:tc>
        <w:tc>
          <w:tcPr>
            <w:tcW w:w="3118" w:type="dxa"/>
            <w:tcBorders>
              <w:top w:val="nil"/>
              <w:left w:val="nil"/>
              <w:bottom w:val="single" w:sz="4" w:space="0" w:color="auto"/>
              <w:right w:val="single" w:sz="4" w:space="0" w:color="auto"/>
            </w:tcBorders>
            <w:shd w:val="clear" w:color="auto" w:fill="C6EFCE"/>
            <w:noWrap/>
            <w:vAlign w:val="center"/>
          </w:tcPr>
          <w:p w14:paraId="04A13C66" w14:textId="77777777" w:rsidR="00154E32" w:rsidRDefault="00A43E04">
            <w:pPr>
              <w:pStyle w:val="P68B1DB1-Normal12"/>
              <w:rPr>
                <w:noProof/>
              </w:rPr>
            </w:pPr>
            <w:r>
              <w:rPr>
                <w:noProof/>
              </w:rPr>
              <w:t>Naložba 2.2: Kmetijsko-sonalni park</w:t>
            </w:r>
          </w:p>
        </w:tc>
        <w:tc>
          <w:tcPr>
            <w:tcW w:w="1418" w:type="dxa"/>
            <w:tcBorders>
              <w:top w:val="nil"/>
              <w:left w:val="nil"/>
              <w:bottom w:val="single" w:sz="4" w:space="0" w:color="auto"/>
              <w:right w:val="single" w:sz="4" w:space="0" w:color="auto"/>
            </w:tcBorders>
            <w:shd w:val="clear" w:color="auto" w:fill="C6EFCE"/>
            <w:noWrap/>
            <w:vAlign w:val="center"/>
          </w:tcPr>
          <w:p w14:paraId="3896D26C" w14:textId="77777777" w:rsidR="00154E32" w:rsidRDefault="00A43E04">
            <w:pPr>
              <w:pStyle w:val="P68B1DB1-Normal12"/>
              <w:rPr>
                <w:noProof/>
                <w:color w:val="006600"/>
              </w:rPr>
            </w:pPr>
            <w:r>
              <w:rPr>
                <w:noProof/>
              </w:rPr>
              <w:t>Tarča</w:t>
            </w:r>
          </w:p>
        </w:tc>
        <w:tc>
          <w:tcPr>
            <w:tcW w:w="3865" w:type="dxa"/>
            <w:tcBorders>
              <w:top w:val="nil"/>
              <w:left w:val="nil"/>
              <w:bottom w:val="single" w:sz="4" w:space="0" w:color="auto"/>
              <w:right w:val="single" w:sz="4" w:space="0" w:color="auto"/>
            </w:tcBorders>
            <w:shd w:val="clear" w:color="auto" w:fill="C6EFCE"/>
            <w:noWrap/>
            <w:vAlign w:val="center"/>
          </w:tcPr>
          <w:p w14:paraId="0D134A03" w14:textId="77777777" w:rsidR="00154E32" w:rsidRDefault="00A43E04">
            <w:pPr>
              <w:pStyle w:val="P68B1DB1-Normal12"/>
              <w:rPr>
                <w:noProof/>
                <w:color w:val="006600"/>
              </w:rPr>
            </w:pPr>
            <w:r>
              <w:rPr>
                <w:noProof/>
              </w:rPr>
              <w:t>Dodelitev sredstev upravičencem kot % skupnih finančnih sredstev, dodeljenih za naložbo</w:t>
            </w:r>
          </w:p>
        </w:tc>
      </w:tr>
      <w:tr w:rsidR="00154E32" w14:paraId="464B822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93AC106" w14:textId="77777777" w:rsidR="00154E32" w:rsidRDefault="00A43E04">
            <w:pPr>
              <w:pStyle w:val="P68B1DB1-Normal12"/>
              <w:jc w:val="center"/>
              <w:rPr>
                <w:noProof/>
              </w:rPr>
            </w:pPr>
            <w:r>
              <w:rPr>
                <w:noProof/>
              </w:rPr>
              <w:t>M2C2–8</w:t>
            </w:r>
          </w:p>
        </w:tc>
        <w:tc>
          <w:tcPr>
            <w:tcW w:w="3118" w:type="dxa"/>
            <w:tcBorders>
              <w:top w:val="nil"/>
              <w:left w:val="nil"/>
              <w:bottom w:val="single" w:sz="4" w:space="0" w:color="auto"/>
              <w:right w:val="single" w:sz="4" w:space="0" w:color="auto"/>
            </w:tcBorders>
            <w:shd w:val="clear" w:color="auto" w:fill="C6EFCE"/>
            <w:noWrap/>
            <w:vAlign w:val="center"/>
          </w:tcPr>
          <w:p w14:paraId="7E0BCA6F" w14:textId="77777777" w:rsidR="00154E32" w:rsidRDefault="00A43E04">
            <w:pPr>
              <w:pStyle w:val="P68B1DB1-Normal12"/>
              <w:rPr>
                <w:noProof/>
              </w:rPr>
            </w:pPr>
            <w:r>
              <w:rPr>
                <w:noProof/>
              </w:rPr>
              <w:t>Naložba 2.1 Krepitev pametnih omrežij</w:t>
            </w:r>
          </w:p>
        </w:tc>
        <w:tc>
          <w:tcPr>
            <w:tcW w:w="1418" w:type="dxa"/>
            <w:tcBorders>
              <w:top w:val="nil"/>
              <w:left w:val="nil"/>
              <w:bottom w:val="single" w:sz="4" w:space="0" w:color="auto"/>
              <w:right w:val="single" w:sz="4" w:space="0" w:color="auto"/>
            </w:tcBorders>
            <w:shd w:val="clear" w:color="auto" w:fill="C6EFCE"/>
            <w:noWrap/>
            <w:vAlign w:val="center"/>
          </w:tcPr>
          <w:p w14:paraId="2561FA90" w14:textId="77777777" w:rsidR="00154E32" w:rsidRDefault="00A43E04">
            <w:pPr>
              <w:pStyle w:val="P68B1DB1-Normal12"/>
              <w:rPr>
                <w:noProof/>
                <w:color w:val="006600"/>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3AD63211" w14:textId="77777777" w:rsidR="00154E32" w:rsidRDefault="00A43E04">
            <w:pPr>
              <w:pStyle w:val="P68B1DB1-Normal12"/>
              <w:rPr>
                <w:noProof/>
                <w:color w:val="006600"/>
              </w:rPr>
            </w:pPr>
            <w:r>
              <w:rPr>
                <w:noProof/>
              </w:rPr>
              <w:t>Oddaja (vseh) javnih naročil za povečanje zmogljivosti omrežja</w:t>
            </w:r>
          </w:p>
        </w:tc>
      </w:tr>
      <w:tr w:rsidR="00154E32" w14:paraId="03E4DF0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9CCF30D" w14:textId="77777777" w:rsidR="00154E32" w:rsidRDefault="00A43E04">
            <w:pPr>
              <w:pStyle w:val="P68B1DB1-Normal12"/>
              <w:jc w:val="center"/>
              <w:rPr>
                <w:noProof/>
              </w:rPr>
            </w:pPr>
            <w:r>
              <w:rPr>
                <w:noProof/>
              </w:rPr>
              <w:t>M2C2–12</w:t>
            </w:r>
          </w:p>
        </w:tc>
        <w:tc>
          <w:tcPr>
            <w:tcW w:w="3118" w:type="dxa"/>
            <w:tcBorders>
              <w:top w:val="nil"/>
              <w:left w:val="nil"/>
              <w:bottom w:val="single" w:sz="4" w:space="0" w:color="auto"/>
              <w:right w:val="single" w:sz="4" w:space="0" w:color="auto"/>
            </w:tcBorders>
            <w:shd w:val="clear" w:color="auto" w:fill="C6EFCE"/>
            <w:noWrap/>
            <w:vAlign w:val="center"/>
          </w:tcPr>
          <w:p w14:paraId="26950E3E" w14:textId="77777777" w:rsidR="00154E32" w:rsidRDefault="00A43E04">
            <w:pPr>
              <w:pStyle w:val="P68B1DB1-Normal12"/>
              <w:rPr>
                <w:noProof/>
              </w:rPr>
            </w:pPr>
            <w:r>
              <w:rPr>
                <w:noProof/>
              </w:rPr>
              <w:t>Naložba 2.2 Intervencije za povečanje odpornosti električnega omrežja</w:t>
            </w:r>
          </w:p>
        </w:tc>
        <w:tc>
          <w:tcPr>
            <w:tcW w:w="1418" w:type="dxa"/>
            <w:tcBorders>
              <w:top w:val="nil"/>
              <w:left w:val="nil"/>
              <w:bottom w:val="single" w:sz="4" w:space="0" w:color="auto"/>
              <w:right w:val="single" w:sz="4" w:space="0" w:color="auto"/>
            </w:tcBorders>
            <w:shd w:val="clear" w:color="auto" w:fill="C6EFCE"/>
            <w:noWrap/>
            <w:vAlign w:val="center"/>
          </w:tcPr>
          <w:p w14:paraId="3F50362B" w14:textId="77777777" w:rsidR="00154E32" w:rsidRDefault="00A43E04">
            <w:pPr>
              <w:pStyle w:val="P68B1DB1-Normal12"/>
              <w:rPr>
                <w:noProof/>
                <w:color w:val="006600"/>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033ADAB4" w14:textId="77777777" w:rsidR="00154E32" w:rsidRDefault="00A43E04">
            <w:pPr>
              <w:pStyle w:val="P68B1DB1-Normal12"/>
              <w:rPr>
                <w:noProof/>
                <w:color w:val="006600"/>
              </w:rPr>
            </w:pPr>
            <w:r>
              <w:rPr>
                <w:noProof/>
              </w:rPr>
              <w:t>Dodelitev projektov za povečanje odpornosti omrežja elektroenergetskega sistema</w:t>
            </w:r>
          </w:p>
        </w:tc>
      </w:tr>
      <w:tr w:rsidR="00154E32" w14:paraId="4CE6E6A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E4C7C0F" w14:textId="77777777" w:rsidR="00154E32" w:rsidRDefault="00A43E04">
            <w:pPr>
              <w:pStyle w:val="P68B1DB1-Normal12"/>
              <w:jc w:val="center"/>
              <w:rPr>
                <w:noProof/>
              </w:rPr>
            </w:pPr>
            <w:r>
              <w:rPr>
                <w:noProof/>
              </w:rPr>
              <w:t>M3C2–1</w:t>
            </w:r>
          </w:p>
        </w:tc>
        <w:tc>
          <w:tcPr>
            <w:tcW w:w="3118" w:type="dxa"/>
            <w:tcBorders>
              <w:top w:val="nil"/>
              <w:left w:val="nil"/>
              <w:bottom w:val="single" w:sz="4" w:space="0" w:color="auto"/>
              <w:right w:val="single" w:sz="4" w:space="0" w:color="auto"/>
            </w:tcBorders>
            <w:shd w:val="clear" w:color="auto" w:fill="C6EFCE"/>
            <w:noWrap/>
            <w:vAlign w:val="center"/>
          </w:tcPr>
          <w:p w14:paraId="574059F4" w14:textId="77777777" w:rsidR="00154E32" w:rsidRDefault="00A43E04">
            <w:pPr>
              <w:pStyle w:val="P68B1DB1-Normal12"/>
              <w:rPr>
                <w:noProof/>
              </w:rPr>
            </w:pPr>
            <w:r>
              <w:rPr>
                <w:noProof/>
              </w:rPr>
              <w:t xml:space="preserve">Reforma 1.1 – Poenostavitev postopkov za proces strateškega načrtovanja </w:t>
            </w:r>
          </w:p>
        </w:tc>
        <w:tc>
          <w:tcPr>
            <w:tcW w:w="1418" w:type="dxa"/>
            <w:tcBorders>
              <w:top w:val="nil"/>
              <w:left w:val="nil"/>
              <w:bottom w:val="single" w:sz="4" w:space="0" w:color="auto"/>
              <w:right w:val="single" w:sz="4" w:space="0" w:color="auto"/>
            </w:tcBorders>
            <w:shd w:val="clear" w:color="auto" w:fill="C6EFCE"/>
            <w:noWrap/>
            <w:vAlign w:val="center"/>
          </w:tcPr>
          <w:p w14:paraId="5AC7C2C6" w14:textId="77777777" w:rsidR="00154E32" w:rsidRDefault="00A43E04">
            <w:pPr>
              <w:pStyle w:val="P68B1DB1-Normal12"/>
              <w:rPr>
                <w:noProof/>
                <w:color w:val="006600"/>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3C881DAA" w14:textId="77777777" w:rsidR="00154E32" w:rsidRDefault="00A43E04">
            <w:pPr>
              <w:pStyle w:val="P68B1DB1-Normal12"/>
              <w:rPr>
                <w:noProof/>
                <w:color w:val="006600"/>
              </w:rPr>
            </w:pPr>
            <w:r>
              <w:rPr>
                <w:noProof/>
              </w:rPr>
              <w:t>Začetek veljavnosti zakonodajnih sprememb v zvezi s poenostavitvijo postopkov za proces strateškega načrtovanja</w:t>
            </w:r>
          </w:p>
        </w:tc>
      </w:tr>
      <w:tr w:rsidR="00154E32" w14:paraId="47A14FE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12AD9EC" w14:textId="77777777" w:rsidR="00154E32" w:rsidRDefault="00A43E04">
            <w:pPr>
              <w:pStyle w:val="P68B1DB1-Normal12"/>
              <w:jc w:val="center"/>
              <w:rPr>
                <w:noProof/>
              </w:rPr>
            </w:pPr>
            <w:r>
              <w:rPr>
                <w:noProof/>
              </w:rPr>
              <w:t>M3C2–2</w:t>
            </w:r>
          </w:p>
        </w:tc>
        <w:tc>
          <w:tcPr>
            <w:tcW w:w="3118" w:type="dxa"/>
            <w:tcBorders>
              <w:top w:val="nil"/>
              <w:left w:val="nil"/>
              <w:bottom w:val="single" w:sz="4" w:space="0" w:color="auto"/>
              <w:right w:val="single" w:sz="4" w:space="0" w:color="auto"/>
            </w:tcBorders>
            <w:shd w:val="clear" w:color="auto" w:fill="C6EFCE"/>
            <w:noWrap/>
            <w:vAlign w:val="center"/>
          </w:tcPr>
          <w:p w14:paraId="73F72359" w14:textId="77777777" w:rsidR="00154E32" w:rsidRDefault="00A43E04">
            <w:pPr>
              <w:pStyle w:val="P68B1DB1-Normal12"/>
              <w:rPr>
                <w:noProof/>
              </w:rPr>
            </w:pPr>
            <w:r>
              <w:rPr>
                <w:noProof/>
              </w:rPr>
              <w:t>Reforma 1.2 – Konkurenčna podelitev koncesij v italijanskih pristaniščih</w:t>
            </w:r>
          </w:p>
        </w:tc>
        <w:tc>
          <w:tcPr>
            <w:tcW w:w="1418" w:type="dxa"/>
            <w:tcBorders>
              <w:top w:val="nil"/>
              <w:left w:val="nil"/>
              <w:bottom w:val="single" w:sz="4" w:space="0" w:color="auto"/>
              <w:right w:val="single" w:sz="4" w:space="0" w:color="auto"/>
            </w:tcBorders>
            <w:shd w:val="clear" w:color="auto" w:fill="C6EFCE"/>
            <w:noWrap/>
            <w:vAlign w:val="center"/>
          </w:tcPr>
          <w:p w14:paraId="6B140DC2" w14:textId="77777777" w:rsidR="00154E32" w:rsidRDefault="00A43E04">
            <w:pPr>
              <w:pStyle w:val="P68B1DB1-Normal12"/>
              <w:rPr>
                <w:noProof/>
                <w:color w:val="006600"/>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7B60B233" w14:textId="77777777" w:rsidR="00154E32" w:rsidRDefault="00A43E04">
            <w:pPr>
              <w:pStyle w:val="P68B1DB1-Normal12"/>
              <w:rPr>
                <w:noProof/>
                <w:color w:val="006600"/>
              </w:rPr>
            </w:pPr>
            <w:r>
              <w:rPr>
                <w:noProof/>
              </w:rPr>
              <w:t>Začetek veljavnosti uredbe o pristaniških koncesijah</w:t>
            </w:r>
          </w:p>
        </w:tc>
      </w:tr>
      <w:tr w:rsidR="00154E32" w14:paraId="2EA511D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2842B9D" w14:textId="77777777" w:rsidR="00154E32" w:rsidRDefault="00A43E04">
            <w:pPr>
              <w:pStyle w:val="P68B1DB1-Normal12"/>
              <w:jc w:val="center"/>
              <w:rPr>
                <w:noProof/>
              </w:rPr>
            </w:pPr>
            <w:r>
              <w:rPr>
                <w:noProof/>
              </w:rPr>
              <w:t>M3C2–4</w:t>
            </w:r>
          </w:p>
        </w:tc>
        <w:tc>
          <w:tcPr>
            <w:tcW w:w="3118" w:type="dxa"/>
            <w:tcBorders>
              <w:top w:val="nil"/>
              <w:left w:val="nil"/>
              <w:bottom w:val="single" w:sz="4" w:space="0" w:color="auto"/>
              <w:right w:val="single" w:sz="4" w:space="0" w:color="auto"/>
            </w:tcBorders>
            <w:shd w:val="clear" w:color="auto" w:fill="C6EFCE"/>
            <w:noWrap/>
            <w:vAlign w:val="center"/>
          </w:tcPr>
          <w:p w14:paraId="7389EAD1" w14:textId="77777777" w:rsidR="00154E32" w:rsidRDefault="00A43E04">
            <w:pPr>
              <w:pStyle w:val="P68B1DB1-Normal12"/>
              <w:rPr>
                <w:noProof/>
              </w:rPr>
            </w:pPr>
            <w:r>
              <w:rPr>
                <w:noProof/>
              </w:rPr>
              <w:t>Reforma 1.3 – Poenostavitev postopkov za izdajo dovoljenj za obrate za hladno likanje</w:t>
            </w:r>
          </w:p>
        </w:tc>
        <w:tc>
          <w:tcPr>
            <w:tcW w:w="1418" w:type="dxa"/>
            <w:tcBorders>
              <w:top w:val="nil"/>
              <w:left w:val="nil"/>
              <w:bottom w:val="single" w:sz="4" w:space="0" w:color="auto"/>
              <w:right w:val="single" w:sz="4" w:space="0" w:color="auto"/>
            </w:tcBorders>
            <w:shd w:val="clear" w:color="auto" w:fill="C6EFCE"/>
            <w:noWrap/>
            <w:vAlign w:val="center"/>
          </w:tcPr>
          <w:p w14:paraId="0D024A64" w14:textId="77777777" w:rsidR="00154E32" w:rsidRDefault="00A43E04">
            <w:pPr>
              <w:pStyle w:val="P68B1DB1-Normal12"/>
              <w:rPr>
                <w:noProof/>
                <w:color w:val="006600"/>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2BEC988D" w14:textId="77777777" w:rsidR="00154E32" w:rsidRDefault="00A43E04">
            <w:pPr>
              <w:pStyle w:val="P68B1DB1-Normal12"/>
              <w:rPr>
                <w:noProof/>
                <w:color w:val="006600"/>
              </w:rPr>
            </w:pPr>
            <w:r>
              <w:rPr>
                <w:noProof/>
              </w:rPr>
              <w:t>Začetek veljavnosti poenostavitve postopkov za izdajo dovoljenj za obrate za hladno likanje</w:t>
            </w:r>
          </w:p>
        </w:tc>
      </w:tr>
      <w:tr w:rsidR="00154E32" w14:paraId="59B63EC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DAB57C7" w14:textId="77777777" w:rsidR="00154E32" w:rsidRDefault="00A43E04">
            <w:pPr>
              <w:pStyle w:val="P68B1DB1-Normal12"/>
              <w:jc w:val="center"/>
              <w:rPr>
                <w:noProof/>
              </w:rPr>
            </w:pPr>
            <w:r>
              <w:rPr>
                <w:noProof/>
              </w:rPr>
              <w:t>M4C1–5</w:t>
            </w:r>
          </w:p>
        </w:tc>
        <w:tc>
          <w:tcPr>
            <w:tcW w:w="3118" w:type="dxa"/>
            <w:tcBorders>
              <w:top w:val="nil"/>
              <w:left w:val="nil"/>
              <w:bottom w:val="single" w:sz="4" w:space="0" w:color="auto"/>
              <w:right w:val="single" w:sz="4" w:space="0" w:color="auto"/>
            </w:tcBorders>
            <w:shd w:val="clear" w:color="auto" w:fill="C6EFCE"/>
            <w:noWrap/>
            <w:vAlign w:val="center"/>
          </w:tcPr>
          <w:p w14:paraId="015336E0" w14:textId="77777777" w:rsidR="00154E32" w:rsidRDefault="00A43E04">
            <w:pPr>
              <w:pStyle w:val="P68B1DB1-Normal12"/>
              <w:rPr>
                <w:noProof/>
              </w:rPr>
            </w:pPr>
            <w:r>
              <w:rPr>
                <w:noProof/>
              </w:rPr>
              <w:t>Reforma 1.3: Reorganizacija šolskega sistema; Reforma 1.2: Reforma sistema terciarnega poklicnega usposabljanja (ITS); Reforma 1.1: Reforma tehničnih in strokovnih inštitutov; Reforma 1.4: Reforma sistema „usmeritve“</w:t>
            </w:r>
          </w:p>
        </w:tc>
        <w:tc>
          <w:tcPr>
            <w:tcW w:w="1418" w:type="dxa"/>
            <w:tcBorders>
              <w:top w:val="nil"/>
              <w:left w:val="nil"/>
              <w:bottom w:val="single" w:sz="4" w:space="0" w:color="auto"/>
              <w:right w:val="single" w:sz="4" w:space="0" w:color="auto"/>
            </w:tcBorders>
            <w:shd w:val="clear" w:color="auto" w:fill="C6EFCE"/>
            <w:noWrap/>
            <w:vAlign w:val="center"/>
          </w:tcPr>
          <w:p w14:paraId="706CF116" w14:textId="77777777" w:rsidR="00154E32" w:rsidRDefault="00A43E04">
            <w:pPr>
              <w:pStyle w:val="P68B1DB1-Normal12"/>
              <w:rPr>
                <w:noProof/>
                <w:color w:val="006600"/>
              </w:rPr>
            </w:pPr>
            <w:r>
              <w:rPr>
                <w:noProof/>
              </w:rPr>
              <w:t>Mejniki</w:t>
            </w:r>
          </w:p>
        </w:tc>
        <w:tc>
          <w:tcPr>
            <w:tcW w:w="3865" w:type="dxa"/>
            <w:tcBorders>
              <w:top w:val="nil"/>
              <w:left w:val="nil"/>
              <w:bottom w:val="single" w:sz="4" w:space="0" w:color="auto"/>
              <w:right w:val="single" w:sz="4" w:space="0" w:color="auto"/>
            </w:tcBorders>
            <w:shd w:val="clear" w:color="auto" w:fill="C6EFCE"/>
            <w:noWrap/>
            <w:vAlign w:val="center"/>
          </w:tcPr>
          <w:p w14:paraId="1E69BE4C" w14:textId="77777777" w:rsidR="00154E32" w:rsidRDefault="00A43E04">
            <w:pPr>
              <w:pStyle w:val="P68B1DB1-Normal12"/>
              <w:rPr>
                <w:noProof/>
                <w:color w:val="006600"/>
              </w:rPr>
            </w:pPr>
            <w:r>
              <w:rPr>
                <w:noProof/>
              </w:rPr>
              <w:t>Začetek veljavnosti reform osnovnošolskega in srednješolskega izobraževalnega sistema za izboljšanje rezultatov izobraževanja</w:t>
            </w:r>
          </w:p>
        </w:tc>
      </w:tr>
      <w:tr w:rsidR="00154E32" w14:paraId="4706A64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F942C78" w14:textId="77777777" w:rsidR="00154E32" w:rsidRDefault="00A43E04">
            <w:pPr>
              <w:pStyle w:val="P68B1DB1-Normal12"/>
              <w:jc w:val="center"/>
              <w:rPr>
                <w:noProof/>
              </w:rPr>
            </w:pPr>
            <w:r>
              <w:rPr>
                <w:noProof/>
              </w:rPr>
              <w:t>M4C1–6</w:t>
            </w:r>
          </w:p>
        </w:tc>
        <w:tc>
          <w:tcPr>
            <w:tcW w:w="3118" w:type="dxa"/>
            <w:tcBorders>
              <w:top w:val="nil"/>
              <w:left w:val="nil"/>
              <w:bottom w:val="single" w:sz="4" w:space="0" w:color="auto"/>
              <w:right w:val="single" w:sz="4" w:space="0" w:color="auto"/>
            </w:tcBorders>
            <w:shd w:val="clear" w:color="auto" w:fill="C6EFCE"/>
            <w:noWrap/>
            <w:vAlign w:val="center"/>
          </w:tcPr>
          <w:p w14:paraId="327AC3F2" w14:textId="77777777" w:rsidR="00154E32" w:rsidRDefault="00A43E04">
            <w:pPr>
              <w:pStyle w:val="P68B1DB1-Normal12"/>
              <w:rPr>
                <w:noProof/>
              </w:rPr>
            </w:pPr>
            <w:r>
              <w:rPr>
                <w:noProof/>
              </w:rPr>
              <w:t>Reforma 2.2: Višje terciarno izobraževanje in stalno usposabljanje vodstvenih delavcev šol, učiteljev, administrativnega in tehničnega osebja</w:t>
            </w:r>
          </w:p>
        </w:tc>
        <w:tc>
          <w:tcPr>
            <w:tcW w:w="1418" w:type="dxa"/>
            <w:tcBorders>
              <w:top w:val="nil"/>
              <w:left w:val="nil"/>
              <w:bottom w:val="single" w:sz="4" w:space="0" w:color="auto"/>
              <w:right w:val="single" w:sz="4" w:space="0" w:color="auto"/>
            </w:tcBorders>
            <w:shd w:val="clear" w:color="auto" w:fill="C6EFCE"/>
            <w:noWrap/>
            <w:vAlign w:val="center"/>
          </w:tcPr>
          <w:p w14:paraId="2ABBF847" w14:textId="77777777" w:rsidR="00154E32" w:rsidRDefault="00A43E04">
            <w:pPr>
              <w:pStyle w:val="P68B1DB1-Normal12"/>
              <w:rPr>
                <w:noProof/>
                <w:color w:val="006600"/>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08307BB6" w14:textId="77777777" w:rsidR="00154E32" w:rsidRDefault="00A43E04">
            <w:pPr>
              <w:pStyle w:val="P68B1DB1-Normal12"/>
              <w:rPr>
                <w:noProof/>
                <w:color w:val="006600"/>
              </w:rPr>
            </w:pPr>
            <w:r>
              <w:rPr>
                <w:noProof/>
              </w:rPr>
              <w:t>Začetek veljavnosti zakonodaje za vzpostavitev sistema kakovostnega usposabljanja za šole.</w:t>
            </w:r>
          </w:p>
        </w:tc>
      </w:tr>
      <w:tr w:rsidR="00154E32" w14:paraId="6D466F7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52584E6" w14:textId="77777777" w:rsidR="00154E32" w:rsidRDefault="00A43E04">
            <w:pPr>
              <w:pStyle w:val="P68B1DB1-Normal12"/>
              <w:jc w:val="center"/>
              <w:rPr>
                <w:noProof/>
              </w:rPr>
            </w:pPr>
            <w:r>
              <w:rPr>
                <w:noProof/>
              </w:rPr>
              <w:t>M4C2–1</w:t>
            </w:r>
          </w:p>
        </w:tc>
        <w:tc>
          <w:tcPr>
            <w:tcW w:w="3118" w:type="dxa"/>
            <w:tcBorders>
              <w:top w:val="nil"/>
              <w:left w:val="nil"/>
              <w:bottom w:val="single" w:sz="4" w:space="0" w:color="auto"/>
              <w:right w:val="single" w:sz="4" w:space="0" w:color="auto"/>
            </w:tcBorders>
            <w:shd w:val="clear" w:color="auto" w:fill="C6EFCE"/>
            <w:noWrap/>
            <w:vAlign w:val="center"/>
          </w:tcPr>
          <w:p w14:paraId="6B68519B" w14:textId="77777777" w:rsidR="00154E32" w:rsidRDefault="00A43E04">
            <w:pPr>
              <w:pStyle w:val="P68B1DB1-Normal12"/>
              <w:rPr>
                <w:noProof/>
              </w:rPr>
            </w:pPr>
            <w:r>
              <w:rPr>
                <w:noProof/>
              </w:rPr>
              <w:t>Naložba 1.2: Financiranje projektov, ki so jih predstavili mladi raziskovalci</w:t>
            </w:r>
          </w:p>
        </w:tc>
        <w:tc>
          <w:tcPr>
            <w:tcW w:w="1418" w:type="dxa"/>
            <w:tcBorders>
              <w:top w:val="nil"/>
              <w:left w:val="nil"/>
              <w:bottom w:val="single" w:sz="4" w:space="0" w:color="auto"/>
              <w:right w:val="single" w:sz="4" w:space="0" w:color="auto"/>
            </w:tcBorders>
            <w:shd w:val="clear" w:color="auto" w:fill="C6EFCE"/>
            <w:noWrap/>
            <w:vAlign w:val="center"/>
          </w:tcPr>
          <w:p w14:paraId="1C0F9049" w14:textId="77777777" w:rsidR="00154E32" w:rsidRDefault="00A43E04">
            <w:pPr>
              <w:pStyle w:val="P68B1DB1-Normal12"/>
              <w:rPr>
                <w:noProof/>
                <w:color w:val="006600"/>
              </w:rPr>
            </w:pPr>
            <w:r>
              <w:rPr>
                <w:noProof/>
              </w:rPr>
              <w:t>Tarča</w:t>
            </w:r>
          </w:p>
        </w:tc>
        <w:tc>
          <w:tcPr>
            <w:tcW w:w="3865" w:type="dxa"/>
            <w:tcBorders>
              <w:top w:val="nil"/>
              <w:left w:val="nil"/>
              <w:bottom w:val="single" w:sz="4" w:space="0" w:color="auto"/>
              <w:right w:val="single" w:sz="4" w:space="0" w:color="auto"/>
            </w:tcBorders>
            <w:shd w:val="clear" w:color="auto" w:fill="C6EFCE"/>
            <w:noWrap/>
            <w:vAlign w:val="center"/>
          </w:tcPr>
          <w:p w14:paraId="1C1F066E" w14:textId="77777777" w:rsidR="00154E32" w:rsidRDefault="00A43E04">
            <w:pPr>
              <w:pStyle w:val="P68B1DB1-Normal12"/>
              <w:rPr>
                <w:noProof/>
                <w:color w:val="006600"/>
              </w:rPr>
            </w:pPr>
            <w:r>
              <w:rPr>
                <w:noProof/>
              </w:rPr>
              <w:t>Število študentov, ki so prejeli štipendijo za raziskave</w:t>
            </w:r>
          </w:p>
        </w:tc>
      </w:tr>
      <w:tr w:rsidR="00154E32" w14:paraId="51D0025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2302431" w14:textId="77777777" w:rsidR="00154E32" w:rsidRDefault="00A43E04">
            <w:pPr>
              <w:pStyle w:val="P68B1DB1-Normal12"/>
              <w:jc w:val="center"/>
              <w:rPr>
                <w:noProof/>
              </w:rPr>
            </w:pPr>
            <w:r>
              <w:rPr>
                <w:noProof/>
              </w:rPr>
              <w:t xml:space="preserve">M5C1–2 </w:t>
            </w:r>
          </w:p>
        </w:tc>
        <w:tc>
          <w:tcPr>
            <w:tcW w:w="3118" w:type="dxa"/>
            <w:tcBorders>
              <w:top w:val="nil"/>
              <w:left w:val="nil"/>
              <w:bottom w:val="single" w:sz="4" w:space="0" w:color="auto"/>
              <w:right w:val="single" w:sz="4" w:space="0" w:color="auto"/>
            </w:tcBorders>
            <w:shd w:val="clear" w:color="auto" w:fill="C6EFCE"/>
            <w:noWrap/>
            <w:vAlign w:val="center"/>
          </w:tcPr>
          <w:p w14:paraId="4BE94989" w14:textId="77777777" w:rsidR="00154E32" w:rsidRDefault="00A43E04">
            <w:pPr>
              <w:pStyle w:val="P68B1DB1-Normal12"/>
              <w:rPr>
                <w:noProof/>
              </w:rPr>
            </w:pPr>
            <w:r>
              <w:rPr>
                <w:noProof/>
              </w:rPr>
              <w:t>Reforma 1 – aktivne politike trga dela in poklicno usposabljanje</w:t>
            </w:r>
          </w:p>
        </w:tc>
        <w:tc>
          <w:tcPr>
            <w:tcW w:w="1418" w:type="dxa"/>
            <w:tcBorders>
              <w:top w:val="nil"/>
              <w:left w:val="nil"/>
              <w:bottom w:val="single" w:sz="4" w:space="0" w:color="auto"/>
              <w:right w:val="single" w:sz="4" w:space="0" w:color="auto"/>
            </w:tcBorders>
            <w:shd w:val="clear" w:color="auto" w:fill="C6EFCE"/>
            <w:noWrap/>
            <w:vAlign w:val="center"/>
          </w:tcPr>
          <w:p w14:paraId="4FB6EF86" w14:textId="77777777" w:rsidR="00154E32" w:rsidRDefault="00A43E04">
            <w:pPr>
              <w:pStyle w:val="P68B1DB1-Normal12"/>
              <w:rPr>
                <w:noProof/>
                <w:color w:val="006600"/>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380FD0F4" w14:textId="77777777" w:rsidR="00154E32" w:rsidRDefault="00A43E04">
            <w:pPr>
              <w:pStyle w:val="P68B1DB1-Normal12"/>
              <w:rPr>
                <w:noProof/>
                <w:color w:val="006600"/>
              </w:rPr>
            </w:pPr>
            <w:r>
              <w:rPr>
                <w:noProof/>
              </w:rPr>
              <w:t xml:space="preserve">Začetek veljavnosti vseh načrtov za javne zavode za zaposlovanje na regionalni ravni  </w:t>
            </w:r>
          </w:p>
        </w:tc>
      </w:tr>
      <w:tr w:rsidR="00154E32" w14:paraId="03649E0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3F6E4C7" w14:textId="77777777" w:rsidR="00154E32" w:rsidRDefault="00A43E04">
            <w:pPr>
              <w:pStyle w:val="P68B1DB1-Normal12"/>
              <w:jc w:val="center"/>
              <w:rPr>
                <w:noProof/>
              </w:rPr>
            </w:pPr>
            <w:r>
              <w:rPr>
                <w:noProof/>
              </w:rPr>
              <w:t xml:space="preserve">M5C1–6 </w:t>
            </w:r>
          </w:p>
        </w:tc>
        <w:tc>
          <w:tcPr>
            <w:tcW w:w="3118" w:type="dxa"/>
            <w:tcBorders>
              <w:top w:val="nil"/>
              <w:left w:val="nil"/>
              <w:bottom w:val="single" w:sz="4" w:space="0" w:color="auto"/>
              <w:right w:val="single" w:sz="4" w:space="0" w:color="auto"/>
            </w:tcBorders>
            <w:shd w:val="clear" w:color="auto" w:fill="C6EFCE"/>
            <w:noWrap/>
            <w:vAlign w:val="center"/>
          </w:tcPr>
          <w:p w14:paraId="21B374F8" w14:textId="77777777" w:rsidR="00154E32" w:rsidRDefault="00A43E04">
            <w:pPr>
              <w:pStyle w:val="P68B1DB1-Normal12"/>
              <w:rPr>
                <w:noProof/>
              </w:rPr>
            </w:pPr>
            <w:r>
              <w:rPr>
                <w:noProof/>
              </w:rPr>
              <w:t xml:space="preserve">Naložba 1 – Krepitev javnih zavodov za zaposlovanje (JZZ) </w:t>
            </w:r>
          </w:p>
        </w:tc>
        <w:tc>
          <w:tcPr>
            <w:tcW w:w="1418" w:type="dxa"/>
            <w:tcBorders>
              <w:top w:val="nil"/>
              <w:left w:val="nil"/>
              <w:bottom w:val="single" w:sz="4" w:space="0" w:color="auto"/>
              <w:right w:val="single" w:sz="4" w:space="0" w:color="auto"/>
            </w:tcBorders>
            <w:shd w:val="clear" w:color="auto" w:fill="C6EFCE"/>
            <w:noWrap/>
            <w:vAlign w:val="center"/>
          </w:tcPr>
          <w:p w14:paraId="7C9B1D4A" w14:textId="77777777" w:rsidR="00154E32" w:rsidRDefault="00A43E04">
            <w:pPr>
              <w:pStyle w:val="P68B1DB1-Normal12"/>
              <w:rPr>
                <w:noProof/>
                <w:color w:val="006600"/>
              </w:rPr>
            </w:pPr>
            <w:r>
              <w:rPr>
                <w:noProof/>
              </w:rPr>
              <w:t>Tarča</w:t>
            </w:r>
          </w:p>
        </w:tc>
        <w:tc>
          <w:tcPr>
            <w:tcW w:w="3865" w:type="dxa"/>
            <w:tcBorders>
              <w:top w:val="nil"/>
              <w:left w:val="nil"/>
              <w:bottom w:val="single" w:sz="4" w:space="0" w:color="auto"/>
              <w:right w:val="single" w:sz="4" w:space="0" w:color="auto"/>
            </w:tcBorders>
            <w:shd w:val="clear" w:color="auto" w:fill="C6EFCE"/>
            <w:noWrap/>
            <w:vAlign w:val="center"/>
          </w:tcPr>
          <w:p w14:paraId="65BF9FDC" w14:textId="77777777" w:rsidR="00154E32" w:rsidRDefault="00A43E04">
            <w:pPr>
              <w:pStyle w:val="P68B1DB1-Normal12"/>
              <w:rPr>
                <w:noProof/>
                <w:color w:val="006600"/>
              </w:rPr>
            </w:pPr>
            <w:r>
              <w:rPr>
                <w:noProof/>
              </w:rPr>
              <w:t>Javne službe za zaposlovanje (JZZ) izvajajo dejavnosti, predvidene v načrtu za krepitev, v triletnem obdobju 2021–2023.</w:t>
            </w:r>
          </w:p>
        </w:tc>
      </w:tr>
      <w:tr w:rsidR="00154E32" w14:paraId="0FCB49E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6103E7A" w14:textId="77777777" w:rsidR="00154E32" w:rsidRDefault="00A43E04">
            <w:pPr>
              <w:pStyle w:val="P68B1DB1-Normal12"/>
              <w:jc w:val="center"/>
              <w:rPr>
                <w:noProof/>
              </w:rPr>
            </w:pPr>
            <w:r>
              <w:rPr>
                <w:noProof/>
              </w:rPr>
              <w:t xml:space="preserve">M5C1–8 </w:t>
            </w:r>
          </w:p>
        </w:tc>
        <w:tc>
          <w:tcPr>
            <w:tcW w:w="3118" w:type="dxa"/>
            <w:tcBorders>
              <w:top w:val="nil"/>
              <w:left w:val="nil"/>
              <w:bottom w:val="single" w:sz="4" w:space="0" w:color="auto"/>
              <w:right w:val="single" w:sz="4" w:space="0" w:color="auto"/>
            </w:tcBorders>
            <w:shd w:val="clear" w:color="auto" w:fill="C6EFCE"/>
            <w:noWrap/>
            <w:vAlign w:val="center"/>
          </w:tcPr>
          <w:p w14:paraId="78399B6B" w14:textId="77777777" w:rsidR="00154E32" w:rsidRDefault="00A43E04">
            <w:pPr>
              <w:pStyle w:val="P68B1DB1-Normal12"/>
              <w:rPr>
                <w:noProof/>
              </w:rPr>
            </w:pPr>
            <w:r>
              <w:rPr>
                <w:noProof/>
              </w:rPr>
              <w:t>Reforma 2 – Neprijavljeno delo</w:t>
            </w:r>
          </w:p>
        </w:tc>
        <w:tc>
          <w:tcPr>
            <w:tcW w:w="1418" w:type="dxa"/>
            <w:tcBorders>
              <w:top w:val="nil"/>
              <w:left w:val="nil"/>
              <w:bottom w:val="single" w:sz="4" w:space="0" w:color="auto"/>
              <w:right w:val="single" w:sz="4" w:space="0" w:color="auto"/>
            </w:tcBorders>
            <w:shd w:val="clear" w:color="auto" w:fill="C6EFCE"/>
            <w:noWrap/>
            <w:vAlign w:val="center"/>
          </w:tcPr>
          <w:p w14:paraId="550C548D" w14:textId="77777777" w:rsidR="00154E32" w:rsidRDefault="00A43E04">
            <w:pPr>
              <w:pStyle w:val="P68B1DB1-Normal12"/>
              <w:rPr>
                <w:noProof/>
                <w:color w:val="006600"/>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551488A7" w14:textId="77777777" w:rsidR="00154E32" w:rsidRDefault="00A43E04">
            <w:pPr>
              <w:pStyle w:val="P68B1DB1-Normal12"/>
              <w:rPr>
                <w:noProof/>
                <w:color w:val="006600"/>
              </w:rPr>
            </w:pPr>
            <w:r>
              <w:rPr>
                <w:noProof/>
              </w:rPr>
              <w:t>Začetek veljavnosti nacionalnega načrta in časovnega načrta za izvajanje za boj proti neprijavljenemu delu v vseh gospodarskih sektorjih.</w:t>
            </w:r>
          </w:p>
        </w:tc>
      </w:tr>
      <w:tr w:rsidR="00154E32" w14:paraId="6FC0849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4E01272" w14:textId="77777777" w:rsidR="00154E32" w:rsidRDefault="00A43E04">
            <w:pPr>
              <w:pStyle w:val="P68B1DB1-Normal12"/>
              <w:jc w:val="center"/>
              <w:rPr>
                <w:noProof/>
              </w:rPr>
            </w:pPr>
            <w:r>
              <w:rPr>
                <w:noProof/>
              </w:rPr>
              <w:t>M5C1–12</w:t>
            </w:r>
          </w:p>
        </w:tc>
        <w:tc>
          <w:tcPr>
            <w:tcW w:w="3118" w:type="dxa"/>
            <w:tcBorders>
              <w:top w:val="nil"/>
              <w:left w:val="nil"/>
              <w:bottom w:val="single" w:sz="4" w:space="0" w:color="auto"/>
              <w:right w:val="single" w:sz="4" w:space="0" w:color="auto"/>
            </w:tcBorders>
            <w:shd w:val="clear" w:color="auto" w:fill="C6EFCE"/>
            <w:noWrap/>
            <w:vAlign w:val="center"/>
          </w:tcPr>
          <w:p w14:paraId="233050DE" w14:textId="77777777" w:rsidR="00154E32" w:rsidRDefault="00A43E04">
            <w:pPr>
              <w:pStyle w:val="P68B1DB1-Normal12"/>
              <w:rPr>
                <w:noProof/>
              </w:rPr>
            </w:pPr>
            <w:r>
              <w:rPr>
                <w:noProof/>
              </w:rPr>
              <w:t>Naložba 2 – Sistem certificiranja za enakost spolov</w:t>
            </w:r>
          </w:p>
        </w:tc>
        <w:tc>
          <w:tcPr>
            <w:tcW w:w="1418" w:type="dxa"/>
            <w:tcBorders>
              <w:top w:val="nil"/>
              <w:left w:val="nil"/>
              <w:bottom w:val="single" w:sz="4" w:space="0" w:color="auto"/>
              <w:right w:val="single" w:sz="4" w:space="0" w:color="auto"/>
            </w:tcBorders>
            <w:shd w:val="clear" w:color="auto" w:fill="C6EFCE"/>
            <w:noWrap/>
            <w:vAlign w:val="center"/>
          </w:tcPr>
          <w:p w14:paraId="0F9B29FF" w14:textId="77777777" w:rsidR="00154E32" w:rsidRDefault="00A43E04">
            <w:pPr>
              <w:pStyle w:val="P68B1DB1-Normal12"/>
              <w:rPr>
                <w:noProof/>
                <w:color w:val="006600"/>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4EA6CAD7" w14:textId="77777777" w:rsidR="00154E32" w:rsidRDefault="00A43E04">
            <w:pPr>
              <w:pStyle w:val="P68B1DB1-Normal12"/>
              <w:rPr>
                <w:noProof/>
                <w:color w:val="006600"/>
              </w:rPr>
            </w:pPr>
            <w:r>
              <w:rPr>
                <w:noProof/>
              </w:rPr>
              <w:t xml:space="preserve">Začetek veljavnosti certifikacijskega sistema za enakost spolov in spremljevalnih mehanizmov spodbud za podjetja </w:t>
            </w:r>
          </w:p>
        </w:tc>
      </w:tr>
      <w:tr w:rsidR="00154E32" w14:paraId="30D7094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7AAFFE0" w14:textId="77777777" w:rsidR="00154E32" w:rsidRDefault="00A43E04">
            <w:pPr>
              <w:pStyle w:val="P68B1DB1-Normal12"/>
              <w:jc w:val="center"/>
              <w:rPr>
                <w:noProof/>
              </w:rPr>
            </w:pPr>
            <w:r>
              <w:rPr>
                <w:noProof/>
              </w:rPr>
              <w:t>M5C2–7</w:t>
            </w:r>
          </w:p>
        </w:tc>
        <w:tc>
          <w:tcPr>
            <w:tcW w:w="3118" w:type="dxa"/>
            <w:tcBorders>
              <w:top w:val="nil"/>
              <w:left w:val="nil"/>
              <w:bottom w:val="single" w:sz="4" w:space="0" w:color="auto"/>
              <w:right w:val="single" w:sz="4" w:space="0" w:color="auto"/>
            </w:tcBorders>
            <w:shd w:val="clear" w:color="auto" w:fill="C6EFCE"/>
            <w:noWrap/>
            <w:vAlign w:val="center"/>
          </w:tcPr>
          <w:p w14:paraId="0627139D" w14:textId="77777777" w:rsidR="00154E32" w:rsidRDefault="00A43E04">
            <w:pPr>
              <w:pStyle w:val="P68B1DB1-Normal12"/>
              <w:rPr>
                <w:noProof/>
              </w:rPr>
            </w:pPr>
            <w:r>
              <w:rPr>
                <w:noProof/>
              </w:rPr>
              <w:t>Naložba 2 – Vzorci avtonomije za invalide</w:t>
            </w:r>
          </w:p>
        </w:tc>
        <w:tc>
          <w:tcPr>
            <w:tcW w:w="1418" w:type="dxa"/>
            <w:tcBorders>
              <w:top w:val="nil"/>
              <w:left w:val="nil"/>
              <w:bottom w:val="single" w:sz="4" w:space="0" w:color="auto"/>
              <w:right w:val="single" w:sz="4" w:space="0" w:color="auto"/>
            </w:tcBorders>
            <w:shd w:val="clear" w:color="auto" w:fill="C6EFCE"/>
            <w:noWrap/>
            <w:vAlign w:val="center"/>
          </w:tcPr>
          <w:p w14:paraId="24281C58" w14:textId="77777777" w:rsidR="00154E32" w:rsidRDefault="00A43E04">
            <w:pPr>
              <w:pStyle w:val="P68B1DB1-Normal12"/>
              <w:rPr>
                <w:noProof/>
                <w:color w:val="006600"/>
              </w:rPr>
            </w:pPr>
            <w:r>
              <w:rPr>
                <w:noProof/>
              </w:rPr>
              <w:t>Tarča</w:t>
            </w:r>
          </w:p>
        </w:tc>
        <w:tc>
          <w:tcPr>
            <w:tcW w:w="3865" w:type="dxa"/>
            <w:tcBorders>
              <w:top w:val="nil"/>
              <w:left w:val="nil"/>
              <w:bottom w:val="single" w:sz="4" w:space="0" w:color="auto"/>
              <w:right w:val="single" w:sz="4" w:space="0" w:color="auto"/>
            </w:tcBorders>
            <w:shd w:val="clear" w:color="auto" w:fill="C6EFCE"/>
            <w:noWrap/>
            <w:vAlign w:val="center"/>
          </w:tcPr>
          <w:p w14:paraId="31D41930" w14:textId="77777777" w:rsidR="00154E32" w:rsidRDefault="00A43E04">
            <w:pPr>
              <w:pStyle w:val="P68B1DB1-Normal12"/>
              <w:rPr>
                <w:noProof/>
                <w:color w:val="006600"/>
              </w:rPr>
            </w:pPr>
            <w:r>
              <w:rPr>
                <w:noProof/>
              </w:rPr>
              <w:t>Socialna okrožja so izvedla vsaj en projekt v zvezi s prenovo domačih prostorov in/ali zagotavljanjem naprav IKT invalidom, skupaj z usposabljanjem o digitalnih znanjih in spretnostih</w:t>
            </w:r>
          </w:p>
        </w:tc>
      </w:tr>
      <w:tr w:rsidR="00154E32" w14:paraId="34D8BE7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48B9D2B" w14:textId="77777777" w:rsidR="00154E32" w:rsidRDefault="00A43E04">
            <w:pPr>
              <w:pStyle w:val="P68B1DB1-Normal12"/>
              <w:jc w:val="center"/>
              <w:rPr>
                <w:noProof/>
              </w:rPr>
            </w:pPr>
            <w:r>
              <w:rPr>
                <w:noProof/>
              </w:rPr>
              <w:t>M5C3–1</w:t>
            </w:r>
          </w:p>
        </w:tc>
        <w:tc>
          <w:tcPr>
            <w:tcW w:w="3118" w:type="dxa"/>
            <w:tcBorders>
              <w:top w:val="nil"/>
              <w:left w:val="nil"/>
              <w:bottom w:val="single" w:sz="4" w:space="0" w:color="auto"/>
              <w:right w:val="single" w:sz="4" w:space="0" w:color="auto"/>
            </w:tcBorders>
            <w:shd w:val="clear" w:color="auto" w:fill="C6EFCE"/>
            <w:noWrap/>
            <w:vAlign w:val="center"/>
          </w:tcPr>
          <w:p w14:paraId="3B195330" w14:textId="77777777" w:rsidR="00154E32" w:rsidRDefault="00A43E04">
            <w:pPr>
              <w:pStyle w:val="P68B1DB1-Normal12"/>
              <w:rPr>
                <w:noProof/>
              </w:rPr>
            </w:pPr>
            <w:r>
              <w:rPr>
                <w:noProof/>
              </w:rPr>
              <w:t>Naložba 1.1.1: Notranja področja – Izboljšanje socialnih storitev in infrastrukture v skupnosti</w:t>
            </w:r>
          </w:p>
        </w:tc>
        <w:tc>
          <w:tcPr>
            <w:tcW w:w="1418" w:type="dxa"/>
            <w:tcBorders>
              <w:top w:val="nil"/>
              <w:left w:val="nil"/>
              <w:bottom w:val="single" w:sz="4" w:space="0" w:color="auto"/>
              <w:right w:val="single" w:sz="4" w:space="0" w:color="auto"/>
            </w:tcBorders>
            <w:shd w:val="clear" w:color="auto" w:fill="C6EFCE"/>
            <w:noWrap/>
            <w:vAlign w:val="center"/>
          </w:tcPr>
          <w:p w14:paraId="559926BD" w14:textId="77777777" w:rsidR="00154E32" w:rsidRDefault="00A43E04">
            <w:pPr>
              <w:pStyle w:val="P68B1DB1-Normal12"/>
              <w:rPr>
                <w:noProof/>
                <w:color w:val="006600"/>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6F6FF361" w14:textId="77777777" w:rsidR="00154E32" w:rsidRDefault="00A43E04">
            <w:pPr>
              <w:pStyle w:val="P68B1DB1-Normal12"/>
              <w:rPr>
                <w:noProof/>
                <w:color w:val="006600"/>
              </w:rPr>
            </w:pPr>
            <w:r>
              <w:rPr>
                <w:noProof/>
              </w:rPr>
              <w:t>Oddaja javnega razpisa za ukrepe za izboljšanje socialnih storitev in infrastrukture na notranjih območjih ter za podporo lekarnam v občinah z manj kot 3000 prebivalci</w:t>
            </w:r>
          </w:p>
        </w:tc>
      </w:tr>
      <w:tr w:rsidR="00154E32" w14:paraId="6444DB3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A0F6FD5" w14:textId="77777777" w:rsidR="00154E32" w:rsidRDefault="00A43E04">
            <w:pPr>
              <w:pStyle w:val="P68B1DB1-Normal12"/>
              <w:jc w:val="center"/>
              <w:rPr>
                <w:noProof/>
              </w:rPr>
            </w:pPr>
            <w:r>
              <w:rPr>
                <w:noProof/>
              </w:rPr>
              <w:t>M6C2–1</w:t>
            </w:r>
          </w:p>
        </w:tc>
        <w:tc>
          <w:tcPr>
            <w:tcW w:w="3118" w:type="dxa"/>
            <w:tcBorders>
              <w:top w:val="nil"/>
              <w:left w:val="nil"/>
              <w:bottom w:val="single" w:sz="4" w:space="0" w:color="auto"/>
              <w:right w:val="single" w:sz="4" w:space="0" w:color="auto"/>
            </w:tcBorders>
            <w:shd w:val="clear" w:color="auto" w:fill="C6EFCE"/>
            <w:noWrap/>
            <w:vAlign w:val="center"/>
          </w:tcPr>
          <w:p w14:paraId="3D423CB5" w14:textId="77777777" w:rsidR="00154E32" w:rsidRDefault="00A43E04">
            <w:pPr>
              <w:pStyle w:val="P68B1DB1-Normal12"/>
              <w:rPr>
                <w:noProof/>
              </w:rPr>
            </w:pPr>
            <w:r>
              <w:rPr>
                <w:noProof/>
              </w:rPr>
              <w:t>Reforma 1: Revizija in posodobitev sedanjega pravnega okvira znanstvenih inštitutov za hospitalizacijo in oskrbo (IRCCS) ter raziskovalnih politik ministrstva za zdravje, da se okrepi povezava med raziskavami, inovacijami in zdravstvenim varstvom</w:t>
            </w:r>
          </w:p>
        </w:tc>
        <w:tc>
          <w:tcPr>
            <w:tcW w:w="1418" w:type="dxa"/>
            <w:tcBorders>
              <w:top w:val="nil"/>
              <w:left w:val="nil"/>
              <w:bottom w:val="single" w:sz="4" w:space="0" w:color="auto"/>
              <w:right w:val="single" w:sz="4" w:space="0" w:color="auto"/>
            </w:tcBorders>
            <w:shd w:val="clear" w:color="auto" w:fill="C6EFCE"/>
            <w:noWrap/>
            <w:vAlign w:val="center"/>
          </w:tcPr>
          <w:p w14:paraId="311FCF2F" w14:textId="77777777" w:rsidR="00154E32" w:rsidRDefault="00A43E04">
            <w:pPr>
              <w:pStyle w:val="P68B1DB1-Normal12"/>
              <w:rPr>
                <w:noProof/>
                <w:color w:val="006600"/>
              </w:rPr>
            </w:pPr>
            <w:r>
              <w:rPr>
                <w:noProof/>
              </w:rPr>
              <w:t>Mejnik</w:t>
            </w:r>
          </w:p>
        </w:tc>
        <w:tc>
          <w:tcPr>
            <w:tcW w:w="3865" w:type="dxa"/>
            <w:tcBorders>
              <w:top w:val="nil"/>
              <w:left w:val="nil"/>
              <w:bottom w:val="single" w:sz="4" w:space="0" w:color="auto"/>
              <w:right w:val="single" w:sz="4" w:space="0" w:color="auto"/>
            </w:tcBorders>
            <w:shd w:val="clear" w:color="auto" w:fill="C6EFCE"/>
            <w:noWrap/>
            <w:vAlign w:val="center"/>
          </w:tcPr>
          <w:p w14:paraId="2C5C1957" w14:textId="77777777" w:rsidR="00154E32" w:rsidRDefault="00A43E04">
            <w:pPr>
              <w:pStyle w:val="P68B1DB1-Normal12"/>
              <w:rPr>
                <w:noProof/>
                <w:color w:val="006600"/>
              </w:rPr>
            </w:pPr>
            <w:r>
              <w:rPr>
                <w:noProof/>
              </w:rPr>
              <w:t>Začetek veljavnosti zakonske uredbe o reorganizaciji predpisov, ki urejajo znanstvene ustanove za hospitalizacijo in oskrbo (IRCSS)</w:t>
            </w:r>
          </w:p>
        </w:tc>
      </w:tr>
      <w:tr w:rsidR="00154E32" w14:paraId="5B5BC108"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409AF186" w14:textId="77777777" w:rsidR="00154E32" w:rsidRDefault="00154E32">
            <w:pPr>
              <w:jc w:val="center"/>
              <w:rPr>
                <w:noProof/>
                <w:color w:val="006100"/>
                <w:sz w:val="20"/>
              </w:rPr>
            </w:pPr>
          </w:p>
        </w:tc>
        <w:tc>
          <w:tcPr>
            <w:tcW w:w="3118" w:type="dxa"/>
            <w:tcBorders>
              <w:top w:val="single" w:sz="4" w:space="0" w:color="auto"/>
              <w:left w:val="nil"/>
              <w:bottom w:val="single" w:sz="4" w:space="0" w:color="auto"/>
              <w:right w:val="single" w:sz="4" w:space="0" w:color="auto"/>
            </w:tcBorders>
            <w:shd w:val="clear" w:color="auto" w:fill="C6EFCE"/>
            <w:noWrap/>
            <w:vAlign w:val="bottom"/>
          </w:tcPr>
          <w:p w14:paraId="13307707" w14:textId="77777777" w:rsidR="00154E32" w:rsidRDefault="00154E32">
            <w:pPr>
              <w:rPr>
                <w:noProof/>
                <w:color w:val="006100"/>
                <w:sz w:val="20"/>
              </w:rPr>
            </w:pPr>
          </w:p>
        </w:tc>
        <w:tc>
          <w:tcPr>
            <w:tcW w:w="1418" w:type="dxa"/>
            <w:tcBorders>
              <w:top w:val="single" w:sz="4" w:space="0" w:color="auto"/>
              <w:left w:val="nil"/>
              <w:bottom w:val="single" w:sz="4" w:space="0" w:color="auto"/>
              <w:right w:val="single" w:sz="4" w:space="0" w:color="auto"/>
            </w:tcBorders>
            <w:shd w:val="clear" w:color="auto" w:fill="C6EFCE"/>
            <w:noWrap/>
            <w:vAlign w:val="bottom"/>
          </w:tcPr>
          <w:p w14:paraId="4552F6BF" w14:textId="77777777" w:rsidR="00154E32" w:rsidRDefault="00A43E04">
            <w:pPr>
              <w:pStyle w:val="P68B1DB1-Normal12"/>
              <w:rPr>
                <w:noProof/>
              </w:rPr>
            </w:pPr>
            <w:r>
              <w:rPr>
                <w:noProof/>
              </w:rPr>
              <w:t>Znesek obroka</w:t>
            </w:r>
          </w:p>
        </w:tc>
        <w:tc>
          <w:tcPr>
            <w:tcW w:w="3865" w:type="dxa"/>
            <w:tcBorders>
              <w:top w:val="single" w:sz="4" w:space="0" w:color="auto"/>
              <w:left w:val="nil"/>
              <w:bottom w:val="single" w:sz="4" w:space="0" w:color="auto"/>
              <w:right w:val="single" w:sz="4" w:space="0" w:color="auto"/>
            </w:tcBorders>
            <w:shd w:val="clear" w:color="auto" w:fill="C6EFCE"/>
            <w:noWrap/>
            <w:vAlign w:val="bottom"/>
          </w:tcPr>
          <w:p w14:paraId="1AD0E7DD" w14:textId="008A678E" w:rsidR="00154E32" w:rsidRDefault="00A43E04">
            <w:pPr>
              <w:pStyle w:val="P68B1DB1-Normal46"/>
              <w:rPr>
                <w:noProof/>
              </w:rPr>
            </w:pPr>
            <w:r>
              <w:rPr>
                <w:noProof/>
              </w:rPr>
              <w:t>11</w:t>
            </w:r>
            <w:r>
              <w:rPr>
                <w:noProof/>
              </w:rPr>
              <w:t> </w:t>
            </w:r>
            <w:r>
              <w:rPr>
                <w:noProof/>
              </w:rPr>
              <w:t>494</w:t>
            </w:r>
            <w:r>
              <w:rPr>
                <w:noProof/>
              </w:rPr>
              <w:t> </w:t>
            </w:r>
            <w:r>
              <w:rPr>
                <w:noProof/>
              </w:rPr>
              <w:t>252</w:t>
            </w:r>
            <w:r>
              <w:rPr>
                <w:noProof/>
              </w:rPr>
              <w:t> </w:t>
            </w:r>
            <w:r>
              <w:rPr>
                <w:noProof/>
              </w:rPr>
              <w:t>874</w:t>
            </w:r>
            <w:r>
              <w:rPr>
                <w:noProof/>
              </w:rPr>
              <w:t> </w:t>
            </w:r>
            <w:r>
              <w:rPr>
                <w:noProof/>
              </w:rPr>
              <w:t>EUR</w:t>
            </w:r>
          </w:p>
        </w:tc>
      </w:tr>
    </w:tbl>
    <w:p w14:paraId="494F8700" w14:textId="5EB227EF" w:rsidR="00154E32" w:rsidRDefault="00A43E04">
      <w:pPr>
        <w:pStyle w:val="P68B1DB1-Normal44"/>
        <w:numPr>
          <w:ilvl w:val="1"/>
          <w:numId w:val="6"/>
        </w:numPr>
        <w:spacing w:before="120" w:after="120"/>
        <w:jc w:val="both"/>
        <w:rPr>
          <w:noProof/>
        </w:rPr>
      </w:pPr>
      <w:r>
        <w:rPr>
          <w:noProof/>
        </w:rPr>
        <w:t>Četrti obrok (nepovratna podpora):</w:t>
      </w:r>
    </w:p>
    <w:tbl>
      <w:tblPr>
        <w:tblW w:w="9704" w:type="dxa"/>
        <w:tblInd w:w="113" w:type="dxa"/>
        <w:tblLook w:val="04A0" w:firstRow="1" w:lastRow="0" w:firstColumn="1" w:lastColumn="0" w:noHBand="0" w:noVBand="1"/>
      </w:tblPr>
      <w:tblGrid>
        <w:gridCol w:w="1413"/>
        <w:gridCol w:w="3118"/>
        <w:gridCol w:w="1418"/>
        <w:gridCol w:w="3755"/>
      </w:tblGrid>
      <w:tr w:rsidR="00154E32" w14:paraId="5E30C456" w14:textId="77777777">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C3EE780" w14:textId="77777777" w:rsidR="00154E32" w:rsidRDefault="00A43E04">
            <w:pPr>
              <w:pStyle w:val="P68B1DB1-Normal45"/>
              <w:jc w:val="center"/>
              <w:rPr>
                <w:noProof/>
              </w:rPr>
            </w:pPr>
            <w:r>
              <w:rPr>
                <w:noProof/>
              </w:rPr>
              <w:t>Zaporedna številka</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443F955" w14:textId="77777777" w:rsidR="00154E32" w:rsidRDefault="00A43E04">
            <w:pPr>
              <w:pStyle w:val="P68B1DB1-Normal45"/>
              <w:jc w:val="center"/>
              <w:rPr>
                <w:noProof/>
              </w:rPr>
            </w:pPr>
            <w:r>
              <w:rPr>
                <w:noProof/>
              </w:rPr>
              <w:t>Povezani ukrep (reforma ali naložba)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EC117EE" w14:textId="77777777" w:rsidR="00154E32" w:rsidRDefault="00A43E04">
            <w:pPr>
              <w:pStyle w:val="P68B1DB1-Normal45"/>
              <w:jc w:val="center"/>
              <w:rPr>
                <w:noProof/>
              </w:rPr>
            </w:pPr>
            <w:r>
              <w:rPr>
                <w:noProof/>
              </w:rPr>
              <w:t>Mejnik/cilj</w:t>
            </w:r>
          </w:p>
        </w:tc>
        <w:tc>
          <w:tcPr>
            <w:tcW w:w="375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0BFEE97" w14:textId="77777777" w:rsidR="00154E32" w:rsidRDefault="00A43E04">
            <w:pPr>
              <w:pStyle w:val="P68B1DB1-Normal45"/>
              <w:jc w:val="center"/>
              <w:rPr>
                <w:noProof/>
              </w:rPr>
            </w:pPr>
            <w:r>
              <w:rPr>
                <w:noProof/>
              </w:rPr>
              <w:t>Ime</w:t>
            </w:r>
          </w:p>
        </w:tc>
      </w:tr>
      <w:tr w:rsidR="00154E32" w14:paraId="588D9813" w14:textId="77777777">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FE8FAE7" w14:textId="77777777" w:rsidR="00154E32" w:rsidRDefault="00154E32">
            <w:pPr>
              <w:rPr>
                <w:b/>
                <w:noProof/>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7EE1ED2" w14:textId="77777777" w:rsidR="00154E32" w:rsidRDefault="00154E32">
            <w:pPr>
              <w:rPr>
                <w:b/>
                <w:noProof/>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5215342" w14:textId="77777777" w:rsidR="00154E32" w:rsidRDefault="00154E32">
            <w:pPr>
              <w:rPr>
                <w:b/>
                <w:noProof/>
              </w:rPr>
            </w:pPr>
          </w:p>
        </w:tc>
        <w:tc>
          <w:tcPr>
            <w:tcW w:w="3755" w:type="dxa"/>
            <w:vMerge/>
            <w:tcBorders>
              <w:top w:val="single" w:sz="4" w:space="0" w:color="auto"/>
              <w:left w:val="single" w:sz="4" w:space="0" w:color="auto"/>
              <w:bottom w:val="single" w:sz="4" w:space="0" w:color="auto"/>
              <w:right w:val="single" w:sz="4" w:space="0" w:color="auto"/>
            </w:tcBorders>
            <w:vAlign w:val="center"/>
            <w:hideMark/>
          </w:tcPr>
          <w:p w14:paraId="6A83ACEB" w14:textId="77777777" w:rsidR="00154E32" w:rsidRDefault="00154E32">
            <w:pPr>
              <w:rPr>
                <w:b/>
                <w:noProof/>
              </w:rPr>
            </w:pPr>
          </w:p>
        </w:tc>
      </w:tr>
      <w:tr w:rsidR="00154E32" w14:paraId="7EBB3D6D"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B0FEF89" w14:textId="77777777" w:rsidR="00154E32" w:rsidRDefault="00A43E04">
            <w:pPr>
              <w:pStyle w:val="P68B1DB1-Normal12"/>
              <w:jc w:val="center"/>
              <w:rPr>
                <w:noProof/>
              </w:rPr>
            </w:pPr>
            <w:r>
              <w:rPr>
                <w:noProof/>
              </w:rPr>
              <w:t>M1C1–11</w:t>
            </w:r>
          </w:p>
        </w:tc>
        <w:tc>
          <w:tcPr>
            <w:tcW w:w="3118" w:type="dxa"/>
            <w:tcBorders>
              <w:top w:val="single" w:sz="4" w:space="0" w:color="auto"/>
              <w:left w:val="nil"/>
              <w:bottom w:val="single" w:sz="4" w:space="0" w:color="auto"/>
              <w:right w:val="single" w:sz="4" w:space="0" w:color="auto"/>
            </w:tcBorders>
            <w:shd w:val="clear" w:color="auto" w:fill="C6EFCE"/>
            <w:noWrap/>
            <w:vAlign w:val="center"/>
          </w:tcPr>
          <w:p w14:paraId="3D65446B" w14:textId="77777777" w:rsidR="00154E32" w:rsidRDefault="00A43E04">
            <w:pPr>
              <w:pStyle w:val="P68B1DB1-Normal12"/>
              <w:rPr>
                <w:noProof/>
              </w:rPr>
            </w:pPr>
            <w:r>
              <w:rPr>
                <w:noProof/>
              </w:rPr>
              <w:t>Naložba 1.6.6: Digitalizacija finančne policije</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70FE9B0E" w14:textId="77777777" w:rsidR="00154E32" w:rsidRDefault="00A43E04">
            <w:pPr>
              <w:pStyle w:val="P68B1DB1-Normal12"/>
              <w:rPr>
                <w:noProof/>
              </w:rPr>
            </w:pPr>
            <w:r>
              <w:rPr>
                <w:noProof/>
              </w:rPr>
              <w:t>Tarča</w:t>
            </w:r>
          </w:p>
        </w:tc>
        <w:tc>
          <w:tcPr>
            <w:tcW w:w="3755" w:type="dxa"/>
            <w:tcBorders>
              <w:top w:val="single" w:sz="4" w:space="0" w:color="auto"/>
              <w:left w:val="nil"/>
              <w:bottom w:val="single" w:sz="4" w:space="0" w:color="auto"/>
              <w:right w:val="single" w:sz="4" w:space="0" w:color="auto"/>
            </w:tcBorders>
            <w:shd w:val="clear" w:color="auto" w:fill="C6EFCE"/>
            <w:noWrap/>
            <w:vAlign w:val="center"/>
          </w:tcPr>
          <w:p w14:paraId="728F4E49" w14:textId="77777777" w:rsidR="00154E32" w:rsidRDefault="00A43E04">
            <w:pPr>
              <w:pStyle w:val="P68B1DB1-Normal12"/>
              <w:rPr>
                <w:noProof/>
              </w:rPr>
            </w:pPr>
            <w:r>
              <w:rPr>
                <w:noProof/>
              </w:rPr>
              <w:t>Finančna policija – Nakup strokovnih storitev podatkovne znanosti T1</w:t>
            </w:r>
          </w:p>
        </w:tc>
      </w:tr>
      <w:tr w:rsidR="00154E32" w14:paraId="2A15737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03088FD" w14:textId="77777777" w:rsidR="00154E32" w:rsidRDefault="00A43E04">
            <w:pPr>
              <w:pStyle w:val="P68B1DB1-Normal12"/>
              <w:jc w:val="center"/>
              <w:rPr>
                <w:noProof/>
              </w:rPr>
            </w:pPr>
            <w:r>
              <w:rPr>
                <w:noProof/>
              </w:rPr>
              <w:t>M1C1–72</w:t>
            </w:r>
          </w:p>
        </w:tc>
        <w:tc>
          <w:tcPr>
            <w:tcW w:w="3118" w:type="dxa"/>
            <w:tcBorders>
              <w:top w:val="nil"/>
              <w:left w:val="nil"/>
              <w:bottom w:val="single" w:sz="4" w:space="0" w:color="auto"/>
              <w:right w:val="single" w:sz="4" w:space="0" w:color="auto"/>
            </w:tcBorders>
            <w:shd w:val="clear" w:color="auto" w:fill="C6EFCE"/>
            <w:noWrap/>
            <w:vAlign w:val="center"/>
          </w:tcPr>
          <w:p w14:paraId="11043EA2" w14:textId="77777777" w:rsidR="00154E32" w:rsidRDefault="00A43E04">
            <w:pPr>
              <w:pStyle w:val="P68B1DB1-Normal12"/>
              <w:rPr>
                <w:noProof/>
              </w:rPr>
            </w:pPr>
            <w:r>
              <w:rPr>
                <w:noProof/>
              </w:rPr>
              <w:t>Reforma 1.11: Zmanjšanje zamud pri plačilih javnih uprav in zdravstvenih organov</w:t>
            </w:r>
          </w:p>
        </w:tc>
        <w:tc>
          <w:tcPr>
            <w:tcW w:w="1418" w:type="dxa"/>
            <w:tcBorders>
              <w:top w:val="nil"/>
              <w:left w:val="nil"/>
              <w:bottom w:val="single" w:sz="4" w:space="0" w:color="auto"/>
              <w:right w:val="single" w:sz="4" w:space="0" w:color="auto"/>
            </w:tcBorders>
            <w:shd w:val="clear" w:color="auto" w:fill="C6EFCE"/>
            <w:noWrap/>
            <w:vAlign w:val="center"/>
          </w:tcPr>
          <w:p w14:paraId="6AE395E8" w14:textId="77777777" w:rsidR="00154E32" w:rsidRDefault="00A43E04">
            <w:pPr>
              <w:pStyle w:val="P68B1DB1-Normal12"/>
              <w:rPr>
                <w:noProof/>
              </w:rPr>
            </w:pPr>
            <w:r>
              <w:rPr>
                <w:noProof/>
              </w:rPr>
              <w:t>Mejnik</w:t>
            </w:r>
          </w:p>
        </w:tc>
        <w:tc>
          <w:tcPr>
            <w:tcW w:w="3755" w:type="dxa"/>
            <w:tcBorders>
              <w:top w:val="nil"/>
              <w:left w:val="nil"/>
              <w:bottom w:val="single" w:sz="4" w:space="0" w:color="auto"/>
              <w:right w:val="single" w:sz="4" w:space="0" w:color="auto"/>
            </w:tcBorders>
            <w:shd w:val="clear" w:color="auto" w:fill="C6EFCE"/>
            <w:noWrap/>
            <w:vAlign w:val="center"/>
          </w:tcPr>
          <w:p w14:paraId="37FAC2F1" w14:textId="77777777" w:rsidR="00154E32" w:rsidRDefault="00A43E04">
            <w:pPr>
              <w:pStyle w:val="P68B1DB1-Normal12"/>
              <w:rPr>
                <w:noProof/>
              </w:rPr>
            </w:pPr>
            <w:r>
              <w:rPr>
                <w:noProof/>
              </w:rPr>
              <w:t>Ukrepi za zmanjšanje zamud pri plačilih podjetij s strani javne uprave so odobreni</w:t>
            </w:r>
          </w:p>
        </w:tc>
      </w:tr>
      <w:tr w:rsidR="00154E32" w14:paraId="73A2B00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3FC5762" w14:textId="77777777" w:rsidR="00154E32" w:rsidRDefault="00A43E04">
            <w:pPr>
              <w:pStyle w:val="P68B1DB1-Normal12"/>
              <w:jc w:val="center"/>
              <w:rPr>
                <w:noProof/>
              </w:rPr>
            </w:pPr>
            <w:r>
              <w:rPr>
                <w:noProof/>
              </w:rPr>
              <w:t>M1C1–73</w:t>
            </w:r>
          </w:p>
        </w:tc>
        <w:tc>
          <w:tcPr>
            <w:tcW w:w="3118" w:type="dxa"/>
            <w:tcBorders>
              <w:top w:val="nil"/>
              <w:left w:val="nil"/>
              <w:bottom w:val="single" w:sz="4" w:space="0" w:color="auto"/>
              <w:right w:val="single" w:sz="4" w:space="0" w:color="auto"/>
            </w:tcBorders>
            <w:shd w:val="clear" w:color="auto" w:fill="C6EFCE"/>
            <w:noWrap/>
            <w:vAlign w:val="center"/>
          </w:tcPr>
          <w:p w14:paraId="52B0FD54" w14:textId="77777777" w:rsidR="00154E32" w:rsidRDefault="00A43E04">
            <w:pPr>
              <w:pStyle w:val="P68B1DB1-Normal12"/>
              <w:rPr>
                <w:noProof/>
              </w:rPr>
            </w:pPr>
            <w:r>
              <w:rPr>
                <w:noProof/>
              </w:rPr>
              <w:t>Reforma 1.10: Reforma zakonodajnega okvira za javna naročila</w:t>
            </w:r>
          </w:p>
        </w:tc>
        <w:tc>
          <w:tcPr>
            <w:tcW w:w="1418" w:type="dxa"/>
            <w:tcBorders>
              <w:top w:val="nil"/>
              <w:left w:val="nil"/>
              <w:bottom w:val="single" w:sz="4" w:space="0" w:color="auto"/>
              <w:right w:val="single" w:sz="4" w:space="0" w:color="auto"/>
            </w:tcBorders>
            <w:shd w:val="clear" w:color="auto" w:fill="C6EFCE"/>
            <w:noWrap/>
            <w:vAlign w:val="center"/>
          </w:tcPr>
          <w:p w14:paraId="6AF3583A" w14:textId="77777777" w:rsidR="00154E32" w:rsidRDefault="00A43E04">
            <w:pPr>
              <w:pStyle w:val="P68B1DB1-Normal12"/>
              <w:rPr>
                <w:noProof/>
              </w:rPr>
            </w:pPr>
            <w:r>
              <w:rPr>
                <w:noProof/>
              </w:rPr>
              <w:t>Mejnik</w:t>
            </w:r>
          </w:p>
        </w:tc>
        <w:tc>
          <w:tcPr>
            <w:tcW w:w="3755" w:type="dxa"/>
            <w:tcBorders>
              <w:top w:val="nil"/>
              <w:left w:val="nil"/>
              <w:bottom w:val="single" w:sz="4" w:space="0" w:color="auto"/>
              <w:right w:val="single" w:sz="4" w:space="0" w:color="auto"/>
            </w:tcBorders>
            <w:shd w:val="clear" w:color="auto" w:fill="C6EFCE"/>
            <w:noWrap/>
            <w:vAlign w:val="center"/>
          </w:tcPr>
          <w:p w14:paraId="148CABAC" w14:textId="77777777" w:rsidR="00154E32" w:rsidRDefault="00A43E04">
            <w:pPr>
              <w:pStyle w:val="P68B1DB1-Normal12"/>
              <w:rPr>
                <w:noProof/>
              </w:rPr>
            </w:pPr>
            <w:r>
              <w:rPr>
                <w:noProof/>
              </w:rPr>
              <w:t>Začetek veljavnosti reforme zakonika o javnih naročilih</w:t>
            </w:r>
          </w:p>
        </w:tc>
      </w:tr>
      <w:tr w:rsidR="00154E32" w14:paraId="620D585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3483F35" w14:textId="77777777" w:rsidR="00154E32" w:rsidRDefault="00A43E04">
            <w:pPr>
              <w:pStyle w:val="P68B1DB1-Normal12"/>
              <w:jc w:val="center"/>
              <w:rPr>
                <w:noProof/>
              </w:rPr>
            </w:pPr>
            <w:r>
              <w:rPr>
                <w:noProof/>
              </w:rPr>
              <w:t>M2C2–14</w:t>
            </w:r>
          </w:p>
        </w:tc>
        <w:tc>
          <w:tcPr>
            <w:tcW w:w="3118" w:type="dxa"/>
            <w:tcBorders>
              <w:top w:val="nil"/>
              <w:left w:val="nil"/>
              <w:bottom w:val="single" w:sz="4" w:space="0" w:color="auto"/>
              <w:right w:val="single" w:sz="4" w:space="0" w:color="auto"/>
            </w:tcBorders>
            <w:shd w:val="clear" w:color="auto" w:fill="C6EFCE"/>
            <w:noWrap/>
            <w:vAlign w:val="center"/>
          </w:tcPr>
          <w:p w14:paraId="45ADAA7F" w14:textId="77777777" w:rsidR="00154E32" w:rsidRDefault="00A43E04">
            <w:pPr>
              <w:pStyle w:val="P68B1DB1-Normal12"/>
              <w:rPr>
                <w:noProof/>
              </w:rPr>
            </w:pPr>
            <w:r>
              <w:rPr>
                <w:noProof/>
              </w:rPr>
              <w:t>Naložba 3.3 Preizkus vodika za cestni promet</w:t>
            </w:r>
          </w:p>
        </w:tc>
        <w:tc>
          <w:tcPr>
            <w:tcW w:w="1418" w:type="dxa"/>
            <w:tcBorders>
              <w:top w:val="nil"/>
              <w:left w:val="nil"/>
              <w:bottom w:val="single" w:sz="4" w:space="0" w:color="auto"/>
              <w:right w:val="single" w:sz="4" w:space="0" w:color="auto"/>
            </w:tcBorders>
            <w:shd w:val="clear" w:color="auto" w:fill="C6EFCE"/>
            <w:noWrap/>
            <w:vAlign w:val="center"/>
          </w:tcPr>
          <w:p w14:paraId="3272A699" w14:textId="77777777" w:rsidR="00154E32" w:rsidRDefault="00A43E04">
            <w:pPr>
              <w:pStyle w:val="P68B1DB1-Normal12"/>
              <w:rPr>
                <w:noProof/>
              </w:rPr>
            </w:pPr>
            <w:r>
              <w:rPr>
                <w:noProof/>
              </w:rPr>
              <w:t>Mejnik</w:t>
            </w:r>
          </w:p>
        </w:tc>
        <w:tc>
          <w:tcPr>
            <w:tcW w:w="3755" w:type="dxa"/>
            <w:tcBorders>
              <w:top w:val="nil"/>
              <w:left w:val="nil"/>
              <w:bottom w:val="single" w:sz="4" w:space="0" w:color="auto"/>
              <w:right w:val="single" w:sz="4" w:space="0" w:color="auto"/>
            </w:tcBorders>
            <w:shd w:val="clear" w:color="auto" w:fill="C6EFCE"/>
            <w:noWrap/>
            <w:vAlign w:val="center"/>
          </w:tcPr>
          <w:p w14:paraId="736E1AF7" w14:textId="77777777" w:rsidR="00154E32" w:rsidRDefault="00A43E04">
            <w:pPr>
              <w:pStyle w:val="P68B1DB1-Normal12"/>
              <w:rPr>
                <w:noProof/>
              </w:rPr>
            </w:pPr>
            <w:r>
              <w:rPr>
                <w:noProof/>
              </w:rPr>
              <w:t>Oddaja (vseh) javnih naročil za razvoj polnilnih postaj na osnovi vodika</w:t>
            </w:r>
          </w:p>
        </w:tc>
      </w:tr>
      <w:tr w:rsidR="00154E32" w14:paraId="28166B3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502B695" w14:textId="77777777" w:rsidR="00154E32" w:rsidRDefault="00A43E04">
            <w:pPr>
              <w:pStyle w:val="P68B1DB1-Normal12"/>
              <w:jc w:val="center"/>
              <w:rPr>
                <w:noProof/>
              </w:rPr>
            </w:pPr>
            <w:r>
              <w:rPr>
                <w:noProof/>
              </w:rPr>
              <w:t>M2C2–16</w:t>
            </w:r>
          </w:p>
        </w:tc>
        <w:tc>
          <w:tcPr>
            <w:tcW w:w="3118" w:type="dxa"/>
            <w:tcBorders>
              <w:top w:val="nil"/>
              <w:left w:val="nil"/>
              <w:bottom w:val="single" w:sz="4" w:space="0" w:color="auto"/>
              <w:right w:val="single" w:sz="4" w:space="0" w:color="auto"/>
            </w:tcBorders>
            <w:shd w:val="clear" w:color="auto" w:fill="C6EFCE"/>
            <w:noWrap/>
            <w:vAlign w:val="center"/>
          </w:tcPr>
          <w:p w14:paraId="442335B7" w14:textId="77777777" w:rsidR="00154E32" w:rsidRDefault="00A43E04">
            <w:pPr>
              <w:pStyle w:val="P68B1DB1-Normal12"/>
              <w:rPr>
                <w:noProof/>
              </w:rPr>
            </w:pPr>
            <w:r>
              <w:rPr>
                <w:noProof/>
              </w:rPr>
              <w:t>Naložba 3.4 Preizkus vodika za mobilnost v železniškem prometu</w:t>
            </w:r>
          </w:p>
        </w:tc>
        <w:tc>
          <w:tcPr>
            <w:tcW w:w="1418" w:type="dxa"/>
            <w:tcBorders>
              <w:top w:val="nil"/>
              <w:left w:val="nil"/>
              <w:bottom w:val="single" w:sz="4" w:space="0" w:color="auto"/>
              <w:right w:val="single" w:sz="4" w:space="0" w:color="auto"/>
            </w:tcBorders>
            <w:shd w:val="clear" w:color="auto" w:fill="C6EFCE"/>
            <w:noWrap/>
            <w:vAlign w:val="center"/>
          </w:tcPr>
          <w:p w14:paraId="15D0812E" w14:textId="77777777" w:rsidR="00154E32" w:rsidRDefault="00A43E04">
            <w:pPr>
              <w:pStyle w:val="P68B1DB1-Normal12"/>
              <w:rPr>
                <w:noProof/>
              </w:rPr>
            </w:pPr>
            <w:r>
              <w:rPr>
                <w:noProof/>
              </w:rPr>
              <w:t>Mejnik</w:t>
            </w:r>
          </w:p>
        </w:tc>
        <w:tc>
          <w:tcPr>
            <w:tcW w:w="3755" w:type="dxa"/>
            <w:tcBorders>
              <w:top w:val="nil"/>
              <w:left w:val="nil"/>
              <w:bottom w:val="single" w:sz="4" w:space="0" w:color="auto"/>
              <w:right w:val="single" w:sz="4" w:space="0" w:color="auto"/>
            </w:tcBorders>
            <w:shd w:val="clear" w:color="auto" w:fill="C6EFCE"/>
            <w:noWrap/>
            <w:vAlign w:val="center"/>
          </w:tcPr>
          <w:p w14:paraId="7AF87110" w14:textId="77777777" w:rsidR="00154E32" w:rsidRDefault="00A43E04">
            <w:pPr>
              <w:pStyle w:val="P68B1DB1-Normal12"/>
              <w:rPr>
                <w:noProof/>
              </w:rPr>
            </w:pPr>
            <w:r>
              <w:rPr>
                <w:noProof/>
              </w:rPr>
              <w:t>Dodelitev sredstev za preskušanje vodika za mobilnost na železnici</w:t>
            </w:r>
          </w:p>
        </w:tc>
      </w:tr>
      <w:tr w:rsidR="00154E32" w14:paraId="20F8BC7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F1C3FA5" w14:textId="77777777" w:rsidR="00154E32" w:rsidRDefault="00A43E04">
            <w:pPr>
              <w:pStyle w:val="P68B1DB1-Normal12"/>
              <w:jc w:val="center"/>
              <w:rPr>
                <w:noProof/>
              </w:rPr>
            </w:pPr>
            <w:r>
              <w:rPr>
                <w:noProof/>
              </w:rPr>
              <w:t>M2C2–20</w:t>
            </w:r>
          </w:p>
        </w:tc>
        <w:tc>
          <w:tcPr>
            <w:tcW w:w="3118" w:type="dxa"/>
            <w:tcBorders>
              <w:top w:val="nil"/>
              <w:left w:val="nil"/>
              <w:bottom w:val="single" w:sz="4" w:space="0" w:color="auto"/>
              <w:right w:val="single" w:sz="4" w:space="0" w:color="auto"/>
            </w:tcBorders>
            <w:shd w:val="clear" w:color="auto" w:fill="C6EFCE"/>
            <w:noWrap/>
            <w:vAlign w:val="center"/>
          </w:tcPr>
          <w:p w14:paraId="79C2AA41" w14:textId="77777777" w:rsidR="00154E32" w:rsidRDefault="00A43E04">
            <w:pPr>
              <w:pStyle w:val="P68B1DB1-Normal12"/>
              <w:rPr>
                <w:noProof/>
              </w:rPr>
            </w:pPr>
            <w:r>
              <w:rPr>
                <w:noProof/>
              </w:rPr>
              <w:t>Reforma 3 Upravna poenostavitev in zmanjšanje regulativnih ovir za uvedbo vodika</w:t>
            </w:r>
          </w:p>
        </w:tc>
        <w:tc>
          <w:tcPr>
            <w:tcW w:w="1418" w:type="dxa"/>
            <w:tcBorders>
              <w:top w:val="nil"/>
              <w:left w:val="nil"/>
              <w:bottom w:val="single" w:sz="4" w:space="0" w:color="auto"/>
              <w:right w:val="single" w:sz="4" w:space="0" w:color="auto"/>
            </w:tcBorders>
            <w:shd w:val="clear" w:color="auto" w:fill="C6EFCE"/>
            <w:noWrap/>
            <w:vAlign w:val="center"/>
          </w:tcPr>
          <w:p w14:paraId="3C0A6FA2" w14:textId="77777777" w:rsidR="00154E32" w:rsidRDefault="00A43E04">
            <w:pPr>
              <w:pStyle w:val="P68B1DB1-Normal12"/>
              <w:rPr>
                <w:noProof/>
              </w:rPr>
            </w:pPr>
            <w:r>
              <w:rPr>
                <w:noProof/>
              </w:rPr>
              <w:t>Mejnik</w:t>
            </w:r>
          </w:p>
        </w:tc>
        <w:tc>
          <w:tcPr>
            <w:tcW w:w="3755" w:type="dxa"/>
            <w:tcBorders>
              <w:top w:val="nil"/>
              <w:left w:val="nil"/>
              <w:bottom w:val="single" w:sz="4" w:space="0" w:color="auto"/>
              <w:right w:val="single" w:sz="4" w:space="0" w:color="auto"/>
            </w:tcBorders>
            <w:shd w:val="clear" w:color="auto" w:fill="C6EFCE"/>
            <w:noWrap/>
            <w:vAlign w:val="center"/>
          </w:tcPr>
          <w:p w14:paraId="7769629B" w14:textId="77777777" w:rsidR="00154E32" w:rsidRDefault="00A43E04">
            <w:pPr>
              <w:pStyle w:val="P68B1DB1-Normal12"/>
              <w:rPr>
                <w:noProof/>
              </w:rPr>
            </w:pPr>
            <w:r>
              <w:rPr>
                <w:noProof/>
              </w:rPr>
              <w:t>Začetek veljavnosti potrebnih zakonodajnih ukrepov</w:t>
            </w:r>
          </w:p>
        </w:tc>
      </w:tr>
      <w:tr w:rsidR="00154E32" w14:paraId="1A927C4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162C0EE" w14:textId="77777777" w:rsidR="00154E32" w:rsidRDefault="00A43E04">
            <w:pPr>
              <w:pStyle w:val="P68B1DB1-Normal12"/>
              <w:jc w:val="center"/>
              <w:rPr>
                <w:noProof/>
              </w:rPr>
            </w:pPr>
            <w:r>
              <w:rPr>
                <w:noProof/>
              </w:rPr>
              <w:t>M5C2–3</w:t>
            </w:r>
          </w:p>
        </w:tc>
        <w:tc>
          <w:tcPr>
            <w:tcW w:w="3118" w:type="dxa"/>
            <w:tcBorders>
              <w:top w:val="nil"/>
              <w:left w:val="nil"/>
              <w:bottom w:val="single" w:sz="4" w:space="0" w:color="auto"/>
              <w:right w:val="single" w:sz="4" w:space="0" w:color="auto"/>
            </w:tcBorders>
            <w:shd w:val="clear" w:color="auto" w:fill="C6EFCE"/>
            <w:noWrap/>
            <w:vAlign w:val="center"/>
          </w:tcPr>
          <w:p w14:paraId="44901791" w14:textId="77777777" w:rsidR="00154E32" w:rsidRDefault="00A43E04">
            <w:pPr>
              <w:pStyle w:val="P68B1DB1-Normal12"/>
              <w:rPr>
                <w:noProof/>
              </w:rPr>
            </w:pPr>
            <w:r>
              <w:rPr>
                <w:noProof/>
              </w:rPr>
              <w:t>Reforma 2 – Reforma za starejše osebe, ki niso samozadostne</w:t>
            </w:r>
          </w:p>
        </w:tc>
        <w:tc>
          <w:tcPr>
            <w:tcW w:w="1418" w:type="dxa"/>
            <w:tcBorders>
              <w:top w:val="nil"/>
              <w:left w:val="nil"/>
              <w:bottom w:val="single" w:sz="4" w:space="0" w:color="auto"/>
              <w:right w:val="single" w:sz="4" w:space="0" w:color="auto"/>
            </w:tcBorders>
            <w:shd w:val="clear" w:color="auto" w:fill="C6EFCE"/>
            <w:noWrap/>
            <w:vAlign w:val="center"/>
          </w:tcPr>
          <w:p w14:paraId="66E4FCDA" w14:textId="77777777" w:rsidR="00154E32" w:rsidRDefault="00A43E04">
            <w:pPr>
              <w:pStyle w:val="P68B1DB1-Normal12"/>
              <w:rPr>
                <w:noProof/>
              </w:rPr>
            </w:pPr>
            <w:r>
              <w:rPr>
                <w:noProof/>
              </w:rPr>
              <w:t>Mejnik</w:t>
            </w:r>
          </w:p>
        </w:tc>
        <w:tc>
          <w:tcPr>
            <w:tcW w:w="3755" w:type="dxa"/>
            <w:tcBorders>
              <w:top w:val="nil"/>
              <w:left w:val="nil"/>
              <w:bottom w:val="single" w:sz="4" w:space="0" w:color="auto"/>
              <w:right w:val="single" w:sz="4" w:space="0" w:color="auto"/>
            </w:tcBorders>
            <w:shd w:val="clear" w:color="auto" w:fill="C6EFCE"/>
            <w:noWrap/>
            <w:vAlign w:val="center"/>
          </w:tcPr>
          <w:p w14:paraId="79C52111" w14:textId="77777777" w:rsidR="00154E32" w:rsidRDefault="00A43E04">
            <w:pPr>
              <w:pStyle w:val="P68B1DB1-Normal12"/>
              <w:rPr>
                <w:noProof/>
              </w:rPr>
            </w:pPr>
            <w:r>
              <w:rPr>
                <w:noProof/>
              </w:rPr>
              <w:t>Začetek veljavnosti okvirnega zakona, ki krepi ukrepe v korist starejših oseb, ki niso samozadostne</w:t>
            </w:r>
          </w:p>
        </w:tc>
      </w:tr>
      <w:tr w:rsidR="00154E32" w14:paraId="18A66F6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0B6168C" w14:textId="77777777" w:rsidR="00154E32" w:rsidRDefault="00A43E04">
            <w:pPr>
              <w:pStyle w:val="P68B1DB1-Normal12"/>
              <w:jc w:val="center"/>
              <w:rPr>
                <w:noProof/>
              </w:rPr>
            </w:pPr>
            <w:r>
              <w:rPr>
                <w:noProof/>
              </w:rPr>
              <w:t>M1C1–37</w:t>
            </w:r>
          </w:p>
        </w:tc>
        <w:tc>
          <w:tcPr>
            <w:tcW w:w="3118" w:type="dxa"/>
            <w:tcBorders>
              <w:top w:val="nil"/>
              <w:left w:val="nil"/>
              <w:bottom w:val="single" w:sz="4" w:space="0" w:color="auto"/>
              <w:right w:val="single" w:sz="4" w:space="0" w:color="auto"/>
            </w:tcBorders>
            <w:shd w:val="clear" w:color="auto" w:fill="C6EFCE"/>
            <w:noWrap/>
            <w:vAlign w:val="center"/>
          </w:tcPr>
          <w:p w14:paraId="648BA42B" w14:textId="77777777" w:rsidR="00154E32" w:rsidRDefault="00A43E04">
            <w:pPr>
              <w:pStyle w:val="P68B1DB1-Normal12"/>
              <w:rPr>
                <w:noProof/>
              </w:rPr>
            </w:pPr>
            <w:r>
              <w:rPr>
                <w:noProof/>
              </w:rPr>
              <w:t>Reformi 1.4 in 1.5: Reforma civilnega in kazenskega pravosodja</w:t>
            </w:r>
          </w:p>
        </w:tc>
        <w:tc>
          <w:tcPr>
            <w:tcW w:w="1418" w:type="dxa"/>
            <w:tcBorders>
              <w:top w:val="nil"/>
              <w:left w:val="nil"/>
              <w:bottom w:val="single" w:sz="4" w:space="0" w:color="auto"/>
              <w:right w:val="single" w:sz="4" w:space="0" w:color="auto"/>
            </w:tcBorders>
            <w:shd w:val="clear" w:color="auto" w:fill="C6EFCE"/>
            <w:noWrap/>
            <w:vAlign w:val="center"/>
          </w:tcPr>
          <w:p w14:paraId="5C25DF03" w14:textId="77777777" w:rsidR="00154E32" w:rsidRDefault="00A43E04">
            <w:pPr>
              <w:pStyle w:val="P68B1DB1-Normal12"/>
              <w:rPr>
                <w:noProof/>
              </w:rPr>
            </w:pPr>
            <w:r>
              <w:rPr>
                <w:noProof/>
              </w:rPr>
              <w:t>Mejnik</w:t>
            </w:r>
          </w:p>
        </w:tc>
        <w:tc>
          <w:tcPr>
            <w:tcW w:w="3755" w:type="dxa"/>
            <w:tcBorders>
              <w:top w:val="nil"/>
              <w:left w:val="nil"/>
              <w:bottom w:val="single" w:sz="4" w:space="0" w:color="auto"/>
              <w:right w:val="single" w:sz="4" w:space="0" w:color="auto"/>
            </w:tcBorders>
            <w:shd w:val="clear" w:color="auto" w:fill="C6EFCE"/>
            <w:noWrap/>
            <w:vAlign w:val="center"/>
          </w:tcPr>
          <w:p w14:paraId="33E94FC8" w14:textId="77777777" w:rsidR="00154E32" w:rsidRDefault="00A43E04">
            <w:pPr>
              <w:pStyle w:val="P68B1DB1-Normal12"/>
              <w:rPr>
                <w:noProof/>
              </w:rPr>
            </w:pPr>
            <w:r>
              <w:rPr>
                <w:noProof/>
              </w:rPr>
              <w:t>Začetek veljavnosti reforme civilnega in kazenskega pravosodja</w:t>
            </w:r>
          </w:p>
        </w:tc>
      </w:tr>
      <w:tr w:rsidR="00154E32" w14:paraId="0709B62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40C30F6" w14:textId="77777777" w:rsidR="00154E32" w:rsidRDefault="00A43E04">
            <w:pPr>
              <w:pStyle w:val="P68B1DB1-Normal12"/>
              <w:jc w:val="center"/>
              <w:rPr>
                <w:noProof/>
              </w:rPr>
            </w:pPr>
            <w:r>
              <w:rPr>
                <w:noProof/>
              </w:rPr>
              <w:t>M1C1–58</w:t>
            </w:r>
          </w:p>
        </w:tc>
        <w:tc>
          <w:tcPr>
            <w:tcW w:w="3118" w:type="dxa"/>
            <w:tcBorders>
              <w:top w:val="nil"/>
              <w:left w:val="nil"/>
              <w:bottom w:val="single" w:sz="4" w:space="0" w:color="auto"/>
              <w:right w:val="single" w:sz="4" w:space="0" w:color="auto"/>
            </w:tcBorders>
            <w:shd w:val="clear" w:color="auto" w:fill="C6EFCE"/>
            <w:noWrap/>
            <w:vAlign w:val="center"/>
          </w:tcPr>
          <w:p w14:paraId="22BF1AD8" w14:textId="77777777" w:rsidR="00154E32" w:rsidRDefault="00A43E04">
            <w:pPr>
              <w:pStyle w:val="P68B1DB1-Normal12"/>
              <w:rPr>
                <w:noProof/>
              </w:rPr>
            </w:pPr>
            <w:r>
              <w:rPr>
                <w:noProof/>
              </w:rPr>
              <w:t>Reforma 1.9: Reforma javne uprave</w:t>
            </w:r>
          </w:p>
        </w:tc>
        <w:tc>
          <w:tcPr>
            <w:tcW w:w="1418" w:type="dxa"/>
            <w:tcBorders>
              <w:top w:val="nil"/>
              <w:left w:val="nil"/>
              <w:bottom w:val="single" w:sz="4" w:space="0" w:color="auto"/>
              <w:right w:val="single" w:sz="4" w:space="0" w:color="auto"/>
            </w:tcBorders>
            <w:shd w:val="clear" w:color="auto" w:fill="C6EFCE"/>
            <w:noWrap/>
            <w:vAlign w:val="center"/>
          </w:tcPr>
          <w:p w14:paraId="1875A344" w14:textId="77777777" w:rsidR="00154E32" w:rsidRDefault="00A43E04">
            <w:pPr>
              <w:pStyle w:val="P68B1DB1-Normal12"/>
              <w:rPr>
                <w:noProof/>
              </w:rPr>
            </w:pPr>
            <w:r>
              <w:rPr>
                <w:noProof/>
              </w:rPr>
              <w:t>Mejnik</w:t>
            </w:r>
          </w:p>
        </w:tc>
        <w:tc>
          <w:tcPr>
            <w:tcW w:w="3755" w:type="dxa"/>
            <w:tcBorders>
              <w:top w:val="nil"/>
              <w:left w:val="nil"/>
              <w:bottom w:val="single" w:sz="4" w:space="0" w:color="auto"/>
              <w:right w:val="single" w:sz="4" w:space="0" w:color="auto"/>
            </w:tcBorders>
            <w:shd w:val="clear" w:color="auto" w:fill="C6EFCE"/>
            <w:noWrap/>
            <w:vAlign w:val="center"/>
          </w:tcPr>
          <w:p w14:paraId="74053686" w14:textId="77777777" w:rsidR="00154E32" w:rsidRDefault="00A43E04">
            <w:pPr>
              <w:pStyle w:val="P68B1DB1-Normal12"/>
              <w:rPr>
                <w:noProof/>
              </w:rPr>
            </w:pPr>
            <w:r>
              <w:rPr>
                <w:noProof/>
              </w:rPr>
              <w:t>Začetek veljavnosti pravnih aktov za reformo zaposlovanja v javnem sektorju</w:t>
            </w:r>
          </w:p>
        </w:tc>
      </w:tr>
      <w:tr w:rsidR="00154E32" w14:paraId="7084DF7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A9ED429" w14:textId="77777777" w:rsidR="00154E32" w:rsidRDefault="00A43E04">
            <w:pPr>
              <w:pStyle w:val="P68B1DB1-Normal12"/>
              <w:jc w:val="center"/>
              <w:rPr>
                <w:noProof/>
              </w:rPr>
            </w:pPr>
            <w:r>
              <w:rPr>
                <w:noProof/>
              </w:rPr>
              <w:t>M1C1–74</w:t>
            </w:r>
          </w:p>
        </w:tc>
        <w:tc>
          <w:tcPr>
            <w:tcW w:w="3118" w:type="dxa"/>
            <w:tcBorders>
              <w:top w:val="nil"/>
              <w:left w:val="nil"/>
              <w:bottom w:val="single" w:sz="4" w:space="0" w:color="auto"/>
              <w:right w:val="single" w:sz="4" w:space="0" w:color="auto"/>
            </w:tcBorders>
            <w:shd w:val="clear" w:color="auto" w:fill="C6EFCE"/>
            <w:noWrap/>
            <w:vAlign w:val="center"/>
          </w:tcPr>
          <w:p w14:paraId="5A3DED61" w14:textId="77777777" w:rsidR="00154E32" w:rsidRDefault="00A43E04">
            <w:pPr>
              <w:pStyle w:val="P68B1DB1-Normal12"/>
              <w:rPr>
                <w:noProof/>
              </w:rPr>
            </w:pPr>
            <w:r>
              <w:rPr>
                <w:noProof/>
              </w:rPr>
              <w:t>Reforma 1.10: Reforma zakonodajnega okvira za javna naročila</w:t>
            </w:r>
          </w:p>
        </w:tc>
        <w:tc>
          <w:tcPr>
            <w:tcW w:w="1418" w:type="dxa"/>
            <w:tcBorders>
              <w:top w:val="nil"/>
              <w:left w:val="nil"/>
              <w:bottom w:val="single" w:sz="4" w:space="0" w:color="auto"/>
              <w:right w:val="single" w:sz="4" w:space="0" w:color="auto"/>
            </w:tcBorders>
            <w:shd w:val="clear" w:color="auto" w:fill="C6EFCE"/>
            <w:noWrap/>
            <w:vAlign w:val="center"/>
          </w:tcPr>
          <w:p w14:paraId="14C87CD4" w14:textId="77777777" w:rsidR="00154E32" w:rsidRDefault="00A43E04">
            <w:pPr>
              <w:pStyle w:val="P68B1DB1-Normal12"/>
              <w:rPr>
                <w:noProof/>
              </w:rPr>
            </w:pPr>
            <w:r>
              <w:rPr>
                <w:noProof/>
              </w:rPr>
              <w:t>Mejnik</w:t>
            </w:r>
          </w:p>
        </w:tc>
        <w:tc>
          <w:tcPr>
            <w:tcW w:w="3755" w:type="dxa"/>
            <w:tcBorders>
              <w:top w:val="nil"/>
              <w:left w:val="nil"/>
              <w:bottom w:val="single" w:sz="4" w:space="0" w:color="auto"/>
              <w:right w:val="single" w:sz="4" w:space="0" w:color="auto"/>
            </w:tcBorders>
            <w:shd w:val="clear" w:color="auto" w:fill="C6EFCE"/>
            <w:noWrap/>
            <w:vAlign w:val="center"/>
          </w:tcPr>
          <w:p w14:paraId="6A699BA4" w14:textId="77777777" w:rsidR="00154E32" w:rsidRDefault="00A43E04">
            <w:pPr>
              <w:pStyle w:val="P68B1DB1-Normal12"/>
              <w:rPr>
                <w:noProof/>
              </w:rPr>
            </w:pPr>
            <w:r>
              <w:rPr>
                <w:noProof/>
              </w:rPr>
              <w:t>Začetek veljavnosti vseh potrebnih izvedbenih ukrepov in sekundarne zakonodaje za reformo poenostavitve zakonika o javnih naročilih</w:t>
            </w:r>
          </w:p>
        </w:tc>
      </w:tr>
      <w:tr w:rsidR="00154E32" w14:paraId="1FE7A86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47E6A05" w14:textId="77777777" w:rsidR="00154E32" w:rsidRDefault="00A43E04">
            <w:pPr>
              <w:pStyle w:val="P68B1DB1-Normal12"/>
              <w:jc w:val="center"/>
              <w:rPr>
                <w:noProof/>
              </w:rPr>
            </w:pPr>
            <w:r>
              <w:rPr>
                <w:noProof/>
              </w:rPr>
              <w:t>M1C1–109</w:t>
            </w:r>
          </w:p>
        </w:tc>
        <w:tc>
          <w:tcPr>
            <w:tcW w:w="3118" w:type="dxa"/>
            <w:tcBorders>
              <w:top w:val="nil"/>
              <w:left w:val="nil"/>
              <w:bottom w:val="single" w:sz="4" w:space="0" w:color="auto"/>
              <w:right w:val="single" w:sz="4" w:space="0" w:color="auto"/>
            </w:tcBorders>
            <w:shd w:val="clear" w:color="auto" w:fill="C6EFCE"/>
            <w:noWrap/>
            <w:vAlign w:val="center"/>
          </w:tcPr>
          <w:p w14:paraId="70B610DD" w14:textId="77777777" w:rsidR="00154E32" w:rsidRDefault="00A43E04">
            <w:pPr>
              <w:pStyle w:val="P68B1DB1-Normal12"/>
              <w:rPr>
                <w:noProof/>
              </w:rPr>
            </w:pPr>
            <w:r>
              <w:rPr>
                <w:noProof/>
              </w:rPr>
              <w:t>Reforma 1.12: Reforma davčne uprave</w:t>
            </w:r>
          </w:p>
        </w:tc>
        <w:tc>
          <w:tcPr>
            <w:tcW w:w="1418" w:type="dxa"/>
            <w:tcBorders>
              <w:top w:val="nil"/>
              <w:left w:val="nil"/>
              <w:bottom w:val="single" w:sz="4" w:space="0" w:color="auto"/>
              <w:right w:val="single" w:sz="4" w:space="0" w:color="auto"/>
            </w:tcBorders>
            <w:shd w:val="clear" w:color="auto" w:fill="C6EFCE"/>
            <w:noWrap/>
            <w:vAlign w:val="center"/>
          </w:tcPr>
          <w:p w14:paraId="13B1E054" w14:textId="77777777" w:rsidR="00154E32" w:rsidRDefault="00A43E04">
            <w:pPr>
              <w:pStyle w:val="P68B1DB1-Normal12"/>
              <w:rPr>
                <w:noProof/>
              </w:rPr>
            </w:pPr>
            <w:r>
              <w:rPr>
                <w:noProof/>
              </w:rPr>
              <w:t>Tarča</w:t>
            </w:r>
          </w:p>
        </w:tc>
        <w:tc>
          <w:tcPr>
            <w:tcW w:w="3755" w:type="dxa"/>
            <w:tcBorders>
              <w:top w:val="nil"/>
              <w:left w:val="nil"/>
              <w:bottom w:val="single" w:sz="4" w:space="0" w:color="auto"/>
              <w:right w:val="single" w:sz="4" w:space="0" w:color="auto"/>
            </w:tcBorders>
            <w:shd w:val="clear" w:color="auto" w:fill="C6EFCE"/>
            <w:noWrap/>
            <w:vAlign w:val="center"/>
          </w:tcPr>
          <w:p w14:paraId="29F7BBAD" w14:textId="77777777" w:rsidR="00154E32" w:rsidRDefault="00A43E04">
            <w:pPr>
              <w:pStyle w:val="P68B1DB1-Normal12"/>
              <w:rPr>
                <w:noProof/>
              </w:rPr>
            </w:pPr>
            <w:r>
              <w:rPr>
                <w:noProof/>
              </w:rPr>
              <w:t>Pošiljanje prvih predhodno obremenjenih davčnih napovedi DDV</w:t>
            </w:r>
          </w:p>
        </w:tc>
      </w:tr>
      <w:tr w:rsidR="00154E32" w14:paraId="2F38268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5352981" w14:textId="77777777" w:rsidR="00154E32" w:rsidRDefault="00A43E04">
            <w:pPr>
              <w:pStyle w:val="P68B1DB1-Normal12"/>
              <w:jc w:val="center"/>
              <w:rPr>
                <w:noProof/>
              </w:rPr>
            </w:pPr>
            <w:r>
              <w:rPr>
                <w:noProof/>
              </w:rPr>
              <w:t>M2C2–27</w:t>
            </w:r>
          </w:p>
        </w:tc>
        <w:tc>
          <w:tcPr>
            <w:tcW w:w="3118" w:type="dxa"/>
            <w:tcBorders>
              <w:top w:val="nil"/>
              <w:left w:val="nil"/>
              <w:bottom w:val="single" w:sz="4" w:space="0" w:color="auto"/>
              <w:right w:val="single" w:sz="4" w:space="0" w:color="auto"/>
            </w:tcBorders>
            <w:shd w:val="clear" w:color="auto" w:fill="C6EFCE"/>
            <w:noWrap/>
            <w:vAlign w:val="center"/>
          </w:tcPr>
          <w:p w14:paraId="3385ED6A" w14:textId="77777777" w:rsidR="00154E32" w:rsidRDefault="00A43E04">
            <w:pPr>
              <w:pStyle w:val="P68B1DB1-Normal12"/>
              <w:rPr>
                <w:noProof/>
              </w:rPr>
            </w:pPr>
            <w:r>
              <w:rPr>
                <w:noProof/>
              </w:rPr>
              <w:t>Naložba 4.3 Vgradnja infrastrukture za polnjenje</w:t>
            </w:r>
          </w:p>
        </w:tc>
        <w:tc>
          <w:tcPr>
            <w:tcW w:w="1418" w:type="dxa"/>
            <w:tcBorders>
              <w:top w:val="nil"/>
              <w:left w:val="nil"/>
              <w:bottom w:val="single" w:sz="4" w:space="0" w:color="auto"/>
              <w:right w:val="single" w:sz="4" w:space="0" w:color="auto"/>
            </w:tcBorders>
            <w:shd w:val="clear" w:color="auto" w:fill="C6EFCE"/>
            <w:noWrap/>
            <w:vAlign w:val="center"/>
          </w:tcPr>
          <w:p w14:paraId="33F1D426" w14:textId="77777777" w:rsidR="00154E32" w:rsidRDefault="00A43E04">
            <w:pPr>
              <w:pStyle w:val="P68B1DB1-Normal12"/>
              <w:rPr>
                <w:noProof/>
              </w:rPr>
            </w:pPr>
            <w:r>
              <w:rPr>
                <w:noProof/>
              </w:rPr>
              <w:t>Mejnik</w:t>
            </w:r>
          </w:p>
        </w:tc>
        <w:tc>
          <w:tcPr>
            <w:tcW w:w="3755" w:type="dxa"/>
            <w:tcBorders>
              <w:top w:val="nil"/>
              <w:left w:val="nil"/>
              <w:bottom w:val="single" w:sz="4" w:space="0" w:color="auto"/>
              <w:right w:val="single" w:sz="4" w:space="0" w:color="auto"/>
            </w:tcBorders>
            <w:shd w:val="clear" w:color="auto" w:fill="C6EFCE"/>
            <w:noWrap/>
            <w:vAlign w:val="center"/>
          </w:tcPr>
          <w:p w14:paraId="5F648B12" w14:textId="77777777" w:rsidR="00154E32" w:rsidRDefault="00A43E04">
            <w:pPr>
              <w:pStyle w:val="P68B1DB1-Normal12"/>
              <w:rPr>
                <w:noProof/>
              </w:rPr>
            </w:pPr>
            <w:r>
              <w:rPr>
                <w:noProof/>
              </w:rPr>
              <w:t>Oddaja vseh javnih naročil za namestitev infrastrukture za polnjenje M1</w:t>
            </w:r>
          </w:p>
        </w:tc>
      </w:tr>
      <w:tr w:rsidR="00154E32" w14:paraId="7A2255E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829EB19" w14:textId="77777777" w:rsidR="00154E32" w:rsidRDefault="00A43E04">
            <w:pPr>
              <w:pStyle w:val="P68B1DB1-Normal12"/>
              <w:jc w:val="center"/>
              <w:rPr>
                <w:noProof/>
              </w:rPr>
            </w:pPr>
            <w:r>
              <w:rPr>
                <w:noProof/>
              </w:rPr>
              <w:t>M2C2–33</w:t>
            </w:r>
          </w:p>
        </w:tc>
        <w:tc>
          <w:tcPr>
            <w:tcW w:w="3118" w:type="dxa"/>
            <w:tcBorders>
              <w:top w:val="nil"/>
              <w:left w:val="nil"/>
              <w:bottom w:val="single" w:sz="4" w:space="0" w:color="auto"/>
              <w:right w:val="single" w:sz="4" w:space="0" w:color="auto"/>
            </w:tcBorders>
            <w:shd w:val="clear" w:color="auto" w:fill="C6EFCE"/>
            <w:noWrap/>
            <w:vAlign w:val="center"/>
          </w:tcPr>
          <w:p w14:paraId="1B2CD575" w14:textId="77777777" w:rsidR="00154E32" w:rsidRDefault="00A43E04">
            <w:pPr>
              <w:rPr>
                <w:noProof/>
                <w:color w:val="006100"/>
                <w:sz w:val="20"/>
              </w:rPr>
            </w:pPr>
            <w:r>
              <w:rPr>
                <w:noProof/>
                <w:color w:val="006100"/>
                <w:sz w:val="20"/>
              </w:rPr>
              <w:t xml:space="preserve">Naložba 4.4.2: </w:t>
            </w:r>
            <w:r>
              <w:rPr>
                <w:rStyle w:val="font81"/>
                <w:rFonts w:eastAsiaTheme="majorEastAsia"/>
                <w:noProof/>
              </w:rPr>
              <w:t>Krepitev regionalnega javnega železniškega voznega parka z brezemisijskimi vlaki in univerzalnimi storitvami</w:t>
            </w:r>
          </w:p>
        </w:tc>
        <w:tc>
          <w:tcPr>
            <w:tcW w:w="1418" w:type="dxa"/>
            <w:tcBorders>
              <w:top w:val="nil"/>
              <w:left w:val="nil"/>
              <w:bottom w:val="single" w:sz="4" w:space="0" w:color="auto"/>
              <w:right w:val="single" w:sz="4" w:space="0" w:color="auto"/>
            </w:tcBorders>
            <w:shd w:val="clear" w:color="auto" w:fill="C6EFCE"/>
            <w:noWrap/>
            <w:vAlign w:val="center"/>
          </w:tcPr>
          <w:p w14:paraId="2205A5E6" w14:textId="77777777" w:rsidR="00154E32" w:rsidRDefault="00A43E04">
            <w:pPr>
              <w:pStyle w:val="P68B1DB1-Normal12"/>
              <w:rPr>
                <w:noProof/>
                <w:color w:val="006600"/>
              </w:rPr>
            </w:pPr>
            <w:r>
              <w:rPr>
                <w:noProof/>
              </w:rPr>
              <w:t>Mejnik</w:t>
            </w:r>
          </w:p>
        </w:tc>
        <w:tc>
          <w:tcPr>
            <w:tcW w:w="3755" w:type="dxa"/>
            <w:tcBorders>
              <w:top w:val="nil"/>
              <w:left w:val="nil"/>
              <w:bottom w:val="single" w:sz="4" w:space="0" w:color="auto"/>
              <w:right w:val="single" w:sz="4" w:space="0" w:color="auto"/>
            </w:tcBorders>
            <w:shd w:val="clear" w:color="auto" w:fill="C6EFCE"/>
            <w:noWrap/>
            <w:vAlign w:val="center"/>
          </w:tcPr>
          <w:p w14:paraId="4DBA2B77" w14:textId="77777777" w:rsidR="00154E32" w:rsidRDefault="00A43E04">
            <w:pPr>
              <w:pStyle w:val="P68B1DB1-Normal12"/>
              <w:rPr>
                <w:noProof/>
                <w:color w:val="006600"/>
              </w:rPr>
            </w:pPr>
            <w:r>
              <w:rPr>
                <w:noProof/>
              </w:rPr>
              <w:t>Oddaja vseh javnih naročil za krepitev regionalnega javnega železniškega voznega parka z brezemisijskimi vlaki in univerzalnimi storitvami</w:t>
            </w:r>
          </w:p>
        </w:tc>
      </w:tr>
      <w:tr w:rsidR="00154E32" w14:paraId="77ED350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247ACA3" w14:textId="77777777" w:rsidR="00154E32" w:rsidRDefault="00A43E04">
            <w:pPr>
              <w:pStyle w:val="P68B1DB1-Normal12"/>
              <w:jc w:val="center"/>
              <w:rPr>
                <w:noProof/>
              </w:rPr>
            </w:pPr>
            <w:r>
              <w:rPr>
                <w:noProof/>
              </w:rPr>
              <w:t>M2C3–2</w:t>
            </w:r>
          </w:p>
        </w:tc>
        <w:tc>
          <w:tcPr>
            <w:tcW w:w="3118" w:type="dxa"/>
            <w:tcBorders>
              <w:top w:val="nil"/>
              <w:left w:val="nil"/>
              <w:bottom w:val="single" w:sz="4" w:space="0" w:color="auto"/>
              <w:right w:val="single" w:sz="4" w:space="0" w:color="auto"/>
            </w:tcBorders>
            <w:shd w:val="clear" w:color="auto" w:fill="C6EFCE"/>
            <w:noWrap/>
            <w:vAlign w:val="center"/>
          </w:tcPr>
          <w:p w14:paraId="62B69199" w14:textId="77777777" w:rsidR="00154E32" w:rsidRDefault="00A43E04">
            <w:pPr>
              <w:pStyle w:val="P68B1DB1-Normal12"/>
              <w:rPr>
                <w:noProof/>
              </w:rPr>
            </w:pPr>
            <w:r>
              <w:rPr>
                <w:noProof/>
              </w:rPr>
              <w:t xml:space="preserve">Naložba 2.1 – Krepitev ekobonusa za energetsko učinkovitost </w:t>
            </w:r>
          </w:p>
        </w:tc>
        <w:tc>
          <w:tcPr>
            <w:tcW w:w="1418" w:type="dxa"/>
            <w:tcBorders>
              <w:top w:val="nil"/>
              <w:left w:val="nil"/>
              <w:bottom w:val="single" w:sz="4" w:space="0" w:color="auto"/>
              <w:right w:val="single" w:sz="4" w:space="0" w:color="auto"/>
            </w:tcBorders>
            <w:shd w:val="clear" w:color="auto" w:fill="C6EFCE"/>
            <w:noWrap/>
            <w:vAlign w:val="center"/>
          </w:tcPr>
          <w:p w14:paraId="10FC971E" w14:textId="77777777" w:rsidR="00154E32" w:rsidRDefault="00A43E04">
            <w:pPr>
              <w:pStyle w:val="P68B1DB1-Normal12"/>
              <w:rPr>
                <w:noProof/>
                <w:color w:val="006600"/>
              </w:rPr>
            </w:pPr>
            <w:r>
              <w:rPr>
                <w:noProof/>
              </w:rPr>
              <w:t>Tarča</w:t>
            </w:r>
          </w:p>
        </w:tc>
        <w:tc>
          <w:tcPr>
            <w:tcW w:w="3755" w:type="dxa"/>
            <w:tcBorders>
              <w:top w:val="nil"/>
              <w:left w:val="nil"/>
              <w:bottom w:val="single" w:sz="4" w:space="0" w:color="auto"/>
              <w:right w:val="single" w:sz="4" w:space="0" w:color="auto"/>
            </w:tcBorders>
            <w:shd w:val="clear" w:color="auto" w:fill="C6EFCE"/>
            <w:noWrap/>
            <w:vAlign w:val="center"/>
          </w:tcPr>
          <w:p w14:paraId="453E0907" w14:textId="77777777" w:rsidR="00154E32" w:rsidRDefault="00A43E04">
            <w:pPr>
              <w:pStyle w:val="P68B1DB1-Normal12"/>
              <w:rPr>
                <w:noProof/>
                <w:color w:val="006600"/>
              </w:rPr>
            </w:pPr>
            <w:r>
              <w:rPr>
                <w:noProof/>
              </w:rPr>
              <w:t>Superbonus T1 za prenovo stavb</w:t>
            </w:r>
          </w:p>
        </w:tc>
      </w:tr>
      <w:tr w:rsidR="00154E32" w14:paraId="6D3EDDA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218EF97" w14:textId="77777777" w:rsidR="00154E32" w:rsidRDefault="00A43E04">
            <w:pPr>
              <w:pStyle w:val="P68B1DB1-Normal12"/>
              <w:jc w:val="center"/>
              <w:rPr>
                <w:noProof/>
              </w:rPr>
            </w:pPr>
            <w:r>
              <w:rPr>
                <w:noProof/>
              </w:rPr>
              <w:t>M4C1–9</w:t>
            </w:r>
          </w:p>
        </w:tc>
        <w:tc>
          <w:tcPr>
            <w:tcW w:w="3118" w:type="dxa"/>
            <w:tcBorders>
              <w:top w:val="nil"/>
              <w:left w:val="nil"/>
              <w:bottom w:val="single" w:sz="4" w:space="0" w:color="auto"/>
              <w:right w:val="single" w:sz="4" w:space="0" w:color="auto"/>
            </w:tcBorders>
            <w:shd w:val="clear" w:color="auto" w:fill="C6EFCE"/>
            <w:noWrap/>
            <w:vAlign w:val="center"/>
          </w:tcPr>
          <w:p w14:paraId="71AC52C9" w14:textId="77777777" w:rsidR="00154E32" w:rsidRDefault="00A43E04">
            <w:pPr>
              <w:pStyle w:val="P68B1DB1-Normal12"/>
              <w:rPr>
                <w:noProof/>
              </w:rPr>
            </w:pPr>
            <w:r>
              <w:rPr>
                <w:noProof/>
              </w:rPr>
              <w:t>Naložba 1.1: Načrt za vrtce in predšolske otroke ter storitve predšolske vzgoje in varstva</w:t>
            </w:r>
          </w:p>
        </w:tc>
        <w:tc>
          <w:tcPr>
            <w:tcW w:w="1418" w:type="dxa"/>
            <w:tcBorders>
              <w:top w:val="nil"/>
              <w:left w:val="nil"/>
              <w:bottom w:val="single" w:sz="4" w:space="0" w:color="auto"/>
              <w:right w:val="single" w:sz="4" w:space="0" w:color="auto"/>
            </w:tcBorders>
            <w:shd w:val="clear" w:color="auto" w:fill="C6EFCE"/>
            <w:noWrap/>
            <w:vAlign w:val="center"/>
          </w:tcPr>
          <w:p w14:paraId="7AF0EE8A" w14:textId="77777777" w:rsidR="00154E32" w:rsidRDefault="00A43E04">
            <w:pPr>
              <w:pStyle w:val="P68B1DB1-Normal12"/>
              <w:rPr>
                <w:noProof/>
                <w:color w:val="006600"/>
              </w:rPr>
            </w:pPr>
            <w:r>
              <w:rPr>
                <w:noProof/>
              </w:rPr>
              <w:t>Mejnik</w:t>
            </w:r>
          </w:p>
        </w:tc>
        <w:tc>
          <w:tcPr>
            <w:tcW w:w="3755" w:type="dxa"/>
            <w:tcBorders>
              <w:top w:val="nil"/>
              <w:left w:val="nil"/>
              <w:bottom w:val="single" w:sz="4" w:space="0" w:color="auto"/>
              <w:right w:val="single" w:sz="4" w:space="0" w:color="auto"/>
            </w:tcBorders>
            <w:shd w:val="clear" w:color="auto" w:fill="C6EFCE"/>
            <w:noWrap/>
            <w:vAlign w:val="center"/>
          </w:tcPr>
          <w:p w14:paraId="07FC185A" w14:textId="77777777" w:rsidR="00154E32" w:rsidRDefault="00A43E04">
            <w:pPr>
              <w:pStyle w:val="P68B1DB1-Normal12"/>
              <w:rPr>
                <w:noProof/>
                <w:color w:val="006600"/>
              </w:rPr>
            </w:pPr>
            <w:r>
              <w:rPr>
                <w:noProof/>
              </w:rPr>
              <w:t>Oddaja naročil za gradnjo, prenovo in zagotavljanje varnosti vrtcev, predšolske vzgoje in varstva</w:t>
            </w:r>
          </w:p>
        </w:tc>
      </w:tr>
      <w:tr w:rsidR="00154E32" w14:paraId="1BAD3F3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FCB43C4" w14:textId="77777777" w:rsidR="00154E32" w:rsidRDefault="00A43E04">
            <w:pPr>
              <w:pStyle w:val="P68B1DB1-Normal12"/>
              <w:jc w:val="center"/>
              <w:rPr>
                <w:noProof/>
              </w:rPr>
            </w:pPr>
            <w:r>
              <w:rPr>
                <w:noProof/>
              </w:rPr>
              <w:t>M5C3–8</w:t>
            </w:r>
          </w:p>
        </w:tc>
        <w:tc>
          <w:tcPr>
            <w:tcW w:w="3118" w:type="dxa"/>
            <w:tcBorders>
              <w:top w:val="nil"/>
              <w:left w:val="nil"/>
              <w:bottom w:val="single" w:sz="4" w:space="0" w:color="auto"/>
              <w:right w:val="single" w:sz="4" w:space="0" w:color="auto"/>
            </w:tcBorders>
            <w:shd w:val="clear" w:color="auto" w:fill="C6EFCE"/>
            <w:noWrap/>
            <w:vAlign w:val="center"/>
          </w:tcPr>
          <w:p w14:paraId="53F36AE0" w14:textId="77777777" w:rsidR="00154E32" w:rsidRDefault="00A43E04">
            <w:pPr>
              <w:pStyle w:val="P68B1DB1-Normal12"/>
              <w:rPr>
                <w:noProof/>
              </w:rPr>
            </w:pPr>
            <w:r>
              <w:rPr>
                <w:noProof/>
              </w:rPr>
              <w:t>Naložba 1.3: Strukturirani socialno-izobraževalni ukrepi za boj proti izobraževalni revščini na jugu, ki podpirajo tretji sektor</w:t>
            </w:r>
          </w:p>
        </w:tc>
        <w:tc>
          <w:tcPr>
            <w:tcW w:w="1418" w:type="dxa"/>
            <w:tcBorders>
              <w:top w:val="nil"/>
              <w:left w:val="nil"/>
              <w:bottom w:val="single" w:sz="4" w:space="0" w:color="auto"/>
              <w:right w:val="single" w:sz="4" w:space="0" w:color="auto"/>
            </w:tcBorders>
            <w:shd w:val="clear" w:color="auto" w:fill="C6EFCE"/>
            <w:noWrap/>
            <w:vAlign w:val="center"/>
          </w:tcPr>
          <w:p w14:paraId="3C5807D0" w14:textId="77777777" w:rsidR="00154E32" w:rsidRDefault="00A43E04">
            <w:pPr>
              <w:pStyle w:val="P68B1DB1-Normal12"/>
              <w:rPr>
                <w:noProof/>
                <w:color w:val="006600"/>
              </w:rPr>
            </w:pPr>
            <w:r>
              <w:rPr>
                <w:noProof/>
              </w:rPr>
              <w:t>Tarča</w:t>
            </w:r>
          </w:p>
        </w:tc>
        <w:tc>
          <w:tcPr>
            <w:tcW w:w="3755" w:type="dxa"/>
            <w:tcBorders>
              <w:top w:val="nil"/>
              <w:left w:val="nil"/>
              <w:bottom w:val="single" w:sz="4" w:space="0" w:color="auto"/>
              <w:right w:val="single" w:sz="4" w:space="0" w:color="auto"/>
            </w:tcBorders>
            <w:shd w:val="clear" w:color="auto" w:fill="C6EFCE"/>
            <w:noWrap/>
            <w:vAlign w:val="center"/>
          </w:tcPr>
          <w:p w14:paraId="18309ABF" w14:textId="77777777" w:rsidR="00154E32" w:rsidRDefault="00A43E04">
            <w:pPr>
              <w:pStyle w:val="P68B1DB1-Normal12"/>
              <w:rPr>
                <w:noProof/>
                <w:color w:val="006600"/>
              </w:rPr>
            </w:pPr>
            <w:r>
              <w:rPr>
                <w:noProof/>
              </w:rPr>
              <w:t>Izobraževalna podpora mladoletnikom (prva serija)</w:t>
            </w:r>
          </w:p>
        </w:tc>
      </w:tr>
      <w:tr w:rsidR="00154E32" w14:paraId="7097679E"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60600DA8" w14:textId="77777777" w:rsidR="00154E32" w:rsidRDefault="00154E32">
            <w:pPr>
              <w:jc w:val="center"/>
              <w:rPr>
                <w:noProof/>
                <w:color w:val="006100"/>
                <w:sz w:val="20"/>
              </w:rPr>
            </w:pPr>
          </w:p>
        </w:tc>
        <w:tc>
          <w:tcPr>
            <w:tcW w:w="3118" w:type="dxa"/>
            <w:tcBorders>
              <w:top w:val="single" w:sz="4" w:space="0" w:color="auto"/>
              <w:left w:val="nil"/>
              <w:bottom w:val="single" w:sz="4" w:space="0" w:color="auto"/>
              <w:right w:val="single" w:sz="4" w:space="0" w:color="auto"/>
            </w:tcBorders>
            <w:shd w:val="clear" w:color="auto" w:fill="C6EFCE"/>
            <w:noWrap/>
            <w:vAlign w:val="bottom"/>
          </w:tcPr>
          <w:p w14:paraId="5FF8C198" w14:textId="77777777" w:rsidR="00154E32" w:rsidRDefault="00154E32">
            <w:pPr>
              <w:rPr>
                <w:noProof/>
                <w:color w:val="006100"/>
                <w:sz w:val="20"/>
              </w:rPr>
            </w:pPr>
          </w:p>
        </w:tc>
        <w:tc>
          <w:tcPr>
            <w:tcW w:w="1418" w:type="dxa"/>
            <w:tcBorders>
              <w:top w:val="single" w:sz="4" w:space="0" w:color="auto"/>
              <w:left w:val="nil"/>
              <w:bottom w:val="single" w:sz="4" w:space="0" w:color="auto"/>
              <w:right w:val="single" w:sz="4" w:space="0" w:color="auto"/>
            </w:tcBorders>
            <w:shd w:val="clear" w:color="auto" w:fill="C6EFCE"/>
            <w:noWrap/>
            <w:vAlign w:val="bottom"/>
          </w:tcPr>
          <w:p w14:paraId="6527BCB5" w14:textId="77777777" w:rsidR="00154E32" w:rsidRDefault="00A43E04">
            <w:pPr>
              <w:pStyle w:val="P68B1DB1-Normal12"/>
              <w:rPr>
                <w:noProof/>
              </w:rPr>
            </w:pPr>
            <w:r>
              <w:rPr>
                <w:noProof/>
              </w:rPr>
              <w:t>Znesek obroka</w:t>
            </w:r>
          </w:p>
        </w:tc>
        <w:tc>
          <w:tcPr>
            <w:tcW w:w="3755" w:type="dxa"/>
            <w:tcBorders>
              <w:top w:val="single" w:sz="4" w:space="0" w:color="auto"/>
              <w:left w:val="nil"/>
              <w:bottom w:val="single" w:sz="4" w:space="0" w:color="auto"/>
              <w:right w:val="single" w:sz="4" w:space="0" w:color="auto"/>
            </w:tcBorders>
            <w:shd w:val="clear" w:color="auto" w:fill="C6EFCE"/>
            <w:noWrap/>
            <w:vAlign w:val="bottom"/>
          </w:tcPr>
          <w:p w14:paraId="407F5973" w14:textId="557A745D" w:rsidR="00154E32" w:rsidRDefault="00A43E04">
            <w:pPr>
              <w:pStyle w:val="P68B1DB1-Normal46"/>
              <w:rPr>
                <w:noProof/>
              </w:rPr>
            </w:pPr>
            <w:r>
              <w:rPr>
                <w:noProof/>
              </w:rPr>
              <w:t>2</w:t>
            </w:r>
            <w:r>
              <w:rPr>
                <w:noProof/>
              </w:rPr>
              <w:t> </w:t>
            </w:r>
            <w:r>
              <w:rPr>
                <w:noProof/>
              </w:rPr>
              <w:t>315</w:t>
            </w:r>
            <w:r>
              <w:rPr>
                <w:noProof/>
              </w:rPr>
              <w:t> </w:t>
            </w:r>
            <w:r>
              <w:rPr>
                <w:noProof/>
              </w:rPr>
              <w:t>646</w:t>
            </w:r>
            <w:r>
              <w:rPr>
                <w:noProof/>
              </w:rPr>
              <w:t> </w:t>
            </w:r>
            <w:r>
              <w:rPr>
                <w:noProof/>
              </w:rPr>
              <w:t>882</w:t>
            </w:r>
            <w:r>
              <w:rPr>
                <w:noProof/>
              </w:rPr>
              <w:t> </w:t>
            </w:r>
            <w:r>
              <w:rPr>
                <w:noProof/>
              </w:rPr>
              <w:t>EUR</w:t>
            </w:r>
          </w:p>
        </w:tc>
      </w:tr>
    </w:tbl>
    <w:p w14:paraId="0AFAE032" w14:textId="7FAD9399" w:rsidR="00154E32" w:rsidRDefault="00A43E04">
      <w:pPr>
        <w:pStyle w:val="P68B1DB1-Normal44"/>
        <w:numPr>
          <w:ilvl w:val="1"/>
          <w:numId w:val="6"/>
        </w:numPr>
        <w:spacing w:before="120" w:after="120"/>
        <w:jc w:val="both"/>
        <w:rPr>
          <w:noProof/>
        </w:rPr>
      </w:pPr>
      <w:r>
        <w:rPr>
          <w:noProof/>
        </w:rPr>
        <w:t>Peta namestitev (nepovratna podpora):</w:t>
      </w:r>
    </w:p>
    <w:tbl>
      <w:tblPr>
        <w:tblW w:w="9776" w:type="dxa"/>
        <w:tblInd w:w="113" w:type="dxa"/>
        <w:tblLook w:val="04A0" w:firstRow="1" w:lastRow="0" w:firstColumn="1" w:lastColumn="0" w:noHBand="0" w:noVBand="1"/>
      </w:tblPr>
      <w:tblGrid>
        <w:gridCol w:w="1413"/>
        <w:gridCol w:w="3118"/>
        <w:gridCol w:w="1418"/>
        <w:gridCol w:w="3827"/>
      </w:tblGrid>
      <w:tr w:rsidR="00154E32" w14:paraId="102DCA7E" w14:textId="77777777">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0288956" w14:textId="77777777" w:rsidR="00154E32" w:rsidRDefault="00A43E04">
            <w:pPr>
              <w:pStyle w:val="P68B1DB1-Normal45"/>
              <w:jc w:val="center"/>
              <w:rPr>
                <w:noProof/>
              </w:rPr>
            </w:pPr>
            <w:r>
              <w:rPr>
                <w:noProof/>
              </w:rPr>
              <w:t>Zaporedna številka</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E294ED5" w14:textId="77777777" w:rsidR="00154E32" w:rsidRDefault="00A43E04">
            <w:pPr>
              <w:pStyle w:val="P68B1DB1-Normal45"/>
              <w:jc w:val="center"/>
              <w:rPr>
                <w:noProof/>
              </w:rPr>
            </w:pPr>
            <w:r>
              <w:rPr>
                <w:noProof/>
              </w:rPr>
              <w:t>Povezani ukrep (reforma ali naložba)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1C209C4" w14:textId="77777777" w:rsidR="00154E32" w:rsidRDefault="00A43E04">
            <w:pPr>
              <w:pStyle w:val="P68B1DB1-Normal45"/>
              <w:jc w:val="center"/>
              <w:rPr>
                <w:noProof/>
              </w:rPr>
            </w:pPr>
            <w:r>
              <w:rPr>
                <w:noProof/>
              </w:rPr>
              <w:t>Mejnik/cilj</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BFD518A" w14:textId="77777777" w:rsidR="00154E32" w:rsidRDefault="00A43E04">
            <w:pPr>
              <w:pStyle w:val="P68B1DB1-Normal45"/>
              <w:jc w:val="center"/>
              <w:rPr>
                <w:noProof/>
              </w:rPr>
            </w:pPr>
            <w:r>
              <w:rPr>
                <w:noProof/>
              </w:rPr>
              <w:t>Ime</w:t>
            </w:r>
          </w:p>
        </w:tc>
      </w:tr>
      <w:tr w:rsidR="00154E32" w14:paraId="22E2EC04" w14:textId="77777777">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7BE0673" w14:textId="77777777" w:rsidR="00154E32" w:rsidRDefault="00154E32">
            <w:pPr>
              <w:rPr>
                <w:b/>
                <w:noProof/>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600A4DB1" w14:textId="77777777" w:rsidR="00154E32" w:rsidRDefault="00154E32">
            <w:pPr>
              <w:rPr>
                <w:b/>
                <w:noProof/>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65374A4" w14:textId="77777777" w:rsidR="00154E32" w:rsidRDefault="00154E32">
            <w:pPr>
              <w:rPr>
                <w:b/>
                <w:noProof/>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4AAE7C49" w14:textId="77777777" w:rsidR="00154E32" w:rsidRDefault="00154E32">
            <w:pPr>
              <w:rPr>
                <w:b/>
                <w:noProof/>
              </w:rPr>
            </w:pPr>
          </w:p>
        </w:tc>
      </w:tr>
      <w:tr w:rsidR="00154E32" w14:paraId="654E5411"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8513B7" w14:textId="77777777" w:rsidR="00154E32" w:rsidRDefault="00A43E04">
            <w:pPr>
              <w:pStyle w:val="P68B1DB1-Normal12"/>
              <w:jc w:val="center"/>
              <w:rPr>
                <w:noProof/>
              </w:rPr>
            </w:pPr>
            <w:r>
              <w:rPr>
                <w:noProof/>
              </w:rPr>
              <w:t>M1C2–4</w:t>
            </w:r>
          </w:p>
        </w:tc>
        <w:tc>
          <w:tcPr>
            <w:tcW w:w="3118" w:type="dxa"/>
            <w:tcBorders>
              <w:top w:val="single" w:sz="4" w:space="0" w:color="auto"/>
              <w:left w:val="nil"/>
              <w:bottom w:val="single" w:sz="4" w:space="0" w:color="auto"/>
              <w:right w:val="single" w:sz="4" w:space="0" w:color="auto"/>
            </w:tcBorders>
            <w:shd w:val="clear" w:color="auto" w:fill="C6EFCE"/>
            <w:noWrap/>
            <w:vAlign w:val="center"/>
          </w:tcPr>
          <w:p w14:paraId="6A525182" w14:textId="77777777" w:rsidR="00154E32" w:rsidRDefault="00A43E04">
            <w:pPr>
              <w:pStyle w:val="P68B1DB1-Normal12"/>
              <w:rPr>
                <w:noProof/>
              </w:rPr>
            </w:pPr>
            <w:r>
              <w:rPr>
                <w:noProof/>
              </w:rPr>
              <w:t>Reforma 1: Reforma sistema industrijske lastnine</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730DD625" w14:textId="77777777" w:rsidR="00154E32" w:rsidRDefault="00A43E04">
            <w:pPr>
              <w:pStyle w:val="P68B1DB1-Normal12"/>
              <w:rPr>
                <w:noProof/>
              </w:rPr>
            </w:pPr>
            <w:r>
              <w:rPr>
                <w:noProof/>
              </w:rPr>
              <w:t>Mejnik</w:t>
            </w:r>
          </w:p>
        </w:tc>
        <w:tc>
          <w:tcPr>
            <w:tcW w:w="3827" w:type="dxa"/>
            <w:tcBorders>
              <w:top w:val="single" w:sz="4" w:space="0" w:color="auto"/>
              <w:left w:val="nil"/>
              <w:bottom w:val="single" w:sz="4" w:space="0" w:color="auto"/>
              <w:right w:val="single" w:sz="4" w:space="0" w:color="auto"/>
            </w:tcBorders>
            <w:shd w:val="clear" w:color="auto" w:fill="C6EFCE"/>
            <w:noWrap/>
            <w:vAlign w:val="center"/>
          </w:tcPr>
          <w:p w14:paraId="74DD352F" w14:textId="77777777" w:rsidR="00154E32" w:rsidRDefault="00A43E04">
            <w:pPr>
              <w:pStyle w:val="P68B1DB1-Normal12"/>
              <w:rPr>
                <w:noProof/>
              </w:rPr>
            </w:pPr>
            <w:r>
              <w:rPr>
                <w:noProof/>
              </w:rPr>
              <w:t>Začetek veljavnosti zakonske uredbe za reformo italijanskega zakonika o industrijski lastnini in ustreznih izvedbenih aktov</w:t>
            </w:r>
          </w:p>
        </w:tc>
      </w:tr>
      <w:tr w:rsidR="00154E32" w14:paraId="764ABC5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8FC0418" w14:textId="77777777" w:rsidR="00154E32" w:rsidRDefault="00A43E04">
            <w:pPr>
              <w:pStyle w:val="P68B1DB1-Normal12"/>
              <w:jc w:val="center"/>
              <w:rPr>
                <w:noProof/>
              </w:rPr>
            </w:pPr>
            <w:r>
              <w:rPr>
                <w:noProof/>
              </w:rPr>
              <w:t>M1C3–4</w:t>
            </w:r>
          </w:p>
        </w:tc>
        <w:tc>
          <w:tcPr>
            <w:tcW w:w="3118" w:type="dxa"/>
            <w:tcBorders>
              <w:top w:val="nil"/>
              <w:left w:val="nil"/>
              <w:bottom w:val="single" w:sz="4" w:space="0" w:color="auto"/>
              <w:right w:val="single" w:sz="4" w:space="0" w:color="auto"/>
            </w:tcBorders>
            <w:shd w:val="clear" w:color="auto" w:fill="C6EFCE"/>
            <w:noWrap/>
            <w:vAlign w:val="center"/>
          </w:tcPr>
          <w:p w14:paraId="4735C01F" w14:textId="77777777" w:rsidR="00154E32" w:rsidRDefault="00A43E04">
            <w:pPr>
              <w:pStyle w:val="P68B1DB1-Normal12"/>
              <w:rPr>
                <w:noProof/>
              </w:rPr>
            </w:pPr>
            <w:r>
              <w:rPr>
                <w:noProof/>
              </w:rPr>
              <w:t>Naložbe – 1.3 Izboljšanje energetske učinkovitosti v kinematografih, gledališčih in muzejih</w:t>
            </w:r>
          </w:p>
        </w:tc>
        <w:tc>
          <w:tcPr>
            <w:tcW w:w="1418" w:type="dxa"/>
            <w:tcBorders>
              <w:top w:val="nil"/>
              <w:left w:val="nil"/>
              <w:bottom w:val="single" w:sz="4" w:space="0" w:color="auto"/>
              <w:right w:val="single" w:sz="4" w:space="0" w:color="auto"/>
            </w:tcBorders>
            <w:shd w:val="clear" w:color="auto" w:fill="C6EFCE"/>
            <w:noWrap/>
            <w:vAlign w:val="center"/>
          </w:tcPr>
          <w:p w14:paraId="74182FF6" w14:textId="77777777" w:rsidR="00154E32" w:rsidRDefault="00A43E04">
            <w:pPr>
              <w:pStyle w:val="P68B1DB1-Normal12"/>
              <w:rPr>
                <w:noProof/>
              </w:rPr>
            </w:pPr>
            <w:r>
              <w:rPr>
                <w:noProof/>
              </w:rPr>
              <w:t>Tarča</w:t>
            </w:r>
          </w:p>
        </w:tc>
        <w:tc>
          <w:tcPr>
            <w:tcW w:w="3827" w:type="dxa"/>
            <w:tcBorders>
              <w:top w:val="nil"/>
              <w:left w:val="nil"/>
              <w:bottom w:val="single" w:sz="4" w:space="0" w:color="auto"/>
              <w:right w:val="single" w:sz="4" w:space="0" w:color="auto"/>
            </w:tcBorders>
            <w:shd w:val="clear" w:color="auto" w:fill="C6EFCE"/>
            <w:noWrap/>
            <w:vAlign w:val="center"/>
          </w:tcPr>
          <w:p w14:paraId="5EF4F43D" w14:textId="77777777" w:rsidR="00154E32" w:rsidRDefault="00A43E04">
            <w:pPr>
              <w:pStyle w:val="P68B1DB1-Normal12"/>
              <w:rPr>
                <w:noProof/>
              </w:rPr>
            </w:pPr>
            <w:r>
              <w:rPr>
                <w:noProof/>
              </w:rPr>
              <w:t>Zaključeni posegi v državne muzeje in kulturne objekte, gledališke dvorane in kinematografe (prvi sklop)</w:t>
            </w:r>
          </w:p>
        </w:tc>
      </w:tr>
      <w:tr w:rsidR="00154E32" w14:paraId="5EA08E7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C297E27" w14:textId="77777777" w:rsidR="00154E32" w:rsidRDefault="00A43E04">
            <w:pPr>
              <w:pStyle w:val="P68B1DB1-Normal12"/>
              <w:jc w:val="center"/>
              <w:rPr>
                <w:noProof/>
              </w:rPr>
            </w:pPr>
            <w:r>
              <w:rPr>
                <w:noProof/>
              </w:rPr>
              <w:t>M1C1–12</w:t>
            </w:r>
          </w:p>
        </w:tc>
        <w:tc>
          <w:tcPr>
            <w:tcW w:w="3118" w:type="dxa"/>
            <w:tcBorders>
              <w:top w:val="nil"/>
              <w:left w:val="nil"/>
              <w:bottom w:val="single" w:sz="4" w:space="0" w:color="auto"/>
              <w:right w:val="single" w:sz="4" w:space="0" w:color="auto"/>
            </w:tcBorders>
            <w:shd w:val="clear" w:color="auto" w:fill="C6EFCE"/>
            <w:noWrap/>
            <w:vAlign w:val="center"/>
          </w:tcPr>
          <w:p w14:paraId="4ED95889" w14:textId="77777777" w:rsidR="00154E32" w:rsidRDefault="00A43E04">
            <w:pPr>
              <w:pStyle w:val="P68B1DB1-Normal12"/>
              <w:rPr>
                <w:noProof/>
              </w:rPr>
            </w:pPr>
            <w:r>
              <w:rPr>
                <w:noProof/>
              </w:rPr>
              <w:t>Naložba 1.3.2: Enotni digitalni portal</w:t>
            </w:r>
          </w:p>
        </w:tc>
        <w:tc>
          <w:tcPr>
            <w:tcW w:w="1418" w:type="dxa"/>
            <w:tcBorders>
              <w:top w:val="nil"/>
              <w:left w:val="nil"/>
              <w:bottom w:val="single" w:sz="4" w:space="0" w:color="auto"/>
              <w:right w:val="single" w:sz="4" w:space="0" w:color="auto"/>
            </w:tcBorders>
            <w:shd w:val="clear" w:color="auto" w:fill="C6EFCE"/>
            <w:noWrap/>
            <w:vAlign w:val="center"/>
          </w:tcPr>
          <w:p w14:paraId="03266CB8" w14:textId="77777777" w:rsidR="00154E32" w:rsidRDefault="00A43E04">
            <w:pPr>
              <w:pStyle w:val="P68B1DB1-Normal12"/>
              <w:rPr>
                <w:noProof/>
              </w:rPr>
            </w:pPr>
            <w:r>
              <w:rPr>
                <w:noProof/>
              </w:rPr>
              <w:t>Tarča</w:t>
            </w:r>
          </w:p>
        </w:tc>
        <w:tc>
          <w:tcPr>
            <w:tcW w:w="3827" w:type="dxa"/>
            <w:tcBorders>
              <w:top w:val="nil"/>
              <w:left w:val="nil"/>
              <w:bottom w:val="single" w:sz="4" w:space="0" w:color="auto"/>
              <w:right w:val="single" w:sz="4" w:space="0" w:color="auto"/>
            </w:tcBorders>
            <w:shd w:val="clear" w:color="auto" w:fill="C6EFCE"/>
            <w:noWrap/>
            <w:vAlign w:val="center"/>
          </w:tcPr>
          <w:p w14:paraId="7425865D" w14:textId="77777777" w:rsidR="00154E32" w:rsidRDefault="00A43E04">
            <w:pPr>
              <w:pStyle w:val="P68B1DB1-Normal12"/>
              <w:rPr>
                <w:noProof/>
              </w:rPr>
            </w:pPr>
            <w:r>
              <w:rPr>
                <w:noProof/>
              </w:rPr>
              <w:t>Enotni digitalni portal</w:t>
            </w:r>
          </w:p>
        </w:tc>
      </w:tr>
      <w:tr w:rsidR="00154E32" w14:paraId="79DD08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086D66E" w14:textId="77777777" w:rsidR="00154E32" w:rsidRDefault="00A43E04">
            <w:pPr>
              <w:pStyle w:val="P68B1DB1-Normal12"/>
              <w:jc w:val="center"/>
              <w:rPr>
                <w:noProof/>
              </w:rPr>
            </w:pPr>
            <w:r>
              <w:rPr>
                <w:noProof/>
              </w:rPr>
              <w:t>M1C1–13</w:t>
            </w:r>
          </w:p>
        </w:tc>
        <w:tc>
          <w:tcPr>
            <w:tcW w:w="3118" w:type="dxa"/>
            <w:tcBorders>
              <w:top w:val="nil"/>
              <w:left w:val="nil"/>
              <w:bottom w:val="single" w:sz="4" w:space="0" w:color="auto"/>
              <w:right w:val="single" w:sz="4" w:space="0" w:color="auto"/>
            </w:tcBorders>
            <w:shd w:val="clear" w:color="auto" w:fill="C6EFCE"/>
            <w:noWrap/>
            <w:vAlign w:val="center"/>
          </w:tcPr>
          <w:p w14:paraId="5FDD1A51" w14:textId="77777777" w:rsidR="00154E32" w:rsidRDefault="00A43E04">
            <w:pPr>
              <w:pStyle w:val="P68B1DB1-Normal12"/>
              <w:rPr>
                <w:noProof/>
              </w:rPr>
            </w:pPr>
            <w:r>
              <w:rPr>
                <w:noProof/>
              </w:rPr>
              <w:t>Naložba 1.4.6: Mobilnost kot storitev za Italijo</w:t>
            </w:r>
          </w:p>
        </w:tc>
        <w:tc>
          <w:tcPr>
            <w:tcW w:w="1418" w:type="dxa"/>
            <w:tcBorders>
              <w:top w:val="nil"/>
              <w:left w:val="nil"/>
              <w:bottom w:val="single" w:sz="4" w:space="0" w:color="auto"/>
              <w:right w:val="single" w:sz="4" w:space="0" w:color="auto"/>
            </w:tcBorders>
            <w:shd w:val="clear" w:color="auto" w:fill="C6EFCE"/>
            <w:noWrap/>
            <w:vAlign w:val="center"/>
          </w:tcPr>
          <w:p w14:paraId="404785E5" w14:textId="77777777" w:rsidR="00154E32" w:rsidRDefault="00A43E04">
            <w:pPr>
              <w:pStyle w:val="P68B1DB1-Normal12"/>
              <w:rPr>
                <w:noProof/>
              </w:rPr>
            </w:pPr>
            <w:r>
              <w:rPr>
                <w:noProof/>
              </w:rPr>
              <w:t>Mejnik</w:t>
            </w:r>
          </w:p>
        </w:tc>
        <w:tc>
          <w:tcPr>
            <w:tcW w:w="3827" w:type="dxa"/>
            <w:tcBorders>
              <w:top w:val="nil"/>
              <w:left w:val="nil"/>
              <w:bottom w:val="single" w:sz="4" w:space="0" w:color="auto"/>
              <w:right w:val="single" w:sz="4" w:space="0" w:color="auto"/>
            </w:tcBorders>
            <w:shd w:val="clear" w:color="auto" w:fill="C6EFCE"/>
            <w:noWrap/>
            <w:vAlign w:val="center"/>
          </w:tcPr>
          <w:p w14:paraId="12E86E52" w14:textId="77777777" w:rsidR="00154E32" w:rsidRDefault="00A43E04">
            <w:pPr>
              <w:pStyle w:val="P68B1DB1-Normal12"/>
              <w:rPr>
                <w:noProof/>
              </w:rPr>
            </w:pPr>
            <w:r>
              <w:rPr>
                <w:noProof/>
              </w:rPr>
              <w:t>Mobilnost kot storitvena rešitev M1</w:t>
            </w:r>
          </w:p>
        </w:tc>
      </w:tr>
      <w:tr w:rsidR="00154E32" w14:paraId="4438E92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F92252A" w14:textId="77777777" w:rsidR="00154E32" w:rsidRDefault="00A43E04">
            <w:pPr>
              <w:pStyle w:val="P68B1DB1-Normal12"/>
              <w:jc w:val="center"/>
              <w:rPr>
                <w:noProof/>
              </w:rPr>
            </w:pPr>
            <w:r>
              <w:rPr>
                <w:noProof/>
              </w:rPr>
              <w:t>M1C1–38</w:t>
            </w:r>
          </w:p>
        </w:tc>
        <w:tc>
          <w:tcPr>
            <w:tcW w:w="3118" w:type="dxa"/>
            <w:tcBorders>
              <w:top w:val="nil"/>
              <w:left w:val="nil"/>
              <w:bottom w:val="single" w:sz="4" w:space="0" w:color="auto"/>
              <w:right w:val="single" w:sz="4" w:space="0" w:color="auto"/>
            </w:tcBorders>
            <w:shd w:val="clear" w:color="auto" w:fill="C6EFCE"/>
            <w:noWrap/>
            <w:vAlign w:val="center"/>
          </w:tcPr>
          <w:p w14:paraId="14A892CE" w14:textId="77777777" w:rsidR="00154E32" w:rsidRDefault="00A43E04">
            <w:pPr>
              <w:pStyle w:val="P68B1DB1-Normal12"/>
              <w:rPr>
                <w:noProof/>
              </w:rPr>
            </w:pPr>
            <w:r>
              <w:rPr>
                <w:noProof/>
              </w:rPr>
              <w:t>Reforma 1.8: Digitalizacija pravosodja</w:t>
            </w:r>
          </w:p>
        </w:tc>
        <w:tc>
          <w:tcPr>
            <w:tcW w:w="1418" w:type="dxa"/>
            <w:tcBorders>
              <w:top w:val="nil"/>
              <w:left w:val="nil"/>
              <w:bottom w:val="single" w:sz="4" w:space="0" w:color="auto"/>
              <w:right w:val="single" w:sz="4" w:space="0" w:color="auto"/>
            </w:tcBorders>
            <w:shd w:val="clear" w:color="auto" w:fill="C6EFCE"/>
            <w:noWrap/>
            <w:vAlign w:val="center"/>
          </w:tcPr>
          <w:p w14:paraId="22149472" w14:textId="77777777" w:rsidR="00154E32" w:rsidRDefault="00A43E04">
            <w:pPr>
              <w:pStyle w:val="P68B1DB1-Normal12"/>
              <w:rPr>
                <w:noProof/>
              </w:rPr>
            </w:pPr>
            <w:r>
              <w:rPr>
                <w:noProof/>
              </w:rPr>
              <w:t>Mejnik</w:t>
            </w:r>
          </w:p>
        </w:tc>
        <w:tc>
          <w:tcPr>
            <w:tcW w:w="3827" w:type="dxa"/>
            <w:tcBorders>
              <w:top w:val="nil"/>
              <w:left w:val="nil"/>
              <w:bottom w:val="single" w:sz="4" w:space="0" w:color="auto"/>
              <w:right w:val="single" w:sz="4" w:space="0" w:color="auto"/>
            </w:tcBorders>
            <w:shd w:val="clear" w:color="auto" w:fill="C6EFCE"/>
            <w:noWrap/>
            <w:vAlign w:val="center"/>
          </w:tcPr>
          <w:p w14:paraId="0A8FA851" w14:textId="77777777" w:rsidR="00154E32" w:rsidRDefault="00A43E04">
            <w:pPr>
              <w:pStyle w:val="P68B1DB1-Normal12"/>
              <w:rPr>
                <w:noProof/>
              </w:rPr>
            </w:pPr>
            <w:r>
              <w:rPr>
                <w:noProof/>
              </w:rPr>
              <w:t>Digitalizacija pravosodnega sistema</w:t>
            </w:r>
          </w:p>
        </w:tc>
      </w:tr>
      <w:tr w:rsidR="00154E32" w14:paraId="306FC30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655E3DF" w14:textId="77777777" w:rsidR="00154E32" w:rsidRDefault="00A43E04">
            <w:pPr>
              <w:pStyle w:val="P68B1DB1-Normal12"/>
              <w:jc w:val="center"/>
              <w:rPr>
                <w:noProof/>
              </w:rPr>
            </w:pPr>
            <w:r>
              <w:rPr>
                <w:noProof/>
              </w:rPr>
              <w:t>M1C1–59</w:t>
            </w:r>
          </w:p>
        </w:tc>
        <w:tc>
          <w:tcPr>
            <w:tcW w:w="3118" w:type="dxa"/>
            <w:tcBorders>
              <w:top w:val="nil"/>
              <w:left w:val="nil"/>
              <w:bottom w:val="single" w:sz="4" w:space="0" w:color="auto"/>
              <w:right w:val="single" w:sz="4" w:space="0" w:color="auto"/>
            </w:tcBorders>
            <w:shd w:val="clear" w:color="auto" w:fill="C6EFCE"/>
            <w:noWrap/>
            <w:vAlign w:val="center"/>
          </w:tcPr>
          <w:p w14:paraId="3813C644" w14:textId="77777777" w:rsidR="00154E32" w:rsidRDefault="00A43E04">
            <w:pPr>
              <w:pStyle w:val="P68B1DB1-Normal12"/>
              <w:rPr>
                <w:noProof/>
              </w:rPr>
            </w:pPr>
            <w:r>
              <w:rPr>
                <w:noProof/>
              </w:rPr>
              <w:t>Reforma 1.9: Reforma javne uprave</w:t>
            </w:r>
          </w:p>
        </w:tc>
        <w:tc>
          <w:tcPr>
            <w:tcW w:w="1418" w:type="dxa"/>
            <w:tcBorders>
              <w:top w:val="nil"/>
              <w:left w:val="nil"/>
              <w:bottom w:val="single" w:sz="4" w:space="0" w:color="auto"/>
              <w:right w:val="single" w:sz="4" w:space="0" w:color="auto"/>
            </w:tcBorders>
            <w:shd w:val="clear" w:color="auto" w:fill="C6EFCE"/>
            <w:noWrap/>
            <w:vAlign w:val="center"/>
          </w:tcPr>
          <w:p w14:paraId="69A9F9E3" w14:textId="77777777" w:rsidR="00154E32" w:rsidRDefault="00A43E04">
            <w:pPr>
              <w:pStyle w:val="P68B1DB1-Normal12"/>
              <w:rPr>
                <w:noProof/>
              </w:rPr>
            </w:pPr>
            <w:r>
              <w:rPr>
                <w:noProof/>
              </w:rPr>
              <w:t>Mejnik</w:t>
            </w:r>
          </w:p>
        </w:tc>
        <w:tc>
          <w:tcPr>
            <w:tcW w:w="3827" w:type="dxa"/>
            <w:tcBorders>
              <w:top w:val="nil"/>
              <w:left w:val="nil"/>
              <w:bottom w:val="single" w:sz="4" w:space="0" w:color="auto"/>
              <w:right w:val="single" w:sz="4" w:space="0" w:color="auto"/>
            </w:tcBorders>
            <w:shd w:val="clear" w:color="auto" w:fill="C6EFCE"/>
            <w:noWrap/>
            <w:vAlign w:val="center"/>
          </w:tcPr>
          <w:p w14:paraId="38E47BD7" w14:textId="77777777" w:rsidR="00154E32" w:rsidRDefault="00A43E04">
            <w:pPr>
              <w:pStyle w:val="P68B1DB1-Normal12"/>
              <w:rPr>
                <w:noProof/>
              </w:rPr>
            </w:pPr>
            <w:r>
              <w:rPr>
                <w:noProof/>
              </w:rPr>
              <w:t>Začetek veljavnosti strateškega upravljanja človeških virov v javni upravi</w:t>
            </w:r>
          </w:p>
        </w:tc>
      </w:tr>
      <w:tr w:rsidR="00154E32" w14:paraId="482E9E6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A9A51F7" w14:textId="77777777" w:rsidR="00154E32" w:rsidRDefault="00A43E04">
            <w:pPr>
              <w:pStyle w:val="P68B1DB1-Normal12"/>
              <w:jc w:val="center"/>
              <w:rPr>
                <w:noProof/>
              </w:rPr>
            </w:pPr>
            <w:r>
              <w:rPr>
                <w:noProof/>
              </w:rPr>
              <w:t>M1C1–73c</w:t>
            </w:r>
          </w:p>
        </w:tc>
        <w:tc>
          <w:tcPr>
            <w:tcW w:w="3118" w:type="dxa"/>
            <w:tcBorders>
              <w:top w:val="nil"/>
              <w:left w:val="nil"/>
              <w:bottom w:val="single" w:sz="4" w:space="0" w:color="auto"/>
              <w:right w:val="single" w:sz="4" w:space="0" w:color="auto"/>
            </w:tcBorders>
            <w:shd w:val="clear" w:color="auto" w:fill="C6EFCE"/>
            <w:noWrap/>
            <w:vAlign w:val="center"/>
          </w:tcPr>
          <w:p w14:paraId="1D4749D3" w14:textId="77777777" w:rsidR="00154E32" w:rsidRDefault="00A43E04">
            <w:pPr>
              <w:pStyle w:val="P68B1DB1-Normal12"/>
              <w:rPr>
                <w:noProof/>
              </w:rPr>
            </w:pPr>
            <w:r>
              <w:rPr>
                <w:noProof/>
              </w:rPr>
              <w:t>Reforma 1.10: Reforma zakonodajnega okvira za javna naročila</w:t>
            </w:r>
          </w:p>
        </w:tc>
        <w:tc>
          <w:tcPr>
            <w:tcW w:w="1418" w:type="dxa"/>
            <w:tcBorders>
              <w:top w:val="nil"/>
              <w:left w:val="nil"/>
              <w:bottom w:val="single" w:sz="4" w:space="0" w:color="auto"/>
              <w:right w:val="single" w:sz="4" w:space="0" w:color="auto"/>
            </w:tcBorders>
            <w:shd w:val="clear" w:color="auto" w:fill="C6EFCE"/>
            <w:noWrap/>
            <w:vAlign w:val="center"/>
          </w:tcPr>
          <w:p w14:paraId="52E7D601" w14:textId="77777777" w:rsidR="00154E32" w:rsidRDefault="00A43E04">
            <w:pPr>
              <w:pStyle w:val="P68B1DB1-Normal12"/>
              <w:rPr>
                <w:noProof/>
              </w:rPr>
            </w:pPr>
            <w:r>
              <w:rPr>
                <w:noProof/>
              </w:rPr>
              <w:t>Mejnik</w:t>
            </w:r>
          </w:p>
        </w:tc>
        <w:tc>
          <w:tcPr>
            <w:tcW w:w="3827" w:type="dxa"/>
            <w:tcBorders>
              <w:top w:val="nil"/>
              <w:left w:val="nil"/>
              <w:bottom w:val="single" w:sz="4" w:space="0" w:color="auto"/>
              <w:right w:val="single" w:sz="4" w:space="0" w:color="auto"/>
            </w:tcBorders>
            <w:shd w:val="clear" w:color="auto" w:fill="C6EFCE"/>
            <w:noWrap/>
            <w:vAlign w:val="center"/>
          </w:tcPr>
          <w:p w14:paraId="2309C09A" w14:textId="77777777" w:rsidR="00154E32" w:rsidRDefault="00A43E04">
            <w:pPr>
              <w:pStyle w:val="P68B1DB1-Normal12"/>
              <w:rPr>
                <w:noProof/>
              </w:rPr>
            </w:pPr>
            <w:r>
              <w:rPr>
                <w:noProof/>
              </w:rPr>
              <w:t>Začetek veljavnosti smernic o javnih naročilih pod pragom EU</w:t>
            </w:r>
          </w:p>
        </w:tc>
      </w:tr>
      <w:tr w:rsidR="00154E32" w14:paraId="25ECE04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F808434" w14:textId="77777777" w:rsidR="00154E32" w:rsidRDefault="00A43E04">
            <w:pPr>
              <w:pStyle w:val="P68B1DB1-Normal12"/>
              <w:jc w:val="center"/>
              <w:rPr>
                <w:noProof/>
              </w:rPr>
            </w:pPr>
            <w:r>
              <w:rPr>
                <w:noProof/>
              </w:rPr>
              <w:t>M1C1–75</w:t>
            </w:r>
          </w:p>
        </w:tc>
        <w:tc>
          <w:tcPr>
            <w:tcW w:w="3118" w:type="dxa"/>
            <w:tcBorders>
              <w:top w:val="nil"/>
              <w:left w:val="nil"/>
              <w:bottom w:val="single" w:sz="4" w:space="0" w:color="auto"/>
              <w:right w:val="single" w:sz="4" w:space="0" w:color="auto"/>
            </w:tcBorders>
            <w:shd w:val="clear" w:color="auto" w:fill="C6EFCE"/>
            <w:noWrap/>
            <w:vAlign w:val="center"/>
          </w:tcPr>
          <w:p w14:paraId="405C991B" w14:textId="77777777" w:rsidR="00154E32" w:rsidRDefault="00A43E04">
            <w:pPr>
              <w:pStyle w:val="P68B1DB1-Normal12"/>
              <w:rPr>
                <w:noProof/>
              </w:rPr>
            </w:pPr>
            <w:r>
              <w:rPr>
                <w:noProof/>
              </w:rPr>
              <w:t>Reforma 1.10: Reforma zakonodajnega okvira za javna naročila</w:t>
            </w:r>
          </w:p>
        </w:tc>
        <w:tc>
          <w:tcPr>
            <w:tcW w:w="1418" w:type="dxa"/>
            <w:tcBorders>
              <w:top w:val="nil"/>
              <w:left w:val="nil"/>
              <w:bottom w:val="single" w:sz="4" w:space="0" w:color="auto"/>
              <w:right w:val="single" w:sz="4" w:space="0" w:color="auto"/>
            </w:tcBorders>
            <w:shd w:val="clear" w:color="auto" w:fill="C6EFCE"/>
            <w:noWrap/>
            <w:vAlign w:val="center"/>
          </w:tcPr>
          <w:p w14:paraId="3B6A6EF6" w14:textId="77777777" w:rsidR="00154E32" w:rsidRDefault="00A43E04">
            <w:pPr>
              <w:pStyle w:val="P68B1DB1-Normal12"/>
              <w:rPr>
                <w:noProof/>
              </w:rPr>
            </w:pPr>
            <w:r>
              <w:rPr>
                <w:noProof/>
              </w:rPr>
              <w:t>Tarča</w:t>
            </w:r>
          </w:p>
        </w:tc>
        <w:tc>
          <w:tcPr>
            <w:tcW w:w="3827" w:type="dxa"/>
            <w:tcBorders>
              <w:top w:val="nil"/>
              <w:left w:val="nil"/>
              <w:bottom w:val="single" w:sz="4" w:space="0" w:color="auto"/>
              <w:right w:val="single" w:sz="4" w:space="0" w:color="auto"/>
            </w:tcBorders>
            <w:shd w:val="clear" w:color="auto" w:fill="C6EFCE"/>
            <w:noWrap/>
            <w:vAlign w:val="center"/>
          </w:tcPr>
          <w:p w14:paraId="7D2F9826" w14:textId="77777777" w:rsidR="00154E32" w:rsidRDefault="00A43E04">
            <w:pPr>
              <w:pStyle w:val="P68B1DB1-Normal12"/>
              <w:rPr>
                <w:noProof/>
              </w:rPr>
            </w:pPr>
            <w:r>
              <w:rPr>
                <w:noProof/>
              </w:rPr>
              <w:t>Polno delovanje nacionalnega sistema e-javnih naročil</w:t>
            </w:r>
          </w:p>
        </w:tc>
      </w:tr>
      <w:tr w:rsidR="00154E32" w14:paraId="4798EE6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B64714A" w14:textId="77777777" w:rsidR="00154E32" w:rsidRDefault="00A43E04">
            <w:pPr>
              <w:pStyle w:val="P68B1DB1-Normal12"/>
              <w:jc w:val="center"/>
              <w:rPr>
                <w:noProof/>
              </w:rPr>
            </w:pPr>
            <w:r>
              <w:rPr>
                <w:noProof/>
              </w:rPr>
              <w:t>M1C1–84</w:t>
            </w:r>
          </w:p>
        </w:tc>
        <w:tc>
          <w:tcPr>
            <w:tcW w:w="3118" w:type="dxa"/>
            <w:tcBorders>
              <w:top w:val="nil"/>
              <w:left w:val="nil"/>
              <w:bottom w:val="single" w:sz="4" w:space="0" w:color="auto"/>
              <w:right w:val="single" w:sz="4" w:space="0" w:color="auto"/>
            </w:tcBorders>
            <w:shd w:val="clear" w:color="auto" w:fill="C6EFCE"/>
            <w:noWrap/>
            <w:vAlign w:val="center"/>
          </w:tcPr>
          <w:p w14:paraId="275ADC88" w14:textId="77777777" w:rsidR="00154E32" w:rsidRDefault="00A43E04">
            <w:pPr>
              <w:pStyle w:val="P68B1DB1-Normal12"/>
              <w:rPr>
                <w:noProof/>
              </w:rPr>
            </w:pPr>
            <w:r>
              <w:rPr>
                <w:noProof/>
              </w:rPr>
              <w:t>Reforma 1.10: Reforma zakonodajnega okvira za javna naročila</w:t>
            </w:r>
          </w:p>
        </w:tc>
        <w:tc>
          <w:tcPr>
            <w:tcW w:w="1418" w:type="dxa"/>
            <w:tcBorders>
              <w:top w:val="nil"/>
              <w:left w:val="nil"/>
              <w:bottom w:val="single" w:sz="4" w:space="0" w:color="auto"/>
              <w:right w:val="single" w:sz="4" w:space="0" w:color="auto"/>
            </w:tcBorders>
            <w:shd w:val="clear" w:color="auto" w:fill="C6EFCE"/>
            <w:noWrap/>
            <w:vAlign w:val="center"/>
          </w:tcPr>
          <w:p w14:paraId="63CB0D2B" w14:textId="77777777" w:rsidR="00154E32" w:rsidRDefault="00A43E04">
            <w:pPr>
              <w:pStyle w:val="P68B1DB1-Normal12"/>
              <w:rPr>
                <w:noProof/>
              </w:rPr>
            </w:pPr>
            <w:r>
              <w:rPr>
                <w:noProof/>
              </w:rPr>
              <w:t>Tarča</w:t>
            </w:r>
          </w:p>
        </w:tc>
        <w:tc>
          <w:tcPr>
            <w:tcW w:w="3827" w:type="dxa"/>
            <w:tcBorders>
              <w:top w:val="nil"/>
              <w:left w:val="nil"/>
              <w:bottom w:val="single" w:sz="4" w:space="0" w:color="auto"/>
              <w:right w:val="single" w:sz="4" w:space="0" w:color="auto"/>
            </w:tcBorders>
            <w:shd w:val="clear" w:color="auto" w:fill="C6EFCE"/>
            <w:noWrap/>
            <w:vAlign w:val="center"/>
          </w:tcPr>
          <w:p w14:paraId="7FC51A8F" w14:textId="77777777" w:rsidR="00154E32" w:rsidRDefault="00A43E04">
            <w:pPr>
              <w:pStyle w:val="P68B1DB1-Normal12"/>
              <w:rPr>
                <w:noProof/>
              </w:rPr>
            </w:pPr>
            <w:r>
              <w:rPr>
                <w:noProof/>
              </w:rPr>
              <w:t>Povprečni čas med objavo in oddajo naročila</w:t>
            </w:r>
          </w:p>
        </w:tc>
      </w:tr>
      <w:tr w:rsidR="00154E32" w14:paraId="6E889CB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0FE3158" w14:textId="77777777" w:rsidR="00154E32" w:rsidRDefault="00A43E04">
            <w:pPr>
              <w:pStyle w:val="P68B1DB1-Normal12"/>
              <w:jc w:val="center"/>
              <w:rPr>
                <w:noProof/>
              </w:rPr>
            </w:pPr>
            <w:r>
              <w:rPr>
                <w:noProof/>
              </w:rPr>
              <w:t>M1C1–85</w:t>
            </w:r>
          </w:p>
        </w:tc>
        <w:tc>
          <w:tcPr>
            <w:tcW w:w="3118" w:type="dxa"/>
            <w:tcBorders>
              <w:top w:val="nil"/>
              <w:left w:val="nil"/>
              <w:bottom w:val="single" w:sz="4" w:space="0" w:color="auto"/>
              <w:right w:val="single" w:sz="4" w:space="0" w:color="auto"/>
            </w:tcBorders>
            <w:shd w:val="clear" w:color="auto" w:fill="C6EFCE"/>
            <w:noWrap/>
            <w:vAlign w:val="center"/>
          </w:tcPr>
          <w:p w14:paraId="42B7CD97" w14:textId="77777777" w:rsidR="00154E32" w:rsidRDefault="00A43E04">
            <w:pPr>
              <w:pStyle w:val="P68B1DB1-Normal12"/>
              <w:rPr>
                <w:noProof/>
              </w:rPr>
            </w:pPr>
            <w:r>
              <w:rPr>
                <w:noProof/>
              </w:rPr>
              <w:t>Reforma 1.10: Reforma zakonodajnega okvira za javna naročila</w:t>
            </w:r>
          </w:p>
        </w:tc>
        <w:tc>
          <w:tcPr>
            <w:tcW w:w="1418" w:type="dxa"/>
            <w:tcBorders>
              <w:top w:val="nil"/>
              <w:left w:val="nil"/>
              <w:bottom w:val="single" w:sz="4" w:space="0" w:color="auto"/>
              <w:right w:val="single" w:sz="4" w:space="0" w:color="auto"/>
            </w:tcBorders>
            <w:shd w:val="clear" w:color="auto" w:fill="C6EFCE"/>
            <w:noWrap/>
            <w:vAlign w:val="center"/>
          </w:tcPr>
          <w:p w14:paraId="205704C8" w14:textId="77777777" w:rsidR="00154E32" w:rsidRDefault="00A43E04">
            <w:pPr>
              <w:pStyle w:val="P68B1DB1-Normal12"/>
              <w:rPr>
                <w:noProof/>
              </w:rPr>
            </w:pPr>
            <w:r>
              <w:rPr>
                <w:noProof/>
              </w:rPr>
              <w:t>Tarča</w:t>
            </w:r>
          </w:p>
        </w:tc>
        <w:tc>
          <w:tcPr>
            <w:tcW w:w="3827" w:type="dxa"/>
            <w:tcBorders>
              <w:top w:val="nil"/>
              <w:left w:val="nil"/>
              <w:bottom w:val="single" w:sz="4" w:space="0" w:color="auto"/>
              <w:right w:val="single" w:sz="4" w:space="0" w:color="auto"/>
            </w:tcBorders>
            <w:shd w:val="clear" w:color="auto" w:fill="C6EFCE"/>
            <w:noWrap/>
            <w:vAlign w:val="center"/>
          </w:tcPr>
          <w:p w14:paraId="455F27D9" w14:textId="77777777" w:rsidR="00154E32" w:rsidRDefault="00A43E04">
            <w:pPr>
              <w:pStyle w:val="P68B1DB1-Normal12"/>
              <w:rPr>
                <w:noProof/>
              </w:rPr>
            </w:pPr>
            <w:r>
              <w:rPr>
                <w:noProof/>
              </w:rPr>
              <w:t>Povprečni čas med oddajo naročila in izgradnjo infrastrukture</w:t>
            </w:r>
          </w:p>
        </w:tc>
      </w:tr>
      <w:tr w:rsidR="00154E32" w14:paraId="0B3C1B8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9F07C50" w14:textId="77777777" w:rsidR="00154E32" w:rsidRDefault="00A43E04">
            <w:pPr>
              <w:pStyle w:val="P68B1DB1-Normal12"/>
              <w:jc w:val="center"/>
              <w:rPr>
                <w:noProof/>
              </w:rPr>
            </w:pPr>
            <w:r>
              <w:rPr>
                <w:noProof/>
              </w:rPr>
              <w:t>M1C1–86</w:t>
            </w:r>
          </w:p>
        </w:tc>
        <w:tc>
          <w:tcPr>
            <w:tcW w:w="3118" w:type="dxa"/>
            <w:tcBorders>
              <w:top w:val="nil"/>
              <w:left w:val="nil"/>
              <w:bottom w:val="single" w:sz="4" w:space="0" w:color="auto"/>
              <w:right w:val="single" w:sz="4" w:space="0" w:color="auto"/>
            </w:tcBorders>
            <w:shd w:val="clear" w:color="auto" w:fill="C6EFCE"/>
            <w:noWrap/>
            <w:vAlign w:val="center"/>
          </w:tcPr>
          <w:p w14:paraId="69DDB126" w14:textId="77777777" w:rsidR="00154E32" w:rsidRDefault="00A43E04">
            <w:pPr>
              <w:pStyle w:val="P68B1DB1-Normal12"/>
              <w:rPr>
                <w:noProof/>
              </w:rPr>
            </w:pPr>
            <w:r>
              <w:rPr>
                <w:noProof/>
              </w:rPr>
              <w:t>Reforma 1.10: Reforma zakonodajnega okvira za javna naročila</w:t>
            </w:r>
          </w:p>
        </w:tc>
        <w:tc>
          <w:tcPr>
            <w:tcW w:w="1418" w:type="dxa"/>
            <w:tcBorders>
              <w:top w:val="nil"/>
              <w:left w:val="nil"/>
              <w:bottom w:val="single" w:sz="4" w:space="0" w:color="auto"/>
              <w:right w:val="single" w:sz="4" w:space="0" w:color="auto"/>
            </w:tcBorders>
            <w:shd w:val="clear" w:color="auto" w:fill="C6EFCE"/>
            <w:noWrap/>
            <w:vAlign w:val="center"/>
          </w:tcPr>
          <w:p w14:paraId="78E1DF76" w14:textId="77777777" w:rsidR="00154E32" w:rsidRDefault="00A43E04">
            <w:pPr>
              <w:pStyle w:val="P68B1DB1-Normal12"/>
              <w:rPr>
                <w:noProof/>
              </w:rPr>
            </w:pPr>
            <w:r>
              <w:rPr>
                <w:noProof/>
              </w:rPr>
              <w:t>Tarča</w:t>
            </w:r>
          </w:p>
        </w:tc>
        <w:tc>
          <w:tcPr>
            <w:tcW w:w="3827" w:type="dxa"/>
            <w:tcBorders>
              <w:top w:val="nil"/>
              <w:left w:val="nil"/>
              <w:bottom w:val="single" w:sz="4" w:space="0" w:color="auto"/>
              <w:right w:val="single" w:sz="4" w:space="0" w:color="auto"/>
            </w:tcBorders>
            <w:shd w:val="clear" w:color="auto" w:fill="C6EFCE"/>
            <w:noWrap/>
            <w:vAlign w:val="center"/>
          </w:tcPr>
          <w:p w14:paraId="0C4697D9" w14:textId="77777777" w:rsidR="00154E32" w:rsidRDefault="00A43E04">
            <w:pPr>
              <w:pStyle w:val="P68B1DB1-Normal12"/>
              <w:rPr>
                <w:noProof/>
              </w:rPr>
            </w:pPr>
            <w:r>
              <w:rPr>
                <w:noProof/>
              </w:rPr>
              <w:t>Javni uslužbenci, usposobljeni v okviru strategije za profesionalizacijo javnih kupcev</w:t>
            </w:r>
          </w:p>
        </w:tc>
      </w:tr>
      <w:tr w:rsidR="00154E32" w14:paraId="2CCA98D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BF9C126" w14:textId="77777777" w:rsidR="00154E32" w:rsidRDefault="00A43E04">
            <w:pPr>
              <w:pStyle w:val="P68B1DB1-Normal12"/>
              <w:jc w:val="center"/>
              <w:rPr>
                <w:noProof/>
              </w:rPr>
            </w:pPr>
            <w:r>
              <w:rPr>
                <w:noProof/>
              </w:rPr>
              <w:t>M1C1–87</w:t>
            </w:r>
          </w:p>
        </w:tc>
        <w:tc>
          <w:tcPr>
            <w:tcW w:w="3118" w:type="dxa"/>
            <w:tcBorders>
              <w:top w:val="nil"/>
              <w:left w:val="nil"/>
              <w:bottom w:val="single" w:sz="4" w:space="0" w:color="auto"/>
              <w:right w:val="single" w:sz="4" w:space="0" w:color="auto"/>
            </w:tcBorders>
            <w:shd w:val="clear" w:color="auto" w:fill="C6EFCE"/>
            <w:noWrap/>
            <w:vAlign w:val="center"/>
          </w:tcPr>
          <w:p w14:paraId="577388DF" w14:textId="77777777" w:rsidR="00154E32" w:rsidRDefault="00A43E04">
            <w:pPr>
              <w:pStyle w:val="P68B1DB1-Normal12"/>
              <w:rPr>
                <w:noProof/>
              </w:rPr>
            </w:pPr>
            <w:r>
              <w:rPr>
                <w:noProof/>
              </w:rPr>
              <w:t>Reforma 1.10: Reforma zakonodajnega okvira za javna naročila</w:t>
            </w:r>
          </w:p>
        </w:tc>
        <w:tc>
          <w:tcPr>
            <w:tcW w:w="1418" w:type="dxa"/>
            <w:tcBorders>
              <w:top w:val="nil"/>
              <w:left w:val="nil"/>
              <w:bottom w:val="single" w:sz="4" w:space="0" w:color="auto"/>
              <w:right w:val="single" w:sz="4" w:space="0" w:color="auto"/>
            </w:tcBorders>
            <w:shd w:val="clear" w:color="auto" w:fill="C6EFCE"/>
            <w:noWrap/>
            <w:vAlign w:val="center"/>
          </w:tcPr>
          <w:p w14:paraId="0656CA74" w14:textId="77777777" w:rsidR="00154E32" w:rsidRDefault="00A43E04">
            <w:pPr>
              <w:pStyle w:val="P68B1DB1-Normal12"/>
              <w:rPr>
                <w:noProof/>
              </w:rPr>
            </w:pPr>
            <w:r>
              <w:rPr>
                <w:noProof/>
              </w:rPr>
              <w:t>Tarča</w:t>
            </w:r>
          </w:p>
        </w:tc>
        <w:tc>
          <w:tcPr>
            <w:tcW w:w="3827" w:type="dxa"/>
            <w:tcBorders>
              <w:top w:val="nil"/>
              <w:left w:val="nil"/>
              <w:bottom w:val="single" w:sz="4" w:space="0" w:color="auto"/>
              <w:right w:val="single" w:sz="4" w:space="0" w:color="auto"/>
            </w:tcBorders>
            <w:shd w:val="clear" w:color="auto" w:fill="C6EFCE"/>
            <w:noWrap/>
            <w:vAlign w:val="center"/>
          </w:tcPr>
          <w:p w14:paraId="4AA165C8" w14:textId="77777777" w:rsidR="00154E32" w:rsidRDefault="00A43E04">
            <w:pPr>
              <w:pStyle w:val="P68B1DB1-Normal12"/>
              <w:rPr>
                <w:noProof/>
              </w:rPr>
            </w:pPr>
            <w:r>
              <w:rPr>
                <w:noProof/>
              </w:rPr>
              <w:t>Javni naročniki, ki uporabljajo dinamične nabavne sisteme</w:t>
            </w:r>
          </w:p>
        </w:tc>
      </w:tr>
      <w:tr w:rsidR="00154E32" w14:paraId="232045D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356ABF3" w14:textId="77777777" w:rsidR="00154E32" w:rsidRDefault="00A43E04">
            <w:pPr>
              <w:pStyle w:val="P68B1DB1-Normal12"/>
              <w:jc w:val="center"/>
              <w:rPr>
                <w:noProof/>
              </w:rPr>
            </w:pPr>
            <w:r>
              <w:rPr>
                <w:noProof/>
              </w:rPr>
              <w:t>M1C1–110</w:t>
            </w:r>
          </w:p>
        </w:tc>
        <w:tc>
          <w:tcPr>
            <w:tcW w:w="3118" w:type="dxa"/>
            <w:tcBorders>
              <w:top w:val="nil"/>
              <w:left w:val="nil"/>
              <w:bottom w:val="single" w:sz="4" w:space="0" w:color="auto"/>
              <w:right w:val="single" w:sz="4" w:space="0" w:color="auto"/>
            </w:tcBorders>
            <w:shd w:val="clear" w:color="auto" w:fill="C6EFCE"/>
            <w:noWrap/>
            <w:vAlign w:val="center"/>
          </w:tcPr>
          <w:p w14:paraId="5F0F716D" w14:textId="77777777" w:rsidR="00154E32" w:rsidRDefault="00A43E04">
            <w:pPr>
              <w:pStyle w:val="P68B1DB1-Normal12"/>
              <w:rPr>
                <w:noProof/>
              </w:rPr>
            </w:pPr>
            <w:r>
              <w:rPr>
                <w:noProof/>
              </w:rPr>
              <w:t>Reforma 1.13: Reforma okvira za pregled porabe</w:t>
            </w:r>
          </w:p>
        </w:tc>
        <w:tc>
          <w:tcPr>
            <w:tcW w:w="1418" w:type="dxa"/>
            <w:tcBorders>
              <w:top w:val="nil"/>
              <w:left w:val="nil"/>
              <w:bottom w:val="single" w:sz="4" w:space="0" w:color="auto"/>
              <w:right w:val="single" w:sz="4" w:space="0" w:color="auto"/>
            </w:tcBorders>
            <w:shd w:val="clear" w:color="auto" w:fill="C6EFCE"/>
            <w:noWrap/>
            <w:vAlign w:val="center"/>
          </w:tcPr>
          <w:p w14:paraId="6E7F4F04" w14:textId="77777777" w:rsidR="00154E32" w:rsidRDefault="00A43E04">
            <w:pPr>
              <w:pStyle w:val="P68B1DB1-Normal12"/>
              <w:rPr>
                <w:noProof/>
              </w:rPr>
            </w:pPr>
            <w:r>
              <w:rPr>
                <w:noProof/>
              </w:rPr>
              <w:t>Mejnik</w:t>
            </w:r>
          </w:p>
        </w:tc>
        <w:tc>
          <w:tcPr>
            <w:tcW w:w="3827" w:type="dxa"/>
            <w:tcBorders>
              <w:top w:val="nil"/>
              <w:left w:val="nil"/>
              <w:bottom w:val="single" w:sz="4" w:space="0" w:color="auto"/>
              <w:right w:val="single" w:sz="4" w:space="0" w:color="auto"/>
            </w:tcBorders>
            <w:shd w:val="clear" w:color="auto" w:fill="C6EFCE"/>
            <w:noWrap/>
            <w:vAlign w:val="center"/>
          </w:tcPr>
          <w:p w14:paraId="2507464A" w14:textId="77777777" w:rsidR="00154E32" w:rsidRDefault="00A43E04">
            <w:pPr>
              <w:pStyle w:val="P68B1DB1-Normal12"/>
              <w:rPr>
                <w:noProof/>
              </w:rPr>
            </w:pPr>
            <w:r>
              <w:rPr>
                <w:noProof/>
              </w:rPr>
              <w:t>Prerazvrstitev splošnega državnega proračuna glede na okoljske odhodke in odhodke, ki spodbujajo enakost spolov</w:t>
            </w:r>
          </w:p>
        </w:tc>
      </w:tr>
      <w:tr w:rsidR="00154E32" w14:paraId="1E02BD5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8245BD1" w14:textId="77777777" w:rsidR="00154E32" w:rsidRDefault="00A43E04">
            <w:pPr>
              <w:pStyle w:val="P68B1DB1-Normal12"/>
              <w:jc w:val="center"/>
              <w:rPr>
                <w:noProof/>
              </w:rPr>
            </w:pPr>
            <w:r>
              <w:rPr>
                <w:noProof/>
              </w:rPr>
              <w:t>M1C2–9</w:t>
            </w:r>
          </w:p>
        </w:tc>
        <w:tc>
          <w:tcPr>
            <w:tcW w:w="3118" w:type="dxa"/>
            <w:tcBorders>
              <w:top w:val="nil"/>
              <w:left w:val="nil"/>
              <w:bottom w:val="single" w:sz="4" w:space="0" w:color="auto"/>
              <w:right w:val="single" w:sz="4" w:space="0" w:color="auto"/>
            </w:tcBorders>
            <w:shd w:val="clear" w:color="auto" w:fill="C6EFCE"/>
            <w:noWrap/>
            <w:vAlign w:val="center"/>
          </w:tcPr>
          <w:p w14:paraId="15E32D6E" w14:textId="77777777" w:rsidR="00154E32" w:rsidRDefault="00A43E04">
            <w:pPr>
              <w:pStyle w:val="P68B1DB1-Normal12"/>
              <w:rPr>
                <w:noProof/>
              </w:rPr>
            </w:pPr>
            <w:r>
              <w:rPr>
                <w:noProof/>
              </w:rPr>
              <w:t>Reforma 2: Letna zakonodaja o konkurenci</w:t>
            </w:r>
          </w:p>
        </w:tc>
        <w:tc>
          <w:tcPr>
            <w:tcW w:w="1418" w:type="dxa"/>
            <w:tcBorders>
              <w:top w:val="nil"/>
              <w:left w:val="nil"/>
              <w:bottom w:val="single" w:sz="4" w:space="0" w:color="auto"/>
              <w:right w:val="single" w:sz="4" w:space="0" w:color="auto"/>
            </w:tcBorders>
            <w:shd w:val="clear" w:color="auto" w:fill="C6EFCE"/>
            <w:noWrap/>
            <w:vAlign w:val="center"/>
          </w:tcPr>
          <w:p w14:paraId="475299E5" w14:textId="77777777" w:rsidR="00154E32" w:rsidRDefault="00A43E04">
            <w:pPr>
              <w:pStyle w:val="P68B1DB1-Normal12"/>
              <w:rPr>
                <w:noProof/>
              </w:rPr>
            </w:pPr>
            <w:r>
              <w:rPr>
                <w:noProof/>
              </w:rPr>
              <w:t>Mejnik</w:t>
            </w:r>
          </w:p>
        </w:tc>
        <w:tc>
          <w:tcPr>
            <w:tcW w:w="3827" w:type="dxa"/>
            <w:tcBorders>
              <w:top w:val="nil"/>
              <w:left w:val="nil"/>
              <w:bottom w:val="single" w:sz="4" w:space="0" w:color="auto"/>
              <w:right w:val="single" w:sz="4" w:space="0" w:color="auto"/>
            </w:tcBorders>
            <w:shd w:val="clear" w:color="auto" w:fill="C6EFCE"/>
            <w:noWrap/>
            <w:vAlign w:val="center"/>
          </w:tcPr>
          <w:p w14:paraId="46E6C43A" w14:textId="77777777" w:rsidR="00154E32" w:rsidRDefault="00A43E04">
            <w:pPr>
              <w:pStyle w:val="P68B1DB1-Normal12"/>
              <w:rPr>
                <w:noProof/>
              </w:rPr>
            </w:pPr>
            <w:r>
              <w:rPr>
                <w:noProof/>
              </w:rPr>
              <w:t>Začetek veljavnosti letnega konkurenčnega zakona za leto 2022</w:t>
            </w:r>
          </w:p>
        </w:tc>
      </w:tr>
      <w:tr w:rsidR="00154E32" w14:paraId="251451A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A266508" w14:textId="77777777" w:rsidR="00154E32" w:rsidRDefault="00A43E04">
            <w:pPr>
              <w:pStyle w:val="P68B1DB1-Normal12"/>
              <w:jc w:val="center"/>
              <w:rPr>
                <w:noProof/>
              </w:rPr>
            </w:pPr>
            <w:r>
              <w:rPr>
                <w:noProof/>
              </w:rPr>
              <w:t>M1C2–10</w:t>
            </w:r>
          </w:p>
        </w:tc>
        <w:tc>
          <w:tcPr>
            <w:tcW w:w="3118" w:type="dxa"/>
            <w:tcBorders>
              <w:top w:val="nil"/>
              <w:left w:val="nil"/>
              <w:bottom w:val="single" w:sz="4" w:space="0" w:color="auto"/>
              <w:right w:val="single" w:sz="4" w:space="0" w:color="auto"/>
            </w:tcBorders>
            <w:shd w:val="clear" w:color="auto" w:fill="C6EFCE"/>
            <w:noWrap/>
            <w:vAlign w:val="center"/>
          </w:tcPr>
          <w:p w14:paraId="5DFEC71C" w14:textId="77777777" w:rsidR="00154E32" w:rsidRDefault="00A43E04">
            <w:pPr>
              <w:pStyle w:val="P68B1DB1-Normal12"/>
              <w:rPr>
                <w:noProof/>
              </w:rPr>
            </w:pPr>
            <w:r>
              <w:rPr>
                <w:noProof/>
              </w:rPr>
              <w:t>Reforma 2: Letna zakonodaja o konkurenci</w:t>
            </w:r>
          </w:p>
        </w:tc>
        <w:tc>
          <w:tcPr>
            <w:tcW w:w="1418" w:type="dxa"/>
            <w:tcBorders>
              <w:top w:val="nil"/>
              <w:left w:val="nil"/>
              <w:bottom w:val="single" w:sz="4" w:space="0" w:color="auto"/>
              <w:right w:val="single" w:sz="4" w:space="0" w:color="auto"/>
            </w:tcBorders>
            <w:shd w:val="clear" w:color="auto" w:fill="C6EFCE"/>
            <w:noWrap/>
            <w:vAlign w:val="center"/>
          </w:tcPr>
          <w:p w14:paraId="122969E5" w14:textId="77777777" w:rsidR="00154E32" w:rsidRDefault="00A43E04">
            <w:pPr>
              <w:pStyle w:val="P68B1DB1-Normal12"/>
              <w:rPr>
                <w:noProof/>
              </w:rPr>
            </w:pPr>
            <w:r>
              <w:rPr>
                <w:noProof/>
              </w:rPr>
              <w:t>Mejnik</w:t>
            </w:r>
          </w:p>
        </w:tc>
        <w:tc>
          <w:tcPr>
            <w:tcW w:w="3827" w:type="dxa"/>
            <w:tcBorders>
              <w:top w:val="nil"/>
              <w:left w:val="nil"/>
              <w:bottom w:val="single" w:sz="4" w:space="0" w:color="auto"/>
              <w:right w:val="single" w:sz="4" w:space="0" w:color="auto"/>
            </w:tcBorders>
            <w:shd w:val="clear" w:color="auto" w:fill="C6EFCE"/>
            <w:noWrap/>
            <w:vAlign w:val="center"/>
          </w:tcPr>
          <w:p w14:paraId="59D03F2C" w14:textId="77777777" w:rsidR="00154E32" w:rsidRDefault="00A43E04">
            <w:pPr>
              <w:pStyle w:val="P68B1DB1-Normal12"/>
              <w:rPr>
                <w:noProof/>
              </w:rPr>
            </w:pPr>
            <w:r>
              <w:rPr>
                <w:noProof/>
              </w:rPr>
              <w:t>Začetek veljavnosti vseh izvedbenih ukrepov (po potrebi vključno s sekundarno zakonodajo) za učinkovito izvajanje in uporabo ukrepov, ki izhajajo iz letnega konkurenčnega prava za leto 2022</w:t>
            </w:r>
          </w:p>
        </w:tc>
      </w:tr>
      <w:tr w:rsidR="00154E32" w14:paraId="791C764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78E39C2" w14:textId="77777777" w:rsidR="00154E32" w:rsidRDefault="00A43E04">
            <w:pPr>
              <w:pStyle w:val="P68B1DB1-Normal12"/>
              <w:jc w:val="center"/>
              <w:rPr>
                <w:noProof/>
              </w:rPr>
            </w:pPr>
            <w:r>
              <w:rPr>
                <w:noProof/>
              </w:rPr>
              <w:t>M1C3–7</w:t>
            </w:r>
          </w:p>
        </w:tc>
        <w:tc>
          <w:tcPr>
            <w:tcW w:w="3118" w:type="dxa"/>
            <w:tcBorders>
              <w:top w:val="nil"/>
              <w:left w:val="nil"/>
              <w:bottom w:val="single" w:sz="4" w:space="0" w:color="auto"/>
              <w:right w:val="single" w:sz="4" w:space="0" w:color="auto"/>
            </w:tcBorders>
            <w:shd w:val="clear" w:color="auto" w:fill="C6EFCE"/>
            <w:noWrap/>
            <w:vAlign w:val="center"/>
          </w:tcPr>
          <w:p w14:paraId="464A8E22" w14:textId="77777777" w:rsidR="00154E32" w:rsidRDefault="00A43E04">
            <w:pPr>
              <w:pStyle w:val="P68B1DB1-Normal12"/>
              <w:rPr>
                <w:noProof/>
              </w:rPr>
            </w:pPr>
            <w:r>
              <w:rPr>
                <w:noProof/>
              </w:rPr>
              <w:t>Naložbe – 3.3 Krepitev zmogljivosti kulturnih operaterjev za upravljanje digitalnega in zelenega prehoda.</w:t>
            </w:r>
          </w:p>
        </w:tc>
        <w:tc>
          <w:tcPr>
            <w:tcW w:w="1418" w:type="dxa"/>
            <w:tcBorders>
              <w:top w:val="nil"/>
              <w:left w:val="nil"/>
              <w:bottom w:val="single" w:sz="4" w:space="0" w:color="auto"/>
              <w:right w:val="single" w:sz="4" w:space="0" w:color="auto"/>
            </w:tcBorders>
            <w:shd w:val="clear" w:color="auto" w:fill="C6EFCE"/>
            <w:noWrap/>
            <w:vAlign w:val="center"/>
          </w:tcPr>
          <w:p w14:paraId="353B9335" w14:textId="77777777" w:rsidR="00154E32" w:rsidRDefault="00A43E04">
            <w:pPr>
              <w:pStyle w:val="P68B1DB1-Normal12"/>
              <w:rPr>
                <w:noProof/>
              </w:rPr>
            </w:pPr>
            <w:r>
              <w:rPr>
                <w:noProof/>
              </w:rPr>
              <w:t>Mejnik</w:t>
            </w:r>
          </w:p>
        </w:tc>
        <w:tc>
          <w:tcPr>
            <w:tcW w:w="3827" w:type="dxa"/>
            <w:tcBorders>
              <w:top w:val="nil"/>
              <w:left w:val="nil"/>
              <w:bottom w:val="single" w:sz="4" w:space="0" w:color="auto"/>
              <w:right w:val="single" w:sz="4" w:space="0" w:color="auto"/>
            </w:tcBorders>
            <w:shd w:val="clear" w:color="auto" w:fill="C6EFCE"/>
            <w:noWrap/>
            <w:vAlign w:val="center"/>
          </w:tcPr>
          <w:p w14:paraId="498B1E76" w14:textId="77777777" w:rsidR="00154E32" w:rsidRDefault="00A43E04">
            <w:pPr>
              <w:pStyle w:val="P68B1DB1-Normal12"/>
              <w:rPr>
                <w:noProof/>
              </w:rPr>
            </w:pPr>
            <w:r>
              <w:rPr>
                <w:noProof/>
              </w:rPr>
              <w:t>Oddaja vseh javnih naročil izvajalski organizaciji/upravičencem za vse ukrepe za upravljanje digitalnega in zelenega prehoda kulturnih izvajalcev</w:t>
            </w:r>
          </w:p>
        </w:tc>
      </w:tr>
      <w:tr w:rsidR="00154E32" w14:paraId="25A6146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3F23A5D" w14:textId="77777777" w:rsidR="00154E32" w:rsidRDefault="00A43E04">
            <w:pPr>
              <w:pStyle w:val="P68B1DB1-Normal12"/>
              <w:jc w:val="center"/>
              <w:rPr>
                <w:noProof/>
              </w:rPr>
            </w:pPr>
            <w:r>
              <w:rPr>
                <w:noProof/>
              </w:rPr>
              <w:t>M2C1–5</w:t>
            </w:r>
          </w:p>
        </w:tc>
        <w:tc>
          <w:tcPr>
            <w:tcW w:w="3118" w:type="dxa"/>
            <w:tcBorders>
              <w:top w:val="nil"/>
              <w:left w:val="nil"/>
              <w:bottom w:val="single" w:sz="4" w:space="0" w:color="auto"/>
              <w:right w:val="single" w:sz="4" w:space="0" w:color="auto"/>
            </w:tcBorders>
            <w:shd w:val="clear" w:color="auto" w:fill="C6EFCE"/>
            <w:noWrap/>
            <w:vAlign w:val="center"/>
          </w:tcPr>
          <w:p w14:paraId="0EB5E106" w14:textId="77777777" w:rsidR="00154E32" w:rsidRDefault="00A43E04">
            <w:pPr>
              <w:pStyle w:val="P68B1DB1-Normal12"/>
              <w:rPr>
                <w:noProof/>
              </w:rPr>
            </w:pPr>
            <w:r>
              <w:rPr>
                <w:noProof/>
              </w:rPr>
              <w:t>Naložba 2.2: Kmetijsko-sonalni park</w:t>
            </w:r>
          </w:p>
        </w:tc>
        <w:tc>
          <w:tcPr>
            <w:tcW w:w="1418" w:type="dxa"/>
            <w:tcBorders>
              <w:top w:val="nil"/>
              <w:left w:val="nil"/>
              <w:bottom w:val="single" w:sz="4" w:space="0" w:color="auto"/>
              <w:right w:val="single" w:sz="4" w:space="0" w:color="auto"/>
            </w:tcBorders>
            <w:shd w:val="clear" w:color="auto" w:fill="C6EFCE"/>
            <w:noWrap/>
            <w:vAlign w:val="center"/>
          </w:tcPr>
          <w:p w14:paraId="7286517C" w14:textId="77777777" w:rsidR="00154E32" w:rsidRDefault="00A43E04">
            <w:pPr>
              <w:pStyle w:val="P68B1DB1-Normal12"/>
              <w:rPr>
                <w:noProof/>
              </w:rPr>
            </w:pPr>
            <w:r>
              <w:rPr>
                <w:noProof/>
              </w:rPr>
              <w:t>Tarča</w:t>
            </w:r>
          </w:p>
        </w:tc>
        <w:tc>
          <w:tcPr>
            <w:tcW w:w="3827" w:type="dxa"/>
            <w:tcBorders>
              <w:top w:val="nil"/>
              <w:left w:val="nil"/>
              <w:bottom w:val="single" w:sz="4" w:space="0" w:color="auto"/>
              <w:right w:val="single" w:sz="4" w:space="0" w:color="auto"/>
            </w:tcBorders>
            <w:shd w:val="clear" w:color="auto" w:fill="C6EFCE"/>
            <w:noWrap/>
            <w:vAlign w:val="center"/>
          </w:tcPr>
          <w:p w14:paraId="25F0E5A1" w14:textId="77777777" w:rsidR="00154E32" w:rsidRDefault="00A43E04">
            <w:pPr>
              <w:pStyle w:val="P68B1DB1-Normal12"/>
              <w:rPr>
                <w:noProof/>
              </w:rPr>
            </w:pPr>
            <w:r>
              <w:rPr>
                <w:noProof/>
              </w:rPr>
              <w:t>Dodelitev sredstev upravičencem kot % skupnih finančnih sredstev, dodeljenih za naložbo</w:t>
            </w:r>
          </w:p>
        </w:tc>
      </w:tr>
      <w:tr w:rsidR="00154E32" w14:paraId="6B26324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F696EC2" w14:textId="77777777" w:rsidR="00154E32" w:rsidRDefault="00A43E04">
            <w:pPr>
              <w:pStyle w:val="P68B1DB1-Normal12"/>
              <w:jc w:val="center"/>
              <w:rPr>
                <w:noProof/>
              </w:rPr>
            </w:pPr>
            <w:r>
              <w:rPr>
                <w:noProof/>
              </w:rPr>
              <w:t>M2C2–22</w:t>
            </w:r>
          </w:p>
        </w:tc>
        <w:tc>
          <w:tcPr>
            <w:tcW w:w="3118" w:type="dxa"/>
            <w:tcBorders>
              <w:top w:val="nil"/>
              <w:left w:val="nil"/>
              <w:bottom w:val="single" w:sz="4" w:space="0" w:color="auto"/>
              <w:right w:val="single" w:sz="4" w:space="0" w:color="auto"/>
            </w:tcBorders>
            <w:shd w:val="clear" w:color="auto" w:fill="C6EFCE"/>
            <w:noWrap/>
            <w:vAlign w:val="center"/>
          </w:tcPr>
          <w:p w14:paraId="3ACB0349" w14:textId="77777777" w:rsidR="00154E32" w:rsidRDefault="00A43E04">
            <w:pPr>
              <w:pStyle w:val="P68B1DB1-Normal12"/>
              <w:rPr>
                <w:noProof/>
              </w:rPr>
            </w:pPr>
            <w:r>
              <w:rPr>
                <w:noProof/>
              </w:rPr>
              <w:t>Naložba 4.1 Naložbe v mehko mobilnost (nacionalni načrt kolesarske poti)</w:t>
            </w:r>
          </w:p>
        </w:tc>
        <w:tc>
          <w:tcPr>
            <w:tcW w:w="1418" w:type="dxa"/>
            <w:tcBorders>
              <w:top w:val="nil"/>
              <w:left w:val="nil"/>
              <w:bottom w:val="single" w:sz="4" w:space="0" w:color="auto"/>
              <w:right w:val="single" w:sz="4" w:space="0" w:color="auto"/>
            </w:tcBorders>
            <w:shd w:val="clear" w:color="auto" w:fill="C6EFCE"/>
            <w:noWrap/>
            <w:vAlign w:val="center"/>
          </w:tcPr>
          <w:p w14:paraId="1949D646" w14:textId="77777777" w:rsidR="00154E32" w:rsidRDefault="00A43E04">
            <w:pPr>
              <w:pStyle w:val="P68B1DB1-Normal12"/>
              <w:rPr>
                <w:noProof/>
              </w:rPr>
            </w:pPr>
            <w:r>
              <w:rPr>
                <w:noProof/>
              </w:rPr>
              <w:t>Ciljni:</w:t>
            </w:r>
          </w:p>
        </w:tc>
        <w:tc>
          <w:tcPr>
            <w:tcW w:w="3827" w:type="dxa"/>
            <w:tcBorders>
              <w:top w:val="nil"/>
              <w:left w:val="nil"/>
              <w:bottom w:val="single" w:sz="4" w:space="0" w:color="auto"/>
              <w:right w:val="single" w:sz="4" w:space="0" w:color="auto"/>
            </w:tcBorders>
            <w:shd w:val="clear" w:color="auto" w:fill="C6EFCE"/>
            <w:noWrap/>
            <w:vAlign w:val="center"/>
          </w:tcPr>
          <w:p w14:paraId="40ADEB3C" w14:textId="77777777" w:rsidR="00154E32" w:rsidRDefault="00A43E04">
            <w:pPr>
              <w:pStyle w:val="P68B1DB1-Normal12"/>
              <w:rPr>
                <w:noProof/>
              </w:rPr>
            </w:pPr>
            <w:r>
              <w:rPr>
                <w:noProof/>
              </w:rPr>
              <w:t>Kolesarske steze T1</w:t>
            </w:r>
          </w:p>
        </w:tc>
      </w:tr>
      <w:tr w:rsidR="00154E32" w14:paraId="3E7B155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3642464" w14:textId="77777777" w:rsidR="00154E32" w:rsidRDefault="00A43E04">
            <w:pPr>
              <w:pStyle w:val="P68B1DB1-Normal12"/>
              <w:jc w:val="center"/>
              <w:rPr>
                <w:noProof/>
              </w:rPr>
            </w:pPr>
            <w:r>
              <w:rPr>
                <w:noProof/>
              </w:rPr>
              <w:t>M2C2–24</w:t>
            </w:r>
          </w:p>
        </w:tc>
        <w:tc>
          <w:tcPr>
            <w:tcW w:w="3118" w:type="dxa"/>
            <w:tcBorders>
              <w:top w:val="nil"/>
              <w:left w:val="nil"/>
              <w:bottom w:val="single" w:sz="4" w:space="0" w:color="auto"/>
              <w:right w:val="single" w:sz="4" w:space="0" w:color="auto"/>
            </w:tcBorders>
            <w:shd w:val="clear" w:color="auto" w:fill="C6EFCE"/>
            <w:noWrap/>
            <w:vAlign w:val="center"/>
          </w:tcPr>
          <w:p w14:paraId="23D4CC33" w14:textId="77777777" w:rsidR="00154E32" w:rsidRDefault="00A43E04">
            <w:pPr>
              <w:pStyle w:val="P68B1DB1-Normal12"/>
              <w:rPr>
                <w:noProof/>
              </w:rPr>
            </w:pPr>
            <w:r>
              <w:rPr>
                <w:noProof/>
              </w:rPr>
              <w:t>Naložba 4.2 Razvoj sistemov hitrega množičnega prevoza (metro, ulična motorna vozila, BRT)</w:t>
            </w:r>
          </w:p>
        </w:tc>
        <w:tc>
          <w:tcPr>
            <w:tcW w:w="1418" w:type="dxa"/>
            <w:tcBorders>
              <w:top w:val="nil"/>
              <w:left w:val="nil"/>
              <w:bottom w:val="single" w:sz="4" w:space="0" w:color="auto"/>
              <w:right w:val="single" w:sz="4" w:space="0" w:color="auto"/>
            </w:tcBorders>
            <w:shd w:val="clear" w:color="auto" w:fill="C6EFCE"/>
            <w:noWrap/>
            <w:vAlign w:val="center"/>
          </w:tcPr>
          <w:p w14:paraId="35AA7906" w14:textId="77777777" w:rsidR="00154E32" w:rsidRDefault="00A43E04">
            <w:pPr>
              <w:pStyle w:val="P68B1DB1-Normal12"/>
              <w:rPr>
                <w:noProof/>
              </w:rPr>
            </w:pPr>
            <w:r>
              <w:rPr>
                <w:noProof/>
              </w:rPr>
              <w:t>Mejnik</w:t>
            </w:r>
          </w:p>
        </w:tc>
        <w:tc>
          <w:tcPr>
            <w:tcW w:w="3827" w:type="dxa"/>
            <w:tcBorders>
              <w:top w:val="nil"/>
              <w:left w:val="nil"/>
              <w:bottom w:val="single" w:sz="4" w:space="0" w:color="auto"/>
              <w:right w:val="single" w:sz="4" w:space="0" w:color="auto"/>
            </w:tcBorders>
            <w:shd w:val="clear" w:color="auto" w:fill="C6EFCE"/>
            <w:noWrap/>
            <w:vAlign w:val="center"/>
          </w:tcPr>
          <w:p w14:paraId="67F1B35E" w14:textId="77777777" w:rsidR="00154E32" w:rsidRDefault="00A43E04">
            <w:pPr>
              <w:rPr>
                <w:noProof/>
                <w:color w:val="006100"/>
                <w:sz w:val="20"/>
              </w:rPr>
            </w:pPr>
            <w:r>
              <w:rPr>
                <w:noProof/>
                <w:color w:val="006100"/>
                <w:sz w:val="20"/>
              </w:rPr>
              <w:t>Oddaja</w:t>
            </w:r>
            <w:r>
              <w:rPr>
                <w:rStyle w:val="font71"/>
                <w:rFonts w:eastAsiaTheme="majorEastAsia"/>
                <w:noProof/>
              </w:rPr>
              <w:t xml:space="preserve"> </w:t>
            </w:r>
            <w:r>
              <w:rPr>
                <w:rStyle w:val="font81"/>
                <w:rFonts w:eastAsiaTheme="majorEastAsia"/>
                <w:noProof/>
              </w:rPr>
              <w:t>vseh javnih naročil za izgradnjo metropolitanskih območij podzemne železnice, tramvajev, trolejbusov in</w:t>
            </w:r>
            <w:r>
              <w:rPr>
                <w:noProof/>
                <w:color w:val="006100"/>
                <w:sz w:val="20"/>
              </w:rPr>
              <w:t>žičnic</w:t>
            </w:r>
          </w:p>
        </w:tc>
      </w:tr>
      <w:tr w:rsidR="00154E32" w14:paraId="2952425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2EE4535" w14:textId="77777777" w:rsidR="00154E32" w:rsidRDefault="00A43E04">
            <w:pPr>
              <w:pStyle w:val="P68B1DB1-Normal12"/>
              <w:jc w:val="center"/>
              <w:rPr>
                <w:noProof/>
              </w:rPr>
            </w:pPr>
            <w:r>
              <w:rPr>
                <w:noProof/>
              </w:rPr>
              <w:t>M4C1–10</w:t>
            </w:r>
          </w:p>
        </w:tc>
        <w:tc>
          <w:tcPr>
            <w:tcW w:w="3118" w:type="dxa"/>
            <w:tcBorders>
              <w:top w:val="nil"/>
              <w:left w:val="nil"/>
              <w:bottom w:val="single" w:sz="4" w:space="0" w:color="auto"/>
              <w:right w:val="single" w:sz="4" w:space="0" w:color="auto"/>
            </w:tcBorders>
            <w:shd w:val="clear" w:color="auto" w:fill="C6EFCE"/>
            <w:noWrap/>
            <w:vAlign w:val="center"/>
          </w:tcPr>
          <w:p w14:paraId="59E1C83C" w14:textId="77777777" w:rsidR="00154E32" w:rsidRDefault="00A43E04">
            <w:pPr>
              <w:pStyle w:val="P68B1DB1-Normal12"/>
              <w:rPr>
                <w:noProof/>
              </w:rPr>
            </w:pPr>
            <w:r>
              <w:rPr>
                <w:noProof/>
              </w:rPr>
              <w:t>Reforma 2.1: Zaposlovanje učiteljev; Reforma 1.3: Reorganizacija šolskega sistema; Reforma 1.2: Reforma sistema terciarnega poklicnega usposabljanja (ITS); Reforma 1.4: Reforma „usmeritvenega“ sistema; Reforma 1.5: Reforma skupin univerzitetnih diplom; Reforma 1.6: Omogočanje reforme univerzitetnih diplom</w:t>
            </w:r>
          </w:p>
        </w:tc>
        <w:tc>
          <w:tcPr>
            <w:tcW w:w="1418" w:type="dxa"/>
            <w:tcBorders>
              <w:top w:val="nil"/>
              <w:left w:val="nil"/>
              <w:bottom w:val="single" w:sz="4" w:space="0" w:color="auto"/>
              <w:right w:val="single" w:sz="4" w:space="0" w:color="auto"/>
            </w:tcBorders>
            <w:shd w:val="clear" w:color="auto" w:fill="C6EFCE"/>
            <w:noWrap/>
            <w:vAlign w:val="center"/>
          </w:tcPr>
          <w:p w14:paraId="45CB98A9" w14:textId="77777777" w:rsidR="00154E32" w:rsidRDefault="00A43E04">
            <w:pPr>
              <w:pStyle w:val="P68B1DB1-Normal12"/>
              <w:rPr>
                <w:noProof/>
              </w:rPr>
            </w:pPr>
            <w:r>
              <w:rPr>
                <w:noProof/>
              </w:rPr>
              <w:t>Mejnik</w:t>
            </w:r>
          </w:p>
        </w:tc>
        <w:tc>
          <w:tcPr>
            <w:tcW w:w="3827" w:type="dxa"/>
            <w:tcBorders>
              <w:top w:val="nil"/>
              <w:left w:val="nil"/>
              <w:bottom w:val="single" w:sz="4" w:space="0" w:color="auto"/>
              <w:right w:val="single" w:sz="4" w:space="0" w:color="auto"/>
            </w:tcBorders>
            <w:shd w:val="clear" w:color="auto" w:fill="C6EFCE"/>
            <w:noWrap/>
            <w:vAlign w:val="center"/>
          </w:tcPr>
          <w:p w14:paraId="2EAC76B1" w14:textId="77777777" w:rsidR="00154E32" w:rsidRDefault="00A43E04">
            <w:pPr>
              <w:pStyle w:val="P68B1DB1-Normal12"/>
              <w:rPr>
                <w:noProof/>
              </w:rPr>
            </w:pPr>
            <w:r>
              <w:rPr>
                <w:noProof/>
              </w:rPr>
              <w:t>Začetek veljavnosti predpisov za učinkovito izvajanje in uporabo vseh ukrepov v zvezi z reformami osnovnošolskega, srednješolskega in terciarnega izobraževanja, kjer je to potrebno</w:t>
            </w:r>
          </w:p>
        </w:tc>
      </w:tr>
      <w:tr w:rsidR="00154E32" w14:paraId="3AF88F1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3C7B582" w14:textId="77777777" w:rsidR="00154E32" w:rsidRDefault="00A43E04">
            <w:pPr>
              <w:pStyle w:val="P68B1DB1-Normal12"/>
              <w:jc w:val="center"/>
              <w:rPr>
                <w:noProof/>
              </w:rPr>
            </w:pPr>
            <w:r>
              <w:rPr>
                <w:noProof/>
              </w:rPr>
              <w:t>M4C1–11</w:t>
            </w:r>
          </w:p>
        </w:tc>
        <w:tc>
          <w:tcPr>
            <w:tcW w:w="3118" w:type="dxa"/>
            <w:tcBorders>
              <w:top w:val="nil"/>
              <w:left w:val="nil"/>
              <w:bottom w:val="single" w:sz="4" w:space="0" w:color="auto"/>
              <w:right w:val="single" w:sz="4" w:space="0" w:color="auto"/>
            </w:tcBorders>
            <w:shd w:val="clear" w:color="auto" w:fill="C6EFCE"/>
            <w:noWrap/>
            <w:vAlign w:val="center"/>
          </w:tcPr>
          <w:p w14:paraId="2F8B1505" w14:textId="77777777" w:rsidR="00154E32" w:rsidRDefault="00A43E04">
            <w:pPr>
              <w:pStyle w:val="P68B1DB1-Normal12"/>
              <w:rPr>
                <w:noProof/>
              </w:rPr>
            </w:pPr>
            <w:r>
              <w:rPr>
                <w:noProof/>
              </w:rPr>
              <w:t>Naložba 1.7: Štipendije za dostop do univerz</w:t>
            </w:r>
          </w:p>
        </w:tc>
        <w:tc>
          <w:tcPr>
            <w:tcW w:w="1418" w:type="dxa"/>
            <w:tcBorders>
              <w:top w:val="nil"/>
              <w:left w:val="nil"/>
              <w:bottom w:val="single" w:sz="4" w:space="0" w:color="auto"/>
              <w:right w:val="single" w:sz="4" w:space="0" w:color="auto"/>
            </w:tcBorders>
            <w:shd w:val="clear" w:color="auto" w:fill="C6EFCE"/>
            <w:noWrap/>
            <w:vAlign w:val="center"/>
          </w:tcPr>
          <w:p w14:paraId="05B21DA9" w14:textId="77777777" w:rsidR="00154E32" w:rsidRDefault="00A43E04">
            <w:pPr>
              <w:pStyle w:val="P68B1DB1-Normal12"/>
              <w:rPr>
                <w:noProof/>
              </w:rPr>
            </w:pPr>
            <w:r>
              <w:rPr>
                <w:noProof/>
              </w:rPr>
              <w:t>Tarča</w:t>
            </w:r>
          </w:p>
        </w:tc>
        <w:tc>
          <w:tcPr>
            <w:tcW w:w="3827" w:type="dxa"/>
            <w:tcBorders>
              <w:top w:val="nil"/>
              <w:left w:val="nil"/>
              <w:bottom w:val="single" w:sz="4" w:space="0" w:color="auto"/>
              <w:right w:val="single" w:sz="4" w:space="0" w:color="auto"/>
            </w:tcBorders>
            <w:shd w:val="clear" w:color="auto" w:fill="C6EFCE"/>
            <w:noWrap/>
            <w:vAlign w:val="center"/>
          </w:tcPr>
          <w:p w14:paraId="1D28A2C1" w14:textId="77777777" w:rsidR="00154E32" w:rsidRDefault="00A43E04">
            <w:pPr>
              <w:pStyle w:val="P68B1DB1-Normal12"/>
              <w:rPr>
                <w:noProof/>
              </w:rPr>
            </w:pPr>
            <w:r>
              <w:rPr>
                <w:noProof/>
              </w:rPr>
              <w:t>Univerzitetna štipendija</w:t>
            </w:r>
          </w:p>
        </w:tc>
      </w:tr>
      <w:tr w:rsidR="00154E32" w14:paraId="14F66BF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C966269" w14:textId="77777777" w:rsidR="00154E32" w:rsidRDefault="00A43E04">
            <w:pPr>
              <w:pStyle w:val="P68B1DB1-Normal12"/>
              <w:jc w:val="center"/>
              <w:rPr>
                <w:noProof/>
              </w:rPr>
            </w:pPr>
            <w:r>
              <w:rPr>
                <w:noProof/>
              </w:rPr>
              <w:t>M5C3–3</w:t>
            </w:r>
          </w:p>
        </w:tc>
        <w:tc>
          <w:tcPr>
            <w:tcW w:w="3118" w:type="dxa"/>
            <w:tcBorders>
              <w:top w:val="nil"/>
              <w:left w:val="nil"/>
              <w:bottom w:val="single" w:sz="4" w:space="0" w:color="auto"/>
              <w:right w:val="single" w:sz="4" w:space="0" w:color="auto"/>
            </w:tcBorders>
            <w:shd w:val="clear" w:color="auto" w:fill="C6EFCE"/>
            <w:noWrap/>
            <w:vAlign w:val="center"/>
          </w:tcPr>
          <w:p w14:paraId="604A360D" w14:textId="77777777" w:rsidR="00154E32" w:rsidRDefault="00A43E04">
            <w:pPr>
              <w:pStyle w:val="P68B1DB1-Normal12"/>
              <w:rPr>
                <w:noProof/>
              </w:rPr>
            </w:pPr>
            <w:r>
              <w:rPr>
                <w:noProof/>
              </w:rPr>
              <w:t>Naložba 2: Teritorialna bližina zdravstvenih ustanov</w:t>
            </w:r>
          </w:p>
        </w:tc>
        <w:tc>
          <w:tcPr>
            <w:tcW w:w="1418" w:type="dxa"/>
            <w:tcBorders>
              <w:top w:val="nil"/>
              <w:left w:val="nil"/>
              <w:bottom w:val="single" w:sz="4" w:space="0" w:color="auto"/>
              <w:right w:val="single" w:sz="4" w:space="0" w:color="auto"/>
            </w:tcBorders>
            <w:shd w:val="clear" w:color="auto" w:fill="C6EFCE"/>
            <w:noWrap/>
            <w:vAlign w:val="center"/>
          </w:tcPr>
          <w:p w14:paraId="1A087DBF" w14:textId="77777777" w:rsidR="00154E32" w:rsidRDefault="00A43E04">
            <w:pPr>
              <w:pStyle w:val="P68B1DB1-Normal12"/>
              <w:rPr>
                <w:noProof/>
              </w:rPr>
            </w:pPr>
            <w:r>
              <w:rPr>
                <w:noProof/>
              </w:rPr>
              <w:t>Tarča</w:t>
            </w:r>
          </w:p>
        </w:tc>
        <w:tc>
          <w:tcPr>
            <w:tcW w:w="3827" w:type="dxa"/>
            <w:tcBorders>
              <w:top w:val="nil"/>
              <w:left w:val="nil"/>
              <w:bottom w:val="single" w:sz="4" w:space="0" w:color="auto"/>
              <w:right w:val="single" w:sz="4" w:space="0" w:color="auto"/>
            </w:tcBorders>
            <w:shd w:val="clear" w:color="auto" w:fill="C6EFCE"/>
            <w:noWrap/>
            <w:vAlign w:val="center"/>
          </w:tcPr>
          <w:p w14:paraId="52CCC6E0" w14:textId="77777777" w:rsidR="00154E32" w:rsidRDefault="00A43E04">
            <w:pPr>
              <w:pStyle w:val="P68B1DB1-Normal12"/>
              <w:rPr>
                <w:noProof/>
              </w:rPr>
            </w:pPr>
            <w:r>
              <w:rPr>
                <w:noProof/>
              </w:rPr>
              <w:t>Podpora podeželskim lekarnam v občinah, zaselkih ali naseljih z manj kot 5000 prebivalci (prva serija)</w:t>
            </w:r>
          </w:p>
        </w:tc>
      </w:tr>
      <w:tr w:rsidR="00154E32" w14:paraId="7D360745"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4C980452" w14:textId="77777777" w:rsidR="00154E32" w:rsidRDefault="00154E32">
            <w:pPr>
              <w:jc w:val="center"/>
              <w:rPr>
                <w:noProof/>
                <w:color w:val="006100"/>
                <w:sz w:val="20"/>
              </w:rPr>
            </w:pPr>
          </w:p>
        </w:tc>
        <w:tc>
          <w:tcPr>
            <w:tcW w:w="3118" w:type="dxa"/>
            <w:tcBorders>
              <w:top w:val="single" w:sz="4" w:space="0" w:color="auto"/>
              <w:left w:val="nil"/>
              <w:bottom w:val="single" w:sz="4" w:space="0" w:color="auto"/>
              <w:right w:val="single" w:sz="4" w:space="0" w:color="auto"/>
            </w:tcBorders>
            <w:shd w:val="clear" w:color="auto" w:fill="C6EFCE"/>
            <w:noWrap/>
            <w:vAlign w:val="bottom"/>
          </w:tcPr>
          <w:p w14:paraId="7EEA9CB8" w14:textId="77777777" w:rsidR="00154E32" w:rsidRDefault="00154E32">
            <w:pPr>
              <w:rPr>
                <w:noProof/>
                <w:color w:val="006100"/>
                <w:sz w:val="20"/>
              </w:rPr>
            </w:pPr>
          </w:p>
        </w:tc>
        <w:tc>
          <w:tcPr>
            <w:tcW w:w="1418" w:type="dxa"/>
            <w:tcBorders>
              <w:top w:val="single" w:sz="4" w:space="0" w:color="auto"/>
              <w:left w:val="nil"/>
              <w:bottom w:val="single" w:sz="4" w:space="0" w:color="auto"/>
              <w:right w:val="single" w:sz="4" w:space="0" w:color="auto"/>
            </w:tcBorders>
            <w:shd w:val="clear" w:color="auto" w:fill="C6EFCE"/>
            <w:noWrap/>
            <w:vAlign w:val="bottom"/>
          </w:tcPr>
          <w:p w14:paraId="098B445F" w14:textId="77777777" w:rsidR="00154E32" w:rsidRDefault="00A43E04">
            <w:pPr>
              <w:pStyle w:val="P68B1DB1-Normal12"/>
              <w:rPr>
                <w:noProof/>
              </w:rPr>
            </w:pPr>
            <w:r>
              <w:rPr>
                <w:noProof/>
              </w:rPr>
              <w:t>Znesek obroka</w:t>
            </w:r>
          </w:p>
        </w:tc>
        <w:tc>
          <w:tcPr>
            <w:tcW w:w="3827" w:type="dxa"/>
            <w:tcBorders>
              <w:top w:val="single" w:sz="4" w:space="0" w:color="auto"/>
              <w:left w:val="nil"/>
              <w:bottom w:val="single" w:sz="4" w:space="0" w:color="auto"/>
              <w:right w:val="single" w:sz="4" w:space="0" w:color="auto"/>
            </w:tcBorders>
            <w:shd w:val="clear" w:color="auto" w:fill="C6EFCE"/>
            <w:noWrap/>
            <w:vAlign w:val="bottom"/>
          </w:tcPr>
          <w:p w14:paraId="3ECA9800" w14:textId="23798D5E" w:rsidR="00154E32" w:rsidRDefault="00A43E04">
            <w:pPr>
              <w:pStyle w:val="P68B1DB1-Normal46"/>
              <w:rPr>
                <w:noProof/>
              </w:rPr>
            </w:pPr>
            <w:r>
              <w:rPr>
                <w:noProof/>
              </w:rPr>
              <w:t>3</w:t>
            </w:r>
            <w:r>
              <w:rPr>
                <w:noProof/>
              </w:rPr>
              <w:t> </w:t>
            </w:r>
            <w:r>
              <w:rPr>
                <w:noProof/>
              </w:rPr>
              <w:t>548</w:t>
            </w:r>
            <w:r>
              <w:rPr>
                <w:noProof/>
              </w:rPr>
              <w:t> </w:t>
            </w:r>
            <w:r>
              <w:rPr>
                <w:noProof/>
              </w:rPr>
              <w:t>098</w:t>
            </w:r>
            <w:r>
              <w:rPr>
                <w:noProof/>
              </w:rPr>
              <w:t> </w:t>
            </w:r>
            <w:r>
              <w:rPr>
                <w:noProof/>
              </w:rPr>
              <w:t>403</w:t>
            </w:r>
            <w:r>
              <w:rPr>
                <w:noProof/>
              </w:rPr>
              <w:t> </w:t>
            </w:r>
            <w:r>
              <w:rPr>
                <w:noProof/>
              </w:rPr>
              <w:t>EUR</w:t>
            </w:r>
          </w:p>
        </w:tc>
      </w:tr>
    </w:tbl>
    <w:p w14:paraId="5577A5CB" w14:textId="7CADF277" w:rsidR="00154E32" w:rsidRDefault="00A43E04">
      <w:pPr>
        <w:pStyle w:val="P68B1DB1-Normal44"/>
        <w:numPr>
          <w:ilvl w:val="1"/>
          <w:numId w:val="6"/>
        </w:numPr>
        <w:spacing w:before="120" w:after="120"/>
        <w:jc w:val="both"/>
        <w:rPr>
          <w:noProof/>
        </w:rPr>
      </w:pPr>
      <w:r>
        <w:rPr>
          <w:noProof/>
        </w:rPr>
        <w:t>Šesta namestitev (nepovratna podpora):</w:t>
      </w:r>
    </w:p>
    <w:tbl>
      <w:tblPr>
        <w:tblW w:w="9998" w:type="dxa"/>
        <w:tblInd w:w="113" w:type="dxa"/>
        <w:tblLook w:val="04A0" w:firstRow="1" w:lastRow="0" w:firstColumn="1" w:lastColumn="0" w:noHBand="0" w:noVBand="1"/>
      </w:tblPr>
      <w:tblGrid>
        <w:gridCol w:w="1413"/>
        <w:gridCol w:w="3118"/>
        <w:gridCol w:w="1418"/>
        <w:gridCol w:w="4049"/>
      </w:tblGrid>
      <w:tr w:rsidR="00154E32" w14:paraId="0CAAA921" w14:textId="77777777">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BFC4CF0" w14:textId="77777777" w:rsidR="00154E32" w:rsidRDefault="00A43E04">
            <w:pPr>
              <w:pStyle w:val="P68B1DB1-Normal45"/>
              <w:jc w:val="center"/>
              <w:rPr>
                <w:noProof/>
              </w:rPr>
            </w:pPr>
            <w:r>
              <w:rPr>
                <w:noProof/>
              </w:rPr>
              <w:t>Zaporedna številka</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920805B" w14:textId="77777777" w:rsidR="00154E32" w:rsidRDefault="00A43E04">
            <w:pPr>
              <w:pStyle w:val="P68B1DB1-Normal45"/>
              <w:jc w:val="center"/>
              <w:rPr>
                <w:noProof/>
              </w:rPr>
            </w:pPr>
            <w:r>
              <w:rPr>
                <w:noProof/>
              </w:rPr>
              <w:t>Povezani ukrep (reforma ali naložba)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EE915D9" w14:textId="77777777" w:rsidR="00154E32" w:rsidRDefault="00A43E04">
            <w:pPr>
              <w:pStyle w:val="P68B1DB1-Normal45"/>
              <w:jc w:val="center"/>
              <w:rPr>
                <w:noProof/>
              </w:rPr>
            </w:pPr>
            <w:r>
              <w:rPr>
                <w:noProof/>
              </w:rPr>
              <w:t>Mejnik/cilj</w:t>
            </w:r>
          </w:p>
        </w:tc>
        <w:tc>
          <w:tcPr>
            <w:tcW w:w="404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EF80A28" w14:textId="77777777" w:rsidR="00154E32" w:rsidRDefault="00A43E04">
            <w:pPr>
              <w:pStyle w:val="P68B1DB1-Normal45"/>
              <w:jc w:val="center"/>
              <w:rPr>
                <w:noProof/>
              </w:rPr>
            </w:pPr>
            <w:r>
              <w:rPr>
                <w:noProof/>
              </w:rPr>
              <w:t>Ime</w:t>
            </w:r>
          </w:p>
        </w:tc>
      </w:tr>
      <w:tr w:rsidR="00154E32" w14:paraId="1482EFF2" w14:textId="77777777">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A270F90" w14:textId="77777777" w:rsidR="00154E32" w:rsidRDefault="00154E32">
            <w:pPr>
              <w:rPr>
                <w:b/>
                <w:noProof/>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178CC01C" w14:textId="77777777" w:rsidR="00154E32" w:rsidRDefault="00154E32">
            <w:pPr>
              <w:rPr>
                <w:b/>
                <w:noProof/>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DB2BFE0" w14:textId="77777777" w:rsidR="00154E32" w:rsidRDefault="00154E32">
            <w:pPr>
              <w:rPr>
                <w:b/>
                <w:noProof/>
              </w:rPr>
            </w:pPr>
          </w:p>
        </w:tc>
        <w:tc>
          <w:tcPr>
            <w:tcW w:w="4049" w:type="dxa"/>
            <w:vMerge/>
            <w:tcBorders>
              <w:top w:val="single" w:sz="4" w:space="0" w:color="auto"/>
              <w:left w:val="single" w:sz="4" w:space="0" w:color="auto"/>
              <w:bottom w:val="single" w:sz="4" w:space="0" w:color="auto"/>
              <w:right w:val="single" w:sz="4" w:space="0" w:color="auto"/>
            </w:tcBorders>
            <w:vAlign w:val="center"/>
            <w:hideMark/>
          </w:tcPr>
          <w:p w14:paraId="1D77B5B7" w14:textId="77777777" w:rsidR="00154E32" w:rsidRDefault="00154E32">
            <w:pPr>
              <w:rPr>
                <w:b/>
                <w:noProof/>
              </w:rPr>
            </w:pPr>
          </w:p>
        </w:tc>
      </w:tr>
      <w:tr w:rsidR="00154E32" w14:paraId="116AD301"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E3BCECF" w14:textId="77777777" w:rsidR="00154E32" w:rsidRDefault="00A43E04">
            <w:pPr>
              <w:pStyle w:val="P68B1DB1-Normal12"/>
              <w:jc w:val="center"/>
              <w:rPr>
                <w:noProof/>
              </w:rPr>
            </w:pPr>
            <w:r>
              <w:rPr>
                <w:noProof/>
              </w:rPr>
              <w:t>M1C1–14a</w:t>
            </w:r>
          </w:p>
        </w:tc>
        <w:tc>
          <w:tcPr>
            <w:tcW w:w="3118" w:type="dxa"/>
            <w:tcBorders>
              <w:top w:val="single" w:sz="4" w:space="0" w:color="auto"/>
              <w:left w:val="nil"/>
              <w:bottom w:val="single" w:sz="4" w:space="0" w:color="auto"/>
              <w:right w:val="single" w:sz="4" w:space="0" w:color="auto"/>
            </w:tcBorders>
            <w:shd w:val="clear" w:color="auto" w:fill="C6EFCE"/>
            <w:noWrap/>
            <w:vAlign w:val="center"/>
          </w:tcPr>
          <w:p w14:paraId="5779C85E" w14:textId="77777777" w:rsidR="00154E32" w:rsidRDefault="00A43E04">
            <w:pPr>
              <w:pStyle w:val="P68B1DB1-Normal12"/>
              <w:rPr>
                <w:noProof/>
              </w:rPr>
            </w:pPr>
            <w:r>
              <w:rPr>
                <w:noProof/>
              </w:rPr>
              <w:t>Reforma 1.9.1: Reforma za pospešitev izvajanja kohezijske politike</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7608B103" w14:textId="77777777" w:rsidR="00154E32" w:rsidRDefault="00A43E04">
            <w:pPr>
              <w:pStyle w:val="P68B1DB1-Normal12"/>
              <w:rPr>
                <w:noProof/>
              </w:rPr>
            </w:pPr>
            <w:r>
              <w:rPr>
                <w:noProof/>
              </w:rPr>
              <w:t xml:space="preserve">Mejnik </w:t>
            </w:r>
          </w:p>
        </w:tc>
        <w:tc>
          <w:tcPr>
            <w:tcW w:w="4049" w:type="dxa"/>
            <w:tcBorders>
              <w:top w:val="single" w:sz="4" w:space="0" w:color="auto"/>
              <w:left w:val="nil"/>
              <w:bottom w:val="single" w:sz="4" w:space="0" w:color="auto"/>
              <w:right w:val="single" w:sz="4" w:space="0" w:color="auto"/>
            </w:tcBorders>
            <w:shd w:val="clear" w:color="auto" w:fill="C6EFCE"/>
            <w:noWrap/>
            <w:vAlign w:val="center"/>
          </w:tcPr>
          <w:p w14:paraId="467BAB63" w14:textId="77777777" w:rsidR="00154E32" w:rsidRDefault="00A43E04">
            <w:pPr>
              <w:pStyle w:val="P68B1DB1-Normal12"/>
              <w:rPr>
                <w:noProof/>
              </w:rPr>
            </w:pPr>
            <w:r>
              <w:rPr>
                <w:noProof/>
              </w:rPr>
              <w:t>Začetek veljavnosti nacionalne zakonodaje za pospešitev izvajanja kohezijske politike</w:t>
            </w:r>
          </w:p>
        </w:tc>
      </w:tr>
      <w:tr w:rsidR="00154E32" w14:paraId="217F548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A2D7F44" w14:textId="77777777" w:rsidR="00154E32" w:rsidRDefault="00A43E04">
            <w:pPr>
              <w:pStyle w:val="P68B1DB1-Normal12"/>
              <w:jc w:val="center"/>
              <w:rPr>
                <w:noProof/>
              </w:rPr>
            </w:pPr>
            <w:r>
              <w:rPr>
                <w:noProof/>
              </w:rPr>
              <w:t>M1C1–15</w:t>
            </w:r>
          </w:p>
        </w:tc>
        <w:tc>
          <w:tcPr>
            <w:tcW w:w="3118" w:type="dxa"/>
            <w:tcBorders>
              <w:top w:val="nil"/>
              <w:left w:val="nil"/>
              <w:bottom w:val="single" w:sz="4" w:space="0" w:color="auto"/>
              <w:right w:val="single" w:sz="4" w:space="0" w:color="auto"/>
            </w:tcBorders>
            <w:shd w:val="clear" w:color="auto" w:fill="C6EFCE"/>
            <w:noWrap/>
            <w:vAlign w:val="center"/>
          </w:tcPr>
          <w:p w14:paraId="4E782C7E" w14:textId="77777777" w:rsidR="00154E32" w:rsidRDefault="00A43E04">
            <w:pPr>
              <w:pStyle w:val="P68B1DB1-Normal12"/>
              <w:rPr>
                <w:noProof/>
              </w:rPr>
            </w:pPr>
            <w:r>
              <w:rPr>
                <w:noProof/>
              </w:rPr>
              <w:t>Naložba 1.6.6: Digitalizacija finančne policije</w:t>
            </w:r>
          </w:p>
        </w:tc>
        <w:tc>
          <w:tcPr>
            <w:tcW w:w="1418" w:type="dxa"/>
            <w:tcBorders>
              <w:top w:val="nil"/>
              <w:left w:val="nil"/>
              <w:bottom w:val="single" w:sz="4" w:space="0" w:color="auto"/>
              <w:right w:val="single" w:sz="4" w:space="0" w:color="auto"/>
            </w:tcBorders>
            <w:shd w:val="clear" w:color="auto" w:fill="C6EFCE"/>
            <w:noWrap/>
            <w:vAlign w:val="center"/>
          </w:tcPr>
          <w:p w14:paraId="734FC0FA" w14:textId="77777777" w:rsidR="00154E32" w:rsidRDefault="00A43E04">
            <w:pPr>
              <w:pStyle w:val="P68B1DB1-Normal12"/>
              <w:rPr>
                <w:noProof/>
              </w:rPr>
            </w:pPr>
            <w:r>
              <w:rPr>
                <w:noProof/>
              </w:rPr>
              <w:t>Tarča</w:t>
            </w:r>
          </w:p>
        </w:tc>
        <w:tc>
          <w:tcPr>
            <w:tcW w:w="4049" w:type="dxa"/>
            <w:tcBorders>
              <w:top w:val="nil"/>
              <w:left w:val="nil"/>
              <w:bottom w:val="single" w:sz="4" w:space="0" w:color="auto"/>
              <w:right w:val="single" w:sz="4" w:space="0" w:color="auto"/>
            </w:tcBorders>
            <w:shd w:val="clear" w:color="auto" w:fill="C6EFCE"/>
            <w:noWrap/>
            <w:vAlign w:val="center"/>
          </w:tcPr>
          <w:p w14:paraId="55AB238A" w14:textId="77777777" w:rsidR="00154E32" w:rsidRDefault="00A43E04">
            <w:pPr>
              <w:pStyle w:val="P68B1DB1-Normal12"/>
              <w:rPr>
                <w:noProof/>
              </w:rPr>
            </w:pPr>
            <w:r>
              <w:rPr>
                <w:noProof/>
              </w:rPr>
              <w:t>Finančna policija – Nakup strokovnih storitev podatkovne znanosti T2</w:t>
            </w:r>
          </w:p>
        </w:tc>
      </w:tr>
      <w:tr w:rsidR="00154E32" w14:paraId="4BB1629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CDB82E2" w14:textId="77777777" w:rsidR="00154E32" w:rsidRDefault="00A43E04">
            <w:pPr>
              <w:pStyle w:val="P68B1DB1-Normal12"/>
              <w:jc w:val="center"/>
              <w:rPr>
                <w:noProof/>
              </w:rPr>
            </w:pPr>
            <w:r>
              <w:rPr>
                <w:noProof/>
              </w:rPr>
              <w:t>M1C1–37a</w:t>
            </w:r>
          </w:p>
        </w:tc>
        <w:tc>
          <w:tcPr>
            <w:tcW w:w="3118" w:type="dxa"/>
            <w:tcBorders>
              <w:top w:val="nil"/>
              <w:left w:val="nil"/>
              <w:bottom w:val="single" w:sz="4" w:space="0" w:color="auto"/>
              <w:right w:val="single" w:sz="4" w:space="0" w:color="auto"/>
            </w:tcBorders>
            <w:shd w:val="clear" w:color="auto" w:fill="C6EFCE"/>
            <w:noWrap/>
            <w:vAlign w:val="center"/>
          </w:tcPr>
          <w:p w14:paraId="7C38F3E3" w14:textId="77777777" w:rsidR="00154E32" w:rsidRDefault="00A43E04">
            <w:pPr>
              <w:pStyle w:val="P68B1DB1-Normal12"/>
              <w:rPr>
                <w:noProof/>
              </w:rPr>
            </w:pPr>
            <w:r>
              <w:rPr>
                <w:noProof/>
              </w:rPr>
              <w:t>Reforma 1.4: Reforma civilnega pravosodja</w:t>
            </w:r>
          </w:p>
        </w:tc>
        <w:tc>
          <w:tcPr>
            <w:tcW w:w="1418" w:type="dxa"/>
            <w:tcBorders>
              <w:top w:val="nil"/>
              <w:left w:val="nil"/>
              <w:bottom w:val="single" w:sz="4" w:space="0" w:color="auto"/>
              <w:right w:val="single" w:sz="4" w:space="0" w:color="auto"/>
            </w:tcBorders>
            <w:shd w:val="clear" w:color="auto" w:fill="C6EFCE"/>
            <w:noWrap/>
            <w:vAlign w:val="center"/>
          </w:tcPr>
          <w:p w14:paraId="2FF138DD" w14:textId="77777777" w:rsidR="00154E32" w:rsidRDefault="00A43E04">
            <w:pPr>
              <w:pStyle w:val="P68B1DB1-Normal12"/>
              <w:rPr>
                <w:noProof/>
              </w:rPr>
            </w:pPr>
            <w:r>
              <w:rPr>
                <w:noProof/>
              </w:rPr>
              <w:t>Mejnik</w:t>
            </w:r>
          </w:p>
        </w:tc>
        <w:tc>
          <w:tcPr>
            <w:tcW w:w="4049" w:type="dxa"/>
            <w:tcBorders>
              <w:top w:val="nil"/>
              <w:left w:val="nil"/>
              <w:bottom w:val="single" w:sz="4" w:space="0" w:color="auto"/>
              <w:right w:val="single" w:sz="4" w:space="0" w:color="auto"/>
            </w:tcBorders>
            <w:shd w:val="clear" w:color="auto" w:fill="C6EFCE"/>
            <w:noWrap/>
            <w:vAlign w:val="center"/>
          </w:tcPr>
          <w:p w14:paraId="541F3141" w14:textId="77777777" w:rsidR="00154E32" w:rsidRDefault="00A43E04">
            <w:pPr>
              <w:pStyle w:val="P68B1DB1-Normal12"/>
              <w:rPr>
                <w:noProof/>
              </w:rPr>
            </w:pPr>
            <w:r>
              <w:rPr>
                <w:noProof/>
              </w:rPr>
              <w:t>Začetek veljavnosti ukrepov za zmanjšanje zaostankov</w:t>
            </w:r>
          </w:p>
        </w:tc>
      </w:tr>
      <w:tr w:rsidR="00154E32" w14:paraId="5F369BB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F1FAB0B" w14:textId="77777777" w:rsidR="00154E32" w:rsidRDefault="00A43E04">
            <w:pPr>
              <w:pStyle w:val="P68B1DB1-Normal12"/>
              <w:jc w:val="center"/>
              <w:rPr>
                <w:noProof/>
              </w:rPr>
            </w:pPr>
            <w:r>
              <w:rPr>
                <w:noProof/>
              </w:rPr>
              <w:t>M1C1–72a</w:t>
            </w:r>
          </w:p>
        </w:tc>
        <w:tc>
          <w:tcPr>
            <w:tcW w:w="3118" w:type="dxa"/>
            <w:tcBorders>
              <w:top w:val="nil"/>
              <w:left w:val="nil"/>
              <w:bottom w:val="single" w:sz="4" w:space="0" w:color="auto"/>
              <w:right w:val="single" w:sz="4" w:space="0" w:color="auto"/>
            </w:tcBorders>
            <w:shd w:val="clear" w:color="auto" w:fill="C6EFCE"/>
            <w:noWrap/>
            <w:vAlign w:val="center"/>
          </w:tcPr>
          <w:p w14:paraId="2CF1B8B0" w14:textId="77777777" w:rsidR="00154E32" w:rsidRDefault="00A43E04">
            <w:pPr>
              <w:pStyle w:val="P68B1DB1-Normal12"/>
              <w:rPr>
                <w:noProof/>
              </w:rPr>
            </w:pPr>
            <w:r>
              <w:rPr>
                <w:noProof/>
              </w:rPr>
              <w:t>Reforma 1.11: Zmanjšanje zamud pri plačilih javnih uprav in zdravstvenih organov</w:t>
            </w:r>
          </w:p>
        </w:tc>
        <w:tc>
          <w:tcPr>
            <w:tcW w:w="1418" w:type="dxa"/>
            <w:tcBorders>
              <w:top w:val="nil"/>
              <w:left w:val="nil"/>
              <w:bottom w:val="single" w:sz="4" w:space="0" w:color="auto"/>
              <w:right w:val="single" w:sz="4" w:space="0" w:color="auto"/>
            </w:tcBorders>
            <w:shd w:val="clear" w:color="auto" w:fill="C6EFCE"/>
            <w:noWrap/>
            <w:vAlign w:val="center"/>
          </w:tcPr>
          <w:p w14:paraId="5046FCCC" w14:textId="77777777" w:rsidR="00154E32" w:rsidRDefault="00A43E04">
            <w:pPr>
              <w:pStyle w:val="P68B1DB1-Normal12"/>
              <w:rPr>
                <w:noProof/>
              </w:rPr>
            </w:pPr>
            <w:r>
              <w:rPr>
                <w:noProof/>
              </w:rPr>
              <w:t>Mejnik</w:t>
            </w:r>
          </w:p>
        </w:tc>
        <w:tc>
          <w:tcPr>
            <w:tcW w:w="4049" w:type="dxa"/>
            <w:tcBorders>
              <w:top w:val="nil"/>
              <w:left w:val="nil"/>
              <w:bottom w:val="single" w:sz="4" w:space="0" w:color="auto"/>
              <w:right w:val="single" w:sz="4" w:space="0" w:color="auto"/>
            </w:tcBorders>
            <w:shd w:val="clear" w:color="auto" w:fill="C6EFCE"/>
            <w:noWrap/>
            <w:vAlign w:val="center"/>
          </w:tcPr>
          <w:p w14:paraId="4E5CF52D" w14:textId="77777777" w:rsidR="00154E32" w:rsidRDefault="00A43E04">
            <w:pPr>
              <w:pStyle w:val="P68B1DB1-Normal12"/>
              <w:rPr>
                <w:noProof/>
              </w:rPr>
            </w:pPr>
            <w:r>
              <w:rPr>
                <w:noProof/>
              </w:rPr>
              <w:t>Zakonodajni in posebni ukrepi za zmanjšanje zamud pri plačilih na centralni/lokalni ravni</w:t>
            </w:r>
          </w:p>
        </w:tc>
      </w:tr>
      <w:tr w:rsidR="00154E32" w14:paraId="079BE94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D0153B6" w14:textId="77777777" w:rsidR="00154E32" w:rsidRDefault="00A43E04">
            <w:pPr>
              <w:pStyle w:val="P68B1DB1-Normal12"/>
              <w:jc w:val="center"/>
              <w:rPr>
                <w:noProof/>
              </w:rPr>
            </w:pPr>
            <w:r>
              <w:rPr>
                <w:noProof/>
              </w:rPr>
              <w:t>M1C1–72ixies</w:t>
            </w:r>
          </w:p>
        </w:tc>
        <w:tc>
          <w:tcPr>
            <w:tcW w:w="3118" w:type="dxa"/>
            <w:tcBorders>
              <w:top w:val="nil"/>
              <w:left w:val="nil"/>
              <w:bottom w:val="single" w:sz="4" w:space="0" w:color="auto"/>
              <w:right w:val="single" w:sz="4" w:space="0" w:color="auto"/>
            </w:tcBorders>
            <w:shd w:val="clear" w:color="auto" w:fill="C6EFCE"/>
            <w:noWrap/>
            <w:vAlign w:val="center"/>
          </w:tcPr>
          <w:p w14:paraId="46F553D8" w14:textId="77777777" w:rsidR="00154E32" w:rsidRDefault="00A43E04">
            <w:pPr>
              <w:pStyle w:val="P68B1DB1-Normal12"/>
              <w:rPr>
                <w:noProof/>
              </w:rPr>
            </w:pPr>
            <w:r>
              <w:rPr>
                <w:noProof/>
              </w:rPr>
              <w:t>Reforma 1.11: Zmanjšanje zamud pri plačilih javnih uprav in zdravstvenih organov</w:t>
            </w:r>
          </w:p>
        </w:tc>
        <w:tc>
          <w:tcPr>
            <w:tcW w:w="1418" w:type="dxa"/>
            <w:tcBorders>
              <w:top w:val="nil"/>
              <w:left w:val="nil"/>
              <w:bottom w:val="single" w:sz="4" w:space="0" w:color="auto"/>
              <w:right w:val="single" w:sz="4" w:space="0" w:color="auto"/>
            </w:tcBorders>
            <w:shd w:val="clear" w:color="auto" w:fill="C6EFCE"/>
            <w:noWrap/>
            <w:vAlign w:val="center"/>
          </w:tcPr>
          <w:p w14:paraId="4C9E606E" w14:textId="77777777" w:rsidR="00154E32" w:rsidRDefault="00A43E04">
            <w:pPr>
              <w:pStyle w:val="P68B1DB1-Normal12"/>
              <w:rPr>
                <w:noProof/>
              </w:rPr>
            </w:pPr>
            <w:r>
              <w:rPr>
                <w:noProof/>
              </w:rPr>
              <w:t>Mejnik</w:t>
            </w:r>
          </w:p>
        </w:tc>
        <w:tc>
          <w:tcPr>
            <w:tcW w:w="4049" w:type="dxa"/>
            <w:tcBorders>
              <w:top w:val="nil"/>
              <w:left w:val="nil"/>
              <w:bottom w:val="single" w:sz="4" w:space="0" w:color="auto"/>
              <w:right w:val="single" w:sz="4" w:space="0" w:color="auto"/>
            </w:tcBorders>
            <w:shd w:val="clear" w:color="auto" w:fill="C6EFCE"/>
            <w:noWrap/>
            <w:vAlign w:val="center"/>
          </w:tcPr>
          <w:p w14:paraId="72E6496E" w14:textId="77777777" w:rsidR="00154E32" w:rsidRDefault="00A43E04">
            <w:pPr>
              <w:pStyle w:val="P68B1DB1-Normal12"/>
              <w:rPr>
                <w:noProof/>
              </w:rPr>
            </w:pPr>
            <w:r>
              <w:rPr>
                <w:noProof/>
              </w:rPr>
              <w:t>Horizontalni ukrepi za zmanjšanje zamud pri plačilih iz plačilne agencije podjetjem</w:t>
            </w:r>
          </w:p>
        </w:tc>
      </w:tr>
      <w:tr w:rsidR="00154E32" w14:paraId="3A34FA0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3508330" w14:textId="77777777" w:rsidR="00154E32" w:rsidRDefault="00A43E04">
            <w:pPr>
              <w:pStyle w:val="P68B1DB1-Normal12"/>
              <w:jc w:val="center"/>
              <w:rPr>
                <w:noProof/>
              </w:rPr>
            </w:pPr>
            <w:r>
              <w:rPr>
                <w:noProof/>
              </w:rPr>
              <w:t>M2C2–6</w:t>
            </w:r>
          </w:p>
        </w:tc>
        <w:tc>
          <w:tcPr>
            <w:tcW w:w="3118" w:type="dxa"/>
            <w:tcBorders>
              <w:top w:val="nil"/>
              <w:left w:val="nil"/>
              <w:bottom w:val="single" w:sz="4" w:space="0" w:color="auto"/>
              <w:right w:val="single" w:sz="4" w:space="0" w:color="auto"/>
            </w:tcBorders>
            <w:shd w:val="clear" w:color="auto" w:fill="C6EFCE"/>
            <w:noWrap/>
            <w:vAlign w:val="center"/>
          </w:tcPr>
          <w:p w14:paraId="42C585BB" w14:textId="77777777" w:rsidR="00154E32" w:rsidRDefault="00A43E04">
            <w:pPr>
              <w:pStyle w:val="P68B1DB1-Normal12"/>
              <w:rPr>
                <w:noProof/>
              </w:rPr>
            </w:pPr>
            <w:r>
              <w:rPr>
                <w:noProof/>
              </w:rPr>
              <w:t>Reforma 1 Poenostavitev postopkov za izdajo dovoljenj za obrate za proizvodnjo energije iz obnovljivih virov na kopnem in na morju ter nov pravni okvir za ohranitev proizvodnje iz obnovljivih virov ter podaljšanje roka in upravičenosti sedanjih programov podpore</w:t>
            </w:r>
          </w:p>
        </w:tc>
        <w:tc>
          <w:tcPr>
            <w:tcW w:w="1418" w:type="dxa"/>
            <w:tcBorders>
              <w:top w:val="nil"/>
              <w:left w:val="nil"/>
              <w:bottom w:val="single" w:sz="4" w:space="0" w:color="auto"/>
              <w:right w:val="single" w:sz="4" w:space="0" w:color="auto"/>
            </w:tcBorders>
            <w:shd w:val="clear" w:color="auto" w:fill="C6EFCE"/>
            <w:noWrap/>
            <w:vAlign w:val="center"/>
          </w:tcPr>
          <w:p w14:paraId="2EA820BE" w14:textId="77777777" w:rsidR="00154E32" w:rsidRDefault="00A43E04">
            <w:pPr>
              <w:pStyle w:val="P68B1DB1-Normal12"/>
              <w:rPr>
                <w:noProof/>
              </w:rPr>
            </w:pPr>
            <w:r>
              <w:rPr>
                <w:noProof/>
              </w:rPr>
              <w:t>Mejnik</w:t>
            </w:r>
          </w:p>
        </w:tc>
        <w:tc>
          <w:tcPr>
            <w:tcW w:w="4049" w:type="dxa"/>
            <w:tcBorders>
              <w:top w:val="nil"/>
              <w:left w:val="nil"/>
              <w:bottom w:val="single" w:sz="4" w:space="0" w:color="auto"/>
              <w:right w:val="single" w:sz="4" w:space="0" w:color="auto"/>
            </w:tcBorders>
            <w:shd w:val="clear" w:color="auto" w:fill="C6EFCE"/>
            <w:noWrap/>
            <w:vAlign w:val="center"/>
          </w:tcPr>
          <w:p w14:paraId="02FCE049" w14:textId="77777777" w:rsidR="00154E32" w:rsidRDefault="00A43E04">
            <w:pPr>
              <w:pStyle w:val="P68B1DB1-Normal12"/>
              <w:rPr>
                <w:noProof/>
              </w:rPr>
            </w:pPr>
            <w:r>
              <w:rPr>
                <w:noProof/>
              </w:rPr>
              <w:t>Začetek veljavnosti pravnega okvira za poenostavitev postopkov za izdajo dovoljenj za gradnjo objektov za energijo iz obnovljivih virov na kopnem in na morju</w:t>
            </w:r>
          </w:p>
        </w:tc>
      </w:tr>
      <w:tr w:rsidR="00154E32" w14:paraId="7D1557D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D68D084" w14:textId="77777777" w:rsidR="00154E32" w:rsidRDefault="00A43E04">
            <w:pPr>
              <w:pStyle w:val="P68B1DB1-Normal12"/>
              <w:jc w:val="center"/>
              <w:rPr>
                <w:noProof/>
              </w:rPr>
            </w:pPr>
            <w:r>
              <w:rPr>
                <w:noProof/>
              </w:rPr>
              <w:t>M4C1–8</w:t>
            </w:r>
          </w:p>
        </w:tc>
        <w:tc>
          <w:tcPr>
            <w:tcW w:w="3118" w:type="dxa"/>
            <w:tcBorders>
              <w:top w:val="nil"/>
              <w:left w:val="nil"/>
              <w:bottom w:val="single" w:sz="4" w:space="0" w:color="auto"/>
              <w:right w:val="single" w:sz="4" w:space="0" w:color="auto"/>
            </w:tcBorders>
            <w:shd w:val="clear" w:color="auto" w:fill="C6EFCE"/>
            <w:noWrap/>
            <w:vAlign w:val="center"/>
          </w:tcPr>
          <w:p w14:paraId="591406A2" w14:textId="77777777" w:rsidR="00154E32" w:rsidRDefault="00A43E04">
            <w:pPr>
              <w:pStyle w:val="P68B1DB1-Normal12"/>
              <w:rPr>
                <w:noProof/>
              </w:rPr>
            </w:pPr>
            <w:r>
              <w:rPr>
                <w:noProof/>
              </w:rPr>
              <w:t>Naložba 1.3: Načrt za izboljšanje športne infrastrukture v šolah</w:t>
            </w:r>
          </w:p>
        </w:tc>
        <w:tc>
          <w:tcPr>
            <w:tcW w:w="1418" w:type="dxa"/>
            <w:tcBorders>
              <w:top w:val="nil"/>
              <w:left w:val="nil"/>
              <w:bottom w:val="single" w:sz="4" w:space="0" w:color="auto"/>
              <w:right w:val="single" w:sz="4" w:space="0" w:color="auto"/>
            </w:tcBorders>
            <w:shd w:val="clear" w:color="auto" w:fill="C6EFCE"/>
            <w:noWrap/>
            <w:vAlign w:val="center"/>
          </w:tcPr>
          <w:p w14:paraId="704F54E8" w14:textId="77777777" w:rsidR="00154E32" w:rsidRDefault="00A43E04">
            <w:pPr>
              <w:pStyle w:val="P68B1DB1-Normal12"/>
              <w:rPr>
                <w:noProof/>
              </w:rPr>
            </w:pPr>
            <w:r>
              <w:rPr>
                <w:noProof/>
              </w:rPr>
              <w:t>Mejnik</w:t>
            </w:r>
          </w:p>
        </w:tc>
        <w:tc>
          <w:tcPr>
            <w:tcW w:w="4049" w:type="dxa"/>
            <w:tcBorders>
              <w:top w:val="nil"/>
              <w:left w:val="nil"/>
              <w:bottom w:val="single" w:sz="4" w:space="0" w:color="auto"/>
              <w:right w:val="single" w:sz="4" w:space="0" w:color="auto"/>
            </w:tcBorders>
            <w:shd w:val="clear" w:color="auto" w:fill="C6EFCE"/>
            <w:noWrap/>
            <w:vAlign w:val="center"/>
          </w:tcPr>
          <w:p w14:paraId="2E79433D" w14:textId="77777777" w:rsidR="00154E32" w:rsidRDefault="00A43E04">
            <w:pPr>
              <w:pStyle w:val="P68B1DB1-Normal12"/>
              <w:rPr>
                <w:noProof/>
              </w:rPr>
            </w:pPr>
            <w:r>
              <w:rPr>
                <w:noProof/>
              </w:rPr>
              <w:t>Oddaja naročil za posege v gradnjo in prenovo športnih objektov in telovadnic, predvidenih v odloku ministrstva za izobraževanje</w:t>
            </w:r>
          </w:p>
        </w:tc>
      </w:tr>
      <w:tr w:rsidR="00154E32" w14:paraId="59B5948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6D7EDC2" w14:textId="77777777" w:rsidR="00154E32" w:rsidRDefault="00A43E04">
            <w:pPr>
              <w:pStyle w:val="P68B1DB1-Normal12"/>
              <w:jc w:val="center"/>
              <w:rPr>
                <w:noProof/>
              </w:rPr>
            </w:pPr>
            <w:r>
              <w:rPr>
                <w:noProof/>
              </w:rPr>
              <w:t xml:space="preserve">M5C1–9 </w:t>
            </w:r>
          </w:p>
        </w:tc>
        <w:tc>
          <w:tcPr>
            <w:tcW w:w="3118" w:type="dxa"/>
            <w:tcBorders>
              <w:top w:val="nil"/>
              <w:left w:val="nil"/>
              <w:bottom w:val="single" w:sz="4" w:space="0" w:color="auto"/>
              <w:right w:val="single" w:sz="4" w:space="0" w:color="auto"/>
            </w:tcBorders>
            <w:shd w:val="clear" w:color="auto" w:fill="C6EFCE"/>
            <w:noWrap/>
            <w:vAlign w:val="center"/>
          </w:tcPr>
          <w:p w14:paraId="14C901B9" w14:textId="77777777" w:rsidR="00154E32" w:rsidRDefault="00A43E04">
            <w:pPr>
              <w:pStyle w:val="P68B1DB1-Normal12"/>
              <w:rPr>
                <w:noProof/>
              </w:rPr>
            </w:pPr>
            <w:r>
              <w:rPr>
                <w:noProof/>
              </w:rPr>
              <w:t>Reforma 2 – Neprijavljeno delo</w:t>
            </w:r>
          </w:p>
        </w:tc>
        <w:tc>
          <w:tcPr>
            <w:tcW w:w="1418" w:type="dxa"/>
            <w:tcBorders>
              <w:top w:val="nil"/>
              <w:left w:val="nil"/>
              <w:bottom w:val="single" w:sz="4" w:space="0" w:color="auto"/>
              <w:right w:val="single" w:sz="4" w:space="0" w:color="auto"/>
            </w:tcBorders>
            <w:shd w:val="clear" w:color="auto" w:fill="C6EFCE"/>
            <w:noWrap/>
            <w:vAlign w:val="center"/>
          </w:tcPr>
          <w:p w14:paraId="7E53CC4D" w14:textId="77777777" w:rsidR="00154E32" w:rsidRDefault="00A43E04">
            <w:pPr>
              <w:pStyle w:val="P68B1DB1-Normal12"/>
              <w:rPr>
                <w:noProof/>
              </w:rPr>
            </w:pPr>
            <w:r>
              <w:rPr>
                <w:noProof/>
              </w:rPr>
              <w:t>Mejnik</w:t>
            </w:r>
          </w:p>
        </w:tc>
        <w:tc>
          <w:tcPr>
            <w:tcW w:w="4049" w:type="dxa"/>
            <w:tcBorders>
              <w:top w:val="nil"/>
              <w:left w:val="nil"/>
              <w:bottom w:val="single" w:sz="4" w:space="0" w:color="auto"/>
              <w:right w:val="single" w:sz="4" w:space="0" w:color="auto"/>
            </w:tcBorders>
            <w:shd w:val="clear" w:color="auto" w:fill="C6EFCE"/>
            <w:noWrap/>
            <w:vAlign w:val="center"/>
          </w:tcPr>
          <w:p w14:paraId="6FD1ABB8" w14:textId="77777777" w:rsidR="00154E32" w:rsidRDefault="00A43E04">
            <w:pPr>
              <w:pStyle w:val="P68B1DB1-Normal12"/>
              <w:rPr>
                <w:noProof/>
              </w:rPr>
            </w:pPr>
            <w:r>
              <w:rPr>
                <w:noProof/>
              </w:rPr>
              <w:t>Popolno izvajanje ukrepov, vključenih v nacionalni načrt, v skladu s časovnim načrtom</w:t>
            </w:r>
          </w:p>
        </w:tc>
      </w:tr>
      <w:tr w:rsidR="00154E32" w14:paraId="02B8785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60FBB10" w14:textId="77777777" w:rsidR="00154E32" w:rsidRDefault="00A43E04">
            <w:pPr>
              <w:pStyle w:val="P68B1DB1-Normal12"/>
              <w:jc w:val="center"/>
              <w:rPr>
                <w:noProof/>
              </w:rPr>
            </w:pPr>
            <w:r>
              <w:rPr>
                <w:noProof/>
              </w:rPr>
              <w:t>M5C2–4</w:t>
            </w:r>
          </w:p>
        </w:tc>
        <w:tc>
          <w:tcPr>
            <w:tcW w:w="3118" w:type="dxa"/>
            <w:tcBorders>
              <w:top w:val="nil"/>
              <w:left w:val="nil"/>
              <w:bottom w:val="single" w:sz="4" w:space="0" w:color="auto"/>
              <w:right w:val="single" w:sz="4" w:space="0" w:color="auto"/>
            </w:tcBorders>
            <w:shd w:val="clear" w:color="auto" w:fill="C6EFCE"/>
            <w:noWrap/>
            <w:vAlign w:val="center"/>
          </w:tcPr>
          <w:p w14:paraId="44881B3F" w14:textId="77777777" w:rsidR="00154E32" w:rsidRDefault="00A43E04">
            <w:pPr>
              <w:pStyle w:val="P68B1DB1-Normal12"/>
              <w:rPr>
                <w:noProof/>
              </w:rPr>
            </w:pPr>
            <w:r>
              <w:rPr>
                <w:noProof/>
              </w:rPr>
              <w:t>Reforma 2 – Reforma za starejše osebe, ki niso samozadostne</w:t>
            </w:r>
          </w:p>
        </w:tc>
        <w:tc>
          <w:tcPr>
            <w:tcW w:w="1418" w:type="dxa"/>
            <w:tcBorders>
              <w:top w:val="nil"/>
              <w:left w:val="nil"/>
              <w:bottom w:val="single" w:sz="4" w:space="0" w:color="auto"/>
              <w:right w:val="single" w:sz="4" w:space="0" w:color="auto"/>
            </w:tcBorders>
            <w:shd w:val="clear" w:color="auto" w:fill="C6EFCE"/>
            <w:noWrap/>
            <w:vAlign w:val="center"/>
          </w:tcPr>
          <w:p w14:paraId="348A0FD6" w14:textId="77777777" w:rsidR="00154E32" w:rsidRDefault="00A43E04">
            <w:pPr>
              <w:pStyle w:val="P68B1DB1-Normal12"/>
              <w:rPr>
                <w:noProof/>
              </w:rPr>
            </w:pPr>
            <w:r>
              <w:rPr>
                <w:noProof/>
              </w:rPr>
              <w:t>Mejnik</w:t>
            </w:r>
          </w:p>
        </w:tc>
        <w:tc>
          <w:tcPr>
            <w:tcW w:w="4049" w:type="dxa"/>
            <w:tcBorders>
              <w:top w:val="nil"/>
              <w:left w:val="nil"/>
              <w:bottom w:val="single" w:sz="4" w:space="0" w:color="auto"/>
              <w:right w:val="single" w:sz="4" w:space="0" w:color="auto"/>
            </w:tcBorders>
            <w:shd w:val="clear" w:color="auto" w:fill="C6EFCE"/>
            <w:noWrap/>
            <w:vAlign w:val="center"/>
          </w:tcPr>
          <w:p w14:paraId="2F8E5751" w14:textId="77777777" w:rsidR="00154E32" w:rsidRDefault="00A43E04">
            <w:pPr>
              <w:pStyle w:val="P68B1DB1-Normal12"/>
              <w:rPr>
                <w:noProof/>
              </w:rPr>
            </w:pPr>
            <w:r>
              <w:rPr>
                <w:noProof/>
              </w:rPr>
              <w:t>Začetek veljavnosti zakonodajnih odlokov, s katerimi se razvijajo določbe okvirnega zakona za okrepitev ukrepov v korist starejših oseb, ki niso samozadostne</w:t>
            </w:r>
          </w:p>
        </w:tc>
      </w:tr>
      <w:tr w:rsidR="00154E32" w14:paraId="7890823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9EDB177" w14:textId="77777777" w:rsidR="00154E32" w:rsidRDefault="00A43E04">
            <w:pPr>
              <w:pStyle w:val="P68B1DB1-Normal12"/>
              <w:jc w:val="center"/>
              <w:rPr>
                <w:noProof/>
              </w:rPr>
            </w:pPr>
            <w:r>
              <w:rPr>
                <w:noProof/>
              </w:rPr>
              <w:t>M7–9</w:t>
            </w:r>
          </w:p>
        </w:tc>
        <w:tc>
          <w:tcPr>
            <w:tcW w:w="3118" w:type="dxa"/>
            <w:tcBorders>
              <w:top w:val="nil"/>
              <w:left w:val="nil"/>
              <w:bottom w:val="single" w:sz="4" w:space="0" w:color="auto"/>
              <w:right w:val="single" w:sz="4" w:space="0" w:color="auto"/>
            </w:tcBorders>
            <w:shd w:val="clear" w:color="auto" w:fill="C6EFCE"/>
            <w:noWrap/>
            <w:vAlign w:val="center"/>
          </w:tcPr>
          <w:p w14:paraId="2EBE18D8" w14:textId="77777777" w:rsidR="00154E32" w:rsidRDefault="00A43E04">
            <w:pPr>
              <w:pStyle w:val="P68B1DB1-Normal12"/>
              <w:rPr>
                <w:noProof/>
              </w:rPr>
            </w:pPr>
            <w:r>
              <w:rPr>
                <w:noProof/>
              </w:rPr>
              <w:t>Reforma 5: Načrt za nova znanja in spretnosti – prehodi</w:t>
            </w:r>
          </w:p>
        </w:tc>
        <w:tc>
          <w:tcPr>
            <w:tcW w:w="1418" w:type="dxa"/>
            <w:tcBorders>
              <w:top w:val="nil"/>
              <w:left w:val="nil"/>
              <w:bottom w:val="single" w:sz="4" w:space="0" w:color="auto"/>
              <w:right w:val="single" w:sz="4" w:space="0" w:color="auto"/>
            </w:tcBorders>
            <w:shd w:val="clear" w:color="auto" w:fill="C6EFCE"/>
            <w:noWrap/>
            <w:vAlign w:val="center"/>
          </w:tcPr>
          <w:p w14:paraId="4DCBF58D" w14:textId="77777777" w:rsidR="00154E32" w:rsidRDefault="00A43E04">
            <w:pPr>
              <w:pStyle w:val="P68B1DB1-Normal12"/>
              <w:rPr>
                <w:noProof/>
              </w:rPr>
            </w:pPr>
            <w:r>
              <w:rPr>
                <w:noProof/>
              </w:rPr>
              <w:t>Mejnik</w:t>
            </w:r>
          </w:p>
        </w:tc>
        <w:tc>
          <w:tcPr>
            <w:tcW w:w="4049" w:type="dxa"/>
            <w:tcBorders>
              <w:top w:val="nil"/>
              <w:left w:val="nil"/>
              <w:bottom w:val="single" w:sz="4" w:space="0" w:color="auto"/>
              <w:right w:val="single" w:sz="4" w:space="0" w:color="auto"/>
            </w:tcBorders>
            <w:shd w:val="clear" w:color="auto" w:fill="C6EFCE"/>
            <w:noWrap/>
            <w:vAlign w:val="center"/>
          </w:tcPr>
          <w:p w14:paraId="24980F52" w14:textId="77777777" w:rsidR="00154E32" w:rsidRDefault="00A43E04">
            <w:pPr>
              <w:pStyle w:val="P68B1DB1-Normal12"/>
              <w:rPr>
                <w:noProof/>
              </w:rPr>
            </w:pPr>
            <w:r>
              <w:rPr>
                <w:noProof/>
              </w:rPr>
              <w:t>Sprejetje in objava novega načrta znanj in spretnosti – prehodi in časovni načrt za izvajanje</w:t>
            </w:r>
          </w:p>
        </w:tc>
      </w:tr>
      <w:tr w:rsidR="00154E32" w14:paraId="06352DE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AE19356" w14:textId="77777777" w:rsidR="00154E32" w:rsidRDefault="00A43E04">
            <w:pPr>
              <w:pStyle w:val="P68B1DB1-Normal12"/>
              <w:jc w:val="center"/>
              <w:rPr>
                <w:noProof/>
              </w:rPr>
            </w:pPr>
            <w:r>
              <w:rPr>
                <w:noProof/>
              </w:rPr>
              <w:t>M7–32</w:t>
            </w:r>
          </w:p>
        </w:tc>
        <w:tc>
          <w:tcPr>
            <w:tcW w:w="3118" w:type="dxa"/>
            <w:tcBorders>
              <w:top w:val="nil"/>
              <w:left w:val="nil"/>
              <w:bottom w:val="single" w:sz="4" w:space="0" w:color="auto"/>
              <w:right w:val="single" w:sz="4" w:space="0" w:color="auto"/>
            </w:tcBorders>
            <w:shd w:val="clear" w:color="auto" w:fill="C6EFCE"/>
            <w:noWrap/>
            <w:vAlign w:val="center"/>
          </w:tcPr>
          <w:p w14:paraId="1ADE2C2D" w14:textId="77777777" w:rsidR="00154E32" w:rsidRDefault="00A43E04">
            <w:pPr>
              <w:pStyle w:val="P68B1DB1-Normal12"/>
              <w:rPr>
                <w:noProof/>
              </w:rPr>
            </w:pPr>
            <w:r>
              <w:rPr>
                <w:noProof/>
              </w:rPr>
              <w:t>Naložba 12 Shema nepovratnih sredstev za razvoj mednarodnega, industrijskega in raziskovalnega vodilnega položaja na področju električnih avtobusov</w:t>
            </w:r>
          </w:p>
        </w:tc>
        <w:tc>
          <w:tcPr>
            <w:tcW w:w="1418" w:type="dxa"/>
            <w:tcBorders>
              <w:top w:val="nil"/>
              <w:left w:val="nil"/>
              <w:bottom w:val="single" w:sz="4" w:space="0" w:color="auto"/>
              <w:right w:val="single" w:sz="4" w:space="0" w:color="auto"/>
            </w:tcBorders>
            <w:shd w:val="clear" w:color="auto" w:fill="C6EFCE"/>
            <w:noWrap/>
            <w:vAlign w:val="center"/>
          </w:tcPr>
          <w:p w14:paraId="58517D55" w14:textId="77777777" w:rsidR="00154E32" w:rsidRDefault="00A43E04">
            <w:pPr>
              <w:pStyle w:val="P68B1DB1-Normal12"/>
              <w:rPr>
                <w:noProof/>
              </w:rPr>
            </w:pPr>
            <w:r>
              <w:rPr>
                <w:noProof/>
              </w:rPr>
              <w:t>Mejnik</w:t>
            </w:r>
          </w:p>
        </w:tc>
        <w:tc>
          <w:tcPr>
            <w:tcW w:w="4049" w:type="dxa"/>
            <w:tcBorders>
              <w:top w:val="nil"/>
              <w:left w:val="nil"/>
              <w:bottom w:val="single" w:sz="4" w:space="0" w:color="auto"/>
              <w:right w:val="single" w:sz="4" w:space="0" w:color="auto"/>
            </w:tcBorders>
            <w:shd w:val="clear" w:color="auto" w:fill="C6EFCE"/>
            <w:noWrap/>
            <w:vAlign w:val="center"/>
          </w:tcPr>
          <w:p w14:paraId="49420E8E" w14:textId="77777777" w:rsidR="00154E32" w:rsidRDefault="00A43E04">
            <w:pPr>
              <w:pStyle w:val="P68B1DB1-Normal12"/>
              <w:rPr>
                <w:noProof/>
              </w:rPr>
            </w:pPr>
            <w:r>
              <w:rPr>
                <w:noProof/>
              </w:rPr>
              <w:t>Izvedbeni sporazum</w:t>
            </w:r>
          </w:p>
        </w:tc>
      </w:tr>
      <w:tr w:rsidR="00154E32" w14:paraId="1FAF1FC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12F12B2" w14:textId="77777777" w:rsidR="00154E32" w:rsidRDefault="00A43E04">
            <w:pPr>
              <w:pStyle w:val="P68B1DB1-Normal12"/>
              <w:jc w:val="center"/>
              <w:rPr>
                <w:noProof/>
              </w:rPr>
            </w:pPr>
            <w:r>
              <w:rPr>
                <w:noProof/>
              </w:rPr>
              <w:t>M1C1–39</w:t>
            </w:r>
          </w:p>
        </w:tc>
        <w:tc>
          <w:tcPr>
            <w:tcW w:w="3118" w:type="dxa"/>
            <w:tcBorders>
              <w:top w:val="nil"/>
              <w:left w:val="nil"/>
              <w:bottom w:val="single" w:sz="4" w:space="0" w:color="auto"/>
              <w:right w:val="single" w:sz="4" w:space="0" w:color="auto"/>
            </w:tcBorders>
            <w:shd w:val="clear" w:color="auto" w:fill="C6EFCE"/>
            <w:noWrap/>
            <w:vAlign w:val="center"/>
          </w:tcPr>
          <w:p w14:paraId="45ED0257" w14:textId="77777777" w:rsidR="00154E32" w:rsidRDefault="00A43E04">
            <w:pPr>
              <w:pStyle w:val="P68B1DB1-Normal12"/>
              <w:rPr>
                <w:noProof/>
              </w:rPr>
            </w:pPr>
            <w:r>
              <w:rPr>
                <w:noProof/>
              </w:rPr>
              <w:t>Naložba 1.8: Postopki zaposlovanja na civilnih in kazenskih sodiščih</w:t>
            </w:r>
          </w:p>
        </w:tc>
        <w:tc>
          <w:tcPr>
            <w:tcW w:w="1418" w:type="dxa"/>
            <w:tcBorders>
              <w:top w:val="nil"/>
              <w:left w:val="nil"/>
              <w:bottom w:val="single" w:sz="4" w:space="0" w:color="auto"/>
              <w:right w:val="single" w:sz="4" w:space="0" w:color="auto"/>
            </w:tcBorders>
            <w:shd w:val="clear" w:color="auto" w:fill="C6EFCE"/>
            <w:noWrap/>
            <w:vAlign w:val="center"/>
          </w:tcPr>
          <w:p w14:paraId="307FAEFB" w14:textId="77777777" w:rsidR="00154E32" w:rsidRDefault="00A43E04">
            <w:pPr>
              <w:pStyle w:val="P68B1DB1-Normal12"/>
              <w:rPr>
                <w:noProof/>
              </w:rPr>
            </w:pPr>
            <w:r>
              <w:rPr>
                <w:noProof/>
              </w:rPr>
              <w:t>Tarča</w:t>
            </w:r>
          </w:p>
        </w:tc>
        <w:tc>
          <w:tcPr>
            <w:tcW w:w="4049" w:type="dxa"/>
            <w:tcBorders>
              <w:top w:val="nil"/>
              <w:left w:val="nil"/>
              <w:bottom w:val="single" w:sz="4" w:space="0" w:color="auto"/>
              <w:right w:val="single" w:sz="4" w:space="0" w:color="auto"/>
            </w:tcBorders>
            <w:shd w:val="clear" w:color="auto" w:fill="C6EFCE"/>
            <w:noWrap/>
            <w:vAlign w:val="center"/>
          </w:tcPr>
          <w:p w14:paraId="2D6891D3" w14:textId="77777777" w:rsidR="00154E32" w:rsidRDefault="00A43E04">
            <w:pPr>
              <w:pStyle w:val="P68B1DB1-Normal12"/>
              <w:rPr>
                <w:noProof/>
              </w:rPr>
            </w:pPr>
            <w:r>
              <w:rPr>
                <w:noProof/>
              </w:rPr>
              <w:t>Zaključek postopkov zaposlovanja na civilnih in kazenskih sodiščih ter teritorialnih in osrednjih službah ministrstva za pravosodje, pristojnih za izvajanje načrta za okrevanje in odpornost</w:t>
            </w:r>
          </w:p>
        </w:tc>
      </w:tr>
      <w:tr w:rsidR="00154E32" w14:paraId="4D5255C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C63AE47" w14:textId="77777777" w:rsidR="00154E32" w:rsidRDefault="00A43E04">
            <w:pPr>
              <w:pStyle w:val="P68B1DB1-Normal12"/>
              <w:jc w:val="center"/>
              <w:rPr>
                <w:noProof/>
              </w:rPr>
            </w:pPr>
            <w:r>
              <w:rPr>
                <w:noProof/>
              </w:rPr>
              <w:t>M1C1–40</w:t>
            </w:r>
          </w:p>
        </w:tc>
        <w:tc>
          <w:tcPr>
            <w:tcW w:w="3118" w:type="dxa"/>
            <w:tcBorders>
              <w:top w:val="nil"/>
              <w:left w:val="nil"/>
              <w:bottom w:val="single" w:sz="4" w:space="0" w:color="auto"/>
              <w:right w:val="single" w:sz="4" w:space="0" w:color="auto"/>
            </w:tcBorders>
            <w:shd w:val="clear" w:color="auto" w:fill="C6EFCE"/>
            <w:noWrap/>
            <w:vAlign w:val="center"/>
          </w:tcPr>
          <w:p w14:paraId="3721931D" w14:textId="77777777" w:rsidR="00154E32" w:rsidRDefault="00A43E04">
            <w:pPr>
              <w:pStyle w:val="P68B1DB1-Normal12"/>
              <w:rPr>
                <w:noProof/>
              </w:rPr>
            </w:pPr>
            <w:r>
              <w:rPr>
                <w:noProof/>
              </w:rPr>
              <w:t>Naložba 1.8: Postopki zaposlovanja na upravnih sodiščih</w:t>
            </w:r>
          </w:p>
        </w:tc>
        <w:tc>
          <w:tcPr>
            <w:tcW w:w="1418" w:type="dxa"/>
            <w:tcBorders>
              <w:top w:val="nil"/>
              <w:left w:val="nil"/>
              <w:bottom w:val="single" w:sz="4" w:space="0" w:color="auto"/>
              <w:right w:val="single" w:sz="4" w:space="0" w:color="auto"/>
            </w:tcBorders>
            <w:shd w:val="clear" w:color="auto" w:fill="C6EFCE"/>
            <w:noWrap/>
            <w:vAlign w:val="center"/>
          </w:tcPr>
          <w:p w14:paraId="1E1597A7" w14:textId="77777777" w:rsidR="00154E32" w:rsidRDefault="00A43E04">
            <w:pPr>
              <w:pStyle w:val="P68B1DB1-Normal12"/>
              <w:rPr>
                <w:noProof/>
              </w:rPr>
            </w:pPr>
            <w:r>
              <w:rPr>
                <w:noProof/>
              </w:rPr>
              <w:t>Tarča</w:t>
            </w:r>
          </w:p>
        </w:tc>
        <w:tc>
          <w:tcPr>
            <w:tcW w:w="4049" w:type="dxa"/>
            <w:tcBorders>
              <w:top w:val="nil"/>
              <w:left w:val="nil"/>
              <w:bottom w:val="single" w:sz="4" w:space="0" w:color="auto"/>
              <w:right w:val="single" w:sz="4" w:space="0" w:color="auto"/>
            </w:tcBorders>
            <w:shd w:val="clear" w:color="auto" w:fill="C6EFCE"/>
            <w:noWrap/>
            <w:vAlign w:val="center"/>
          </w:tcPr>
          <w:p w14:paraId="3D67AC86" w14:textId="77777777" w:rsidR="00154E32" w:rsidRDefault="00A43E04">
            <w:pPr>
              <w:pStyle w:val="P68B1DB1-Normal12"/>
              <w:rPr>
                <w:noProof/>
              </w:rPr>
            </w:pPr>
            <w:r>
              <w:rPr>
                <w:noProof/>
              </w:rPr>
              <w:t>Zaključek postopkov zaposlovanja na upravnih sodiščih</w:t>
            </w:r>
          </w:p>
        </w:tc>
      </w:tr>
      <w:tr w:rsidR="00154E32" w14:paraId="4DA1D90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AB105CF" w14:textId="77777777" w:rsidR="00154E32" w:rsidRDefault="00A43E04">
            <w:pPr>
              <w:pStyle w:val="P68B1DB1-Normal12"/>
              <w:jc w:val="center"/>
              <w:rPr>
                <w:noProof/>
              </w:rPr>
            </w:pPr>
            <w:r>
              <w:rPr>
                <w:noProof/>
              </w:rPr>
              <w:t>M1C1–41</w:t>
            </w:r>
          </w:p>
        </w:tc>
        <w:tc>
          <w:tcPr>
            <w:tcW w:w="3118" w:type="dxa"/>
            <w:tcBorders>
              <w:top w:val="nil"/>
              <w:left w:val="nil"/>
              <w:bottom w:val="single" w:sz="4" w:space="0" w:color="auto"/>
              <w:right w:val="single" w:sz="4" w:space="0" w:color="auto"/>
            </w:tcBorders>
            <w:shd w:val="clear" w:color="auto" w:fill="C6EFCE"/>
            <w:noWrap/>
            <w:vAlign w:val="center"/>
          </w:tcPr>
          <w:p w14:paraId="2438CC97" w14:textId="77777777" w:rsidR="00154E32" w:rsidRDefault="00A43E04">
            <w:pPr>
              <w:pStyle w:val="P68B1DB1-Normal12"/>
              <w:rPr>
                <w:noProof/>
              </w:rPr>
            </w:pPr>
            <w:r>
              <w:rPr>
                <w:noProof/>
              </w:rPr>
              <w:t>Naložba 1.8: Postopki zaposlovanja na upravnih sodiščih</w:t>
            </w:r>
          </w:p>
        </w:tc>
        <w:tc>
          <w:tcPr>
            <w:tcW w:w="1418" w:type="dxa"/>
            <w:tcBorders>
              <w:top w:val="nil"/>
              <w:left w:val="nil"/>
              <w:bottom w:val="single" w:sz="4" w:space="0" w:color="auto"/>
              <w:right w:val="single" w:sz="4" w:space="0" w:color="auto"/>
            </w:tcBorders>
            <w:shd w:val="clear" w:color="auto" w:fill="C6EFCE"/>
            <w:noWrap/>
            <w:vAlign w:val="center"/>
          </w:tcPr>
          <w:p w14:paraId="320D7008" w14:textId="77777777" w:rsidR="00154E32" w:rsidRDefault="00A43E04">
            <w:pPr>
              <w:pStyle w:val="P68B1DB1-Normal12"/>
              <w:rPr>
                <w:noProof/>
              </w:rPr>
            </w:pPr>
            <w:r>
              <w:rPr>
                <w:noProof/>
              </w:rPr>
              <w:t>Tarča</w:t>
            </w:r>
          </w:p>
        </w:tc>
        <w:tc>
          <w:tcPr>
            <w:tcW w:w="4049" w:type="dxa"/>
            <w:tcBorders>
              <w:top w:val="nil"/>
              <w:left w:val="nil"/>
              <w:bottom w:val="single" w:sz="4" w:space="0" w:color="auto"/>
              <w:right w:val="single" w:sz="4" w:space="0" w:color="auto"/>
            </w:tcBorders>
            <w:shd w:val="clear" w:color="auto" w:fill="C6EFCE"/>
            <w:noWrap/>
            <w:vAlign w:val="center"/>
          </w:tcPr>
          <w:p w14:paraId="488FBF11" w14:textId="77777777" w:rsidR="00154E32" w:rsidRDefault="00A43E04">
            <w:pPr>
              <w:pStyle w:val="P68B1DB1-Normal12"/>
              <w:rPr>
                <w:noProof/>
              </w:rPr>
            </w:pPr>
            <w:r>
              <w:rPr>
                <w:noProof/>
              </w:rPr>
              <w:t>Zmanjšanje zaostankov pri upravnih regionalnih sodiščih</w:t>
            </w:r>
          </w:p>
        </w:tc>
      </w:tr>
      <w:tr w:rsidR="00154E32" w14:paraId="35FBAB6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5109473" w14:textId="77777777" w:rsidR="00154E32" w:rsidRDefault="00A43E04">
            <w:pPr>
              <w:pStyle w:val="P68B1DB1-Normal12"/>
              <w:jc w:val="center"/>
              <w:rPr>
                <w:noProof/>
              </w:rPr>
            </w:pPr>
            <w:r>
              <w:rPr>
                <w:noProof/>
              </w:rPr>
              <w:t>M1C1–42</w:t>
            </w:r>
          </w:p>
        </w:tc>
        <w:tc>
          <w:tcPr>
            <w:tcW w:w="3118" w:type="dxa"/>
            <w:tcBorders>
              <w:top w:val="nil"/>
              <w:left w:val="nil"/>
              <w:bottom w:val="single" w:sz="4" w:space="0" w:color="auto"/>
              <w:right w:val="single" w:sz="4" w:space="0" w:color="auto"/>
            </w:tcBorders>
            <w:shd w:val="clear" w:color="auto" w:fill="C6EFCE"/>
            <w:noWrap/>
            <w:vAlign w:val="center"/>
          </w:tcPr>
          <w:p w14:paraId="781BD99D" w14:textId="77777777" w:rsidR="00154E32" w:rsidRDefault="00A43E04">
            <w:pPr>
              <w:pStyle w:val="P68B1DB1-Normal12"/>
              <w:rPr>
                <w:noProof/>
              </w:rPr>
            </w:pPr>
            <w:r>
              <w:rPr>
                <w:noProof/>
              </w:rPr>
              <w:t>Naložba 1.8: Postopki zaposlovanja na upravnih sodiščih</w:t>
            </w:r>
          </w:p>
        </w:tc>
        <w:tc>
          <w:tcPr>
            <w:tcW w:w="1418" w:type="dxa"/>
            <w:tcBorders>
              <w:top w:val="nil"/>
              <w:left w:val="nil"/>
              <w:bottom w:val="single" w:sz="4" w:space="0" w:color="auto"/>
              <w:right w:val="single" w:sz="4" w:space="0" w:color="auto"/>
            </w:tcBorders>
            <w:shd w:val="clear" w:color="auto" w:fill="C6EFCE"/>
            <w:noWrap/>
            <w:vAlign w:val="center"/>
          </w:tcPr>
          <w:p w14:paraId="5F785412" w14:textId="77777777" w:rsidR="00154E32" w:rsidRDefault="00A43E04">
            <w:pPr>
              <w:pStyle w:val="P68B1DB1-Normal12"/>
              <w:rPr>
                <w:noProof/>
              </w:rPr>
            </w:pPr>
            <w:r>
              <w:rPr>
                <w:noProof/>
              </w:rPr>
              <w:t>Tarča</w:t>
            </w:r>
          </w:p>
        </w:tc>
        <w:tc>
          <w:tcPr>
            <w:tcW w:w="4049" w:type="dxa"/>
            <w:tcBorders>
              <w:top w:val="nil"/>
              <w:left w:val="nil"/>
              <w:bottom w:val="single" w:sz="4" w:space="0" w:color="auto"/>
              <w:right w:val="single" w:sz="4" w:space="0" w:color="auto"/>
            </w:tcBorders>
            <w:shd w:val="clear" w:color="auto" w:fill="C6EFCE"/>
            <w:noWrap/>
            <w:vAlign w:val="center"/>
          </w:tcPr>
          <w:p w14:paraId="263E1015" w14:textId="77777777" w:rsidR="00154E32" w:rsidRDefault="00A43E04">
            <w:pPr>
              <w:pStyle w:val="P68B1DB1-Normal12"/>
              <w:rPr>
                <w:noProof/>
              </w:rPr>
            </w:pPr>
            <w:r>
              <w:rPr>
                <w:noProof/>
              </w:rPr>
              <w:t>Zmanjšanje sodnih zaostankov za državni svet</w:t>
            </w:r>
          </w:p>
        </w:tc>
      </w:tr>
      <w:tr w:rsidR="00154E32" w14:paraId="3743711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2EC5E79" w14:textId="77777777" w:rsidR="00154E32" w:rsidRDefault="00A43E04">
            <w:pPr>
              <w:pStyle w:val="P68B1DB1-Normal12"/>
              <w:jc w:val="center"/>
              <w:rPr>
                <w:noProof/>
              </w:rPr>
            </w:pPr>
            <w:r>
              <w:rPr>
                <w:noProof/>
              </w:rPr>
              <w:t>M1C1–59A</w:t>
            </w:r>
          </w:p>
        </w:tc>
        <w:tc>
          <w:tcPr>
            <w:tcW w:w="3118" w:type="dxa"/>
            <w:tcBorders>
              <w:top w:val="nil"/>
              <w:left w:val="nil"/>
              <w:bottom w:val="single" w:sz="4" w:space="0" w:color="auto"/>
              <w:right w:val="single" w:sz="4" w:space="0" w:color="auto"/>
            </w:tcBorders>
            <w:shd w:val="clear" w:color="auto" w:fill="C6EFCE"/>
            <w:noWrap/>
            <w:vAlign w:val="center"/>
          </w:tcPr>
          <w:p w14:paraId="10F114B0" w14:textId="77777777" w:rsidR="00154E32" w:rsidRDefault="00A43E04">
            <w:pPr>
              <w:pStyle w:val="P68B1DB1-Normal12"/>
              <w:rPr>
                <w:noProof/>
              </w:rPr>
            </w:pPr>
            <w:r>
              <w:rPr>
                <w:noProof/>
              </w:rPr>
              <w:t xml:space="preserve">Reforma 1.9: Reforma javne uprave </w:t>
            </w:r>
          </w:p>
        </w:tc>
        <w:tc>
          <w:tcPr>
            <w:tcW w:w="1418" w:type="dxa"/>
            <w:tcBorders>
              <w:top w:val="nil"/>
              <w:left w:val="nil"/>
              <w:bottom w:val="single" w:sz="4" w:space="0" w:color="auto"/>
              <w:right w:val="single" w:sz="4" w:space="0" w:color="auto"/>
            </w:tcBorders>
            <w:shd w:val="clear" w:color="auto" w:fill="C6EFCE"/>
            <w:noWrap/>
            <w:vAlign w:val="center"/>
          </w:tcPr>
          <w:p w14:paraId="0BB3576B" w14:textId="77777777" w:rsidR="00154E32" w:rsidRDefault="00A43E04">
            <w:pPr>
              <w:pStyle w:val="P68B1DB1-Normal12"/>
              <w:rPr>
                <w:noProof/>
              </w:rPr>
            </w:pPr>
            <w:r>
              <w:rPr>
                <w:noProof/>
              </w:rPr>
              <w:t>Mejnik</w:t>
            </w:r>
          </w:p>
        </w:tc>
        <w:tc>
          <w:tcPr>
            <w:tcW w:w="4049" w:type="dxa"/>
            <w:tcBorders>
              <w:top w:val="nil"/>
              <w:left w:val="nil"/>
              <w:bottom w:val="single" w:sz="4" w:space="0" w:color="auto"/>
              <w:right w:val="single" w:sz="4" w:space="0" w:color="auto"/>
            </w:tcBorders>
            <w:shd w:val="clear" w:color="auto" w:fill="C6EFCE"/>
            <w:noWrap/>
            <w:vAlign w:val="center"/>
          </w:tcPr>
          <w:p w14:paraId="7A2D4F2D" w14:textId="77777777" w:rsidR="00154E32" w:rsidRDefault="00A43E04">
            <w:pPr>
              <w:pStyle w:val="P68B1DB1-Normal12"/>
              <w:rPr>
                <w:noProof/>
              </w:rPr>
            </w:pPr>
            <w:r>
              <w:rPr>
                <w:noProof/>
              </w:rPr>
              <w:t>Izvajanje strateškega upravljanja človeških virov v javni upravi</w:t>
            </w:r>
          </w:p>
        </w:tc>
      </w:tr>
      <w:tr w:rsidR="00154E32" w14:paraId="5D40E67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156C0BF" w14:textId="77777777" w:rsidR="00154E32" w:rsidRDefault="00A43E04">
            <w:pPr>
              <w:pStyle w:val="P68B1DB1-Normal12"/>
              <w:jc w:val="center"/>
              <w:rPr>
                <w:noProof/>
              </w:rPr>
            </w:pPr>
            <w:r>
              <w:rPr>
                <w:noProof/>
              </w:rPr>
              <w:t>M1C1–73a</w:t>
            </w:r>
          </w:p>
        </w:tc>
        <w:tc>
          <w:tcPr>
            <w:tcW w:w="3118" w:type="dxa"/>
            <w:tcBorders>
              <w:top w:val="nil"/>
              <w:left w:val="nil"/>
              <w:bottom w:val="single" w:sz="4" w:space="0" w:color="auto"/>
              <w:right w:val="single" w:sz="4" w:space="0" w:color="auto"/>
            </w:tcBorders>
            <w:shd w:val="clear" w:color="auto" w:fill="C6EFCE"/>
            <w:noWrap/>
            <w:vAlign w:val="center"/>
          </w:tcPr>
          <w:p w14:paraId="682D321B" w14:textId="77777777" w:rsidR="00154E32" w:rsidRDefault="00A43E04">
            <w:pPr>
              <w:pStyle w:val="P68B1DB1-Normal12"/>
              <w:rPr>
                <w:noProof/>
              </w:rPr>
            </w:pPr>
            <w:r>
              <w:rPr>
                <w:noProof/>
              </w:rPr>
              <w:t>Reforma 1.10: Reforma zakonodajnega okvira za javna naročila</w:t>
            </w:r>
          </w:p>
        </w:tc>
        <w:tc>
          <w:tcPr>
            <w:tcW w:w="1418" w:type="dxa"/>
            <w:tcBorders>
              <w:top w:val="nil"/>
              <w:left w:val="nil"/>
              <w:bottom w:val="single" w:sz="4" w:space="0" w:color="auto"/>
              <w:right w:val="single" w:sz="4" w:space="0" w:color="auto"/>
            </w:tcBorders>
            <w:shd w:val="clear" w:color="auto" w:fill="C6EFCE"/>
            <w:noWrap/>
            <w:vAlign w:val="center"/>
          </w:tcPr>
          <w:p w14:paraId="28E82408" w14:textId="77777777" w:rsidR="00154E32" w:rsidRDefault="00A43E04">
            <w:pPr>
              <w:pStyle w:val="P68B1DB1-Normal12"/>
              <w:rPr>
                <w:noProof/>
              </w:rPr>
            </w:pPr>
            <w:r>
              <w:rPr>
                <w:noProof/>
              </w:rPr>
              <w:t>Mejnik</w:t>
            </w:r>
          </w:p>
        </w:tc>
        <w:tc>
          <w:tcPr>
            <w:tcW w:w="4049" w:type="dxa"/>
            <w:tcBorders>
              <w:top w:val="nil"/>
              <w:left w:val="nil"/>
              <w:bottom w:val="single" w:sz="4" w:space="0" w:color="auto"/>
              <w:right w:val="single" w:sz="4" w:space="0" w:color="auto"/>
            </w:tcBorders>
            <w:shd w:val="clear" w:color="auto" w:fill="C6EFCE"/>
            <w:noWrap/>
            <w:vAlign w:val="center"/>
          </w:tcPr>
          <w:p w14:paraId="6CBB01CC" w14:textId="77777777" w:rsidR="00154E32" w:rsidRDefault="00A43E04">
            <w:pPr>
              <w:pStyle w:val="P68B1DB1-Normal12"/>
              <w:rPr>
                <w:noProof/>
              </w:rPr>
            </w:pPr>
            <w:r>
              <w:rPr>
                <w:noProof/>
              </w:rPr>
              <w:t>Sprejetje smernic o izvajanju kvalifikacijskega sistema za javne naročnike.</w:t>
            </w:r>
          </w:p>
        </w:tc>
      </w:tr>
      <w:tr w:rsidR="00154E32" w14:paraId="0216427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DD67112" w14:textId="77777777" w:rsidR="00154E32" w:rsidRDefault="00A43E04">
            <w:pPr>
              <w:pStyle w:val="P68B1DB1-Normal12"/>
              <w:jc w:val="center"/>
              <w:rPr>
                <w:noProof/>
              </w:rPr>
            </w:pPr>
            <w:r>
              <w:rPr>
                <w:noProof/>
              </w:rPr>
              <w:t>M1C1–108</w:t>
            </w:r>
          </w:p>
        </w:tc>
        <w:tc>
          <w:tcPr>
            <w:tcW w:w="3118" w:type="dxa"/>
            <w:tcBorders>
              <w:top w:val="nil"/>
              <w:left w:val="nil"/>
              <w:bottom w:val="single" w:sz="4" w:space="0" w:color="auto"/>
              <w:right w:val="single" w:sz="4" w:space="0" w:color="auto"/>
            </w:tcBorders>
            <w:shd w:val="clear" w:color="auto" w:fill="C6EFCE"/>
            <w:noWrap/>
            <w:vAlign w:val="center"/>
          </w:tcPr>
          <w:p w14:paraId="46BC9375" w14:textId="77777777" w:rsidR="00154E32" w:rsidRDefault="00A43E04">
            <w:pPr>
              <w:pStyle w:val="P68B1DB1-Normal12"/>
              <w:rPr>
                <w:noProof/>
              </w:rPr>
            </w:pPr>
            <w:r>
              <w:rPr>
                <w:noProof/>
              </w:rPr>
              <w:t>Reforma 1.15: Reforma pravil javnega računovodstva</w:t>
            </w:r>
          </w:p>
        </w:tc>
        <w:tc>
          <w:tcPr>
            <w:tcW w:w="1418" w:type="dxa"/>
            <w:tcBorders>
              <w:top w:val="nil"/>
              <w:left w:val="nil"/>
              <w:bottom w:val="single" w:sz="4" w:space="0" w:color="auto"/>
              <w:right w:val="single" w:sz="4" w:space="0" w:color="auto"/>
            </w:tcBorders>
            <w:shd w:val="clear" w:color="auto" w:fill="C6EFCE"/>
            <w:noWrap/>
            <w:vAlign w:val="center"/>
          </w:tcPr>
          <w:p w14:paraId="4B71DA20" w14:textId="77777777" w:rsidR="00154E32" w:rsidRDefault="00A43E04">
            <w:pPr>
              <w:pStyle w:val="P68B1DB1-Normal12"/>
              <w:rPr>
                <w:noProof/>
              </w:rPr>
            </w:pPr>
            <w:r>
              <w:rPr>
                <w:noProof/>
              </w:rPr>
              <w:t>Mejnik</w:t>
            </w:r>
          </w:p>
        </w:tc>
        <w:tc>
          <w:tcPr>
            <w:tcW w:w="4049" w:type="dxa"/>
            <w:tcBorders>
              <w:top w:val="nil"/>
              <w:left w:val="nil"/>
              <w:bottom w:val="single" w:sz="4" w:space="0" w:color="auto"/>
              <w:right w:val="single" w:sz="4" w:space="0" w:color="auto"/>
            </w:tcBorders>
            <w:shd w:val="clear" w:color="auto" w:fill="C6EFCE"/>
            <w:noWrap/>
            <w:vAlign w:val="center"/>
          </w:tcPr>
          <w:p w14:paraId="69C9E9AB" w14:textId="77777777" w:rsidR="00154E32" w:rsidRDefault="00A43E04">
            <w:pPr>
              <w:pStyle w:val="P68B1DB1-Normal12"/>
              <w:rPr>
                <w:noProof/>
              </w:rPr>
            </w:pPr>
            <w:r>
              <w:rPr>
                <w:noProof/>
              </w:rPr>
              <w:t>Odobritev temeljnega okvira, sklopa računovodskih standardov na podlagi nastanka poslovnega dogodka in večdimenzionalnega kontnega načrta</w:t>
            </w:r>
          </w:p>
        </w:tc>
      </w:tr>
      <w:tr w:rsidR="00154E32" w14:paraId="579024D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B0117BD" w14:textId="77777777" w:rsidR="00154E32" w:rsidRDefault="00A43E04">
            <w:pPr>
              <w:pStyle w:val="P68B1DB1-Normal12"/>
              <w:jc w:val="center"/>
              <w:rPr>
                <w:noProof/>
              </w:rPr>
            </w:pPr>
            <w:r>
              <w:rPr>
                <w:noProof/>
              </w:rPr>
              <w:t>M1C1–111</w:t>
            </w:r>
          </w:p>
        </w:tc>
        <w:tc>
          <w:tcPr>
            <w:tcW w:w="3118" w:type="dxa"/>
            <w:tcBorders>
              <w:top w:val="nil"/>
              <w:left w:val="nil"/>
              <w:bottom w:val="single" w:sz="4" w:space="0" w:color="auto"/>
              <w:right w:val="single" w:sz="4" w:space="0" w:color="auto"/>
            </w:tcBorders>
            <w:shd w:val="clear" w:color="auto" w:fill="C6EFCE"/>
            <w:noWrap/>
            <w:vAlign w:val="center"/>
          </w:tcPr>
          <w:p w14:paraId="63F88A32" w14:textId="77777777" w:rsidR="00154E32" w:rsidRDefault="00A43E04">
            <w:pPr>
              <w:pStyle w:val="P68B1DB1-Normal12"/>
              <w:rPr>
                <w:noProof/>
              </w:rPr>
            </w:pPr>
            <w:r>
              <w:rPr>
                <w:noProof/>
              </w:rPr>
              <w:t>Reforma 1.13: Reforma okvira za pregled porabe</w:t>
            </w:r>
          </w:p>
        </w:tc>
        <w:tc>
          <w:tcPr>
            <w:tcW w:w="1418" w:type="dxa"/>
            <w:tcBorders>
              <w:top w:val="nil"/>
              <w:left w:val="nil"/>
              <w:bottom w:val="single" w:sz="4" w:space="0" w:color="auto"/>
              <w:right w:val="single" w:sz="4" w:space="0" w:color="auto"/>
            </w:tcBorders>
            <w:shd w:val="clear" w:color="auto" w:fill="C6EFCE"/>
            <w:noWrap/>
            <w:vAlign w:val="center"/>
          </w:tcPr>
          <w:p w14:paraId="50DA9D85" w14:textId="77777777" w:rsidR="00154E32" w:rsidRDefault="00A43E04">
            <w:pPr>
              <w:pStyle w:val="P68B1DB1-Normal12"/>
              <w:rPr>
                <w:noProof/>
              </w:rPr>
            </w:pPr>
            <w:r>
              <w:rPr>
                <w:noProof/>
              </w:rPr>
              <w:t>Mejnik</w:t>
            </w:r>
          </w:p>
        </w:tc>
        <w:tc>
          <w:tcPr>
            <w:tcW w:w="4049" w:type="dxa"/>
            <w:tcBorders>
              <w:top w:val="nil"/>
              <w:left w:val="nil"/>
              <w:bottom w:val="single" w:sz="4" w:space="0" w:color="auto"/>
              <w:right w:val="single" w:sz="4" w:space="0" w:color="auto"/>
            </w:tcBorders>
            <w:shd w:val="clear" w:color="auto" w:fill="C6EFCE"/>
            <w:noWrap/>
            <w:vAlign w:val="center"/>
          </w:tcPr>
          <w:p w14:paraId="6DD9CCBB" w14:textId="77777777" w:rsidR="00154E32" w:rsidRDefault="00A43E04">
            <w:pPr>
              <w:pStyle w:val="P68B1DB1-Normal12"/>
              <w:rPr>
                <w:noProof/>
              </w:rPr>
            </w:pPr>
            <w:r>
              <w:rPr>
                <w:noProof/>
              </w:rPr>
              <w:t>Zaključek letnega pregleda porabe za leto 2023 glede na cilj prihranka, določen za leto 2022 za leto 2023</w:t>
            </w:r>
          </w:p>
        </w:tc>
      </w:tr>
      <w:tr w:rsidR="00154E32" w14:paraId="12A9836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FE1E5CE" w14:textId="77777777" w:rsidR="00154E32" w:rsidRDefault="00A43E04">
            <w:pPr>
              <w:pStyle w:val="P68B1DB1-Normal12"/>
              <w:jc w:val="center"/>
              <w:rPr>
                <w:noProof/>
              </w:rPr>
            </w:pPr>
            <w:r>
              <w:rPr>
                <w:noProof/>
              </w:rPr>
              <w:t>M1C1–112</w:t>
            </w:r>
          </w:p>
        </w:tc>
        <w:tc>
          <w:tcPr>
            <w:tcW w:w="3118" w:type="dxa"/>
            <w:tcBorders>
              <w:top w:val="nil"/>
              <w:left w:val="nil"/>
              <w:bottom w:val="single" w:sz="4" w:space="0" w:color="auto"/>
              <w:right w:val="single" w:sz="4" w:space="0" w:color="auto"/>
            </w:tcBorders>
            <w:shd w:val="clear" w:color="auto" w:fill="C6EFCE"/>
            <w:noWrap/>
            <w:vAlign w:val="center"/>
          </w:tcPr>
          <w:p w14:paraId="2839F54A" w14:textId="77777777" w:rsidR="00154E32" w:rsidRDefault="00A43E04">
            <w:pPr>
              <w:pStyle w:val="P68B1DB1-Normal12"/>
              <w:rPr>
                <w:noProof/>
              </w:rPr>
            </w:pPr>
            <w:r>
              <w:rPr>
                <w:noProof/>
              </w:rPr>
              <w:t>Reforma 1.12: Reforma davčne uprave</w:t>
            </w:r>
          </w:p>
        </w:tc>
        <w:tc>
          <w:tcPr>
            <w:tcW w:w="1418" w:type="dxa"/>
            <w:tcBorders>
              <w:top w:val="nil"/>
              <w:left w:val="nil"/>
              <w:bottom w:val="single" w:sz="4" w:space="0" w:color="auto"/>
              <w:right w:val="single" w:sz="4" w:space="0" w:color="auto"/>
            </w:tcBorders>
            <w:shd w:val="clear" w:color="auto" w:fill="C6EFCE"/>
            <w:noWrap/>
            <w:vAlign w:val="center"/>
          </w:tcPr>
          <w:p w14:paraId="5283EF79" w14:textId="77777777" w:rsidR="00154E32" w:rsidRDefault="00A43E04">
            <w:pPr>
              <w:pStyle w:val="P68B1DB1-Normal12"/>
              <w:rPr>
                <w:noProof/>
              </w:rPr>
            </w:pPr>
            <w:r>
              <w:rPr>
                <w:noProof/>
              </w:rPr>
              <w:t>Tarča</w:t>
            </w:r>
          </w:p>
        </w:tc>
        <w:tc>
          <w:tcPr>
            <w:tcW w:w="4049" w:type="dxa"/>
            <w:tcBorders>
              <w:top w:val="nil"/>
              <w:left w:val="nil"/>
              <w:bottom w:val="single" w:sz="4" w:space="0" w:color="auto"/>
              <w:right w:val="single" w:sz="4" w:space="0" w:color="auto"/>
            </w:tcBorders>
            <w:shd w:val="clear" w:color="auto" w:fill="C6EFCE"/>
            <w:noWrap/>
            <w:vAlign w:val="center"/>
          </w:tcPr>
          <w:p w14:paraId="2A86DBC3" w14:textId="77777777" w:rsidR="00154E32" w:rsidRDefault="00A43E04">
            <w:pPr>
              <w:pStyle w:val="P68B1DB1-Normal12"/>
              <w:rPr>
                <w:noProof/>
              </w:rPr>
            </w:pPr>
            <w:r>
              <w:rPr>
                <w:noProof/>
              </w:rPr>
              <w:t>Izboljšanje operativne zmogljivosti davčne uprave, kot je navedeno v načrtu uspešnosti za obdobje 2021–2023 agencije za prihodke</w:t>
            </w:r>
          </w:p>
        </w:tc>
      </w:tr>
      <w:tr w:rsidR="00154E32" w14:paraId="0804D4F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C231622" w14:textId="77777777" w:rsidR="00154E32" w:rsidRDefault="00A43E04">
            <w:pPr>
              <w:pStyle w:val="P68B1DB1-Normal12"/>
              <w:jc w:val="center"/>
              <w:rPr>
                <w:noProof/>
              </w:rPr>
            </w:pPr>
            <w:r>
              <w:rPr>
                <w:noProof/>
              </w:rPr>
              <w:t>M1C2–2</w:t>
            </w:r>
          </w:p>
        </w:tc>
        <w:tc>
          <w:tcPr>
            <w:tcW w:w="3118" w:type="dxa"/>
            <w:tcBorders>
              <w:top w:val="nil"/>
              <w:left w:val="nil"/>
              <w:bottom w:val="single" w:sz="4" w:space="0" w:color="auto"/>
              <w:right w:val="single" w:sz="4" w:space="0" w:color="auto"/>
            </w:tcBorders>
            <w:shd w:val="clear" w:color="auto" w:fill="C6EFCE"/>
            <w:noWrap/>
            <w:vAlign w:val="center"/>
          </w:tcPr>
          <w:p w14:paraId="3914D8AA" w14:textId="77777777" w:rsidR="00154E32" w:rsidRDefault="00A43E04">
            <w:pPr>
              <w:pStyle w:val="P68B1DB1-Normal12"/>
              <w:rPr>
                <w:noProof/>
              </w:rPr>
            </w:pPr>
            <w:r>
              <w:rPr>
                <w:noProof/>
              </w:rPr>
              <w:t>Naložba 1: Prehod 4.0</w:t>
            </w:r>
          </w:p>
        </w:tc>
        <w:tc>
          <w:tcPr>
            <w:tcW w:w="1418" w:type="dxa"/>
            <w:tcBorders>
              <w:top w:val="nil"/>
              <w:left w:val="nil"/>
              <w:bottom w:val="single" w:sz="4" w:space="0" w:color="auto"/>
              <w:right w:val="single" w:sz="4" w:space="0" w:color="auto"/>
            </w:tcBorders>
            <w:shd w:val="clear" w:color="auto" w:fill="C6EFCE"/>
            <w:noWrap/>
            <w:vAlign w:val="center"/>
          </w:tcPr>
          <w:p w14:paraId="6FC8C214" w14:textId="77777777" w:rsidR="00154E32" w:rsidRDefault="00A43E04">
            <w:pPr>
              <w:pStyle w:val="P68B1DB1-Normal12"/>
              <w:rPr>
                <w:noProof/>
              </w:rPr>
            </w:pPr>
            <w:r>
              <w:rPr>
                <w:noProof/>
              </w:rPr>
              <w:t>Tarča</w:t>
            </w:r>
          </w:p>
        </w:tc>
        <w:tc>
          <w:tcPr>
            <w:tcW w:w="4049" w:type="dxa"/>
            <w:tcBorders>
              <w:top w:val="nil"/>
              <w:left w:val="nil"/>
              <w:bottom w:val="single" w:sz="4" w:space="0" w:color="auto"/>
              <w:right w:val="single" w:sz="4" w:space="0" w:color="auto"/>
            </w:tcBorders>
            <w:shd w:val="clear" w:color="auto" w:fill="C6EFCE"/>
            <w:noWrap/>
            <w:vAlign w:val="center"/>
          </w:tcPr>
          <w:p w14:paraId="03CA6EAF" w14:textId="77777777" w:rsidR="00154E32" w:rsidRDefault="00A43E04">
            <w:pPr>
              <w:pStyle w:val="P68B1DB1-Normal12"/>
              <w:rPr>
                <w:noProof/>
              </w:rPr>
            </w:pPr>
            <w:r>
              <w:rPr>
                <w:noProof/>
              </w:rPr>
              <w:t>Prehod 4.0 davčni dobropisi, odobreni podjetjem na podlagi davčnih napovedi, predloženih v obdobju 2021–2022</w:t>
            </w:r>
          </w:p>
        </w:tc>
      </w:tr>
      <w:tr w:rsidR="00154E32" w14:paraId="555C91A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C6AD3B5" w14:textId="77777777" w:rsidR="00154E32" w:rsidRDefault="00A43E04">
            <w:pPr>
              <w:pStyle w:val="P68B1DB1-Normal12"/>
              <w:jc w:val="center"/>
              <w:rPr>
                <w:noProof/>
              </w:rPr>
            </w:pPr>
            <w:r>
              <w:rPr>
                <w:noProof/>
              </w:rPr>
              <w:t>M1C3–9</w:t>
            </w:r>
          </w:p>
        </w:tc>
        <w:tc>
          <w:tcPr>
            <w:tcW w:w="3118" w:type="dxa"/>
            <w:tcBorders>
              <w:top w:val="nil"/>
              <w:left w:val="nil"/>
              <w:bottom w:val="single" w:sz="4" w:space="0" w:color="auto"/>
              <w:right w:val="single" w:sz="4" w:space="0" w:color="auto"/>
            </w:tcBorders>
            <w:shd w:val="clear" w:color="auto" w:fill="C6EFCE"/>
            <w:noWrap/>
            <w:vAlign w:val="center"/>
          </w:tcPr>
          <w:p w14:paraId="6948A7A2" w14:textId="77777777" w:rsidR="00154E32" w:rsidRDefault="00A43E04">
            <w:pPr>
              <w:pStyle w:val="P68B1DB1-Normal12"/>
              <w:rPr>
                <w:noProof/>
              </w:rPr>
            </w:pPr>
            <w:r>
              <w:rPr>
                <w:noProof/>
              </w:rPr>
              <w:t>Naložba 4.1 Digitalno vozlišče za turizem</w:t>
            </w:r>
          </w:p>
        </w:tc>
        <w:tc>
          <w:tcPr>
            <w:tcW w:w="1418" w:type="dxa"/>
            <w:tcBorders>
              <w:top w:val="nil"/>
              <w:left w:val="nil"/>
              <w:bottom w:val="single" w:sz="4" w:space="0" w:color="auto"/>
              <w:right w:val="single" w:sz="4" w:space="0" w:color="auto"/>
            </w:tcBorders>
            <w:shd w:val="clear" w:color="auto" w:fill="C6EFCE"/>
            <w:noWrap/>
            <w:vAlign w:val="center"/>
          </w:tcPr>
          <w:p w14:paraId="2353ECBC" w14:textId="77777777" w:rsidR="00154E32" w:rsidRDefault="00A43E04">
            <w:pPr>
              <w:pStyle w:val="P68B1DB1-Normal12"/>
              <w:rPr>
                <w:noProof/>
              </w:rPr>
            </w:pPr>
            <w:r>
              <w:rPr>
                <w:noProof/>
              </w:rPr>
              <w:t>Tarča</w:t>
            </w:r>
          </w:p>
        </w:tc>
        <w:tc>
          <w:tcPr>
            <w:tcW w:w="4049" w:type="dxa"/>
            <w:tcBorders>
              <w:top w:val="nil"/>
              <w:left w:val="nil"/>
              <w:bottom w:val="single" w:sz="4" w:space="0" w:color="auto"/>
              <w:right w:val="single" w:sz="4" w:space="0" w:color="auto"/>
            </w:tcBorders>
            <w:shd w:val="clear" w:color="auto" w:fill="C6EFCE"/>
            <w:noWrap/>
            <w:vAlign w:val="center"/>
          </w:tcPr>
          <w:p w14:paraId="65ADBDF0" w14:textId="77777777" w:rsidR="00154E32" w:rsidRDefault="00A43E04">
            <w:pPr>
              <w:pStyle w:val="P68B1DB1-Normal12"/>
              <w:rPr>
                <w:noProof/>
              </w:rPr>
            </w:pPr>
            <w:r>
              <w:rPr>
                <w:noProof/>
              </w:rPr>
              <w:t>Sodelovanje turističnih izvajalcev v digitalnem turističnem vozlišču</w:t>
            </w:r>
          </w:p>
        </w:tc>
      </w:tr>
      <w:tr w:rsidR="00154E32" w14:paraId="1B2C736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B4BA77A" w14:textId="77777777" w:rsidR="00154E32" w:rsidRDefault="00A43E04">
            <w:pPr>
              <w:pStyle w:val="P68B1DB1-Normal12"/>
              <w:jc w:val="center"/>
              <w:rPr>
                <w:noProof/>
              </w:rPr>
            </w:pPr>
            <w:r>
              <w:rPr>
                <w:noProof/>
              </w:rPr>
              <w:t>M1C3–10</w:t>
            </w:r>
          </w:p>
        </w:tc>
        <w:tc>
          <w:tcPr>
            <w:tcW w:w="3118" w:type="dxa"/>
            <w:tcBorders>
              <w:top w:val="nil"/>
              <w:left w:val="nil"/>
              <w:bottom w:val="single" w:sz="4" w:space="0" w:color="auto"/>
              <w:right w:val="single" w:sz="4" w:space="0" w:color="auto"/>
            </w:tcBorders>
            <w:shd w:val="clear" w:color="auto" w:fill="C6EFCE"/>
            <w:noWrap/>
            <w:vAlign w:val="center"/>
          </w:tcPr>
          <w:p w14:paraId="0064D2EF" w14:textId="77777777" w:rsidR="00154E32" w:rsidRDefault="00A43E04">
            <w:pPr>
              <w:pStyle w:val="P68B1DB1-Normal12"/>
              <w:rPr>
                <w:noProof/>
              </w:rPr>
            </w:pPr>
            <w:r>
              <w:rPr>
                <w:noProof/>
              </w:rPr>
              <w:t xml:space="preserve">Reforma 4.1: regulacija poklicev turističnih vodnikov. </w:t>
            </w:r>
          </w:p>
        </w:tc>
        <w:tc>
          <w:tcPr>
            <w:tcW w:w="1418" w:type="dxa"/>
            <w:tcBorders>
              <w:top w:val="nil"/>
              <w:left w:val="nil"/>
              <w:bottom w:val="single" w:sz="4" w:space="0" w:color="auto"/>
              <w:right w:val="single" w:sz="4" w:space="0" w:color="auto"/>
            </w:tcBorders>
            <w:shd w:val="clear" w:color="auto" w:fill="C6EFCE"/>
            <w:noWrap/>
            <w:vAlign w:val="center"/>
          </w:tcPr>
          <w:p w14:paraId="36FCC59C" w14:textId="77777777" w:rsidR="00154E32" w:rsidRDefault="00A43E04">
            <w:pPr>
              <w:pStyle w:val="P68B1DB1-Normal12"/>
              <w:rPr>
                <w:noProof/>
              </w:rPr>
            </w:pPr>
            <w:r>
              <w:rPr>
                <w:noProof/>
              </w:rPr>
              <w:t>Mejnik</w:t>
            </w:r>
          </w:p>
        </w:tc>
        <w:tc>
          <w:tcPr>
            <w:tcW w:w="4049" w:type="dxa"/>
            <w:tcBorders>
              <w:top w:val="nil"/>
              <w:left w:val="nil"/>
              <w:bottom w:val="single" w:sz="4" w:space="0" w:color="auto"/>
              <w:right w:val="single" w:sz="4" w:space="0" w:color="auto"/>
            </w:tcBorders>
            <w:shd w:val="clear" w:color="auto" w:fill="C6EFCE"/>
            <w:noWrap/>
            <w:vAlign w:val="center"/>
          </w:tcPr>
          <w:p w14:paraId="1A35C0A7" w14:textId="77777777" w:rsidR="00154E32" w:rsidRDefault="00A43E04">
            <w:pPr>
              <w:pStyle w:val="P68B1DB1-Normal12"/>
              <w:rPr>
                <w:noProof/>
              </w:rPr>
            </w:pPr>
            <w:r>
              <w:rPr>
                <w:noProof/>
              </w:rPr>
              <w:t>Opredelitev nacionalnega standarda za turistične vodnike</w:t>
            </w:r>
          </w:p>
        </w:tc>
      </w:tr>
      <w:tr w:rsidR="00154E32" w14:paraId="256EAFA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353FAC1" w14:textId="77777777" w:rsidR="00154E32" w:rsidRDefault="00A43E04">
            <w:pPr>
              <w:pStyle w:val="P68B1DB1-Normal12"/>
              <w:jc w:val="center"/>
              <w:rPr>
                <w:noProof/>
              </w:rPr>
            </w:pPr>
            <w:r>
              <w:rPr>
                <w:noProof/>
              </w:rPr>
              <w:t>M2C1–6</w:t>
            </w:r>
          </w:p>
        </w:tc>
        <w:tc>
          <w:tcPr>
            <w:tcW w:w="3118" w:type="dxa"/>
            <w:tcBorders>
              <w:top w:val="nil"/>
              <w:left w:val="nil"/>
              <w:bottom w:val="single" w:sz="4" w:space="0" w:color="auto"/>
              <w:right w:val="single" w:sz="4" w:space="0" w:color="auto"/>
            </w:tcBorders>
            <w:shd w:val="clear" w:color="auto" w:fill="C6EFCE"/>
            <w:noWrap/>
            <w:vAlign w:val="center"/>
          </w:tcPr>
          <w:p w14:paraId="17C78AC5" w14:textId="77777777" w:rsidR="00154E32" w:rsidRDefault="00A43E04">
            <w:pPr>
              <w:pStyle w:val="P68B1DB1-Normal12"/>
              <w:rPr>
                <w:noProof/>
              </w:rPr>
            </w:pPr>
            <w:r>
              <w:rPr>
                <w:noProof/>
              </w:rPr>
              <w:t>Naložba 2.2: Kmetijsko-sonalni park</w:t>
            </w:r>
          </w:p>
        </w:tc>
        <w:tc>
          <w:tcPr>
            <w:tcW w:w="1418" w:type="dxa"/>
            <w:tcBorders>
              <w:top w:val="nil"/>
              <w:left w:val="nil"/>
              <w:bottom w:val="single" w:sz="4" w:space="0" w:color="auto"/>
              <w:right w:val="single" w:sz="4" w:space="0" w:color="auto"/>
            </w:tcBorders>
            <w:shd w:val="clear" w:color="auto" w:fill="C6EFCE"/>
            <w:noWrap/>
            <w:vAlign w:val="center"/>
          </w:tcPr>
          <w:p w14:paraId="5D235413" w14:textId="77777777" w:rsidR="00154E32" w:rsidRDefault="00A43E04">
            <w:pPr>
              <w:pStyle w:val="P68B1DB1-Normal12"/>
              <w:rPr>
                <w:noProof/>
              </w:rPr>
            </w:pPr>
            <w:r>
              <w:rPr>
                <w:noProof/>
              </w:rPr>
              <w:t>Tarča</w:t>
            </w:r>
          </w:p>
        </w:tc>
        <w:tc>
          <w:tcPr>
            <w:tcW w:w="4049" w:type="dxa"/>
            <w:tcBorders>
              <w:top w:val="nil"/>
              <w:left w:val="nil"/>
              <w:bottom w:val="single" w:sz="4" w:space="0" w:color="auto"/>
              <w:right w:val="single" w:sz="4" w:space="0" w:color="auto"/>
            </w:tcBorders>
            <w:shd w:val="clear" w:color="auto" w:fill="C6EFCE"/>
            <w:noWrap/>
            <w:vAlign w:val="center"/>
          </w:tcPr>
          <w:p w14:paraId="2F5D32B2" w14:textId="77777777" w:rsidR="00154E32" w:rsidRDefault="00A43E04">
            <w:pPr>
              <w:pStyle w:val="P68B1DB1-Normal12"/>
              <w:rPr>
                <w:noProof/>
              </w:rPr>
            </w:pPr>
            <w:r>
              <w:rPr>
                <w:noProof/>
              </w:rPr>
              <w:t>Dodelitev sredstev upravičencem kot % skupnih finančnih sredstev, dodeljenih za naložbo</w:t>
            </w:r>
          </w:p>
        </w:tc>
      </w:tr>
      <w:tr w:rsidR="00154E32" w14:paraId="6ABD387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25677F6" w14:textId="77777777" w:rsidR="00154E32" w:rsidRDefault="00A43E04">
            <w:pPr>
              <w:pStyle w:val="P68B1DB1-Normal12"/>
              <w:jc w:val="center"/>
              <w:rPr>
                <w:noProof/>
              </w:rPr>
            </w:pPr>
            <w:r>
              <w:rPr>
                <w:noProof/>
              </w:rPr>
              <w:t>M3C2–5</w:t>
            </w:r>
          </w:p>
        </w:tc>
        <w:tc>
          <w:tcPr>
            <w:tcW w:w="3118" w:type="dxa"/>
            <w:tcBorders>
              <w:top w:val="nil"/>
              <w:left w:val="nil"/>
              <w:bottom w:val="single" w:sz="4" w:space="0" w:color="auto"/>
              <w:right w:val="single" w:sz="4" w:space="0" w:color="auto"/>
            </w:tcBorders>
            <w:shd w:val="clear" w:color="auto" w:fill="C6EFCE"/>
            <w:noWrap/>
            <w:vAlign w:val="center"/>
          </w:tcPr>
          <w:p w14:paraId="6A44D25C" w14:textId="77777777" w:rsidR="00154E32" w:rsidRDefault="00A43E04">
            <w:pPr>
              <w:pStyle w:val="P68B1DB1-Normal12"/>
              <w:rPr>
                <w:noProof/>
              </w:rPr>
            </w:pPr>
            <w:r>
              <w:rPr>
                <w:noProof/>
              </w:rPr>
              <w:t>Naložba 2.1 – Digitalizacija logistične verige</w:t>
            </w:r>
          </w:p>
        </w:tc>
        <w:tc>
          <w:tcPr>
            <w:tcW w:w="1418" w:type="dxa"/>
            <w:tcBorders>
              <w:top w:val="nil"/>
              <w:left w:val="nil"/>
              <w:bottom w:val="single" w:sz="4" w:space="0" w:color="auto"/>
              <w:right w:val="single" w:sz="4" w:space="0" w:color="auto"/>
            </w:tcBorders>
            <w:shd w:val="clear" w:color="auto" w:fill="C6EFCE"/>
            <w:noWrap/>
            <w:vAlign w:val="center"/>
          </w:tcPr>
          <w:p w14:paraId="6D4703E3" w14:textId="77777777" w:rsidR="00154E32" w:rsidRDefault="00A43E04">
            <w:pPr>
              <w:pStyle w:val="P68B1DB1-Normal12"/>
              <w:rPr>
                <w:noProof/>
              </w:rPr>
            </w:pPr>
            <w:r>
              <w:rPr>
                <w:noProof/>
              </w:rPr>
              <w:t>Tarča</w:t>
            </w:r>
          </w:p>
        </w:tc>
        <w:tc>
          <w:tcPr>
            <w:tcW w:w="4049" w:type="dxa"/>
            <w:tcBorders>
              <w:top w:val="nil"/>
              <w:left w:val="nil"/>
              <w:bottom w:val="single" w:sz="4" w:space="0" w:color="auto"/>
              <w:right w:val="single" w:sz="4" w:space="0" w:color="auto"/>
            </w:tcBorders>
            <w:shd w:val="clear" w:color="auto" w:fill="C6EFCE"/>
            <w:noWrap/>
            <w:vAlign w:val="center"/>
          </w:tcPr>
          <w:p w14:paraId="586D0DF4" w14:textId="77777777" w:rsidR="00154E32" w:rsidRDefault="00A43E04">
            <w:pPr>
              <w:pStyle w:val="P68B1DB1-Normal12"/>
              <w:rPr>
                <w:noProof/>
              </w:rPr>
            </w:pPr>
            <w:r>
              <w:rPr>
                <w:noProof/>
              </w:rPr>
              <w:t>Digitalizacija logistične verige</w:t>
            </w:r>
          </w:p>
        </w:tc>
      </w:tr>
      <w:tr w:rsidR="00154E32" w14:paraId="0B3DB99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82BD324" w14:textId="77777777" w:rsidR="00154E32" w:rsidRDefault="00A43E04">
            <w:pPr>
              <w:pStyle w:val="P68B1DB1-Normal12"/>
              <w:jc w:val="center"/>
              <w:rPr>
                <w:noProof/>
              </w:rPr>
            </w:pPr>
            <w:r>
              <w:rPr>
                <w:noProof/>
              </w:rPr>
              <w:t>M5C2–2</w:t>
            </w:r>
          </w:p>
        </w:tc>
        <w:tc>
          <w:tcPr>
            <w:tcW w:w="3118" w:type="dxa"/>
            <w:tcBorders>
              <w:top w:val="nil"/>
              <w:left w:val="nil"/>
              <w:bottom w:val="single" w:sz="4" w:space="0" w:color="auto"/>
              <w:right w:val="single" w:sz="4" w:space="0" w:color="auto"/>
            </w:tcBorders>
            <w:shd w:val="clear" w:color="auto" w:fill="C6EFCE"/>
            <w:noWrap/>
            <w:vAlign w:val="center"/>
          </w:tcPr>
          <w:p w14:paraId="445008D5" w14:textId="77777777" w:rsidR="00154E32" w:rsidRDefault="00A43E04">
            <w:pPr>
              <w:pStyle w:val="P68B1DB1-Normal12"/>
              <w:rPr>
                <w:noProof/>
              </w:rPr>
            </w:pPr>
            <w:r>
              <w:rPr>
                <w:noProof/>
              </w:rPr>
              <w:t>Reforma 1 – Okvirni zakon o invalidnosti</w:t>
            </w:r>
          </w:p>
        </w:tc>
        <w:tc>
          <w:tcPr>
            <w:tcW w:w="1418" w:type="dxa"/>
            <w:tcBorders>
              <w:top w:val="nil"/>
              <w:left w:val="nil"/>
              <w:bottom w:val="single" w:sz="4" w:space="0" w:color="auto"/>
              <w:right w:val="single" w:sz="4" w:space="0" w:color="auto"/>
            </w:tcBorders>
            <w:shd w:val="clear" w:color="auto" w:fill="C6EFCE"/>
            <w:noWrap/>
            <w:vAlign w:val="center"/>
          </w:tcPr>
          <w:p w14:paraId="4D6FBDDA" w14:textId="77777777" w:rsidR="00154E32" w:rsidRDefault="00A43E04">
            <w:pPr>
              <w:pStyle w:val="P68B1DB1-Normal12"/>
              <w:rPr>
                <w:noProof/>
              </w:rPr>
            </w:pPr>
            <w:r>
              <w:rPr>
                <w:noProof/>
              </w:rPr>
              <w:t>Mejnik</w:t>
            </w:r>
          </w:p>
        </w:tc>
        <w:tc>
          <w:tcPr>
            <w:tcW w:w="4049" w:type="dxa"/>
            <w:tcBorders>
              <w:top w:val="nil"/>
              <w:left w:val="nil"/>
              <w:bottom w:val="single" w:sz="4" w:space="0" w:color="auto"/>
              <w:right w:val="single" w:sz="4" w:space="0" w:color="auto"/>
            </w:tcBorders>
            <w:shd w:val="clear" w:color="auto" w:fill="C6EFCE"/>
            <w:noWrap/>
            <w:vAlign w:val="center"/>
          </w:tcPr>
          <w:p w14:paraId="52D3324E" w14:textId="77777777" w:rsidR="00154E32" w:rsidRDefault="00A43E04">
            <w:pPr>
              <w:pStyle w:val="P68B1DB1-Normal12"/>
              <w:rPr>
                <w:noProof/>
              </w:rPr>
            </w:pPr>
            <w:r>
              <w:rPr>
                <w:noProof/>
              </w:rPr>
              <w:t>Začetek veljavnosti okvirnega zakona in vladno sprejetje zakonodajnih uredb, ki razvijajo določbe okvirnega zakona za krepitev avtonomije invalidov</w:t>
            </w:r>
          </w:p>
        </w:tc>
      </w:tr>
      <w:tr w:rsidR="00154E32" w14:paraId="56259FED"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5A04EAB5" w14:textId="77777777" w:rsidR="00154E32" w:rsidRDefault="00154E32">
            <w:pPr>
              <w:jc w:val="center"/>
              <w:rPr>
                <w:noProof/>
                <w:color w:val="006100"/>
                <w:sz w:val="20"/>
              </w:rPr>
            </w:pPr>
          </w:p>
        </w:tc>
        <w:tc>
          <w:tcPr>
            <w:tcW w:w="3118" w:type="dxa"/>
            <w:tcBorders>
              <w:top w:val="single" w:sz="4" w:space="0" w:color="auto"/>
              <w:left w:val="nil"/>
              <w:bottom w:val="single" w:sz="4" w:space="0" w:color="auto"/>
              <w:right w:val="single" w:sz="4" w:space="0" w:color="auto"/>
            </w:tcBorders>
            <w:shd w:val="clear" w:color="auto" w:fill="C6EFCE"/>
            <w:noWrap/>
            <w:vAlign w:val="bottom"/>
          </w:tcPr>
          <w:p w14:paraId="09AD0556" w14:textId="77777777" w:rsidR="00154E32" w:rsidRDefault="00154E32">
            <w:pPr>
              <w:rPr>
                <w:noProof/>
                <w:color w:val="006100"/>
                <w:sz w:val="20"/>
              </w:rPr>
            </w:pPr>
          </w:p>
        </w:tc>
        <w:tc>
          <w:tcPr>
            <w:tcW w:w="1418" w:type="dxa"/>
            <w:tcBorders>
              <w:top w:val="single" w:sz="4" w:space="0" w:color="auto"/>
              <w:left w:val="nil"/>
              <w:bottom w:val="single" w:sz="4" w:space="0" w:color="auto"/>
              <w:right w:val="single" w:sz="4" w:space="0" w:color="auto"/>
            </w:tcBorders>
            <w:shd w:val="clear" w:color="auto" w:fill="C6EFCE"/>
            <w:noWrap/>
            <w:vAlign w:val="bottom"/>
          </w:tcPr>
          <w:p w14:paraId="4DB27714" w14:textId="77777777" w:rsidR="00154E32" w:rsidRDefault="00A43E04">
            <w:pPr>
              <w:pStyle w:val="P68B1DB1-Normal12"/>
              <w:rPr>
                <w:noProof/>
              </w:rPr>
            </w:pPr>
            <w:r>
              <w:rPr>
                <w:noProof/>
              </w:rPr>
              <w:t>Znesek obroka</w:t>
            </w:r>
          </w:p>
        </w:tc>
        <w:tc>
          <w:tcPr>
            <w:tcW w:w="4049" w:type="dxa"/>
            <w:tcBorders>
              <w:top w:val="single" w:sz="4" w:space="0" w:color="auto"/>
              <w:left w:val="nil"/>
              <w:bottom w:val="single" w:sz="4" w:space="0" w:color="auto"/>
              <w:right w:val="single" w:sz="4" w:space="0" w:color="auto"/>
            </w:tcBorders>
            <w:shd w:val="clear" w:color="auto" w:fill="C6EFCE"/>
            <w:noWrap/>
            <w:vAlign w:val="bottom"/>
          </w:tcPr>
          <w:p w14:paraId="528F1501" w14:textId="606C953E" w:rsidR="00154E32" w:rsidRDefault="00A43E04">
            <w:pPr>
              <w:pStyle w:val="P68B1DB1-Normal46"/>
              <w:rPr>
                <w:noProof/>
              </w:rPr>
            </w:pPr>
            <w:r>
              <w:rPr>
                <w:noProof/>
              </w:rPr>
              <w:t>2</w:t>
            </w:r>
            <w:r>
              <w:rPr>
                <w:noProof/>
              </w:rPr>
              <w:t> </w:t>
            </w:r>
            <w:r>
              <w:rPr>
                <w:noProof/>
              </w:rPr>
              <w:t>200</w:t>
            </w:r>
            <w:r>
              <w:rPr>
                <w:noProof/>
              </w:rPr>
              <w:t> </w:t>
            </w:r>
            <w:r>
              <w:rPr>
                <w:noProof/>
              </w:rPr>
              <w:t>368</w:t>
            </w:r>
            <w:r>
              <w:rPr>
                <w:noProof/>
              </w:rPr>
              <w:t> </w:t>
            </w:r>
            <w:r>
              <w:rPr>
                <w:noProof/>
              </w:rPr>
              <w:t>263</w:t>
            </w:r>
            <w:r>
              <w:rPr>
                <w:noProof/>
              </w:rPr>
              <w:t> </w:t>
            </w:r>
            <w:r>
              <w:rPr>
                <w:noProof/>
              </w:rPr>
              <w:t>EUR</w:t>
            </w:r>
          </w:p>
        </w:tc>
      </w:tr>
    </w:tbl>
    <w:p w14:paraId="6A204F76" w14:textId="50F21AE8" w:rsidR="00154E32" w:rsidRDefault="00A43E04">
      <w:pPr>
        <w:pStyle w:val="P68B1DB1-Normal44"/>
        <w:numPr>
          <w:ilvl w:val="1"/>
          <w:numId w:val="6"/>
        </w:numPr>
        <w:spacing w:before="120" w:after="120"/>
        <w:jc w:val="both"/>
        <w:rPr>
          <w:noProof/>
        </w:rPr>
      </w:pPr>
      <w:r>
        <w:rPr>
          <w:noProof/>
        </w:rPr>
        <w:t>Sedma namestitev (nepovratna podpora):</w:t>
      </w:r>
    </w:p>
    <w:tbl>
      <w:tblPr>
        <w:tblW w:w="9969" w:type="dxa"/>
        <w:tblInd w:w="113" w:type="dxa"/>
        <w:tblLook w:val="04A0" w:firstRow="1" w:lastRow="0" w:firstColumn="1" w:lastColumn="0" w:noHBand="0" w:noVBand="1"/>
      </w:tblPr>
      <w:tblGrid>
        <w:gridCol w:w="1413"/>
        <w:gridCol w:w="3118"/>
        <w:gridCol w:w="1418"/>
        <w:gridCol w:w="4020"/>
      </w:tblGrid>
      <w:tr w:rsidR="00154E32" w14:paraId="62AA890A" w14:textId="77777777">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22FA211" w14:textId="77777777" w:rsidR="00154E32" w:rsidRDefault="00A43E04">
            <w:pPr>
              <w:pStyle w:val="P68B1DB1-Normal45"/>
              <w:jc w:val="center"/>
              <w:rPr>
                <w:noProof/>
              </w:rPr>
            </w:pPr>
            <w:r>
              <w:rPr>
                <w:noProof/>
              </w:rPr>
              <w:t>Zaporedna številka</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8693F0A" w14:textId="77777777" w:rsidR="00154E32" w:rsidRDefault="00A43E04">
            <w:pPr>
              <w:pStyle w:val="P68B1DB1-Normal45"/>
              <w:jc w:val="center"/>
              <w:rPr>
                <w:noProof/>
              </w:rPr>
            </w:pPr>
            <w:r>
              <w:rPr>
                <w:noProof/>
              </w:rPr>
              <w:t>Povezani ukrep (reforma ali naložba)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8A44CCF" w14:textId="77777777" w:rsidR="00154E32" w:rsidRDefault="00A43E04">
            <w:pPr>
              <w:pStyle w:val="P68B1DB1-Normal45"/>
              <w:jc w:val="center"/>
              <w:rPr>
                <w:noProof/>
              </w:rPr>
            </w:pPr>
            <w:r>
              <w:rPr>
                <w:noProof/>
              </w:rPr>
              <w:t>Mejnik/cilj</w:t>
            </w:r>
          </w:p>
        </w:tc>
        <w:tc>
          <w:tcPr>
            <w:tcW w:w="402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2236370" w14:textId="77777777" w:rsidR="00154E32" w:rsidRDefault="00A43E04">
            <w:pPr>
              <w:pStyle w:val="P68B1DB1-Normal45"/>
              <w:jc w:val="center"/>
              <w:rPr>
                <w:noProof/>
              </w:rPr>
            </w:pPr>
            <w:r>
              <w:rPr>
                <w:noProof/>
              </w:rPr>
              <w:t>Ime</w:t>
            </w:r>
          </w:p>
        </w:tc>
      </w:tr>
      <w:tr w:rsidR="00154E32" w14:paraId="66EBBB91" w14:textId="77777777">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3583E2B" w14:textId="77777777" w:rsidR="00154E32" w:rsidRDefault="00154E32">
            <w:pPr>
              <w:rPr>
                <w:b/>
                <w:noProof/>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2B55C2ED" w14:textId="77777777" w:rsidR="00154E32" w:rsidRDefault="00154E32">
            <w:pPr>
              <w:rPr>
                <w:b/>
                <w:noProof/>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423C6A2" w14:textId="77777777" w:rsidR="00154E32" w:rsidRDefault="00154E32">
            <w:pPr>
              <w:rPr>
                <w:b/>
                <w:noProof/>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14:paraId="3B87E1BC" w14:textId="77777777" w:rsidR="00154E32" w:rsidRDefault="00154E32">
            <w:pPr>
              <w:rPr>
                <w:b/>
                <w:noProof/>
              </w:rPr>
            </w:pPr>
          </w:p>
        </w:tc>
      </w:tr>
      <w:tr w:rsidR="00154E32" w14:paraId="3D61CABA"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C879472" w14:textId="77777777" w:rsidR="00154E32" w:rsidRDefault="00A43E04">
            <w:pPr>
              <w:pStyle w:val="P68B1DB1-Normal12"/>
              <w:jc w:val="center"/>
              <w:rPr>
                <w:noProof/>
              </w:rPr>
            </w:pPr>
            <w:r>
              <w:rPr>
                <w:noProof/>
              </w:rPr>
              <w:t>M1C1–17</w:t>
            </w:r>
          </w:p>
        </w:tc>
        <w:tc>
          <w:tcPr>
            <w:tcW w:w="3118" w:type="dxa"/>
            <w:tcBorders>
              <w:top w:val="single" w:sz="4" w:space="0" w:color="auto"/>
              <w:left w:val="nil"/>
              <w:bottom w:val="single" w:sz="4" w:space="0" w:color="auto"/>
              <w:right w:val="single" w:sz="4" w:space="0" w:color="auto"/>
            </w:tcBorders>
            <w:shd w:val="clear" w:color="auto" w:fill="C6EFCE"/>
            <w:noWrap/>
            <w:vAlign w:val="center"/>
          </w:tcPr>
          <w:p w14:paraId="7856D365" w14:textId="77777777" w:rsidR="00154E32" w:rsidRDefault="00A43E04">
            <w:pPr>
              <w:pStyle w:val="P68B1DB1-Normal12"/>
              <w:rPr>
                <w:noProof/>
              </w:rPr>
            </w:pPr>
            <w:r>
              <w:rPr>
                <w:noProof/>
              </w:rPr>
              <w:t>Naložba 1.1: Digitalna infrastruktura</w:t>
            </w:r>
          </w:p>
        </w:tc>
        <w:tc>
          <w:tcPr>
            <w:tcW w:w="1418" w:type="dxa"/>
            <w:tcBorders>
              <w:top w:val="single" w:sz="4" w:space="0" w:color="auto"/>
              <w:left w:val="nil"/>
              <w:bottom w:val="single" w:sz="4" w:space="0" w:color="auto"/>
              <w:right w:val="single" w:sz="4" w:space="0" w:color="auto"/>
            </w:tcBorders>
            <w:shd w:val="clear" w:color="auto" w:fill="C6EFCE"/>
            <w:noWrap/>
            <w:vAlign w:val="center"/>
          </w:tcPr>
          <w:p w14:paraId="35F8BECE" w14:textId="77777777" w:rsidR="00154E32" w:rsidRDefault="00A43E04">
            <w:pPr>
              <w:pStyle w:val="P68B1DB1-Normal12"/>
              <w:rPr>
                <w:noProof/>
              </w:rPr>
            </w:pPr>
            <w:r>
              <w:rPr>
                <w:noProof/>
              </w:rPr>
              <w:t>Tarča</w:t>
            </w:r>
          </w:p>
        </w:tc>
        <w:tc>
          <w:tcPr>
            <w:tcW w:w="4020" w:type="dxa"/>
            <w:tcBorders>
              <w:top w:val="single" w:sz="4" w:space="0" w:color="auto"/>
              <w:left w:val="nil"/>
              <w:bottom w:val="single" w:sz="4" w:space="0" w:color="auto"/>
              <w:right w:val="single" w:sz="4" w:space="0" w:color="auto"/>
            </w:tcBorders>
            <w:shd w:val="clear" w:color="auto" w:fill="C6EFCE"/>
            <w:noWrap/>
            <w:vAlign w:val="center"/>
          </w:tcPr>
          <w:p w14:paraId="22BCBB15" w14:textId="77777777" w:rsidR="00154E32" w:rsidRDefault="00A43E04">
            <w:pPr>
              <w:pStyle w:val="P68B1DB1-Normal12"/>
              <w:rPr>
                <w:noProof/>
              </w:rPr>
            </w:pPr>
            <w:r>
              <w:rPr>
                <w:noProof/>
              </w:rPr>
              <w:t>Migracije v Polo Strategico Nazionale T1</w:t>
            </w:r>
          </w:p>
        </w:tc>
      </w:tr>
      <w:tr w:rsidR="00154E32" w14:paraId="432B2FB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BAB20F4" w14:textId="77777777" w:rsidR="00154E32" w:rsidRDefault="00A43E04">
            <w:pPr>
              <w:pStyle w:val="P68B1DB1-Normal12"/>
              <w:jc w:val="center"/>
              <w:rPr>
                <w:noProof/>
              </w:rPr>
            </w:pPr>
            <w:r>
              <w:rPr>
                <w:noProof/>
              </w:rPr>
              <w:t>M7–7</w:t>
            </w:r>
          </w:p>
        </w:tc>
        <w:tc>
          <w:tcPr>
            <w:tcW w:w="3118" w:type="dxa"/>
            <w:tcBorders>
              <w:top w:val="nil"/>
              <w:left w:val="nil"/>
              <w:bottom w:val="single" w:sz="4" w:space="0" w:color="auto"/>
              <w:right w:val="single" w:sz="4" w:space="0" w:color="auto"/>
            </w:tcBorders>
            <w:shd w:val="clear" w:color="auto" w:fill="C6EFCE"/>
            <w:noWrap/>
            <w:vAlign w:val="center"/>
          </w:tcPr>
          <w:p w14:paraId="1F1C1340" w14:textId="77777777" w:rsidR="00154E32" w:rsidRDefault="00A43E04">
            <w:pPr>
              <w:pStyle w:val="P68B1DB1-Normal12"/>
              <w:rPr>
                <w:noProof/>
              </w:rPr>
            </w:pPr>
            <w:r>
              <w:rPr>
                <w:noProof/>
              </w:rPr>
              <w:t>Reforma 4: Zmanjševanje finančnega tveganja, povezanega s pogodbami o nakupu električne energije iz obnovljivih virov (pogodbe o nakupu električne energije)</w:t>
            </w:r>
          </w:p>
        </w:tc>
        <w:tc>
          <w:tcPr>
            <w:tcW w:w="1418" w:type="dxa"/>
            <w:tcBorders>
              <w:top w:val="nil"/>
              <w:left w:val="nil"/>
              <w:bottom w:val="single" w:sz="4" w:space="0" w:color="auto"/>
              <w:right w:val="single" w:sz="4" w:space="0" w:color="auto"/>
            </w:tcBorders>
            <w:shd w:val="clear" w:color="auto" w:fill="C6EFCE"/>
            <w:noWrap/>
            <w:vAlign w:val="center"/>
          </w:tcPr>
          <w:p w14:paraId="131B333A" w14:textId="77777777" w:rsidR="00154E32" w:rsidRDefault="00A43E04">
            <w:pPr>
              <w:pStyle w:val="P68B1DB1-Normal12"/>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1588FBA9" w14:textId="77777777" w:rsidR="00154E32" w:rsidRDefault="00A43E04">
            <w:pPr>
              <w:pStyle w:val="P68B1DB1-Normal12"/>
              <w:rPr>
                <w:noProof/>
              </w:rPr>
            </w:pPr>
            <w:r>
              <w:rPr>
                <w:noProof/>
              </w:rPr>
              <w:t>Začetek veljavnosti primarne zakonodaje</w:t>
            </w:r>
          </w:p>
        </w:tc>
      </w:tr>
      <w:tr w:rsidR="00154E32" w14:paraId="4203940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AD2C849" w14:textId="77777777" w:rsidR="00154E32" w:rsidRDefault="00A43E04">
            <w:pPr>
              <w:pStyle w:val="P68B1DB1-Normal12"/>
              <w:jc w:val="center"/>
              <w:rPr>
                <w:noProof/>
              </w:rPr>
            </w:pPr>
            <w:r>
              <w:rPr>
                <w:noProof/>
              </w:rPr>
              <w:t>M7–14</w:t>
            </w:r>
          </w:p>
        </w:tc>
        <w:tc>
          <w:tcPr>
            <w:tcW w:w="3118" w:type="dxa"/>
            <w:tcBorders>
              <w:top w:val="nil"/>
              <w:left w:val="nil"/>
              <w:bottom w:val="single" w:sz="4" w:space="0" w:color="auto"/>
              <w:right w:val="single" w:sz="4" w:space="0" w:color="auto"/>
            </w:tcBorders>
            <w:shd w:val="clear" w:color="auto" w:fill="C6EFCE"/>
            <w:noWrap/>
            <w:vAlign w:val="center"/>
          </w:tcPr>
          <w:p w14:paraId="335A90EE" w14:textId="77777777" w:rsidR="00154E32" w:rsidRDefault="00A43E04">
            <w:pPr>
              <w:pStyle w:val="P68B1DB1-Normal12"/>
              <w:rPr>
                <w:noProof/>
              </w:rPr>
            </w:pPr>
            <w:r>
              <w:rPr>
                <w:noProof/>
              </w:rPr>
              <w:t>Naložba 4: Tirenska povezava</w:t>
            </w:r>
          </w:p>
        </w:tc>
        <w:tc>
          <w:tcPr>
            <w:tcW w:w="1418" w:type="dxa"/>
            <w:tcBorders>
              <w:top w:val="nil"/>
              <w:left w:val="nil"/>
              <w:bottom w:val="single" w:sz="4" w:space="0" w:color="auto"/>
              <w:right w:val="single" w:sz="4" w:space="0" w:color="auto"/>
            </w:tcBorders>
            <w:shd w:val="clear" w:color="auto" w:fill="C6EFCE"/>
            <w:noWrap/>
            <w:vAlign w:val="center"/>
          </w:tcPr>
          <w:p w14:paraId="3476D068" w14:textId="77777777" w:rsidR="00154E32" w:rsidRDefault="00A43E04">
            <w:pPr>
              <w:pStyle w:val="P68B1DB1-Normal12"/>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4D25E65E" w14:textId="77777777" w:rsidR="00154E32" w:rsidRDefault="00A43E04">
            <w:pPr>
              <w:pStyle w:val="P68B1DB1-Normal12"/>
              <w:rPr>
                <w:noProof/>
              </w:rPr>
            </w:pPr>
            <w:r>
              <w:rPr>
                <w:noProof/>
              </w:rPr>
              <w:t>Dodelitev pogodb</w:t>
            </w:r>
          </w:p>
        </w:tc>
      </w:tr>
      <w:tr w:rsidR="00154E32" w14:paraId="0F843AB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E523E90" w14:textId="77777777" w:rsidR="00154E32" w:rsidRDefault="00A43E04">
            <w:pPr>
              <w:pStyle w:val="P68B1DB1-Normal12"/>
              <w:jc w:val="center"/>
              <w:rPr>
                <w:noProof/>
              </w:rPr>
            </w:pPr>
            <w:r>
              <w:rPr>
                <w:noProof/>
              </w:rPr>
              <w:t xml:space="preserve">M3C2–7 </w:t>
            </w:r>
          </w:p>
        </w:tc>
        <w:tc>
          <w:tcPr>
            <w:tcW w:w="3118" w:type="dxa"/>
            <w:tcBorders>
              <w:top w:val="nil"/>
              <w:left w:val="nil"/>
              <w:bottom w:val="single" w:sz="4" w:space="0" w:color="auto"/>
              <w:right w:val="single" w:sz="4" w:space="0" w:color="auto"/>
            </w:tcBorders>
            <w:shd w:val="clear" w:color="auto" w:fill="C6EFCE"/>
            <w:noWrap/>
            <w:vAlign w:val="center"/>
          </w:tcPr>
          <w:p w14:paraId="5436DD5F" w14:textId="77777777" w:rsidR="00154E32" w:rsidRDefault="00A43E04">
            <w:pPr>
              <w:pStyle w:val="P68B1DB1-Normal12"/>
              <w:rPr>
                <w:noProof/>
              </w:rPr>
            </w:pPr>
            <w:r>
              <w:rPr>
                <w:noProof/>
              </w:rPr>
              <w:t xml:space="preserve">Naložba 2.3: Hladno likanje </w:t>
            </w:r>
          </w:p>
        </w:tc>
        <w:tc>
          <w:tcPr>
            <w:tcW w:w="1418" w:type="dxa"/>
            <w:tcBorders>
              <w:top w:val="nil"/>
              <w:left w:val="nil"/>
              <w:bottom w:val="single" w:sz="4" w:space="0" w:color="auto"/>
              <w:right w:val="single" w:sz="4" w:space="0" w:color="auto"/>
            </w:tcBorders>
            <w:shd w:val="clear" w:color="auto" w:fill="C6EFCE"/>
            <w:noWrap/>
            <w:vAlign w:val="center"/>
          </w:tcPr>
          <w:p w14:paraId="57D77527" w14:textId="77777777" w:rsidR="00154E32" w:rsidRDefault="00A43E04">
            <w:pPr>
              <w:pStyle w:val="P68B1DB1-Normal12"/>
              <w:rPr>
                <w:noProof/>
              </w:rPr>
            </w:pPr>
            <w:r>
              <w:rPr>
                <w:noProof/>
              </w:rPr>
              <w:t xml:space="preserve">Mejnik </w:t>
            </w:r>
          </w:p>
        </w:tc>
        <w:tc>
          <w:tcPr>
            <w:tcW w:w="4020" w:type="dxa"/>
            <w:tcBorders>
              <w:top w:val="nil"/>
              <w:left w:val="nil"/>
              <w:bottom w:val="single" w:sz="4" w:space="0" w:color="auto"/>
              <w:right w:val="single" w:sz="4" w:space="0" w:color="auto"/>
            </w:tcBorders>
            <w:shd w:val="clear" w:color="auto" w:fill="C6EFCE"/>
            <w:noWrap/>
            <w:vAlign w:val="center"/>
          </w:tcPr>
          <w:p w14:paraId="7FB64BBB" w14:textId="77777777" w:rsidR="00154E32" w:rsidRDefault="00A43E04">
            <w:pPr>
              <w:pStyle w:val="P68B1DB1-Normal12"/>
              <w:rPr>
                <w:noProof/>
              </w:rPr>
            </w:pPr>
            <w:r>
              <w:rPr>
                <w:noProof/>
              </w:rPr>
              <w:t xml:space="preserve">Oddaja vseh javnih naročil </w:t>
            </w:r>
          </w:p>
        </w:tc>
      </w:tr>
      <w:tr w:rsidR="00154E32" w14:paraId="6ED9566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ECD935D" w14:textId="77777777" w:rsidR="00154E32" w:rsidRDefault="00A43E04">
            <w:pPr>
              <w:pStyle w:val="P68B1DB1-Normal12"/>
              <w:jc w:val="center"/>
              <w:rPr>
                <w:noProof/>
              </w:rPr>
            </w:pPr>
            <w:r>
              <w:rPr>
                <w:noProof/>
              </w:rPr>
              <w:t>M1C1–18</w:t>
            </w:r>
          </w:p>
        </w:tc>
        <w:tc>
          <w:tcPr>
            <w:tcW w:w="3118" w:type="dxa"/>
            <w:tcBorders>
              <w:top w:val="nil"/>
              <w:left w:val="nil"/>
              <w:bottom w:val="single" w:sz="4" w:space="0" w:color="auto"/>
              <w:right w:val="single" w:sz="4" w:space="0" w:color="auto"/>
            </w:tcBorders>
            <w:shd w:val="clear" w:color="auto" w:fill="C6EFCE"/>
            <w:noWrap/>
            <w:vAlign w:val="center"/>
          </w:tcPr>
          <w:p w14:paraId="0F9B2D8E" w14:textId="77777777" w:rsidR="00154E32" w:rsidRDefault="00A43E04">
            <w:pPr>
              <w:pStyle w:val="P68B1DB1-Normal12"/>
              <w:rPr>
                <w:noProof/>
              </w:rPr>
            </w:pPr>
            <w:r>
              <w:rPr>
                <w:noProof/>
              </w:rPr>
              <w:t>Naložba 1.3.1: Nacionalna platforma digitalnih podatkov</w:t>
            </w:r>
          </w:p>
        </w:tc>
        <w:tc>
          <w:tcPr>
            <w:tcW w:w="1418" w:type="dxa"/>
            <w:tcBorders>
              <w:top w:val="nil"/>
              <w:left w:val="nil"/>
              <w:bottom w:val="single" w:sz="4" w:space="0" w:color="auto"/>
              <w:right w:val="single" w:sz="4" w:space="0" w:color="auto"/>
            </w:tcBorders>
            <w:shd w:val="clear" w:color="auto" w:fill="C6EFCE"/>
            <w:noWrap/>
            <w:vAlign w:val="center"/>
          </w:tcPr>
          <w:p w14:paraId="4F2F6119" w14:textId="77777777" w:rsidR="00154E32" w:rsidRDefault="00A43E04">
            <w:pPr>
              <w:pStyle w:val="P68B1DB1-Normal12"/>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67ACE4FB" w14:textId="77777777" w:rsidR="00154E32" w:rsidRDefault="00A43E04">
            <w:pPr>
              <w:pStyle w:val="P68B1DB1-Normal12"/>
              <w:rPr>
                <w:noProof/>
              </w:rPr>
            </w:pPr>
            <w:r>
              <w:rPr>
                <w:noProof/>
              </w:rPr>
              <w:t>Vmesniki za aplikacijsko programiranje na nacionalni platformi digitalnih podatkov T1</w:t>
            </w:r>
          </w:p>
        </w:tc>
      </w:tr>
      <w:tr w:rsidR="00154E32" w14:paraId="17032BB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2D4E332" w14:textId="77777777" w:rsidR="00154E32" w:rsidRDefault="00A43E04">
            <w:pPr>
              <w:pStyle w:val="P68B1DB1-Normal12"/>
              <w:jc w:val="center"/>
              <w:rPr>
                <w:noProof/>
              </w:rPr>
            </w:pPr>
            <w:r>
              <w:rPr>
                <w:noProof/>
              </w:rPr>
              <w:t>M1C1–19</w:t>
            </w:r>
          </w:p>
        </w:tc>
        <w:tc>
          <w:tcPr>
            <w:tcW w:w="3118" w:type="dxa"/>
            <w:tcBorders>
              <w:top w:val="nil"/>
              <w:left w:val="nil"/>
              <w:bottom w:val="single" w:sz="4" w:space="0" w:color="auto"/>
              <w:right w:val="single" w:sz="4" w:space="0" w:color="auto"/>
            </w:tcBorders>
            <w:shd w:val="clear" w:color="auto" w:fill="C6EFCE"/>
            <w:noWrap/>
            <w:vAlign w:val="center"/>
          </w:tcPr>
          <w:p w14:paraId="5C1CC21D" w14:textId="77777777" w:rsidR="00154E32" w:rsidRDefault="00A43E04">
            <w:pPr>
              <w:pStyle w:val="P68B1DB1-Normal12"/>
              <w:rPr>
                <w:noProof/>
              </w:rPr>
            </w:pPr>
            <w:r>
              <w:rPr>
                <w:noProof/>
              </w:rPr>
              <w:t>Naložba 1.5: Kibernetska varnost</w:t>
            </w:r>
          </w:p>
        </w:tc>
        <w:tc>
          <w:tcPr>
            <w:tcW w:w="1418" w:type="dxa"/>
            <w:tcBorders>
              <w:top w:val="nil"/>
              <w:left w:val="nil"/>
              <w:bottom w:val="single" w:sz="4" w:space="0" w:color="auto"/>
              <w:right w:val="single" w:sz="4" w:space="0" w:color="auto"/>
            </w:tcBorders>
            <w:shd w:val="clear" w:color="auto" w:fill="C6EFCE"/>
            <w:noWrap/>
            <w:vAlign w:val="center"/>
          </w:tcPr>
          <w:p w14:paraId="564FC147" w14:textId="77777777" w:rsidR="00154E32" w:rsidRDefault="00A43E04">
            <w:pPr>
              <w:pStyle w:val="P68B1DB1-Normal12"/>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4CB6AC77" w14:textId="77777777" w:rsidR="00154E32" w:rsidRDefault="00A43E04">
            <w:pPr>
              <w:pStyle w:val="P68B1DB1-Normal12"/>
              <w:rPr>
                <w:noProof/>
              </w:rPr>
            </w:pPr>
            <w:r>
              <w:rPr>
                <w:noProof/>
              </w:rPr>
              <w:t>Podpora za nadgradnjo varnostnih struktur T2</w:t>
            </w:r>
          </w:p>
        </w:tc>
      </w:tr>
      <w:tr w:rsidR="00154E32" w14:paraId="3F4D3A9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FB2020B" w14:textId="77777777" w:rsidR="00154E32" w:rsidRDefault="00A43E04">
            <w:pPr>
              <w:pStyle w:val="P68B1DB1-Normal12"/>
              <w:jc w:val="center"/>
              <w:rPr>
                <w:noProof/>
              </w:rPr>
            </w:pPr>
            <w:r>
              <w:rPr>
                <w:noProof/>
              </w:rPr>
              <w:t>M1C1–20</w:t>
            </w:r>
          </w:p>
        </w:tc>
        <w:tc>
          <w:tcPr>
            <w:tcW w:w="3118" w:type="dxa"/>
            <w:tcBorders>
              <w:top w:val="nil"/>
              <w:left w:val="nil"/>
              <w:bottom w:val="single" w:sz="4" w:space="0" w:color="auto"/>
              <w:right w:val="single" w:sz="4" w:space="0" w:color="auto"/>
            </w:tcBorders>
            <w:shd w:val="clear" w:color="auto" w:fill="C6EFCE"/>
            <w:noWrap/>
            <w:vAlign w:val="center"/>
          </w:tcPr>
          <w:p w14:paraId="1B056106" w14:textId="77777777" w:rsidR="00154E32" w:rsidRDefault="00A43E04">
            <w:pPr>
              <w:pStyle w:val="P68B1DB1-Normal12"/>
              <w:rPr>
                <w:noProof/>
              </w:rPr>
            </w:pPr>
            <w:r>
              <w:rPr>
                <w:noProof/>
              </w:rPr>
              <w:t>Naložba 1.5: Kibernetska varnost</w:t>
            </w:r>
          </w:p>
        </w:tc>
        <w:tc>
          <w:tcPr>
            <w:tcW w:w="1418" w:type="dxa"/>
            <w:tcBorders>
              <w:top w:val="nil"/>
              <w:left w:val="nil"/>
              <w:bottom w:val="single" w:sz="4" w:space="0" w:color="auto"/>
              <w:right w:val="single" w:sz="4" w:space="0" w:color="auto"/>
            </w:tcBorders>
            <w:shd w:val="clear" w:color="auto" w:fill="C6EFCE"/>
            <w:noWrap/>
            <w:vAlign w:val="center"/>
          </w:tcPr>
          <w:p w14:paraId="3867F4ED" w14:textId="77777777" w:rsidR="00154E32" w:rsidRDefault="00A43E04">
            <w:pPr>
              <w:pStyle w:val="P68B1DB1-Normal12"/>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072C0876" w14:textId="77777777" w:rsidR="00154E32" w:rsidRDefault="00A43E04">
            <w:pPr>
              <w:pStyle w:val="P68B1DB1-Normal12"/>
              <w:rPr>
                <w:noProof/>
              </w:rPr>
            </w:pPr>
            <w:r>
              <w:rPr>
                <w:noProof/>
              </w:rPr>
              <w:t>Popolna uvedba nacionalnih storitev kibernetske varnosti</w:t>
            </w:r>
          </w:p>
        </w:tc>
      </w:tr>
      <w:tr w:rsidR="00154E32" w14:paraId="366F861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0CE3ECD" w14:textId="77777777" w:rsidR="00154E32" w:rsidRDefault="00A43E04">
            <w:pPr>
              <w:pStyle w:val="P68B1DB1-Normal12"/>
              <w:jc w:val="center"/>
              <w:rPr>
                <w:noProof/>
              </w:rPr>
            </w:pPr>
            <w:r>
              <w:rPr>
                <w:noProof/>
              </w:rPr>
              <w:t>M1C1–21</w:t>
            </w:r>
          </w:p>
        </w:tc>
        <w:tc>
          <w:tcPr>
            <w:tcW w:w="3118" w:type="dxa"/>
            <w:tcBorders>
              <w:top w:val="nil"/>
              <w:left w:val="nil"/>
              <w:bottom w:val="single" w:sz="4" w:space="0" w:color="auto"/>
              <w:right w:val="single" w:sz="4" w:space="0" w:color="auto"/>
            </w:tcBorders>
            <w:shd w:val="clear" w:color="auto" w:fill="C6EFCE"/>
            <w:noWrap/>
            <w:vAlign w:val="center"/>
          </w:tcPr>
          <w:p w14:paraId="534C06ED" w14:textId="77777777" w:rsidR="00154E32" w:rsidRDefault="00A43E04">
            <w:pPr>
              <w:pStyle w:val="P68B1DB1-Normal12"/>
              <w:rPr>
                <w:noProof/>
              </w:rPr>
            </w:pPr>
            <w:r>
              <w:rPr>
                <w:noProof/>
              </w:rPr>
              <w:t>Naložba 1.5: Kibernetska varnost</w:t>
            </w:r>
          </w:p>
        </w:tc>
        <w:tc>
          <w:tcPr>
            <w:tcW w:w="1418" w:type="dxa"/>
            <w:tcBorders>
              <w:top w:val="nil"/>
              <w:left w:val="nil"/>
              <w:bottom w:val="single" w:sz="4" w:space="0" w:color="auto"/>
              <w:right w:val="single" w:sz="4" w:space="0" w:color="auto"/>
            </w:tcBorders>
            <w:shd w:val="clear" w:color="auto" w:fill="C6EFCE"/>
            <w:noWrap/>
            <w:vAlign w:val="center"/>
          </w:tcPr>
          <w:p w14:paraId="26B2A4BD" w14:textId="77777777" w:rsidR="00154E32" w:rsidRDefault="00A43E04">
            <w:pPr>
              <w:pStyle w:val="P68B1DB1-Normal12"/>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2E66BD0E" w14:textId="77777777" w:rsidR="00154E32" w:rsidRDefault="00A43E04">
            <w:pPr>
              <w:pStyle w:val="P68B1DB1-Normal12"/>
              <w:rPr>
                <w:noProof/>
              </w:rPr>
            </w:pPr>
            <w:r>
              <w:rPr>
                <w:noProof/>
              </w:rPr>
              <w:t>Dokončanje mreže laboratorijev za preverjanje in certificiranje kibernetske varnosti, ocenjevalni centri</w:t>
            </w:r>
          </w:p>
        </w:tc>
      </w:tr>
      <w:tr w:rsidR="00154E32" w14:paraId="7196219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F792A67" w14:textId="77777777" w:rsidR="00154E32" w:rsidRDefault="00A43E04">
            <w:pPr>
              <w:pStyle w:val="P68B1DB1-Normal12"/>
              <w:jc w:val="center"/>
              <w:rPr>
                <w:noProof/>
              </w:rPr>
            </w:pPr>
            <w:r>
              <w:rPr>
                <w:noProof/>
              </w:rPr>
              <w:t>M1C1–22</w:t>
            </w:r>
          </w:p>
        </w:tc>
        <w:tc>
          <w:tcPr>
            <w:tcW w:w="3118" w:type="dxa"/>
            <w:tcBorders>
              <w:top w:val="nil"/>
              <w:left w:val="nil"/>
              <w:bottom w:val="single" w:sz="4" w:space="0" w:color="auto"/>
              <w:right w:val="single" w:sz="4" w:space="0" w:color="auto"/>
            </w:tcBorders>
            <w:shd w:val="clear" w:color="auto" w:fill="C6EFCE"/>
            <w:noWrap/>
            <w:vAlign w:val="center"/>
          </w:tcPr>
          <w:p w14:paraId="165C94C7" w14:textId="77777777" w:rsidR="00154E32" w:rsidRDefault="00A43E04">
            <w:pPr>
              <w:pStyle w:val="P68B1DB1-Normal12"/>
              <w:rPr>
                <w:noProof/>
              </w:rPr>
            </w:pPr>
            <w:r>
              <w:rPr>
                <w:noProof/>
              </w:rPr>
              <w:t>Naložba 1.5: Kibernetska varnost</w:t>
            </w:r>
          </w:p>
        </w:tc>
        <w:tc>
          <w:tcPr>
            <w:tcW w:w="1418" w:type="dxa"/>
            <w:tcBorders>
              <w:top w:val="nil"/>
              <w:left w:val="nil"/>
              <w:bottom w:val="single" w:sz="4" w:space="0" w:color="auto"/>
              <w:right w:val="single" w:sz="4" w:space="0" w:color="auto"/>
            </w:tcBorders>
            <w:shd w:val="clear" w:color="auto" w:fill="C6EFCE"/>
            <w:noWrap/>
            <w:vAlign w:val="center"/>
          </w:tcPr>
          <w:p w14:paraId="78C4445F" w14:textId="77777777" w:rsidR="00154E32" w:rsidRDefault="00A43E04">
            <w:pPr>
              <w:pStyle w:val="P68B1DB1-Normal12"/>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1C7FE58D" w14:textId="77777777" w:rsidR="00154E32" w:rsidRDefault="00A43E04">
            <w:pPr>
              <w:pStyle w:val="P68B1DB1-Normal12"/>
              <w:rPr>
                <w:noProof/>
              </w:rPr>
            </w:pPr>
            <w:r>
              <w:rPr>
                <w:noProof/>
              </w:rPr>
              <w:t>Polno delovanje centralne revizijske enote za varnostne ukrepe PSNC &amp; NIS, pri čemer je bilo opravljenih vsaj 30 inšpekcijskih pregledov</w:t>
            </w:r>
          </w:p>
        </w:tc>
      </w:tr>
      <w:tr w:rsidR="00154E32" w14:paraId="3F4A895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792C597" w14:textId="77777777" w:rsidR="00154E32" w:rsidRDefault="00A43E04">
            <w:pPr>
              <w:pStyle w:val="P68B1DB1-Normal12"/>
              <w:jc w:val="center"/>
              <w:rPr>
                <w:noProof/>
              </w:rPr>
            </w:pPr>
            <w:r>
              <w:rPr>
                <w:noProof/>
              </w:rPr>
              <w:t>M1C1–43</w:t>
            </w:r>
          </w:p>
        </w:tc>
        <w:tc>
          <w:tcPr>
            <w:tcW w:w="3118" w:type="dxa"/>
            <w:tcBorders>
              <w:top w:val="nil"/>
              <w:left w:val="nil"/>
              <w:bottom w:val="single" w:sz="4" w:space="0" w:color="auto"/>
              <w:right w:val="single" w:sz="4" w:space="0" w:color="auto"/>
            </w:tcBorders>
            <w:shd w:val="clear" w:color="auto" w:fill="C6EFCE"/>
            <w:noWrap/>
            <w:vAlign w:val="center"/>
          </w:tcPr>
          <w:p w14:paraId="44B30CE5" w14:textId="77777777" w:rsidR="00154E32" w:rsidRDefault="00A43E04">
            <w:pPr>
              <w:pStyle w:val="P68B1DB1-Normal12"/>
              <w:rPr>
                <w:noProof/>
              </w:rPr>
            </w:pPr>
            <w:r>
              <w:rPr>
                <w:noProof/>
              </w:rPr>
              <w:t>Reforma 1.4: Reforma civilnega pravosodja</w:t>
            </w:r>
          </w:p>
        </w:tc>
        <w:tc>
          <w:tcPr>
            <w:tcW w:w="1418" w:type="dxa"/>
            <w:tcBorders>
              <w:top w:val="nil"/>
              <w:left w:val="nil"/>
              <w:bottom w:val="single" w:sz="4" w:space="0" w:color="auto"/>
              <w:right w:val="single" w:sz="4" w:space="0" w:color="auto"/>
            </w:tcBorders>
            <w:shd w:val="clear" w:color="auto" w:fill="C6EFCE"/>
            <w:noWrap/>
            <w:vAlign w:val="center"/>
          </w:tcPr>
          <w:p w14:paraId="24027B45" w14:textId="77777777" w:rsidR="00154E32" w:rsidRDefault="00A43E04">
            <w:pPr>
              <w:pStyle w:val="P68B1DB1-Normal12"/>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0E3FC3E3" w14:textId="77777777" w:rsidR="00154E32" w:rsidRDefault="00A43E04">
            <w:pPr>
              <w:pStyle w:val="P68B1DB1-Normal12"/>
              <w:rPr>
                <w:noProof/>
              </w:rPr>
            </w:pPr>
            <w:r>
              <w:rPr>
                <w:noProof/>
              </w:rPr>
              <w:t>Zmanjšanje zaostankov pri civilnih splošnih sodiščih (prva stopnja)</w:t>
            </w:r>
          </w:p>
        </w:tc>
      </w:tr>
      <w:tr w:rsidR="00154E32" w14:paraId="5933AC2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982EEEC" w14:textId="77777777" w:rsidR="00154E32" w:rsidRDefault="00A43E04">
            <w:pPr>
              <w:pStyle w:val="P68B1DB1-Normal12"/>
              <w:jc w:val="center"/>
              <w:rPr>
                <w:noProof/>
              </w:rPr>
            </w:pPr>
            <w:r>
              <w:rPr>
                <w:noProof/>
              </w:rPr>
              <w:t>M1C1–44</w:t>
            </w:r>
          </w:p>
        </w:tc>
        <w:tc>
          <w:tcPr>
            <w:tcW w:w="3118" w:type="dxa"/>
            <w:tcBorders>
              <w:top w:val="nil"/>
              <w:left w:val="nil"/>
              <w:bottom w:val="single" w:sz="4" w:space="0" w:color="auto"/>
              <w:right w:val="single" w:sz="4" w:space="0" w:color="auto"/>
            </w:tcBorders>
            <w:shd w:val="clear" w:color="auto" w:fill="C6EFCE"/>
            <w:noWrap/>
            <w:vAlign w:val="center"/>
          </w:tcPr>
          <w:p w14:paraId="1F14AF4D" w14:textId="77777777" w:rsidR="00154E32" w:rsidRDefault="00A43E04">
            <w:pPr>
              <w:pStyle w:val="P68B1DB1-Normal12"/>
              <w:rPr>
                <w:noProof/>
              </w:rPr>
            </w:pPr>
            <w:r>
              <w:rPr>
                <w:noProof/>
              </w:rPr>
              <w:t>Reforma 1.4: Reforma civilnega pravosodja</w:t>
            </w:r>
          </w:p>
        </w:tc>
        <w:tc>
          <w:tcPr>
            <w:tcW w:w="1418" w:type="dxa"/>
            <w:tcBorders>
              <w:top w:val="nil"/>
              <w:left w:val="nil"/>
              <w:bottom w:val="single" w:sz="4" w:space="0" w:color="auto"/>
              <w:right w:val="single" w:sz="4" w:space="0" w:color="auto"/>
            </w:tcBorders>
            <w:shd w:val="clear" w:color="auto" w:fill="C6EFCE"/>
            <w:noWrap/>
            <w:vAlign w:val="center"/>
          </w:tcPr>
          <w:p w14:paraId="7795CF19" w14:textId="77777777" w:rsidR="00154E32" w:rsidRDefault="00A43E04">
            <w:pPr>
              <w:pStyle w:val="P68B1DB1-Normal12"/>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4936DFC7" w14:textId="77777777" w:rsidR="00154E32" w:rsidRDefault="00A43E04">
            <w:pPr>
              <w:pStyle w:val="P68B1DB1-Normal12"/>
              <w:rPr>
                <w:noProof/>
              </w:rPr>
            </w:pPr>
            <w:r>
              <w:rPr>
                <w:noProof/>
              </w:rPr>
              <w:t>Zmanjšanje zaostankov pri civilnem pritožbenem sodišču (druga stopnja)</w:t>
            </w:r>
          </w:p>
        </w:tc>
      </w:tr>
      <w:tr w:rsidR="00154E32" w14:paraId="41F39B3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E5F8233" w14:textId="77777777" w:rsidR="00154E32" w:rsidRDefault="00A43E04">
            <w:pPr>
              <w:pStyle w:val="P68B1DB1-Normal12"/>
              <w:jc w:val="center"/>
              <w:rPr>
                <w:noProof/>
              </w:rPr>
            </w:pPr>
            <w:r>
              <w:rPr>
                <w:noProof/>
              </w:rPr>
              <w:t>M1C1–60</w:t>
            </w:r>
          </w:p>
        </w:tc>
        <w:tc>
          <w:tcPr>
            <w:tcW w:w="3118" w:type="dxa"/>
            <w:tcBorders>
              <w:top w:val="nil"/>
              <w:left w:val="nil"/>
              <w:bottom w:val="single" w:sz="4" w:space="0" w:color="auto"/>
              <w:right w:val="single" w:sz="4" w:space="0" w:color="auto"/>
            </w:tcBorders>
            <w:shd w:val="clear" w:color="auto" w:fill="C6EFCE"/>
            <w:noWrap/>
            <w:vAlign w:val="center"/>
          </w:tcPr>
          <w:p w14:paraId="21129CF2" w14:textId="77777777" w:rsidR="00154E32" w:rsidRDefault="00A43E04">
            <w:pPr>
              <w:pStyle w:val="P68B1DB1-Normal12"/>
              <w:rPr>
                <w:noProof/>
              </w:rPr>
            </w:pPr>
            <w:r>
              <w:rPr>
                <w:noProof/>
              </w:rPr>
              <w:t>Reforma 1.9: Reforma javne uprave</w:t>
            </w:r>
          </w:p>
        </w:tc>
        <w:tc>
          <w:tcPr>
            <w:tcW w:w="1418" w:type="dxa"/>
            <w:tcBorders>
              <w:top w:val="nil"/>
              <w:left w:val="nil"/>
              <w:bottom w:val="single" w:sz="4" w:space="0" w:color="auto"/>
              <w:right w:val="single" w:sz="4" w:space="0" w:color="auto"/>
            </w:tcBorders>
            <w:shd w:val="clear" w:color="auto" w:fill="C6EFCE"/>
            <w:noWrap/>
            <w:vAlign w:val="center"/>
          </w:tcPr>
          <w:p w14:paraId="621BAF27" w14:textId="77777777" w:rsidR="00154E32" w:rsidRDefault="00A43E04">
            <w:pPr>
              <w:pStyle w:val="P68B1DB1-Normal12"/>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5B1B50B2" w14:textId="77777777" w:rsidR="00154E32" w:rsidRDefault="00A43E04">
            <w:pPr>
              <w:pStyle w:val="P68B1DB1-Normal12"/>
              <w:rPr>
                <w:noProof/>
              </w:rPr>
            </w:pPr>
            <w:r>
              <w:rPr>
                <w:noProof/>
              </w:rPr>
              <w:t>Popolno izvajanje (vključno z vsemi delegiranimi akti) poenostavitve in/ali digitalizacije sklopa 200 ključnih postopkov, ki vplivajo na državljane in podjetja</w:t>
            </w:r>
          </w:p>
        </w:tc>
      </w:tr>
      <w:tr w:rsidR="00154E32" w14:paraId="2C3D7D8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996BC63" w14:textId="77777777" w:rsidR="00154E32" w:rsidRDefault="00A43E04">
            <w:pPr>
              <w:pStyle w:val="P68B1DB1-Normal12"/>
              <w:jc w:val="center"/>
              <w:rPr>
                <w:noProof/>
              </w:rPr>
            </w:pPr>
            <w:r>
              <w:rPr>
                <w:noProof/>
              </w:rPr>
              <w:t>M1C1–72b</w:t>
            </w:r>
          </w:p>
        </w:tc>
        <w:tc>
          <w:tcPr>
            <w:tcW w:w="3118" w:type="dxa"/>
            <w:tcBorders>
              <w:top w:val="nil"/>
              <w:left w:val="nil"/>
              <w:bottom w:val="single" w:sz="4" w:space="0" w:color="auto"/>
              <w:right w:val="single" w:sz="4" w:space="0" w:color="auto"/>
            </w:tcBorders>
            <w:shd w:val="clear" w:color="auto" w:fill="C6EFCE"/>
            <w:noWrap/>
            <w:vAlign w:val="center"/>
          </w:tcPr>
          <w:p w14:paraId="66C60445" w14:textId="77777777" w:rsidR="00154E32" w:rsidRDefault="00A43E04">
            <w:pPr>
              <w:pStyle w:val="P68B1DB1-Normal12"/>
              <w:rPr>
                <w:noProof/>
              </w:rPr>
            </w:pPr>
            <w:r>
              <w:rPr>
                <w:noProof/>
              </w:rPr>
              <w:t>Reforma 1.11: Zmanjšanje zamud pri plačilih javnih uprav in zdravstvenih organov</w:t>
            </w:r>
          </w:p>
        </w:tc>
        <w:tc>
          <w:tcPr>
            <w:tcW w:w="1418" w:type="dxa"/>
            <w:tcBorders>
              <w:top w:val="nil"/>
              <w:left w:val="nil"/>
              <w:bottom w:val="single" w:sz="4" w:space="0" w:color="auto"/>
              <w:right w:val="single" w:sz="4" w:space="0" w:color="auto"/>
            </w:tcBorders>
            <w:shd w:val="clear" w:color="auto" w:fill="C6EFCE"/>
            <w:noWrap/>
            <w:vAlign w:val="center"/>
          </w:tcPr>
          <w:p w14:paraId="559EB0E5" w14:textId="77777777" w:rsidR="00154E32" w:rsidRDefault="00A43E04">
            <w:pPr>
              <w:pStyle w:val="P68B1DB1-Normal12"/>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43F51543" w14:textId="77777777" w:rsidR="00154E32" w:rsidRDefault="00A43E04">
            <w:pPr>
              <w:pStyle w:val="P68B1DB1-Normal12"/>
              <w:rPr>
                <w:noProof/>
              </w:rPr>
            </w:pPr>
            <w:r>
              <w:rPr>
                <w:noProof/>
              </w:rPr>
              <w:t>Povečanje človeških virov, ki se ukvarjajo z zamudami pri plačilih</w:t>
            </w:r>
          </w:p>
        </w:tc>
      </w:tr>
      <w:tr w:rsidR="00154E32" w14:paraId="5AA3602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E05D493" w14:textId="77777777" w:rsidR="00154E32" w:rsidRDefault="00A43E04">
            <w:pPr>
              <w:pStyle w:val="P68B1DB1-Normal12"/>
              <w:jc w:val="center"/>
              <w:rPr>
                <w:noProof/>
              </w:rPr>
            </w:pPr>
            <w:r>
              <w:rPr>
                <w:noProof/>
              </w:rPr>
              <w:t>M1C1–72c</w:t>
            </w:r>
          </w:p>
        </w:tc>
        <w:tc>
          <w:tcPr>
            <w:tcW w:w="3118" w:type="dxa"/>
            <w:tcBorders>
              <w:top w:val="nil"/>
              <w:left w:val="nil"/>
              <w:bottom w:val="single" w:sz="4" w:space="0" w:color="auto"/>
              <w:right w:val="single" w:sz="4" w:space="0" w:color="auto"/>
            </w:tcBorders>
            <w:shd w:val="clear" w:color="auto" w:fill="C6EFCE"/>
            <w:noWrap/>
            <w:vAlign w:val="center"/>
          </w:tcPr>
          <w:p w14:paraId="50B8E325" w14:textId="77777777" w:rsidR="00154E32" w:rsidRDefault="00A43E04">
            <w:pPr>
              <w:pStyle w:val="P68B1DB1-Normal12"/>
              <w:rPr>
                <w:noProof/>
              </w:rPr>
            </w:pPr>
            <w:r>
              <w:rPr>
                <w:noProof/>
              </w:rPr>
              <w:t>Reforma 1.11: Zmanjšanje zamud pri plačilih javnih uprav in zdravstvenih organov</w:t>
            </w:r>
          </w:p>
        </w:tc>
        <w:tc>
          <w:tcPr>
            <w:tcW w:w="1418" w:type="dxa"/>
            <w:tcBorders>
              <w:top w:val="nil"/>
              <w:left w:val="nil"/>
              <w:bottom w:val="single" w:sz="4" w:space="0" w:color="auto"/>
              <w:right w:val="single" w:sz="4" w:space="0" w:color="auto"/>
            </w:tcBorders>
            <w:shd w:val="clear" w:color="auto" w:fill="C6EFCE"/>
            <w:noWrap/>
            <w:vAlign w:val="center"/>
          </w:tcPr>
          <w:p w14:paraId="5FEED0D1" w14:textId="77777777" w:rsidR="00154E32" w:rsidRDefault="00A43E04">
            <w:pPr>
              <w:pStyle w:val="P68B1DB1-Normal12"/>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67CDBB9D" w14:textId="77777777" w:rsidR="00154E32" w:rsidRDefault="00A43E04">
            <w:pPr>
              <w:pStyle w:val="P68B1DB1-Normal12"/>
              <w:rPr>
                <w:noProof/>
              </w:rPr>
            </w:pPr>
            <w:r>
              <w:rPr>
                <w:noProof/>
              </w:rPr>
              <w:t>Uvedba odstopa kredita tretjim osebam</w:t>
            </w:r>
          </w:p>
        </w:tc>
      </w:tr>
      <w:tr w:rsidR="00154E32" w14:paraId="3E241E1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8ABD9FC" w14:textId="77777777" w:rsidR="00154E32" w:rsidRDefault="00A43E04">
            <w:pPr>
              <w:pStyle w:val="P68B1DB1-Normal12"/>
              <w:jc w:val="center"/>
              <w:rPr>
                <w:noProof/>
              </w:rPr>
            </w:pPr>
            <w:r>
              <w:rPr>
                <w:noProof/>
              </w:rPr>
              <w:t>M1C1–72quinquis</w:t>
            </w:r>
          </w:p>
        </w:tc>
        <w:tc>
          <w:tcPr>
            <w:tcW w:w="3118" w:type="dxa"/>
            <w:tcBorders>
              <w:top w:val="nil"/>
              <w:left w:val="nil"/>
              <w:bottom w:val="single" w:sz="4" w:space="0" w:color="auto"/>
              <w:right w:val="single" w:sz="4" w:space="0" w:color="auto"/>
            </w:tcBorders>
            <w:shd w:val="clear" w:color="auto" w:fill="C6EFCE"/>
            <w:noWrap/>
            <w:vAlign w:val="center"/>
          </w:tcPr>
          <w:p w14:paraId="03D66607" w14:textId="77777777" w:rsidR="00154E32" w:rsidRDefault="00A43E04">
            <w:pPr>
              <w:pStyle w:val="P68B1DB1-Normal12"/>
              <w:rPr>
                <w:noProof/>
              </w:rPr>
            </w:pPr>
            <w:r>
              <w:rPr>
                <w:noProof/>
              </w:rPr>
              <w:t>Reforma 1.11: Zmanjšanje zamud pri plačilih javnih uprav in zdravstvenih organov</w:t>
            </w:r>
          </w:p>
        </w:tc>
        <w:tc>
          <w:tcPr>
            <w:tcW w:w="1418" w:type="dxa"/>
            <w:tcBorders>
              <w:top w:val="nil"/>
              <w:left w:val="nil"/>
              <w:bottom w:val="single" w:sz="4" w:space="0" w:color="auto"/>
              <w:right w:val="single" w:sz="4" w:space="0" w:color="auto"/>
            </w:tcBorders>
            <w:shd w:val="clear" w:color="auto" w:fill="C6EFCE"/>
            <w:noWrap/>
            <w:vAlign w:val="center"/>
          </w:tcPr>
          <w:p w14:paraId="5314C6FA" w14:textId="77777777" w:rsidR="00154E32" w:rsidRDefault="00A43E04">
            <w:pPr>
              <w:pStyle w:val="P68B1DB1-Normal12"/>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5F2233A5" w14:textId="77777777" w:rsidR="00154E32" w:rsidRDefault="00A43E04">
            <w:pPr>
              <w:pStyle w:val="P68B1DB1-Normal12"/>
              <w:rPr>
                <w:noProof/>
              </w:rPr>
            </w:pPr>
            <w:r>
              <w:rPr>
                <w:noProof/>
              </w:rPr>
              <w:t xml:space="preserve">Izvrševanje plačil v podatkovni zbirki InIT </w:t>
            </w:r>
          </w:p>
        </w:tc>
      </w:tr>
      <w:tr w:rsidR="00154E32" w14:paraId="55F7200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AA2B6A4" w14:textId="77777777" w:rsidR="00154E32" w:rsidRDefault="00A43E04">
            <w:pPr>
              <w:pStyle w:val="P68B1DB1-Normal12"/>
              <w:jc w:val="center"/>
              <w:rPr>
                <w:noProof/>
              </w:rPr>
            </w:pPr>
            <w:r>
              <w:rPr>
                <w:noProof/>
              </w:rPr>
              <w:t>M1C1–73b</w:t>
            </w:r>
          </w:p>
        </w:tc>
        <w:tc>
          <w:tcPr>
            <w:tcW w:w="3118" w:type="dxa"/>
            <w:tcBorders>
              <w:top w:val="nil"/>
              <w:left w:val="nil"/>
              <w:bottom w:val="single" w:sz="4" w:space="0" w:color="auto"/>
              <w:right w:val="single" w:sz="4" w:space="0" w:color="auto"/>
            </w:tcBorders>
            <w:shd w:val="clear" w:color="auto" w:fill="C6EFCE"/>
            <w:noWrap/>
            <w:vAlign w:val="center"/>
          </w:tcPr>
          <w:p w14:paraId="1F456F19" w14:textId="77777777" w:rsidR="00154E32" w:rsidRDefault="00A43E04">
            <w:pPr>
              <w:pStyle w:val="P68B1DB1-Normal12"/>
              <w:rPr>
                <w:noProof/>
              </w:rPr>
            </w:pPr>
            <w:r>
              <w:rPr>
                <w:noProof/>
              </w:rPr>
              <w:t>Reforma 1.10: Reforma zakonodajnega okvira za javna naročila</w:t>
            </w:r>
          </w:p>
        </w:tc>
        <w:tc>
          <w:tcPr>
            <w:tcW w:w="1418" w:type="dxa"/>
            <w:tcBorders>
              <w:top w:val="nil"/>
              <w:left w:val="nil"/>
              <w:bottom w:val="single" w:sz="4" w:space="0" w:color="auto"/>
              <w:right w:val="single" w:sz="4" w:space="0" w:color="auto"/>
            </w:tcBorders>
            <w:shd w:val="clear" w:color="auto" w:fill="C6EFCE"/>
            <w:noWrap/>
            <w:vAlign w:val="center"/>
          </w:tcPr>
          <w:p w14:paraId="45C3CA6E" w14:textId="77777777" w:rsidR="00154E32" w:rsidRDefault="00A43E04">
            <w:pPr>
              <w:pStyle w:val="P68B1DB1-Normal12"/>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0339A838" w14:textId="77777777" w:rsidR="00154E32" w:rsidRDefault="00A43E04">
            <w:pPr>
              <w:pStyle w:val="P68B1DB1-Normal12"/>
              <w:rPr>
                <w:noProof/>
              </w:rPr>
            </w:pPr>
            <w:r>
              <w:rPr>
                <w:noProof/>
              </w:rPr>
              <w:t xml:space="preserve">Spodbude za usposobljenost in profesionalizacijo javnih organov naročnikov. </w:t>
            </w:r>
          </w:p>
        </w:tc>
      </w:tr>
      <w:tr w:rsidR="00154E32" w14:paraId="2EF5996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4952C94" w14:textId="77777777" w:rsidR="00154E32" w:rsidRDefault="00A43E04">
            <w:pPr>
              <w:pStyle w:val="P68B1DB1-Normal12"/>
              <w:jc w:val="center"/>
              <w:rPr>
                <w:noProof/>
              </w:rPr>
            </w:pPr>
            <w:r>
              <w:rPr>
                <w:noProof/>
              </w:rPr>
              <w:t>M1C1–73quinqui</w:t>
            </w:r>
          </w:p>
        </w:tc>
        <w:tc>
          <w:tcPr>
            <w:tcW w:w="3118" w:type="dxa"/>
            <w:tcBorders>
              <w:top w:val="nil"/>
              <w:left w:val="nil"/>
              <w:bottom w:val="single" w:sz="4" w:space="0" w:color="auto"/>
              <w:right w:val="single" w:sz="4" w:space="0" w:color="auto"/>
            </w:tcBorders>
            <w:shd w:val="clear" w:color="auto" w:fill="C6EFCE"/>
            <w:noWrap/>
            <w:vAlign w:val="center"/>
          </w:tcPr>
          <w:p w14:paraId="69DBE76E" w14:textId="77777777" w:rsidR="00154E32" w:rsidRDefault="00A43E04">
            <w:pPr>
              <w:pStyle w:val="P68B1DB1-Normal12"/>
              <w:rPr>
                <w:noProof/>
              </w:rPr>
            </w:pPr>
            <w:r>
              <w:rPr>
                <w:noProof/>
              </w:rPr>
              <w:t>Reforma 1.10: Reforma zakonodajnega okvira za javna naročila</w:t>
            </w:r>
          </w:p>
        </w:tc>
        <w:tc>
          <w:tcPr>
            <w:tcW w:w="1418" w:type="dxa"/>
            <w:tcBorders>
              <w:top w:val="nil"/>
              <w:left w:val="nil"/>
              <w:bottom w:val="single" w:sz="4" w:space="0" w:color="auto"/>
              <w:right w:val="single" w:sz="4" w:space="0" w:color="auto"/>
            </w:tcBorders>
            <w:shd w:val="clear" w:color="auto" w:fill="C6EFCE"/>
            <w:noWrap/>
            <w:vAlign w:val="center"/>
          </w:tcPr>
          <w:p w14:paraId="344A539C" w14:textId="77777777" w:rsidR="00154E32" w:rsidRDefault="00A43E04">
            <w:pPr>
              <w:pStyle w:val="P68B1DB1-Normal12"/>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227649B0" w14:textId="77777777" w:rsidR="00154E32" w:rsidRDefault="00A43E04">
            <w:pPr>
              <w:pStyle w:val="P68B1DB1-Normal12"/>
              <w:rPr>
                <w:noProof/>
              </w:rPr>
            </w:pPr>
            <w:r>
              <w:rPr>
                <w:noProof/>
              </w:rPr>
              <w:t>Začetek veljavnosti novih pravnih določb o financiranju projektov</w:t>
            </w:r>
          </w:p>
        </w:tc>
      </w:tr>
      <w:tr w:rsidR="00154E32" w14:paraId="61E54CE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F0A4A80" w14:textId="77777777" w:rsidR="00154E32" w:rsidRDefault="00A43E04">
            <w:pPr>
              <w:pStyle w:val="P68B1DB1-Normal12"/>
              <w:jc w:val="center"/>
              <w:rPr>
                <w:noProof/>
              </w:rPr>
            </w:pPr>
            <w:r>
              <w:rPr>
                <w:noProof/>
              </w:rPr>
              <w:t>M1C1–75a</w:t>
            </w:r>
          </w:p>
        </w:tc>
        <w:tc>
          <w:tcPr>
            <w:tcW w:w="3118" w:type="dxa"/>
            <w:tcBorders>
              <w:top w:val="nil"/>
              <w:left w:val="nil"/>
              <w:bottom w:val="single" w:sz="4" w:space="0" w:color="auto"/>
              <w:right w:val="single" w:sz="4" w:space="0" w:color="auto"/>
            </w:tcBorders>
            <w:shd w:val="clear" w:color="auto" w:fill="C6EFCE"/>
            <w:noWrap/>
            <w:vAlign w:val="center"/>
          </w:tcPr>
          <w:p w14:paraId="68D8DAAD" w14:textId="77777777" w:rsidR="00154E32" w:rsidRDefault="00A43E04">
            <w:pPr>
              <w:pStyle w:val="P68B1DB1-Normal12"/>
              <w:rPr>
                <w:noProof/>
              </w:rPr>
            </w:pPr>
            <w:r>
              <w:rPr>
                <w:noProof/>
              </w:rPr>
              <w:t xml:space="preserve">Naložba 1.10: Podpora kvalifikacijam in e-javnim naročilom </w:t>
            </w:r>
          </w:p>
        </w:tc>
        <w:tc>
          <w:tcPr>
            <w:tcW w:w="1418" w:type="dxa"/>
            <w:tcBorders>
              <w:top w:val="nil"/>
              <w:left w:val="nil"/>
              <w:bottom w:val="single" w:sz="4" w:space="0" w:color="auto"/>
              <w:right w:val="single" w:sz="4" w:space="0" w:color="auto"/>
            </w:tcBorders>
            <w:shd w:val="clear" w:color="auto" w:fill="C6EFCE"/>
            <w:noWrap/>
            <w:vAlign w:val="center"/>
          </w:tcPr>
          <w:p w14:paraId="624A184E" w14:textId="77777777" w:rsidR="00154E32" w:rsidRDefault="00A43E04">
            <w:pPr>
              <w:pStyle w:val="P68B1DB1-Normal12"/>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4F935308" w14:textId="77777777" w:rsidR="00154E32" w:rsidRDefault="00A43E04">
            <w:pPr>
              <w:pStyle w:val="P68B1DB1-Normal12"/>
              <w:rPr>
                <w:noProof/>
              </w:rPr>
            </w:pPr>
            <w:r>
              <w:rPr>
                <w:noProof/>
              </w:rPr>
              <w:t>Podpora kvalifikacijam in e-javnim naročilom</w:t>
            </w:r>
          </w:p>
        </w:tc>
      </w:tr>
      <w:tr w:rsidR="00154E32" w14:paraId="0196F16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4C4CC9B" w14:textId="77777777" w:rsidR="00154E32" w:rsidRDefault="00A43E04">
            <w:pPr>
              <w:pStyle w:val="P68B1DB1-Normal12"/>
              <w:jc w:val="center"/>
              <w:rPr>
                <w:noProof/>
              </w:rPr>
            </w:pPr>
            <w:r>
              <w:rPr>
                <w:noProof/>
              </w:rPr>
              <w:t>M1C1–84a</w:t>
            </w:r>
          </w:p>
        </w:tc>
        <w:tc>
          <w:tcPr>
            <w:tcW w:w="3118" w:type="dxa"/>
            <w:tcBorders>
              <w:top w:val="nil"/>
              <w:left w:val="nil"/>
              <w:bottom w:val="single" w:sz="4" w:space="0" w:color="auto"/>
              <w:right w:val="single" w:sz="4" w:space="0" w:color="auto"/>
            </w:tcBorders>
            <w:shd w:val="clear" w:color="auto" w:fill="C6EFCE"/>
            <w:noWrap/>
            <w:vAlign w:val="center"/>
          </w:tcPr>
          <w:p w14:paraId="7CEA2C19" w14:textId="77777777" w:rsidR="00154E32" w:rsidRDefault="00A43E04">
            <w:pPr>
              <w:pStyle w:val="P68B1DB1-Normal12"/>
              <w:rPr>
                <w:noProof/>
              </w:rPr>
            </w:pPr>
            <w:r>
              <w:rPr>
                <w:noProof/>
              </w:rPr>
              <w:t>Reforma 1.10: Reforma zakonodajnega okvira za javna naročila</w:t>
            </w:r>
          </w:p>
        </w:tc>
        <w:tc>
          <w:tcPr>
            <w:tcW w:w="1418" w:type="dxa"/>
            <w:tcBorders>
              <w:top w:val="nil"/>
              <w:left w:val="nil"/>
              <w:bottom w:val="single" w:sz="4" w:space="0" w:color="auto"/>
              <w:right w:val="single" w:sz="4" w:space="0" w:color="auto"/>
            </w:tcBorders>
            <w:shd w:val="clear" w:color="auto" w:fill="C6EFCE"/>
            <w:noWrap/>
            <w:vAlign w:val="center"/>
          </w:tcPr>
          <w:p w14:paraId="3EAABA76" w14:textId="77777777" w:rsidR="00154E32" w:rsidRDefault="00A43E04">
            <w:pPr>
              <w:pStyle w:val="P68B1DB1-Normal12"/>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36C0129D" w14:textId="77777777" w:rsidR="00154E32" w:rsidRDefault="00A43E04">
            <w:pPr>
              <w:pStyle w:val="P68B1DB1-Normal12"/>
              <w:rPr>
                <w:noProof/>
              </w:rPr>
            </w:pPr>
            <w:r>
              <w:rPr>
                <w:noProof/>
              </w:rPr>
              <w:t>Ukrepi za izboljšanje hitrosti odločanja pri oddaji javnih naročil javnim organom naročnikom</w:t>
            </w:r>
          </w:p>
        </w:tc>
      </w:tr>
      <w:tr w:rsidR="00154E32" w14:paraId="68C9217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6B779CC" w14:textId="77777777" w:rsidR="00154E32" w:rsidRDefault="00A43E04">
            <w:pPr>
              <w:pStyle w:val="P68B1DB1-Normal12"/>
              <w:jc w:val="center"/>
              <w:rPr>
                <w:noProof/>
              </w:rPr>
            </w:pPr>
            <w:r>
              <w:rPr>
                <w:noProof/>
              </w:rPr>
              <w:t>M1C1–97</w:t>
            </w:r>
          </w:p>
        </w:tc>
        <w:tc>
          <w:tcPr>
            <w:tcW w:w="3118" w:type="dxa"/>
            <w:tcBorders>
              <w:top w:val="nil"/>
              <w:left w:val="nil"/>
              <w:bottom w:val="single" w:sz="4" w:space="0" w:color="auto"/>
              <w:right w:val="single" w:sz="4" w:space="0" w:color="auto"/>
            </w:tcBorders>
            <w:shd w:val="clear" w:color="auto" w:fill="C6EFCE"/>
            <w:noWrap/>
            <w:vAlign w:val="center"/>
          </w:tcPr>
          <w:p w14:paraId="17C8533E" w14:textId="77777777" w:rsidR="00154E32" w:rsidRDefault="00A43E04">
            <w:pPr>
              <w:pStyle w:val="P68B1DB1-Normal12"/>
              <w:rPr>
                <w:noProof/>
              </w:rPr>
            </w:pPr>
            <w:r>
              <w:rPr>
                <w:noProof/>
              </w:rPr>
              <w:t>Reforma 1.10: Reforma zakonodajnega okvira za javna naročila</w:t>
            </w:r>
          </w:p>
        </w:tc>
        <w:tc>
          <w:tcPr>
            <w:tcW w:w="1418" w:type="dxa"/>
            <w:tcBorders>
              <w:top w:val="nil"/>
              <w:left w:val="nil"/>
              <w:bottom w:val="single" w:sz="4" w:space="0" w:color="auto"/>
              <w:right w:val="single" w:sz="4" w:space="0" w:color="auto"/>
            </w:tcBorders>
            <w:shd w:val="clear" w:color="auto" w:fill="C6EFCE"/>
            <w:noWrap/>
            <w:vAlign w:val="center"/>
          </w:tcPr>
          <w:p w14:paraId="7B2E1F1D" w14:textId="77777777" w:rsidR="00154E32" w:rsidRDefault="00A43E04">
            <w:pPr>
              <w:pStyle w:val="P68B1DB1-Normal12"/>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336C9CD3" w14:textId="77777777" w:rsidR="00154E32" w:rsidRDefault="00A43E04">
            <w:pPr>
              <w:pStyle w:val="P68B1DB1-Normal12"/>
              <w:rPr>
                <w:noProof/>
              </w:rPr>
            </w:pPr>
            <w:r>
              <w:rPr>
                <w:noProof/>
              </w:rPr>
              <w:t>Povprečni čas med oddajo naročila in izgradnjo infrastrukture</w:t>
            </w:r>
          </w:p>
        </w:tc>
      </w:tr>
      <w:tr w:rsidR="00154E32" w14:paraId="1208D17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716CC9F" w14:textId="77777777" w:rsidR="00154E32" w:rsidRDefault="00A43E04">
            <w:pPr>
              <w:pStyle w:val="P68B1DB1-Normal12"/>
              <w:jc w:val="center"/>
              <w:rPr>
                <w:noProof/>
              </w:rPr>
            </w:pPr>
            <w:r>
              <w:rPr>
                <w:noProof/>
              </w:rPr>
              <w:t>M1C1–98</w:t>
            </w:r>
          </w:p>
        </w:tc>
        <w:tc>
          <w:tcPr>
            <w:tcW w:w="3118" w:type="dxa"/>
            <w:tcBorders>
              <w:top w:val="nil"/>
              <w:left w:val="nil"/>
              <w:bottom w:val="single" w:sz="4" w:space="0" w:color="auto"/>
              <w:right w:val="single" w:sz="4" w:space="0" w:color="auto"/>
            </w:tcBorders>
            <w:shd w:val="clear" w:color="auto" w:fill="C6EFCE"/>
            <w:noWrap/>
            <w:vAlign w:val="center"/>
          </w:tcPr>
          <w:p w14:paraId="10B4AE2E" w14:textId="77777777" w:rsidR="00154E32" w:rsidRDefault="00A43E04">
            <w:pPr>
              <w:pStyle w:val="P68B1DB1-Normal12"/>
              <w:rPr>
                <w:noProof/>
              </w:rPr>
            </w:pPr>
            <w:r>
              <w:rPr>
                <w:noProof/>
              </w:rPr>
              <w:t>Reforma 1.10: Reforma zakonodajnega okvira za javna naročila</w:t>
            </w:r>
          </w:p>
        </w:tc>
        <w:tc>
          <w:tcPr>
            <w:tcW w:w="1418" w:type="dxa"/>
            <w:tcBorders>
              <w:top w:val="nil"/>
              <w:left w:val="nil"/>
              <w:bottom w:val="single" w:sz="4" w:space="0" w:color="auto"/>
              <w:right w:val="single" w:sz="4" w:space="0" w:color="auto"/>
            </w:tcBorders>
            <w:shd w:val="clear" w:color="auto" w:fill="C6EFCE"/>
            <w:noWrap/>
            <w:vAlign w:val="center"/>
          </w:tcPr>
          <w:p w14:paraId="7E8AD9F2" w14:textId="77777777" w:rsidR="00154E32" w:rsidRDefault="00A43E04">
            <w:pPr>
              <w:pStyle w:val="P68B1DB1-Normal12"/>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2FD824CE" w14:textId="77777777" w:rsidR="00154E32" w:rsidRDefault="00A43E04">
            <w:pPr>
              <w:pStyle w:val="P68B1DB1-Normal12"/>
              <w:rPr>
                <w:noProof/>
              </w:rPr>
            </w:pPr>
            <w:r>
              <w:rPr>
                <w:noProof/>
              </w:rPr>
              <w:t>Javni uslužbenci, usposobljeni v okviru strategije za profesionalizacijo javnih kupcev</w:t>
            </w:r>
          </w:p>
        </w:tc>
      </w:tr>
      <w:tr w:rsidR="00154E32" w14:paraId="183DA11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758D23D" w14:textId="77777777" w:rsidR="00154E32" w:rsidRDefault="00A43E04">
            <w:pPr>
              <w:pStyle w:val="P68B1DB1-Normal12"/>
              <w:jc w:val="center"/>
              <w:rPr>
                <w:noProof/>
              </w:rPr>
            </w:pPr>
            <w:r>
              <w:rPr>
                <w:noProof/>
              </w:rPr>
              <w:t>M1C1–99</w:t>
            </w:r>
          </w:p>
        </w:tc>
        <w:tc>
          <w:tcPr>
            <w:tcW w:w="3118" w:type="dxa"/>
            <w:tcBorders>
              <w:top w:val="nil"/>
              <w:left w:val="nil"/>
              <w:bottom w:val="single" w:sz="4" w:space="0" w:color="auto"/>
              <w:right w:val="single" w:sz="4" w:space="0" w:color="auto"/>
            </w:tcBorders>
            <w:shd w:val="clear" w:color="auto" w:fill="C6EFCE"/>
            <w:noWrap/>
            <w:vAlign w:val="center"/>
          </w:tcPr>
          <w:p w14:paraId="258672B6" w14:textId="77777777" w:rsidR="00154E32" w:rsidRDefault="00A43E04">
            <w:pPr>
              <w:pStyle w:val="P68B1DB1-Normal12"/>
              <w:rPr>
                <w:noProof/>
              </w:rPr>
            </w:pPr>
            <w:r>
              <w:rPr>
                <w:noProof/>
              </w:rPr>
              <w:t>Reforma 1.10: Reforma zakonodajnega okvira za javna naročila</w:t>
            </w:r>
          </w:p>
        </w:tc>
        <w:tc>
          <w:tcPr>
            <w:tcW w:w="1418" w:type="dxa"/>
            <w:tcBorders>
              <w:top w:val="nil"/>
              <w:left w:val="nil"/>
              <w:bottom w:val="single" w:sz="4" w:space="0" w:color="auto"/>
              <w:right w:val="single" w:sz="4" w:space="0" w:color="auto"/>
            </w:tcBorders>
            <w:shd w:val="clear" w:color="auto" w:fill="C6EFCE"/>
            <w:noWrap/>
            <w:vAlign w:val="center"/>
          </w:tcPr>
          <w:p w14:paraId="31EB7008" w14:textId="77777777" w:rsidR="00154E32" w:rsidRDefault="00A43E04">
            <w:pPr>
              <w:pStyle w:val="P68B1DB1-Normal12"/>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3035BA6C" w14:textId="77777777" w:rsidR="00154E32" w:rsidRDefault="00A43E04">
            <w:pPr>
              <w:pStyle w:val="P68B1DB1-Normal12"/>
              <w:rPr>
                <w:noProof/>
              </w:rPr>
            </w:pPr>
            <w:r>
              <w:rPr>
                <w:noProof/>
              </w:rPr>
              <w:t>Javni naročniki, ki uporabljajo dinamične nabavne sisteme</w:t>
            </w:r>
          </w:p>
        </w:tc>
      </w:tr>
      <w:tr w:rsidR="00154E32" w14:paraId="6625621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F58EF3B" w14:textId="77777777" w:rsidR="00154E32" w:rsidRDefault="00A43E04">
            <w:pPr>
              <w:pStyle w:val="P68B1DB1-Normal12"/>
              <w:jc w:val="center"/>
              <w:rPr>
                <w:noProof/>
              </w:rPr>
            </w:pPr>
            <w:r>
              <w:rPr>
                <w:noProof/>
              </w:rPr>
              <w:t>M1C1–113</w:t>
            </w:r>
          </w:p>
        </w:tc>
        <w:tc>
          <w:tcPr>
            <w:tcW w:w="3118" w:type="dxa"/>
            <w:tcBorders>
              <w:top w:val="nil"/>
              <w:left w:val="nil"/>
              <w:bottom w:val="single" w:sz="4" w:space="0" w:color="auto"/>
              <w:right w:val="single" w:sz="4" w:space="0" w:color="auto"/>
            </w:tcBorders>
            <w:shd w:val="clear" w:color="auto" w:fill="C6EFCE"/>
            <w:noWrap/>
            <w:vAlign w:val="center"/>
          </w:tcPr>
          <w:p w14:paraId="61DE6D0B" w14:textId="77777777" w:rsidR="00154E32" w:rsidRDefault="00A43E04">
            <w:pPr>
              <w:pStyle w:val="P68B1DB1-Normal12"/>
              <w:rPr>
                <w:noProof/>
              </w:rPr>
            </w:pPr>
            <w:r>
              <w:rPr>
                <w:noProof/>
              </w:rPr>
              <w:t>Reforma 1.12: Reforma davčne uprave</w:t>
            </w:r>
          </w:p>
        </w:tc>
        <w:tc>
          <w:tcPr>
            <w:tcW w:w="1418" w:type="dxa"/>
            <w:tcBorders>
              <w:top w:val="nil"/>
              <w:left w:val="nil"/>
              <w:bottom w:val="single" w:sz="4" w:space="0" w:color="auto"/>
              <w:right w:val="single" w:sz="4" w:space="0" w:color="auto"/>
            </w:tcBorders>
            <w:shd w:val="clear" w:color="auto" w:fill="C6EFCE"/>
            <w:noWrap/>
            <w:vAlign w:val="center"/>
          </w:tcPr>
          <w:p w14:paraId="2D0A2B32" w14:textId="77777777" w:rsidR="00154E32" w:rsidRDefault="00A43E04">
            <w:pPr>
              <w:pStyle w:val="P68B1DB1-Normal12"/>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7A27DBBA" w14:textId="77777777" w:rsidR="00154E32" w:rsidRDefault="00A43E04">
            <w:pPr>
              <w:pStyle w:val="P68B1DB1-Normal12"/>
              <w:rPr>
                <w:noProof/>
              </w:rPr>
            </w:pPr>
            <w:r>
              <w:rPr>
                <w:noProof/>
              </w:rPr>
              <w:t>Večje število „pisem o skladnosti“</w:t>
            </w:r>
          </w:p>
        </w:tc>
      </w:tr>
      <w:tr w:rsidR="00154E32" w14:paraId="3DB06DD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331A99C" w14:textId="77777777" w:rsidR="00154E32" w:rsidRDefault="00A43E04">
            <w:pPr>
              <w:pStyle w:val="P68B1DB1-Normal12"/>
              <w:jc w:val="center"/>
              <w:rPr>
                <w:noProof/>
              </w:rPr>
            </w:pPr>
            <w:r>
              <w:rPr>
                <w:noProof/>
              </w:rPr>
              <w:t>M1C1–114</w:t>
            </w:r>
          </w:p>
        </w:tc>
        <w:tc>
          <w:tcPr>
            <w:tcW w:w="3118" w:type="dxa"/>
            <w:tcBorders>
              <w:top w:val="nil"/>
              <w:left w:val="nil"/>
              <w:bottom w:val="single" w:sz="4" w:space="0" w:color="auto"/>
              <w:right w:val="single" w:sz="4" w:space="0" w:color="auto"/>
            </w:tcBorders>
            <w:shd w:val="clear" w:color="auto" w:fill="C6EFCE"/>
            <w:noWrap/>
            <w:vAlign w:val="center"/>
          </w:tcPr>
          <w:p w14:paraId="63448C8D" w14:textId="77777777" w:rsidR="00154E32" w:rsidRDefault="00A43E04">
            <w:pPr>
              <w:pStyle w:val="P68B1DB1-Normal12"/>
              <w:rPr>
                <w:noProof/>
              </w:rPr>
            </w:pPr>
            <w:r>
              <w:rPr>
                <w:noProof/>
              </w:rPr>
              <w:t>Reforma 1.12: Reforma davčne uprave</w:t>
            </w:r>
          </w:p>
        </w:tc>
        <w:tc>
          <w:tcPr>
            <w:tcW w:w="1418" w:type="dxa"/>
            <w:tcBorders>
              <w:top w:val="nil"/>
              <w:left w:val="nil"/>
              <w:bottom w:val="single" w:sz="4" w:space="0" w:color="auto"/>
              <w:right w:val="single" w:sz="4" w:space="0" w:color="auto"/>
            </w:tcBorders>
            <w:shd w:val="clear" w:color="auto" w:fill="C6EFCE"/>
            <w:noWrap/>
            <w:vAlign w:val="center"/>
          </w:tcPr>
          <w:p w14:paraId="57D0F6FB" w14:textId="77777777" w:rsidR="00154E32" w:rsidRDefault="00A43E04">
            <w:pPr>
              <w:pStyle w:val="P68B1DB1-Normal12"/>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069FDB65" w14:textId="77777777" w:rsidR="00154E32" w:rsidRDefault="00A43E04">
            <w:pPr>
              <w:pStyle w:val="P68B1DB1-Normal12"/>
              <w:rPr>
                <w:noProof/>
              </w:rPr>
            </w:pPr>
            <w:r>
              <w:rPr>
                <w:noProof/>
              </w:rPr>
              <w:t>Povečanje davčnih prihodkov, ustvarjenih z „pismi o skladnosti“</w:t>
            </w:r>
          </w:p>
        </w:tc>
      </w:tr>
      <w:tr w:rsidR="00154E32" w14:paraId="008582F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473654B" w14:textId="77777777" w:rsidR="00154E32" w:rsidRDefault="00A43E04">
            <w:pPr>
              <w:pStyle w:val="P68B1DB1-Normal12"/>
              <w:jc w:val="center"/>
              <w:rPr>
                <w:noProof/>
              </w:rPr>
            </w:pPr>
            <w:r>
              <w:rPr>
                <w:noProof/>
              </w:rPr>
              <w:t>M1C2–11</w:t>
            </w:r>
          </w:p>
        </w:tc>
        <w:tc>
          <w:tcPr>
            <w:tcW w:w="3118" w:type="dxa"/>
            <w:tcBorders>
              <w:top w:val="nil"/>
              <w:left w:val="nil"/>
              <w:bottom w:val="single" w:sz="4" w:space="0" w:color="auto"/>
              <w:right w:val="single" w:sz="4" w:space="0" w:color="auto"/>
            </w:tcBorders>
            <w:shd w:val="clear" w:color="auto" w:fill="C6EFCE"/>
            <w:noWrap/>
            <w:vAlign w:val="center"/>
          </w:tcPr>
          <w:p w14:paraId="4A01B5F4" w14:textId="77777777" w:rsidR="00154E32" w:rsidRDefault="00A43E04">
            <w:pPr>
              <w:pStyle w:val="P68B1DB1-Normal12"/>
              <w:rPr>
                <w:noProof/>
              </w:rPr>
            </w:pPr>
            <w:r>
              <w:rPr>
                <w:noProof/>
              </w:rPr>
              <w:t>Reforma 2: Letna zakonodaja o konkurenci</w:t>
            </w:r>
          </w:p>
        </w:tc>
        <w:tc>
          <w:tcPr>
            <w:tcW w:w="1418" w:type="dxa"/>
            <w:tcBorders>
              <w:top w:val="nil"/>
              <w:left w:val="nil"/>
              <w:bottom w:val="single" w:sz="4" w:space="0" w:color="auto"/>
              <w:right w:val="single" w:sz="4" w:space="0" w:color="auto"/>
            </w:tcBorders>
            <w:shd w:val="clear" w:color="auto" w:fill="C6EFCE"/>
            <w:noWrap/>
            <w:vAlign w:val="center"/>
          </w:tcPr>
          <w:p w14:paraId="3EAE24F6" w14:textId="77777777" w:rsidR="00154E32" w:rsidRDefault="00A43E04">
            <w:pPr>
              <w:pStyle w:val="P68B1DB1-Normal12"/>
              <w:rPr>
                <w:noProof/>
                <w:color w:val="006600"/>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39CCCA9C" w14:textId="77777777" w:rsidR="00154E32" w:rsidRDefault="00A43E04">
            <w:pPr>
              <w:pStyle w:val="P68B1DB1-Normal12"/>
              <w:rPr>
                <w:noProof/>
                <w:color w:val="006600"/>
              </w:rPr>
            </w:pPr>
            <w:r>
              <w:rPr>
                <w:noProof/>
              </w:rPr>
              <w:t>Začetek veljavnosti letnega konkurenčnega zakona za leto 2023</w:t>
            </w:r>
          </w:p>
        </w:tc>
      </w:tr>
      <w:tr w:rsidR="00154E32" w14:paraId="4B0ADD7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CFDEB5D" w14:textId="77777777" w:rsidR="00154E32" w:rsidRDefault="00A43E04">
            <w:pPr>
              <w:pStyle w:val="P68B1DB1-Normal12"/>
              <w:jc w:val="center"/>
              <w:rPr>
                <w:noProof/>
              </w:rPr>
            </w:pPr>
            <w:r>
              <w:rPr>
                <w:noProof/>
              </w:rPr>
              <w:t>M1C2–12</w:t>
            </w:r>
          </w:p>
        </w:tc>
        <w:tc>
          <w:tcPr>
            <w:tcW w:w="3118" w:type="dxa"/>
            <w:tcBorders>
              <w:top w:val="nil"/>
              <w:left w:val="nil"/>
              <w:bottom w:val="single" w:sz="4" w:space="0" w:color="auto"/>
              <w:right w:val="single" w:sz="4" w:space="0" w:color="auto"/>
            </w:tcBorders>
            <w:shd w:val="clear" w:color="auto" w:fill="C6EFCE"/>
            <w:noWrap/>
            <w:vAlign w:val="center"/>
          </w:tcPr>
          <w:p w14:paraId="543B1A03" w14:textId="77777777" w:rsidR="00154E32" w:rsidRDefault="00A43E04">
            <w:pPr>
              <w:pStyle w:val="P68B1DB1-Normal12"/>
              <w:rPr>
                <w:noProof/>
              </w:rPr>
            </w:pPr>
            <w:r>
              <w:rPr>
                <w:noProof/>
              </w:rPr>
              <w:t>Reforma 2: Letna zakonodaja o konkurenci</w:t>
            </w:r>
          </w:p>
        </w:tc>
        <w:tc>
          <w:tcPr>
            <w:tcW w:w="1418" w:type="dxa"/>
            <w:tcBorders>
              <w:top w:val="nil"/>
              <w:left w:val="nil"/>
              <w:bottom w:val="single" w:sz="4" w:space="0" w:color="auto"/>
              <w:right w:val="single" w:sz="4" w:space="0" w:color="auto"/>
            </w:tcBorders>
            <w:shd w:val="clear" w:color="auto" w:fill="C6EFCE"/>
            <w:noWrap/>
            <w:vAlign w:val="center"/>
          </w:tcPr>
          <w:p w14:paraId="7A61D883" w14:textId="77777777" w:rsidR="00154E32" w:rsidRDefault="00A43E04">
            <w:pPr>
              <w:pStyle w:val="P68B1DB1-Normal12"/>
              <w:rPr>
                <w:noProof/>
                <w:color w:val="006600"/>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16BC2602" w14:textId="77777777" w:rsidR="00154E32" w:rsidRDefault="00A43E04">
            <w:pPr>
              <w:pStyle w:val="P68B1DB1-Normal12"/>
              <w:rPr>
                <w:noProof/>
                <w:color w:val="006600"/>
              </w:rPr>
            </w:pPr>
            <w:r>
              <w:rPr>
                <w:noProof/>
              </w:rPr>
              <w:t>Začetek veljavnosti vseh izvedbenih ukrepov (po potrebi vključno s sekundarno zakonodajo) za učinkovito izvajanje in uporabo ukrepov, ki izhajajo iz letnega konkurenčnega prava za leto 2023</w:t>
            </w:r>
          </w:p>
        </w:tc>
      </w:tr>
      <w:tr w:rsidR="00154E32" w14:paraId="40E9A5D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ADFD82D" w14:textId="77777777" w:rsidR="00154E32" w:rsidRDefault="00A43E04">
            <w:pPr>
              <w:pStyle w:val="P68B1DB1-Normal12"/>
              <w:jc w:val="center"/>
              <w:rPr>
                <w:noProof/>
              </w:rPr>
            </w:pPr>
            <w:r>
              <w:rPr>
                <w:noProof/>
              </w:rPr>
              <w:t>M2C1–6a</w:t>
            </w:r>
          </w:p>
        </w:tc>
        <w:tc>
          <w:tcPr>
            <w:tcW w:w="3118" w:type="dxa"/>
            <w:tcBorders>
              <w:top w:val="nil"/>
              <w:left w:val="nil"/>
              <w:bottom w:val="single" w:sz="4" w:space="0" w:color="auto"/>
              <w:right w:val="single" w:sz="4" w:space="0" w:color="auto"/>
            </w:tcBorders>
            <w:shd w:val="clear" w:color="auto" w:fill="C6EFCE"/>
            <w:noWrap/>
            <w:vAlign w:val="center"/>
          </w:tcPr>
          <w:p w14:paraId="78753965" w14:textId="77777777" w:rsidR="00154E32" w:rsidRDefault="00A43E04">
            <w:pPr>
              <w:pStyle w:val="P68B1DB1-Normal12"/>
              <w:rPr>
                <w:noProof/>
              </w:rPr>
            </w:pPr>
            <w:r>
              <w:rPr>
                <w:noProof/>
              </w:rPr>
              <w:t>Naložba 2.2: Kmetijsko-sonalni park</w:t>
            </w:r>
          </w:p>
        </w:tc>
        <w:tc>
          <w:tcPr>
            <w:tcW w:w="1418" w:type="dxa"/>
            <w:tcBorders>
              <w:top w:val="nil"/>
              <w:left w:val="nil"/>
              <w:bottom w:val="single" w:sz="4" w:space="0" w:color="auto"/>
              <w:right w:val="single" w:sz="4" w:space="0" w:color="auto"/>
            </w:tcBorders>
            <w:shd w:val="clear" w:color="auto" w:fill="C6EFCE"/>
            <w:noWrap/>
            <w:vAlign w:val="center"/>
          </w:tcPr>
          <w:p w14:paraId="4427CC0E" w14:textId="77777777" w:rsidR="00154E32" w:rsidRDefault="00A43E04">
            <w:pPr>
              <w:pStyle w:val="P68B1DB1-Normal12"/>
              <w:rPr>
                <w:noProof/>
                <w:color w:val="006600"/>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45CC125F" w14:textId="77777777" w:rsidR="00154E32" w:rsidRDefault="00A43E04">
            <w:pPr>
              <w:pStyle w:val="P68B1DB1-Normal12"/>
              <w:rPr>
                <w:noProof/>
                <w:color w:val="006600"/>
              </w:rPr>
            </w:pPr>
            <w:r>
              <w:rPr>
                <w:noProof/>
              </w:rPr>
              <w:t>Dodelitev sredstev upravičencem kot % skupnih finančnih sredstev, dodeljenih za naložbo</w:t>
            </w:r>
          </w:p>
        </w:tc>
      </w:tr>
      <w:tr w:rsidR="00154E32" w14:paraId="03BC948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E8B44ED" w14:textId="77777777" w:rsidR="00154E32" w:rsidRDefault="00A43E04">
            <w:pPr>
              <w:pStyle w:val="P68B1DB1-Normal12"/>
              <w:jc w:val="center"/>
              <w:rPr>
                <w:noProof/>
              </w:rPr>
            </w:pPr>
            <w:r>
              <w:rPr>
                <w:noProof/>
              </w:rPr>
              <w:t>M2C1–7</w:t>
            </w:r>
          </w:p>
        </w:tc>
        <w:tc>
          <w:tcPr>
            <w:tcW w:w="3118" w:type="dxa"/>
            <w:tcBorders>
              <w:top w:val="nil"/>
              <w:left w:val="nil"/>
              <w:bottom w:val="single" w:sz="4" w:space="0" w:color="auto"/>
              <w:right w:val="single" w:sz="4" w:space="0" w:color="auto"/>
            </w:tcBorders>
            <w:shd w:val="clear" w:color="auto" w:fill="C6EFCE"/>
            <w:noWrap/>
            <w:vAlign w:val="center"/>
          </w:tcPr>
          <w:p w14:paraId="1FE0178F" w14:textId="77777777" w:rsidR="00154E32" w:rsidRDefault="00A43E04">
            <w:pPr>
              <w:pStyle w:val="P68B1DB1-Normal12"/>
              <w:rPr>
                <w:noProof/>
              </w:rPr>
            </w:pPr>
            <w:r>
              <w:rPr>
                <w:noProof/>
              </w:rPr>
              <w:t>Naložba 2.3: Inovacije in mehanizacija v kmetijskem in živilskem sektorju</w:t>
            </w:r>
          </w:p>
        </w:tc>
        <w:tc>
          <w:tcPr>
            <w:tcW w:w="1418" w:type="dxa"/>
            <w:tcBorders>
              <w:top w:val="nil"/>
              <w:left w:val="nil"/>
              <w:bottom w:val="single" w:sz="4" w:space="0" w:color="auto"/>
              <w:right w:val="single" w:sz="4" w:space="0" w:color="auto"/>
            </w:tcBorders>
            <w:shd w:val="clear" w:color="auto" w:fill="C6EFCE"/>
            <w:noWrap/>
            <w:vAlign w:val="center"/>
          </w:tcPr>
          <w:p w14:paraId="72F48C28" w14:textId="77777777" w:rsidR="00154E32" w:rsidRDefault="00A43E04">
            <w:pPr>
              <w:pStyle w:val="P68B1DB1-Normal12"/>
              <w:rPr>
                <w:noProof/>
                <w:color w:val="006600"/>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2AB1D81D" w14:textId="77777777" w:rsidR="00154E32" w:rsidRDefault="00A43E04">
            <w:pPr>
              <w:pStyle w:val="P68B1DB1-Normal12"/>
              <w:rPr>
                <w:noProof/>
                <w:color w:val="006600"/>
              </w:rPr>
            </w:pPr>
            <w:r>
              <w:rPr>
                <w:noProof/>
              </w:rPr>
              <w:t>Objava končnih razvrstitev z navedbo končnih prejemnikov.</w:t>
            </w:r>
          </w:p>
        </w:tc>
      </w:tr>
      <w:tr w:rsidR="00154E32" w14:paraId="6706491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4999C4F" w14:textId="77777777" w:rsidR="00154E32" w:rsidRDefault="00A43E04">
            <w:pPr>
              <w:pStyle w:val="P68B1DB1-Normal12"/>
              <w:jc w:val="center"/>
              <w:rPr>
                <w:noProof/>
              </w:rPr>
            </w:pPr>
            <w:r>
              <w:rPr>
                <w:noProof/>
              </w:rPr>
              <w:t>M2C2–28</w:t>
            </w:r>
          </w:p>
        </w:tc>
        <w:tc>
          <w:tcPr>
            <w:tcW w:w="3118" w:type="dxa"/>
            <w:tcBorders>
              <w:top w:val="nil"/>
              <w:left w:val="nil"/>
              <w:bottom w:val="single" w:sz="4" w:space="0" w:color="auto"/>
              <w:right w:val="single" w:sz="4" w:space="0" w:color="auto"/>
            </w:tcBorders>
            <w:shd w:val="clear" w:color="auto" w:fill="C6EFCE"/>
            <w:noWrap/>
            <w:vAlign w:val="center"/>
          </w:tcPr>
          <w:p w14:paraId="440E6A2D" w14:textId="77777777" w:rsidR="00154E32" w:rsidRDefault="00A43E04">
            <w:pPr>
              <w:pStyle w:val="P68B1DB1-Normal12"/>
              <w:rPr>
                <w:noProof/>
              </w:rPr>
            </w:pPr>
            <w:r>
              <w:rPr>
                <w:noProof/>
              </w:rPr>
              <w:t>Naložba 4.3 Vgradnja infrastrukture za polnjenje</w:t>
            </w:r>
          </w:p>
        </w:tc>
        <w:tc>
          <w:tcPr>
            <w:tcW w:w="1418" w:type="dxa"/>
            <w:tcBorders>
              <w:top w:val="nil"/>
              <w:left w:val="nil"/>
              <w:bottom w:val="single" w:sz="4" w:space="0" w:color="auto"/>
              <w:right w:val="single" w:sz="4" w:space="0" w:color="auto"/>
            </w:tcBorders>
            <w:shd w:val="clear" w:color="auto" w:fill="C6EFCE"/>
            <w:noWrap/>
            <w:vAlign w:val="center"/>
          </w:tcPr>
          <w:p w14:paraId="780C1457" w14:textId="77777777" w:rsidR="00154E32" w:rsidRDefault="00A43E04">
            <w:pPr>
              <w:pStyle w:val="P68B1DB1-Normal12"/>
              <w:rPr>
                <w:noProof/>
                <w:color w:val="006600"/>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02753F33" w14:textId="77777777" w:rsidR="00154E32" w:rsidRDefault="00A43E04">
            <w:pPr>
              <w:pStyle w:val="P68B1DB1-Normal12"/>
              <w:rPr>
                <w:noProof/>
                <w:color w:val="006600"/>
              </w:rPr>
            </w:pPr>
            <w:r>
              <w:rPr>
                <w:noProof/>
              </w:rPr>
              <w:t>Oddaja vseh javnih naročil za namestitev infrastrukture za polnjenje M2</w:t>
            </w:r>
          </w:p>
        </w:tc>
      </w:tr>
      <w:tr w:rsidR="00154E32" w14:paraId="4CC0A19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72ECEB9" w14:textId="77777777" w:rsidR="00154E32" w:rsidRDefault="00A43E04">
            <w:pPr>
              <w:pStyle w:val="P68B1DB1-Normal12"/>
              <w:jc w:val="center"/>
              <w:rPr>
                <w:noProof/>
              </w:rPr>
            </w:pPr>
            <w:r>
              <w:rPr>
                <w:noProof/>
              </w:rPr>
              <w:t>M4C1–12</w:t>
            </w:r>
          </w:p>
        </w:tc>
        <w:tc>
          <w:tcPr>
            <w:tcW w:w="3118" w:type="dxa"/>
            <w:tcBorders>
              <w:top w:val="nil"/>
              <w:left w:val="nil"/>
              <w:bottom w:val="single" w:sz="4" w:space="0" w:color="auto"/>
              <w:right w:val="single" w:sz="4" w:space="0" w:color="auto"/>
            </w:tcBorders>
            <w:shd w:val="clear" w:color="auto" w:fill="C6EFCE"/>
            <w:noWrap/>
            <w:vAlign w:val="center"/>
          </w:tcPr>
          <w:p w14:paraId="59BD781B" w14:textId="77777777" w:rsidR="00154E32" w:rsidRDefault="00A43E04">
            <w:pPr>
              <w:pStyle w:val="P68B1DB1-Normal12"/>
              <w:rPr>
                <w:noProof/>
              </w:rPr>
            </w:pPr>
            <w:r>
              <w:rPr>
                <w:noProof/>
              </w:rPr>
              <w:t>Naložba 4.1: Razširitev števila in poklicnih možnosti doktoratov (raziskave, javna uprava in kulturna dediščina)</w:t>
            </w:r>
          </w:p>
        </w:tc>
        <w:tc>
          <w:tcPr>
            <w:tcW w:w="1418" w:type="dxa"/>
            <w:tcBorders>
              <w:top w:val="nil"/>
              <w:left w:val="nil"/>
              <w:bottom w:val="single" w:sz="4" w:space="0" w:color="auto"/>
              <w:right w:val="single" w:sz="4" w:space="0" w:color="auto"/>
            </w:tcBorders>
            <w:shd w:val="clear" w:color="auto" w:fill="C6EFCE"/>
            <w:noWrap/>
            <w:vAlign w:val="center"/>
          </w:tcPr>
          <w:p w14:paraId="54B58909" w14:textId="77777777" w:rsidR="00154E32" w:rsidRDefault="00A43E04">
            <w:pPr>
              <w:pStyle w:val="P68B1DB1-Normal12"/>
              <w:rPr>
                <w:noProof/>
                <w:color w:val="006600"/>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53570751" w14:textId="77777777" w:rsidR="00154E32" w:rsidRDefault="00A43E04">
            <w:pPr>
              <w:pStyle w:val="P68B1DB1-Normal12"/>
              <w:rPr>
                <w:noProof/>
                <w:color w:val="006600"/>
              </w:rPr>
            </w:pPr>
            <w:r>
              <w:rPr>
                <w:noProof/>
              </w:rPr>
              <w:t>Programi štipendij doktorskega študija, odobreni na leto (nad tremi leti)</w:t>
            </w:r>
          </w:p>
        </w:tc>
      </w:tr>
      <w:tr w:rsidR="00154E32" w14:paraId="48E8625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503FEAA" w14:textId="77777777" w:rsidR="00154E32" w:rsidRDefault="00A43E04">
            <w:pPr>
              <w:pStyle w:val="P68B1DB1-Normal12"/>
              <w:jc w:val="center"/>
              <w:rPr>
                <w:noProof/>
              </w:rPr>
            </w:pPr>
            <w:r>
              <w:rPr>
                <w:noProof/>
              </w:rPr>
              <w:t>M4C1–14</w:t>
            </w:r>
          </w:p>
        </w:tc>
        <w:tc>
          <w:tcPr>
            <w:tcW w:w="3118" w:type="dxa"/>
            <w:tcBorders>
              <w:top w:val="nil"/>
              <w:left w:val="nil"/>
              <w:bottom w:val="single" w:sz="4" w:space="0" w:color="auto"/>
              <w:right w:val="single" w:sz="4" w:space="0" w:color="auto"/>
            </w:tcBorders>
            <w:shd w:val="clear" w:color="auto" w:fill="C6EFCE"/>
            <w:noWrap/>
            <w:vAlign w:val="center"/>
          </w:tcPr>
          <w:p w14:paraId="554D8D4F" w14:textId="77777777" w:rsidR="00154E32" w:rsidRDefault="00A43E04">
            <w:pPr>
              <w:pStyle w:val="P68B1DB1-Normal12"/>
              <w:rPr>
                <w:noProof/>
              </w:rPr>
            </w:pPr>
            <w:r>
              <w:rPr>
                <w:noProof/>
              </w:rPr>
              <w:t xml:space="preserve">Reforma 2.1: Zaposlovanje učiteljev </w:t>
            </w:r>
          </w:p>
        </w:tc>
        <w:tc>
          <w:tcPr>
            <w:tcW w:w="1418" w:type="dxa"/>
            <w:tcBorders>
              <w:top w:val="nil"/>
              <w:left w:val="nil"/>
              <w:bottom w:val="single" w:sz="4" w:space="0" w:color="auto"/>
              <w:right w:val="single" w:sz="4" w:space="0" w:color="auto"/>
            </w:tcBorders>
            <w:shd w:val="clear" w:color="auto" w:fill="C6EFCE"/>
            <w:noWrap/>
            <w:vAlign w:val="center"/>
          </w:tcPr>
          <w:p w14:paraId="1B32E977" w14:textId="77777777" w:rsidR="00154E32" w:rsidRDefault="00A43E04">
            <w:pPr>
              <w:pStyle w:val="P68B1DB1-Normal12"/>
              <w:rPr>
                <w:noProof/>
                <w:color w:val="006600"/>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0B3344F0" w14:textId="77777777" w:rsidR="00154E32" w:rsidRDefault="00A43E04">
            <w:pPr>
              <w:pStyle w:val="P68B1DB1-Normal12"/>
              <w:rPr>
                <w:noProof/>
                <w:color w:val="006600"/>
              </w:rPr>
            </w:pPr>
            <w:r>
              <w:rPr>
                <w:noProof/>
              </w:rPr>
              <w:t>Učitelji, zaposleni v prenovljenem sistemu zaposlovanja</w:t>
            </w:r>
          </w:p>
        </w:tc>
      </w:tr>
      <w:tr w:rsidR="00154E32" w14:paraId="5F1F3EC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6114B18" w14:textId="77777777" w:rsidR="00154E32" w:rsidRDefault="00A43E04">
            <w:pPr>
              <w:pStyle w:val="P68B1DB1-Normal12"/>
              <w:jc w:val="center"/>
              <w:rPr>
                <w:noProof/>
              </w:rPr>
            </w:pPr>
            <w:r>
              <w:rPr>
                <w:noProof/>
              </w:rPr>
              <w:t>M4C1–15</w:t>
            </w:r>
          </w:p>
        </w:tc>
        <w:tc>
          <w:tcPr>
            <w:tcW w:w="3118" w:type="dxa"/>
            <w:tcBorders>
              <w:top w:val="nil"/>
              <w:left w:val="nil"/>
              <w:bottom w:val="single" w:sz="4" w:space="0" w:color="auto"/>
              <w:right w:val="single" w:sz="4" w:space="0" w:color="auto"/>
            </w:tcBorders>
            <w:shd w:val="clear" w:color="auto" w:fill="C6EFCE"/>
            <w:noWrap/>
            <w:vAlign w:val="center"/>
          </w:tcPr>
          <w:p w14:paraId="307AA6FF" w14:textId="77777777" w:rsidR="00154E32" w:rsidRDefault="00A43E04">
            <w:pPr>
              <w:pStyle w:val="P68B1DB1-Normal12"/>
              <w:rPr>
                <w:noProof/>
              </w:rPr>
            </w:pPr>
            <w:r>
              <w:rPr>
                <w:noProof/>
              </w:rPr>
              <w:t>Naložba 1.7: Štipendije za dostop do univerz</w:t>
            </w:r>
          </w:p>
        </w:tc>
        <w:tc>
          <w:tcPr>
            <w:tcW w:w="1418" w:type="dxa"/>
            <w:tcBorders>
              <w:top w:val="nil"/>
              <w:left w:val="nil"/>
              <w:bottom w:val="single" w:sz="4" w:space="0" w:color="auto"/>
              <w:right w:val="single" w:sz="4" w:space="0" w:color="auto"/>
            </w:tcBorders>
            <w:shd w:val="clear" w:color="auto" w:fill="C6EFCE"/>
            <w:noWrap/>
            <w:vAlign w:val="center"/>
          </w:tcPr>
          <w:p w14:paraId="6C653EDB" w14:textId="77777777" w:rsidR="00154E32" w:rsidRDefault="00A43E04">
            <w:pPr>
              <w:pStyle w:val="P68B1DB1-Normal12"/>
              <w:rPr>
                <w:noProof/>
                <w:color w:val="006600"/>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03293692" w14:textId="77777777" w:rsidR="00154E32" w:rsidRDefault="00A43E04">
            <w:pPr>
              <w:pStyle w:val="P68B1DB1-Normal12"/>
              <w:rPr>
                <w:noProof/>
                <w:color w:val="006600"/>
              </w:rPr>
            </w:pPr>
            <w:r>
              <w:rPr>
                <w:noProof/>
              </w:rPr>
              <w:t>Štipendije za dostop do univerze</w:t>
            </w:r>
          </w:p>
        </w:tc>
      </w:tr>
      <w:tr w:rsidR="00154E32" w14:paraId="061893F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CB92E6B" w14:textId="77777777" w:rsidR="00154E32" w:rsidRDefault="00A43E04">
            <w:pPr>
              <w:pStyle w:val="P68B1DB1-Normal12"/>
              <w:jc w:val="center"/>
              <w:rPr>
                <w:noProof/>
              </w:rPr>
            </w:pPr>
            <w:r>
              <w:rPr>
                <w:noProof/>
              </w:rPr>
              <w:t>M4C2–3</w:t>
            </w:r>
          </w:p>
        </w:tc>
        <w:tc>
          <w:tcPr>
            <w:tcW w:w="3118" w:type="dxa"/>
            <w:tcBorders>
              <w:top w:val="nil"/>
              <w:left w:val="nil"/>
              <w:bottom w:val="single" w:sz="4" w:space="0" w:color="auto"/>
              <w:right w:val="single" w:sz="4" w:space="0" w:color="auto"/>
            </w:tcBorders>
            <w:shd w:val="clear" w:color="auto" w:fill="C6EFCE"/>
            <w:noWrap/>
            <w:vAlign w:val="center"/>
          </w:tcPr>
          <w:p w14:paraId="77369795" w14:textId="77777777" w:rsidR="00154E32" w:rsidRDefault="00A43E04">
            <w:pPr>
              <w:pStyle w:val="P68B1DB1-Normal12"/>
              <w:rPr>
                <w:noProof/>
              </w:rPr>
            </w:pPr>
            <w:r>
              <w:rPr>
                <w:noProof/>
              </w:rPr>
              <w:t>Naložba 3.3: Uvedba inovativnih doktoratov, ki ustrezajo potrebam podjetij po inovacijah in spodbujajo zaposlovanje raziskovalcev s strani podjetij</w:t>
            </w:r>
          </w:p>
        </w:tc>
        <w:tc>
          <w:tcPr>
            <w:tcW w:w="1418" w:type="dxa"/>
            <w:tcBorders>
              <w:top w:val="nil"/>
              <w:left w:val="nil"/>
              <w:bottom w:val="single" w:sz="4" w:space="0" w:color="auto"/>
              <w:right w:val="single" w:sz="4" w:space="0" w:color="auto"/>
            </w:tcBorders>
            <w:shd w:val="clear" w:color="auto" w:fill="C6EFCE"/>
            <w:noWrap/>
            <w:vAlign w:val="center"/>
          </w:tcPr>
          <w:p w14:paraId="046231BC" w14:textId="77777777" w:rsidR="00154E32" w:rsidRDefault="00A43E04">
            <w:pPr>
              <w:pStyle w:val="P68B1DB1-Normal12"/>
              <w:rPr>
                <w:noProof/>
                <w:color w:val="006600"/>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461A9D7D" w14:textId="77777777" w:rsidR="00154E32" w:rsidRDefault="00A43E04">
            <w:pPr>
              <w:pStyle w:val="P68B1DB1-Normal12"/>
              <w:rPr>
                <w:noProof/>
                <w:color w:val="006600"/>
              </w:rPr>
            </w:pPr>
            <w:r>
              <w:rPr>
                <w:noProof/>
              </w:rPr>
              <w:t>Število štipendij za inovativne doktorske študijske programe</w:t>
            </w:r>
          </w:p>
        </w:tc>
      </w:tr>
      <w:tr w:rsidR="00154E32" w14:paraId="2723A81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7F200A3" w14:textId="77777777" w:rsidR="00154E32" w:rsidRDefault="00A43E04">
            <w:pPr>
              <w:pStyle w:val="P68B1DB1-Normal12"/>
              <w:jc w:val="center"/>
              <w:rPr>
                <w:noProof/>
              </w:rPr>
            </w:pPr>
            <w:r>
              <w:rPr>
                <w:noProof/>
              </w:rPr>
              <w:t>M5C1–15a</w:t>
            </w:r>
          </w:p>
        </w:tc>
        <w:tc>
          <w:tcPr>
            <w:tcW w:w="3118" w:type="dxa"/>
            <w:tcBorders>
              <w:top w:val="nil"/>
              <w:left w:val="nil"/>
              <w:bottom w:val="single" w:sz="4" w:space="0" w:color="auto"/>
              <w:right w:val="single" w:sz="4" w:space="0" w:color="auto"/>
            </w:tcBorders>
            <w:shd w:val="clear" w:color="auto" w:fill="C6EFCE"/>
            <w:noWrap/>
            <w:vAlign w:val="center"/>
          </w:tcPr>
          <w:p w14:paraId="1A0F621B" w14:textId="77777777" w:rsidR="00154E32" w:rsidRDefault="00A43E04">
            <w:pPr>
              <w:pStyle w:val="P68B1DB1-Normal12"/>
              <w:rPr>
                <w:noProof/>
              </w:rPr>
            </w:pPr>
            <w:r>
              <w:rPr>
                <w:noProof/>
              </w:rPr>
              <w:t>Naložba 4 – Univerzalna javna služba</w:t>
            </w:r>
          </w:p>
        </w:tc>
        <w:tc>
          <w:tcPr>
            <w:tcW w:w="1418" w:type="dxa"/>
            <w:tcBorders>
              <w:top w:val="nil"/>
              <w:left w:val="nil"/>
              <w:bottom w:val="single" w:sz="4" w:space="0" w:color="auto"/>
              <w:right w:val="single" w:sz="4" w:space="0" w:color="auto"/>
            </w:tcBorders>
            <w:shd w:val="clear" w:color="auto" w:fill="C6EFCE"/>
            <w:noWrap/>
            <w:vAlign w:val="center"/>
          </w:tcPr>
          <w:p w14:paraId="5B336712" w14:textId="77777777" w:rsidR="00154E32" w:rsidRDefault="00A43E04">
            <w:pPr>
              <w:pStyle w:val="P68B1DB1-Normal12"/>
              <w:rPr>
                <w:noProof/>
                <w:color w:val="006600"/>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5E05FF65" w14:textId="77777777" w:rsidR="00154E32" w:rsidRDefault="00A43E04">
            <w:pPr>
              <w:rPr>
                <w:noProof/>
                <w:color w:val="006600"/>
                <w:sz w:val="20"/>
              </w:rPr>
            </w:pPr>
            <w:r>
              <w:rPr>
                <w:noProof/>
                <w:color w:val="006100"/>
                <w:sz w:val="20"/>
              </w:rPr>
              <w:t>Zakonodajna revizija sedanjega „Disposizioni concernenti la disciplina dei rapporti tra enti e operatori Volontari del servizio civile Universale“, ki je bila 14.</w:t>
            </w:r>
            <w:r>
              <w:rPr>
                <w:rStyle w:val="font111"/>
                <w:noProof/>
                <w:vertAlign w:val="superscript"/>
              </w:rPr>
              <w:t>januarja</w:t>
            </w:r>
            <w:r>
              <w:rPr>
                <w:rStyle w:val="font81"/>
                <w:rFonts w:eastAsiaTheme="majorEastAsia"/>
                <w:noProof/>
              </w:rPr>
              <w:t xml:space="preserve"> 2019 sprejeta kot dpcm (decreto del Presidente del Consiglio dei ministri), da bi okrepili univerzalno javno službo </w:t>
            </w:r>
          </w:p>
        </w:tc>
      </w:tr>
      <w:tr w:rsidR="00154E32" w14:paraId="767851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DF3A756" w14:textId="77777777" w:rsidR="00154E32" w:rsidRDefault="00A43E04">
            <w:pPr>
              <w:pStyle w:val="P68B1DB1-Normal12"/>
              <w:jc w:val="center"/>
              <w:rPr>
                <w:noProof/>
              </w:rPr>
            </w:pPr>
            <w:r>
              <w:rPr>
                <w:noProof/>
              </w:rPr>
              <w:t>M7–1</w:t>
            </w:r>
          </w:p>
        </w:tc>
        <w:tc>
          <w:tcPr>
            <w:tcW w:w="3118" w:type="dxa"/>
            <w:tcBorders>
              <w:top w:val="nil"/>
              <w:left w:val="nil"/>
              <w:bottom w:val="single" w:sz="4" w:space="0" w:color="auto"/>
              <w:right w:val="single" w:sz="4" w:space="0" w:color="auto"/>
            </w:tcBorders>
            <w:shd w:val="clear" w:color="auto" w:fill="C6EFCE"/>
            <w:noWrap/>
            <w:vAlign w:val="center"/>
          </w:tcPr>
          <w:p w14:paraId="27675E31" w14:textId="77777777" w:rsidR="00154E32" w:rsidRDefault="00A43E04">
            <w:pPr>
              <w:pStyle w:val="P68B1DB1-Normal12"/>
              <w:rPr>
                <w:noProof/>
              </w:rPr>
            </w:pPr>
            <w:r>
              <w:rPr>
                <w:noProof/>
              </w:rPr>
              <w:t>Reforma 1: Racionalizacija postopkov izdaje dovoljenj za energijo iz obnovljivih virov</w:t>
            </w:r>
          </w:p>
        </w:tc>
        <w:tc>
          <w:tcPr>
            <w:tcW w:w="1418" w:type="dxa"/>
            <w:tcBorders>
              <w:top w:val="nil"/>
              <w:left w:val="nil"/>
              <w:bottom w:val="single" w:sz="4" w:space="0" w:color="auto"/>
              <w:right w:val="single" w:sz="4" w:space="0" w:color="auto"/>
            </w:tcBorders>
            <w:shd w:val="clear" w:color="auto" w:fill="C6EFCE"/>
            <w:noWrap/>
            <w:vAlign w:val="center"/>
          </w:tcPr>
          <w:p w14:paraId="4395505F" w14:textId="77777777" w:rsidR="00154E32" w:rsidRDefault="00A43E04">
            <w:pPr>
              <w:pStyle w:val="P68B1DB1-Normal12"/>
              <w:rPr>
                <w:noProof/>
                <w:color w:val="006600"/>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52392CCB" w14:textId="77777777" w:rsidR="00154E32" w:rsidRDefault="00A43E04">
            <w:pPr>
              <w:pStyle w:val="P68B1DB1-Normal12"/>
              <w:rPr>
                <w:noProof/>
                <w:color w:val="006600"/>
              </w:rPr>
            </w:pPr>
            <w:r>
              <w:rPr>
                <w:noProof/>
              </w:rPr>
              <w:t>Opredelitev „območij za pospeševanje obnovljivih virov energije“</w:t>
            </w:r>
          </w:p>
        </w:tc>
      </w:tr>
      <w:tr w:rsidR="00154E32" w14:paraId="255100B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0D1AE24" w14:textId="77777777" w:rsidR="00154E32" w:rsidRDefault="00A43E04">
            <w:pPr>
              <w:pStyle w:val="P68B1DB1-Normal12"/>
              <w:jc w:val="center"/>
              <w:rPr>
                <w:noProof/>
              </w:rPr>
            </w:pPr>
            <w:r>
              <w:rPr>
                <w:noProof/>
              </w:rPr>
              <w:t>M7–4</w:t>
            </w:r>
          </w:p>
        </w:tc>
        <w:tc>
          <w:tcPr>
            <w:tcW w:w="3118" w:type="dxa"/>
            <w:tcBorders>
              <w:top w:val="nil"/>
              <w:left w:val="nil"/>
              <w:bottom w:val="single" w:sz="4" w:space="0" w:color="auto"/>
              <w:right w:val="single" w:sz="4" w:space="0" w:color="auto"/>
            </w:tcBorders>
            <w:shd w:val="clear" w:color="auto" w:fill="C6EFCE"/>
            <w:noWrap/>
            <w:vAlign w:val="center"/>
          </w:tcPr>
          <w:p w14:paraId="07123CE0" w14:textId="77777777" w:rsidR="00154E32" w:rsidRDefault="00A43E04">
            <w:pPr>
              <w:pStyle w:val="P68B1DB1-Normal12"/>
              <w:rPr>
                <w:noProof/>
              </w:rPr>
            </w:pPr>
            <w:r>
              <w:rPr>
                <w:noProof/>
              </w:rPr>
              <w:t>Reforma 2: Zmanjšanje okolju škodljivih subvencij</w:t>
            </w:r>
          </w:p>
        </w:tc>
        <w:tc>
          <w:tcPr>
            <w:tcW w:w="1418" w:type="dxa"/>
            <w:tcBorders>
              <w:top w:val="nil"/>
              <w:left w:val="nil"/>
              <w:bottom w:val="single" w:sz="4" w:space="0" w:color="auto"/>
              <w:right w:val="single" w:sz="4" w:space="0" w:color="auto"/>
            </w:tcBorders>
            <w:shd w:val="clear" w:color="auto" w:fill="C6EFCE"/>
            <w:noWrap/>
            <w:vAlign w:val="center"/>
          </w:tcPr>
          <w:p w14:paraId="61B60DC7" w14:textId="77777777" w:rsidR="00154E32" w:rsidRDefault="00A43E04">
            <w:pPr>
              <w:pStyle w:val="P68B1DB1-Normal12"/>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203B7DAC" w14:textId="77777777" w:rsidR="00154E32" w:rsidRDefault="00A43E04">
            <w:pPr>
              <w:pStyle w:val="P68B1DB1-Normal12"/>
              <w:rPr>
                <w:noProof/>
              </w:rPr>
            </w:pPr>
            <w:r>
              <w:rPr>
                <w:noProof/>
              </w:rPr>
              <w:t>Sprejetje vladnega poročila, ki temelji na izidu vladnega posvetovanja z deležniki za opredelitev načrta za zmanjšanje okolju škodljivih subvencij do leta 2030.</w:t>
            </w:r>
          </w:p>
        </w:tc>
      </w:tr>
      <w:tr w:rsidR="00154E32" w14:paraId="4FB4882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F94F5B3" w14:textId="77777777" w:rsidR="00154E32" w:rsidRDefault="00A43E04">
            <w:pPr>
              <w:pStyle w:val="P68B1DB1-Normal12"/>
              <w:jc w:val="center"/>
              <w:rPr>
                <w:noProof/>
              </w:rPr>
            </w:pPr>
            <w:r>
              <w:rPr>
                <w:noProof/>
              </w:rPr>
              <w:t>M7–8</w:t>
            </w:r>
          </w:p>
        </w:tc>
        <w:tc>
          <w:tcPr>
            <w:tcW w:w="3118" w:type="dxa"/>
            <w:tcBorders>
              <w:top w:val="nil"/>
              <w:left w:val="nil"/>
              <w:bottom w:val="single" w:sz="4" w:space="0" w:color="auto"/>
              <w:right w:val="single" w:sz="4" w:space="0" w:color="auto"/>
            </w:tcBorders>
            <w:shd w:val="clear" w:color="auto" w:fill="C6EFCE"/>
            <w:noWrap/>
            <w:vAlign w:val="center"/>
          </w:tcPr>
          <w:p w14:paraId="00A2949F" w14:textId="77777777" w:rsidR="00154E32" w:rsidRDefault="00A43E04">
            <w:pPr>
              <w:pStyle w:val="P68B1DB1-Normal12"/>
              <w:rPr>
                <w:noProof/>
              </w:rPr>
            </w:pPr>
            <w:r>
              <w:rPr>
                <w:noProof/>
              </w:rPr>
              <w:t>Reforma 4: Zmanjševanje finančnega tveganja, povezanega s pogodbami o nakupu električne energije iz obnovljivih virov (pogodbe o nakupu električne energije)</w:t>
            </w:r>
          </w:p>
        </w:tc>
        <w:tc>
          <w:tcPr>
            <w:tcW w:w="1418" w:type="dxa"/>
            <w:tcBorders>
              <w:top w:val="nil"/>
              <w:left w:val="nil"/>
              <w:bottom w:val="single" w:sz="4" w:space="0" w:color="auto"/>
              <w:right w:val="single" w:sz="4" w:space="0" w:color="auto"/>
            </w:tcBorders>
            <w:shd w:val="clear" w:color="auto" w:fill="C6EFCE"/>
            <w:noWrap/>
            <w:vAlign w:val="center"/>
          </w:tcPr>
          <w:p w14:paraId="782C3AE6" w14:textId="77777777" w:rsidR="00154E32" w:rsidRDefault="00A43E04">
            <w:pPr>
              <w:pStyle w:val="P68B1DB1-Normal12"/>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53DC9106" w14:textId="77777777" w:rsidR="00154E32" w:rsidRDefault="00A43E04">
            <w:pPr>
              <w:pStyle w:val="P68B1DB1-Normal12"/>
              <w:rPr>
                <w:noProof/>
              </w:rPr>
            </w:pPr>
            <w:r>
              <w:rPr>
                <w:noProof/>
              </w:rPr>
              <w:t>Začetek veljavnosti sekundarne zakonodaje</w:t>
            </w:r>
          </w:p>
        </w:tc>
      </w:tr>
      <w:tr w:rsidR="00154E32" w14:paraId="667AEA8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BD7BBAC" w14:textId="77777777" w:rsidR="00154E32" w:rsidRDefault="00A43E04">
            <w:pPr>
              <w:pStyle w:val="P68B1DB1-Normal12"/>
              <w:jc w:val="center"/>
              <w:rPr>
                <w:noProof/>
              </w:rPr>
            </w:pPr>
            <w:r>
              <w:rPr>
                <w:noProof/>
              </w:rPr>
              <w:t>M7–16</w:t>
            </w:r>
          </w:p>
        </w:tc>
        <w:tc>
          <w:tcPr>
            <w:tcW w:w="3118" w:type="dxa"/>
            <w:tcBorders>
              <w:top w:val="nil"/>
              <w:left w:val="nil"/>
              <w:bottom w:val="single" w:sz="4" w:space="0" w:color="auto"/>
              <w:right w:val="single" w:sz="4" w:space="0" w:color="auto"/>
            </w:tcBorders>
            <w:shd w:val="clear" w:color="auto" w:fill="C6EFCE"/>
            <w:noWrap/>
            <w:vAlign w:val="center"/>
          </w:tcPr>
          <w:p w14:paraId="7E479337" w14:textId="77777777" w:rsidR="00154E32" w:rsidRDefault="00A43E04">
            <w:pPr>
              <w:pStyle w:val="P68B1DB1-Normal12"/>
              <w:rPr>
                <w:noProof/>
              </w:rPr>
            </w:pPr>
            <w:r>
              <w:rPr>
                <w:noProof/>
              </w:rPr>
              <w:t>Naložba 5: SA.CO.I.3</w:t>
            </w:r>
          </w:p>
        </w:tc>
        <w:tc>
          <w:tcPr>
            <w:tcW w:w="1418" w:type="dxa"/>
            <w:tcBorders>
              <w:top w:val="nil"/>
              <w:left w:val="nil"/>
              <w:bottom w:val="single" w:sz="4" w:space="0" w:color="auto"/>
              <w:right w:val="single" w:sz="4" w:space="0" w:color="auto"/>
            </w:tcBorders>
            <w:shd w:val="clear" w:color="auto" w:fill="C6EFCE"/>
            <w:noWrap/>
            <w:vAlign w:val="center"/>
          </w:tcPr>
          <w:p w14:paraId="1AE7AE1A" w14:textId="77777777" w:rsidR="00154E32" w:rsidRDefault="00A43E04">
            <w:pPr>
              <w:pStyle w:val="P68B1DB1-Normal12"/>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450EDE82" w14:textId="77777777" w:rsidR="00154E32" w:rsidRDefault="00A43E04">
            <w:pPr>
              <w:pStyle w:val="P68B1DB1-Normal12"/>
              <w:rPr>
                <w:noProof/>
              </w:rPr>
            </w:pPr>
            <w:r>
              <w:rPr>
                <w:noProof/>
              </w:rPr>
              <w:t>Dodelitev pogodb</w:t>
            </w:r>
          </w:p>
        </w:tc>
      </w:tr>
      <w:tr w:rsidR="00154E32" w14:paraId="03DD1D6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483496E" w14:textId="77777777" w:rsidR="00154E32" w:rsidRDefault="00A43E04">
            <w:pPr>
              <w:pStyle w:val="P68B1DB1-Normal12"/>
              <w:jc w:val="center"/>
              <w:rPr>
                <w:noProof/>
              </w:rPr>
            </w:pPr>
            <w:r>
              <w:rPr>
                <w:noProof/>
              </w:rPr>
              <w:t>M4C1–10 bis</w:t>
            </w:r>
          </w:p>
        </w:tc>
        <w:tc>
          <w:tcPr>
            <w:tcW w:w="3118" w:type="dxa"/>
            <w:tcBorders>
              <w:top w:val="nil"/>
              <w:left w:val="nil"/>
              <w:bottom w:val="single" w:sz="4" w:space="0" w:color="auto"/>
              <w:right w:val="single" w:sz="4" w:space="0" w:color="auto"/>
            </w:tcBorders>
            <w:shd w:val="clear" w:color="auto" w:fill="C6EFCE"/>
            <w:noWrap/>
            <w:vAlign w:val="center"/>
          </w:tcPr>
          <w:p w14:paraId="0BA4D063" w14:textId="77777777" w:rsidR="00154E32" w:rsidRDefault="00A43E04">
            <w:pPr>
              <w:pStyle w:val="P68B1DB1-Normal12"/>
              <w:rPr>
                <w:noProof/>
              </w:rPr>
            </w:pPr>
            <w:r>
              <w:rPr>
                <w:noProof/>
              </w:rPr>
              <w:t>Reforma 1.1: Reforma tehničnih in strokovnih inštitutov</w:t>
            </w:r>
          </w:p>
        </w:tc>
        <w:tc>
          <w:tcPr>
            <w:tcW w:w="1418" w:type="dxa"/>
            <w:tcBorders>
              <w:top w:val="nil"/>
              <w:left w:val="nil"/>
              <w:bottom w:val="single" w:sz="4" w:space="0" w:color="auto"/>
              <w:right w:val="single" w:sz="4" w:space="0" w:color="auto"/>
            </w:tcBorders>
            <w:shd w:val="clear" w:color="auto" w:fill="C6EFCE"/>
            <w:noWrap/>
            <w:vAlign w:val="center"/>
          </w:tcPr>
          <w:p w14:paraId="4CDB2E1F" w14:textId="77777777" w:rsidR="00154E32" w:rsidRDefault="00A43E04">
            <w:pPr>
              <w:pStyle w:val="P68B1DB1-Normal12"/>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0F853208" w14:textId="77777777" w:rsidR="00154E32" w:rsidRDefault="00A43E04">
            <w:pPr>
              <w:pStyle w:val="P68B1DB1-Normal12"/>
              <w:rPr>
                <w:noProof/>
              </w:rPr>
            </w:pPr>
            <w:r>
              <w:rPr>
                <w:noProof/>
              </w:rPr>
              <w:t>Začetek veljavnosti sekundarne zakonodaje.</w:t>
            </w:r>
          </w:p>
        </w:tc>
      </w:tr>
      <w:tr w:rsidR="00154E32" w14:paraId="03299188"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54BE7AC5" w14:textId="77777777" w:rsidR="00154E32" w:rsidRDefault="00154E32">
            <w:pPr>
              <w:jc w:val="center"/>
              <w:rPr>
                <w:noProof/>
                <w:color w:val="006100"/>
                <w:sz w:val="20"/>
              </w:rPr>
            </w:pPr>
          </w:p>
        </w:tc>
        <w:tc>
          <w:tcPr>
            <w:tcW w:w="3118" w:type="dxa"/>
            <w:tcBorders>
              <w:top w:val="single" w:sz="4" w:space="0" w:color="auto"/>
              <w:left w:val="nil"/>
              <w:bottom w:val="single" w:sz="4" w:space="0" w:color="auto"/>
              <w:right w:val="single" w:sz="4" w:space="0" w:color="auto"/>
            </w:tcBorders>
            <w:shd w:val="clear" w:color="auto" w:fill="C6EFCE"/>
            <w:noWrap/>
            <w:vAlign w:val="bottom"/>
          </w:tcPr>
          <w:p w14:paraId="2A78BCCC" w14:textId="77777777" w:rsidR="00154E32" w:rsidRDefault="00154E32">
            <w:pPr>
              <w:rPr>
                <w:noProof/>
                <w:color w:val="006100"/>
                <w:sz w:val="20"/>
              </w:rPr>
            </w:pPr>
          </w:p>
        </w:tc>
        <w:tc>
          <w:tcPr>
            <w:tcW w:w="1418" w:type="dxa"/>
            <w:tcBorders>
              <w:top w:val="single" w:sz="4" w:space="0" w:color="auto"/>
              <w:left w:val="nil"/>
              <w:bottom w:val="single" w:sz="4" w:space="0" w:color="auto"/>
              <w:right w:val="single" w:sz="4" w:space="0" w:color="auto"/>
            </w:tcBorders>
            <w:shd w:val="clear" w:color="auto" w:fill="C6EFCE"/>
            <w:noWrap/>
            <w:vAlign w:val="bottom"/>
          </w:tcPr>
          <w:p w14:paraId="74EFA0CB" w14:textId="77777777" w:rsidR="00154E32" w:rsidRDefault="00A43E04">
            <w:pPr>
              <w:pStyle w:val="P68B1DB1-Normal12"/>
              <w:rPr>
                <w:noProof/>
              </w:rPr>
            </w:pPr>
            <w:r>
              <w:rPr>
                <w:noProof/>
              </w:rPr>
              <w:t>Znesek obroka</w:t>
            </w:r>
          </w:p>
        </w:tc>
        <w:tc>
          <w:tcPr>
            <w:tcW w:w="4020" w:type="dxa"/>
            <w:tcBorders>
              <w:top w:val="single" w:sz="4" w:space="0" w:color="auto"/>
              <w:left w:val="nil"/>
              <w:bottom w:val="single" w:sz="4" w:space="0" w:color="auto"/>
              <w:right w:val="single" w:sz="4" w:space="0" w:color="auto"/>
            </w:tcBorders>
            <w:shd w:val="clear" w:color="auto" w:fill="C6EFCE"/>
            <w:noWrap/>
            <w:vAlign w:val="bottom"/>
          </w:tcPr>
          <w:p w14:paraId="27F87EEA" w14:textId="192163AF" w:rsidR="00154E32" w:rsidRDefault="00A43E04">
            <w:pPr>
              <w:pStyle w:val="P68B1DB1-Normal46"/>
              <w:rPr>
                <w:noProof/>
              </w:rPr>
            </w:pPr>
            <w:r>
              <w:rPr>
                <w:noProof/>
              </w:rPr>
              <w:t>5</w:t>
            </w:r>
            <w:r>
              <w:rPr>
                <w:noProof/>
              </w:rPr>
              <w:t> </w:t>
            </w:r>
            <w:r>
              <w:rPr>
                <w:noProof/>
              </w:rPr>
              <w:t>991</w:t>
            </w:r>
            <w:r>
              <w:rPr>
                <w:noProof/>
              </w:rPr>
              <w:t> </w:t>
            </w:r>
            <w:r>
              <w:rPr>
                <w:noProof/>
              </w:rPr>
              <w:t>809</w:t>
            </w:r>
            <w:r>
              <w:rPr>
                <w:noProof/>
              </w:rPr>
              <w:t> </w:t>
            </w:r>
            <w:r>
              <w:rPr>
                <w:noProof/>
              </w:rPr>
              <w:t>595</w:t>
            </w:r>
            <w:r>
              <w:rPr>
                <w:noProof/>
              </w:rPr>
              <w:t> </w:t>
            </w:r>
            <w:r>
              <w:rPr>
                <w:noProof/>
              </w:rPr>
              <w:t>EUR</w:t>
            </w:r>
          </w:p>
        </w:tc>
      </w:tr>
    </w:tbl>
    <w:p w14:paraId="74953F3A" w14:textId="1F94E648" w:rsidR="00154E32" w:rsidRDefault="00A43E04">
      <w:pPr>
        <w:pStyle w:val="P68B1DB1-Normal44"/>
        <w:numPr>
          <w:ilvl w:val="1"/>
          <w:numId w:val="6"/>
        </w:numPr>
        <w:spacing w:before="120" w:after="120"/>
        <w:jc w:val="both"/>
        <w:rPr>
          <w:noProof/>
        </w:rPr>
      </w:pPr>
      <w:r>
        <w:rPr>
          <w:noProof/>
        </w:rPr>
        <w:t>Osma namestitev (nepovratna podpora):</w:t>
      </w:r>
    </w:p>
    <w:tbl>
      <w:tblPr>
        <w:tblW w:w="9991" w:type="dxa"/>
        <w:tblInd w:w="113" w:type="dxa"/>
        <w:tblLook w:val="04A0" w:firstRow="1" w:lastRow="0" w:firstColumn="1" w:lastColumn="0" w:noHBand="0" w:noVBand="1"/>
      </w:tblPr>
      <w:tblGrid>
        <w:gridCol w:w="1413"/>
        <w:gridCol w:w="3118"/>
        <w:gridCol w:w="1440"/>
        <w:gridCol w:w="4020"/>
      </w:tblGrid>
      <w:tr w:rsidR="00154E32" w14:paraId="10D12EC3" w14:textId="77777777">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4261386" w14:textId="77777777" w:rsidR="00154E32" w:rsidRDefault="00A43E04">
            <w:pPr>
              <w:pStyle w:val="P68B1DB1-Normal45"/>
              <w:jc w:val="center"/>
              <w:rPr>
                <w:noProof/>
              </w:rPr>
            </w:pPr>
            <w:r>
              <w:rPr>
                <w:noProof/>
              </w:rPr>
              <w:t>Zaporedna številka</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3C7C987" w14:textId="77777777" w:rsidR="00154E32" w:rsidRDefault="00A43E04">
            <w:pPr>
              <w:pStyle w:val="P68B1DB1-Normal45"/>
              <w:jc w:val="center"/>
              <w:rPr>
                <w:noProof/>
              </w:rPr>
            </w:pPr>
            <w:r>
              <w:rPr>
                <w:noProof/>
              </w:rPr>
              <w:t>Povezani ukrep (reforma ali naložba)</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28B35AF" w14:textId="77777777" w:rsidR="00154E32" w:rsidRDefault="00A43E04">
            <w:pPr>
              <w:pStyle w:val="P68B1DB1-Normal45"/>
              <w:jc w:val="center"/>
              <w:rPr>
                <w:noProof/>
              </w:rPr>
            </w:pPr>
            <w:r>
              <w:rPr>
                <w:noProof/>
              </w:rPr>
              <w:t>Mejnik/cilj</w:t>
            </w:r>
          </w:p>
        </w:tc>
        <w:tc>
          <w:tcPr>
            <w:tcW w:w="4020" w:type="dxa"/>
            <w:vMerge w:val="restart"/>
            <w:tcBorders>
              <w:top w:val="single" w:sz="4" w:space="0" w:color="auto"/>
              <w:left w:val="nil"/>
              <w:bottom w:val="single" w:sz="4" w:space="0" w:color="auto"/>
              <w:right w:val="single" w:sz="4" w:space="0" w:color="auto"/>
            </w:tcBorders>
            <w:shd w:val="clear" w:color="auto" w:fill="BDD7EE"/>
            <w:vAlign w:val="center"/>
            <w:hideMark/>
          </w:tcPr>
          <w:p w14:paraId="319734CB" w14:textId="77777777" w:rsidR="00154E32" w:rsidRDefault="00A43E04">
            <w:pPr>
              <w:pStyle w:val="P68B1DB1-Normal45"/>
              <w:jc w:val="center"/>
              <w:rPr>
                <w:noProof/>
              </w:rPr>
            </w:pPr>
            <w:r>
              <w:rPr>
                <w:noProof/>
              </w:rPr>
              <w:t>Ime</w:t>
            </w:r>
          </w:p>
        </w:tc>
      </w:tr>
      <w:tr w:rsidR="00154E32" w14:paraId="59EFEBB2" w14:textId="77777777">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3FB9F3E" w14:textId="77777777" w:rsidR="00154E32" w:rsidRDefault="00154E32">
            <w:pPr>
              <w:rPr>
                <w:b/>
                <w:noProof/>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2718F467" w14:textId="77777777" w:rsidR="00154E32" w:rsidRDefault="00154E32">
            <w:pPr>
              <w:rPr>
                <w:b/>
                <w:noProof/>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0364D5F5" w14:textId="77777777" w:rsidR="00154E32" w:rsidRDefault="00154E32">
            <w:pPr>
              <w:rPr>
                <w:b/>
                <w:noProof/>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14:paraId="4E70D6DE" w14:textId="77777777" w:rsidR="00154E32" w:rsidRDefault="00154E32">
            <w:pPr>
              <w:rPr>
                <w:b/>
                <w:noProof/>
              </w:rPr>
            </w:pPr>
          </w:p>
        </w:tc>
      </w:tr>
      <w:tr w:rsidR="00154E32" w14:paraId="4966CE9B"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6431FED4" w14:textId="77777777" w:rsidR="00154E32" w:rsidRDefault="00A43E04">
            <w:pPr>
              <w:pStyle w:val="P68B1DB1-Normal12"/>
              <w:jc w:val="center"/>
              <w:rPr>
                <w:noProof/>
              </w:rPr>
            </w:pPr>
            <w:r>
              <w:rPr>
                <w:noProof/>
              </w:rPr>
              <w:t>M1C1–23</w:t>
            </w:r>
          </w:p>
        </w:tc>
        <w:tc>
          <w:tcPr>
            <w:tcW w:w="3118" w:type="dxa"/>
            <w:tcBorders>
              <w:top w:val="single" w:sz="4" w:space="0" w:color="auto"/>
              <w:left w:val="nil"/>
              <w:bottom w:val="single" w:sz="4" w:space="0" w:color="auto"/>
              <w:right w:val="single" w:sz="4" w:space="0" w:color="auto"/>
            </w:tcBorders>
            <w:shd w:val="clear" w:color="auto" w:fill="C6EFCE"/>
            <w:noWrap/>
            <w:vAlign w:val="center"/>
          </w:tcPr>
          <w:p w14:paraId="6D09EBD2" w14:textId="77777777" w:rsidR="00154E32" w:rsidRDefault="00A43E04">
            <w:pPr>
              <w:pStyle w:val="P68B1DB1-Normal12"/>
              <w:jc w:val="center"/>
              <w:rPr>
                <w:noProof/>
              </w:rPr>
            </w:pPr>
            <w:r>
              <w:rPr>
                <w:noProof/>
              </w:rPr>
              <w:t>Naložba 1.4.6: Mobilnost kot storitev za Italijo</w:t>
            </w:r>
          </w:p>
        </w:tc>
        <w:tc>
          <w:tcPr>
            <w:tcW w:w="1440" w:type="dxa"/>
            <w:tcBorders>
              <w:top w:val="single" w:sz="4" w:space="0" w:color="auto"/>
              <w:left w:val="nil"/>
              <w:bottom w:val="single" w:sz="4" w:space="0" w:color="auto"/>
              <w:right w:val="single" w:sz="4" w:space="0" w:color="auto"/>
            </w:tcBorders>
            <w:shd w:val="clear" w:color="auto" w:fill="C6EFCE"/>
            <w:noWrap/>
            <w:vAlign w:val="center"/>
          </w:tcPr>
          <w:p w14:paraId="30A8CB34" w14:textId="77777777" w:rsidR="00154E32" w:rsidRDefault="00A43E04">
            <w:pPr>
              <w:pStyle w:val="P68B1DB1-Normal12"/>
              <w:jc w:val="center"/>
              <w:rPr>
                <w:noProof/>
              </w:rPr>
            </w:pPr>
            <w:r>
              <w:rPr>
                <w:noProof/>
              </w:rPr>
              <w:t>Mejnik</w:t>
            </w:r>
          </w:p>
        </w:tc>
        <w:tc>
          <w:tcPr>
            <w:tcW w:w="4020" w:type="dxa"/>
            <w:tcBorders>
              <w:top w:val="single" w:sz="4" w:space="0" w:color="auto"/>
              <w:left w:val="nil"/>
              <w:bottom w:val="single" w:sz="4" w:space="0" w:color="auto"/>
              <w:right w:val="single" w:sz="4" w:space="0" w:color="auto"/>
            </w:tcBorders>
            <w:shd w:val="clear" w:color="auto" w:fill="C6EFCE"/>
            <w:noWrap/>
            <w:vAlign w:val="center"/>
          </w:tcPr>
          <w:p w14:paraId="568863BB" w14:textId="77777777" w:rsidR="00154E32" w:rsidRDefault="00A43E04">
            <w:pPr>
              <w:pStyle w:val="P68B1DB1-Normal12"/>
              <w:rPr>
                <w:noProof/>
              </w:rPr>
            </w:pPr>
            <w:r>
              <w:rPr>
                <w:noProof/>
              </w:rPr>
              <w:t>Mobilnost kot storitvena rešitev M2</w:t>
            </w:r>
          </w:p>
        </w:tc>
      </w:tr>
      <w:tr w:rsidR="00154E32" w14:paraId="4453B58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810E9B4" w14:textId="77777777" w:rsidR="00154E32" w:rsidRDefault="00A43E04">
            <w:pPr>
              <w:pStyle w:val="P68B1DB1-Normal12"/>
              <w:jc w:val="center"/>
              <w:rPr>
                <w:noProof/>
              </w:rPr>
            </w:pPr>
            <w:r>
              <w:rPr>
                <w:noProof/>
              </w:rPr>
              <w:t>M1C1–76</w:t>
            </w:r>
          </w:p>
        </w:tc>
        <w:tc>
          <w:tcPr>
            <w:tcW w:w="3118" w:type="dxa"/>
            <w:tcBorders>
              <w:top w:val="nil"/>
              <w:left w:val="nil"/>
              <w:bottom w:val="single" w:sz="4" w:space="0" w:color="auto"/>
              <w:right w:val="single" w:sz="4" w:space="0" w:color="auto"/>
            </w:tcBorders>
            <w:shd w:val="clear" w:color="auto" w:fill="C6EFCE"/>
            <w:noWrap/>
            <w:vAlign w:val="center"/>
          </w:tcPr>
          <w:p w14:paraId="0BE24642" w14:textId="77777777" w:rsidR="00154E32" w:rsidRDefault="00A43E04">
            <w:pPr>
              <w:pStyle w:val="P68B1DB1-Normal12"/>
              <w:jc w:val="center"/>
              <w:rPr>
                <w:noProof/>
              </w:rPr>
            </w:pPr>
            <w:r>
              <w:rPr>
                <w:noProof/>
              </w:rPr>
              <w:t>Reforma 1.11: Zmanjšanje zamud pri plačilih javnih uprav in zdravstvenih organov</w:t>
            </w:r>
          </w:p>
        </w:tc>
        <w:tc>
          <w:tcPr>
            <w:tcW w:w="1440" w:type="dxa"/>
            <w:tcBorders>
              <w:top w:val="nil"/>
              <w:left w:val="nil"/>
              <w:bottom w:val="single" w:sz="4" w:space="0" w:color="auto"/>
              <w:right w:val="single" w:sz="4" w:space="0" w:color="auto"/>
            </w:tcBorders>
            <w:shd w:val="clear" w:color="auto" w:fill="C6EFCE"/>
            <w:noWrap/>
            <w:vAlign w:val="center"/>
          </w:tcPr>
          <w:p w14:paraId="02ADF75F" w14:textId="77777777" w:rsidR="00154E32" w:rsidRDefault="00A43E04">
            <w:pPr>
              <w:pStyle w:val="P68B1DB1-Normal12"/>
              <w:jc w:val="center"/>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66F79D20" w14:textId="77777777" w:rsidR="00154E32" w:rsidRDefault="00A43E04">
            <w:pPr>
              <w:pStyle w:val="P68B1DB1-Normal12"/>
              <w:rPr>
                <w:noProof/>
              </w:rPr>
            </w:pPr>
            <w:r>
              <w:rPr>
                <w:noProof/>
              </w:rPr>
              <w:t>Povprečno število dni, ki jih centralne javne uprave potrebujejo za plačilo podjetjem, se zmanjša</w:t>
            </w:r>
          </w:p>
        </w:tc>
      </w:tr>
      <w:tr w:rsidR="00154E32" w14:paraId="6744B4A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A6727BF" w14:textId="77777777" w:rsidR="00154E32" w:rsidRDefault="00A43E04">
            <w:pPr>
              <w:pStyle w:val="P68B1DB1-Normal12"/>
              <w:jc w:val="center"/>
              <w:rPr>
                <w:noProof/>
              </w:rPr>
            </w:pPr>
            <w:r>
              <w:rPr>
                <w:noProof/>
              </w:rPr>
              <w:t>M1C1–77</w:t>
            </w:r>
          </w:p>
        </w:tc>
        <w:tc>
          <w:tcPr>
            <w:tcW w:w="3118" w:type="dxa"/>
            <w:tcBorders>
              <w:top w:val="nil"/>
              <w:left w:val="nil"/>
              <w:bottom w:val="single" w:sz="4" w:space="0" w:color="auto"/>
              <w:right w:val="single" w:sz="4" w:space="0" w:color="auto"/>
            </w:tcBorders>
            <w:shd w:val="clear" w:color="auto" w:fill="C6EFCE"/>
            <w:noWrap/>
            <w:vAlign w:val="center"/>
          </w:tcPr>
          <w:p w14:paraId="426CBD54" w14:textId="77777777" w:rsidR="00154E32" w:rsidRDefault="00A43E04">
            <w:pPr>
              <w:pStyle w:val="P68B1DB1-Normal12"/>
              <w:jc w:val="center"/>
              <w:rPr>
                <w:noProof/>
              </w:rPr>
            </w:pPr>
            <w:r>
              <w:rPr>
                <w:noProof/>
              </w:rPr>
              <w:t>Reforma 1.11: Zmanjšanje zamud pri plačilih javnih uprav in zdravstvenih organov</w:t>
            </w:r>
          </w:p>
        </w:tc>
        <w:tc>
          <w:tcPr>
            <w:tcW w:w="1440" w:type="dxa"/>
            <w:tcBorders>
              <w:top w:val="nil"/>
              <w:left w:val="nil"/>
              <w:bottom w:val="single" w:sz="4" w:space="0" w:color="auto"/>
              <w:right w:val="single" w:sz="4" w:space="0" w:color="auto"/>
            </w:tcBorders>
            <w:shd w:val="clear" w:color="auto" w:fill="C6EFCE"/>
            <w:noWrap/>
            <w:vAlign w:val="center"/>
          </w:tcPr>
          <w:p w14:paraId="60A80B6B" w14:textId="77777777" w:rsidR="00154E32" w:rsidRDefault="00A43E04">
            <w:pPr>
              <w:pStyle w:val="P68B1DB1-Normal12"/>
              <w:jc w:val="center"/>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29CAE1C9" w14:textId="77777777" w:rsidR="00154E32" w:rsidRDefault="00A43E04">
            <w:pPr>
              <w:pStyle w:val="P68B1DB1-Normal12"/>
              <w:rPr>
                <w:noProof/>
              </w:rPr>
            </w:pPr>
            <w:r>
              <w:rPr>
                <w:noProof/>
              </w:rPr>
              <w:t>Povprečno število dni za regionalne javne uprave za plačilo podjetjem se zmanjša</w:t>
            </w:r>
          </w:p>
        </w:tc>
      </w:tr>
      <w:tr w:rsidR="00154E32" w14:paraId="5EA9B32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1D38CAA" w14:textId="77777777" w:rsidR="00154E32" w:rsidRDefault="00A43E04">
            <w:pPr>
              <w:pStyle w:val="P68B1DB1-Normal12"/>
              <w:jc w:val="center"/>
              <w:rPr>
                <w:noProof/>
              </w:rPr>
            </w:pPr>
            <w:r>
              <w:rPr>
                <w:noProof/>
              </w:rPr>
              <w:t>M1C1–78</w:t>
            </w:r>
          </w:p>
        </w:tc>
        <w:tc>
          <w:tcPr>
            <w:tcW w:w="3118" w:type="dxa"/>
            <w:tcBorders>
              <w:top w:val="nil"/>
              <w:left w:val="nil"/>
              <w:bottom w:val="single" w:sz="4" w:space="0" w:color="auto"/>
              <w:right w:val="single" w:sz="4" w:space="0" w:color="auto"/>
            </w:tcBorders>
            <w:shd w:val="clear" w:color="auto" w:fill="C6EFCE"/>
            <w:noWrap/>
            <w:vAlign w:val="center"/>
          </w:tcPr>
          <w:p w14:paraId="3BC8245C" w14:textId="77777777" w:rsidR="00154E32" w:rsidRDefault="00A43E04">
            <w:pPr>
              <w:pStyle w:val="P68B1DB1-Normal12"/>
              <w:jc w:val="center"/>
              <w:rPr>
                <w:noProof/>
              </w:rPr>
            </w:pPr>
            <w:r>
              <w:rPr>
                <w:noProof/>
              </w:rPr>
              <w:t>Reforma 1.11: Zmanjšanje zamud pri plačilih javnih uprav in zdravstvenih organov</w:t>
            </w:r>
          </w:p>
        </w:tc>
        <w:tc>
          <w:tcPr>
            <w:tcW w:w="1440" w:type="dxa"/>
            <w:tcBorders>
              <w:top w:val="nil"/>
              <w:left w:val="nil"/>
              <w:bottom w:val="single" w:sz="4" w:space="0" w:color="auto"/>
              <w:right w:val="single" w:sz="4" w:space="0" w:color="auto"/>
            </w:tcBorders>
            <w:shd w:val="clear" w:color="auto" w:fill="C6EFCE"/>
            <w:noWrap/>
            <w:vAlign w:val="center"/>
          </w:tcPr>
          <w:p w14:paraId="0827A5A8" w14:textId="77777777" w:rsidR="00154E32" w:rsidRDefault="00A43E04">
            <w:pPr>
              <w:pStyle w:val="P68B1DB1-Normal12"/>
              <w:jc w:val="center"/>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740AD567" w14:textId="77777777" w:rsidR="00154E32" w:rsidRDefault="00A43E04">
            <w:pPr>
              <w:pStyle w:val="P68B1DB1-Normal12"/>
              <w:rPr>
                <w:noProof/>
              </w:rPr>
            </w:pPr>
            <w:r>
              <w:rPr>
                <w:noProof/>
              </w:rPr>
              <w:t>Povprečno število dni, ko lokalne javne uprave plačajo podjetjem, se zmanjša</w:t>
            </w:r>
          </w:p>
        </w:tc>
      </w:tr>
      <w:tr w:rsidR="00154E32" w14:paraId="4920B49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F4B8869" w14:textId="77777777" w:rsidR="00154E32" w:rsidRDefault="00A43E04">
            <w:pPr>
              <w:pStyle w:val="P68B1DB1-Normal12"/>
              <w:jc w:val="center"/>
              <w:rPr>
                <w:noProof/>
              </w:rPr>
            </w:pPr>
            <w:r>
              <w:rPr>
                <w:noProof/>
              </w:rPr>
              <w:t>M1C1–79</w:t>
            </w:r>
          </w:p>
        </w:tc>
        <w:tc>
          <w:tcPr>
            <w:tcW w:w="3118" w:type="dxa"/>
            <w:tcBorders>
              <w:top w:val="nil"/>
              <w:left w:val="nil"/>
              <w:bottom w:val="single" w:sz="4" w:space="0" w:color="auto"/>
              <w:right w:val="single" w:sz="4" w:space="0" w:color="auto"/>
            </w:tcBorders>
            <w:shd w:val="clear" w:color="auto" w:fill="C6EFCE"/>
            <w:noWrap/>
            <w:vAlign w:val="center"/>
          </w:tcPr>
          <w:p w14:paraId="7FBCED6C" w14:textId="77777777" w:rsidR="00154E32" w:rsidRDefault="00A43E04">
            <w:pPr>
              <w:pStyle w:val="P68B1DB1-Normal12"/>
              <w:jc w:val="center"/>
              <w:rPr>
                <w:noProof/>
              </w:rPr>
            </w:pPr>
            <w:r>
              <w:rPr>
                <w:noProof/>
              </w:rPr>
              <w:t>Reforma 1.11: Zmanjšanje zamud pri plačilih javnih uprav in zdravstvenih organov</w:t>
            </w:r>
          </w:p>
        </w:tc>
        <w:tc>
          <w:tcPr>
            <w:tcW w:w="1440" w:type="dxa"/>
            <w:tcBorders>
              <w:top w:val="nil"/>
              <w:left w:val="nil"/>
              <w:bottom w:val="single" w:sz="4" w:space="0" w:color="auto"/>
              <w:right w:val="single" w:sz="4" w:space="0" w:color="auto"/>
            </w:tcBorders>
            <w:shd w:val="clear" w:color="auto" w:fill="C6EFCE"/>
            <w:noWrap/>
            <w:vAlign w:val="center"/>
          </w:tcPr>
          <w:p w14:paraId="0DED3ACE" w14:textId="77777777" w:rsidR="00154E32" w:rsidRDefault="00A43E04">
            <w:pPr>
              <w:pStyle w:val="P68B1DB1-Normal12"/>
              <w:jc w:val="center"/>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60F599F8" w14:textId="77777777" w:rsidR="00154E32" w:rsidRDefault="00A43E04">
            <w:pPr>
              <w:pStyle w:val="P68B1DB1-Normal12"/>
              <w:rPr>
                <w:noProof/>
              </w:rPr>
            </w:pPr>
            <w:r>
              <w:rPr>
                <w:noProof/>
              </w:rPr>
              <w:t>Povprečno število dni za javne zdravstvene uprave, da plačajo podjetjem, se zmanjša</w:t>
            </w:r>
          </w:p>
        </w:tc>
      </w:tr>
      <w:tr w:rsidR="00154E32" w14:paraId="7DB17EB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6BC8AC7" w14:textId="77777777" w:rsidR="00154E32" w:rsidRDefault="00A43E04">
            <w:pPr>
              <w:pStyle w:val="P68B1DB1-Normal12"/>
              <w:jc w:val="center"/>
              <w:rPr>
                <w:noProof/>
              </w:rPr>
            </w:pPr>
            <w:r>
              <w:rPr>
                <w:noProof/>
              </w:rPr>
              <w:t>M1C1–80</w:t>
            </w:r>
          </w:p>
        </w:tc>
        <w:tc>
          <w:tcPr>
            <w:tcW w:w="3118" w:type="dxa"/>
            <w:tcBorders>
              <w:top w:val="nil"/>
              <w:left w:val="nil"/>
              <w:bottom w:val="single" w:sz="4" w:space="0" w:color="auto"/>
              <w:right w:val="single" w:sz="4" w:space="0" w:color="auto"/>
            </w:tcBorders>
            <w:shd w:val="clear" w:color="auto" w:fill="C6EFCE"/>
            <w:noWrap/>
            <w:vAlign w:val="center"/>
          </w:tcPr>
          <w:p w14:paraId="0A24B52F" w14:textId="77777777" w:rsidR="00154E32" w:rsidRDefault="00A43E04">
            <w:pPr>
              <w:pStyle w:val="P68B1DB1-Normal12"/>
              <w:jc w:val="center"/>
              <w:rPr>
                <w:noProof/>
              </w:rPr>
            </w:pPr>
            <w:r>
              <w:rPr>
                <w:noProof/>
              </w:rPr>
              <w:t>Reforma 1.11: Zmanjšanje zamud pri plačilih javnih uprav in zdravstvenih organov</w:t>
            </w:r>
          </w:p>
        </w:tc>
        <w:tc>
          <w:tcPr>
            <w:tcW w:w="1440" w:type="dxa"/>
            <w:tcBorders>
              <w:top w:val="nil"/>
              <w:left w:val="nil"/>
              <w:bottom w:val="single" w:sz="4" w:space="0" w:color="auto"/>
              <w:right w:val="single" w:sz="4" w:space="0" w:color="auto"/>
            </w:tcBorders>
            <w:shd w:val="clear" w:color="auto" w:fill="C6EFCE"/>
            <w:noWrap/>
            <w:vAlign w:val="center"/>
          </w:tcPr>
          <w:p w14:paraId="3D478B17" w14:textId="77777777" w:rsidR="00154E32" w:rsidRDefault="00A43E04">
            <w:pPr>
              <w:pStyle w:val="P68B1DB1-Normal12"/>
              <w:jc w:val="center"/>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7CAFC1FA" w14:textId="77777777" w:rsidR="00154E32" w:rsidRDefault="00A43E04">
            <w:pPr>
              <w:pStyle w:val="P68B1DB1-Normal12"/>
              <w:rPr>
                <w:noProof/>
              </w:rPr>
            </w:pPr>
            <w:r>
              <w:rPr>
                <w:noProof/>
              </w:rPr>
              <w:t>Povprečno število dni zamude centralnih javnih uprav pri plačevanju podjetij se zmanjša</w:t>
            </w:r>
          </w:p>
        </w:tc>
      </w:tr>
      <w:tr w:rsidR="00154E32" w14:paraId="7E0554B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D5820A8" w14:textId="77777777" w:rsidR="00154E32" w:rsidRDefault="00A43E04">
            <w:pPr>
              <w:pStyle w:val="P68B1DB1-Normal12"/>
              <w:jc w:val="center"/>
              <w:rPr>
                <w:noProof/>
              </w:rPr>
            </w:pPr>
            <w:r>
              <w:rPr>
                <w:noProof/>
              </w:rPr>
              <w:t>M1C1–81</w:t>
            </w:r>
          </w:p>
        </w:tc>
        <w:tc>
          <w:tcPr>
            <w:tcW w:w="3118" w:type="dxa"/>
            <w:tcBorders>
              <w:top w:val="nil"/>
              <w:left w:val="nil"/>
              <w:bottom w:val="single" w:sz="4" w:space="0" w:color="auto"/>
              <w:right w:val="single" w:sz="4" w:space="0" w:color="auto"/>
            </w:tcBorders>
            <w:shd w:val="clear" w:color="auto" w:fill="C6EFCE"/>
            <w:noWrap/>
            <w:vAlign w:val="center"/>
          </w:tcPr>
          <w:p w14:paraId="58E99A95" w14:textId="77777777" w:rsidR="00154E32" w:rsidRDefault="00A43E04">
            <w:pPr>
              <w:pStyle w:val="P68B1DB1-Normal12"/>
              <w:jc w:val="center"/>
              <w:rPr>
                <w:noProof/>
              </w:rPr>
            </w:pPr>
            <w:r>
              <w:rPr>
                <w:noProof/>
              </w:rPr>
              <w:t>Reforma 1.11: Zmanjšanje zamud pri plačilih javnih uprav in zdravstvenih organov</w:t>
            </w:r>
          </w:p>
        </w:tc>
        <w:tc>
          <w:tcPr>
            <w:tcW w:w="1440" w:type="dxa"/>
            <w:tcBorders>
              <w:top w:val="nil"/>
              <w:left w:val="nil"/>
              <w:bottom w:val="single" w:sz="4" w:space="0" w:color="auto"/>
              <w:right w:val="single" w:sz="4" w:space="0" w:color="auto"/>
            </w:tcBorders>
            <w:shd w:val="clear" w:color="auto" w:fill="C6EFCE"/>
            <w:noWrap/>
            <w:vAlign w:val="center"/>
          </w:tcPr>
          <w:p w14:paraId="14DC1FE5" w14:textId="77777777" w:rsidR="00154E32" w:rsidRDefault="00A43E04">
            <w:pPr>
              <w:pStyle w:val="P68B1DB1-Normal12"/>
              <w:jc w:val="center"/>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5BC05EE5" w14:textId="77777777" w:rsidR="00154E32" w:rsidRDefault="00A43E04">
            <w:pPr>
              <w:pStyle w:val="P68B1DB1-Normal12"/>
              <w:rPr>
                <w:noProof/>
              </w:rPr>
            </w:pPr>
            <w:r>
              <w:rPr>
                <w:noProof/>
              </w:rPr>
              <w:t>Povprečno število dni zamude regionalnih javnih uprav pri plačevanju podjetij se zmanjša</w:t>
            </w:r>
          </w:p>
        </w:tc>
      </w:tr>
      <w:tr w:rsidR="00154E32" w14:paraId="6A1EB7C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8F4B3E" w14:textId="77777777" w:rsidR="00154E32" w:rsidRDefault="00A43E04">
            <w:pPr>
              <w:pStyle w:val="P68B1DB1-Normal12"/>
              <w:jc w:val="center"/>
              <w:rPr>
                <w:noProof/>
              </w:rPr>
            </w:pPr>
            <w:r>
              <w:rPr>
                <w:noProof/>
              </w:rPr>
              <w:t>M1C1–82</w:t>
            </w:r>
          </w:p>
        </w:tc>
        <w:tc>
          <w:tcPr>
            <w:tcW w:w="3118" w:type="dxa"/>
            <w:tcBorders>
              <w:top w:val="nil"/>
              <w:left w:val="nil"/>
              <w:bottom w:val="single" w:sz="4" w:space="0" w:color="auto"/>
              <w:right w:val="single" w:sz="4" w:space="0" w:color="auto"/>
            </w:tcBorders>
            <w:shd w:val="clear" w:color="auto" w:fill="C6EFCE"/>
            <w:noWrap/>
            <w:vAlign w:val="center"/>
          </w:tcPr>
          <w:p w14:paraId="6D4658DF" w14:textId="77777777" w:rsidR="00154E32" w:rsidRDefault="00A43E04">
            <w:pPr>
              <w:pStyle w:val="P68B1DB1-Normal12"/>
              <w:jc w:val="center"/>
              <w:rPr>
                <w:noProof/>
              </w:rPr>
            </w:pPr>
            <w:r>
              <w:rPr>
                <w:noProof/>
              </w:rPr>
              <w:t>Reforma 1.11: Zmanjšanje zamud pri plačilih javnih uprav in zdravstvenih organov</w:t>
            </w:r>
          </w:p>
        </w:tc>
        <w:tc>
          <w:tcPr>
            <w:tcW w:w="1440" w:type="dxa"/>
            <w:tcBorders>
              <w:top w:val="nil"/>
              <w:left w:val="nil"/>
              <w:bottom w:val="single" w:sz="4" w:space="0" w:color="auto"/>
              <w:right w:val="single" w:sz="4" w:space="0" w:color="auto"/>
            </w:tcBorders>
            <w:shd w:val="clear" w:color="auto" w:fill="C6EFCE"/>
            <w:noWrap/>
            <w:vAlign w:val="center"/>
          </w:tcPr>
          <w:p w14:paraId="3ECC4A90" w14:textId="77777777" w:rsidR="00154E32" w:rsidRDefault="00A43E04">
            <w:pPr>
              <w:pStyle w:val="P68B1DB1-Normal12"/>
              <w:jc w:val="center"/>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3E55515A" w14:textId="77777777" w:rsidR="00154E32" w:rsidRDefault="00A43E04">
            <w:pPr>
              <w:pStyle w:val="P68B1DB1-Normal12"/>
              <w:rPr>
                <w:noProof/>
              </w:rPr>
            </w:pPr>
            <w:r>
              <w:rPr>
                <w:noProof/>
              </w:rPr>
              <w:t>Povprečno število dni zamude lokalnih javnih uprav pri plačevanju podjetij se zmanjša</w:t>
            </w:r>
          </w:p>
        </w:tc>
      </w:tr>
      <w:tr w:rsidR="00154E32" w14:paraId="7CD68E8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77CE4BF" w14:textId="77777777" w:rsidR="00154E32" w:rsidRDefault="00A43E04">
            <w:pPr>
              <w:pStyle w:val="P68B1DB1-Normal12"/>
              <w:jc w:val="center"/>
              <w:rPr>
                <w:noProof/>
              </w:rPr>
            </w:pPr>
            <w:r>
              <w:rPr>
                <w:noProof/>
              </w:rPr>
              <w:t>M1C1–83</w:t>
            </w:r>
          </w:p>
        </w:tc>
        <w:tc>
          <w:tcPr>
            <w:tcW w:w="3118" w:type="dxa"/>
            <w:tcBorders>
              <w:top w:val="nil"/>
              <w:left w:val="nil"/>
              <w:bottom w:val="single" w:sz="4" w:space="0" w:color="auto"/>
              <w:right w:val="single" w:sz="4" w:space="0" w:color="auto"/>
            </w:tcBorders>
            <w:shd w:val="clear" w:color="auto" w:fill="C6EFCE"/>
            <w:noWrap/>
            <w:vAlign w:val="center"/>
          </w:tcPr>
          <w:p w14:paraId="4D60479B" w14:textId="77777777" w:rsidR="00154E32" w:rsidRDefault="00A43E04">
            <w:pPr>
              <w:pStyle w:val="P68B1DB1-Normal12"/>
              <w:jc w:val="center"/>
              <w:rPr>
                <w:noProof/>
              </w:rPr>
            </w:pPr>
            <w:r>
              <w:rPr>
                <w:noProof/>
              </w:rPr>
              <w:t>Reforma 1.11: Zmanjšanje zamud pri plačilih javnih uprav in zdravstvenih organov</w:t>
            </w:r>
          </w:p>
        </w:tc>
        <w:tc>
          <w:tcPr>
            <w:tcW w:w="1440" w:type="dxa"/>
            <w:tcBorders>
              <w:top w:val="nil"/>
              <w:left w:val="nil"/>
              <w:bottom w:val="single" w:sz="4" w:space="0" w:color="auto"/>
              <w:right w:val="single" w:sz="4" w:space="0" w:color="auto"/>
            </w:tcBorders>
            <w:shd w:val="clear" w:color="auto" w:fill="C6EFCE"/>
            <w:noWrap/>
            <w:vAlign w:val="center"/>
          </w:tcPr>
          <w:p w14:paraId="01A7E572" w14:textId="77777777" w:rsidR="00154E32" w:rsidRDefault="00A43E04">
            <w:pPr>
              <w:pStyle w:val="P68B1DB1-Normal12"/>
              <w:jc w:val="center"/>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2119FB9E" w14:textId="77777777" w:rsidR="00154E32" w:rsidRDefault="00A43E04">
            <w:pPr>
              <w:pStyle w:val="P68B1DB1-Normal12"/>
              <w:rPr>
                <w:noProof/>
              </w:rPr>
            </w:pPr>
            <w:r>
              <w:rPr>
                <w:noProof/>
              </w:rPr>
              <w:t>Povprečno število dni zamude zdravstvenih javnih uprav pri plačevanju podjetij se zmanjša</w:t>
            </w:r>
          </w:p>
        </w:tc>
      </w:tr>
      <w:tr w:rsidR="00154E32" w14:paraId="4FCE3E4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E26A3E0" w14:textId="77777777" w:rsidR="00154E32" w:rsidRDefault="00A43E04">
            <w:pPr>
              <w:pStyle w:val="P68B1DB1-Normal12"/>
              <w:jc w:val="center"/>
              <w:rPr>
                <w:noProof/>
              </w:rPr>
            </w:pPr>
            <w:r>
              <w:rPr>
                <w:noProof/>
              </w:rPr>
              <w:t>M1C1–25</w:t>
            </w:r>
          </w:p>
        </w:tc>
        <w:tc>
          <w:tcPr>
            <w:tcW w:w="3118" w:type="dxa"/>
            <w:tcBorders>
              <w:top w:val="nil"/>
              <w:left w:val="nil"/>
              <w:bottom w:val="single" w:sz="4" w:space="0" w:color="auto"/>
              <w:right w:val="single" w:sz="4" w:space="0" w:color="auto"/>
            </w:tcBorders>
            <w:shd w:val="clear" w:color="auto" w:fill="C6EFCE"/>
            <w:noWrap/>
            <w:vAlign w:val="center"/>
          </w:tcPr>
          <w:p w14:paraId="3B69ADE7" w14:textId="77777777" w:rsidR="00154E32" w:rsidRDefault="00A43E04">
            <w:pPr>
              <w:pStyle w:val="P68B1DB1-Normal12"/>
              <w:jc w:val="center"/>
              <w:rPr>
                <w:noProof/>
              </w:rPr>
            </w:pPr>
            <w:r>
              <w:rPr>
                <w:noProof/>
              </w:rPr>
              <w:t>Naložba 1.6.6: Digitalizacija finančne policije</w:t>
            </w:r>
          </w:p>
        </w:tc>
        <w:tc>
          <w:tcPr>
            <w:tcW w:w="1440" w:type="dxa"/>
            <w:tcBorders>
              <w:top w:val="nil"/>
              <w:left w:val="nil"/>
              <w:bottom w:val="single" w:sz="4" w:space="0" w:color="auto"/>
              <w:right w:val="single" w:sz="4" w:space="0" w:color="auto"/>
            </w:tcBorders>
            <w:shd w:val="clear" w:color="auto" w:fill="C6EFCE"/>
            <w:noWrap/>
            <w:vAlign w:val="center"/>
          </w:tcPr>
          <w:p w14:paraId="6041557A" w14:textId="77777777" w:rsidR="00154E32" w:rsidRDefault="00A43E04">
            <w:pPr>
              <w:pStyle w:val="P68B1DB1-Normal12"/>
              <w:jc w:val="center"/>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45790C00" w14:textId="77777777" w:rsidR="00154E32" w:rsidRDefault="00A43E04">
            <w:pPr>
              <w:pStyle w:val="P68B1DB1-Normal12"/>
              <w:rPr>
                <w:noProof/>
              </w:rPr>
            </w:pPr>
            <w:r>
              <w:rPr>
                <w:noProof/>
              </w:rPr>
              <w:t>Razvoj operativnih informacijskih sistemov, ki se uporabljajo za boj proti gospodarskemu kriminalu</w:t>
            </w:r>
          </w:p>
        </w:tc>
      </w:tr>
      <w:tr w:rsidR="00154E32" w14:paraId="5313397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6391C2A" w14:textId="77777777" w:rsidR="00154E32" w:rsidRDefault="00A43E04">
            <w:pPr>
              <w:pStyle w:val="P68B1DB1-Normal12"/>
              <w:jc w:val="center"/>
              <w:rPr>
                <w:noProof/>
              </w:rPr>
            </w:pPr>
            <w:r>
              <w:rPr>
                <w:noProof/>
              </w:rPr>
              <w:t>M1C1–61</w:t>
            </w:r>
          </w:p>
        </w:tc>
        <w:tc>
          <w:tcPr>
            <w:tcW w:w="3118" w:type="dxa"/>
            <w:tcBorders>
              <w:top w:val="nil"/>
              <w:left w:val="nil"/>
              <w:bottom w:val="single" w:sz="4" w:space="0" w:color="auto"/>
              <w:right w:val="single" w:sz="4" w:space="0" w:color="auto"/>
            </w:tcBorders>
            <w:shd w:val="clear" w:color="auto" w:fill="C6EFCE"/>
            <w:noWrap/>
            <w:vAlign w:val="center"/>
          </w:tcPr>
          <w:p w14:paraId="47FA4B54" w14:textId="77777777" w:rsidR="00154E32" w:rsidRDefault="00A43E04">
            <w:pPr>
              <w:pStyle w:val="P68B1DB1-Normal12"/>
              <w:jc w:val="center"/>
              <w:rPr>
                <w:noProof/>
              </w:rPr>
            </w:pPr>
            <w:r>
              <w:rPr>
                <w:noProof/>
              </w:rPr>
              <w:t>Reforma 1.9: Reforma javne uprave</w:t>
            </w:r>
          </w:p>
        </w:tc>
        <w:tc>
          <w:tcPr>
            <w:tcW w:w="1440" w:type="dxa"/>
            <w:tcBorders>
              <w:top w:val="nil"/>
              <w:left w:val="nil"/>
              <w:bottom w:val="single" w:sz="4" w:space="0" w:color="auto"/>
              <w:right w:val="single" w:sz="4" w:space="0" w:color="auto"/>
            </w:tcBorders>
            <w:shd w:val="clear" w:color="auto" w:fill="C6EFCE"/>
            <w:noWrap/>
            <w:vAlign w:val="center"/>
          </w:tcPr>
          <w:p w14:paraId="6828A7B6" w14:textId="77777777" w:rsidR="00154E32" w:rsidRDefault="00A43E04">
            <w:pPr>
              <w:pStyle w:val="P68B1DB1-Normal12"/>
              <w:jc w:val="center"/>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7AB6D4EB" w14:textId="77777777" w:rsidR="00154E32" w:rsidRDefault="00A43E04">
            <w:pPr>
              <w:pStyle w:val="P68B1DB1-Normal12"/>
              <w:rPr>
                <w:noProof/>
              </w:rPr>
            </w:pPr>
            <w:r>
              <w:rPr>
                <w:noProof/>
              </w:rPr>
              <w:t>Dokončanje izvajanja (vključno z vsemi delegiranimi akti) poenostavitve in/ali digitalizacije dodatnega sklopa 50 kritičnih postopkov, ki neposredno vplivajo na državljane</w:t>
            </w:r>
          </w:p>
        </w:tc>
      </w:tr>
      <w:tr w:rsidR="00154E32" w14:paraId="5245961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390CBC6" w14:textId="77777777" w:rsidR="00154E32" w:rsidRDefault="00A43E04">
            <w:pPr>
              <w:pStyle w:val="P68B1DB1-Normal12"/>
              <w:jc w:val="center"/>
              <w:rPr>
                <w:noProof/>
              </w:rPr>
            </w:pPr>
            <w:r>
              <w:rPr>
                <w:noProof/>
              </w:rPr>
              <w:t>M1C1–62</w:t>
            </w:r>
          </w:p>
        </w:tc>
        <w:tc>
          <w:tcPr>
            <w:tcW w:w="3118" w:type="dxa"/>
            <w:tcBorders>
              <w:top w:val="nil"/>
              <w:left w:val="nil"/>
              <w:bottom w:val="single" w:sz="4" w:space="0" w:color="auto"/>
              <w:right w:val="single" w:sz="4" w:space="0" w:color="auto"/>
            </w:tcBorders>
            <w:shd w:val="clear" w:color="auto" w:fill="C6EFCE"/>
            <w:noWrap/>
            <w:vAlign w:val="center"/>
          </w:tcPr>
          <w:p w14:paraId="04E6253A" w14:textId="77777777" w:rsidR="00154E32" w:rsidRDefault="00A43E04">
            <w:pPr>
              <w:pStyle w:val="P68B1DB1-Normal12"/>
              <w:jc w:val="center"/>
              <w:rPr>
                <w:noProof/>
              </w:rPr>
            </w:pPr>
            <w:r>
              <w:rPr>
                <w:noProof/>
              </w:rPr>
              <w:t>Reforma 1.9: Reforma javne uprave</w:t>
            </w:r>
          </w:p>
        </w:tc>
        <w:tc>
          <w:tcPr>
            <w:tcW w:w="1440" w:type="dxa"/>
            <w:tcBorders>
              <w:top w:val="nil"/>
              <w:left w:val="nil"/>
              <w:bottom w:val="single" w:sz="4" w:space="0" w:color="auto"/>
              <w:right w:val="single" w:sz="4" w:space="0" w:color="auto"/>
            </w:tcBorders>
            <w:shd w:val="clear" w:color="auto" w:fill="C6EFCE"/>
            <w:noWrap/>
            <w:vAlign w:val="center"/>
          </w:tcPr>
          <w:p w14:paraId="0C2EE1B0" w14:textId="77777777" w:rsidR="00154E32" w:rsidRDefault="00A43E04">
            <w:pPr>
              <w:pStyle w:val="P68B1DB1-Normal12"/>
              <w:jc w:val="center"/>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7D94D894" w14:textId="77777777" w:rsidR="00154E32" w:rsidRDefault="00A43E04">
            <w:pPr>
              <w:pStyle w:val="P68B1DB1-Normal12"/>
              <w:rPr>
                <w:noProof/>
              </w:rPr>
            </w:pPr>
            <w:r>
              <w:rPr>
                <w:noProof/>
              </w:rPr>
              <w:t>Povečanje črpanja naložb</w:t>
            </w:r>
          </w:p>
        </w:tc>
      </w:tr>
      <w:tr w:rsidR="00154E32" w14:paraId="063A2AC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29B8842" w14:textId="77777777" w:rsidR="00154E32" w:rsidRDefault="00A43E04">
            <w:pPr>
              <w:pStyle w:val="P68B1DB1-Normal12"/>
              <w:jc w:val="center"/>
              <w:rPr>
                <w:noProof/>
              </w:rPr>
            </w:pPr>
            <w:r>
              <w:rPr>
                <w:noProof/>
              </w:rPr>
              <w:t>M1C1–115</w:t>
            </w:r>
          </w:p>
        </w:tc>
        <w:tc>
          <w:tcPr>
            <w:tcW w:w="3118" w:type="dxa"/>
            <w:tcBorders>
              <w:top w:val="nil"/>
              <w:left w:val="nil"/>
              <w:bottom w:val="single" w:sz="4" w:space="0" w:color="auto"/>
              <w:right w:val="single" w:sz="4" w:space="0" w:color="auto"/>
            </w:tcBorders>
            <w:shd w:val="clear" w:color="auto" w:fill="C6EFCE"/>
            <w:noWrap/>
            <w:vAlign w:val="center"/>
          </w:tcPr>
          <w:p w14:paraId="33C723A5" w14:textId="77777777" w:rsidR="00154E32" w:rsidRDefault="00A43E04">
            <w:pPr>
              <w:pStyle w:val="P68B1DB1-Normal12"/>
              <w:jc w:val="center"/>
              <w:rPr>
                <w:noProof/>
              </w:rPr>
            </w:pPr>
            <w:r>
              <w:rPr>
                <w:noProof/>
              </w:rPr>
              <w:t>Reforma 1.13: Reforma okvira za pregled porabe</w:t>
            </w:r>
          </w:p>
        </w:tc>
        <w:tc>
          <w:tcPr>
            <w:tcW w:w="1440" w:type="dxa"/>
            <w:tcBorders>
              <w:top w:val="nil"/>
              <w:left w:val="nil"/>
              <w:bottom w:val="single" w:sz="4" w:space="0" w:color="auto"/>
              <w:right w:val="single" w:sz="4" w:space="0" w:color="auto"/>
            </w:tcBorders>
            <w:shd w:val="clear" w:color="auto" w:fill="C6EFCE"/>
            <w:noWrap/>
            <w:vAlign w:val="center"/>
          </w:tcPr>
          <w:p w14:paraId="79AF3858" w14:textId="77777777" w:rsidR="00154E32" w:rsidRDefault="00A43E04">
            <w:pPr>
              <w:pStyle w:val="P68B1DB1-Normal12"/>
              <w:jc w:val="center"/>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52118C24" w14:textId="77777777" w:rsidR="00154E32" w:rsidRDefault="00A43E04">
            <w:pPr>
              <w:pStyle w:val="P68B1DB1-Normal12"/>
              <w:rPr>
                <w:noProof/>
              </w:rPr>
            </w:pPr>
            <w:r>
              <w:rPr>
                <w:noProof/>
              </w:rPr>
              <w:t>Zaključek letnega pregleda porabe za leto 2024 glede na cilj prihranka, določen za leti 2022 in 2023 za leto 2024</w:t>
            </w:r>
          </w:p>
        </w:tc>
      </w:tr>
      <w:tr w:rsidR="00154E32" w14:paraId="3A0E18E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088DFA1" w14:textId="77777777" w:rsidR="00154E32" w:rsidRDefault="00A43E04">
            <w:pPr>
              <w:pStyle w:val="P68B1DB1-Normal12"/>
              <w:jc w:val="center"/>
              <w:rPr>
                <w:noProof/>
              </w:rPr>
            </w:pPr>
            <w:r>
              <w:rPr>
                <w:noProof/>
              </w:rPr>
              <w:t>M1C2–3</w:t>
            </w:r>
          </w:p>
        </w:tc>
        <w:tc>
          <w:tcPr>
            <w:tcW w:w="3118" w:type="dxa"/>
            <w:tcBorders>
              <w:top w:val="nil"/>
              <w:left w:val="nil"/>
              <w:bottom w:val="single" w:sz="4" w:space="0" w:color="auto"/>
              <w:right w:val="single" w:sz="4" w:space="0" w:color="auto"/>
            </w:tcBorders>
            <w:shd w:val="clear" w:color="auto" w:fill="C6EFCE"/>
            <w:noWrap/>
            <w:vAlign w:val="center"/>
          </w:tcPr>
          <w:p w14:paraId="1DF7DF35" w14:textId="77777777" w:rsidR="00154E32" w:rsidRDefault="00A43E04">
            <w:pPr>
              <w:pStyle w:val="P68B1DB1-Normal12"/>
              <w:jc w:val="center"/>
              <w:rPr>
                <w:noProof/>
              </w:rPr>
            </w:pPr>
            <w:r>
              <w:rPr>
                <w:noProof/>
              </w:rPr>
              <w:t>Naložba 1: Prehod 4.0</w:t>
            </w:r>
          </w:p>
        </w:tc>
        <w:tc>
          <w:tcPr>
            <w:tcW w:w="1440" w:type="dxa"/>
            <w:tcBorders>
              <w:top w:val="nil"/>
              <w:left w:val="nil"/>
              <w:bottom w:val="single" w:sz="4" w:space="0" w:color="auto"/>
              <w:right w:val="single" w:sz="4" w:space="0" w:color="auto"/>
            </w:tcBorders>
            <w:shd w:val="clear" w:color="auto" w:fill="C6EFCE"/>
            <w:noWrap/>
            <w:vAlign w:val="center"/>
          </w:tcPr>
          <w:p w14:paraId="493AC52D" w14:textId="77777777" w:rsidR="00154E32" w:rsidRDefault="00A43E04">
            <w:pPr>
              <w:pStyle w:val="P68B1DB1-Normal12"/>
              <w:jc w:val="center"/>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6EAB3B48" w14:textId="77777777" w:rsidR="00154E32" w:rsidRDefault="00A43E04">
            <w:pPr>
              <w:pStyle w:val="P68B1DB1-Normal12"/>
              <w:rPr>
                <w:noProof/>
              </w:rPr>
            </w:pPr>
            <w:r>
              <w:rPr>
                <w:noProof/>
              </w:rPr>
              <w:t>Prehod 4.0 davčni dobropisi, odobreni podjetjem na podlagi davčnih napovedi, predstavljenih v obdobju 2021–2023</w:t>
            </w:r>
          </w:p>
        </w:tc>
      </w:tr>
      <w:tr w:rsidR="00154E32" w14:paraId="7F7C035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9DEA83E" w14:textId="77777777" w:rsidR="00154E32" w:rsidRDefault="00A43E04">
            <w:pPr>
              <w:pStyle w:val="P68B1DB1-Normal12"/>
              <w:jc w:val="center"/>
              <w:rPr>
                <w:noProof/>
              </w:rPr>
            </w:pPr>
            <w:r>
              <w:rPr>
                <w:noProof/>
              </w:rPr>
              <w:t>M4C1–16</w:t>
            </w:r>
          </w:p>
        </w:tc>
        <w:tc>
          <w:tcPr>
            <w:tcW w:w="3118" w:type="dxa"/>
            <w:tcBorders>
              <w:top w:val="nil"/>
              <w:left w:val="nil"/>
              <w:bottom w:val="single" w:sz="4" w:space="0" w:color="auto"/>
              <w:right w:val="single" w:sz="4" w:space="0" w:color="auto"/>
            </w:tcBorders>
            <w:shd w:val="clear" w:color="auto" w:fill="C6EFCE"/>
            <w:noWrap/>
            <w:vAlign w:val="center"/>
          </w:tcPr>
          <w:p w14:paraId="7DE92730" w14:textId="77777777" w:rsidR="00154E32" w:rsidRDefault="00A43E04">
            <w:pPr>
              <w:pStyle w:val="P68B1DB1-Normal12"/>
              <w:jc w:val="center"/>
              <w:rPr>
                <w:noProof/>
              </w:rPr>
            </w:pPr>
            <w:r>
              <w:rPr>
                <w:noProof/>
              </w:rPr>
              <w:t>Naložba 3.1: Nova znanja in spretnosti ter novi jeziki</w:t>
            </w:r>
          </w:p>
        </w:tc>
        <w:tc>
          <w:tcPr>
            <w:tcW w:w="1440" w:type="dxa"/>
            <w:tcBorders>
              <w:top w:val="nil"/>
              <w:left w:val="nil"/>
              <w:bottom w:val="single" w:sz="4" w:space="0" w:color="auto"/>
              <w:right w:val="single" w:sz="4" w:space="0" w:color="auto"/>
            </w:tcBorders>
            <w:shd w:val="clear" w:color="auto" w:fill="C6EFCE"/>
            <w:noWrap/>
            <w:vAlign w:val="center"/>
          </w:tcPr>
          <w:p w14:paraId="74916661" w14:textId="77777777" w:rsidR="00154E32" w:rsidRDefault="00A43E04">
            <w:pPr>
              <w:pStyle w:val="P68B1DB1-Normal12"/>
              <w:jc w:val="center"/>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09118084" w14:textId="77777777" w:rsidR="00154E32" w:rsidRDefault="00A43E04">
            <w:pPr>
              <w:pStyle w:val="P68B1DB1-Normal12"/>
              <w:rPr>
                <w:noProof/>
              </w:rPr>
            </w:pPr>
            <w:r>
              <w:rPr>
                <w:noProof/>
              </w:rPr>
              <w:t xml:space="preserve">Šole, ki so v obdobju 2024/25 aktivirale usmerjevalne projekte na področju naravoslovja, tehnologije, inženirstva in matematike  </w:t>
            </w:r>
          </w:p>
        </w:tc>
      </w:tr>
      <w:tr w:rsidR="00154E32" w14:paraId="3CE4360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39A2EEC" w14:textId="77777777" w:rsidR="00154E32" w:rsidRDefault="00A43E04">
            <w:pPr>
              <w:pStyle w:val="P68B1DB1-Normal12"/>
              <w:jc w:val="center"/>
              <w:rPr>
                <w:noProof/>
              </w:rPr>
            </w:pPr>
            <w:r>
              <w:rPr>
                <w:noProof/>
              </w:rPr>
              <w:t>M4C1–17</w:t>
            </w:r>
          </w:p>
        </w:tc>
        <w:tc>
          <w:tcPr>
            <w:tcW w:w="3118" w:type="dxa"/>
            <w:tcBorders>
              <w:top w:val="nil"/>
              <w:left w:val="nil"/>
              <w:bottom w:val="single" w:sz="4" w:space="0" w:color="auto"/>
              <w:right w:val="single" w:sz="4" w:space="0" w:color="auto"/>
            </w:tcBorders>
            <w:shd w:val="clear" w:color="auto" w:fill="C6EFCE"/>
            <w:noWrap/>
            <w:vAlign w:val="center"/>
          </w:tcPr>
          <w:p w14:paraId="5D0704A6" w14:textId="77777777" w:rsidR="00154E32" w:rsidRDefault="00A43E04">
            <w:pPr>
              <w:pStyle w:val="P68B1DB1-Normal12"/>
              <w:jc w:val="center"/>
              <w:rPr>
                <w:noProof/>
              </w:rPr>
            </w:pPr>
            <w:r>
              <w:rPr>
                <w:noProof/>
              </w:rPr>
              <w:t>Naložba 3.1: Nova znanja in spretnosti ter novi jeziki</w:t>
            </w:r>
          </w:p>
        </w:tc>
        <w:tc>
          <w:tcPr>
            <w:tcW w:w="1440" w:type="dxa"/>
            <w:tcBorders>
              <w:top w:val="nil"/>
              <w:left w:val="nil"/>
              <w:bottom w:val="single" w:sz="4" w:space="0" w:color="auto"/>
              <w:right w:val="single" w:sz="4" w:space="0" w:color="auto"/>
            </w:tcBorders>
            <w:shd w:val="clear" w:color="auto" w:fill="C6EFCE"/>
            <w:noWrap/>
            <w:vAlign w:val="center"/>
          </w:tcPr>
          <w:p w14:paraId="714A4A3D" w14:textId="77777777" w:rsidR="00154E32" w:rsidRDefault="00A43E04">
            <w:pPr>
              <w:pStyle w:val="P68B1DB1-Normal12"/>
              <w:jc w:val="center"/>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4A0F029E" w14:textId="77777777" w:rsidR="00154E32" w:rsidRDefault="00A43E04">
            <w:pPr>
              <w:pStyle w:val="P68B1DB1-Normal12"/>
              <w:rPr>
                <w:noProof/>
              </w:rPr>
            </w:pPr>
            <w:r>
              <w:rPr>
                <w:noProof/>
              </w:rPr>
              <w:t xml:space="preserve">Letni jezikovni in metodološki tečaji za učitelje      </w:t>
            </w:r>
          </w:p>
        </w:tc>
      </w:tr>
      <w:tr w:rsidR="00154E32" w14:paraId="451FF28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9F8663C" w14:textId="77777777" w:rsidR="00154E32" w:rsidRDefault="00A43E04">
            <w:pPr>
              <w:pStyle w:val="P68B1DB1-Normal12"/>
              <w:jc w:val="center"/>
              <w:rPr>
                <w:noProof/>
              </w:rPr>
            </w:pPr>
            <w:r>
              <w:rPr>
                <w:noProof/>
              </w:rPr>
              <w:t>M4C2–1 bis</w:t>
            </w:r>
          </w:p>
        </w:tc>
        <w:tc>
          <w:tcPr>
            <w:tcW w:w="3118" w:type="dxa"/>
            <w:tcBorders>
              <w:top w:val="nil"/>
              <w:left w:val="nil"/>
              <w:bottom w:val="single" w:sz="4" w:space="0" w:color="auto"/>
              <w:right w:val="single" w:sz="4" w:space="0" w:color="auto"/>
            </w:tcBorders>
            <w:shd w:val="clear" w:color="auto" w:fill="C6EFCE"/>
            <w:noWrap/>
            <w:vAlign w:val="center"/>
          </w:tcPr>
          <w:p w14:paraId="6976C32B" w14:textId="77777777" w:rsidR="00154E32" w:rsidRDefault="00A43E04">
            <w:pPr>
              <w:pStyle w:val="P68B1DB1-Normal12"/>
              <w:jc w:val="center"/>
              <w:rPr>
                <w:noProof/>
              </w:rPr>
            </w:pPr>
            <w:r>
              <w:rPr>
                <w:noProof/>
              </w:rPr>
              <w:t xml:space="preserve">Naložba 1.2: Financiranje projektov, ki so jih predstavili mladi raziskovalci </w:t>
            </w:r>
          </w:p>
        </w:tc>
        <w:tc>
          <w:tcPr>
            <w:tcW w:w="1440" w:type="dxa"/>
            <w:tcBorders>
              <w:top w:val="nil"/>
              <w:left w:val="nil"/>
              <w:bottom w:val="single" w:sz="4" w:space="0" w:color="auto"/>
              <w:right w:val="single" w:sz="4" w:space="0" w:color="auto"/>
            </w:tcBorders>
            <w:shd w:val="clear" w:color="auto" w:fill="C6EFCE"/>
            <w:noWrap/>
            <w:vAlign w:val="center"/>
          </w:tcPr>
          <w:p w14:paraId="0C2A2B61" w14:textId="77777777" w:rsidR="00154E32" w:rsidRDefault="00A43E04">
            <w:pPr>
              <w:pStyle w:val="P68B1DB1-Normal12"/>
              <w:jc w:val="center"/>
              <w:rPr>
                <w:noProof/>
              </w:rPr>
            </w:pPr>
            <w:r>
              <w:rPr>
                <w:noProof/>
              </w:rPr>
              <w:t xml:space="preserve">Tarča </w:t>
            </w:r>
          </w:p>
        </w:tc>
        <w:tc>
          <w:tcPr>
            <w:tcW w:w="4020" w:type="dxa"/>
            <w:tcBorders>
              <w:top w:val="nil"/>
              <w:left w:val="nil"/>
              <w:bottom w:val="single" w:sz="4" w:space="0" w:color="auto"/>
              <w:right w:val="single" w:sz="4" w:space="0" w:color="auto"/>
            </w:tcBorders>
            <w:shd w:val="clear" w:color="auto" w:fill="C6EFCE"/>
            <w:noWrap/>
            <w:vAlign w:val="center"/>
          </w:tcPr>
          <w:p w14:paraId="48CEEB26" w14:textId="77777777" w:rsidR="00154E32" w:rsidRDefault="00A43E04">
            <w:pPr>
              <w:pStyle w:val="P68B1DB1-Normal12"/>
              <w:rPr>
                <w:noProof/>
              </w:rPr>
            </w:pPr>
            <w:r>
              <w:rPr>
                <w:noProof/>
              </w:rPr>
              <w:t xml:space="preserve">Število študentov, ki so prejeli štipendijo za raziskave </w:t>
            </w:r>
          </w:p>
        </w:tc>
      </w:tr>
      <w:tr w:rsidR="00154E32" w14:paraId="3BDDA0B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5A76008" w14:textId="77777777" w:rsidR="00154E32" w:rsidRDefault="00A43E04">
            <w:pPr>
              <w:pStyle w:val="P68B1DB1-Normal12"/>
              <w:jc w:val="center"/>
              <w:rPr>
                <w:noProof/>
              </w:rPr>
            </w:pPr>
            <w:r>
              <w:rPr>
                <w:noProof/>
              </w:rPr>
              <w:t xml:space="preserve">M5C1–10 </w:t>
            </w:r>
          </w:p>
        </w:tc>
        <w:tc>
          <w:tcPr>
            <w:tcW w:w="3118" w:type="dxa"/>
            <w:tcBorders>
              <w:top w:val="nil"/>
              <w:left w:val="nil"/>
              <w:bottom w:val="single" w:sz="4" w:space="0" w:color="auto"/>
              <w:right w:val="single" w:sz="4" w:space="0" w:color="auto"/>
            </w:tcBorders>
            <w:shd w:val="clear" w:color="auto" w:fill="C6EFCE"/>
            <w:noWrap/>
            <w:vAlign w:val="center"/>
          </w:tcPr>
          <w:p w14:paraId="311C07F2" w14:textId="77777777" w:rsidR="00154E32" w:rsidRDefault="00A43E04">
            <w:pPr>
              <w:pStyle w:val="P68B1DB1-Normal12"/>
              <w:jc w:val="center"/>
              <w:rPr>
                <w:noProof/>
              </w:rPr>
            </w:pPr>
            <w:r>
              <w:rPr>
                <w:noProof/>
              </w:rPr>
              <w:t xml:space="preserve">Reforma 2 – Neprijavljeno delo </w:t>
            </w:r>
          </w:p>
        </w:tc>
        <w:tc>
          <w:tcPr>
            <w:tcW w:w="1440" w:type="dxa"/>
            <w:tcBorders>
              <w:top w:val="nil"/>
              <w:left w:val="nil"/>
              <w:bottom w:val="single" w:sz="4" w:space="0" w:color="auto"/>
              <w:right w:val="single" w:sz="4" w:space="0" w:color="auto"/>
            </w:tcBorders>
            <w:shd w:val="clear" w:color="auto" w:fill="C6EFCE"/>
            <w:noWrap/>
            <w:vAlign w:val="center"/>
          </w:tcPr>
          <w:p w14:paraId="1B699E44" w14:textId="77777777" w:rsidR="00154E32" w:rsidRDefault="00A43E04">
            <w:pPr>
              <w:pStyle w:val="P68B1DB1-Normal12"/>
              <w:jc w:val="center"/>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3DE957E4" w14:textId="77777777" w:rsidR="00154E32" w:rsidRDefault="00A43E04">
            <w:pPr>
              <w:pStyle w:val="P68B1DB1-Normal12"/>
              <w:rPr>
                <w:noProof/>
              </w:rPr>
            </w:pPr>
            <w:r>
              <w:rPr>
                <w:noProof/>
              </w:rPr>
              <w:t>Večje število delovnih inšpekcij</w:t>
            </w:r>
          </w:p>
        </w:tc>
      </w:tr>
      <w:tr w:rsidR="00154E32" w14:paraId="71A1C2D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06B72FC" w14:textId="77777777" w:rsidR="00154E32" w:rsidRDefault="00A43E04">
            <w:pPr>
              <w:pStyle w:val="P68B1DB1-Normal12"/>
              <w:jc w:val="center"/>
              <w:rPr>
                <w:noProof/>
              </w:rPr>
            </w:pPr>
            <w:r>
              <w:rPr>
                <w:noProof/>
              </w:rPr>
              <w:t>M7–2</w:t>
            </w:r>
          </w:p>
        </w:tc>
        <w:tc>
          <w:tcPr>
            <w:tcW w:w="3118" w:type="dxa"/>
            <w:tcBorders>
              <w:top w:val="nil"/>
              <w:left w:val="nil"/>
              <w:bottom w:val="single" w:sz="4" w:space="0" w:color="auto"/>
              <w:right w:val="single" w:sz="4" w:space="0" w:color="auto"/>
            </w:tcBorders>
            <w:shd w:val="clear" w:color="auto" w:fill="C6EFCE"/>
            <w:noWrap/>
            <w:vAlign w:val="center"/>
          </w:tcPr>
          <w:p w14:paraId="7526F39A" w14:textId="77777777" w:rsidR="00154E32" w:rsidRDefault="00A43E04">
            <w:pPr>
              <w:pStyle w:val="P68B1DB1-Normal12"/>
              <w:rPr>
                <w:noProof/>
              </w:rPr>
            </w:pPr>
            <w:r>
              <w:rPr>
                <w:noProof/>
              </w:rPr>
              <w:t>Reforma 1: Racionalizacija postopkov izdaje dovoljenj za energijo iz obnovljivih virov</w:t>
            </w:r>
          </w:p>
        </w:tc>
        <w:tc>
          <w:tcPr>
            <w:tcW w:w="1440" w:type="dxa"/>
            <w:tcBorders>
              <w:top w:val="nil"/>
              <w:left w:val="nil"/>
              <w:bottom w:val="single" w:sz="4" w:space="0" w:color="auto"/>
              <w:right w:val="single" w:sz="4" w:space="0" w:color="auto"/>
            </w:tcBorders>
            <w:shd w:val="clear" w:color="auto" w:fill="C6EFCE"/>
            <w:noWrap/>
            <w:vAlign w:val="center"/>
          </w:tcPr>
          <w:p w14:paraId="725C54C7" w14:textId="77777777" w:rsidR="00154E32" w:rsidRDefault="00A43E04">
            <w:pPr>
              <w:pStyle w:val="P68B1DB1-Normal12"/>
              <w:jc w:val="center"/>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5B2D3D9E" w14:textId="77777777" w:rsidR="00154E32" w:rsidRDefault="00A43E04">
            <w:pPr>
              <w:pStyle w:val="P68B1DB1-Normal12"/>
              <w:rPr>
                <w:noProof/>
              </w:rPr>
            </w:pPr>
            <w:r>
              <w:rPr>
                <w:noProof/>
              </w:rPr>
              <w:t xml:space="preserve">Začetek veljavnosti primarne zakonodaje (Testo Unico) </w:t>
            </w:r>
          </w:p>
        </w:tc>
      </w:tr>
      <w:tr w:rsidR="00154E32" w14:paraId="3D9E1A6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5BBC5C2" w14:textId="77777777" w:rsidR="00154E32" w:rsidRDefault="00A43E04">
            <w:pPr>
              <w:pStyle w:val="P68B1DB1-Normal12"/>
              <w:jc w:val="center"/>
              <w:rPr>
                <w:noProof/>
              </w:rPr>
            </w:pPr>
            <w:r>
              <w:rPr>
                <w:noProof/>
              </w:rPr>
              <w:t>M7–20</w:t>
            </w:r>
          </w:p>
        </w:tc>
        <w:tc>
          <w:tcPr>
            <w:tcW w:w="3118" w:type="dxa"/>
            <w:tcBorders>
              <w:top w:val="nil"/>
              <w:left w:val="nil"/>
              <w:bottom w:val="single" w:sz="4" w:space="0" w:color="auto"/>
              <w:right w:val="single" w:sz="4" w:space="0" w:color="auto"/>
            </w:tcBorders>
            <w:shd w:val="clear" w:color="auto" w:fill="C6EFCE"/>
            <w:noWrap/>
            <w:vAlign w:val="center"/>
          </w:tcPr>
          <w:p w14:paraId="6F9E8ACD" w14:textId="77777777" w:rsidR="00154E32" w:rsidRDefault="00A43E04">
            <w:pPr>
              <w:pStyle w:val="P68B1DB1-Normal12"/>
              <w:rPr>
                <w:noProof/>
              </w:rPr>
            </w:pPr>
            <w:r>
              <w:rPr>
                <w:noProof/>
              </w:rPr>
              <w:t>Naložba 6: Projekti čezmejnih elektroenergetskih povezav med Italijo in sosednjimi državami</w:t>
            </w:r>
          </w:p>
        </w:tc>
        <w:tc>
          <w:tcPr>
            <w:tcW w:w="1440" w:type="dxa"/>
            <w:tcBorders>
              <w:top w:val="nil"/>
              <w:left w:val="nil"/>
              <w:bottom w:val="single" w:sz="4" w:space="0" w:color="auto"/>
              <w:right w:val="single" w:sz="4" w:space="0" w:color="auto"/>
            </w:tcBorders>
            <w:shd w:val="clear" w:color="auto" w:fill="C6EFCE"/>
            <w:noWrap/>
            <w:vAlign w:val="center"/>
          </w:tcPr>
          <w:p w14:paraId="303FC6D2" w14:textId="77777777" w:rsidR="00154E32" w:rsidRDefault="00A43E04">
            <w:pPr>
              <w:pStyle w:val="P68B1DB1-Normal12"/>
              <w:jc w:val="center"/>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19BB32F2" w14:textId="77777777" w:rsidR="00154E32" w:rsidRDefault="00A43E04">
            <w:pPr>
              <w:pStyle w:val="P68B1DB1-Normal12"/>
              <w:rPr>
                <w:noProof/>
              </w:rPr>
            </w:pPr>
            <w:r>
              <w:rPr>
                <w:noProof/>
              </w:rPr>
              <w:t xml:space="preserve">Oddaja naročil za gradnjo dveh povezovalnih daljnovodov med Italijo in Slovenijo: „Zaule – Dekani“ in „Redipuglia – Vrtojba“  </w:t>
            </w:r>
          </w:p>
        </w:tc>
      </w:tr>
      <w:tr w:rsidR="00154E32" w14:paraId="5218004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5687706" w14:textId="77777777" w:rsidR="00154E32" w:rsidRDefault="00A43E04">
            <w:pPr>
              <w:pStyle w:val="P68B1DB1-Normal12"/>
              <w:jc w:val="center"/>
              <w:rPr>
                <w:noProof/>
              </w:rPr>
            </w:pPr>
            <w:r>
              <w:rPr>
                <w:noProof/>
              </w:rPr>
              <w:t>M7–25</w:t>
            </w:r>
          </w:p>
        </w:tc>
        <w:tc>
          <w:tcPr>
            <w:tcW w:w="3118" w:type="dxa"/>
            <w:tcBorders>
              <w:top w:val="nil"/>
              <w:left w:val="nil"/>
              <w:bottom w:val="single" w:sz="4" w:space="0" w:color="auto"/>
              <w:right w:val="single" w:sz="4" w:space="0" w:color="auto"/>
            </w:tcBorders>
            <w:shd w:val="clear" w:color="auto" w:fill="C6EFCE"/>
            <w:noWrap/>
            <w:vAlign w:val="center"/>
          </w:tcPr>
          <w:p w14:paraId="43AB208F" w14:textId="77777777" w:rsidR="00154E32" w:rsidRDefault="00A43E04">
            <w:pPr>
              <w:pStyle w:val="P68B1DB1-Normal12"/>
              <w:rPr>
                <w:noProof/>
              </w:rPr>
            </w:pPr>
            <w:r>
              <w:rPr>
                <w:noProof/>
              </w:rPr>
              <w:t>Naložba 10: Trajnostna, krožna in varna oskrba s kritičnimi surovinami</w:t>
            </w:r>
          </w:p>
        </w:tc>
        <w:tc>
          <w:tcPr>
            <w:tcW w:w="1440" w:type="dxa"/>
            <w:tcBorders>
              <w:top w:val="nil"/>
              <w:left w:val="nil"/>
              <w:bottom w:val="single" w:sz="4" w:space="0" w:color="auto"/>
              <w:right w:val="single" w:sz="4" w:space="0" w:color="auto"/>
            </w:tcBorders>
            <w:shd w:val="clear" w:color="auto" w:fill="C6EFCE"/>
            <w:noWrap/>
            <w:vAlign w:val="center"/>
          </w:tcPr>
          <w:p w14:paraId="170CDFB3" w14:textId="77777777" w:rsidR="00154E32" w:rsidRDefault="00A43E04">
            <w:pPr>
              <w:pStyle w:val="P68B1DB1-Normal12"/>
              <w:jc w:val="center"/>
              <w:rPr>
                <w:noProof/>
              </w:rPr>
            </w:pPr>
            <w:r>
              <w:rPr>
                <w:noProof/>
              </w:rPr>
              <w:t>Mejnik</w:t>
            </w:r>
          </w:p>
        </w:tc>
        <w:tc>
          <w:tcPr>
            <w:tcW w:w="4020" w:type="dxa"/>
            <w:tcBorders>
              <w:top w:val="nil"/>
              <w:left w:val="nil"/>
              <w:bottom w:val="single" w:sz="4" w:space="0" w:color="auto"/>
              <w:right w:val="single" w:sz="4" w:space="0" w:color="auto"/>
            </w:tcBorders>
            <w:shd w:val="clear" w:color="auto" w:fill="C6EFCE"/>
            <w:noWrap/>
            <w:vAlign w:val="center"/>
          </w:tcPr>
          <w:p w14:paraId="63EE9005" w14:textId="77777777" w:rsidR="00154E32" w:rsidRDefault="00A43E04">
            <w:pPr>
              <w:pStyle w:val="P68B1DB1-Normal12"/>
              <w:rPr>
                <w:noProof/>
              </w:rPr>
            </w:pPr>
            <w:r>
              <w:rPr>
                <w:noProof/>
              </w:rPr>
              <w:t>Objava poročila o prihodnjih potrebah po kritičnih surovinah in potencialu okoljsko primerne zasnove za zmanjšanje povpraševanja po kritičnih surovinah</w:t>
            </w:r>
          </w:p>
        </w:tc>
      </w:tr>
      <w:tr w:rsidR="00154E32" w14:paraId="3C2FFD5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DCFBCA5" w14:textId="77777777" w:rsidR="00154E32" w:rsidRDefault="00A43E04">
            <w:pPr>
              <w:pStyle w:val="P68B1DB1-Normal12"/>
              <w:jc w:val="center"/>
              <w:rPr>
                <w:noProof/>
              </w:rPr>
            </w:pPr>
            <w:r>
              <w:rPr>
                <w:noProof/>
              </w:rPr>
              <w:t>M7–30</w:t>
            </w:r>
          </w:p>
        </w:tc>
        <w:tc>
          <w:tcPr>
            <w:tcW w:w="3118" w:type="dxa"/>
            <w:tcBorders>
              <w:top w:val="nil"/>
              <w:left w:val="nil"/>
              <w:bottom w:val="single" w:sz="4" w:space="0" w:color="auto"/>
              <w:right w:val="single" w:sz="4" w:space="0" w:color="auto"/>
            </w:tcBorders>
            <w:shd w:val="clear" w:color="auto" w:fill="C6EFCE"/>
            <w:noWrap/>
            <w:vAlign w:val="center"/>
          </w:tcPr>
          <w:p w14:paraId="2584F4C3" w14:textId="77777777" w:rsidR="00154E32" w:rsidRDefault="00A43E04">
            <w:pPr>
              <w:pStyle w:val="P68B1DB1-Normal12"/>
              <w:rPr>
                <w:noProof/>
              </w:rPr>
            </w:pPr>
            <w:r>
              <w:rPr>
                <w:noProof/>
              </w:rPr>
              <w:t>Naložba 10: Pilotni projekti o znanjih in spretnostih „Crescere Green“</w:t>
            </w:r>
          </w:p>
        </w:tc>
        <w:tc>
          <w:tcPr>
            <w:tcW w:w="1440" w:type="dxa"/>
            <w:tcBorders>
              <w:top w:val="nil"/>
              <w:left w:val="nil"/>
              <w:bottom w:val="single" w:sz="4" w:space="0" w:color="auto"/>
              <w:right w:val="single" w:sz="4" w:space="0" w:color="auto"/>
            </w:tcBorders>
            <w:shd w:val="clear" w:color="auto" w:fill="C6EFCE"/>
            <w:noWrap/>
            <w:vAlign w:val="center"/>
          </w:tcPr>
          <w:p w14:paraId="78AEA930" w14:textId="77777777" w:rsidR="00154E32" w:rsidRDefault="00A43E04">
            <w:pPr>
              <w:pStyle w:val="P68B1DB1-Normal12"/>
              <w:jc w:val="center"/>
              <w:rPr>
                <w:noProof/>
              </w:rPr>
            </w:pPr>
            <w:r>
              <w:rPr>
                <w:noProof/>
              </w:rPr>
              <w:t>Tarča</w:t>
            </w:r>
          </w:p>
        </w:tc>
        <w:tc>
          <w:tcPr>
            <w:tcW w:w="4020" w:type="dxa"/>
            <w:tcBorders>
              <w:top w:val="nil"/>
              <w:left w:val="nil"/>
              <w:bottom w:val="single" w:sz="4" w:space="0" w:color="auto"/>
              <w:right w:val="single" w:sz="4" w:space="0" w:color="auto"/>
            </w:tcBorders>
            <w:shd w:val="clear" w:color="auto" w:fill="C6EFCE"/>
            <w:noWrap/>
            <w:vAlign w:val="center"/>
          </w:tcPr>
          <w:p w14:paraId="5F9D9A29" w14:textId="77777777" w:rsidR="00154E32" w:rsidRDefault="00A43E04">
            <w:pPr>
              <w:pStyle w:val="P68B1DB1-Normal12"/>
              <w:rPr>
                <w:noProof/>
              </w:rPr>
            </w:pPr>
            <w:r>
              <w:rPr>
                <w:noProof/>
              </w:rPr>
              <w:t>Zagotavljanje usposabljanja za 20000 ljudi</w:t>
            </w:r>
          </w:p>
        </w:tc>
      </w:tr>
      <w:tr w:rsidR="00154E32" w14:paraId="296BCB5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816183F" w14:textId="77777777" w:rsidR="00154E32" w:rsidRDefault="00A43E04">
            <w:pPr>
              <w:pStyle w:val="P68B1DB1-Normal12"/>
              <w:jc w:val="center"/>
              <w:rPr>
                <w:noProof/>
              </w:rPr>
            </w:pPr>
            <w:r>
              <w:rPr>
                <w:noProof/>
              </w:rPr>
              <w:t>M1C2–14a</w:t>
            </w:r>
          </w:p>
        </w:tc>
        <w:tc>
          <w:tcPr>
            <w:tcW w:w="3118" w:type="dxa"/>
            <w:tcBorders>
              <w:top w:val="nil"/>
              <w:left w:val="nil"/>
              <w:bottom w:val="single" w:sz="4" w:space="0" w:color="auto"/>
              <w:right w:val="single" w:sz="4" w:space="0" w:color="auto"/>
            </w:tcBorders>
            <w:shd w:val="clear" w:color="auto" w:fill="C6EFCE"/>
            <w:noWrap/>
            <w:vAlign w:val="center"/>
          </w:tcPr>
          <w:p w14:paraId="22ACDA1E" w14:textId="77777777" w:rsidR="00154E32" w:rsidRDefault="00A43E04">
            <w:pPr>
              <w:pStyle w:val="P68B1DB1-Normal12"/>
              <w:jc w:val="center"/>
              <w:rPr>
                <w:noProof/>
              </w:rPr>
            </w:pPr>
            <w:r>
              <w:rPr>
                <w:noProof/>
              </w:rPr>
              <w:t>Reforma 3:   racionalizacija in poenostavitev spodbud za podjetja.</w:t>
            </w:r>
          </w:p>
        </w:tc>
        <w:tc>
          <w:tcPr>
            <w:tcW w:w="1440" w:type="dxa"/>
            <w:tcBorders>
              <w:top w:val="nil"/>
              <w:left w:val="nil"/>
              <w:bottom w:val="single" w:sz="4" w:space="0" w:color="auto"/>
              <w:right w:val="single" w:sz="4" w:space="0" w:color="auto"/>
            </w:tcBorders>
            <w:shd w:val="clear" w:color="auto" w:fill="C6EFCE"/>
            <w:noWrap/>
            <w:vAlign w:val="center"/>
          </w:tcPr>
          <w:p w14:paraId="5C387156" w14:textId="77777777" w:rsidR="00154E32" w:rsidRDefault="00A43E04">
            <w:pPr>
              <w:pStyle w:val="P68B1DB1-Normal12"/>
              <w:jc w:val="center"/>
              <w:rPr>
                <w:noProof/>
              </w:rPr>
            </w:pPr>
            <w:r>
              <w:rPr>
                <w:noProof/>
              </w:rPr>
              <w:t xml:space="preserve">Mejnik </w:t>
            </w:r>
          </w:p>
        </w:tc>
        <w:tc>
          <w:tcPr>
            <w:tcW w:w="4020" w:type="dxa"/>
            <w:tcBorders>
              <w:top w:val="nil"/>
              <w:left w:val="nil"/>
              <w:bottom w:val="single" w:sz="4" w:space="0" w:color="auto"/>
              <w:right w:val="single" w:sz="4" w:space="0" w:color="auto"/>
            </w:tcBorders>
            <w:shd w:val="clear" w:color="auto" w:fill="C6EFCE"/>
            <w:noWrap/>
            <w:vAlign w:val="center"/>
          </w:tcPr>
          <w:p w14:paraId="7C60D22C" w14:textId="77777777" w:rsidR="00154E32" w:rsidRDefault="00A43E04">
            <w:pPr>
              <w:pStyle w:val="P68B1DB1-Normal12"/>
              <w:rPr>
                <w:noProof/>
              </w:rPr>
            </w:pPr>
            <w:r>
              <w:rPr>
                <w:noProof/>
              </w:rPr>
              <w:t>Objava ocene poročila o vseh spodbudah za podjetja</w:t>
            </w:r>
          </w:p>
        </w:tc>
      </w:tr>
      <w:tr w:rsidR="00154E32" w14:paraId="286393B8"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276464B5" w14:textId="77777777" w:rsidR="00154E32" w:rsidRDefault="00154E32">
            <w:pPr>
              <w:jc w:val="center"/>
              <w:rPr>
                <w:noProof/>
                <w:color w:val="006100"/>
                <w:sz w:val="20"/>
              </w:rPr>
            </w:pPr>
          </w:p>
        </w:tc>
        <w:tc>
          <w:tcPr>
            <w:tcW w:w="3118" w:type="dxa"/>
            <w:tcBorders>
              <w:top w:val="single" w:sz="4" w:space="0" w:color="auto"/>
              <w:left w:val="nil"/>
              <w:bottom w:val="single" w:sz="4" w:space="0" w:color="auto"/>
              <w:right w:val="single" w:sz="4" w:space="0" w:color="auto"/>
            </w:tcBorders>
            <w:shd w:val="clear" w:color="auto" w:fill="C6EFCE"/>
            <w:noWrap/>
            <w:vAlign w:val="bottom"/>
          </w:tcPr>
          <w:p w14:paraId="51782BA6" w14:textId="77777777" w:rsidR="00154E32" w:rsidRDefault="00154E32">
            <w:pPr>
              <w:rPr>
                <w:noProof/>
                <w:color w:val="006100"/>
                <w:sz w:val="20"/>
              </w:rPr>
            </w:pPr>
          </w:p>
        </w:tc>
        <w:tc>
          <w:tcPr>
            <w:tcW w:w="1440" w:type="dxa"/>
            <w:tcBorders>
              <w:top w:val="single" w:sz="4" w:space="0" w:color="auto"/>
              <w:left w:val="nil"/>
              <w:bottom w:val="single" w:sz="4" w:space="0" w:color="auto"/>
              <w:right w:val="single" w:sz="4" w:space="0" w:color="auto"/>
            </w:tcBorders>
            <w:shd w:val="clear" w:color="auto" w:fill="C6EFCE"/>
            <w:noWrap/>
            <w:vAlign w:val="bottom"/>
          </w:tcPr>
          <w:p w14:paraId="0A2F6C7B" w14:textId="77777777" w:rsidR="00154E32" w:rsidRDefault="00A43E04">
            <w:pPr>
              <w:pStyle w:val="P68B1DB1-Normal12"/>
              <w:rPr>
                <w:noProof/>
              </w:rPr>
            </w:pPr>
            <w:r>
              <w:rPr>
                <w:noProof/>
              </w:rPr>
              <w:t>Znesek obroka</w:t>
            </w:r>
          </w:p>
        </w:tc>
        <w:tc>
          <w:tcPr>
            <w:tcW w:w="4020" w:type="dxa"/>
            <w:tcBorders>
              <w:top w:val="single" w:sz="4" w:space="0" w:color="auto"/>
              <w:left w:val="nil"/>
              <w:bottom w:val="single" w:sz="4" w:space="0" w:color="auto"/>
              <w:right w:val="single" w:sz="4" w:space="0" w:color="auto"/>
            </w:tcBorders>
            <w:shd w:val="clear" w:color="auto" w:fill="C6EFCE"/>
            <w:noWrap/>
            <w:vAlign w:val="bottom"/>
          </w:tcPr>
          <w:p w14:paraId="586150BF" w14:textId="7AC7BF91" w:rsidR="00154E32" w:rsidRDefault="00A43E04">
            <w:pPr>
              <w:pStyle w:val="P68B1DB1-Normal46"/>
              <w:rPr>
                <w:noProof/>
              </w:rPr>
            </w:pPr>
            <w:r>
              <w:rPr>
                <w:noProof/>
              </w:rPr>
              <w:t>3</w:t>
            </w:r>
            <w:r>
              <w:rPr>
                <w:noProof/>
              </w:rPr>
              <w:t> </w:t>
            </w:r>
            <w:r>
              <w:rPr>
                <w:noProof/>
              </w:rPr>
              <w:t>358</w:t>
            </w:r>
            <w:r>
              <w:rPr>
                <w:noProof/>
              </w:rPr>
              <w:t> </w:t>
            </w:r>
            <w:r>
              <w:rPr>
                <w:noProof/>
              </w:rPr>
              <w:t>104</w:t>
            </w:r>
            <w:r>
              <w:rPr>
                <w:noProof/>
              </w:rPr>
              <w:t> </w:t>
            </w:r>
            <w:r>
              <w:rPr>
                <w:noProof/>
              </w:rPr>
              <w:t>131</w:t>
            </w:r>
            <w:r>
              <w:rPr>
                <w:noProof/>
              </w:rPr>
              <w:t> </w:t>
            </w:r>
            <w:r>
              <w:rPr>
                <w:noProof/>
              </w:rPr>
              <w:t>EUR</w:t>
            </w:r>
          </w:p>
        </w:tc>
      </w:tr>
    </w:tbl>
    <w:p w14:paraId="3A8C85C7" w14:textId="77777777" w:rsidR="00154E32" w:rsidRDefault="00154E32">
      <w:pPr>
        <w:spacing w:before="120" w:after="120"/>
        <w:jc w:val="both"/>
        <w:rPr>
          <w:rFonts w:eastAsia="Calibri"/>
          <w:noProof/>
        </w:rPr>
      </w:pPr>
    </w:p>
    <w:p w14:paraId="3E32EEF5" w14:textId="21BD2A6E" w:rsidR="00154E32" w:rsidRDefault="00A43E04">
      <w:pPr>
        <w:pStyle w:val="P68B1DB1-Normal44"/>
        <w:spacing w:after="200" w:line="276" w:lineRule="auto"/>
        <w:rPr>
          <w:noProof/>
        </w:rPr>
      </w:pPr>
      <w:r>
        <w:rPr>
          <w:noProof/>
        </w:rPr>
        <w:br w:type="page"/>
      </w:r>
    </w:p>
    <w:p w14:paraId="1CA77A5A" w14:textId="43060E30" w:rsidR="00154E32" w:rsidRDefault="00A43E04">
      <w:pPr>
        <w:pStyle w:val="P68B1DB1-Normal44"/>
        <w:numPr>
          <w:ilvl w:val="1"/>
          <w:numId w:val="6"/>
        </w:numPr>
        <w:spacing w:before="120" w:after="120"/>
        <w:jc w:val="both"/>
        <w:rPr>
          <w:noProof/>
        </w:rPr>
      </w:pPr>
      <w:r>
        <w:rPr>
          <w:noProof/>
        </w:rPr>
        <w:t>Deveta namestitev (nepovratna podpora):</w:t>
      </w:r>
    </w:p>
    <w:tbl>
      <w:tblPr>
        <w:tblW w:w="9947" w:type="dxa"/>
        <w:tblInd w:w="113" w:type="dxa"/>
        <w:tblLook w:val="04A0" w:firstRow="1" w:lastRow="0" w:firstColumn="1" w:lastColumn="0" w:noHBand="0" w:noVBand="1"/>
      </w:tblPr>
      <w:tblGrid>
        <w:gridCol w:w="1413"/>
        <w:gridCol w:w="3150"/>
        <w:gridCol w:w="1425"/>
        <w:gridCol w:w="3959"/>
      </w:tblGrid>
      <w:tr w:rsidR="00154E32" w14:paraId="4100B922" w14:textId="77777777">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FF56DA9" w14:textId="77777777" w:rsidR="00154E32" w:rsidRDefault="00A43E04">
            <w:pPr>
              <w:pStyle w:val="P68B1DB1-Normal45"/>
              <w:jc w:val="center"/>
              <w:rPr>
                <w:noProof/>
              </w:rPr>
            </w:pPr>
            <w:r>
              <w:rPr>
                <w:noProof/>
              </w:rPr>
              <w:t>Zaporedna številka</w:t>
            </w:r>
          </w:p>
        </w:tc>
        <w:tc>
          <w:tcPr>
            <w:tcW w:w="315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57CBFB7" w14:textId="77777777" w:rsidR="00154E32" w:rsidRDefault="00A43E04">
            <w:pPr>
              <w:pStyle w:val="P68B1DB1-Normal45"/>
              <w:jc w:val="center"/>
              <w:rPr>
                <w:noProof/>
              </w:rPr>
            </w:pPr>
            <w:r>
              <w:rPr>
                <w:noProof/>
              </w:rPr>
              <w:t>Povezani ukrep (reforma ali naložba)</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DD3A8B8" w14:textId="77777777" w:rsidR="00154E32" w:rsidRDefault="00A43E04">
            <w:pPr>
              <w:pStyle w:val="P68B1DB1-Normal45"/>
              <w:jc w:val="center"/>
              <w:rPr>
                <w:noProof/>
              </w:rPr>
            </w:pPr>
            <w:r>
              <w:rPr>
                <w:noProof/>
              </w:rPr>
              <w:t>Mejnik/cilj</w:t>
            </w:r>
          </w:p>
        </w:tc>
        <w:tc>
          <w:tcPr>
            <w:tcW w:w="3959"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BFC817F" w14:textId="77777777" w:rsidR="00154E32" w:rsidRDefault="00A43E04">
            <w:pPr>
              <w:pStyle w:val="P68B1DB1-Normal45"/>
              <w:jc w:val="center"/>
              <w:rPr>
                <w:noProof/>
              </w:rPr>
            </w:pPr>
            <w:r>
              <w:rPr>
                <w:noProof/>
              </w:rPr>
              <w:t>Ime</w:t>
            </w:r>
          </w:p>
        </w:tc>
      </w:tr>
      <w:tr w:rsidR="00154E32" w14:paraId="500FF7BF" w14:textId="77777777">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3CB1894" w14:textId="77777777" w:rsidR="00154E32" w:rsidRDefault="00154E32">
            <w:pPr>
              <w:rPr>
                <w:b/>
                <w:noProof/>
              </w:rPr>
            </w:pPr>
          </w:p>
        </w:tc>
        <w:tc>
          <w:tcPr>
            <w:tcW w:w="3150" w:type="dxa"/>
            <w:vMerge/>
            <w:tcBorders>
              <w:top w:val="single" w:sz="4" w:space="0" w:color="auto"/>
              <w:left w:val="single" w:sz="4" w:space="0" w:color="auto"/>
              <w:bottom w:val="single" w:sz="4" w:space="0" w:color="auto"/>
              <w:right w:val="single" w:sz="4" w:space="0" w:color="auto"/>
            </w:tcBorders>
            <w:vAlign w:val="center"/>
            <w:hideMark/>
          </w:tcPr>
          <w:p w14:paraId="317ACDB1" w14:textId="77777777" w:rsidR="00154E32" w:rsidRDefault="00154E32">
            <w:pPr>
              <w:rPr>
                <w:b/>
                <w:noProof/>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4F31D6AB" w14:textId="77777777" w:rsidR="00154E32" w:rsidRDefault="00154E32">
            <w:pPr>
              <w:rPr>
                <w:b/>
                <w:noProof/>
              </w:rPr>
            </w:pPr>
          </w:p>
        </w:tc>
        <w:tc>
          <w:tcPr>
            <w:tcW w:w="3959" w:type="dxa"/>
            <w:vMerge/>
            <w:tcBorders>
              <w:top w:val="single" w:sz="4" w:space="0" w:color="auto"/>
              <w:left w:val="single" w:sz="4" w:space="0" w:color="auto"/>
              <w:bottom w:val="single" w:sz="4" w:space="0" w:color="auto"/>
              <w:right w:val="single" w:sz="4" w:space="0" w:color="auto"/>
            </w:tcBorders>
            <w:vAlign w:val="center"/>
            <w:hideMark/>
          </w:tcPr>
          <w:p w14:paraId="46053005" w14:textId="77777777" w:rsidR="00154E32" w:rsidRDefault="00154E32">
            <w:pPr>
              <w:rPr>
                <w:b/>
                <w:noProof/>
              </w:rPr>
            </w:pPr>
          </w:p>
        </w:tc>
      </w:tr>
      <w:tr w:rsidR="00154E32" w14:paraId="6403CEE5"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0FA0429E" w14:textId="77777777" w:rsidR="00154E32" w:rsidRDefault="00A43E04">
            <w:pPr>
              <w:pStyle w:val="P68B1DB1-Normal12"/>
              <w:jc w:val="center"/>
              <w:rPr>
                <w:noProof/>
              </w:rPr>
            </w:pPr>
            <w:r>
              <w:rPr>
                <w:noProof/>
              </w:rPr>
              <w:t>M4C1–7</w:t>
            </w:r>
          </w:p>
        </w:tc>
        <w:tc>
          <w:tcPr>
            <w:tcW w:w="3150" w:type="dxa"/>
            <w:tcBorders>
              <w:top w:val="single" w:sz="4" w:space="0" w:color="auto"/>
              <w:left w:val="nil"/>
              <w:bottom w:val="single" w:sz="4" w:space="0" w:color="auto"/>
              <w:right w:val="single" w:sz="4" w:space="0" w:color="auto"/>
            </w:tcBorders>
            <w:shd w:val="clear" w:color="auto" w:fill="C6EFCE"/>
            <w:noWrap/>
            <w:vAlign w:val="center"/>
          </w:tcPr>
          <w:p w14:paraId="12284DEA" w14:textId="77777777" w:rsidR="00154E32" w:rsidRDefault="00A43E04">
            <w:pPr>
              <w:pStyle w:val="P68B1DB1-Normal12"/>
              <w:jc w:val="center"/>
              <w:rPr>
                <w:noProof/>
              </w:rPr>
            </w:pPr>
            <w:r>
              <w:rPr>
                <w:noProof/>
              </w:rPr>
              <w:t>Naložba 1.4: Izredni ukrepi za zmanjšanje teritorialnih vrzeli v I in II srednješolskih ciklih ter za odpravo osipa v šolah</w:t>
            </w:r>
          </w:p>
        </w:tc>
        <w:tc>
          <w:tcPr>
            <w:tcW w:w="1425" w:type="dxa"/>
            <w:tcBorders>
              <w:top w:val="single" w:sz="4" w:space="0" w:color="auto"/>
              <w:left w:val="nil"/>
              <w:bottom w:val="single" w:sz="4" w:space="0" w:color="auto"/>
              <w:right w:val="single" w:sz="4" w:space="0" w:color="auto"/>
            </w:tcBorders>
            <w:shd w:val="clear" w:color="auto" w:fill="C6EFCE"/>
            <w:noWrap/>
            <w:vAlign w:val="center"/>
          </w:tcPr>
          <w:p w14:paraId="2F41CB6C" w14:textId="77777777" w:rsidR="00154E32" w:rsidRDefault="00A43E04">
            <w:pPr>
              <w:pStyle w:val="P68B1DB1-Normal12"/>
              <w:jc w:val="center"/>
              <w:rPr>
                <w:noProof/>
              </w:rPr>
            </w:pPr>
            <w:r>
              <w:rPr>
                <w:noProof/>
              </w:rPr>
              <w:t>Tarča</w:t>
            </w:r>
          </w:p>
        </w:tc>
        <w:tc>
          <w:tcPr>
            <w:tcW w:w="3959" w:type="dxa"/>
            <w:tcBorders>
              <w:top w:val="single" w:sz="4" w:space="0" w:color="auto"/>
              <w:left w:val="nil"/>
              <w:bottom w:val="single" w:sz="4" w:space="0" w:color="auto"/>
              <w:right w:val="single" w:sz="4" w:space="0" w:color="auto"/>
            </w:tcBorders>
            <w:shd w:val="clear" w:color="auto" w:fill="C6EFCE"/>
            <w:noWrap/>
            <w:vAlign w:val="center"/>
          </w:tcPr>
          <w:p w14:paraId="0A25B7AB" w14:textId="77777777" w:rsidR="00154E32" w:rsidRDefault="00A43E04">
            <w:pPr>
              <w:pStyle w:val="P68B1DB1-Normal12"/>
              <w:rPr>
                <w:noProof/>
              </w:rPr>
            </w:pPr>
            <w:r>
              <w:rPr>
                <w:noProof/>
              </w:rPr>
              <w:t>Študenti ali mladi, ki so sodelovali v mentorskih dejavnostih ali tečajih usposabljanja</w:t>
            </w:r>
          </w:p>
        </w:tc>
      </w:tr>
      <w:tr w:rsidR="00154E32" w14:paraId="28EAAE7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12514BE" w14:textId="77777777" w:rsidR="00154E32" w:rsidRDefault="00A43E04">
            <w:pPr>
              <w:pStyle w:val="P68B1DB1-Normal12"/>
              <w:jc w:val="center"/>
              <w:rPr>
                <w:noProof/>
              </w:rPr>
            </w:pPr>
            <w:r>
              <w:rPr>
                <w:noProof/>
              </w:rPr>
              <w:t>M4C1–14 bis</w:t>
            </w:r>
          </w:p>
        </w:tc>
        <w:tc>
          <w:tcPr>
            <w:tcW w:w="3150" w:type="dxa"/>
            <w:tcBorders>
              <w:top w:val="nil"/>
              <w:left w:val="nil"/>
              <w:bottom w:val="single" w:sz="4" w:space="0" w:color="auto"/>
              <w:right w:val="single" w:sz="4" w:space="0" w:color="auto"/>
            </w:tcBorders>
            <w:shd w:val="clear" w:color="auto" w:fill="C6EFCE"/>
            <w:noWrap/>
            <w:vAlign w:val="center"/>
          </w:tcPr>
          <w:p w14:paraId="06995F92" w14:textId="77777777" w:rsidR="00154E32" w:rsidRDefault="00A43E04">
            <w:pPr>
              <w:pStyle w:val="P68B1DB1-Normal12"/>
              <w:jc w:val="center"/>
              <w:rPr>
                <w:noProof/>
              </w:rPr>
            </w:pPr>
            <w:r>
              <w:rPr>
                <w:noProof/>
              </w:rPr>
              <w:t xml:space="preserve">Reforma 2.1: Zaposlovanje učiteljev   </w:t>
            </w:r>
          </w:p>
        </w:tc>
        <w:tc>
          <w:tcPr>
            <w:tcW w:w="1425" w:type="dxa"/>
            <w:tcBorders>
              <w:top w:val="nil"/>
              <w:left w:val="nil"/>
              <w:bottom w:val="single" w:sz="4" w:space="0" w:color="auto"/>
              <w:right w:val="single" w:sz="4" w:space="0" w:color="auto"/>
            </w:tcBorders>
            <w:shd w:val="clear" w:color="auto" w:fill="C6EFCE"/>
            <w:noWrap/>
            <w:vAlign w:val="center"/>
          </w:tcPr>
          <w:p w14:paraId="44F40D67" w14:textId="77777777" w:rsidR="00154E32" w:rsidRDefault="00A43E04">
            <w:pPr>
              <w:pStyle w:val="P68B1DB1-Normal12"/>
              <w:jc w:val="center"/>
              <w:rPr>
                <w:noProof/>
              </w:rPr>
            </w:pPr>
            <w:r>
              <w:rPr>
                <w:noProof/>
              </w:rPr>
              <w:t xml:space="preserve">Tarča </w:t>
            </w:r>
          </w:p>
        </w:tc>
        <w:tc>
          <w:tcPr>
            <w:tcW w:w="3959" w:type="dxa"/>
            <w:tcBorders>
              <w:top w:val="nil"/>
              <w:left w:val="nil"/>
              <w:bottom w:val="single" w:sz="4" w:space="0" w:color="auto"/>
              <w:right w:val="single" w:sz="4" w:space="0" w:color="auto"/>
            </w:tcBorders>
            <w:shd w:val="clear" w:color="auto" w:fill="C6EFCE"/>
            <w:noWrap/>
            <w:vAlign w:val="center"/>
          </w:tcPr>
          <w:p w14:paraId="61B2F194" w14:textId="77777777" w:rsidR="00154E32" w:rsidRDefault="00A43E04">
            <w:pPr>
              <w:pStyle w:val="P68B1DB1-Normal12"/>
              <w:rPr>
                <w:noProof/>
              </w:rPr>
            </w:pPr>
            <w:r>
              <w:rPr>
                <w:noProof/>
              </w:rPr>
              <w:t>Učitelji, zaposleni v prenovljenem sistemu zaposlovanja</w:t>
            </w:r>
          </w:p>
        </w:tc>
      </w:tr>
      <w:tr w:rsidR="00154E32" w14:paraId="71D3873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E33835D" w14:textId="77777777" w:rsidR="00154E32" w:rsidRDefault="00A43E04">
            <w:pPr>
              <w:pStyle w:val="P68B1DB1-Normal12"/>
              <w:jc w:val="center"/>
              <w:rPr>
                <w:noProof/>
              </w:rPr>
            </w:pPr>
            <w:r>
              <w:rPr>
                <w:noProof/>
              </w:rPr>
              <w:t>M7–6</w:t>
            </w:r>
          </w:p>
        </w:tc>
        <w:tc>
          <w:tcPr>
            <w:tcW w:w="3150" w:type="dxa"/>
            <w:tcBorders>
              <w:top w:val="nil"/>
              <w:left w:val="nil"/>
              <w:bottom w:val="single" w:sz="4" w:space="0" w:color="auto"/>
              <w:right w:val="single" w:sz="4" w:space="0" w:color="auto"/>
            </w:tcBorders>
            <w:shd w:val="clear" w:color="auto" w:fill="C6EFCE"/>
            <w:noWrap/>
            <w:vAlign w:val="center"/>
          </w:tcPr>
          <w:p w14:paraId="29435DDB" w14:textId="77777777" w:rsidR="00154E32" w:rsidRDefault="00A43E04">
            <w:pPr>
              <w:pStyle w:val="P68B1DB1-Normal12"/>
              <w:rPr>
                <w:noProof/>
              </w:rPr>
            </w:pPr>
            <w:r>
              <w:rPr>
                <w:noProof/>
              </w:rPr>
              <w:t>Reforma 3: Znižanje stroškov priključitve biometana na plinsko omrežje</w:t>
            </w:r>
          </w:p>
        </w:tc>
        <w:tc>
          <w:tcPr>
            <w:tcW w:w="1425" w:type="dxa"/>
            <w:tcBorders>
              <w:top w:val="nil"/>
              <w:left w:val="nil"/>
              <w:bottom w:val="single" w:sz="4" w:space="0" w:color="auto"/>
              <w:right w:val="single" w:sz="4" w:space="0" w:color="auto"/>
            </w:tcBorders>
            <w:shd w:val="clear" w:color="auto" w:fill="C6EFCE"/>
            <w:noWrap/>
            <w:vAlign w:val="center"/>
          </w:tcPr>
          <w:p w14:paraId="18745096" w14:textId="77777777" w:rsidR="00154E32" w:rsidRDefault="00A43E04">
            <w:pPr>
              <w:pStyle w:val="P68B1DB1-Normal12"/>
              <w:jc w:val="center"/>
              <w:rPr>
                <w:noProof/>
              </w:rPr>
            </w:pPr>
            <w:r>
              <w:rPr>
                <w:noProof/>
              </w:rPr>
              <w:t>Mejnik</w:t>
            </w:r>
          </w:p>
        </w:tc>
        <w:tc>
          <w:tcPr>
            <w:tcW w:w="3959" w:type="dxa"/>
            <w:tcBorders>
              <w:top w:val="nil"/>
              <w:left w:val="nil"/>
              <w:bottom w:val="single" w:sz="4" w:space="0" w:color="auto"/>
              <w:right w:val="single" w:sz="4" w:space="0" w:color="auto"/>
            </w:tcBorders>
            <w:shd w:val="clear" w:color="auto" w:fill="C6EFCE"/>
            <w:noWrap/>
            <w:vAlign w:val="center"/>
          </w:tcPr>
          <w:p w14:paraId="41443C8B" w14:textId="77777777" w:rsidR="00154E32" w:rsidRDefault="00A43E04">
            <w:pPr>
              <w:pStyle w:val="P68B1DB1-Normal12"/>
              <w:rPr>
                <w:noProof/>
              </w:rPr>
            </w:pPr>
            <w:r>
              <w:rPr>
                <w:noProof/>
              </w:rPr>
              <w:t xml:space="preserve">Začetek veljavnosti zakonodaje za zmanjšanje stroškov priključitve obratov za proizvodnjo biometana na plinsko omrežje </w:t>
            </w:r>
          </w:p>
        </w:tc>
      </w:tr>
      <w:tr w:rsidR="00154E32" w14:paraId="33BCF2F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AF770AB" w14:textId="77777777" w:rsidR="00154E32" w:rsidRDefault="00A43E04">
            <w:pPr>
              <w:pStyle w:val="P68B1DB1-Normal12"/>
              <w:jc w:val="center"/>
              <w:rPr>
                <w:noProof/>
              </w:rPr>
            </w:pPr>
            <w:r>
              <w:rPr>
                <w:noProof/>
              </w:rPr>
              <w:t>M7–10</w:t>
            </w:r>
          </w:p>
        </w:tc>
        <w:tc>
          <w:tcPr>
            <w:tcW w:w="3150" w:type="dxa"/>
            <w:tcBorders>
              <w:top w:val="nil"/>
              <w:left w:val="nil"/>
              <w:bottom w:val="single" w:sz="4" w:space="0" w:color="auto"/>
              <w:right w:val="single" w:sz="4" w:space="0" w:color="auto"/>
            </w:tcBorders>
            <w:shd w:val="clear" w:color="auto" w:fill="C6EFCE"/>
            <w:noWrap/>
            <w:vAlign w:val="center"/>
          </w:tcPr>
          <w:p w14:paraId="61AA3DBD" w14:textId="77777777" w:rsidR="00154E32" w:rsidRDefault="00A43E04">
            <w:pPr>
              <w:pStyle w:val="P68B1DB1-Normal12"/>
              <w:rPr>
                <w:noProof/>
              </w:rPr>
            </w:pPr>
            <w:r>
              <w:rPr>
                <w:noProof/>
              </w:rPr>
              <w:t>Reforma 5: Načrt za nova znanja in spretnosti – prehodi</w:t>
            </w:r>
          </w:p>
        </w:tc>
        <w:tc>
          <w:tcPr>
            <w:tcW w:w="1425" w:type="dxa"/>
            <w:tcBorders>
              <w:top w:val="nil"/>
              <w:left w:val="nil"/>
              <w:bottom w:val="single" w:sz="4" w:space="0" w:color="auto"/>
              <w:right w:val="single" w:sz="4" w:space="0" w:color="auto"/>
            </w:tcBorders>
            <w:shd w:val="clear" w:color="auto" w:fill="C6EFCE"/>
            <w:noWrap/>
            <w:vAlign w:val="center"/>
          </w:tcPr>
          <w:p w14:paraId="5B0F71E5" w14:textId="77777777" w:rsidR="00154E32" w:rsidRDefault="00A43E04">
            <w:pPr>
              <w:pStyle w:val="P68B1DB1-Normal12"/>
              <w:jc w:val="center"/>
              <w:rPr>
                <w:noProof/>
              </w:rPr>
            </w:pPr>
            <w:r>
              <w:rPr>
                <w:noProof/>
              </w:rPr>
              <w:t>Mejnik</w:t>
            </w:r>
          </w:p>
        </w:tc>
        <w:tc>
          <w:tcPr>
            <w:tcW w:w="3959" w:type="dxa"/>
            <w:tcBorders>
              <w:top w:val="nil"/>
              <w:left w:val="nil"/>
              <w:bottom w:val="single" w:sz="4" w:space="0" w:color="auto"/>
              <w:right w:val="single" w:sz="4" w:space="0" w:color="auto"/>
            </w:tcBorders>
            <w:shd w:val="clear" w:color="auto" w:fill="C6EFCE"/>
            <w:noWrap/>
            <w:vAlign w:val="center"/>
          </w:tcPr>
          <w:p w14:paraId="7A915027" w14:textId="77777777" w:rsidR="00154E32" w:rsidRDefault="00A43E04">
            <w:pPr>
              <w:pStyle w:val="P68B1DB1-Normal12"/>
              <w:rPr>
                <w:noProof/>
              </w:rPr>
            </w:pPr>
            <w:r>
              <w:rPr>
                <w:noProof/>
              </w:rPr>
              <w:t>Začetek veljavnosti regionalnih zakonov</w:t>
            </w:r>
          </w:p>
        </w:tc>
      </w:tr>
      <w:tr w:rsidR="00154E32" w14:paraId="4A56868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2C0A3F2" w14:textId="77777777" w:rsidR="00154E32" w:rsidRDefault="00A43E04">
            <w:pPr>
              <w:pStyle w:val="P68B1DB1-Normal12"/>
              <w:jc w:val="center"/>
              <w:rPr>
                <w:noProof/>
              </w:rPr>
            </w:pPr>
            <w:r>
              <w:rPr>
                <w:noProof/>
              </w:rPr>
              <w:t>M7–18</w:t>
            </w:r>
          </w:p>
        </w:tc>
        <w:tc>
          <w:tcPr>
            <w:tcW w:w="3150" w:type="dxa"/>
            <w:tcBorders>
              <w:top w:val="nil"/>
              <w:left w:val="nil"/>
              <w:bottom w:val="single" w:sz="4" w:space="0" w:color="auto"/>
              <w:right w:val="single" w:sz="4" w:space="0" w:color="auto"/>
            </w:tcBorders>
            <w:shd w:val="clear" w:color="auto" w:fill="C6EFCE"/>
            <w:noWrap/>
            <w:vAlign w:val="center"/>
          </w:tcPr>
          <w:p w14:paraId="635E750C" w14:textId="77777777" w:rsidR="00154E32" w:rsidRDefault="00A43E04">
            <w:pPr>
              <w:pStyle w:val="P68B1DB1-Normal12"/>
              <w:rPr>
                <w:noProof/>
              </w:rPr>
            </w:pPr>
            <w:r>
              <w:rPr>
                <w:noProof/>
              </w:rPr>
              <w:t>Naložba 6: Projekti čezmejnih elektroenergetskih povezav med Italijo in sosednjimi državami</w:t>
            </w:r>
          </w:p>
        </w:tc>
        <w:tc>
          <w:tcPr>
            <w:tcW w:w="1425" w:type="dxa"/>
            <w:tcBorders>
              <w:top w:val="nil"/>
              <w:left w:val="nil"/>
              <w:bottom w:val="single" w:sz="4" w:space="0" w:color="auto"/>
              <w:right w:val="single" w:sz="4" w:space="0" w:color="auto"/>
            </w:tcBorders>
            <w:shd w:val="clear" w:color="auto" w:fill="C6EFCE"/>
            <w:noWrap/>
            <w:vAlign w:val="center"/>
          </w:tcPr>
          <w:p w14:paraId="39BD2A32" w14:textId="77777777" w:rsidR="00154E32" w:rsidRDefault="00A43E04">
            <w:pPr>
              <w:pStyle w:val="P68B1DB1-Normal12"/>
              <w:jc w:val="center"/>
              <w:rPr>
                <w:noProof/>
              </w:rPr>
            </w:pPr>
            <w:r>
              <w:rPr>
                <w:noProof/>
              </w:rPr>
              <w:t>Mejnik</w:t>
            </w:r>
          </w:p>
        </w:tc>
        <w:tc>
          <w:tcPr>
            <w:tcW w:w="3959" w:type="dxa"/>
            <w:tcBorders>
              <w:top w:val="nil"/>
              <w:left w:val="nil"/>
              <w:bottom w:val="single" w:sz="4" w:space="0" w:color="auto"/>
              <w:right w:val="single" w:sz="4" w:space="0" w:color="auto"/>
            </w:tcBorders>
            <w:shd w:val="clear" w:color="auto" w:fill="C6EFCE"/>
            <w:noWrap/>
            <w:vAlign w:val="center"/>
          </w:tcPr>
          <w:p w14:paraId="29089C07" w14:textId="77777777" w:rsidR="00154E32" w:rsidRDefault="00A43E04">
            <w:pPr>
              <w:pStyle w:val="P68B1DB1-Normal12"/>
              <w:rPr>
                <w:noProof/>
              </w:rPr>
            </w:pPr>
            <w:r>
              <w:rPr>
                <w:noProof/>
              </w:rPr>
              <w:t>Oddaja naročil za gradnjo povezovalnega daljnovoda Italija-Avstrija „Somplago-Würmlach“</w:t>
            </w:r>
          </w:p>
        </w:tc>
      </w:tr>
      <w:tr w:rsidR="00154E32" w14:paraId="62C6906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4745FB4" w14:textId="77777777" w:rsidR="00154E32" w:rsidRDefault="00A43E04">
            <w:pPr>
              <w:pStyle w:val="P68B1DB1-Normal12"/>
              <w:jc w:val="center"/>
              <w:rPr>
                <w:noProof/>
              </w:rPr>
            </w:pPr>
            <w:r>
              <w:rPr>
                <w:noProof/>
              </w:rPr>
              <w:t>M1C1–24</w:t>
            </w:r>
          </w:p>
        </w:tc>
        <w:tc>
          <w:tcPr>
            <w:tcW w:w="3150" w:type="dxa"/>
            <w:tcBorders>
              <w:top w:val="nil"/>
              <w:left w:val="nil"/>
              <w:bottom w:val="single" w:sz="4" w:space="0" w:color="auto"/>
              <w:right w:val="single" w:sz="4" w:space="0" w:color="auto"/>
            </w:tcBorders>
            <w:shd w:val="clear" w:color="auto" w:fill="C6EFCE"/>
            <w:noWrap/>
            <w:vAlign w:val="center"/>
          </w:tcPr>
          <w:p w14:paraId="2F887B18" w14:textId="77777777" w:rsidR="00154E32" w:rsidRDefault="00A43E04">
            <w:pPr>
              <w:pStyle w:val="P68B1DB1-Normal12"/>
              <w:jc w:val="center"/>
              <w:rPr>
                <w:noProof/>
              </w:rPr>
            </w:pPr>
            <w:r>
              <w:rPr>
                <w:noProof/>
              </w:rPr>
              <w:t>Naložba 1.7.1: Digitalna javna uprava</w:t>
            </w:r>
          </w:p>
        </w:tc>
        <w:tc>
          <w:tcPr>
            <w:tcW w:w="1425" w:type="dxa"/>
            <w:tcBorders>
              <w:top w:val="nil"/>
              <w:left w:val="nil"/>
              <w:bottom w:val="single" w:sz="4" w:space="0" w:color="auto"/>
              <w:right w:val="single" w:sz="4" w:space="0" w:color="auto"/>
            </w:tcBorders>
            <w:shd w:val="clear" w:color="auto" w:fill="C6EFCE"/>
            <w:noWrap/>
            <w:vAlign w:val="center"/>
          </w:tcPr>
          <w:p w14:paraId="21E7278E"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3BE53247" w14:textId="77777777" w:rsidR="00154E32" w:rsidRDefault="00A43E04">
            <w:pPr>
              <w:pStyle w:val="P68B1DB1-Normal12"/>
              <w:rPr>
                <w:noProof/>
              </w:rPr>
            </w:pPr>
            <w:r>
              <w:rPr>
                <w:noProof/>
              </w:rPr>
              <w:t xml:space="preserve">Državljani, ki sodelujejo v pobudah za digitalno izobraževanje in/ali pomoč, ki jih zagotavljajo organizacije, vpisane v nacionalni register organizacij za univerzalno javno službo </w:t>
            </w:r>
          </w:p>
        </w:tc>
      </w:tr>
      <w:tr w:rsidR="00154E32" w14:paraId="06ED82E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69EAB9D" w14:textId="77777777" w:rsidR="00154E32" w:rsidRDefault="00A43E04">
            <w:pPr>
              <w:pStyle w:val="P68B1DB1-Normal12"/>
              <w:jc w:val="center"/>
              <w:rPr>
                <w:noProof/>
              </w:rPr>
            </w:pPr>
            <w:r>
              <w:rPr>
                <w:noProof/>
              </w:rPr>
              <w:t>M1C1–96</w:t>
            </w:r>
          </w:p>
        </w:tc>
        <w:tc>
          <w:tcPr>
            <w:tcW w:w="3150" w:type="dxa"/>
            <w:tcBorders>
              <w:top w:val="nil"/>
              <w:left w:val="nil"/>
              <w:bottom w:val="single" w:sz="4" w:space="0" w:color="auto"/>
              <w:right w:val="single" w:sz="4" w:space="0" w:color="auto"/>
            </w:tcBorders>
            <w:shd w:val="clear" w:color="auto" w:fill="C6EFCE"/>
            <w:noWrap/>
            <w:vAlign w:val="center"/>
          </w:tcPr>
          <w:p w14:paraId="402A8AF7" w14:textId="77777777" w:rsidR="00154E32" w:rsidRDefault="00A43E04">
            <w:pPr>
              <w:pStyle w:val="P68B1DB1-Normal12"/>
              <w:jc w:val="center"/>
              <w:rPr>
                <w:noProof/>
              </w:rPr>
            </w:pPr>
            <w:r>
              <w:rPr>
                <w:noProof/>
              </w:rPr>
              <w:t>Reforma 1.10: Reforma zakonodajnega okvira za javna naročila</w:t>
            </w:r>
          </w:p>
        </w:tc>
        <w:tc>
          <w:tcPr>
            <w:tcW w:w="1425" w:type="dxa"/>
            <w:tcBorders>
              <w:top w:val="nil"/>
              <w:left w:val="nil"/>
              <w:bottom w:val="single" w:sz="4" w:space="0" w:color="auto"/>
              <w:right w:val="single" w:sz="4" w:space="0" w:color="auto"/>
            </w:tcBorders>
            <w:shd w:val="clear" w:color="auto" w:fill="C6EFCE"/>
            <w:noWrap/>
            <w:vAlign w:val="center"/>
          </w:tcPr>
          <w:p w14:paraId="3B21F2FB"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20736B71" w14:textId="77777777" w:rsidR="00154E32" w:rsidRDefault="00A43E04">
            <w:pPr>
              <w:pStyle w:val="P68B1DB1-Normal12"/>
              <w:rPr>
                <w:noProof/>
              </w:rPr>
            </w:pPr>
            <w:r>
              <w:rPr>
                <w:noProof/>
              </w:rPr>
              <w:t>Povprečni čas med objavo in oddajo naročila</w:t>
            </w:r>
          </w:p>
        </w:tc>
      </w:tr>
      <w:tr w:rsidR="00154E32" w14:paraId="1A4EB74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0C2A763" w14:textId="77777777" w:rsidR="00154E32" w:rsidRDefault="00A43E04">
            <w:pPr>
              <w:pStyle w:val="P68B1DB1-Normal12"/>
              <w:jc w:val="center"/>
              <w:rPr>
                <w:noProof/>
              </w:rPr>
            </w:pPr>
            <w:r>
              <w:rPr>
                <w:noProof/>
              </w:rPr>
              <w:t>M1C1–97a</w:t>
            </w:r>
          </w:p>
        </w:tc>
        <w:tc>
          <w:tcPr>
            <w:tcW w:w="3150" w:type="dxa"/>
            <w:tcBorders>
              <w:top w:val="nil"/>
              <w:left w:val="nil"/>
              <w:bottom w:val="single" w:sz="4" w:space="0" w:color="auto"/>
              <w:right w:val="single" w:sz="4" w:space="0" w:color="auto"/>
            </w:tcBorders>
            <w:shd w:val="clear" w:color="auto" w:fill="C6EFCE"/>
            <w:noWrap/>
            <w:vAlign w:val="center"/>
          </w:tcPr>
          <w:p w14:paraId="269C5CE7" w14:textId="77777777" w:rsidR="00154E32" w:rsidRDefault="00A43E04">
            <w:pPr>
              <w:pStyle w:val="P68B1DB1-Normal12"/>
              <w:jc w:val="center"/>
              <w:rPr>
                <w:noProof/>
              </w:rPr>
            </w:pPr>
            <w:r>
              <w:rPr>
                <w:noProof/>
              </w:rPr>
              <w:t>Reforma 1.10: Reforma zakonodajnega okvira za javna naročila</w:t>
            </w:r>
          </w:p>
        </w:tc>
        <w:tc>
          <w:tcPr>
            <w:tcW w:w="1425" w:type="dxa"/>
            <w:tcBorders>
              <w:top w:val="nil"/>
              <w:left w:val="nil"/>
              <w:bottom w:val="single" w:sz="4" w:space="0" w:color="auto"/>
              <w:right w:val="single" w:sz="4" w:space="0" w:color="auto"/>
            </w:tcBorders>
            <w:shd w:val="clear" w:color="auto" w:fill="C6EFCE"/>
            <w:noWrap/>
            <w:vAlign w:val="center"/>
          </w:tcPr>
          <w:p w14:paraId="57A4DEE3"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6B07838D" w14:textId="77777777" w:rsidR="00154E32" w:rsidRDefault="00A43E04">
            <w:pPr>
              <w:pStyle w:val="P68B1DB1-Normal12"/>
              <w:rPr>
                <w:noProof/>
              </w:rPr>
            </w:pPr>
            <w:r>
              <w:rPr>
                <w:noProof/>
              </w:rPr>
              <w:t>Povprečni čas med oddajo naročila in izgradnjo infrastrukture</w:t>
            </w:r>
          </w:p>
        </w:tc>
      </w:tr>
      <w:tr w:rsidR="00154E32" w14:paraId="50C4D25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8DAE135" w14:textId="77777777" w:rsidR="00154E32" w:rsidRDefault="00A43E04">
            <w:pPr>
              <w:pStyle w:val="P68B1DB1-Normal12"/>
              <w:jc w:val="center"/>
              <w:rPr>
                <w:noProof/>
              </w:rPr>
            </w:pPr>
            <w:r>
              <w:rPr>
                <w:noProof/>
              </w:rPr>
              <w:t>M1C1–98a</w:t>
            </w:r>
          </w:p>
        </w:tc>
        <w:tc>
          <w:tcPr>
            <w:tcW w:w="3150" w:type="dxa"/>
            <w:tcBorders>
              <w:top w:val="nil"/>
              <w:left w:val="nil"/>
              <w:bottom w:val="single" w:sz="4" w:space="0" w:color="auto"/>
              <w:right w:val="single" w:sz="4" w:space="0" w:color="auto"/>
            </w:tcBorders>
            <w:shd w:val="clear" w:color="auto" w:fill="C6EFCE"/>
            <w:noWrap/>
            <w:vAlign w:val="center"/>
          </w:tcPr>
          <w:p w14:paraId="5FFE9F18" w14:textId="77777777" w:rsidR="00154E32" w:rsidRDefault="00A43E04">
            <w:pPr>
              <w:pStyle w:val="P68B1DB1-Normal12"/>
              <w:jc w:val="center"/>
              <w:rPr>
                <w:noProof/>
              </w:rPr>
            </w:pPr>
            <w:r>
              <w:rPr>
                <w:noProof/>
              </w:rPr>
              <w:t>Reforma 1.10: Reforma zakonodajnega okvira za javna naročila</w:t>
            </w:r>
          </w:p>
        </w:tc>
        <w:tc>
          <w:tcPr>
            <w:tcW w:w="1425" w:type="dxa"/>
            <w:tcBorders>
              <w:top w:val="nil"/>
              <w:left w:val="nil"/>
              <w:bottom w:val="single" w:sz="4" w:space="0" w:color="auto"/>
              <w:right w:val="single" w:sz="4" w:space="0" w:color="auto"/>
            </w:tcBorders>
            <w:shd w:val="clear" w:color="auto" w:fill="C6EFCE"/>
            <w:noWrap/>
            <w:vAlign w:val="center"/>
          </w:tcPr>
          <w:p w14:paraId="462A4AB0"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5F801C26" w14:textId="77777777" w:rsidR="00154E32" w:rsidRDefault="00A43E04">
            <w:pPr>
              <w:pStyle w:val="P68B1DB1-Normal12"/>
              <w:rPr>
                <w:noProof/>
              </w:rPr>
            </w:pPr>
            <w:r>
              <w:rPr>
                <w:noProof/>
              </w:rPr>
              <w:t>Javni uslužbenci, usposobljeni v okviru strategije za profesionalizacijo javnih kupcev</w:t>
            </w:r>
          </w:p>
        </w:tc>
      </w:tr>
      <w:tr w:rsidR="00154E32" w14:paraId="7FB22F7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9C55893" w14:textId="77777777" w:rsidR="00154E32" w:rsidRDefault="00A43E04">
            <w:pPr>
              <w:pStyle w:val="P68B1DB1-Normal12"/>
              <w:jc w:val="center"/>
              <w:rPr>
                <w:noProof/>
              </w:rPr>
            </w:pPr>
            <w:r>
              <w:rPr>
                <w:noProof/>
              </w:rPr>
              <w:t>M1C1–99a</w:t>
            </w:r>
          </w:p>
        </w:tc>
        <w:tc>
          <w:tcPr>
            <w:tcW w:w="3150" w:type="dxa"/>
            <w:tcBorders>
              <w:top w:val="nil"/>
              <w:left w:val="nil"/>
              <w:bottom w:val="single" w:sz="4" w:space="0" w:color="auto"/>
              <w:right w:val="single" w:sz="4" w:space="0" w:color="auto"/>
            </w:tcBorders>
            <w:shd w:val="clear" w:color="auto" w:fill="C6EFCE"/>
            <w:noWrap/>
            <w:vAlign w:val="center"/>
          </w:tcPr>
          <w:p w14:paraId="12E3CF81" w14:textId="77777777" w:rsidR="00154E32" w:rsidRDefault="00A43E04">
            <w:pPr>
              <w:pStyle w:val="P68B1DB1-Normal12"/>
              <w:jc w:val="center"/>
              <w:rPr>
                <w:noProof/>
              </w:rPr>
            </w:pPr>
            <w:r>
              <w:rPr>
                <w:noProof/>
              </w:rPr>
              <w:t>Reforma 1.10: Reforma zakonodajnega okvira za javna naročila Naložba 1.10: Podpora kvalifikacijam in e-javnim naročilom</w:t>
            </w:r>
          </w:p>
        </w:tc>
        <w:tc>
          <w:tcPr>
            <w:tcW w:w="1425" w:type="dxa"/>
            <w:tcBorders>
              <w:top w:val="nil"/>
              <w:left w:val="nil"/>
              <w:bottom w:val="single" w:sz="4" w:space="0" w:color="auto"/>
              <w:right w:val="single" w:sz="4" w:space="0" w:color="auto"/>
            </w:tcBorders>
            <w:shd w:val="clear" w:color="auto" w:fill="C6EFCE"/>
            <w:noWrap/>
            <w:vAlign w:val="center"/>
          </w:tcPr>
          <w:p w14:paraId="489C4202"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2D9D1EC5" w14:textId="77777777" w:rsidR="00154E32" w:rsidRDefault="00A43E04">
            <w:pPr>
              <w:pStyle w:val="P68B1DB1-Normal12"/>
              <w:rPr>
                <w:noProof/>
              </w:rPr>
            </w:pPr>
            <w:r>
              <w:rPr>
                <w:noProof/>
              </w:rPr>
              <w:t xml:space="preserve">Digitalne kompetence javnih naročnikov </w:t>
            </w:r>
          </w:p>
        </w:tc>
      </w:tr>
      <w:tr w:rsidR="00154E32" w14:paraId="2996BCC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1D33E58" w14:textId="77777777" w:rsidR="00154E32" w:rsidRDefault="00A43E04">
            <w:pPr>
              <w:pStyle w:val="P68B1DB1-Normal12"/>
              <w:jc w:val="center"/>
              <w:rPr>
                <w:noProof/>
              </w:rPr>
            </w:pPr>
            <w:r>
              <w:rPr>
                <w:noProof/>
              </w:rPr>
              <w:t>M1C1–116</w:t>
            </w:r>
          </w:p>
        </w:tc>
        <w:tc>
          <w:tcPr>
            <w:tcW w:w="3150" w:type="dxa"/>
            <w:tcBorders>
              <w:top w:val="nil"/>
              <w:left w:val="nil"/>
              <w:bottom w:val="single" w:sz="4" w:space="0" w:color="auto"/>
              <w:right w:val="single" w:sz="4" w:space="0" w:color="auto"/>
            </w:tcBorders>
            <w:shd w:val="clear" w:color="auto" w:fill="C6EFCE"/>
            <w:noWrap/>
            <w:vAlign w:val="center"/>
          </w:tcPr>
          <w:p w14:paraId="500BA1A4" w14:textId="77777777" w:rsidR="00154E32" w:rsidRDefault="00A43E04">
            <w:pPr>
              <w:pStyle w:val="P68B1DB1-Normal12"/>
              <w:jc w:val="center"/>
              <w:rPr>
                <w:noProof/>
              </w:rPr>
            </w:pPr>
            <w:r>
              <w:rPr>
                <w:noProof/>
              </w:rPr>
              <w:t>Reforma 1.12: Reforma davčne uprave</w:t>
            </w:r>
          </w:p>
        </w:tc>
        <w:tc>
          <w:tcPr>
            <w:tcW w:w="1425" w:type="dxa"/>
            <w:tcBorders>
              <w:top w:val="nil"/>
              <w:left w:val="nil"/>
              <w:bottom w:val="single" w:sz="4" w:space="0" w:color="auto"/>
              <w:right w:val="single" w:sz="4" w:space="0" w:color="auto"/>
            </w:tcBorders>
            <w:shd w:val="clear" w:color="auto" w:fill="C6EFCE"/>
            <w:noWrap/>
            <w:vAlign w:val="center"/>
          </w:tcPr>
          <w:p w14:paraId="6944EB2A"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13FE9B41" w14:textId="77777777" w:rsidR="00154E32" w:rsidRDefault="00A43E04">
            <w:pPr>
              <w:pStyle w:val="P68B1DB1-Normal12"/>
              <w:rPr>
                <w:noProof/>
              </w:rPr>
            </w:pPr>
            <w:r>
              <w:rPr>
                <w:noProof/>
              </w:rPr>
              <w:t>Zmanjšanje davčne utaje, kot je opredeljeno s kazalnikom „sorazmernost izogibanja“</w:t>
            </w:r>
          </w:p>
        </w:tc>
      </w:tr>
      <w:tr w:rsidR="00154E32" w14:paraId="080B2E6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6D589B8" w14:textId="77777777" w:rsidR="00154E32" w:rsidRDefault="00A43E04">
            <w:pPr>
              <w:pStyle w:val="P68B1DB1-Normal12"/>
              <w:jc w:val="center"/>
              <w:rPr>
                <w:noProof/>
              </w:rPr>
            </w:pPr>
            <w:r>
              <w:rPr>
                <w:noProof/>
              </w:rPr>
              <w:t>M1C2–5</w:t>
            </w:r>
          </w:p>
        </w:tc>
        <w:tc>
          <w:tcPr>
            <w:tcW w:w="3150" w:type="dxa"/>
            <w:tcBorders>
              <w:top w:val="nil"/>
              <w:left w:val="nil"/>
              <w:bottom w:val="single" w:sz="4" w:space="0" w:color="auto"/>
              <w:right w:val="single" w:sz="4" w:space="0" w:color="auto"/>
            </w:tcBorders>
            <w:shd w:val="clear" w:color="auto" w:fill="C6EFCE"/>
            <w:noWrap/>
            <w:vAlign w:val="center"/>
          </w:tcPr>
          <w:p w14:paraId="191126BF" w14:textId="77777777" w:rsidR="00154E32" w:rsidRDefault="00A43E04">
            <w:pPr>
              <w:pStyle w:val="P68B1DB1-Normal12"/>
              <w:jc w:val="center"/>
              <w:rPr>
                <w:noProof/>
              </w:rPr>
            </w:pPr>
            <w:r>
              <w:rPr>
                <w:noProof/>
              </w:rPr>
              <w:t>Naložba 6: Naložbe v sistem industrijske lastnine</w:t>
            </w:r>
          </w:p>
        </w:tc>
        <w:tc>
          <w:tcPr>
            <w:tcW w:w="1425" w:type="dxa"/>
            <w:tcBorders>
              <w:top w:val="nil"/>
              <w:left w:val="nil"/>
              <w:bottom w:val="single" w:sz="4" w:space="0" w:color="auto"/>
              <w:right w:val="single" w:sz="4" w:space="0" w:color="auto"/>
            </w:tcBorders>
            <w:shd w:val="clear" w:color="auto" w:fill="C6EFCE"/>
            <w:noWrap/>
            <w:vAlign w:val="center"/>
          </w:tcPr>
          <w:p w14:paraId="42082B21"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4E6B5E3D" w14:textId="77777777" w:rsidR="00154E32" w:rsidRDefault="00A43E04">
            <w:pPr>
              <w:pStyle w:val="P68B1DB1-Normal12"/>
              <w:rPr>
                <w:noProof/>
              </w:rPr>
            </w:pPr>
            <w:r>
              <w:rPr>
                <w:noProof/>
              </w:rPr>
              <w:t>Projekti, podprti z možnostmi financiranja, povezanimi z industrijsko lastnino</w:t>
            </w:r>
          </w:p>
        </w:tc>
      </w:tr>
      <w:tr w:rsidR="00154E32" w14:paraId="45A29D0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00073B2" w14:textId="77777777" w:rsidR="00154E32" w:rsidRDefault="00A43E04">
            <w:pPr>
              <w:pStyle w:val="P68B1DB1-Normal12"/>
              <w:jc w:val="center"/>
              <w:rPr>
                <w:noProof/>
              </w:rPr>
            </w:pPr>
            <w:r>
              <w:rPr>
                <w:noProof/>
              </w:rPr>
              <w:t>M1C2–13</w:t>
            </w:r>
          </w:p>
        </w:tc>
        <w:tc>
          <w:tcPr>
            <w:tcW w:w="3150" w:type="dxa"/>
            <w:tcBorders>
              <w:top w:val="nil"/>
              <w:left w:val="nil"/>
              <w:bottom w:val="single" w:sz="4" w:space="0" w:color="auto"/>
              <w:right w:val="single" w:sz="4" w:space="0" w:color="auto"/>
            </w:tcBorders>
            <w:shd w:val="clear" w:color="auto" w:fill="C6EFCE"/>
            <w:noWrap/>
            <w:vAlign w:val="center"/>
          </w:tcPr>
          <w:p w14:paraId="1C634FAE" w14:textId="77777777" w:rsidR="00154E32" w:rsidRDefault="00A43E04">
            <w:pPr>
              <w:pStyle w:val="P68B1DB1-Normal12"/>
              <w:jc w:val="center"/>
              <w:rPr>
                <w:noProof/>
              </w:rPr>
            </w:pPr>
            <w:r>
              <w:rPr>
                <w:noProof/>
              </w:rPr>
              <w:t>Reforma 2: Letna zakonodaja o konkurenci</w:t>
            </w:r>
          </w:p>
        </w:tc>
        <w:tc>
          <w:tcPr>
            <w:tcW w:w="1425" w:type="dxa"/>
            <w:tcBorders>
              <w:top w:val="nil"/>
              <w:left w:val="nil"/>
              <w:bottom w:val="single" w:sz="4" w:space="0" w:color="auto"/>
              <w:right w:val="single" w:sz="4" w:space="0" w:color="auto"/>
            </w:tcBorders>
            <w:shd w:val="clear" w:color="auto" w:fill="C6EFCE"/>
            <w:noWrap/>
            <w:vAlign w:val="center"/>
          </w:tcPr>
          <w:p w14:paraId="28F47BC9" w14:textId="77777777" w:rsidR="00154E32" w:rsidRDefault="00A43E04">
            <w:pPr>
              <w:pStyle w:val="P68B1DB1-Normal12"/>
              <w:jc w:val="center"/>
              <w:rPr>
                <w:noProof/>
              </w:rPr>
            </w:pPr>
            <w:r>
              <w:rPr>
                <w:noProof/>
              </w:rPr>
              <w:t>Mejnik</w:t>
            </w:r>
          </w:p>
        </w:tc>
        <w:tc>
          <w:tcPr>
            <w:tcW w:w="3959" w:type="dxa"/>
            <w:tcBorders>
              <w:top w:val="nil"/>
              <w:left w:val="nil"/>
              <w:bottom w:val="single" w:sz="4" w:space="0" w:color="auto"/>
              <w:right w:val="single" w:sz="4" w:space="0" w:color="auto"/>
            </w:tcBorders>
            <w:shd w:val="clear" w:color="auto" w:fill="C6EFCE"/>
            <w:noWrap/>
            <w:vAlign w:val="center"/>
          </w:tcPr>
          <w:p w14:paraId="463DA2FD" w14:textId="77777777" w:rsidR="00154E32" w:rsidRDefault="00A43E04">
            <w:pPr>
              <w:pStyle w:val="P68B1DB1-Normal12"/>
              <w:rPr>
                <w:noProof/>
              </w:rPr>
            </w:pPr>
            <w:r>
              <w:rPr>
                <w:noProof/>
              </w:rPr>
              <w:t>Začetek veljavnosti letnega zakona o konkurenci za leto 2024</w:t>
            </w:r>
          </w:p>
        </w:tc>
      </w:tr>
      <w:tr w:rsidR="00154E32" w14:paraId="654262B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A6DE1B8" w14:textId="77777777" w:rsidR="00154E32" w:rsidRDefault="00A43E04">
            <w:pPr>
              <w:pStyle w:val="P68B1DB1-Normal12"/>
              <w:jc w:val="center"/>
              <w:rPr>
                <w:noProof/>
              </w:rPr>
            </w:pPr>
            <w:r>
              <w:rPr>
                <w:noProof/>
              </w:rPr>
              <w:t>M1C2–14</w:t>
            </w:r>
          </w:p>
        </w:tc>
        <w:tc>
          <w:tcPr>
            <w:tcW w:w="3150" w:type="dxa"/>
            <w:tcBorders>
              <w:top w:val="nil"/>
              <w:left w:val="nil"/>
              <w:bottom w:val="single" w:sz="4" w:space="0" w:color="auto"/>
              <w:right w:val="single" w:sz="4" w:space="0" w:color="auto"/>
            </w:tcBorders>
            <w:shd w:val="clear" w:color="auto" w:fill="C6EFCE"/>
            <w:noWrap/>
            <w:vAlign w:val="center"/>
          </w:tcPr>
          <w:p w14:paraId="347905B8" w14:textId="77777777" w:rsidR="00154E32" w:rsidRDefault="00A43E04">
            <w:pPr>
              <w:pStyle w:val="P68B1DB1-Normal12"/>
              <w:jc w:val="center"/>
              <w:rPr>
                <w:noProof/>
              </w:rPr>
            </w:pPr>
            <w:r>
              <w:rPr>
                <w:noProof/>
              </w:rPr>
              <w:t>Reforma 2: Letna zakonodaja o konkurenci</w:t>
            </w:r>
          </w:p>
        </w:tc>
        <w:tc>
          <w:tcPr>
            <w:tcW w:w="1425" w:type="dxa"/>
            <w:tcBorders>
              <w:top w:val="nil"/>
              <w:left w:val="nil"/>
              <w:bottom w:val="single" w:sz="4" w:space="0" w:color="auto"/>
              <w:right w:val="single" w:sz="4" w:space="0" w:color="auto"/>
            </w:tcBorders>
            <w:shd w:val="clear" w:color="auto" w:fill="C6EFCE"/>
            <w:noWrap/>
            <w:vAlign w:val="center"/>
          </w:tcPr>
          <w:p w14:paraId="21DD2E53"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3D46EEC2" w14:textId="77777777" w:rsidR="00154E32" w:rsidRDefault="00A43E04">
            <w:pPr>
              <w:pStyle w:val="P68B1DB1-Normal12"/>
              <w:rPr>
                <w:noProof/>
              </w:rPr>
            </w:pPr>
            <w:r>
              <w:rPr>
                <w:noProof/>
              </w:rPr>
              <w:t>Uvedeni milijoni pametnih števcev 2G.</w:t>
            </w:r>
          </w:p>
        </w:tc>
      </w:tr>
      <w:tr w:rsidR="00154E32" w14:paraId="2A14A46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ED0EE74" w14:textId="77777777" w:rsidR="00154E32" w:rsidRDefault="00A43E04">
            <w:pPr>
              <w:pStyle w:val="P68B1DB1-Normal12"/>
              <w:jc w:val="center"/>
              <w:rPr>
                <w:noProof/>
              </w:rPr>
            </w:pPr>
            <w:r>
              <w:rPr>
                <w:noProof/>
              </w:rPr>
              <w:t>M1C3–1</w:t>
            </w:r>
          </w:p>
        </w:tc>
        <w:tc>
          <w:tcPr>
            <w:tcW w:w="3150" w:type="dxa"/>
            <w:tcBorders>
              <w:top w:val="nil"/>
              <w:left w:val="nil"/>
              <w:bottom w:val="single" w:sz="4" w:space="0" w:color="auto"/>
              <w:right w:val="single" w:sz="4" w:space="0" w:color="auto"/>
            </w:tcBorders>
            <w:shd w:val="clear" w:color="auto" w:fill="C6EFCE"/>
            <w:noWrap/>
            <w:vAlign w:val="center"/>
          </w:tcPr>
          <w:p w14:paraId="70589CEC" w14:textId="77777777" w:rsidR="00154E32" w:rsidRDefault="00A43E04">
            <w:pPr>
              <w:pStyle w:val="P68B1DB1-Normal12"/>
              <w:jc w:val="center"/>
              <w:rPr>
                <w:noProof/>
              </w:rPr>
            </w:pPr>
            <w:r>
              <w:rPr>
                <w:noProof/>
              </w:rPr>
              <w:t>Naložba 1.1 Digitalna strategija in platforme za kulturno dediščino</w:t>
            </w:r>
          </w:p>
        </w:tc>
        <w:tc>
          <w:tcPr>
            <w:tcW w:w="1425" w:type="dxa"/>
            <w:tcBorders>
              <w:top w:val="nil"/>
              <w:left w:val="nil"/>
              <w:bottom w:val="single" w:sz="4" w:space="0" w:color="auto"/>
              <w:right w:val="single" w:sz="4" w:space="0" w:color="auto"/>
            </w:tcBorders>
            <w:shd w:val="clear" w:color="auto" w:fill="C6EFCE"/>
            <w:noWrap/>
            <w:vAlign w:val="center"/>
          </w:tcPr>
          <w:p w14:paraId="12890033"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2CD95EC0" w14:textId="77777777" w:rsidR="00154E32" w:rsidRDefault="00A43E04">
            <w:pPr>
              <w:pStyle w:val="P68B1DB1-Normal12"/>
              <w:rPr>
                <w:noProof/>
              </w:rPr>
            </w:pPr>
            <w:r>
              <w:rPr>
                <w:noProof/>
              </w:rPr>
              <w:t>Uporabniki, usposobljeni prek platforme za e-učenje na področju kulturne dediščine</w:t>
            </w:r>
          </w:p>
        </w:tc>
      </w:tr>
      <w:tr w:rsidR="00154E32" w14:paraId="4AEAD20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4F39CD1" w14:textId="77777777" w:rsidR="00154E32" w:rsidRDefault="00A43E04">
            <w:pPr>
              <w:pStyle w:val="P68B1DB1-Normal12"/>
              <w:jc w:val="center"/>
              <w:rPr>
                <w:noProof/>
              </w:rPr>
            </w:pPr>
            <w:r>
              <w:rPr>
                <w:noProof/>
              </w:rPr>
              <w:t>M1C3–2</w:t>
            </w:r>
          </w:p>
        </w:tc>
        <w:tc>
          <w:tcPr>
            <w:tcW w:w="3150" w:type="dxa"/>
            <w:tcBorders>
              <w:top w:val="nil"/>
              <w:left w:val="nil"/>
              <w:bottom w:val="single" w:sz="4" w:space="0" w:color="auto"/>
              <w:right w:val="single" w:sz="4" w:space="0" w:color="auto"/>
            </w:tcBorders>
            <w:shd w:val="clear" w:color="auto" w:fill="C6EFCE"/>
            <w:noWrap/>
            <w:vAlign w:val="center"/>
          </w:tcPr>
          <w:p w14:paraId="40D3EDDE" w14:textId="77777777" w:rsidR="00154E32" w:rsidRDefault="00A43E04">
            <w:pPr>
              <w:pStyle w:val="P68B1DB1-Normal12"/>
              <w:jc w:val="center"/>
              <w:rPr>
                <w:noProof/>
              </w:rPr>
            </w:pPr>
            <w:r>
              <w:rPr>
                <w:noProof/>
              </w:rPr>
              <w:t>Naložba – 1.1 Digitalna strategija in platforme za kulturno dediščino</w:t>
            </w:r>
          </w:p>
        </w:tc>
        <w:tc>
          <w:tcPr>
            <w:tcW w:w="1425" w:type="dxa"/>
            <w:tcBorders>
              <w:top w:val="nil"/>
              <w:left w:val="nil"/>
              <w:bottom w:val="single" w:sz="4" w:space="0" w:color="auto"/>
              <w:right w:val="single" w:sz="4" w:space="0" w:color="auto"/>
            </w:tcBorders>
            <w:shd w:val="clear" w:color="auto" w:fill="C6EFCE"/>
            <w:noWrap/>
            <w:vAlign w:val="center"/>
          </w:tcPr>
          <w:p w14:paraId="1D5945E0"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04DA6F41" w14:textId="77777777" w:rsidR="00154E32" w:rsidRDefault="00A43E04">
            <w:pPr>
              <w:pStyle w:val="P68B1DB1-Normal12"/>
              <w:rPr>
                <w:noProof/>
              </w:rPr>
            </w:pPr>
            <w:r>
              <w:rPr>
                <w:noProof/>
              </w:rPr>
              <w:t xml:space="preserve">Digitalni viri, pripravljeni in objavljeni v digitalni knjižnici </w:t>
            </w:r>
          </w:p>
        </w:tc>
      </w:tr>
      <w:tr w:rsidR="00154E32" w14:paraId="59A2FEE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881FF9" w14:textId="77777777" w:rsidR="00154E32" w:rsidRDefault="00A43E04">
            <w:pPr>
              <w:pStyle w:val="P68B1DB1-Normal12"/>
              <w:jc w:val="center"/>
              <w:rPr>
                <w:noProof/>
              </w:rPr>
            </w:pPr>
            <w:r>
              <w:rPr>
                <w:noProof/>
              </w:rPr>
              <w:t>M1C3–5</w:t>
            </w:r>
          </w:p>
        </w:tc>
        <w:tc>
          <w:tcPr>
            <w:tcW w:w="3150" w:type="dxa"/>
            <w:tcBorders>
              <w:top w:val="nil"/>
              <w:left w:val="nil"/>
              <w:bottom w:val="single" w:sz="4" w:space="0" w:color="auto"/>
              <w:right w:val="single" w:sz="4" w:space="0" w:color="auto"/>
            </w:tcBorders>
            <w:shd w:val="clear" w:color="auto" w:fill="C6EFCE"/>
            <w:noWrap/>
            <w:vAlign w:val="center"/>
          </w:tcPr>
          <w:p w14:paraId="5A3F6D98" w14:textId="77777777" w:rsidR="00154E32" w:rsidRDefault="00A43E04">
            <w:pPr>
              <w:pStyle w:val="P68B1DB1-Normal12"/>
              <w:jc w:val="center"/>
              <w:rPr>
                <w:noProof/>
              </w:rPr>
            </w:pPr>
            <w:r>
              <w:rPr>
                <w:noProof/>
              </w:rPr>
              <w:t>Naložbe – 1.3 Izboljšanje energetske učinkovitosti v kinematografih, gledališčih in muzejih</w:t>
            </w:r>
          </w:p>
        </w:tc>
        <w:tc>
          <w:tcPr>
            <w:tcW w:w="1425" w:type="dxa"/>
            <w:tcBorders>
              <w:top w:val="nil"/>
              <w:left w:val="nil"/>
              <w:bottom w:val="single" w:sz="4" w:space="0" w:color="auto"/>
              <w:right w:val="single" w:sz="4" w:space="0" w:color="auto"/>
            </w:tcBorders>
            <w:shd w:val="clear" w:color="auto" w:fill="C6EFCE"/>
            <w:noWrap/>
            <w:vAlign w:val="center"/>
          </w:tcPr>
          <w:p w14:paraId="4E5C4DC3"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4620211C" w14:textId="77777777" w:rsidR="00154E32" w:rsidRDefault="00A43E04">
            <w:pPr>
              <w:pStyle w:val="P68B1DB1-Normal12"/>
              <w:rPr>
                <w:noProof/>
              </w:rPr>
            </w:pPr>
            <w:r>
              <w:rPr>
                <w:noProof/>
              </w:rPr>
              <w:t>Zaključeni so posegi v državne muzeje in kulturne znamenitosti, gledališke dvorane in kinematografe (drugi sklop)</w:t>
            </w:r>
          </w:p>
        </w:tc>
      </w:tr>
      <w:tr w:rsidR="00154E32" w14:paraId="4906386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D197B38" w14:textId="77777777" w:rsidR="00154E32" w:rsidRDefault="00A43E04">
            <w:pPr>
              <w:pStyle w:val="P68B1DB1-Normal12"/>
              <w:jc w:val="center"/>
              <w:rPr>
                <w:noProof/>
              </w:rPr>
            </w:pPr>
            <w:r>
              <w:rPr>
                <w:noProof/>
              </w:rPr>
              <w:t>M2C2–29</w:t>
            </w:r>
          </w:p>
        </w:tc>
        <w:tc>
          <w:tcPr>
            <w:tcW w:w="3150" w:type="dxa"/>
            <w:tcBorders>
              <w:top w:val="nil"/>
              <w:left w:val="nil"/>
              <w:bottom w:val="single" w:sz="4" w:space="0" w:color="auto"/>
              <w:right w:val="single" w:sz="4" w:space="0" w:color="auto"/>
            </w:tcBorders>
            <w:shd w:val="clear" w:color="auto" w:fill="C6EFCE"/>
            <w:noWrap/>
            <w:vAlign w:val="center"/>
          </w:tcPr>
          <w:p w14:paraId="3598FFFE" w14:textId="77777777" w:rsidR="00154E32" w:rsidRDefault="00A43E04">
            <w:pPr>
              <w:pStyle w:val="P68B1DB1-Normal12"/>
              <w:jc w:val="center"/>
              <w:rPr>
                <w:noProof/>
              </w:rPr>
            </w:pPr>
            <w:r>
              <w:rPr>
                <w:noProof/>
              </w:rPr>
              <w:t>Naložba 4.3 Vgradnja infrastrukture za polnjenje</w:t>
            </w:r>
          </w:p>
        </w:tc>
        <w:tc>
          <w:tcPr>
            <w:tcW w:w="1425" w:type="dxa"/>
            <w:tcBorders>
              <w:top w:val="nil"/>
              <w:left w:val="nil"/>
              <w:bottom w:val="single" w:sz="4" w:space="0" w:color="auto"/>
              <w:right w:val="single" w:sz="4" w:space="0" w:color="auto"/>
            </w:tcBorders>
            <w:shd w:val="clear" w:color="auto" w:fill="C6EFCE"/>
            <w:noWrap/>
            <w:vAlign w:val="center"/>
          </w:tcPr>
          <w:p w14:paraId="49A17549"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521D4C55" w14:textId="77777777" w:rsidR="00154E32" w:rsidRDefault="00A43E04">
            <w:pPr>
              <w:pStyle w:val="P68B1DB1-Normal12"/>
              <w:rPr>
                <w:noProof/>
              </w:rPr>
            </w:pPr>
            <w:r>
              <w:rPr>
                <w:noProof/>
              </w:rPr>
              <w:t>Število postaj za hitro polnjenje vzdolž prostih poti</w:t>
            </w:r>
          </w:p>
        </w:tc>
      </w:tr>
      <w:tr w:rsidR="00154E32" w14:paraId="34C3E6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EAF04B1" w14:textId="77777777" w:rsidR="00154E32" w:rsidRDefault="00A43E04">
            <w:pPr>
              <w:pStyle w:val="P68B1DB1-Normal12"/>
              <w:jc w:val="center"/>
              <w:rPr>
                <w:noProof/>
              </w:rPr>
            </w:pPr>
            <w:r>
              <w:rPr>
                <w:noProof/>
              </w:rPr>
              <w:t>M2C2–29a</w:t>
            </w:r>
          </w:p>
        </w:tc>
        <w:tc>
          <w:tcPr>
            <w:tcW w:w="3150" w:type="dxa"/>
            <w:tcBorders>
              <w:top w:val="nil"/>
              <w:left w:val="nil"/>
              <w:bottom w:val="single" w:sz="4" w:space="0" w:color="auto"/>
              <w:right w:val="single" w:sz="4" w:space="0" w:color="auto"/>
            </w:tcBorders>
            <w:shd w:val="clear" w:color="auto" w:fill="C6EFCE"/>
            <w:noWrap/>
            <w:vAlign w:val="center"/>
          </w:tcPr>
          <w:p w14:paraId="6B53A708" w14:textId="77777777" w:rsidR="00154E32" w:rsidRDefault="00A43E04">
            <w:pPr>
              <w:pStyle w:val="P68B1DB1-Normal12"/>
              <w:jc w:val="center"/>
              <w:rPr>
                <w:noProof/>
              </w:rPr>
            </w:pPr>
            <w:r>
              <w:rPr>
                <w:noProof/>
              </w:rPr>
              <w:t>Naložba 4.3 Vgradnja infrastrukture za polnjenje</w:t>
            </w:r>
          </w:p>
        </w:tc>
        <w:tc>
          <w:tcPr>
            <w:tcW w:w="1425" w:type="dxa"/>
            <w:tcBorders>
              <w:top w:val="nil"/>
              <w:left w:val="nil"/>
              <w:bottom w:val="single" w:sz="4" w:space="0" w:color="auto"/>
              <w:right w:val="single" w:sz="4" w:space="0" w:color="auto"/>
            </w:tcBorders>
            <w:shd w:val="clear" w:color="auto" w:fill="C6EFCE"/>
            <w:noWrap/>
            <w:vAlign w:val="center"/>
          </w:tcPr>
          <w:p w14:paraId="033BC89C"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278BAEF6" w14:textId="77777777" w:rsidR="00154E32" w:rsidRDefault="00A43E04">
            <w:pPr>
              <w:pStyle w:val="P68B1DB1-Normal12"/>
              <w:rPr>
                <w:noProof/>
              </w:rPr>
            </w:pPr>
            <w:r>
              <w:rPr>
                <w:noProof/>
              </w:rPr>
              <w:t>Število hitrih polnilnih postaj na mestnih območjih</w:t>
            </w:r>
          </w:p>
        </w:tc>
      </w:tr>
      <w:tr w:rsidR="00154E32" w14:paraId="6DB3732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A649EF4" w14:textId="77777777" w:rsidR="00154E32" w:rsidRDefault="00A43E04">
            <w:pPr>
              <w:pStyle w:val="P68B1DB1-Normal12"/>
              <w:jc w:val="center"/>
              <w:rPr>
                <w:noProof/>
              </w:rPr>
            </w:pPr>
            <w:r>
              <w:rPr>
                <w:noProof/>
              </w:rPr>
              <w:t>M2C2–30</w:t>
            </w:r>
          </w:p>
        </w:tc>
        <w:tc>
          <w:tcPr>
            <w:tcW w:w="3150" w:type="dxa"/>
            <w:tcBorders>
              <w:top w:val="nil"/>
              <w:left w:val="nil"/>
              <w:bottom w:val="single" w:sz="4" w:space="0" w:color="auto"/>
              <w:right w:val="single" w:sz="4" w:space="0" w:color="auto"/>
            </w:tcBorders>
            <w:shd w:val="clear" w:color="auto" w:fill="C6EFCE"/>
            <w:noWrap/>
            <w:vAlign w:val="center"/>
          </w:tcPr>
          <w:p w14:paraId="6132ECF3" w14:textId="77777777" w:rsidR="00154E32" w:rsidRDefault="00A43E04">
            <w:pPr>
              <w:pStyle w:val="P68B1DB1-Normal12"/>
              <w:jc w:val="center"/>
              <w:rPr>
                <w:noProof/>
              </w:rPr>
            </w:pPr>
            <w:r>
              <w:rPr>
                <w:noProof/>
              </w:rPr>
              <w:t>Naložba 4.3: Namestitev polnilne infrastrukture</w:t>
            </w:r>
          </w:p>
        </w:tc>
        <w:tc>
          <w:tcPr>
            <w:tcW w:w="1425" w:type="dxa"/>
            <w:tcBorders>
              <w:top w:val="nil"/>
              <w:left w:val="nil"/>
              <w:bottom w:val="single" w:sz="4" w:space="0" w:color="auto"/>
              <w:right w:val="single" w:sz="4" w:space="0" w:color="auto"/>
            </w:tcBorders>
            <w:shd w:val="clear" w:color="auto" w:fill="C6EFCE"/>
            <w:noWrap/>
            <w:vAlign w:val="center"/>
          </w:tcPr>
          <w:p w14:paraId="79B91F35"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4DEF3AE6" w14:textId="77777777" w:rsidR="00154E32" w:rsidRDefault="00A43E04">
            <w:pPr>
              <w:pStyle w:val="P68B1DB1-Normal12"/>
              <w:rPr>
                <w:noProof/>
              </w:rPr>
            </w:pPr>
            <w:r>
              <w:rPr>
                <w:noProof/>
              </w:rPr>
              <w:t>Število postaj za hitro polnjenje vzdolž prostih poti</w:t>
            </w:r>
          </w:p>
        </w:tc>
      </w:tr>
      <w:tr w:rsidR="00154E32" w14:paraId="40FBC7A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8549035" w14:textId="77777777" w:rsidR="00154E32" w:rsidRDefault="00A43E04">
            <w:pPr>
              <w:pStyle w:val="P68B1DB1-Normal12"/>
              <w:jc w:val="center"/>
              <w:rPr>
                <w:noProof/>
              </w:rPr>
            </w:pPr>
            <w:r>
              <w:rPr>
                <w:noProof/>
              </w:rPr>
              <w:t>M2C2–30a</w:t>
            </w:r>
          </w:p>
        </w:tc>
        <w:tc>
          <w:tcPr>
            <w:tcW w:w="3150" w:type="dxa"/>
            <w:tcBorders>
              <w:top w:val="nil"/>
              <w:left w:val="nil"/>
              <w:bottom w:val="single" w:sz="4" w:space="0" w:color="auto"/>
              <w:right w:val="single" w:sz="4" w:space="0" w:color="auto"/>
            </w:tcBorders>
            <w:shd w:val="clear" w:color="auto" w:fill="C6EFCE"/>
            <w:noWrap/>
            <w:vAlign w:val="center"/>
          </w:tcPr>
          <w:p w14:paraId="7F2D0536" w14:textId="77777777" w:rsidR="00154E32" w:rsidRDefault="00A43E04">
            <w:pPr>
              <w:pStyle w:val="P68B1DB1-Normal12"/>
              <w:jc w:val="center"/>
              <w:rPr>
                <w:noProof/>
              </w:rPr>
            </w:pPr>
            <w:r>
              <w:rPr>
                <w:noProof/>
              </w:rPr>
              <w:t>Naložba 4.3: Namestitev polnilne infrastrukture</w:t>
            </w:r>
          </w:p>
        </w:tc>
        <w:tc>
          <w:tcPr>
            <w:tcW w:w="1425" w:type="dxa"/>
            <w:tcBorders>
              <w:top w:val="nil"/>
              <w:left w:val="nil"/>
              <w:bottom w:val="single" w:sz="4" w:space="0" w:color="auto"/>
              <w:right w:val="single" w:sz="4" w:space="0" w:color="auto"/>
            </w:tcBorders>
            <w:shd w:val="clear" w:color="auto" w:fill="C6EFCE"/>
            <w:noWrap/>
            <w:vAlign w:val="center"/>
          </w:tcPr>
          <w:p w14:paraId="7D2DDF26"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63D6C2CB" w14:textId="77777777" w:rsidR="00154E32" w:rsidRDefault="00A43E04">
            <w:pPr>
              <w:pStyle w:val="P68B1DB1-Normal12"/>
              <w:rPr>
                <w:noProof/>
              </w:rPr>
            </w:pPr>
            <w:r>
              <w:rPr>
                <w:noProof/>
              </w:rPr>
              <w:t>Število hitrih polnilnih postaj na mestnih območjih</w:t>
            </w:r>
          </w:p>
        </w:tc>
      </w:tr>
      <w:tr w:rsidR="00154E32" w14:paraId="4036B4C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6282133" w14:textId="77777777" w:rsidR="00154E32" w:rsidRDefault="00A43E04">
            <w:pPr>
              <w:pStyle w:val="P68B1DB1-Normal12"/>
              <w:jc w:val="center"/>
              <w:rPr>
                <w:noProof/>
              </w:rPr>
            </w:pPr>
            <w:r>
              <w:rPr>
                <w:noProof/>
              </w:rPr>
              <w:t>M2C2–30b</w:t>
            </w:r>
          </w:p>
        </w:tc>
        <w:tc>
          <w:tcPr>
            <w:tcW w:w="3150" w:type="dxa"/>
            <w:tcBorders>
              <w:top w:val="nil"/>
              <w:left w:val="nil"/>
              <w:bottom w:val="single" w:sz="4" w:space="0" w:color="auto"/>
              <w:right w:val="single" w:sz="4" w:space="0" w:color="auto"/>
            </w:tcBorders>
            <w:shd w:val="clear" w:color="auto" w:fill="C6EFCE"/>
            <w:noWrap/>
            <w:vAlign w:val="center"/>
          </w:tcPr>
          <w:p w14:paraId="1C8E63D7" w14:textId="77777777" w:rsidR="00154E32" w:rsidRDefault="00A43E04">
            <w:pPr>
              <w:pStyle w:val="P68B1DB1-Normal12"/>
              <w:jc w:val="center"/>
              <w:rPr>
                <w:noProof/>
              </w:rPr>
            </w:pPr>
            <w:r>
              <w:rPr>
                <w:noProof/>
              </w:rPr>
              <w:t>Naložba 4.3: Namestitev polnilne infrastrukture</w:t>
            </w:r>
          </w:p>
        </w:tc>
        <w:tc>
          <w:tcPr>
            <w:tcW w:w="1425" w:type="dxa"/>
            <w:tcBorders>
              <w:top w:val="nil"/>
              <w:left w:val="nil"/>
              <w:bottom w:val="single" w:sz="4" w:space="0" w:color="auto"/>
              <w:right w:val="single" w:sz="4" w:space="0" w:color="auto"/>
            </w:tcBorders>
            <w:shd w:val="clear" w:color="auto" w:fill="C6EFCE"/>
            <w:noWrap/>
            <w:vAlign w:val="center"/>
          </w:tcPr>
          <w:p w14:paraId="1D98FF6E"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118BEE03" w14:textId="77777777" w:rsidR="00154E32" w:rsidRDefault="00A43E04">
            <w:pPr>
              <w:pStyle w:val="P68B1DB1-Normal12"/>
              <w:rPr>
                <w:noProof/>
              </w:rPr>
            </w:pPr>
            <w:r>
              <w:rPr>
                <w:noProof/>
              </w:rPr>
              <w:t>Število postaj za hitro polnjenje</w:t>
            </w:r>
          </w:p>
        </w:tc>
      </w:tr>
      <w:tr w:rsidR="00154E32" w14:paraId="7F79CE0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DC1AE94" w14:textId="77777777" w:rsidR="00154E32" w:rsidRDefault="00A43E04">
            <w:pPr>
              <w:pStyle w:val="P68B1DB1-Normal12"/>
              <w:jc w:val="center"/>
              <w:rPr>
                <w:noProof/>
              </w:rPr>
            </w:pPr>
            <w:r>
              <w:rPr>
                <w:noProof/>
              </w:rPr>
              <w:t>M2C3–3</w:t>
            </w:r>
          </w:p>
        </w:tc>
        <w:tc>
          <w:tcPr>
            <w:tcW w:w="3150" w:type="dxa"/>
            <w:tcBorders>
              <w:top w:val="nil"/>
              <w:left w:val="nil"/>
              <w:bottom w:val="single" w:sz="4" w:space="0" w:color="auto"/>
              <w:right w:val="single" w:sz="4" w:space="0" w:color="auto"/>
            </w:tcBorders>
            <w:shd w:val="clear" w:color="auto" w:fill="C6EFCE"/>
            <w:noWrap/>
            <w:vAlign w:val="center"/>
          </w:tcPr>
          <w:p w14:paraId="5A532268" w14:textId="77777777" w:rsidR="00154E32" w:rsidRDefault="00A43E04">
            <w:pPr>
              <w:pStyle w:val="P68B1DB1-Normal12"/>
              <w:jc w:val="center"/>
              <w:rPr>
                <w:noProof/>
              </w:rPr>
            </w:pPr>
            <w:r>
              <w:rPr>
                <w:noProof/>
              </w:rPr>
              <w:t xml:space="preserve">Naložba 2.1 – Krepitev ekobonusa za energetsko učinkovitost </w:t>
            </w:r>
          </w:p>
        </w:tc>
        <w:tc>
          <w:tcPr>
            <w:tcW w:w="1425" w:type="dxa"/>
            <w:tcBorders>
              <w:top w:val="nil"/>
              <w:left w:val="nil"/>
              <w:bottom w:val="single" w:sz="4" w:space="0" w:color="auto"/>
              <w:right w:val="single" w:sz="4" w:space="0" w:color="auto"/>
            </w:tcBorders>
            <w:shd w:val="clear" w:color="auto" w:fill="C6EFCE"/>
            <w:noWrap/>
            <w:vAlign w:val="center"/>
          </w:tcPr>
          <w:p w14:paraId="425BC3ED"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55783443" w14:textId="77777777" w:rsidR="00154E32" w:rsidRDefault="00A43E04">
            <w:pPr>
              <w:pStyle w:val="P68B1DB1-Normal12"/>
              <w:rPr>
                <w:noProof/>
              </w:rPr>
            </w:pPr>
            <w:r>
              <w:rPr>
                <w:noProof/>
              </w:rPr>
              <w:t>Superbonus T2 za prenovo stavb</w:t>
            </w:r>
          </w:p>
        </w:tc>
      </w:tr>
      <w:tr w:rsidR="00154E32" w14:paraId="0ACEDC3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EE1944B" w14:textId="77777777" w:rsidR="00154E32" w:rsidRDefault="00A43E04">
            <w:pPr>
              <w:pStyle w:val="P68B1DB1-Normal12"/>
              <w:jc w:val="center"/>
              <w:rPr>
                <w:noProof/>
              </w:rPr>
            </w:pPr>
            <w:r>
              <w:rPr>
                <w:noProof/>
              </w:rPr>
              <w:t>M4C1–13</w:t>
            </w:r>
          </w:p>
        </w:tc>
        <w:tc>
          <w:tcPr>
            <w:tcW w:w="3150" w:type="dxa"/>
            <w:tcBorders>
              <w:top w:val="nil"/>
              <w:left w:val="nil"/>
              <w:bottom w:val="single" w:sz="4" w:space="0" w:color="auto"/>
              <w:right w:val="single" w:sz="4" w:space="0" w:color="auto"/>
            </w:tcBorders>
            <w:shd w:val="clear" w:color="auto" w:fill="C6EFCE"/>
            <w:noWrap/>
            <w:vAlign w:val="center"/>
          </w:tcPr>
          <w:p w14:paraId="2F02F277" w14:textId="77777777" w:rsidR="00154E32" w:rsidRDefault="00A43E04">
            <w:pPr>
              <w:pStyle w:val="P68B1DB1-Normal12"/>
              <w:jc w:val="center"/>
              <w:rPr>
                <w:noProof/>
              </w:rPr>
            </w:pPr>
            <w:r>
              <w:rPr>
                <w:noProof/>
              </w:rPr>
              <w:t>Naložba 2.1: Integrirano digitalno poučevanje in usposabljanje šolskega osebja o digitalni preobrazbi;</w:t>
            </w:r>
          </w:p>
        </w:tc>
        <w:tc>
          <w:tcPr>
            <w:tcW w:w="1425" w:type="dxa"/>
            <w:tcBorders>
              <w:top w:val="nil"/>
              <w:left w:val="nil"/>
              <w:bottom w:val="single" w:sz="4" w:space="0" w:color="auto"/>
              <w:right w:val="single" w:sz="4" w:space="0" w:color="auto"/>
            </w:tcBorders>
            <w:shd w:val="clear" w:color="auto" w:fill="C6EFCE"/>
            <w:noWrap/>
            <w:vAlign w:val="center"/>
          </w:tcPr>
          <w:p w14:paraId="1F1C8464"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240FBCE8" w14:textId="77777777" w:rsidR="00154E32" w:rsidRDefault="00A43E04">
            <w:pPr>
              <w:pStyle w:val="P68B1DB1-Normal12"/>
              <w:rPr>
                <w:noProof/>
              </w:rPr>
            </w:pPr>
            <w:r>
              <w:rPr>
                <w:noProof/>
              </w:rPr>
              <w:t xml:space="preserve">Usposabljanje vodstvenih delavcev šol, učiteljev in upravnega osebja    </w:t>
            </w:r>
          </w:p>
        </w:tc>
      </w:tr>
      <w:tr w:rsidR="00154E32" w14:paraId="389EDB1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CE1D0FD" w14:textId="77777777" w:rsidR="00154E32" w:rsidRDefault="00A43E04">
            <w:pPr>
              <w:pStyle w:val="P68B1DB1-Normal12"/>
              <w:jc w:val="center"/>
              <w:rPr>
                <w:noProof/>
              </w:rPr>
            </w:pPr>
            <w:r>
              <w:rPr>
                <w:noProof/>
              </w:rPr>
              <w:t>M4C1–15a</w:t>
            </w:r>
          </w:p>
        </w:tc>
        <w:tc>
          <w:tcPr>
            <w:tcW w:w="3150" w:type="dxa"/>
            <w:tcBorders>
              <w:top w:val="nil"/>
              <w:left w:val="nil"/>
              <w:bottom w:val="single" w:sz="4" w:space="0" w:color="auto"/>
              <w:right w:val="single" w:sz="4" w:space="0" w:color="auto"/>
            </w:tcBorders>
            <w:shd w:val="clear" w:color="auto" w:fill="C6EFCE"/>
            <w:noWrap/>
            <w:vAlign w:val="center"/>
          </w:tcPr>
          <w:p w14:paraId="3E1B528D" w14:textId="77777777" w:rsidR="00154E32" w:rsidRDefault="00A43E04">
            <w:pPr>
              <w:pStyle w:val="P68B1DB1-Normal12"/>
              <w:jc w:val="center"/>
              <w:rPr>
                <w:noProof/>
              </w:rPr>
            </w:pPr>
            <w:r>
              <w:rPr>
                <w:noProof/>
              </w:rPr>
              <w:t>Naložba 1.7: Štipendije za dostop do univerz</w:t>
            </w:r>
          </w:p>
        </w:tc>
        <w:tc>
          <w:tcPr>
            <w:tcW w:w="1425" w:type="dxa"/>
            <w:tcBorders>
              <w:top w:val="nil"/>
              <w:left w:val="nil"/>
              <w:bottom w:val="single" w:sz="4" w:space="0" w:color="auto"/>
              <w:right w:val="single" w:sz="4" w:space="0" w:color="auto"/>
            </w:tcBorders>
            <w:shd w:val="clear" w:color="auto" w:fill="C6EFCE"/>
            <w:noWrap/>
            <w:vAlign w:val="center"/>
          </w:tcPr>
          <w:p w14:paraId="393AC07E"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1DF77060" w14:textId="77777777" w:rsidR="00154E32" w:rsidRDefault="00A43E04">
            <w:pPr>
              <w:pStyle w:val="P68B1DB1-Normal12"/>
              <w:rPr>
                <w:noProof/>
              </w:rPr>
            </w:pPr>
            <w:r>
              <w:rPr>
                <w:noProof/>
              </w:rPr>
              <w:t>Štipendije za dostop do univerze</w:t>
            </w:r>
          </w:p>
        </w:tc>
      </w:tr>
      <w:tr w:rsidR="00154E32" w14:paraId="63D6136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148788B" w14:textId="77777777" w:rsidR="00154E32" w:rsidRDefault="00A43E04">
            <w:pPr>
              <w:pStyle w:val="P68B1DB1-Normal12"/>
              <w:jc w:val="center"/>
              <w:rPr>
                <w:noProof/>
              </w:rPr>
            </w:pPr>
            <w:r>
              <w:rPr>
                <w:noProof/>
              </w:rPr>
              <w:t>M4C1–19</w:t>
            </w:r>
          </w:p>
        </w:tc>
        <w:tc>
          <w:tcPr>
            <w:tcW w:w="3150" w:type="dxa"/>
            <w:tcBorders>
              <w:top w:val="nil"/>
              <w:left w:val="nil"/>
              <w:bottom w:val="single" w:sz="4" w:space="0" w:color="auto"/>
              <w:right w:val="single" w:sz="4" w:space="0" w:color="auto"/>
            </w:tcBorders>
            <w:shd w:val="clear" w:color="auto" w:fill="C6EFCE"/>
            <w:noWrap/>
            <w:vAlign w:val="center"/>
          </w:tcPr>
          <w:p w14:paraId="14454F41" w14:textId="77777777" w:rsidR="00154E32" w:rsidRDefault="00A43E04">
            <w:pPr>
              <w:pStyle w:val="P68B1DB1-Normal12"/>
              <w:jc w:val="center"/>
              <w:rPr>
                <w:noProof/>
              </w:rPr>
            </w:pPr>
            <w:r>
              <w:rPr>
                <w:noProof/>
              </w:rPr>
              <w:t>Naložba 3.2: Šola 4.0: inovativne šole, ožičenje, nove učilnice in delavnice</w:t>
            </w:r>
          </w:p>
        </w:tc>
        <w:tc>
          <w:tcPr>
            <w:tcW w:w="1425" w:type="dxa"/>
            <w:tcBorders>
              <w:top w:val="nil"/>
              <w:left w:val="nil"/>
              <w:bottom w:val="single" w:sz="4" w:space="0" w:color="auto"/>
              <w:right w:val="single" w:sz="4" w:space="0" w:color="auto"/>
            </w:tcBorders>
            <w:shd w:val="clear" w:color="auto" w:fill="C6EFCE"/>
            <w:noWrap/>
            <w:vAlign w:val="center"/>
          </w:tcPr>
          <w:p w14:paraId="41FE3386"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500B7D63" w14:textId="77777777" w:rsidR="00154E32" w:rsidRDefault="00A43E04">
            <w:pPr>
              <w:pStyle w:val="P68B1DB1-Normal12"/>
              <w:rPr>
                <w:noProof/>
              </w:rPr>
            </w:pPr>
            <w:r>
              <w:rPr>
                <w:noProof/>
              </w:rPr>
              <w:t>Šolski razredi se s pomočjo šole 4.0 preoblikujejo v inovativna učna okolja.</w:t>
            </w:r>
          </w:p>
        </w:tc>
      </w:tr>
      <w:tr w:rsidR="00154E32" w14:paraId="5209627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6B371D2" w14:textId="77777777" w:rsidR="00154E32" w:rsidRDefault="00A43E04">
            <w:pPr>
              <w:pStyle w:val="P68B1DB1-Normal12"/>
              <w:jc w:val="center"/>
              <w:rPr>
                <w:noProof/>
              </w:rPr>
            </w:pPr>
            <w:r>
              <w:rPr>
                <w:noProof/>
              </w:rPr>
              <w:t>M4C1–20</w:t>
            </w:r>
          </w:p>
        </w:tc>
        <w:tc>
          <w:tcPr>
            <w:tcW w:w="3150" w:type="dxa"/>
            <w:tcBorders>
              <w:top w:val="nil"/>
              <w:left w:val="nil"/>
              <w:bottom w:val="single" w:sz="4" w:space="0" w:color="auto"/>
              <w:right w:val="single" w:sz="4" w:space="0" w:color="auto"/>
            </w:tcBorders>
            <w:shd w:val="clear" w:color="auto" w:fill="C6EFCE"/>
            <w:noWrap/>
            <w:vAlign w:val="center"/>
          </w:tcPr>
          <w:p w14:paraId="4D22547D" w14:textId="77777777" w:rsidR="00154E32" w:rsidRDefault="00A43E04">
            <w:pPr>
              <w:pStyle w:val="P68B1DB1-Normal12"/>
              <w:jc w:val="center"/>
              <w:rPr>
                <w:noProof/>
              </w:rPr>
            </w:pPr>
            <w:r>
              <w:rPr>
                <w:noProof/>
              </w:rPr>
              <w:t>Naložba 1.5: Razvoj sistema terciarnega poklicnega usposabljanja (ITS)</w:t>
            </w:r>
          </w:p>
        </w:tc>
        <w:tc>
          <w:tcPr>
            <w:tcW w:w="1425" w:type="dxa"/>
            <w:tcBorders>
              <w:top w:val="nil"/>
              <w:left w:val="nil"/>
              <w:bottom w:val="single" w:sz="4" w:space="0" w:color="auto"/>
              <w:right w:val="single" w:sz="4" w:space="0" w:color="auto"/>
            </w:tcBorders>
            <w:shd w:val="clear" w:color="auto" w:fill="C6EFCE"/>
            <w:noWrap/>
            <w:vAlign w:val="center"/>
          </w:tcPr>
          <w:p w14:paraId="39101906"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399CDE4F" w14:textId="77777777" w:rsidR="00154E32" w:rsidRDefault="00A43E04">
            <w:pPr>
              <w:pStyle w:val="P68B1DB1-Normal12"/>
              <w:rPr>
                <w:noProof/>
              </w:rPr>
            </w:pPr>
            <w:r>
              <w:rPr>
                <w:noProof/>
              </w:rPr>
              <w:t>Število študentov, vpisanih v sistem poklicnega usposabljanja (ITS)</w:t>
            </w:r>
          </w:p>
        </w:tc>
      </w:tr>
      <w:tr w:rsidR="00154E32" w14:paraId="7EDDF8E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D12C93E" w14:textId="77777777" w:rsidR="00154E32" w:rsidRDefault="00A43E04">
            <w:pPr>
              <w:pStyle w:val="P68B1DB1-Normal12"/>
              <w:jc w:val="center"/>
              <w:rPr>
                <w:noProof/>
              </w:rPr>
            </w:pPr>
            <w:r>
              <w:rPr>
                <w:noProof/>
              </w:rPr>
              <w:t>M4C1–20 bis</w:t>
            </w:r>
          </w:p>
        </w:tc>
        <w:tc>
          <w:tcPr>
            <w:tcW w:w="3150" w:type="dxa"/>
            <w:tcBorders>
              <w:top w:val="nil"/>
              <w:left w:val="nil"/>
              <w:bottom w:val="single" w:sz="4" w:space="0" w:color="auto"/>
              <w:right w:val="single" w:sz="4" w:space="0" w:color="auto"/>
            </w:tcBorders>
            <w:shd w:val="clear" w:color="auto" w:fill="C6EFCE"/>
            <w:noWrap/>
            <w:vAlign w:val="center"/>
          </w:tcPr>
          <w:p w14:paraId="64BF25D7" w14:textId="77777777" w:rsidR="00154E32" w:rsidRDefault="00A43E04">
            <w:pPr>
              <w:pStyle w:val="P68B1DB1-Normal12"/>
              <w:jc w:val="center"/>
              <w:rPr>
                <w:noProof/>
              </w:rPr>
            </w:pPr>
            <w:r>
              <w:rPr>
                <w:noProof/>
              </w:rPr>
              <w:t xml:space="preserve">Naložba 1.5: Razvoj sistema terciarnega poklicnega usposabljanja (ITS) </w:t>
            </w:r>
          </w:p>
        </w:tc>
        <w:tc>
          <w:tcPr>
            <w:tcW w:w="1425" w:type="dxa"/>
            <w:tcBorders>
              <w:top w:val="nil"/>
              <w:left w:val="nil"/>
              <w:bottom w:val="single" w:sz="4" w:space="0" w:color="auto"/>
              <w:right w:val="single" w:sz="4" w:space="0" w:color="auto"/>
            </w:tcBorders>
            <w:shd w:val="clear" w:color="auto" w:fill="C6EFCE"/>
            <w:noWrap/>
            <w:vAlign w:val="center"/>
          </w:tcPr>
          <w:p w14:paraId="141B8C8A" w14:textId="77777777" w:rsidR="00154E32" w:rsidRDefault="00A43E04">
            <w:pPr>
              <w:pStyle w:val="P68B1DB1-Normal12"/>
              <w:jc w:val="center"/>
              <w:rPr>
                <w:noProof/>
              </w:rPr>
            </w:pPr>
            <w:r>
              <w:rPr>
                <w:noProof/>
              </w:rPr>
              <w:t>Mejnik</w:t>
            </w:r>
          </w:p>
        </w:tc>
        <w:tc>
          <w:tcPr>
            <w:tcW w:w="3959" w:type="dxa"/>
            <w:tcBorders>
              <w:top w:val="nil"/>
              <w:left w:val="nil"/>
              <w:bottom w:val="single" w:sz="4" w:space="0" w:color="auto"/>
              <w:right w:val="single" w:sz="4" w:space="0" w:color="auto"/>
            </w:tcBorders>
            <w:shd w:val="clear" w:color="auto" w:fill="C6EFCE"/>
            <w:noWrap/>
            <w:vAlign w:val="center"/>
          </w:tcPr>
          <w:p w14:paraId="7FEB3F07" w14:textId="77777777" w:rsidR="00154E32" w:rsidRDefault="00A43E04">
            <w:pPr>
              <w:pStyle w:val="P68B1DB1-Normal12"/>
              <w:rPr>
                <w:noProof/>
              </w:rPr>
            </w:pPr>
            <w:r>
              <w:rPr>
                <w:noProof/>
              </w:rPr>
              <w:t xml:space="preserve">Izvajanje novega nacionalnega sistema spremljanja </w:t>
            </w:r>
          </w:p>
        </w:tc>
      </w:tr>
      <w:tr w:rsidR="00154E32" w14:paraId="4A5E36F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4A1F45C" w14:textId="77777777" w:rsidR="00154E32" w:rsidRDefault="00A43E04">
            <w:pPr>
              <w:pStyle w:val="P68B1DB1-Normal12"/>
              <w:jc w:val="center"/>
              <w:rPr>
                <w:noProof/>
              </w:rPr>
            </w:pPr>
            <w:r>
              <w:rPr>
                <w:noProof/>
              </w:rPr>
              <w:t>M4C2–2</w:t>
            </w:r>
          </w:p>
        </w:tc>
        <w:tc>
          <w:tcPr>
            <w:tcW w:w="3150" w:type="dxa"/>
            <w:tcBorders>
              <w:top w:val="nil"/>
              <w:left w:val="nil"/>
              <w:bottom w:val="single" w:sz="4" w:space="0" w:color="auto"/>
              <w:right w:val="single" w:sz="4" w:space="0" w:color="auto"/>
            </w:tcBorders>
            <w:shd w:val="clear" w:color="auto" w:fill="C6EFCE"/>
            <w:noWrap/>
            <w:vAlign w:val="center"/>
          </w:tcPr>
          <w:p w14:paraId="74282371" w14:textId="77777777" w:rsidR="00154E32" w:rsidRDefault="00A43E04">
            <w:pPr>
              <w:pStyle w:val="P68B1DB1-Normal12"/>
              <w:jc w:val="center"/>
              <w:rPr>
                <w:noProof/>
              </w:rPr>
            </w:pPr>
            <w:r>
              <w:rPr>
                <w:noProof/>
              </w:rPr>
              <w:t>Naložba 2.2: Partnerstva na področju raziskav in inovacij – Obzorje Evropa</w:t>
            </w:r>
          </w:p>
        </w:tc>
        <w:tc>
          <w:tcPr>
            <w:tcW w:w="1425" w:type="dxa"/>
            <w:tcBorders>
              <w:top w:val="nil"/>
              <w:left w:val="nil"/>
              <w:bottom w:val="single" w:sz="4" w:space="0" w:color="auto"/>
              <w:right w:val="single" w:sz="4" w:space="0" w:color="auto"/>
            </w:tcBorders>
            <w:shd w:val="clear" w:color="auto" w:fill="C6EFCE"/>
            <w:noWrap/>
            <w:vAlign w:val="center"/>
          </w:tcPr>
          <w:p w14:paraId="42E4A4D4"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58943FBE" w14:textId="77777777" w:rsidR="00154E32" w:rsidRDefault="00A43E04">
            <w:pPr>
              <w:pStyle w:val="P68B1DB1-Normal12"/>
              <w:rPr>
                <w:noProof/>
              </w:rPr>
            </w:pPr>
            <w:r>
              <w:rPr>
                <w:noProof/>
              </w:rPr>
              <w:t>Število projektov podjetij, ki so jim bila dodeljena sredstva</w:t>
            </w:r>
          </w:p>
        </w:tc>
      </w:tr>
      <w:tr w:rsidR="00154E32" w14:paraId="5D560A3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B704F05" w14:textId="77777777" w:rsidR="00154E32" w:rsidRDefault="00A43E04">
            <w:pPr>
              <w:pStyle w:val="P68B1DB1-Normal12"/>
              <w:jc w:val="center"/>
              <w:rPr>
                <w:noProof/>
              </w:rPr>
            </w:pPr>
            <w:r>
              <w:rPr>
                <w:noProof/>
              </w:rPr>
              <w:t xml:space="preserve">M5C1–3 </w:t>
            </w:r>
          </w:p>
        </w:tc>
        <w:tc>
          <w:tcPr>
            <w:tcW w:w="3150" w:type="dxa"/>
            <w:tcBorders>
              <w:top w:val="nil"/>
              <w:left w:val="nil"/>
              <w:bottom w:val="single" w:sz="4" w:space="0" w:color="auto"/>
              <w:right w:val="single" w:sz="4" w:space="0" w:color="auto"/>
            </w:tcBorders>
            <w:shd w:val="clear" w:color="auto" w:fill="C6EFCE"/>
            <w:noWrap/>
            <w:vAlign w:val="center"/>
          </w:tcPr>
          <w:p w14:paraId="3E9434C1" w14:textId="77777777" w:rsidR="00154E32" w:rsidRDefault="00A43E04">
            <w:pPr>
              <w:pStyle w:val="P68B1DB1-Normal12"/>
              <w:jc w:val="center"/>
              <w:rPr>
                <w:noProof/>
              </w:rPr>
            </w:pPr>
            <w:r>
              <w:rPr>
                <w:noProof/>
              </w:rPr>
              <w:t>Reforma 1 – aktivne politike trga dela in poklicno usposabljanje</w:t>
            </w:r>
          </w:p>
        </w:tc>
        <w:tc>
          <w:tcPr>
            <w:tcW w:w="1425" w:type="dxa"/>
            <w:tcBorders>
              <w:top w:val="nil"/>
              <w:left w:val="nil"/>
              <w:bottom w:val="single" w:sz="4" w:space="0" w:color="auto"/>
              <w:right w:val="single" w:sz="4" w:space="0" w:color="auto"/>
            </w:tcBorders>
            <w:shd w:val="clear" w:color="auto" w:fill="C6EFCE"/>
            <w:noWrap/>
            <w:vAlign w:val="center"/>
          </w:tcPr>
          <w:p w14:paraId="56B8A3F5"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0476D1AA" w14:textId="77777777" w:rsidR="00154E32" w:rsidRDefault="00A43E04">
            <w:pPr>
              <w:pStyle w:val="P68B1DB1-Normal12"/>
              <w:rPr>
                <w:noProof/>
              </w:rPr>
            </w:pPr>
            <w:r>
              <w:rPr>
                <w:noProof/>
              </w:rPr>
              <w:t xml:space="preserve">Osebe, krite v okviru programa za zajamčeno zaposljivost delavcev (GOL) </w:t>
            </w:r>
          </w:p>
        </w:tc>
      </w:tr>
      <w:tr w:rsidR="00154E32" w14:paraId="0CA2609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8D21D25" w14:textId="77777777" w:rsidR="00154E32" w:rsidRDefault="00A43E04">
            <w:pPr>
              <w:pStyle w:val="P68B1DB1-Normal12"/>
              <w:jc w:val="center"/>
              <w:rPr>
                <w:noProof/>
              </w:rPr>
            </w:pPr>
            <w:r>
              <w:rPr>
                <w:noProof/>
              </w:rPr>
              <w:t xml:space="preserve">M5C1–4 </w:t>
            </w:r>
          </w:p>
        </w:tc>
        <w:tc>
          <w:tcPr>
            <w:tcW w:w="3150" w:type="dxa"/>
            <w:tcBorders>
              <w:top w:val="nil"/>
              <w:left w:val="nil"/>
              <w:bottom w:val="single" w:sz="4" w:space="0" w:color="auto"/>
              <w:right w:val="single" w:sz="4" w:space="0" w:color="auto"/>
            </w:tcBorders>
            <w:shd w:val="clear" w:color="auto" w:fill="C6EFCE"/>
            <w:noWrap/>
            <w:vAlign w:val="center"/>
          </w:tcPr>
          <w:p w14:paraId="3FB4ED62" w14:textId="77777777" w:rsidR="00154E32" w:rsidRDefault="00A43E04">
            <w:pPr>
              <w:pStyle w:val="P68B1DB1-Normal12"/>
              <w:jc w:val="center"/>
              <w:rPr>
                <w:noProof/>
              </w:rPr>
            </w:pPr>
            <w:r>
              <w:rPr>
                <w:noProof/>
              </w:rPr>
              <w:t xml:space="preserve">Reforma 1 – aktivne politike trga dela in poklicno usposabljanje </w:t>
            </w:r>
          </w:p>
        </w:tc>
        <w:tc>
          <w:tcPr>
            <w:tcW w:w="1425" w:type="dxa"/>
            <w:tcBorders>
              <w:top w:val="nil"/>
              <w:left w:val="nil"/>
              <w:bottom w:val="single" w:sz="4" w:space="0" w:color="auto"/>
              <w:right w:val="single" w:sz="4" w:space="0" w:color="auto"/>
            </w:tcBorders>
            <w:shd w:val="clear" w:color="auto" w:fill="C6EFCE"/>
            <w:noWrap/>
            <w:vAlign w:val="center"/>
          </w:tcPr>
          <w:p w14:paraId="1B039362"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7339D4B7" w14:textId="77777777" w:rsidR="00154E32" w:rsidRDefault="00A43E04">
            <w:pPr>
              <w:pStyle w:val="P68B1DB1-Normal12"/>
              <w:rPr>
                <w:noProof/>
              </w:rPr>
            </w:pPr>
            <w:r>
              <w:rPr>
                <w:noProof/>
              </w:rPr>
              <w:t xml:space="preserve">Zajamčena zaposljivost upravičencev delavcev se je udeležila poklicnega usposabljanja </w:t>
            </w:r>
          </w:p>
        </w:tc>
      </w:tr>
      <w:tr w:rsidR="00154E32" w14:paraId="128E9A2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C5FB70D" w14:textId="77777777" w:rsidR="00154E32" w:rsidRDefault="00A43E04">
            <w:pPr>
              <w:pStyle w:val="P68B1DB1-Normal12"/>
              <w:jc w:val="center"/>
              <w:rPr>
                <w:noProof/>
              </w:rPr>
            </w:pPr>
            <w:r>
              <w:rPr>
                <w:noProof/>
              </w:rPr>
              <w:t xml:space="preserve">M5C1–5 </w:t>
            </w:r>
          </w:p>
        </w:tc>
        <w:tc>
          <w:tcPr>
            <w:tcW w:w="3150" w:type="dxa"/>
            <w:tcBorders>
              <w:top w:val="nil"/>
              <w:left w:val="nil"/>
              <w:bottom w:val="single" w:sz="4" w:space="0" w:color="auto"/>
              <w:right w:val="single" w:sz="4" w:space="0" w:color="auto"/>
            </w:tcBorders>
            <w:shd w:val="clear" w:color="auto" w:fill="C6EFCE"/>
            <w:noWrap/>
            <w:vAlign w:val="center"/>
          </w:tcPr>
          <w:p w14:paraId="0EFE4AC9" w14:textId="77777777" w:rsidR="00154E32" w:rsidRDefault="00A43E04">
            <w:pPr>
              <w:pStyle w:val="P68B1DB1-Normal12"/>
              <w:jc w:val="center"/>
              <w:rPr>
                <w:noProof/>
              </w:rPr>
            </w:pPr>
            <w:r>
              <w:rPr>
                <w:noProof/>
              </w:rPr>
              <w:t>Reforma 1 – aktivne politike trga dela in poklicno usposabljanje</w:t>
            </w:r>
          </w:p>
        </w:tc>
        <w:tc>
          <w:tcPr>
            <w:tcW w:w="1425" w:type="dxa"/>
            <w:tcBorders>
              <w:top w:val="nil"/>
              <w:left w:val="nil"/>
              <w:bottom w:val="single" w:sz="4" w:space="0" w:color="auto"/>
              <w:right w:val="single" w:sz="4" w:space="0" w:color="auto"/>
            </w:tcBorders>
            <w:shd w:val="clear" w:color="auto" w:fill="C6EFCE"/>
            <w:noWrap/>
            <w:vAlign w:val="center"/>
          </w:tcPr>
          <w:p w14:paraId="4C87CB6C"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1093D63D" w14:textId="77777777" w:rsidR="00154E32" w:rsidRDefault="00A43E04">
            <w:pPr>
              <w:pStyle w:val="P68B1DB1-Normal12"/>
              <w:rPr>
                <w:noProof/>
              </w:rPr>
            </w:pPr>
            <w:r>
              <w:rPr>
                <w:noProof/>
              </w:rPr>
              <w:t>Javni zavodi za zaposlovanje (JZZ) v vsaki regiji izpolnjujejo merila osnovne ravni storitev JZZ, kot je opredeljena v programu zajamčene zaposljivosti delavcev (GOL).</w:t>
            </w:r>
          </w:p>
        </w:tc>
      </w:tr>
      <w:tr w:rsidR="00154E32" w14:paraId="5101DF4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3BBD822" w14:textId="77777777" w:rsidR="00154E32" w:rsidRDefault="00A43E04">
            <w:pPr>
              <w:pStyle w:val="P68B1DB1-Normal12"/>
              <w:jc w:val="center"/>
              <w:rPr>
                <w:noProof/>
              </w:rPr>
            </w:pPr>
            <w:r>
              <w:rPr>
                <w:noProof/>
              </w:rPr>
              <w:t>M5C1–7</w:t>
            </w:r>
          </w:p>
        </w:tc>
        <w:tc>
          <w:tcPr>
            <w:tcW w:w="3150" w:type="dxa"/>
            <w:tcBorders>
              <w:top w:val="nil"/>
              <w:left w:val="nil"/>
              <w:bottom w:val="single" w:sz="4" w:space="0" w:color="auto"/>
              <w:right w:val="single" w:sz="4" w:space="0" w:color="auto"/>
            </w:tcBorders>
            <w:shd w:val="clear" w:color="auto" w:fill="C6EFCE"/>
            <w:noWrap/>
            <w:vAlign w:val="center"/>
          </w:tcPr>
          <w:p w14:paraId="585F324B" w14:textId="77777777" w:rsidR="00154E32" w:rsidRDefault="00A43E04">
            <w:pPr>
              <w:pStyle w:val="P68B1DB1-Normal12"/>
              <w:jc w:val="center"/>
              <w:rPr>
                <w:noProof/>
              </w:rPr>
            </w:pPr>
            <w:r>
              <w:rPr>
                <w:noProof/>
              </w:rPr>
              <w:t xml:space="preserve">Naložba 1 – Krepitev javnih zavodov za zaposlovanje (JZZ) </w:t>
            </w:r>
          </w:p>
        </w:tc>
        <w:tc>
          <w:tcPr>
            <w:tcW w:w="1425" w:type="dxa"/>
            <w:tcBorders>
              <w:top w:val="nil"/>
              <w:left w:val="nil"/>
              <w:bottom w:val="single" w:sz="4" w:space="0" w:color="auto"/>
              <w:right w:val="single" w:sz="4" w:space="0" w:color="auto"/>
            </w:tcBorders>
            <w:shd w:val="clear" w:color="auto" w:fill="C6EFCE"/>
            <w:noWrap/>
            <w:vAlign w:val="center"/>
          </w:tcPr>
          <w:p w14:paraId="57194BF3"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008387EA" w14:textId="77777777" w:rsidR="00154E32" w:rsidRDefault="00A43E04">
            <w:pPr>
              <w:pStyle w:val="P68B1DB1-Normal12"/>
              <w:rPr>
                <w:noProof/>
              </w:rPr>
            </w:pPr>
            <w:r>
              <w:rPr>
                <w:noProof/>
              </w:rPr>
              <w:t>Javne službe za zaposlovanje (JZZ) so zaključile dejavnosti, predvidene v načrtu krepitve.</w:t>
            </w:r>
          </w:p>
        </w:tc>
      </w:tr>
      <w:tr w:rsidR="00154E32" w14:paraId="57952F1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FE01E6E" w14:textId="77777777" w:rsidR="00154E32" w:rsidRDefault="00A43E04">
            <w:pPr>
              <w:pStyle w:val="P68B1DB1-Normal12"/>
              <w:jc w:val="center"/>
              <w:rPr>
                <w:noProof/>
              </w:rPr>
            </w:pPr>
            <w:r>
              <w:rPr>
                <w:noProof/>
              </w:rPr>
              <w:t>M5C1–15</w:t>
            </w:r>
          </w:p>
        </w:tc>
        <w:tc>
          <w:tcPr>
            <w:tcW w:w="3150" w:type="dxa"/>
            <w:tcBorders>
              <w:top w:val="nil"/>
              <w:left w:val="nil"/>
              <w:bottom w:val="single" w:sz="4" w:space="0" w:color="auto"/>
              <w:right w:val="single" w:sz="4" w:space="0" w:color="auto"/>
            </w:tcBorders>
            <w:shd w:val="clear" w:color="auto" w:fill="C6EFCE"/>
            <w:noWrap/>
            <w:vAlign w:val="center"/>
          </w:tcPr>
          <w:p w14:paraId="63FC53A0" w14:textId="77777777" w:rsidR="00154E32" w:rsidRDefault="00A43E04">
            <w:pPr>
              <w:pStyle w:val="P68B1DB1-Normal12"/>
              <w:jc w:val="center"/>
              <w:rPr>
                <w:noProof/>
              </w:rPr>
            </w:pPr>
            <w:r>
              <w:rPr>
                <w:noProof/>
              </w:rPr>
              <w:t>Naložba 3 – Krepitev dvojnega sistema</w:t>
            </w:r>
          </w:p>
        </w:tc>
        <w:tc>
          <w:tcPr>
            <w:tcW w:w="1425" w:type="dxa"/>
            <w:tcBorders>
              <w:top w:val="nil"/>
              <w:left w:val="nil"/>
              <w:bottom w:val="single" w:sz="4" w:space="0" w:color="auto"/>
              <w:right w:val="single" w:sz="4" w:space="0" w:color="auto"/>
            </w:tcBorders>
            <w:shd w:val="clear" w:color="auto" w:fill="C6EFCE"/>
            <w:noWrap/>
            <w:vAlign w:val="center"/>
          </w:tcPr>
          <w:p w14:paraId="62211004"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29706310" w14:textId="77777777" w:rsidR="00154E32" w:rsidRDefault="00A43E04">
            <w:pPr>
              <w:pStyle w:val="P68B1DB1-Normal12"/>
              <w:rPr>
                <w:noProof/>
              </w:rPr>
            </w:pPr>
            <w:r>
              <w:rPr>
                <w:noProof/>
              </w:rPr>
              <w:t>Osebe, ki so sodelovale v dvojnem sistemu in pridobile ustrezno potrdilo v petletnem obdobju 2021–2025</w:t>
            </w:r>
          </w:p>
        </w:tc>
      </w:tr>
      <w:tr w:rsidR="00154E32" w14:paraId="02CBCC1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13C2368" w14:textId="77777777" w:rsidR="00154E32" w:rsidRDefault="00A43E04">
            <w:pPr>
              <w:pStyle w:val="P68B1DB1-Normal12"/>
              <w:jc w:val="center"/>
              <w:rPr>
                <w:noProof/>
              </w:rPr>
            </w:pPr>
            <w:r>
              <w:rPr>
                <w:noProof/>
              </w:rPr>
              <w:t>M6C2–2</w:t>
            </w:r>
          </w:p>
        </w:tc>
        <w:tc>
          <w:tcPr>
            <w:tcW w:w="3150" w:type="dxa"/>
            <w:tcBorders>
              <w:top w:val="nil"/>
              <w:left w:val="nil"/>
              <w:bottom w:val="single" w:sz="4" w:space="0" w:color="auto"/>
              <w:right w:val="single" w:sz="4" w:space="0" w:color="auto"/>
            </w:tcBorders>
            <w:shd w:val="clear" w:color="auto" w:fill="C6EFCE"/>
            <w:noWrap/>
            <w:vAlign w:val="center"/>
          </w:tcPr>
          <w:p w14:paraId="4B26FA0A" w14:textId="77777777" w:rsidR="00154E32" w:rsidRDefault="00A43E04">
            <w:pPr>
              <w:pStyle w:val="P68B1DB1-Normal12"/>
              <w:jc w:val="center"/>
              <w:rPr>
                <w:noProof/>
              </w:rPr>
            </w:pPr>
            <w:r>
              <w:rPr>
                <w:noProof/>
              </w:rPr>
              <w:t>Naložba 2.1: Krepitev in izboljšanje biomedicinskih raziskav NHS</w:t>
            </w:r>
          </w:p>
        </w:tc>
        <w:tc>
          <w:tcPr>
            <w:tcW w:w="1425" w:type="dxa"/>
            <w:tcBorders>
              <w:top w:val="nil"/>
              <w:left w:val="nil"/>
              <w:bottom w:val="single" w:sz="4" w:space="0" w:color="auto"/>
              <w:right w:val="single" w:sz="4" w:space="0" w:color="auto"/>
            </w:tcBorders>
            <w:shd w:val="clear" w:color="auto" w:fill="C6EFCE"/>
            <w:noWrap/>
            <w:vAlign w:val="center"/>
          </w:tcPr>
          <w:p w14:paraId="31532062"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5D0E25C5" w14:textId="77777777" w:rsidR="00154E32" w:rsidRDefault="00A43E04">
            <w:pPr>
              <w:pStyle w:val="P68B1DB1-Normal12"/>
              <w:rPr>
                <w:noProof/>
              </w:rPr>
            </w:pPr>
            <w:r>
              <w:rPr>
                <w:noProof/>
              </w:rPr>
              <w:t>Raziskovalni projekti, financirani na področju redkih vrst raka in bolezni</w:t>
            </w:r>
          </w:p>
        </w:tc>
      </w:tr>
      <w:tr w:rsidR="00154E32" w14:paraId="070E192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F603EF4" w14:textId="77777777" w:rsidR="00154E32" w:rsidRDefault="00A43E04">
            <w:pPr>
              <w:pStyle w:val="P68B1DB1-Normal12"/>
              <w:jc w:val="center"/>
              <w:rPr>
                <w:noProof/>
              </w:rPr>
            </w:pPr>
            <w:r>
              <w:rPr>
                <w:noProof/>
              </w:rPr>
              <w:t>M6C2–3</w:t>
            </w:r>
          </w:p>
        </w:tc>
        <w:tc>
          <w:tcPr>
            <w:tcW w:w="3150" w:type="dxa"/>
            <w:tcBorders>
              <w:top w:val="nil"/>
              <w:left w:val="nil"/>
              <w:bottom w:val="single" w:sz="4" w:space="0" w:color="auto"/>
              <w:right w:val="single" w:sz="4" w:space="0" w:color="auto"/>
            </w:tcBorders>
            <w:shd w:val="clear" w:color="auto" w:fill="C6EFCE"/>
            <w:noWrap/>
            <w:vAlign w:val="center"/>
          </w:tcPr>
          <w:p w14:paraId="0A5BF8E1" w14:textId="77777777" w:rsidR="00154E32" w:rsidRDefault="00A43E04">
            <w:pPr>
              <w:pStyle w:val="P68B1DB1-Normal12"/>
              <w:jc w:val="center"/>
              <w:rPr>
                <w:noProof/>
              </w:rPr>
            </w:pPr>
            <w:r>
              <w:rPr>
                <w:noProof/>
              </w:rPr>
              <w:t>Naložba 2.1: Krepitev in izboljšanje biomedicinskih raziskav NHS</w:t>
            </w:r>
          </w:p>
        </w:tc>
        <w:tc>
          <w:tcPr>
            <w:tcW w:w="1425" w:type="dxa"/>
            <w:tcBorders>
              <w:top w:val="nil"/>
              <w:left w:val="nil"/>
              <w:bottom w:val="single" w:sz="4" w:space="0" w:color="auto"/>
              <w:right w:val="single" w:sz="4" w:space="0" w:color="auto"/>
            </w:tcBorders>
            <w:shd w:val="clear" w:color="auto" w:fill="C6EFCE"/>
            <w:noWrap/>
            <w:vAlign w:val="center"/>
          </w:tcPr>
          <w:p w14:paraId="056778E1"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6D94F87F" w14:textId="77777777" w:rsidR="00154E32" w:rsidRDefault="00A43E04">
            <w:pPr>
              <w:pStyle w:val="P68B1DB1-Normal12"/>
              <w:rPr>
                <w:noProof/>
              </w:rPr>
            </w:pPr>
            <w:r>
              <w:rPr>
                <w:noProof/>
              </w:rPr>
              <w:t>Financirani raziskovalni projekti o boleznih z velikim vplivom na zdravje</w:t>
            </w:r>
          </w:p>
        </w:tc>
      </w:tr>
      <w:tr w:rsidR="00154E32" w14:paraId="379989E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2E787C5" w14:textId="77777777" w:rsidR="00154E32" w:rsidRDefault="00A43E04">
            <w:pPr>
              <w:pStyle w:val="P68B1DB1-Normal12"/>
              <w:jc w:val="center"/>
              <w:rPr>
                <w:noProof/>
              </w:rPr>
            </w:pPr>
            <w:r>
              <w:rPr>
                <w:noProof/>
              </w:rPr>
              <w:t>M7–3</w:t>
            </w:r>
          </w:p>
        </w:tc>
        <w:tc>
          <w:tcPr>
            <w:tcW w:w="3150" w:type="dxa"/>
            <w:tcBorders>
              <w:top w:val="nil"/>
              <w:left w:val="nil"/>
              <w:bottom w:val="single" w:sz="4" w:space="0" w:color="auto"/>
              <w:right w:val="single" w:sz="4" w:space="0" w:color="auto"/>
            </w:tcBorders>
            <w:shd w:val="clear" w:color="auto" w:fill="C6EFCE"/>
            <w:noWrap/>
            <w:vAlign w:val="center"/>
          </w:tcPr>
          <w:p w14:paraId="4750568D" w14:textId="77777777" w:rsidR="00154E32" w:rsidRDefault="00A43E04">
            <w:pPr>
              <w:pStyle w:val="P68B1DB1-Normal12"/>
              <w:rPr>
                <w:noProof/>
              </w:rPr>
            </w:pPr>
            <w:r>
              <w:rPr>
                <w:noProof/>
              </w:rPr>
              <w:t xml:space="preserve">Reforma 1: Racionalizacija postopkov izdaje dovoljenj za energijo iz obnovljivih virov </w:t>
            </w:r>
          </w:p>
        </w:tc>
        <w:tc>
          <w:tcPr>
            <w:tcW w:w="1425" w:type="dxa"/>
            <w:tcBorders>
              <w:top w:val="nil"/>
              <w:left w:val="nil"/>
              <w:bottom w:val="single" w:sz="4" w:space="0" w:color="auto"/>
              <w:right w:val="single" w:sz="4" w:space="0" w:color="auto"/>
            </w:tcBorders>
            <w:shd w:val="clear" w:color="auto" w:fill="C6EFCE"/>
            <w:noWrap/>
            <w:vAlign w:val="center"/>
          </w:tcPr>
          <w:p w14:paraId="70152BB9" w14:textId="77777777" w:rsidR="00154E32" w:rsidRDefault="00A43E04">
            <w:pPr>
              <w:pStyle w:val="P68B1DB1-Normal12"/>
              <w:jc w:val="center"/>
              <w:rPr>
                <w:noProof/>
              </w:rPr>
            </w:pPr>
            <w:r>
              <w:rPr>
                <w:noProof/>
              </w:rPr>
              <w:t>Mejnik</w:t>
            </w:r>
          </w:p>
        </w:tc>
        <w:tc>
          <w:tcPr>
            <w:tcW w:w="3959" w:type="dxa"/>
            <w:tcBorders>
              <w:top w:val="nil"/>
              <w:left w:val="nil"/>
              <w:bottom w:val="single" w:sz="4" w:space="0" w:color="auto"/>
              <w:right w:val="single" w:sz="4" w:space="0" w:color="auto"/>
            </w:tcBorders>
            <w:shd w:val="clear" w:color="auto" w:fill="C6EFCE"/>
            <w:noWrap/>
            <w:vAlign w:val="center"/>
          </w:tcPr>
          <w:p w14:paraId="773B4380" w14:textId="77777777" w:rsidR="00154E32" w:rsidRDefault="00A43E04">
            <w:pPr>
              <w:pStyle w:val="P68B1DB1-Normal12"/>
              <w:rPr>
                <w:noProof/>
              </w:rPr>
            </w:pPr>
            <w:r>
              <w:rPr>
                <w:noProof/>
              </w:rPr>
              <w:t>Vzpostavitev in operacionalizacija digitalne platforme za enkratni vstop za dovoljenja v zvezi z obnovljivimi viri energije</w:t>
            </w:r>
          </w:p>
        </w:tc>
      </w:tr>
      <w:tr w:rsidR="00154E32" w14:paraId="060466C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84C14E6" w14:textId="77777777" w:rsidR="00154E32" w:rsidRDefault="00A43E04">
            <w:pPr>
              <w:pStyle w:val="P68B1DB1-Normal12"/>
              <w:jc w:val="center"/>
              <w:rPr>
                <w:noProof/>
              </w:rPr>
            </w:pPr>
            <w:r>
              <w:rPr>
                <w:noProof/>
              </w:rPr>
              <w:t>M7–5</w:t>
            </w:r>
          </w:p>
        </w:tc>
        <w:tc>
          <w:tcPr>
            <w:tcW w:w="3150" w:type="dxa"/>
            <w:tcBorders>
              <w:top w:val="nil"/>
              <w:left w:val="nil"/>
              <w:bottom w:val="single" w:sz="4" w:space="0" w:color="auto"/>
              <w:right w:val="single" w:sz="4" w:space="0" w:color="auto"/>
            </w:tcBorders>
            <w:shd w:val="clear" w:color="auto" w:fill="C6EFCE"/>
            <w:noWrap/>
            <w:vAlign w:val="center"/>
          </w:tcPr>
          <w:p w14:paraId="39CA74F3" w14:textId="77777777" w:rsidR="00154E32" w:rsidRDefault="00A43E04">
            <w:pPr>
              <w:pStyle w:val="P68B1DB1-Normal12"/>
              <w:rPr>
                <w:noProof/>
              </w:rPr>
            </w:pPr>
            <w:r>
              <w:rPr>
                <w:noProof/>
              </w:rPr>
              <w:t>Reforma 2: Zmanjšanje okolju škodljivih subvencij</w:t>
            </w:r>
          </w:p>
        </w:tc>
        <w:tc>
          <w:tcPr>
            <w:tcW w:w="1425" w:type="dxa"/>
            <w:tcBorders>
              <w:top w:val="nil"/>
              <w:left w:val="nil"/>
              <w:bottom w:val="single" w:sz="4" w:space="0" w:color="auto"/>
              <w:right w:val="single" w:sz="4" w:space="0" w:color="auto"/>
            </w:tcBorders>
            <w:shd w:val="clear" w:color="auto" w:fill="C6EFCE"/>
            <w:noWrap/>
            <w:vAlign w:val="center"/>
          </w:tcPr>
          <w:p w14:paraId="26F56D5D" w14:textId="77777777" w:rsidR="00154E32" w:rsidRDefault="00A43E04">
            <w:pPr>
              <w:pStyle w:val="P68B1DB1-Normal12"/>
              <w:jc w:val="center"/>
              <w:rPr>
                <w:noProof/>
              </w:rPr>
            </w:pPr>
            <w:r>
              <w:rPr>
                <w:noProof/>
              </w:rPr>
              <w:t>Mejnik</w:t>
            </w:r>
          </w:p>
        </w:tc>
        <w:tc>
          <w:tcPr>
            <w:tcW w:w="3959" w:type="dxa"/>
            <w:tcBorders>
              <w:top w:val="nil"/>
              <w:left w:val="nil"/>
              <w:bottom w:val="single" w:sz="4" w:space="0" w:color="auto"/>
              <w:right w:val="single" w:sz="4" w:space="0" w:color="auto"/>
            </w:tcBorders>
            <w:shd w:val="clear" w:color="auto" w:fill="C6EFCE"/>
            <w:noWrap/>
            <w:vAlign w:val="center"/>
          </w:tcPr>
          <w:p w14:paraId="30714F85" w14:textId="77777777" w:rsidR="00154E32" w:rsidRDefault="00A43E04">
            <w:pPr>
              <w:pStyle w:val="P68B1DB1-Normal12"/>
              <w:rPr>
                <w:noProof/>
              </w:rPr>
            </w:pPr>
            <w:r>
              <w:rPr>
                <w:noProof/>
              </w:rPr>
              <w:t>Začetek veljavnosti primarne in sekundarne zakonodaje.</w:t>
            </w:r>
          </w:p>
        </w:tc>
      </w:tr>
      <w:tr w:rsidR="00154E32" w14:paraId="18C2AC6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1E7A261" w14:textId="77777777" w:rsidR="00154E32" w:rsidRDefault="00A43E04">
            <w:pPr>
              <w:pStyle w:val="P68B1DB1-Normal12"/>
              <w:jc w:val="center"/>
              <w:rPr>
                <w:noProof/>
              </w:rPr>
            </w:pPr>
            <w:r>
              <w:rPr>
                <w:noProof/>
              </w:rPr>
              <w:t>M7–21</w:t>
            </w:r>
          </w:p>
        </w:tc>
        <w:tc>
          <w:tcPr>
            <w:tcW w:w="3150" w:type="dxa"/>
            <w:tcBorders>
              <w:top w:val="nil"/>
              <w:left w:val="nil"/>
              <w:bottom w:val="single" w:sz="4" w:space="0" w:color="auto"/>
              <w:right w:val="single" w:sz="4" w:space="0" w:color="auto"/>
            </w:tcBorders>
            <w:shd w:val="clear" w:color="auto" w:fill="C6EFCE"/>
            <w:noWrap/>
            <w:vAlign w:val="center"/>
          </w:tcPr>
          <w:p w14:paraId="5E4D4505" w14:textId="77777777" w:rsidR="00154E32" w:rsidRDefault="00A43E04">
            <w:pPr>
              <w:pStyle w:val="P68B1DB1-Normal12"/>
              <w:rPr>
                <w:noProof/>
              </w:rPr>
            </w:pPr>
            <w:r>
              <w:rPr>
                <w:noProof/>
              </w:rPr>
              <w:t>Naložba 6: Projekti čezmejnih elektroenergetskih povezav med Italijo in sosednjimi državami</w:t>
            </w:r>
          </w:p>
        </w:tc>
        <w:tc>
          <w:tcPr>
            <w:tcW w:w="1425" w:type="dxa"/>
            <w:tcBorders>
              <w:top w:val="nil"/>
              <w:left w:val="nil"/>
              <w:bottom w:val="single" w:sz="4" w:space="0" w:color="auto"/>
              <w:right w:val="single" w:sz="4" w:space="0" w:color="auto"/>
            </w:tcBorders>
            <w:shd w:val="clear" w:color="auto" w:fill="C6EFCE"/>
            <w:noWrap/>
            <w:vAlign w:val="center"/>
          </w:tcPr>
          <w:p w14:paraId="555DAC4E"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05A7FDDD" w14:textId="77777777" w:rsidR="00154E32" w:rsidRDefault="00A43E04">
            <w:pPr>
              <w:pStyle w:val="P68B1DB1-Normal12"/>
              <w:rPr>
                <w:noProof/>
              </w:rPr>
            </w:pPr>
            <w:r>
              <w:rPr>
                <w:noProof/>
              </w:rPr>
              <w:t>Povečanje nazivne zmogljivosti povezovalnih daljnovodov med Italijo in Slovenijo po zaključku del</w:t>
            </w:r>
          </w:p>
        </w:tc>
      </w:tr>
      <w:tr w:rsidR="00154E32" w14:paraId="5FEB2B4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F5BB557" w14:textId="77777777" w:rsidR="00154E32" w:rsidRDefault="00A43E04">
            <w:pPr>
              <w:pStyle w:val="P68B1DB1-Normal12"/>
              <w:jc w:val="center"/>
              <w:rPr>
                <w:noProof/>
              </w:rPr>
            </w:pPr>
            <w:r>
              <w:rPr>
                <w:noProof/>
              </w:rPr>
              <w:t>M7–26</w:t>
            </w:r>
          </w:p>
        </w:tc>
        <w:tc>
          <w:tcPr>
            <w:tcW w:w="3150" w:type="dxa"/>
            <w:tcBorders>
              <w:top w:val="nil"/>
              <w:left w:val="nil"/>
              <w:bottom w:val="single" w:sz="4" w:space="0" w:color="auto"/>
              <w:right w:val="single" w:sz="4" w:space="0" w:color="auto"/>
            </w:tcBorders>
            <w:shd w:val="clear" w:color="auto" w:fill="C6EFCE"/>
            <w:noWrap/>
            <w:vAlign w:val="center"/>
          </w:tcPr>
          <w:p w14:paraId="7C48BBF8" w14:textId="77777777" w:rsidR="00154E32" w:rsidRDefault="00A43E04">
            <w:pPr>
              <w:pStyle w:val="P68B1DB1-Normal12"/>
              <w:rPr>
                <w:noProof/>
              </w:rPr>
            </w:pPr>
            <w:r>
              <w:rPr>
                <w:noProof/>
              </w:rPr>
              <w:t>Naložba 10: Trajnostna, krožna in varna oskrba s kritičnimi surovinami</w:t>
            </w:r>
          </w:p>
        </w:tc>
        <w:tc>
          <w:tcPr>
            <w:tcW w:w="1425" w:type="dxa"/>
            <w:tcBorders>
              <w:top w:val="nil"/>
              <w:left w:val="nil"/>
              <w:bottom w:val="single" w:sz="4" w:space="0" w:color="auto"/>
              <w:right w:val="single" w:sz="4" w:space="0" w:color="auto"/>
            </w:tcBorders>
            <w:shd w:val="clear" w:color="auto" w:fill="C6EFCE"/>
            <w:noWrap/>
            <w:vAlign w:val="center"/>
          </w:tcPr>
          <w:p w14:paraId="0D60128E" w14:textId="77777777" w:rsidR="00154E32" w:rsidRDefault="00A43E04">
            <w:pPr>
              <w:pStyle w:val="P68B1DB1-Normal12"/>
              <w:jc w:val="center"/>
              <w:rPr>
                <w:noProof/>
              </w:rPr>
            </w:pPr>
            <w:r>
              <w:rPr>
                <w:noProof/>
              </w:rPr>
              <w:t>Tarča</w:t>
            </w:r>
          </w:p>
        </w:tc>
        <w:tc>
          <w:tcPr>
            <w:tcW w:w="3959" w:type="dxa"/>
            <w:tcBorders>
              <w:top w:val="nil"/>
              <w:left w:val="nil"/>
              <w:bottom w:val="single" w:sz="4" w:space="0" w:color="auto"/>
              <w:right w:val="single" w:sz="4" w:space="0" w:color="auto"/>
            </w:tcBorders>
            <w:shd w:val="clear" w:color="auto" w:fill="C6EFCE"/>
            <w:noWrap/>
            <w:vAlign w:val="center"/>
          </w:tcPr>
          <w:p w14:paraId="39B495FF" w14:textId="77777777" w:rsidR="00154E32" w:rsidRDefault="00A43E04">
            <w:pPr>
              <w:pStyle w:val="P68B1DB1-Normal12"/>
              <w:rPr>
                <w:noProof/>
              </w:rPr>
            </w:pPr>
            <w:r>
              <w:rPr>
                <w:noProof/>
              </w:rPr>
              <w:t>Geografski informacijski sistem (GIS) o rudarskih odpadkih za trajnostno, krožno in varno oskrbo s kritičnimi surovinami</w:t>
            </w:r>
          </w:p>
        </w:tc>
      </w:tr>
      <w:tr w:rsidR="00154E32" w14:paraId="0432A9B8"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5BE751BA" w14:textId="77777777" w:rsidR="00154E32" w:rsidRDefault="00154E32">
            <w:pPr>
              <w:jc w:val="center"/>
              <w:rPr>
                <w:noProof/>
                <w:color w:val="006100"/>
                <w:sz w:val="20"/>
              </w:rPr>
            </w:pPr>
          </w:p>
        </w:tc>
        <w:tc>
          <w:tcPr>
            <w:tcW w:w="3150" w:type="dxa"/>
            <w:tcBorders>
              <w:top w:val="single" w:sz="4" w:space="0" w:color="auto"/>
              <w:left w:val="nil"/>
              <w:bottom w:val="single" w:sz="4" w:space="0" w:color="auto"/>
              <w:right w:val="single" w:sz="4" w:space="0" w:color="auto"/>
            </w:tcBorders>
            <w:shd w:val="clear" w:color="auto" w:fill="C6EFCE"/>
            <w:noWrap/>
            <w:vAlign w:val="bottom"/>
          </w:tcPr>
          <w:p w14:paraId="543722BD" w14:textId="77777777" w:rsidR="00154E32" w:rsidRDefault="00154E32">
            <w:pPr>
              <w:rPr>
                <w:noProof/>
                <w:color w:val="006100"/>
                <w:sz w:val="20"/>
              </w:rPr>
            </w:pPr>
          </w:p>
        </w:tc>
        <w:tc>
          <w:tcPr>
            <w:tcW w:w="1425" w:type="dxa"/>
            <w:tcBorders>
              <w:top w:val="single" w:sz="4" w:space="0" w:color="auto"/>
              <w:left w:val="nil"/>
              <w:bottom w:val="single" w:sz="4" w:space="0" w:color="auto"/>
              <w:right w:val="single" w:sz="4" w:space="0" w:color="auto"/>
            </w:tcBorders>
            <w:shd w:val="clear" w:color="auto" w:fill="C6EFCE"/>
            <w:noWrap/>
            <w:vAlign w:val="bottom"/>
          </w:tcPr>
          <w:p w14:paraId="623C8227" w14:textId="77777777" w:rsidR="00154E32" w:rsidRDefault="00A43E04">
            <w:pPr>
              <w:pStyle w:val="P68B1DB1-Normal12"/>
              <w:rPr>
                <w:noProof/>
              </w:rPr>
            </w:pPr>
            <w:r>
              <w:rPr>
                <w:noProof/>
              </w:rPr>
              <w:t>Znesek obroka</w:t>
            </w:r>
          </w:p>
        </w:tc>
        <w:tc>
          <w:tcPr>
            <w:tcW w:w="3959" w:type="dxa"/>
            <w:tcBorders>
              <w:top w:val="single" w:sz="4" w:space="0" w:color="auto"/>
              <w:left w:val="nil"/>
              <w:bottom w:val="single" w:sz="4" w:space="0" w:color="auto"/>
              <w:right w:val="single" w:sz="4" w:space="0" w:color="auto"/>
            </w:tcBorders>
            <w:shd w:val="clear" w:color="auto" w:fill="C6EFCE"/>
            <w:noWrap/>
            <w:vAlign w:val="bottom"/>
          </w:tcPr>
          <w:p w14:paraId="4659F5AC" w14:textId="00AC1C74" w:rsidR="00154E32" w:rsidRDefault="00A43E04">
            <w:pPr>
              <w:pStyle w:val="P68B1DB1-Normal46"/>
              <w:rPr>
                <w:noProof/>
              </w:rPr>
            </w:pPr>
            <w:r>
              <w:rPr>
                <w:noProof/>
              </w:rPr>
              <w:t>7</w:t>
            </w:r>
            <w:r>
              <w:rPr>
                <w:noProof/>
              </w:rPr>
              <w:t> </w:t>
            </w:r>
            <w:r>
              <w:rPr>
                <w:noProof/>
              </w:rPr>
              <w:t>046</w:t>
            </w:r>
            <w:r>
              <w:rPr>
                <w:noProof/>
              </w:rPr>
              <w:t> </w:t>
            </w:r>
            <w:r>
              <w:rPr>
                <w:noProof/>
              </w:rPr>
              <w:t>237</w:t>
            </w:r>
            <w:r>
              <w:rPr>
                <w:noProof/>
              </w:rPr>
              <w:t> </w:t>
            </w:r>
            <w:r>
              <w:rPr>
                <w:noProof/>
              </w:rPr>
              <w:t>746</w:t>
            </w:r>
            <w:r>
              <w:rPr>
                <w:noProof/>
              </w:rPr>
              <w:t> </w:t>
            </w:r>
            <w:r>
              <w:rPr>
                <w:noProof/>
              </w:rPr>
              <w:t>EUR</w:t>
            </w:r>
          </w:p>
        </w:tc>
      </w:tr>
    </w:tbl>
    <w:p w14:paraId="0DC62B79" w14:textId="1FB27D29" w:rsidR="00154E32" w:rsidRDefault="00A43E04">
      <w:pPr>
        <w:pStyle w:val="P68B1DB1-Normal44"/>
        <w:numPr>
          <w:ilvl w:val="1"/>
          <w:numId w:val="6"/>
        </w:numPr>
        <w:spacing w:before="120" w:after="120"/>
        <w:jc w:val="both"/>
        <w:rPr>
          <w:noProof/>
        </w:rPr>
      </w:pPr>
      <w:r>
        <w:rPr>
          <w:noProof/>
        </w:rPr>
        <w:t>Deseta namestitev (nepovratna podpora):</w:t>
      </w:r>
    </w:p>
    <w:tbl>
      <w:tblPr>
        <w:tblW w:w="10023" w:type="dxa"/>
        <w:tblInd w:w="113" w:type="dxa"/>
        <w:tblLook w:val="04A0" w:firstRow="1" w:lastRow="0" w:firstColumn="1" w:lastColumn="0" w:noHBand="0" w:noVBand="1"/>
      </w:tblPr>
      <w:tblGrid>
        <w:gridCol w:w="1413"/>
        <w:gridCol w:w="3195"/>
        <w:gridCol w:w="1380"/>
        <w:gridCol w:w="4035"/>
      </w:tblGrid>
      <w:tr w:rsidR="00154E32" w14:paraId="688B3F1D" w14:textId="77777777">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0421B7B" w14:textId="77777777" w:rsidR="00154E32" w:rsidRDefault="00A43E04">
            <w:pPr>
              <w:pStyle w:val="P68B1DB1-Normal45"/>
              <w:jc w:val="center"/>
              <w:rPr>
                <w:noProof/>
              </w:rPr>
            </w:pPr>
            <w:r>
              <w:rPr>
                <w:noProof/>
              </w:rPr>
              <w:t>Zaporedna številka</w:t>
            </w:r>
          </w:p>
        </w:tc>
        <w:tc>
          <w:tcPr>
            <w:tcW w:w="31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324FF18" w14:textId="77777777" w:rsidR="00154E32" w:rsidRDefault="00A43E04">
            <w:pPr>
              <w:pStyle w:val="P68B1DB1-Normal45"/>
              <w:jc w:val="center"/>
              <w:rPr>
                <w:noProof/>
              </w:rPr>
            </w:pPr>
            <w:r>
              <w:rPr>
                <w:noProof/>
              </w:rPr>
              <w:t>Povezani ukrep (reforma ali naložba)</w:t>
            </w:r>
          </w:p>
        </w:tc>
        <w:tc>
          <w:tcPr>
            <w:tcW w:w="138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D5B2B83" w14:textId="77777777" w:rsidR="00154E32" w:rsidRDefault="00A43E04">
            <w:pPr>
              <w:pStyle w:val="P68B1DB1-Normal45"/>
              <w:jc w:val="center"/>
              <w:rPr>
                <w:noProof/>
              </w:rPr>
            </w:pPr>
            <w:r>
              <w:rPr>
                <w:noProof/>
              </w:rPr>
              <w:t>Mejnik/cilj</w:t>
            </w:r>
          </w:p>
        </w:tc>
        <w:tc>
          <w:tcPr>
            <w:tcW w:w="403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DA11ABB" w14:textId="77777777" w:rsidR="00154E32" w:rsidRDefault="00A43E04">
            <w:pPr>
              <w:pStyle w:val="P68B1DB1-Normal45"/>
              <w:jc w:val="center"/>
              <w:rPr>
                <w:noProof/>
              </w:rPr>
            </w:pPr>
            <w:r>
              <w:rPr>
                <w:noProof/>
              </w:rPr>
              <w:t>Ime</w:t>
            </w:r>
          </w:p>
        </w:tc>
      </w:tr>
      <w:tr w:rsidR="00154E32" w14:paraId="6580FD9B" w14:textId="77777777">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41012ACE" w14:textId="77777777" w:rsidR="00154E32" w:rsidRDefault="00154E32">
            <w:pPr>
              <w:rPr>
                <w:b/>
                <w:noProof/>
              </w:rPr>
            </w:pP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64D3F08F" w14:textId="77777777" w:rsidR="00154E32" w:rsidRDefault="00154E32">
            <w:pPr>
              <w:rPr>
                <w:b/>
                <w:noProof/>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31C081FB" w14:textId="77777777" w:rsidR="00154E32" w:rsidRDefault="00154E32">
            <w:pPr>
              <w:rPr>
                <w:b/>
                <w:noProof/>
              </w:rPr>
            </w:pPr>
          </w:p>
        </w:tc>
        <w:tc>
          <w:tcPr>
            <w:tcW w:w="4035" w:type="dxa"/>
            <w:vMerge/>
            <w:tcBorders>
              <w:top w:val="single" w:sz="4" w:space="0" w:color="auto"/>
              <w:left w:val="single" w:sz="4" w:space="0" w:color="auto"/>
              <w:bottom w:val="single" w:sz="4" w:space="0" w:color="auto"/>
              <w:right w:val="single" w:sz="4" w:space="0" w:color="auto"/>
            </w:tcBorders>
            <w:vAlign w:val="center"/>
            <w:hideMark/>
          </w:tcPr>
          <w:p w14:paraId="41474077" w14:textId="77777777" w:rsidR="00154E32" w:rsidRDefault="00154E32">
            <w:pPr>
              <w:rPr>
                <w:b/>
                <w:noProof/>
              </w:rPr>
            </w:pPr>
          </w:p>
        </w:tc>
      </w:tr>
      <w:tr w:rsidR="00154E32" w14:paraId="73054B85"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208DFE20" w14:textId="77777777" w:rsidR="00154E32" w:rsidRDefault="00A43E04">
            <w:pPr>
              <w:pStyle w:val="P68B1DB1-Normal12"/>
              <w:jc w:val="center"/>
              <w:rPr>
                <w:noProof/>
              </w:rPr>
            </w:pPr>
            <w:r>
              <w:rPr>
                <w:noProof/>
              </w:rPr>
              <w:t>M1C1–88</w:t>
            </w:r>
          </w:p>
        </w:tc>
        <w:tc>
          <w:tcPr>
            <w:tcW w:w="3195" w:type="dxa"/>
            <w:tcBorders>
              <w:top w:val="single" w:sz="4" w:space="0" w:color="auto"/>
              <w:left w:val="nil"/>
              <w:bottom w:val="single" w:sz="4" w:space="0" w:color="auto"/>
              <w:right w:val="single" w:sz="4" w:space="0" w:color="auto"/>
            </w:tcBorders>
            <w:shd w:val="clear" w:color="auto" w:fill="C6EFCE"/>
            <w:noWrap/>
            <w:vAlign w:val="center"/>
          </w:tcPr>
          <w:p w14:paraId="025ACACD" w14:textId="77777777" w:rsidR="00154E32" w:rsidRDefault="00A43E04">
            <w:pPr>
              <w:pStyle w:val="P68B1DB1-Normal12"/>
              <w:jc w:val="center"/>
              <w:rPr>
                <w:noProof/>
              </w:rPr>
            </w:pPr>
            <w:r>
              <w:rPr>
                <w:noProof/>
              </w:rPr>
              <w:t>Reforma 1.11: Zmanjšanje zamud pri plačilih javnih uprav in zdravstvenih organov</w:t>
            </w:r>
          </w:p>
        </w:tc>
        <w:tc>
          <w:tcPr>
            <w:tcW w:w="1380" w:type="dxa"/>
            <w:tcBorders>
              <w:top w:val="single" w:sz="4" w:space="0" w:color="auto"/>
              <w:left w:val="nil"/>
              <w:bottom w:val="single" w:sz="4" w:space="0" w:color="auto"/>
              <w:right w:val="single" w:sz="4" w:space="0" w:color="auto"/>
            </w:tcBorders>
            <w:shd w:val="clear" w:color="auto" w:fill="C6EFCE"/>
            <w:noWrap/>
            <w:vAlign w:val="center"/>
          </w:tcPr>
          <w:p w14:paraId="7022BE49" w14:textId="77777777" w:rsidR="00154E32" w:rsidRDefault="00A43E04">
            <w:pPr>
              <w:pStyle w:val="P68B1DB1-Normal12"/>
              <w:jc w:val="center"/>
              <w:rPr>
                <w:noProof/>
              </w:rPr>
            </w:pPr>
            <w:r>
              <w:rPr>
                <w:noProof/>
              </w:rPr>
              <w:t>Tarča</w:t>
            </w:r>
          </w:p>
        </w:tc>
        <w:tc>
          <w:tcPr>
            <w:tcW w:w="4035" w:type="dxa"/>
            <w:tcBorders>
              <w:top w:val="single" w:sz="4" w:space="0" w:color="auto"/>
              <w:left w:val="nil"/>
              <w:bottom w:val="single" w:sz="4" w:space="0" w:color="auto"/>
              <w:right w:val="single" w:sz="4" w:space="0" w:color="auto"/>
            </w:tcBorders>
            <w:shd w:val="clear" w:color="auto" w:fill="C6EFCE"/>
            <w:noWrap/>
            <w:vAlign w:val="center"/>
          </w:tcPr>
          <w:p w14:paraId="7FEAEFFA" w14:textId="77777777" w:rsidR="00154E32" w:rsidRDefault="00A43E04">
            <w:pPr>
              <w:pStyle w:val="P68B1DB1-Normal12"/>
              <w:rPr>
                <w:noProof/>
              </w:rPr>
            </w:pPr>
            <w:r>
              <w:rPr>
                <w:noProof/>
              </w:rPr>
              <w:t>Povprečno število dni, ki jih centralne javne uprave potrebujejo za plačilo podjetjem, se zmanjša</w:t>
            </w:r>
          </w:p>
        </w:tc>
      </w:tr>
      <w:tr w:rsidR="00154E32" w14:paraId="439C5D4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2F1757" w14:textId="77777777" w:rsidR="00154E32" w:rsidRDefault="00A43E04">
            <w:pPr>
              <w:pStyle w:val="P68B1DB1-Normal12"/>
              <w:jc w:val="center"/>
              <w:rPr>
                <w:noProof/>
              </w:rPr>
            </w:pPr>
            <w:r>
              <w:rPr>
                <w:noProof/>
              </w:rPr>
              <w:t>M1C1–89</w:t>
            </w:r>
          </w:p>
        </w:tc>
        <w:tc>
          <w:tcPr>
            <w:tcW w:w="3195" w:type="dxa"/>
            <w:tcBorders>
              <w:top w:val="nil"/>
              <w:left w:val="nil"/>
              <w:bottom w:val="single" w:sz="4" w:space="0" w:color="auto"/>
              <w:right w:val="single" w:sz="4" w:space="0" w:color="auto"/>
            </w:tcBorders>
            <w:shd w:val="clear" w:color="auto" w:fill="C6EFCE"/>
            <w:noWrap/>
            <w:vAlign w:val="center"/>
          </w:tcPr>
          <w:p w14:paraId="029F3F59" w14:textId="77777777" w:rsidR="00154E32" w:rsidRDefault="00A43E04">
            <w:pPr>
              <w:pStyle w:val="P68B1DB1-Normal12"/>
              <w:jc w:val="center"/>
              <w:rPr>
                <w:noProof/>
              </w:rPr>
            </w:pPr>
            <w:r>
              <w:rPr>
                <w:noProof/>
              </w:rPr>
              <w:t>Reforma 1.11: Zmanjšanje zamud pri plačilih javnih uprav in zdravstvenih organov</w:t>
            </w:r>
          </w:p>
        </w:tc>
        <w:tc>
          <w:tcPr>
            <w:tcW w:w="1380" w:type="dxa"/>
            <w:tcBorders>
              <w:top w:val="nil"/>
              <w:left w:val="nil"/>
              <w:bottom w:val="single" w:sz="4" w:space="0" w:color="auto"/>
              <w:right w:val="single" w:sz="4" w:space="0" w:color="auto"/>
            </w:tcBorders>
            <w:shd w:val="clear" w:color="auto" w:fill="C6EFCE"/>
            <w:noWrap/>
            <w:vAlign w:val="center"/>
          </w:tcPr>
          <w:p w14:paraId="324DEB89"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7251B512" w14:textId="77777777" w:rsidR="00154E32" w:rsidRDefault="00A43E04">
            <w:pPr>
              <w:pStyle w:val="P68B1DB1-Normal12"/>
              <w:rPr>
                <w:noProof/>
              </w:rPr>
            </w:pPr>
            <w:r>
              <w:rPr>
                <w:noProof/>
              </w:rPr>
              <w:t>Povprečno število dni za regionalne javne uprave za plačilo podjetjem se zmanjša</w:t>
            </w:r>
          </w:p>
        </w:tc>
      </w:tr>
      <w:tr w:rsidR="00154E32" w14:paraId="7221135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0B2B891" w14:textId="77777777" w:rsidR="00154E32" w:rsidRDefault="00A43E04">
            <w:pPr>
              <w:pStyle w:val="P68B1DB1-Normal12"/>
              <w:jc w:val="center"/>
              <w:rPr>
                <w:noProof/>
              </w:rPr>
            </w:pPr>
            <w:r>
              <w:rPr>
                <w:noProof/>
              </w:rPr>
              <w:t>M1C1–90</w:t>
            </w:r>
          </w:p>
        </w:tc>
        <w:tc>
          <w:tcPr>
            <w:tcW w:w="3195" w:type="dxa"/>
            <w:tcBorders>
              <w:top w:val="nil"/>
              <w:left w:val="nil"/>
              <w:bottom w:val="single" w:sz="4" w:space="0" w:color="auto"/>
              <w:right w:val="single" w:sz="4" w:space="0" w:color="auto"/>
            </w:tcBorders>
            <w:shd w:val="clear" w:color="auto" w:fill="C6EFCE"/>
            <w:noWrap/>
            <w:vAlign w:val="center"/>
          </w:tcPr>
          <w:p w14:paraId="435F7BBA" w14:textId="77777777" w:rsidR="00154E32" w:rsidRDefault="00A43E04">
            <w:pPr>
              <w:pStyle w:val="P68B1DB1-Normal12"/>
              <w:jc w:val="center"/>
              <w:rPr>
                <w:noProof/>
              </w:rPr>
            </w:pPr>
            <w:r>
              <w:rPr>
                <w:noProof/>
              </w:rPr>
              <w:t>Reforma 1.11: Zmanjšanje zamud pri plačilih javnih uprav in zdravstvenih organov</w:t>
            </w:r>
          </w:p>
        </w:tc>
        <w:tc>
          <w:tcPr>
            <w:tcW w:w="1380" w:type="dxa"/>
            <w:tcBorders>
              <w:top w:val="nil"/>
              <w:left w:val="nil"/>
              <w:bottom w:val="single" w:sz="4" w:space="0" w:color="auto"/>
              <w:right w:val="single" w:sz="4" w:space="0" w:color="auto"/>
            </w:tcBorders>
            <w:shd w:val="clear" w:color="auto" w:fill="C6EFCE"/>
            <w:noWrap/>
            <w:vAlign w:val="center"/>
          </w:tcPr>
          <w:p w14:paraId="411A5B5F"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2B302C52" w14:textId="77777777" w:rsidR="00154E32" w:rsidRDefault="00A43E04">
            <w:pPr>
              <w:pStyle w:val="P68B1DB1-Normal12"/>
              <w:rPr>
                <w:noProof/>
              </w:rPr>
            </w:pPr>
            <w:r>
              <w:rPr>
                <w:noProof/>
              </w:rPr>
              <w:t>Povprečno število dni, ko lokalne javne uprave plačajo podjetjem, se zmanjša</w:t>
            </w:r>
          </w:p>
        </w:tc>
      </w:tr>
      <w:tr w:rsidR="00154E32" w14:paraId="4D0D86A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9EFCA5E" w14:textId="77777777" w:rsidR="00154E32" w:rsidRDefault="00A43E04">
            <w:pPr>
              <w:pStyle w:val="P68B1DB1-Normal12"/>
              <w:jc w:val="center"/>
              <w:rPr>
                <w:noProof/>
              </w:rPr>
            </w:pPr>
            <w:r>
              <w:rPr>
                <w:noProof/>
              </w:rPr>
              <w:t>M1C1–91</w:t>
            </w:r>
          </w:p>
        </w:tc>
        <w:tc>
          <w:tcPr>
            <w:tcW w:w="3195" w:type="dxa"/>
            <w:tcBorders>
              <w:top w:val="nil"/>
              <w:left w:val="nil"/>
              <w:bottom w:val="single" w:sz="4" w:space="0" w:color="auto"/>
              <w:right w:val="single" w:sz="4" w:space="0" w:color="auto"/>
            </w:tcBorders>
            <w:shd w:val="clear" w:color="auto" w:fill="C6EFCE"/>
            <w:noWrap/>
            <w:vAlign w:val="center"/>
          </w:tcPr>
          <w:p w14:paraId="7F33695D" w14:textId="77777777" w:rsidR="00154E32" w:rsidRDefault="00A43E04">
            <w:pPr>
              <w:pStyle w:val="P68B1DB1-Normal12"/>
              <w:jc w:val="center"/>
              <w:rPr>
                <w:noProof/>
              </w:rPr>
            </w:pPr>
            <w:r>
              <w:rPr>
                <w:noProof/>
              </w:rPr>
              <w:t>Reforma 1.11: Zmanjšanje zamud pri plačilih javnih uprav in zdravstvenih organov</w:t>
            </w:r>
          </w:p>
        </w:tc>
        <w:tc>
          <w:tcPr>
            <w:tcW w:w="1380" w:type="dxa"/>
            <w:tcBorders>
              <w:top w:val="nil"/>
              <w:left w:val="nil"/>
              <w:bottom w:val="single" w:sz="4" w:space="0" w:color="auto"/>
              <w:right w:val="single" w:sz="4" w:space="0" w:color="auto"/>
            </w:tcBorders>
            <w:shd w:val="clear" w:color="auto" w:fill="C6EFCE"/>
            <w:noWrap/>
            <w:vAlign w:val="center"/>
          </w:tcPr>
          <w:p w14:paraId="725E004E"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1B3EA35A" w14:textId="77777777" w:rsidR="00154E32" w:rsidRDefault="00A43E04">
            <w:pPr>
              <w:pStyle w:val="P68B1DB1-Normal12"/>
              <w:rPr>
                <w:noProof/>
              </w:rPr>
            </w:pPr>
            <w:r>
              <w:rPr>
                <w:noProof/>
              </w:rPr>
              <w:t>Povprečno število dni za javne zdravstvene uprave, da plačajo podjetjem, se zmanjša</w:t>
            </w:r>
          </w:p>
        </w:tc>
      </w:tr>
      <w:tr w:rsidR="00154E32" w14:paraId="1E368D7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AF31E58" w14:textId="77777777" w:rsidR="00154E32" w:rsidRDefault="00A43E04">
            <w:pPr>
              <w:pStyle w:val="P68B1DB1-Normal12"/>
              <w:jc w:val="center"/>
              <w:rPr>
                <w:noProof/>
              </w:rPr>
            </w:pPr>
            <w:r>
              <w:rPr>
                <w:noProof/>
              </w:rPr>
              <w:t>M1C1–92</w:t>
            </w:r>
          </w:p>
        </w:tc>
        <w:tc>
          <w:tcPr>
            <w:tcW w:w="3195" w:type="dxa"/>
            <w:tcBorders>
              <w:top w:val="nil"/>
              <w:left w:val="nil"/>
              <w:bottom w:val="single" w:sz="4" w:space="0" w:color="auto"/>
              <w:right w:val="single" w:sz="4" w:space="0" w:color="auto"/>
            </w:tcBorders>
            <w:shd w:val="clear" w:color="auto" w:fill="C6EFCE"/>
            <w:noWrap/>
            <w:vAlign w:val="center"/>
          </w:tcPr>
          <w:p w14:paraId="7BDFC47F" w14:textId="77777777" w:rsidR="00154E32" w:rsidRDefault="00A43E04">
            <w:pPr>
              <w:pStyle w:val="P68B1DB1-Normal12"/>
              <w:jc w:val="center"/>
              <w:rPr>
                <w:noProof/>
              </w:rPr>
            </w:pPr>
            <w:r>
              <w:rPr>
                <w:noProof/>
              </w:rPr>
              <w:t>Reforma 1.11: Zmanjšanje zamud pri plačilih javnih uprav in zdravstvenih organov</w:t>
            </w:r>
          </w:p>
        </w:tc>
        <w:tc>
          <w:tcPr>
            <w:tcW w:w="1380" w:type="dxa"/>
            <w:tcBorders>
              <w:top w:val="nil"/>
              <w:left w:val="nil"/>
              <w:bottom w:val="single" w:sz="4" w:space="0" w:color="auto"/>
              <w:right w:val="single" w:sz="4" w:space="0" w:color="auto"/>
            </w:tcBorders>
            <w:shd w:val="clear" w:color="auto" w:fill="C6EFCE"/>
            <w:noWrap/>
            <w:vAlign w:val="center"/>
          </w:tcPr>
          <w:p w14:paraId="5282349F"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68299499" w14:textId="77777777" w:rsidR="00154E32" w:rsidRDefault="00A43E04">
            <w:pPr>
              <w:pStyle w:val="P68B1DB1-Normal12"/>
              <w:rPr>
                <w:noProof/>
              </w:rPr>
            </w:pPr>
            <w:r>
              <w:rPr>
                <w:noProof/>
              </w:rPr>
              <w:t>Povprečno število dni zamude centralnih javnih uprav pri plačevanju podjetij se zmanjša</w:t>
            </w:r>
          </w:p>
        </w:tc>
      </w:tr>
      <w:tr w:rsidR="00154E32" w14:paraId="366F667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DD1C6A" w14:textId="77777777" w:rsidR="00154E32" w:rsidRDefault="00A43E04">
            <w:pPr>
              <w:pStyle w:val="P68B1DB1-Normal12"/>
              <w:jc w:val="center"/>
              <w:rPr>
                <w:noProof/>
              </w:rPr>
            </w:pPr>
            <w:r>
              <w:rPr>
                <w:noProof/>
              </w:rPr>
              <w:t>M1C1–93</w:t>
            </w:r>
          </w:p>
        </w:tc>
        <w:tc>
          <w:tcPr>
            <w:tcW w:w="3195" w:type="dxa"/>
            <w:tcBorders>
              <w:top w:val="nil"/>
              <w:left w:val="nil"/>
              <w:bottom w:val="single" w:sz="4" w:space="0" w:color="auto"/>
              <w:right w:val="single" w:sz="4" w:space="0" w:color="auto"/>
            </w:tcBorders>
            <w:shd w:val="clear" w:color="auto" w:fill="C6EFCE"/>
            <w:noWrap/>
            <w:vAlign w:val="center"/>
          </w:tcPr>
          <w:p w14:paraId="1697EBB9" w14:textId="77777777" w:rsidR="00154E32" w:rsidRDefault="00A43E04">
            <w:pPr>
              <w:pStyle w:val="P68B1DB1-Normal12"/>
              <w:jc w:val="center"/>
              <w:rPr>
                <w:noProof/>
              </w:rPr>
            </w:pPr>
            <w:r>
              <w:rPr>
                <w:noProof/>
              </w:rPr>
              <w:t>Reforma 1.11: Zmanjšanje zamud pri plačilih javnih uprav in zdravstvenih organov</w:t>
            </w:r>
          </w:p>
        </w:tc>
        <w:tc>
          <w:tcPr>
            <w:tcW w:w="1380" w:type="dxa"/>
            <w:tcBorders>
              <w:top w:val="nil"/>
              <w:left w:val="nil"/>
              <w:bottom w:val="single" w:sz="4" w:space="0" w:color="auto"/>
              <w:right w:val="single" w:sz="4" w:space="0" w:color="auto"/>
            </w:tcBorders>
            <w:shd w:val="clear" w:color="auto" w:fill="C6EFCE"/>
            <w:noWrap/>
            <w:vAlign w:val="center"/>
          </w:tcPr>
          <w:p w14:paraId="5D3ACA2F"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336B4CD5" w14:textId="77777777" w:rsidR="00154E32" w:rsidRDefault="00A43E04">
            <w:pPr>
              <w:pStyle w:val="P68B1DB1-Normal12"/>
              <w:rPr>
                <w:noProof/>
              </w:rPr>
            </w:pPr>
            <w:r>
              <w:rPr>
                <w:noProof/>
              </w:rPr>
              <w:t>Povprečno število dni zamude regionalnih javnih uprav pri plačevanju podjetij se zmanjša</w:t>
            </w:r>
          </w:p>
        </w:tc>
      </w:tr>
      <w:tr w:rsidR="00154E32" w14:paraId="25E4614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ABAA9F6" w14:textId="77777777" w:rsidR="00154E32" w:rsidRDefault="00A43E04">
            <w:pPr>
              <w:pStyle w:val="P68B1DB1-Normal12"/>
              <w:jc w:val="center"/>
              <w:rPr>
                <w:noProof/>
              </w:rPr>
            </w:pPr>
            <w:r>
              <w:rPr>
                <w:noProof/>
              </w:rPr>
              <w:t>M1C1–94</w:t>
            </w:r>
          </w:p>
        </w:tc>
        <w:tc>
          <w:tcPr>
            <w:tcW w:w="3195" w:type="dxa"/>
            <w:tcBorders>
              <w:top w:val="nil"/>
              <w:left w:val="nil"/>
              <w:bottom w:val="single" w:sz="4" w:space="0" w:color="auto"/>
              <w:right w:val="single" w:sz="4" w:space="0" w:color="auto"/>
            </w:tcBorders>
            <w:shd w:val="clear" w:color="auto" w:fill="C6EFCE"/>
            <w:noWrap/>
            <w:vAlign w:val="center"/>
          </w:tcPr>
          <w:p w14:paraId="16172E31" w14:textId="77777777" w:rsidR="00154E32" w:rsidRDefault="00A43E04">
            <w:pPr>
              <w:pStyle w:val="P68B1DB1-Normal12"/>
              <w:jc w:val="center"/>
              <w:rPr>
                <w:noProof/>
              </w:rPr>
            </w:pPr>
            <w:r>
              <w:rPr>
                <w:noProof/>
              </w:rPr>
              <w:t>Reforma 1.11: Zmanjšanje zamud pri plačilih javnih uprav in zdravstvenih organov</w:t>
            </w:r>
          </w:p>
        </w:tc>
        <w:tc>
          <w:tcPr>
            <w:tcW w:w="1380" w:type="dxa"/>
            <w:tcBorders>
              <w:top w:val="nil"/>
              <w:left w:val="nil"/>
              <w:bottom w:val="single" w:sz="4" w:space="0" w:color="auto"/>
              <w:right w:val="single" w:sz="4" w:space="0" w:color="auto"/>
            </w:tcBorders>
            <w:shd w:val="clear" w:color="auto" w:fill="C6EFCE"/>
            <w:noWrap/>
            <w:vAlign w:val="center"/>
          </w:tcPr>
          <w:p w14:paraId="1253CFE4"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345B193F" w14:textId="77777777" w:rsidR="00154E32" w:rsidRDefault="00A43E04">
            <w:pPr>
              <w:pStyle w:val="P68B1DB1-Normal12"/>
              <w:rPr>
                <w:noProof/>
              </w:rPr>
            </w:pPr>
            <w:r>
              <w:rPr>
                <w:noProof/>
              </w:rPr>
              <w:t>Povprečno število dni zamude lokalnih javnih uprav pri plačevanju podjetij se zmanjša</w:t>
            </w:r>
          </w:p>
        </w:tc>
      </w:tr>
      <w:tr w:rsidR="00154E32" w14:paraId="62E4A93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5759187" w14:textId="77777777" w:rsidR="00154E32" w:rsidRDefault="00A43E04">
            <w:pPr>
              <w:pStyle w:val="P68B1DB1-Normal12"/>
              <w:jc w:val="center"/>
              <w:rPr>
                <w:noProof/>
              </w:rPr>
            </w:pPr>
            <w:r>
              <w:rPr>
                <w:noProof/>
              </w:rPr>
              <w:t>M1C1–95</w:t>
            </w:r>
          </w:p>
        </w:tc>
        <w:tc>
          <w:tcPr>
            <w:tcW w:w="3195" w:type="dxa"/>
            <w:tcBorders>
              <w:top w:val="nil"/>
              <w:left w:val="nil"/>
              <w:bottom w:val="single" w:sz="4" w:space="0" w:color="auto"/>
              <w:right w:val="single" w:sz="4" w:space="0" w:color="auto"/>
            </w:tcBorders>
            <w:shd w:val="clear" w:color="auto" w:fill="C6EFCE"/>
            <w:noWrap/>
            <w:vAlign w:val="center"/>
          </w:tcPr>
          <w:p w14:paraId="4A5CB79E" w14:textId="77777777" w:rsidR="00154E32" w:rsidRDefault="00A43E04">
            <w:pPr>
              <w:pStyle w:val="P68B1DB1-Normal12"/>
              <w:jc w:val="center"/>
              <w:rPr>
                <w:noProof/>
              </w:rPr>
            </w:pPr>
            <w:r>
              <w:rPr>
                <w:noProof/>
              </w:rPr>
              <w:t>Reforma 1.11: Zmanjšanje zamud pri plačilih javnih uprav in zdravstvenih organov</w:t>
            </w:r>
          </w:p>
        </w:tc>
        <w:tc>
          <w:tcPr>
            <w:tcW w:w="1380" w:type="dxa"/>
            <w:tcBorders>
              <w:top w:val="nil"/>
              <w:left w:val="nil"/>
              <w:bottom w:val="single" w:sz="4" w:space="0" w:color="auto"/>
              <w:right w:val="single" w:sz="4" w:space="0" w:color="auto"/>
            </w:tcBorders>
            <w:shd w:val="clear" w:color="auto" w:fill="C6EFCE"/>
            <w:noWrap/>
            <w:vAlign w:val="center"/>
          </w:tcPr>
          <w:p w14:paraId="61FCFE7D"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41BBF64C" w14:textId="77777777" w:rsidR="00154E32" w:rsidRDefault="00A43E04">
            <w:pPr>
              <w:pStyle w:val="P68B1DB1-Normal12"/>
              <w:rPr>
                <w:noProof/>
              </w:rPr>
            </w:pPr>
            <w:r>
              <w:rPr>
                <w:noProof/>
              </w:rPr>
              <w:t>Povprečno število dni zamude zdravstvenih javnih uprav pri plačevanju podjetij se zmanjša</w:t>
            </w:r>
          </w:p>
        </w:tc>
      </w:tr>
      <w:tr w:rsidR="00154E32" w14:paraId="2018D32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93D44A6" w14:textId="77777777" w:rsidR="00154E32" w:rsidRDefault="00A43E04">
            <w:pPr>
              <w:pStyle w:val="P68B1DB1-Normal12"/>
              <w:jc w:val="center"/>
              <w:rPr>
                <w:noProof/>
              </w:rPr>
            </w:pPr>
            <w:r>
              <w:rPr>
                <w:noProof/>
              </w:rPr>
              <w:t>M1C1–117</w:t>
            </w:r>
          </w:p>
        </w:tc>
        <w:tc>
          <w:tcPr>
            <w:tcW w:w="3195" w:type="dxa"/>
            <w:tcBorders>
              <w:top w:val="nil"/>
              <w:left w:val="nil"/>
              <w:bottom w:val="single" w:sz="4" w:space="0" w:color="auto"/>
              <w:right w:val="single" w:sz="4" w:space="0" w:color="auto"/>
            </w:tcBorders>
            <w:shd w:val="clear" w:color="auto" w:fill="C6EFCE"/>
            <w:noWrap/>
            <w:vAlign w:val="center"/>
          </w:tcPr>
          <w:p w14:paraId="3E7F9D0D" w14:textId="77777777" w:rsidR="00154E32" w:rsidRDefault="00A43E04">
            <w:pPr>
              <w:pStyle w:val="P68B1DB1-Normal12"/>
              <w:jc w:val="center"/>
              <w:rPr>
                <w:noProof/>
              </w:rPr>
            </w:pPr>
            <w:r>
              <w:rPr>
                <w:noProof/>
              </w:rPr>
              <w:t>Reforma 1.15: Reforma pravil javnega računovodstva</w:t>
            </w:r>
          </w:p>
        </w:tc>
        <w:tc>
          <w:tcPr>
            <w:tcW w:w="1380" w:type="dxa"/>
            <w:tcBorders>
              <w:top w:val="nil"/>
              <w:left w:val="nil"/>
              <w:bottom w:val="single" w:sz="4" w:space="0" w:color="auto"/>
              <w:right w:val="single" w:sz="4" w:space="0" w:color="auto"/>
            </w:tcBorders>
            <w:shd w:val="clear" w:color="auto" w:fill="C6EFCE"/>
            <w:noWrap/>
            <w:vAlign w:val="center"/>
          </w:tcPr>
          <w:p w14:paraId="40B8C23B"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0B00285B" w14:textId="77777777" w:rsidR="00154E32" w:rsidRDefault="00A43E04">
            <w:pPr>
              <w:pStyle w:val="P68B1DB1-Normal12"/>
              <w:rPr>
                <w:noProof/>
              </w:rPr>
            </w:pPr>
            <w:r>
              <w:rPr>
                <w:noProof/>
              </w:rPr>
              <w:t>Javni subjekti, usposobljeni za prehod na nov računovodski sistem na podlagi nastanka poslovnega dogodka</w:t>
            </w:r>
          </w:p>
        </w:tc>
      </w:tr>
      <w:tr w:rsidR="00154E32" w14:paraId="537B45F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3691319" w14:textId="77777777" w:rsidR="00154E32" w:rsidRDefault="00A43E04">
            <w:pPr>
              <w:pStyle w:val="P68B1DB1-Normal12"/>
              <w:jc w:val="center"/>
              <w:rPr>
                <w:noProof/>
              </w:rPr>
            </w:pPr>
            <w:r>
              <w:rPr>
                <w:noProof/>
              </w:rPr>
              <w:t>M1C1–119</w:t>
            </w:r>
          </w:p>
        </w:tc>
        <w:tc>
          <w:tcPr>
            <w:tcW w:w="3195" w:type="dxa"/>
            <w:tcBorders>
              <w:top w:val="nil"/>
              <w:left w:val="nil"/>
              <w:bottom w:val="single" w:sz="4" w:space="0" w:color="auto"/>
              <w:right w:val="single" w:sz="4" w:space="0" w:color="auto"/>
            </w:tcBorders>
            <w:shd w:val="clear" w:color="auto" w:fill="C6EFCE"/>
            <w:noWrap/>
            <w:vAlign w:val="center"/>
          </w:tcPr>
          <w:p w14:paraId="210E8C10" w14:textId="77777777" w:rsidR="00154E32" w:rsidRDefault="00A43E04">
            <w:pPr>
              <w:pStyle w:val="P68B1DB1-Normal12"/>
              <w:jc w:val="center"/>
              <w:rPr>
                <w:noProof/>
              </w:rPr>
            </w:pPr>
            <w:r>
              <w:rPr>
                <w:noProof/>
              </w:rPr>
              <w:t>Reforma 1.14: Reforma podnacionalnega fiskalnega okvira</w:t>
            </w:r>
          </w:p>
        </w:tc>
        <w:tc>
          <w:tcPr>
            <w:tcW w:w="1380" w:type="dxa"/>
            <w:tcBorders>
              <w:top w:val="nil"/>
              <w:left w:val="nil"/>
              <w:bottom w:val="single" w:sz="4" w:space="0" w:color="auto"/>
              <w:right w:val="single" w:sz="4" w:space="0" w:color="auto"/>
            </w:tcBorders>
            <w:shd w:val="clear" w:color="auto" w:fill="C6EFCE"/>
            <w:noWrap/>
            <w:vAlign w:val="center"/>
          </w:tcPr>
          <w:p w14:paraId="461FFD88" w14:textId="77777777" w:rsidR="00154E32" w:rsidRDefault="00A43E04">
            <w:pPr>
              <w:pStyle w:val="P68B1DB1-Normal12"/>
              <w:jc w:val="center"/>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544E1B54" w14:textId="77777777" w:rsidR="00154E32" w:rsidRDefault="00A43E04">
            <w:pPr>
              <w:pStyle w:val="P68B1DB1-Normal12"/>
              <w:rPr>
                <w:noProof/>
              </w:rPr>
            </w:pPr>
            <w:r>
              <w:rPr>
                <w:noProof/>
              </w:rPr>
              <w:t>Začetek veljavnosti primarne in sekundarne zakonodaje za izvajanje regionalnega fiskalnega federalizma</w:t>
            </w:r>
          </w:p>
        </w:tc>
      </w:tr>
      <w:tr w:rsidR="00154E32" w14:paraId="36FD700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B374C5A" w14:textId="77777777" w:rsidR="00154E32" w:rsidRDefault="00A43E04">
            <w:pPr>
              <w:pStyle w:val="P68B1DB1-Normal12"/>
              <w:jc w:val="center"/>
              <w:rPr>
                <w:noProof/>
              </w:rPr>
            </w:pPr>
            <w:r>
              <w:rPr>
                <w:noProof/>
              </w:rPr>
              <w:t>M1C1–120</w:t>
            </w:r>
          </w:p>
        </w:tc>
        <w:tc>
          <w:tcPr>
            <w:tcW w:w="3195" w:type="dxa"/>
            <w:tcBorders>
              <w:top w:val="nil"/>
              <w:left w:val="nil"/>
              <w:bottom w:val="single" w:sz="4" w:space="0" w:color="auto"/>
              <w:right w:val="single" w:sz="4" w:space="0" w:color="auto"/>
            </w:tcBorders>
            <w:shd w:val="clear" w:color="auto" w:fill="C6EFCE"/>
            <w:noWrap/>
            <w:vAlign w:val="center"/>
          </w:tcPr>
          <w:p w14:paraId="5378E0B3" w14:textId="77777777" w:rsidR="00154E32" w:rsidRDefault="00A43E04">
            <w:pPr>
              <w:pStyle w:val="P68B1DB1-Normal12"/>
              <w:jc w:val="center"/>
              <w:rPr>
                <w:noProof/>
              </w:rPr>
            </w:pPr>
            <w:r>
              <w:rPr>
                <w:noProof/>
              </w:rPr>
              <w:t>Reforma 1.14: Reforma podnacionalnega fiskalnega okvira</w:t>
            </w:r>
          </w:p>
        </w:tc>
        <w:tc>
          <w:tcPr>
            <w:tcW w:w="1380" w:type="dxa"/>
            <w:tcBorders>
              <w:top w:val="nil"/>
              <w:left w:val="nil"/>
              <w:bottom w:val="single" w:sz="4" w:space="0" w:color="auto"/>
              <w:right w:val="single" w:sz="4" w:space="0" w:color="auto"/>
            </w:tcBorders>
            <w:shd w:val="clear" w:color="auto" w:fill="C6EFCE"/>
            <w:noWrap/>
            <w:vAlign w:val="center"/>
          </w:tcPr>
          <w:p w14:paraId="5F512238" w14:textId="77777777" w:rsidR="00154E32" w:rsidRDefault="00A43E04">
            <w:pPr>
              <w:pStyle w:val="P68B1DB1-Normal12"/>
              <w:jc w:val="center"/>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469AAD76" w14:textId="77777777" w:rsidR="00154E32" w:rsidRDefault="00A43E04">
            <w:pPr>
              <w:pStyle w:val="P68B1DB1-Normal12"/>
              <w:rPr>
                <w:noProof/>
              </w:rPr>
            </w:pPr>
            <w:r>
              <w:rPr>
                <w:noProof/>
              </w:rPr>
              <w:t>Začetek veljavnosti primarne in sekundarne zakonodaje za izvajanje regionalnega fiskalnega federalizma</w:t>
            </w:r>
          </w:p>
        </w:tc>
      </w:tr>
      <w:tr w:rsidR="00154E32" w14:paraId="3C0240B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3BF35BA" w14:textId="77777777" w:rsidR="00154E32" w:rsidRDefault="00A43E04">
            <w:pPr>
              <w:pStyle w:val="P68B1DB1-Normal12"/>
              <w:jc w:val="center"/>
              <w:rPr>
                <w:noProof/>
              </w:rPr>
            </w:pPr>
            <w:r>
              <w:rPr>
                <w:noProof/>
              </w:rPr>
              <w:t>M3C2–6</w:t>
            </w:r>
          </w:p>
        </w:tc>
        <w:tc>
          <w:tcPr>
            <w:tcW w:w="3195" w:type="dxa"/>
            <w:tcBorders>
              <w:top w:val="nil"/>
              <w:left w:val="nil"/>
              <w:bottom w:val="single" w:sz="4" w:space="0" w:color="auto"/>
              <w:right w:val="single" w:sz="4" w:space="0" w:color="auto"/>
            </w:tcBorders>
            <w:shd w:val="clear" w:color="auto" w:fill="C6EFCE"/>
            <w:noWrap/>
            <w:vAlign w:val="center"/>
          </w:tcPr>
          <w:p w14:paraId="497CE61B" w14:textId="77777777" w:rsidR="00154E32" w:rsidRDefault="00A43E04">
            <w:pPr>
              <w:pStyle w:val="P68B1DB1-Normal12"/>
              <w:jc w:val="center"/>
              <w:rPr>
                <w:noProof/>
              </w:rPr>
            </w:pPr>
            <w:r>
              <w:rPr>
                <w:noProof/>
              </w:rPr>
              <w:t>Naložba 2.2: Digitalizacija upravljanja zračnega prometa</w:t>
            </w:r>
          </w:p>
        </w:tc>
        <w:tc>
          <w:tcPr>
            <w:tcW w:w="1380" w:type="dxa"/>
            <w:tcBorders>
              <w:top w:val="nil"/>
              <w:left w:val="nil"/>
              <w:bottom w:val="single" w:sz="4" w:space="0" w:color="auto"/>
              <w:right w:val="single" w:sz="4" w:space="0" w:color="auto"/>
            </w:tcBorders>
            <w:shd w:val="clear" w:color="auto" w:fill="C6EFCE"/>
            <w:noWrap/>
            <w:vAlign w:val="center"/>
          </w:tcPr>
          <w:p w14:paraId="579462DD" w14:textId="77777777" w:rsidR="00154E32" w:rsidRDefault="00A43E04">
            <w:pPr>
              <w:pStyle w:val="P68B1DB1-Normal12"/>
              <w:jc w:val="center"/>
              <w:rPr>
                <w:noProof/>
              </w:rPr>
            </w:pPr>
            <w:r>
              <w:rPr>
                <w:noProof/>
              </w:rPr>
              <w:t xml:space="preserve">Tarča </w:t>
            </w:r>
          </w:p>
        </w:tc>
        <w:tc>
          <w:tcPr>
            <w:tcW w:w="4035" w:type="dxa"/>
            <w:tcBorders>
              <w:top w:val="nil"/>
              <w:left w:val="nil"/>
              <w:bottom w:val="single" w:sz="4" w:space="0" w:color="auto"/>
              <w:right w:val="single" w:sz="4" w:space="0" w:color="auto"/>
            </w:tcBorders>
            <w:shd w:val="clear" w:color="auto" w:fill="C6EFCE"/>
            <w:noWrap/>
            <w:vAlign w:val="center"/>
          </w:tcPr>
          <w:p w14:paraId="72A195F1" w14:textId="77777777" w:rsidR="00154E32" w:rsidRDefault="00A43E04">
            <w:pPr>
              <w:pStyle w:val="P68B1DB1-Normal12"/>
              <w:rPr>
                <w:noProof/>
              </w:rPr>
            </w:pPr>
            <w:r>
              <w:rPr>
                <w:noProof/>
              </w:rPr>
              <w:t>Digitalizacija upravljanja zračnega prometa: začetek delovanja novih orodij</w:t>
            </w:r>
          </w:p>
        </w:tc>
      </w:tr>
      <w:tr w:rsidR="00154E32" w14:paraId="1AB76C9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D790080" w14:textId="77777777" w:rsidR="00154E32" w:rsidRDefault="00A43E04">
            <w:pPr>
              <w:pStyle w:val="P68B1DB1-Normal12"/>
              <w:jc w:val="center"/>
              <w:rPr>
                <w:noProof/>
              </w:rPr>
            </w:pPr>
            <w:r>
              <w:rPr>
                <w:noProof/>
              </w:rPr>
              <w:t xml:space="preserve">M5C1–11 </w:t>
            </w:r>
          </w:p>
        </w:tc>
        <w:tc>
          <w:tcPr>
            <w:tcW w:w="3195" w:type="dxa"/>
            <w:tcBorders>
              <w:top w:val="nil"/>
              <w:left w:val="nil"/>
              <w:bottom w:val="single" w:sz="4" w:space="0" w:color="auto"/>
              <w:right w:val="single" w:sz="4" w:space="0" w:color="auto"/>
            </w:tcBorders>
            <w:shd w:val="clear" w:color="auto" w:fill="C6EFCE"/>
            <w:noWrap/>
            <w:vAlign w:val="center"/>
          </w:tcPr>
          <w:p w14:paraId="6614F06F" w14:textId="77777777" w:rsidR="00154E32" w:rsidRDefault="00A43E04">
            <w:pPr>
              <w:pStyle w:val="P68B1DB1-Normal12"/>
              <w:jc w:val="center"/>
              <w:rPr>
                <w:noProof/>
              </w:rPr>
            </w:pPr>
            <w:r>
              <w:rPr>
                <w:noProof/>
              </w:rPr>
              <w:t xml:space="preserve">Reforma 2 – Neprijavljeno delo </w:t>
            </w:r>
          </w:p>
        </w:tc>
        <w:tc>
          <w:tcPr>
            <w:tcW w:w="1380" w:type="dxa"/>
            <w:tcBorders>
              <w:top w:val="nil"/>
              <w:left w:val="nil"/>
              <w:bottom w:val="single" w:sz="4" w:space="0" w:color="auto"/>
              <w:right w:val="single" w:sz="4" w:space="0" w:color="auto"/>
            </w:tcBorders>
            <w:shd w:val="clear" w:color="auto" w:fill="C6EFCE"/>
            <w:noWrap/>
            <w:vAlign w:val="center"/>
          </w:tcPr>
          <w:p w14:paraId="4C58CC88"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05AB6111" w14:textId="77777777" w:rsidR="00154E32" w:rsidRDefault="00A43E04">
            <w:pPr>
              <w:pStyle w:val="P68B1DB1-Normal12"/>
              <w:rPr>
                <w:noProof/>
              </w:rPr>
            </w:pPr>
            <w:r>
              <w:rPr>
                <w:noProof/>
              </w:rPr>
              <w:t>Manjša pogostost neprijavljenega dela</w:t>
            </w:r>
          </w:p>
        </w:tc>
      </w:tr>
      <w:tr w:rsidR="00154E32" w14:paraId="73CB11A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9CEC005" w14:textId="77777777" w:rsidR="00154E32" w:rsidRDefault="00A43E04">
            <w:pPr>
              <w:pStyle w:val="P68B1DB1-Normal12"/>
              <w:jc w:val="center"/>
              <w:rPr>
                <w:noProof/>
              </w:rPr>
            </w:pPr>
            <w:r>
              <w:rPr>
                <w:noProof/>
              </w:rPr>
              <w:t>M5C2–6</w:t>
            </w:r>
          </w:p>
        </w:tc>
        <w:tc>
          <w:tcPr>
            <w:tcW w:w="3195" w:type="dxa"/>
            <w:tcBorders>
              <w:top w:val="nil"/>
              <w:left w:val="nil"/>
              <w:bottom w:val="single" w:sz="4" w:space="0" w:color="auto"/>
              <w:right w:val="single" w:sz="4" w:space="0" w:color="auto"/>
            </w:tcBorders>
            <w:shd w:val="clear" w:color="auto" w:fill="C6EFCE"/>
            <w:noWrap/>
            <w:vAlign w:val="center"/>
          </w:tcPr>
          <w:p w14:paraId="5BA93264" w14:textId="77777777" w:rsidR="00154E32" w:rsidRDefault="00A43E04">
            <w:pPr>
              <w:pStyle w:val="P68B1DB1-Normal12"/>
              <w:jc w:val="center"/>
              <w:rPr>
                <w:noProof/>
              </w:rPr>
            </w:pPr>
            <w:r>
              <w:rPr>
                <w:noProof/>
              </w:rPr>
              <w:t>Naložba 1 – Podpora ranljivim osebam in preprečevanje institucionalizacije</w:t>
            </w:r>
          </w:p>
        </w:tc>
        <w:tc>
          <w:tcPr>
            <w:tcW w:w="1380" w:type="dxa"/>
            <w:tcBorders>
              <w:top w:val="nil"/>
              <w:left w:val="nil"/>
              <w:bottom w:val="single" w:sz="4" w:space="0" w:color="auto"/>
              <w:right w:val="single" w:sz="4" w:space="0" w:color="auto"/>
            </w:tcBorders>
            <w:shd w:val="clear" w:color="auto" w:fill="C6EFCE"/>
            <w:noWrap/>
            <w:vAlign w:val="center"/>
          </w:tcPr>
          <w:p w14:paraId="04FF1779"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49343B13" w14:textId="77777777" w:rsidR="00154E32" w:rsidRDefault="00A43E04">
            <w:pPr>
              <w:pStyle w:val="P68B1DB1-Normal12"/>
              <w:rPr>
                <w:noProof/>
              </w:rPr>
            </w:pPr>
            <w:r>
              <w:rPr>
                <w:noProof/>
              </w:rPr>
              <w:t>Socialna okrožja dosegajo vsaj enega od naslednjih rezultatov: (I) podpora staršem, (ii) samostojnost starejših, (iii) storitve na domu za starejše ali (iv) dajanje prednosti socialnim delavcem za preprečevanje izgorelosti</w:t>
            </w:r>
          </w:p>
        </w:tc>
      </w:tr>
      <w:tr w:rsidR="00154E32" w14:paraId="1FC598F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0704380" w14:textId="77777777" w:rsidR="00154E32" w:rsidRDefault="00A43E04">
            <w:pPr>
              <w:pStyle w:val="P68B1DB1-Normal12"/>
              <w:jc w:val="center"/>
              <w:rPr>
                <w:noProof/>
              </w:rPr>
            </w:pPr>
            <w:r>
              <w:rPr>
                <w:noProof/>
              </w:rPr>
              <w:t>M5C2–8</w:t>
            </w:r>
          </w:p>
        </w:tc>
        <w:tc>
          <w:tcPr>
            <w:tcW w:w="3195" w:type="dxa"/>
            <w:tcBorders>
              <w:top w:val="nil"/>
              <w:left w:val="nil"/>
              <w:bottom w:val="single" w:sz="4" w:space="0" w:color="auto"/>
              <w:right w:val="single" w:sz="4" w:space="0" w:color="auto"/>
            </w:tcBorders>
            <w:shd w:val="clear" w:color="auto" w:fill="C6EFCE"/>
            <w:noWrap/>
            <w:vAlign w:val="center"/>
          </w:tcPr>
          <w:p w14:paraId="7DDA62A2" w14:textId="77777777" w:rsidR="00154E32" w:rsidRDefault="00A43E04">
            <w:pPr>
              <w:pStyle w:val="P68B1DB1-Normal12"/>
              <w:jc w:val="center"/>
              <w:rPr>
                <w:noProof/>
              </w:rPr>
            </w:pPr>
            <w:r>
              <w:rPr>
                <w:noProof/>
              </w:rPr>
              <w:t>Naložba 2 – Vzorci avtonomije za invalide</w:t>
            </w:r>
          </w:p>
        </w:tc>
        <w:tc>
          <w:tcPr>
            <w:tcW w:w="1380" w:type="dxa"/>
            <w:tcBorders>
              <w:top w:val="nil"/>
              <w:left w:val="nil"/>
              <w:bottom w:val="single" w:sz="4" w:space="0" w:color="auto"/>
              <w:right w:val="single" w:sz="4" w:space="0" w:color="auto"/>
            </w:tcBorders>
            <w:shd w:val="clear" w:color="auto" w:fill="C6EFCE"/>
            <w:noWrap/>
            <w:vAlign w:val="center"/>
          </w:tcPr>
          <w:p w14:paraId="3E06D896"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27AFD686" w14:textId="77777777" w:rsidR="00154E32" w:rsidRDefault="00A43E04">
            <w:pPr>
              <w:pStyle w:val="P68B1DB1-Normal12"/>
              <w:rPr>
                <w:noProof/>
              </w:rPr>
            </w:pPr>
            <w:r>
              <w:rPr>
                <w:noProof/>
              </w:rPr>
              <w:t>Invalidi so prejeli prenovo domačega prostora in/ali zagotovitev naprav IKT. Storitve spremlja usposabljanje o digitalnih znanjih in spretnostih.</w:t>
            </w:r>
          </w:p>
        </w:tc>
      </w:tr>
      <w:tr w:rsidR="00154E32" w14:paraId="293221B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A89FDBD" w14:textId="77777777" w:rsidR="00154E32" w:rsidRDefault="00A43E04">
            <w:pPr>
              <w:pStyle w:val="P68B1DB1-Normal12"/>
              <w:jc w:val="center"/>
              <w:rPr>
                <w:noProof/>
              </w:rPr>
            </w:pPr>
            <w:r>
              <w:rPr>
                <w:noProof/>
              </w:rPr>
              <w:t>M5C2–10</w:t>
            </w:r>
          </w:p>
        </w:tc>
        <w:tc>
          <w:tcPr>
            <w:tcW w:w="3195" w:type="dxa"/>
            <w:tcBorders>
              <w:top w:val="nil"/>
              <w:left w:val="nil"/>
              <w:bottom w:val="single" w:sz="4" w:space="0" w:color="auto"/>
              <w:right w:val="single" w:sz="4" w:space="0" w:color="auto"/>
            </w:tcBorders>
            <w:shd w:val="clear" w:color="auto" w:fill="C6EFCE"/>
            <w:noWrap/>
            <w:vAlign w:val="center"/>
          </w:tcPr>
          <w:p w14:paraId="1AD83CD7" w14:textId="77777777" w:rsidR="00154E32" w:rsidRDefault="00A43E04">
            <w:pPr>
              <w:pStyle w:val="P68B1DB1-Normal12"/>
              <w:jc w:val="center"/>
              <w:rPr>
                <w:noProof/>
              </w:rPr>
            </w:pPr>
            <w:r>
              <w:rPr>
                <w:noProof/>
              </w:rPr>
              <w:t>Naložba 3 – Najprej stanovanjske in poštne postaje</w:t>
            </w:r>
          </w:p>
        </w:tc>
        <w:tc>
          <w:tcPr>
            <w:tcW w:w="1380" w:type="dxa"/>
            <w:tcBorders>
              <w:top w:val="nil"/>
              <w:left w:val="nil"/>
              <w:bottom w:val="single" w:sz="4" w:space="0" w:color="auto"/>
              <w:right w:val="single" w:sz="4" w:space="0" w:color="auto"/>
            </w:tcBorders>
            <w:shd w:val="clear" w:color="auto" w:fill="C6EFCE"/>
            <w:noWrap/>
            <w:vAlign w:val="center"/>
          </w:tcPr>
          <w:p w14:paraId="74A2BD46"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224416F9" w14:textId="77777777" w:rsidR="00154E32" w:rsidRDefault="00A43E04">
            <w:pPr>
              <w:pStyle w:val="P68B1DB1-Normal12"/>
              <w:rPr>
                <w:noProof/>
              </w:rPr>
            </w:pPr>
            <w:r>
              <w:rPr>
                <w:noProof/>
              </w:rPr>
              <w:t>Ljudje, ki živijo v hudem materialnem pomanjkanju, ki so jih prevzeli projekti o stanovanjih na prvem mestu za vsaj šest mesecev in poštnih postajah</w:t>
            </w:r>
          </w:p>
        </w:tc>
      </w:tr>
      <w:tr w:rsidR="00154E32" w14:paraId="26568C0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343C8AA" w14:textId="77777777" w:rsidR="00154E32" w:rsidRDefault="00A43E04">
            <w:pPr>
              <w:pStyle w:val="P68B1DB1-Normal12"/>
              <w:jc w:val="center"/>
              <w:rPr>
                <w:noProof/>
              </w:rPr>
            </w:pPr>
            <w:r>
              <w:rPr>
                <w:noProof/>
              </w:rPr>
              <w:t>M7–33</w:t>
            </w:r>
          </w:p>
        </w:tc>
        <w:tc>
          <w:tcPr>
            <w:tcW w:w="3195" w:type="dxa"/>
            <w:tcBorders>
              <w:top w:val="nil"/>
              <w:left w:val="nil"/>
              <w:bottom w:val="single" w:sz="4" w:space="0" w:color="auto"/>
              <w:right w:val="single" w:sz="4" w:space="0" w:color="auto"/>
            </w:tcBorders>
            <w:shd w:val="clear" w:color="auto" w:fill="C6EFCE"/>
            <w:noWrap/>
            <w:vAlign w:val="center"/>
          </w:tcPr>
          <w:p w14:paraId="5A75E62B" w14:textId="77777777" w:rsidR="00154E32" w:rsidRDefault="00A43E04">
            <w:pPr>
              <w:pStyle w:val="P68B1DB1-Normal12"/>
              <w:rPr>
                <w:noProof/>
              </w:rPr>
            </w:pPr>
            <w:r>
              <w:rPr>
                <w:noProof/>
              </w:rPr>
              <w:t>Naložba 12 Shema nepovratnih sredstev za razvoj mednarodnega, industrijskega in raziskovalnega vodilnega položaja na področju električnih avtobusov</w:t>
            </w:r>
          </w:p>
        </w:tc>
        <w:tc>
          <w:tcPr>
            <w:tcW w:w="1380" w:type="dxa"/>
            <w:tcBorders>
              <w:top w:val="nil"/>
              <w:left w:val="nil"/>
              <w:bottom w:val="single" w:sz="4" w:space="0" w:color="auto"/>
              <w:right w:val="single" w:sz="4" w:space="0" w:color="auto"/>
            </w:tcBorders>
            <w:shd w:val="clear" w:color="auto" w:fill="C6EFCE"/>
            <w:noWrap/>
            <w:vAlign w:val="center"/>
          </w:tcPr>
          <w:p w14:paraId="780BD33E"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78B3D746" w14:textId="77777777" w:rsidR="00154E32" w:rsidRDefault="00A43E04">
            <w:pPr>
              <w:pStyle w:val="P68B1DB1-Normal12"/>
              <w:rPr>
                <w:noProof/>
              </w:rPr>
            </w:pPr>
            <w:r>
              <w:rPr>
                <w:noProof/>
              </w:rPr>
              <w:t>Pravni sporazumi, podpisani s končnimi upravičenci</w:t>
            </w:r>
          </w:p>
        </w:tc>
      </w:tr>
      <w:tr w:rsidR="00154E32" w14:paraId="573F2A1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1476653" w14:textId="77777777" w:rsidR="00154E32" w:rsidRDefault="00A43E04">
            <w:pPr>
              <w:pStyle w:val="P68B1DB1-Normal12"/>
              <w:jc w:val="center"/>
              <w:rPr>
                <w:noProof/>
              </w:rPr>
            </w:pPr>
            <w:r>
              <w:rPr>
                <w:noProof/>
              </w:rPr>
              <w:t>M3C2–12</w:t>
            </w:r>
          </w:p>
        </w:tc>
        <w:tc>
          <w:tcPr>
            <w:tcW w:w="3195" w:type="dxa"/>
            <w:tcBorders>
              <w:top w:val="nil"/>
              <w:left w:val="nil"/>
              <w:bottom w:val="single" w:sz="4" w:space="0" w:color="auto"/>
              <w:right w:val="single" w:sz="4" w:space="0" w:color="auto"/>
            </w:tcBorders>
            <w:shd w:val="clear" w:color="auto" w:fill="C6EFCE"/>
            <w:noWrap/>
            <w:vAlign w:val="center"/>
          </w:tcPr>
          <w:p w14:paraId="0B2D6050" w14:textId="77777777" w:rsidR="00154E32" w:rsidRDefault="00A43E04">
            <w:pPr>
              <w:pStyle w:val="P68B1DB1-Normal12"/>
              <w:jc w:val="center"/>
              <w:rPr>
                <w:noProof/>
              </w:rPr>
            </w:pPr>
            <w:r>
              <w:rPr>
                <w:noProof/>
              </w:rPr>
              <w:t xml:space="preserve">Naložba 9: Hladno likanje </w:t>
            </w:r>
          </w:p>
        </w:tc>
        <w:tc>
          <w:tcPr>
            <w:tcW w:w="1380" w:type="dxa"/>
            <w:tcBorders>
              <w:top w:val="nil"/>
              <w:left w:val="nil"/>
              <w:bottom w:val="single" w:sz="4" w:space="0" w:color="auto"/>
              <w:right w:val="single" w:sz="4" w:space="0" w:color="auto"/>
            </w:tcBorders>
            <w:shd w:val="clear" w:color="auto" w:fill="C6EFCE"/>
            <w:noWrap/>
            <w:vAlign w:val="center"/>
          </w:tcPr>
          <w:p w14:paraId="66D48E97" w14:textId="77777777" w:rsidR="00154E32" w:rsidRDefault="00A43E04">
            <w:pPr>
              <w:pStyle w:val="P68B1DB1-Normal12"/>
              <w:jc w:val="center"/>
              <w:rPr>
                <w:noProof/>
              </w:rPr>
            </w:pPr>
            <w:r>
              <w:rPr>
                <w:noProof/>
              </w:rPr>
              <w:t xml:space="preserve">Tarča </w:t>
            </w:r>
          </w:p>
        </w:tc>
        <w:tc>
          <w:tcPr>
            <w:tcW w:w="4035" w:type="dxa"/>
            <w:tcBorders>
              <w:top w:val="nil"/>
              <w:left w:val="nil"/>
              <w:bottom w:val="single" w:sz="4" w:space="0" w:color="auto"/>
              <w:right w:val="single" w:sz="4" w:space="0" w:color="auto"/>
            </w:tcBorders>
            <w:shd w:val="clear" w:color="auto" w:fill="C6EFCE"/>
            <w:noWrap/>
            <w:vAlign w:val="center"/>
          </w:tcPr>
          <w:p w14:paraId="036F132C" w14:textId="77777777" w:rsidR="00154E32" w:rsidRDefault="00A43E04">
            <w:pPr>
              <w:pStyle w:val="P68B1DB1-Normal12"/>
              <w:rPr>
                <w:noProof/>
              </w:rPr>
            </w:pPr>
            <w:r>
              <w:rPr>
                <w:noProof/>
              </w:rPr>
              <w:t xml:space="preserve">Začetek obratovanja infrastrukture za hladno likanje. </w:t>
            </w:r>
          </w:p>
        </w:tc>
      </w:tr>
      <w:tr w:rsidR="00154E32" w14:paraId="21630EB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3DB906" w14:textId="77777777" w:rsidR="00154E32" w:rsidRDefault="00A43E04">
            <w:pPr>
              <w:pStyle w:val="P68B1DB1-Normal12"/>
              <w:jc w:val="center"/>
              <w:rPr>
                <w:noProof/>
              </w:rPr>
            </w:pPr>
            <w:r>
              <w:rPr>
                <w:noProof/>
              </w:rPr>
              <w:t>M1C1–26</w:t>
            </w:r>
          </w:p>
        </w:tc>
        <w:tc>
          <w:tcPr>
            <w:tcW w:w="3195" w:type="dxa"/>
            <w:tcBorders>
              <w:top w:val="nil"/>
              <w:left w:val="nil"/>
              <w:bottom w:val="single" w:sz="4" w:space="0" w:color="auto"/>
              <w:right w:val="single" w:sz="4" w:space="0" w:color="auto"/>
            </w:tcBorders>
            <w:shd w:val="clear" w:color="auto" w:fill="C6EFCE"/>
            <w:noWrap/>
            <w:vAlign w:val="center"/>
          </w:tcPr>
          <w:p w14:paraId="33EFF5C5" w14:textId="77777777" w:rsidR="00154E32" w:rsidRDefault="00A43E04">
            <w:pPr>
              <w:pStyle w:val="P68B1DB1-Normal12"/>
              <w:jc w:val="center"/>
              <w:rPr>
                <w:noProof/>
              </w:rPr>
            </w:pPr>
            <w:r>
              <w:rPr>
                <w:noProof/>
              </w:rPr>
              <w:t>Naložba 1.1: Digitalna infrastruktura</w:t>
            </w:r>
          </w:p>
        </w:tc>
        <w:tc>
          <w:tcPr>
            <w:tcW w:w="1380" w:type="dxa"/>
            <w:tcBorders>
              <w:top w:val="nil"/>
              <w:left w:val="nil"/>
              <w:bottom w:val="single" w:sz="4" w:space="0" w:color="auto"/>
              <w:right w:val="single" w:sz="4" w:space="0" w:color="auto"/>
            </w:tcBorders>
            <w:shd w:val="clear" w:color="auto" w:fill="C6EFCE"/>
            <w:noWrap/>
            <w:vAlign w:val="center"/>
          </w:tcPr>
          <w:p w14:paraId="17B45133"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7B9BC1B4" w14:textId="77777777" w:rsidR="00154E32" w:rsidRDefault="00A43E04">
            <w:pPr>
              <w:pStyle w:val="P68B1DB1-Normal12"/>
              <w:rPr>
                <w:noProof/>
              </w:rPr>
            </w:pPr>
            <w:r>
              <w:rPr>
                <w:noProof/>
              </w:rPr>
              <w:t>Migracije v Polo Strategico Nazionale T2</w:t>
            </w:r>
          </w:p>
        </w:tc>
      </w:tr>
      <w:tr w:rsidR="00154E32" w14:paraId="35DC911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038C49E" w14:textId="77777777" w:rsidR="00154E32" w:rsidRDefault="00A43E04">
            <w:pPr>
              <w:pStyle w:val="P68B1DB1-Normal12"/>
              <w:jc w:val="center"/>
              <w:rPr>
                <w:noProof/>
              </w:rPr>
            </w:pPr>
            <w:r>
              <w:rPr>
                <w:noProof/>
              </w:rPr>
              <w:t>M1C1–27</w:t>
            </w:r>
          </w:p>
        </w:tc>
        <w:tc>
          <w:tcPr>
            <w:tcW w:w="3195" w:type="dxa"/>
            <w:tcBorders>
              <w:top w:val="nil"/>
              <w:left w:val="nil"/>
              <w:bottom w:val="single" w:sz="4" w:space="0" w:color="auto"/>
              <w:right w:val="single" w:sz="4" w:space="0" w:color="auto"/>
            </w:tcBorders>
            <w:shd w:val="clear" w:color="auto" w:fill="C6EFCE"/>
            <w:noWrap/>
            <w:vAlign w:val="center"/>
          </w:tcPr>
          <w:p w14:paraId="4CDBD370" w14:textId="77777777" w:rsidR="00154E32" w:rsidRDefault="00A43E04">
            <w:pPr>
              <w:pStyle w:val="P68B1DB1-Normal12"/>
              <w:jc w:val="center"/>
              <w:rPr>
                <w:noProof/>
              </w:rPr>
            </w:pPr>
            <w:r>
              <w:rPr>
                <w:noProof/>
              </w:rPr>
              <w:t>Naložba 1.3.1: Nacionalna platforma digitalnih podatkov</w:t>
            </w:r>
          </w:p>
        </w:tc>
        <w:tc>
          <w:tcPr>
            <w:tcW w:w="1380" w:type="dxa"/>
            <w:tcBorders>
              <w:top w:val="nil"/>
              <w:left w:val="nil"/>
              <w:bottom w:val="single" w:sz="4" w:space="0" w:color="auto"/>
              <w:right w:val="single" w:sz="4" w:space="0" w:color="auto"/>
            </w:tcBorders>
            <w:shd w:val="clear" w:color="auto" w:fill="C6EFCE"/>
            <w:noWrap/>
            <w:vAlign w:val="center"/>
          </w:tcPr>
          <w:p w14:paraId="284B5B36"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6DF6F331" w14:textId="77777777" w:rsidR="00154E32" w:rsidRDefault="00A43E04">
            <w:pPr>
              <w:pStyle w:val="P68B1DB1-Normal12"/>
              <w:rPr>
                <w:noProof/>
              </w:rPr>
            </w:pPr>
            <w:r>
              <w:rPr>
                <w:noProof/>
              </w:rPr>
              <w:t>API v nacionalni platformi digitalnih podatkov T2</w:t>
            </w:r>
          </w:p>
        </w:tc>
      </w:tr>
      <w:tr w:rsidR="00154E32" w14:paraId="7F621FB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9B6132A" w14:textId="77777777" w:rsidR="00154E32" w:rsidRDefault="00A43E04">
            <w:pPr>
              <w:pStyle w:val="P68B1DB1-Normal12"/>
              <w:jc w:val="center"/>
              <w:rPr>
                <w:noProof/>
              </w:rPr>
            </w:pPr>
            <w:r>
              <w:rPr>
                <w:noProof/>
              </w:rPr>
              <w:t>M1C1–28</w:t>
            </w:r>
          </w:p>
        </w:tc>
        <w:tc>
          <w:tcPr>
            <w:tcW w:w="3195" w:type="dxa"/>
            <w:tcBorders>
              <w:top w:val="nil"/>
              <w:left w:val="nil"/>
              <w:bottom w:val="single" w:sz="4" w:space="0" w:color="auto"/>
              <w:right w:val="single" w:sz="4" w:space="0" w:color="auto"/>
            </w:tcBorders>
            <w:shd w:val="clear" w:color="auto" w:fill="C6EFCE"/>
            <w:noWrap/>
            <w:vAlign w:val="center"/>
          </w:tcPr>
          <w:p w14:paraId="090A11DF" w14:textId="77777777" w:rsidR="00154E32" w:rsidRDefault="00A43E04">
            <w:pPr>
              <w:pStyle w:val="P68B1DB1-Normal12"/>
              <w:jc w:val="center"/>
              <w:rPr>
                <w:noProof/>
              </w:rPr>
            </w:pPr>
            <w:r>
              <w:rPr>
                <w:noProof/>
              </w:rPr>
              <w:t>Naložba 1.7.2: Omrežje storitev digitalnega olajševanja</w:t>
            </w:r>
          </w:p>
        </w:tc>
        <w:tc>
          <w:tcPr>
            <w:tcW w:w="1380" w:type="dxa"/>
            <w:tcBorders>
              <w:top w:val="nil"/>
              <w:left w:val="nil"/>
              <w:bottom w:val="single" w:sz="4" w:space="0" w:color="auto"/>
              <w:right w:val="single" w:sz="4" w:space="0" w:color="auto"/>
            </w:tcBorders>
            <w:shd w:val="clear" w:color="auto" w:fill="C6EFCE"/>
            <w:noWrap/>
            <w:vAlign w:val="center"/>
          </w:tcPr>
          <w:p w14:paraId="625C42CB"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087B5B16" w14:textId="77777777" w:rsidR="00154E32" w:rsidRDefault="00A43E04">
            <w:pPr>
              <w:pStyle w:val="P68B1DB1-Normal12"/>
              <w:rPr>
                <w:noProof/>
              </w:rPr>
            </w:pPr>
            <w:r>
              <w:rPr>
                <w:noProof/>
              </w:rPr>
              <w:t>Število državljanov, ki sodelujejo v novih pobudah digitalnega izobraževanja in/ali spodbujanja, ki jih zagotavljajo centri za digitalne poenostavitve</w:t>
            </w:r>
          </w:p>
        </w:tc>
      </w:tr>
      <w:tr w:rsidR="00154E32" w14:paraId="157CE06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2670585" w14:textId="77777777" w:rsidR="00154E32" w:rsidRDefault="00A43E04">
            <w:pPr>
              <w:pStyle w:val="P68B1DB1-Normal12"/>
              <w:jc w:val="center"/>
              <w:rPr>
                <w:noProof/>
              </w:rPr>
            </w:pPr>
            <w:r>
              <w:rPr>
                <w:noProof/>
              </w:rPr>
              <w:t>M1C1–45</w:t>
            </w:r>
          </w:p>
        </w:tc>
        <w:tc>
          <w:tcPr>
            <w:tcW w:w="3195" w:type="dxa"/>
            <w:tcBorders>
              <w:top w:val="nil"/>
              <w:left w:val="nil"/>
              <w:bottom w:val="single" w:sz="4" w:space="0" w:color="auto"/>
              <w:right w:val="single" w:sz="4" w:space="0" w:color="auto"/>
            </w:tcBorders>
            <w:shd w:val="clear" w:color="auto" w:fill="C6EFCE"/>
            <w:noWrap/>
            <w:vAlign w:val="center"/>
          </w:tcPr>
          <w:p w14:paraId="754BA3F1" w14:textId="77777777" w:rsidR="00154E32" w:rsidRDefault="00A43E04">
            <w:pPr>
              <w:pStyle w:val="P68B1DB1-Normal12"/>
              <w:jc w:val="center"/>
              <w:rPr>
                <w:noProof/>
              </w:rPr>
            </w:pPr>
            <w:r>
              <w:rPr>
                <w:noProof/>
              </w:rPr>
              <w:t>Reformi 1.4 in 1.5: Reforma civilnega in kazenskega pravosodja</w:t>
            </w:r>
          </w:p>
        </w:tc>
        <w:tc>
          <w:tcPr>
            <w:tcW w:w="1380" w:type="dxa"/>
            <w:tcBorders>
              <w:top w:val="nil"/>
              <w:left w:val="nil"/>
              <w:bottom w:val="single" w:sz="4" w:space="0" w:color="auto"/>
              <w:right w:val="single" w:sz="4" w:space="0" w:color="auto"/>
            </w:tcBorders>
            <w:shd w:val="clear" w:color="auto" w:fill="C6EFCE"/>
            <w:noWrap/>
            <w:vAlign w:val="center"/>
          </w:tcPr>
          <w:p w14:paraId="71DD52A7"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52B8C57B" w14:textId="77777777" w:rsidR="00154E32" w:rsidRDefault="00A43E04">
            <w:pPr>
              <w:pStyle w:val="P68B1DB1-Normal12"/>
              <w:rPr>
                <w:noProof/>
              </w:rPr>
            </w:pPr>
            <w:r>
              <w:rPr>
                <w:noProof/>
              </w:rPr>
              <w:t>Skrajšanje trajanja civilnih postopkov</w:t>
            </w:r>
          </w:p>
        </w:tc>
      </w:tr>
      <w:tr w:rsidR="00154E32" w14:paraId="43CD133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2BA2F73" w14:textId="77777777" w:rsidR="00154E32" w:rsidRDefault="00A43E04">
            <w:pPr>
              <w:pStyle w:val="P68B1DB1-Normal12"/>
              <w:jc w:val="center"/>
              <w:rPr>
                <w:noProof/>
              </w:rPr>
            </w:pPr>
            <w:r>
              <w:rPr>
                <w:noProof/>
              </w:rPr>
              <w:t>M1C1–46</w:t>
            </w:r>
          </w:p>
        </w:tc>
        <w:tc>
          <w:tcPr>
            <w:tcW w:w="3195" w:type="dxa"/>
            <w:tcBorders>
              <w:top w:val="nil"/>
              <w:left w:val="nil"/>
              <w:bottom w:val="single" w:sz="4" w:space="0" w:color="auto"/>
              <w:right w:val="single" w:sz="4" w:space="0" w:color="auto"/>
            </w:tcBorders>
            <w:shd w:val="clear" w:color="auto" w:fill="C6EFCE"/>
            <w:noWrap/>
            <w:vAlign w:val="center"/>
          </w:tcPr>
          <w:p w14:paraId="6BBB5306" w14:textId="77777777" w:rsidR="00154E32" w:rsidRDefault="00A43E04">
            <w:pPr>
              <w:pStyle w:val="P68B1DB1-Normal12"/>
              <w:jc w:val="center"/>
              <w:rPr>
                <w:noProof/>
              </w:rPr>
            </w:pPr>
            <w:r>
              <w:rPr>
                <w:noProof/>
              </w:rPr>
              <w:t>Reformi 1.4 in 1.5: Reforma civilnega in kazenskega pravosodja</w:t>
            </w:r>
          </w:p>
        </w:tc>
        <w:tc>
          <w:tcPr>
            <w:tcW w:w="1380" w:type="dxa"/>
            <w:tcBorders>
              <w:top w:val="nil"/>
              <w:left w:val="nil"/>
              <w:bottom w:val="single" w:sz="4" w:space="0" w:color="auto"/>
              <w:right w:val="single" w:sz="4" w:space="0" w:color="auto"/>
            </w:tcBorders>
            <w:shd w:val="clear" w:color="auto" w:fill="C6EFCE"/>
            <w:noWrap/>
            <w:vAlign w:val="center"/>
          </w:tcPr>
          <w:p w14:paraId="0C6CFDF3"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4C5714FD" w14:textId="77777777" w:rsidR="00154E32" w:rsidRDefault="00A43E04">
            <w:pPr>
              <w:pStyle w:val="P68B1DB1-Normal12"/>
              <w:rPr>
                <w:noProof/>
              </w:rPr>
            </w:pPr>
            <w:r>
              <w:rPr>
                <w:noProof/>
              </w:rPr>
              <w:t>Skrajšanje trajanja kazenskih postopkov</w:t>
            </w:r>
          </w:p>
        </w:tc>
      </w:tr>
      <w:tr w:rsidR="00154E32" w14:paraId="7D7B1E7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66EEA3" w14:textId="77777777" w:rsidR="00154E32" w:rsidRDefault="00A43E04">
            <w:pPr>
              <w:pStyle w:val="P68B1DB1-Normal12"/>
              <w:jc w:val="center"/>
              <w:rPr>
                <w:noProof/>
              </w:rPr>
            </w:pPr>
            <w:r>
              <w:rPr>
                <w:noProof/>
              </w:rPr>
              <w:t>M1C1–47</w:t>
            </w:r>
          </w:p>
        </w:tc>
        <w:tc>
          <w:tcPr>
            <w:tcW w:w="3195" w:type="dxa"/>
            <w:tcBorders>
              <w:top w:val="nil"/>
              <w:left w:val="nil"/>
              <w:bottom w:val="single" w:sz="4" w:space="0" w:color="auto"/>
              <w:right w:val="single" w:sz="4" w:space="0" w:color="auto"/>
            </w:tcBorders>
            <w:shd w:val="clear" w:color="auto" w:fill="C6EFCE"/>
            <w:noWrap/>
            <w:vAlign w:val="center"/>
          </w:tcPr>
          <w:p w14:paraId="60DDABE5" w14:textId="77777777" w:rsidR="00154E32" w:rsidRDefault="00A43E04">
            <w:pPr>
              <w:pStyle w:val="P68B1DB1-Normal12"/>
              <w:jc w:val="center"/>
              <w:rPr>
                <w:noProof/>
              </w:rPr>
            </w:pPr>
            <w:r>
              <w:rPr>
                <w:noProof/>
              </w:rPr>
              <w:t>Reforma 1.4: Reforma civilnega pravosodja</w:t>
            </w:r>
          </w:p>
        </w:tc>
        <w:tc>
          <w:tcPr>
            <w:tcW w:w="1380" w:type="dxa"/>
            <w:tcBorders>
              <w:top w:val="nil"/>
              <w:left w:val="nil"/>
              <w:bottom w:val="single" w:sz="4" w:space="0" w:color="auto"/>
              <w:right w:val="single" w:sz="4" w:space="0" w:color="auto"/>
            </w:tcBorders>
            <w:shd w:val="clear" w:color="auto" w:fill="C6EFCE"/>
            <w:noWrap/>
            <w:vAlign w:val="center"/>
          </w:tcPr>
          <w:p w14:paraId="33185160"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46F699E7" w14:textId="77777777" w:rsidR="00154E32" w:rsidRDefault="00A43E04">
            <w:pPr>
              <w:pStyle w:val="P68B1DB1-Normal12"/>
              <w:rPr>
                <w:noProof/>
              </w:rPr>
            </w:pPr>
            <w:r>
              <w:rPr>
                <w:noProof/>
              </w:rPr>
              <w:t>Zmanjšanje sodnih zaostankov za civilna redna sodišča (prva stopnja)</w:t>
            </w:r>
          </w:p>
        </w:tc>
      </w:tr>
      <w:tr w:rsidR="00154E32" w14:paraId="06A5F4D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74BA1A0" w14:textId="77777777" w:rsidR="00154E32" w:rsidRDefault="00A43E04">
            <w:pPr>
              <w:pStyle w:val="P68B1DB1-Normal12"/>
              <w:jc w:val="center"/>
              <w:rPr>
                <w:noProof/>
              </w:rPr>
            </w:pPr>
            <w:r>
              <w:rPr>
                <w:noProof/>
              </w:rPr>
              <w:t>M1C1–48</w:t>
            </w:r>
          </w:p>
        </w:tc>
        <w:tc>
          <w:tcPr>
            <w:tcW w:w="3195" w:type="dxa"/>
            <w:tcBorders>
              <w:top w:val="nil"/>
              <w:left w:val="nil"/>
              <w:bottom w:val="single" w:sz="4" w:space="0" w:color="auto"/>
              <w:right w:val="single" w:sz="4" w:space="0" w:color="auto"/>
            </w:tcBorders>
            <w:shd w:val="clear" w:color="auto" w:fill="C6EFCE"/>
            <w:noWrap/>
            <w:vAlign w:val="center"/>
          </w:tcPr>
          <w:p w14:paraId="2B84698B" w14:textId="77777777" w:rsidR="00154E32" w:rsidRDefault="00A43E04">
            <w:pPr>
              <w:pStyle w:val="P68B1DB1-Normal12"/>
              <w:jc w:val="center"/>
              <w:rPr>
                <w:noProof/>
              </w:rPr>
            </w:pPr>
            <w:r>
              <w:rPr>
                <w:noProof/>
              </w:rPr>
              <w:t>Reforma 1.4: Reforma civilnega pravosodja</w:t>
            </w:r>
          </w:p>
        </w:tc>
        <w:tc>
          <w:tcPr>
            <w:tcW w:w="1380" w:type="dxa"/>
            <w:tcBorders>
              <w:top w:val="nil"/>
              <w:left w:val="nil"/>
              <w:bottom w:val="single" w:sz="4" w:space="0" w:color="auto"/>
              <w:right w:val="single" w:sz="4" w:space="0" w:color="auto"/>
            </w:tcBorders>
            <w:shd w:val="clear" w:color="auto" w:fill="C6EFCE"/>
            <w:noWrap/>
            <w:vAlign w:val="center"/>
          </w:tcPr>
          <w:p w14:paraId="11D1BB10"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360205D1" w14:textId="77777777" w:rsidR="00154E32" w:rsidRDefault="00A43E04">
            <w:pPr>
              <w:pStyle w:val="P68B1DB1-Normal12"/>
              <w:rPr>
                <w:noProof/>
              </w:rPr>
            </w:pPr>
            <w:r>
              <w:rPr>
                <w:noProof/>
              </w:rPr>
              <w:t>Zmanjšanje zaostankov pri civilnem pritožbenem sodišču (druga stopnja)</w:t>
            </w:r>
          </w:p>
        </w:tc>
      </w:tr>
      <w:tr w:rsidR="00154E32" w14:paraId="0187326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7AE0A96" w14:textId="77777777" w:rsidR="00154E32" w:rsidRDefault="00A43E04">
            <w:pPr>
              <w:pStyle w:val="P68B1DB1-Normal12"/>
              <w:jc w:val="center"/>
              <w:rPr>
                <w:noProof/>
              </w:rPr>
            </w:pPr>
            <w:r>
              <w:rPr>
                <w:noProof/>
              </w:rPr>
              <w:t>M1C1–49</w:t>
            </w:r>
          </w:p>
        </w:tc>
        <w:tc>
          <w:tcPr>
            <w:tcW w:w="3195" w:type="dxa"/>
            <w:tcBorders>
              <w:top w:val="nil"/>
              <w:left w:val="nil"/>
              <w:bottom w:val="single" w:sz="4" w:space="0" w:color="auto"/>
              <w:right w:val="single" w:sz="4" w:space="0" w:color="auto"/>
            </w:tcBorders>
            <w:shd w:val="clear" w:color="auto" w:fill="C6EFCE"/>
            <w:noWrap/>
            <w:vAlign w:val="center"/>
          </w:tcPr>
          <w:p w14:paraId="5AD8DE5A" w14:textId="77777777" w:rsidR="00154E32" w:rsidRDefault="00A43E04">
            <w:pPr>
              <w:pStyle w:val="P68B1DB1-Normal12"/>
              <w:jc w:val="center"/>
              <w:rPr>
                <w:noProof/>
              </w:rPr>
            </w:pPr>
            <w:r>
              <w:rPr>
                <w:noProof/>
              </w:rPr>
              <w:t>Naložba 1.8: Postopki zaposlovanja na upravnih sodiščih</w:t>
            </w:r>
          </w:p>
        </w:tc>
        <w:tc>
          <w:tcPr>
            <w:tcW w:w="1380" w:type="dxa"/>
            <w:tcBorders>
              <w:top w:val="nil"/>
              <w:left w:val="nil"/>
              <w:bottom w:val="single" w:sz="4" w:space="0" w:color="auto"/>
              <w:right w:val="single" w:sz="4" w:space="0" w:color="auto"/>
            </w:tcBorders>
            <w:shd w:val="clear" w:color="auto" w:fill="C6EFCE"/>
            <w:noWrap/>
            <w:vAlign w:val="center"/>
          </w:tcPr>
          <w:p w14:paraId="4CD715EF"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72715999" w14:textId="77777777" w:rsidR="00154E32" w:rsidRDefault="00A43E04">
            <w:pPr>
              <w:pStyle w:val="P68B1DB1-Normal12"/>
              <w:rPr>
                <w:noProof/>
              </w:rPr>
            </w:pPr>
            <w:r>
              <w:rPr>
                <w:noProof/>
              </w:rPr>
              <w:t>Zmanjšanje zaostankov za upravna regionalna sodišča (prva stopnja)</w:t>
            </w:r>
          </w:p>
        </w:tc>
      </w:tr>
      <w:tr w:rsidR="00154E32" w14:paraId="02D871D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AA46704" w14:textId="77777777" w:rsidR="00154E32" w:rsidRDefault="00A43E04">
            <w:pPr>
              <w:pStyle w:val="P68B1DB1-Normal12"/>
              <w:jc w:val="center"/>
              <w:rPr>
                <w:noProof/>
              </w:rPr>
            </w:pPr>
            <w:r>
              <w:rPr>
                <w:noProof/>
              </w:rPr>
              <w:t>M1C1–50</w:t>
            </w:r>
          </w:p>
        </w:tc>
        <w:tc>
          <w:tcPr>
            <w:tcW w:w="3195" w:type="dxa"/>
            <w:tcBorders>
              <w:top w:val="nil"/>
              <w:left w:val="nil"/>
              <w:bottom w:val="single" w:sz="4" w:space="0" w:color="auto"/>
              <w:right w:val="single" w:sz="4" w:space="0" w:color="auto"/>
            </w:tcBorders>
            <w:shd w:val="clear" w:color="auto" w:fill="C6EFCE"/>
            <w:noWrap/>
            <w:vAlign w:val="center"/>
          </w:tcPr>
          <w:p w14:paraId="5010CBA3" w14:textId="77777777" w:rsidR="00154E32" w:rsidRDefault="00A43E04">
            <w:pPr>
              <w:pStyle w:val="P68B1DB1-Normal12"/>
              <w:jc w:val="center"/>
              <w:rPr>
                <w:noProof/>
              </w:rPr>
            </w:pPr>
            <w:r>
              <w:rPr>
                <w:noProof/>
              </w:rPr>
              <w:t>Naložba 1.8: Postopki zaposlovanja na upravnih sodiščih</w:t>
            </w:r>
          </w:p>
        </w:tc>
        <w:tc>
          <w:tcPr>
            <w:tcW w:w="1380" w:type="dxa"/>
            <w:tcBorders>
              <w:top w:val="nil"/>
              <w:left w:val="nil"/>
              <w:bottom w:val="single" w:sz="4" w:space="0" w:color="auto"/>
              <w:right w:val="single" w:sz="4" w:space="0" w:color="auto"/>
            </w:tcBorders>
            <w:shd w:val="clear" w:color="auto" w:fill="C6EFCE"/>
            <w:noWrap/>
            <w:vAlign w:val="center"/>
          </w:tcPr>
          <w:p w14:paraId="2F610096"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37604233" w14:textId="77777777" w:rsidR="00154E32" w:rsidRDefault="00A43E04">
            <w:pPr>
              <w:pStyle w:val="P68B1DB1-Normal12"/>
              <w:rPr>
                <w:noProof/>
              </w:rPr>
            </w:pPr>
            <w:r>
              <w:rPr>
                <w:noProof/>
              </w:rPr>
              <w:t>Zmanjšanje sodnih zaostankov za državni svet</w:t>
            </w:r>
          </w:p>
        </w:tc>
      </w:tr>
      <w:tr w:rsidR="00154E32" w14:paraId="49BCAB9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4946B12" w14:textId="77777777" w:rsidR="00154E32" w:rsidRDefault="00A43E04">
            <w:pPr>
              <w:pStyle w:val="P68B1DB1-Normal12"/>
              <w:jc w:val="center"/>
              <w:rPr>
                <w:noProof/>
              </w:rPr>
            </w:pPr>
            <w:r>
              <w:rPr>
                <w:noProof/>
              </w:rPr>
              <w:t>M1C1–63</w:t>
            </w:r>
          </w:p>
        </w:tc>
        <w:tc>
          <w:tcPr>
            <w:tcW w:w="3195" w:type="dxa"/>
            <w:tcBorders>
              <w:top w:val="nil"/>
              <w:left w:val="nil"/>
              <w:bottom w:val="single" w:sz="4" w:space="0" w:color="auto"/>
              <w:right w:val="single" w:sz="4" w:space="0" w:color="auto"/>
            </w:tcBorders>
            <w:shd w:val="clear" w:color="auto" w:fill="C6EFCE"/>
            <w:noWrap/>
            <w:vAlign w:val="center"/>
          </w:tcPr>
          <w:p w14:paraId="0CDC7832" w14:textId="77777777" w:rsidR="00154E32" w:rsidRDefault="00A43E04">
            <w:pPr>
              <w:pStyle w:val="P68B1DB1-Normal12"/>
              <w:jc w:val="center"/>
              <w:rPr>
                <w:noProof/>
              </w:rPr>
            </w:pPr>
            <w:r>
              <w:rPr>
                <w:noProof/>
              </w:rPr>
              <w:t>Reforma 1.9: Reforma javne uprave</w:t>
            </w:r>
          </w:p>
        </w:tc>
        <w:tc>
          <w:tcPr>
            <w:tcW w:w="1380" w:type="dxa"/>
            <w:tcBorders>
              <w:top w:val="nil"/>
              <w:left w:val="nil"/>
              <w:bottom w:val="single" w:sz="4" w:space="0" w:color="auto"/>
              <w:right w:val="single" w:sz="4" w:space="0" w:color="auto"/>
            </w:tcBorders>
            <w:shd w:val="clear" w:color="auto" w:fill="C6EFCE"/>
            <w:noWrap/>
            <w:vAlign w:val="center"/>
          </w:tcPr>
          <w:p w14:paraId="00FBDACD" w14:textId="77777777" w:rsidR="00154E32" w:rsidRDefault="00A43E04">
            <w:pPr>
              <w:pStyle w:val="P68B1DB1-Normal12"/>
              <w:jc w:val="center"/>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5905ACA2" w14:textId="77777777" w:rsidR="00154E32" w:rsidRDefault="00A43E04">
            <w:pPr>
              <w:pStyle w:val="P68B1DB1-Normal12"/>
              <w:rPr>
                <w:noProof/>
              </w:rPr>
            </w:pPr>
            <w:r>
              <w:rPr>
                <w:noProof/>
              </w:rPr>
              <w:t>Dokončati poenostavitev in ustvariti repozitorij vseh poenostavljenih postopkov in ustreznih upravnih ureditev s polno pravno veljavnostjo na celotnem nacionalnem ozemlju.</w:t>
            </w:r>
          </w:p>
        </w:tc>
      </w:tr>
      <w:tr w:rsidR="00154E32" w14:paraId="52F7BAB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61015B3" w14:textId="77777777" w:rsidR="00154E32" w:rsidRDefault="00A43E04">
            <w:pPr>
              <w:pStyle w:val="P68B1DB1-Normal12"/>
              <w:jc w:val="center"/>
              <w:rPr>
                <w:noProof/>
              </w:rPr>
            </w:pPr>
            <w:r>
              <w:rPr>
                <w:noProof/>
              </w:rPr>
              <w:t>M1C1–64</w:t>
            </w:r>
          </w:p>
        </w:tc>
        <w:tc>
          <w:tcPr>
            <w:tcW w:w="3195" w:type="dxa"/>
            <w:tcBorders>
              <w:top w:val="nil"/>
              <w:left w:val="nil"/>
              <w:bottom w:val="single" w:sz="4" w:space="0" w:color="auto"/>
              <w:right w:val="single" w:sz="4" w:space="0" w:color="auto"/>
            </w:tcBorders>
            <w:shd w:val="clear" w:color="auto" w:fill="C6EFCE"/>
            <w:noWrap/>
            <w:vAlign w:val="center"/>
          </w:tcPr>
          <w:p w14:paraId="121D5D4E" w14:textId="77777777" w:rsidR="00154E32" w:rsidRDefault="00A43E04">
            <w:pPr>
              <w:pStyle w:val="P68B1DB1-Normal12"/>
              <w:jc w:val="center"/>
              <w:rPr>
                <w:noProof/>
              </w:rPr>
            </w:pPr>
            <w:r>
              <w:rPr>
                <w:noProof/>
              </w:rPr>
              <w:t>Naložba 1.9: Zagotavljanje tehnične pomoči in krepitev krepitve zmogljivosti za izvajanje italijanskega načrta za okrevanje in odpornost</w:t>
            </w:r>
          </w:p>
        </w:tc>
        <w:tc>
          <w:tcPr>
            <w:tcW w:w="1380" w:type="dxa"/>
            <w:tcBorders>
              <w:top w:val="nil"/>
              <w:left w:val="nil"/>
              <w:bottom w:val="single" w:sz="4" w:space="0" w:color="auto"/>
              <w:right w:val="single" w:sz="4" w:space="0" w:color="auto"/>
            </w:tcBorders>
            <w:shd w:val="clear" w:color="auto" w:fill="C6EFCE"/>
            <w:noWrap/>
            <w:vAlign w:val="center"/>
          </w:tcPr>
          <w:p w14:paraId="0B9134AF"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5C9ECBA7" w14:textId="77777777" w:rsidR="00154E32" w:rsidRDefault="00A43E04">
            <w:pPr>
              <w:pStyle w:val="P68B1DB1-Normal12"/>
              <w:rPr>
                <w:noProof/>
              </w:rPr>
            </w:pPr>
            <w:r>
              <w:rPr>
                <w:noProof/>
              </w:rPr>
              <w:t>Izobraževanje in usposabljanje</w:t>
            </w:r>
          </w:p>
        </w:tc>
      </w:tr>
      <w:tr w:rsidR="00154E32" w14:paraId="1B1AF76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4C280F5" w14:textId="77777777" w:rsidR="00154E32" w:rsidRDefault="00A43E04">
            <w:pPr>
              <w:pStyle w:val="P68B1DB1-Normal12"/>
              <w:jc w:val="center"/>
              <w:rPr>
                <w:noProof/>
              </w:rPr>
            </w:pPr>
            <w:r>
              <w:rPr>
                <w:noProof/>
              </w:rPr>
              <w:t>M1C1–65</w:t>
            </w:r>
          </w:p>
        </w:tc>
        <w:tc>
          <w:tcPr>
            <w:tcW w:w="3195" w:type="dxa"/>
            <w:tcBorders>
              <w:top w:val="nil"/>
              <w:left w:val="nil"/>
              <w:bottom w:val="single" w:sz="4" w:space="0" w:color="auto"/>
              <w:right w:val="single" w:sz="4" w:space="0" w:color="auto"/>
            </w:tcBorders>
            <w:shd w:val="clear" w:color="auto" w:fill="C6EFCE"/>
            <w:noWrap/>
            <w:vAlign w:val="center"/>
          </w:tcPr>
          <w:p w14:paraId="34D9EA42" w14:textId="77777777" w:rsidR="00154E32" w:rsidRDefault="00A43E04">
            <w:pPr>
              <w:pStyle w:val="P68B1DB1-Normal12"/>
              <w:jc w:val="center"/>
              <w:rPr>
                <w:noProof/>
              </w:rPr>
            </w:pPr>
            <w:r>
              <w:rPr>
                <w:noProof/>
              </w:rPr>
              <w:t>Naložba 1.9: Zagotavljanje tehnične pomoči in krepitev krepitve zmogljivosti za izvajanje italijanskega načrta za okrevanje in odpornost</w:t>
            </w:r>
          </w:p>
        </w:tc>
        <w:tc>
          <w:tcPr>
            <w:tcW w:w="1380" w:type="dxa"/>
            <w:tcBorders>
              <w:top w:val="nil"/>
              <w:left w:val="nil"/>
              <w:bottom w:val="single" w:sz="4" w:space="0" w:color="auto"/>
              <w:right w:val="single" w:sz="4" w:space="0" w:color="auto"/>
            </w:tcBorders>
            <w:shd w:val="clear" w:color="auto" w:fill="C6EFCE"/>
            <w:noWrap/>
            <w:vAlign w:val="center"/>
          </w:tcPr>
          <w:p w14:paraId="26FCA2BF"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44FC38C7" w14:textId="77777777" w:rsidR="00154E32" w:rsidRDefault="00A43E04">
            <w:pPr>
              <w:pStyle w:val="P68B1DB1-Normal12"/>
              <w:rPr>
                <w:noProof/>
              </w:rPr>
            </w:pPr>
            <w:r>
              <w:rPr>
                <w:noProof/>
              </w:rPr>
              <w:t>Izobraževanje in usposabljanje</w:t>
            </w:r>
          </w:p>
        </w:tc>
      </w:tr>
      <w:tr w:rsidR="00154E32" w14:paraId="17E1BC4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491B402" w14:textId="77777777" w:rsidR="00154E32" w:rsidRDefault="00A43E04">
            <w:pPr>
              <w:pStyle w:val="P68B1DB1-Normal12"/>
              <w:jc w:val="center"/>
              <w:rPr>
                <w:noProof/>
              </w:rPr>
            </w:pPr>
            <w:r>
              <w:rPr>
                <w:noProof/>
              </w:rPr>
              <w:t>M1C1–66</w:t>
            </w:r>
          </w:p>
        </w:tc>
        <w:tc>
          <w:tcPr>
            <w:tcW w:w="3195" w:type="dxa"/>
            <w:tcBorders>
              <w:top w:val="nil"/>
              <w:left w:val="nil"/>
              <w:bottom w:val="single" w:sz="4" w:space="0" w:color="auto"/>
              <w:right w:val="single" w:sz="4" w:space="0" w:color="auto"/>
            </w:tcBorders>
            <w:shd w:val="clear" w:color="auto" w:fill="C6EFCE"/>
            <w:noWrap/>
            <w:vAlign w:val="center"/>
          </w:tcPr>
          <w:p w14:paraId="14B39429" w14:textId="77777777" w:rsidR="00154E32" w:rsidRDefault="00A43E04">
            <w:pPr>
              <w:pStyle w:val="P68B1DB1-Normal12"/>
              <w:jc w:val="center"/>
              <w:rPr>
                <w:noProof/>
              </w:rPr>
            </w:pPr>
            <w:r>
              <w:rPr>
                <w:noProof/>
              </w:rPr>
              <w:t>Naložba 1.9: Zagotavljanje tehnične pomoči in krepitev krepitve zmogljivosti za izvajanje italijanskega načrta za okrevanje in odpornost</w:t>
            </w:r>
          </w:p>
        </w:tc>
        <w:tc>
          <w:tcPr>
            <w:tcW w:w="1380" w:type="dxa"/>
            <w:tcBorders>
              <w:top w:val="nil"/>
              <w:left w:val="nil"/>
              <w:bottom w:val="single" w:sz="4" w:space="0" w:color="auto"/>
              <w:right w:val="single" w:sz="4" w:space="0" w:color="auto"/>
            </w:tcBorders>
            <w:shd w:val="clear" w:color="auto" w:fill="C6EFCE"/>
            <w:noWrap/>
            <w:vAlign w:val="center"/>
          </w:tcPr>
          <w:p w14:paraId="48479DDE"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7E803798" w14:textId="77777777" w:rsidR="00154E32" w:rsidRDefault="00A43E04">
            <w:pPr>
              <w:pStyle w:val="P68B1DB1-Normal12"/>
              <w:rPr>
                <w:noProof/>
              </w:rPr>
            </w:pPr>
            <w:r>
              <w:rPr>
                <w:noProof/>
              </w:rPr>
              <w:t>Izobraževanje in usposabljanje</w:t>
            </w:r>
          </w:p>
        </w:tc>
      </w:tr>
      <w:tr w:rsidR="00154E32" w14:paraId="2B6BAC0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A00C596" w14:textId="77777777" w:rsidR="00154E32" w:rsidRDefault="00A43E04">
            <w:pPr>
              <w:pStyle w:val="P68B1DB1-Normal12"/>
              <w:jc w:val="center"/>
              <w:rPr>
                <w:noProof/>
              </w:rPr>
            </w:pPr>
            <w:r>
              <w:rPr>
                <w:noProof/>
              </w:rPr>
              <w:t>M1C1–67</w:t>
            </w:r>
          </w:p>
        </w:tc>
        <w:tc>
          <w:tcPr>
            <w:tcW w:w="3195" w:type="dxa"/>
            <w:tcBorders>
              <w:top w:val="nil"/>
              <w:left w:val="nil"/>
              <w:bottom w:val="single" w:sz="4" w:space="0" w:color="auto"/>
              <w:right w:val="single" w:sz="4" w:space="0" w:color="auto"/>
            </w:tcBorders>
            <w:shd w:val="clear" w:color="auto" w:fill="C6EFCE"/>
            <w:noWrap/>
            <w:vAlign w:val="center"/>
          </w:tcPr>
          <w:p w14:paraId="1AA8E482" w14:textId="77777777" w:rsidR="00154E32" w:rsidRDefault="00A43E04">
            <w:pPr>
              <w:pStyle w:val="P68B1DB1-Normal12"/>
              <w:jc w:val="center"/>
              <w:rPr>
                <w:noProof/>
              </w:rPr>
            </w:pPr>
            <w:r>
              <w:rPr>
                <w:noProof/>
              </w:rPr>
              <w:t>Naložba 1.9: Zagotavljanje tehnične pomoči in krepitev krepitve zmogljivosti za izvajanje italijanskega načrta za okrevanje in odpornost</w:t>
            </w:r>
          </w:p>
        </w:tc>
        <w:tc>
          <w:tcPr>
            <w:tcW w:w="1380" w:type="dxa"/>
            <w:tcBorders>
              <w:top w:val="nil"/>
              <w:left w:val="nil"/>
              <w:bottom w:val="single" w:sz="4" w:space="0" w:color="auto"/>
              <w:right w:val="single" w:sz="4" w:space="0" w:color="auto"/>
            </w:tcBorders>
            <w:shd w:val="clear" w:color="auto" w:fill="C6EFCE"/>
            <w:noWrap/>
            <w:vAlign w:val="center"/>
          </w:tcPr>
          <w:p w14:paraId="5C5320F9"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7C24D0D0" w14:textId="77777777" w:rsidR="00154E32" w:rsidRDefault="00A43E04">
            <w:pPr>
              <w:pStyle w:val="P68B1DB1-Normal12"/>
              <w:rPr>
                <w:noProof/>
              </w:rPr>
            </w:pPr>
            <w:r>
              <w:rPr>
                <w:noProof/>
              </w:rPr>
              <w:t>Izobraževanje in usposabljanje</w:t>
            </w:r>
          </w:p>
        </w:tc>
      </w:tr>
      <w:tr w:rsidR="00154E32" w14:paraId="33F58E5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CB37B1B" w14:textId="77777777" w:rsidR="00154E32" w:rsidRDefault="00A43E04">
            <w:pPr>
              <w:pStyle w:val="P68B1DB1-Normal12"/>
              <w:jc w:val="center"/>
              <w:rPr>
                <w:noProof/>
              </w:rPr>
            </w:pPr>
            <w:r>
              <w:rPr>
                <w:noProof/>
              </w:rPr>
              <w:t>M1C1–118</w:t>
            </w:r>
          </w:p>
        </w:tc>
        <w:tc>
          <w:tcPr>
            <w:tcW w:w="3195" w:type="dxa"/>
            <w:tcBorders>
              <w:top w:val="nil"/>
              <w:left w:val="nil"/>
              <w:bottom w:val="single" w:sz="4" w:space="0" w:color="auto"/>
              <w:right w:val="single" w:sz="4" w:space="0" w:color="auto"/>
            </w:tcBorders>
            <w:shd w:val="clear" w:color="auto" w:fill="C6EFCE"/>
            <w:noWrap/>
            <w:vAlign w:val="center"/>
          </w:tcPr>
          <w:p w14:paraId="6C86B098" w14:textId="77777777" w:rsidR="00154E32" w:rsidRDefault="00A43E04">
            <w:pPr>
              <w:pStyle w:val="P68B1DB1-Normal12"/>
              <w:jc w:val="center"/>
              <w:rPr>
                <w:noProof/>
              </w:rPr>
            </w:pPr>
            <w:r>
              <w:rPr>
                <w:noProof/>
              </w:rPr>
              <w:t>Reforma 1.15: Reforma pravil javnega računovodstva</w:t>
            </w:r>
          </w:p>
        </w:tc>
        <w:tc>
          <w:tcPr>
            <w:tcW w:w="1380" w:type="dxa"/>
            <w:tcBorders>
              <w:top w:val="nil"/>
              <w:left w:val="nil"/>
              <w:bottom w:val="single" w:sz="4" w:space="0" w:color="auto"/>
              <w:right w:val="single" w:sz="4" w:space="0" w:color="auto"/>
            </w:tcBorders>
            <w:shd w:val="clear" w:color="auto" w:fill="C6EFCE"/>
            <w:noWrap/>
            <w:vAlign w:val="center"/>
          </w:tcPr>
          <w:p w14:paraId="0631A5BE" w14:textId="77777777" w:rsidR="00154E32" w:rsidRDefault="00A43E04">
            <w:pPr>
              <w:pStyle w:val="P68B1DB1-Normal12"/>
              <w:jc w:val="center"/>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39B01A81" w14:textId="4771F2DD" w:rsidR="00154E32" w:rsidRDefault="00A43E04">
            <w:pPr>
              <w:pStyle w:val="P68B1DB1-Normal12"/>
              <w:rPr>
                <w:noProof/>
              </w:rPr>
            </w:pPr>
            <w:r>
              <w:rPr>
                <w:noProof/>
              </w:rPr>
              <w:t>Začetek veljavnosti reforme računovodstva na podlagi nastanka poslovnega dogodka za vsaj 90 % celotnega javnega sektorja.</w:t>
            </w:r>
          </w:p>
        </w:tc>
      </w:tr>
      <w:tr w:rsidR="00154E32" w14:paraId="7E3FE3B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E62AABF" w14:textId="77777777" w:rsidR="00154E32" w:rsidRDefault="00A43E04">
            <w:pPr>
              <w:pStyle w:val="P68B1DB1-Normal12"/>
              <w:jc w:val="center"/>
              <w:rPr>
                <w:noProof/>
              </w:rPr>
            </w:pPr>
            <w:r>
              <w:rPr>
                <w:noProof/>
              </w:rPr>
              <w:t>M1C1–121</w:t>
            </w:r>
          </w:p>
        </w:tc>
        <w:tc>
          <w:tcPr>
            <w:tcW w:w="3195" w:type="dxa"/>
            <w:tcBorders>
              <w:top w:val="nil"/>
              <w:left w:val="nil"/>
              <w:bottom w:val="single" w:sz="4" w:space="0" w:color="auto"/>
              <w:right w:val="single" w:sz="4" w:space="0" w:color="auto"/>
            </w:tcBorders>
            <w:shd w:val="clear" w:color="auto" w:fill="C6EFCE"/>
            <w:noWrap/>
            <w:vAlign w:val="center"/>
          </w:tcPr>
          <w:p w14:paraId="5A3D46FD" w14:textId="77777777" w:rsidR="00154E32" w:rsidRDefault="00A43E04">
            <w:pPr>
              <w:pStyle w:val="P68B1DB1-Normal12"/>
              <w:jc w:val="center"/>
              <w:rPr>
                <w:noProof/>
              </w:rPr>
            </w:pPr>
            <w:r>
              <w:rPr>
                <w:noProof/>
              </w:rPr>
              <w:t>Reforma 1.12: Reforma davčne uprave</w:t>
            </w:r>
          </w:p>
        </w:tc>
        <w:tc>
          <w:tcPr>
            <w:tcW w:w="1380" w:type="dxa"/>
            <w:tcBorders>
              <w:top w:val="nil"/>
              <w:left w:val="nil"/>
              <w:bottom w:val="single" w:sz="4" w:space="0" w:color="auto"/>
              <w:right w:val="single" w:sz="4" w:space="0" w:color="auto"/>
            </w:tcBorders>
            <w:shd w:val="clear" w:color="auto" w:fill="C6EFCE"/>
            <w:noWrap/>
            <w:vAlign w:val="center"/>
          </w:tcPr>
          <w:p w14:paraId="7BD93D6F"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5816D03F" w14:textId="77777777" w:rsidR="00154E32" w:rsidRDefault="00A43E04">
            <w:pPr>
              <w:pStyle w:val="P68B1DB1-Normal12"/>
              <w:rPr>
                <w:noProof/>
              </w:rPr>
            </w:pPr>
            <w:r>
              <w:rPr>
                <w:noProof/>
              </w:rPr>
              <w:t>Zmanjšanje davčne utaje, kot je opredeljeno s kazalnikom „sorazmernost izogibanja“</w:t>
            </w:r>
          </w:p>
        </w:tc>
      </w:tr>
      <w:tr w:rsidR="00154E32" w14:paraId="6C54724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40FD3B8" w14:textId="77777777" w:rsidR="00154E32" w:rsidRDefault="00A43E04">
            <w:pPr>
              <w:pStyle w:val="P68B1DB1-Normal12"/>
              <w:jc w:val="center"/>
              <w:rPr>
                <w:noProof/>
              </w:rPr>
            </w:pPr>
            <w:r>
              <w:rPr>
                <w:noProof/>
              </w:rPr>
              <w:t>M1C1–122</w:t>
            </w:r>
          </w:p>
        </w:tc>
        <w:tc>
          <w:tcPr>
            <w:tcW w:w="3195" w:type="dxa"/>
            <w:tcBorders>
              <w:top w:val="nil"/>
              <w:left w:val="nil"/>
              <w:bottom w:val="single" w:sz="4" w:space="0" w:color="auto"/>
              <w:right w:val="single" w:sz="4" w:space="0" w:color="auto"/>
            </w:tcBorders>
            <w:shd w:val="clear" w:color="auto" w:fill="C6EFCE"/>
            <w:noWrap/>
            <w:vAlign w:val="center"/>
          </w:tcPr>
          <w:p w14:paraId="1E3A3DF2" w14:textId="77777777" w:rsidR="00154E32" w:rsidRDefault="00A43E04">
            <w:pPr>
              <w:pStyle w:val="P68B1DB1-Normal12"/>
              <w:jc w:val="center"/>
              <w:rPr>
                <w:noProof/>
              </w:rPr>
            </w:pPr>
            <w:r>
              <w:rPr>
                <w:noProof/>
              </w:rPr>
              <w:t>Reforma 1.13: Reforma okvira za pregled porabe</w:t>
            </w:r>
          </w:p>
        </w:tc>
        <w:tc>
          <w:tcPr>
            <w:tcW w:w="1380" w:type="dxa"/>
            <w:tcBorders>
              <w:top w:val="nil"/>
              <w:left w:val="nil"/>
              <w:bottom w:val="single" w:sz="4" w:space="0" w:color="auto"/>
              <w:right w:val="single" w:sz="4" w:space="0" w:color="auto"/>
            </w:tcBorders>
            <w:shd w:val="clear" w:color="auto" w:fill="C6EFCE"/>
            <w:noWrap/>
            <w:vAlign w:val="center"/>
          </w:tcPr>
          <w:p w14:paraId="3B672962" w14:textId="77777777" w:rsidR="00154E32" w:rsidRDefault="00A43E04">
            <w:pPr>
              <w:pStyle w:val="P68B1DB1-Normal12"/>
              <w:jc w:val="center"/>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7FAB5E7A" w14:textId="77777777" w:rsidR="00154E32" w:rsidRDefault="00A43E04">
            <w:pPr>
              <w:pStyle w:val="P68B1DB1-Normal12"/>
              <w:rPr>
                <w:noProof/>
              </w:rPr>
            </w:pPr>
            <w:r>
              <w:rPr>
                <w:noProof/>
              </w:rPr>
              <w:t>Zaključek letnega pregleda porabe za leto 2025 s sklicevanjem na cilj prihranka, določen za leta 2022, 2023 in 2024 za leto 2025.</w:t>
            </w:r>
          </w:p>
        </w:tc>
      </w:tr>
      <w:tr w:rsidR="00154E32" w14:paraId="69F151D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EB095F5" w14:textId="77777777" w:rsidR="00154E32" w:rsidRDefault="00A43E04">
            <w:pPr>
              <w:pStyle w:val="P68B1DB1-Normal12"/>
              <w:jc w:val="center"/>
              <w:rPr>
                <w:noProof/>
              </w:rPr>
            </w:pPr>
            <w:r>
              <w:rPr>
                <w:noProof/>
              </w:rPr>
              <w:t>M1C3–3</w:t>
            </w:r>
          </w:p>
        </w:tc>
        <w:tc>
          <w:tcPr>
            <w:tcW w:w="3195" w:type="dxa"/>
            <w:tcBorders>
              <w:top w:val="nil"/>
              <w:left w:val="nil"/>
              <w:bottom w:val="single" w:sz="4" w:space="0" w:color="auto"/>
              <w:right w:val="single" w:sz="4" w:space="0" w:color="auto"/>
            </w:tcBorders>
            <w:shd w:val="clear" w:color="auto" w:fill="C6EFCE"/>
            <w:noWrap/>
            <w:vAlign w:val="center"/>
          </w:tcPr>
          <w:p w14:paraId="5775D090" w14:textId="77777777" w:rsidR="00154E32" w:rsidRDefault="00A43E04">
            <w:pPr>
              <w:pStyle w:val="P68B1DB1-Normal12"/>
              <w:jc w:val="center"/>
              <w:rPr>
                <w:noProof/>
              </w:rPr>
            </w:pPr>
            <w:r>
              <w:rPr>
                <w:noProof/>
              </w:rPr>
              <w:t>Naložbe – 1.2 Odstranitev fizičnih in kognitivnih ovir v muzejih, knjižnicah in arhivih, da se omogočita širši dostop do kulture in sodelovanje v njej</w:t>
            </w:r>
          </w:p>
        </w:tc>
        <w:tc>
          <w:tcPr>
            <w:tcW w:w="1380" w:type="dxa"/>
            <w:tcBorders>
              <w:top w:val="nil"/>
              <w:left w:val="nil"/>
              <w:bottom w:val="single" w:sz="4" w:space="0" w:color="auto"/>
              <w:right w:val="single" w:sz="4" w:space="0" w:color="auto"/>
            </w:tcBorders>
            <w:shd w:val="clear" w:color="auto" w:fill="C6EFCE"/>
            <w:noWrap/>
            <w:vAlign w:val="center"/>
          </w:tcPr>
          <w:p w14:paraId="5DCF0831"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6A7A1E82" w14:textId="77777777" w:rsidR="00154E32" w:rsidRDefault="00A43E04">
            <w:pPr>
              <w:pStyle w:val="P68B1DB1-Normal12"/>
              <w:rPr>
                <w:noProof/>
              </w:rPr>
            </w:pPr>
            <w:r>
              <w:rPr>
                <w:noProof/>
              </w:rPr>
              <w:t>Ukrepi za izboljšanje fizične in kognitivne dostopnosti kultur</w:t>
            </w:r>
          </w:p>
        </w:tc>
      </w:tr>
      <w:tr w:rsidR="00154E32" w14:paraId="090D934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9DDA588" w14:textId="77777777" w:rsidR="00154E32" w:rsidRDefault="00A43E04">
            <w:pPr>
              <w:pStyle w:val="P68B1DB1-Normal12"/>
              <w:jc w:val="center"/>
              <w:rPr>
                <w:noProof/>
              </w:rPr>
            </w:pPr>
            <w:r>
              <w:rPr>
                <w:noProof/>
              </w:rPr>
              <w:t>M2C1–8</w:t>
            </w:r>
          </w:p>
        </w:tc>
        <w:tc>
          <w:tcPr>
            <w:tcW w:w="3195" w:type="dxa"/>
            <w:tcBorders>
              <w:top w:val="nil"/>
              <w:left w:val="nil"/>
              <w:bottom w:val="single" w:sz="4" w:space="0" w:color="auto"/>
              <w:right w:val="single" w:sz="4" w:space="0" w:color="auto"/>
            </w:tcBorders>
            <w:shd w:val="clear" w:color="auto" w:fill="C6EFCE"/>
            <w:noWrap/>
            <w:vAlign w:val="center"/>
          </w:tcPr>
          <w:p w14:paraId="772438FB" w14:textId="77777777" w:rsidR="00154E32" w:rsidRDefault="00A43E04">
            <w:pPr>
              <w:pStyle w:val="P68B1DB1-Normal12"/>
              <w:jc w:val="center"/>
              <w:rPr>
                <w:noProof/>
              </w:rPr>
            </w:pPr>
            <w:r>
              <w:rPr>
                <w:noProof/>
              </w:rPr>
              <w:t>Naložba 2.3: Inovacije in mehanizacija v kmetijskem in živilskem sektorju</w:t>
            </w:r>
          </w:p>
        </w:tc>
        <w:tc>
          <w:tcPr>
            <w:tcW w:w="1380" w:type="dxa"/>
            <w:tcBorders>
              <w:top w:val="nil"/>
              <w:left w:val="nil"/>
              <w:bottom w:val="single" w:sz="4" w:space="0" w:color="auto"/>
              <w:right w:val="single" w:sz="4" w:space="0" w:color="auto"/>
            </w:tcBorders>
            <w:shd w:val="clear" w:color="auto" w:fill="C6EFCE"/>
            <w:noWrap/>
            <w:vAlign w:val="center"/>
          </w:tcPr>
          <w:p w14:paraId="43AAE893"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0EA91EC1" w14:textId="77777777" w:rsidR="00154E32" w:rsidRDefault="00A43E04">
            <w:pPr>
              <w:pStyle w:val="P68B1DB1-Normal12"/>
              <w:rPr>
                <w:noProof/>
              </w:rPr>
            </w:pPr>
            <w:r>
              <w:rPr>
                <w:noProof/>
              </w:rPr>
              <w:t>Podpora naložbam v inovacije v krožnem gospodarstvu in biogospodarstvu</w:t>
            </w:r>
          </w:p>
        </w:tc>
      </w:tr>
      <w:tr w:rsidR="00154E32" w14:paraId="11B759A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8D8CBDC" w14:textId="77777777" w:rsidR="00154E32" w:rsidRDefault="00A43E04">
            <w:pPr>
              <w:pStyle w:val="P68B1DB1-Normal12"/>
              <w:jc w:val="center"/>
              <w:rPr>
                <w:noProof/>
              </w:rPr>
            </w:pPr>
            <w:r>
              <w:rPr>
                <w:noProof/>
              </w:rPr>
              <w:t>M2C1–9</w:t>
            </w:r>
          </w:p>
        </w:tc>
        <w:tc>
          <w:tcPr>
            <w:tcW w:w="3195" w:type="dxa"/>
            <w:tcBorders>
              <w:top w:val="nil"/>
              <w:left w:val="nil"/>
              <w:bottom w:val="single" w:sz="4" w:space="0" w:color="auto"/>
              <w:right w:val="single" w:sz="4" w:space="0" w:color="auto"/>
            </w:tcBorders>
            <w:shd w:val="clear" w:color="auto" w:fill="C6EFCE"/>
            <w:noWrap/>
            <w:vAlign w:val="center"/>
          </w:tcPr>
          <w:p w14:paraId="60119D6C" w14:textId="77777777" w:rsidR="00154E32" w:rsidRDefault="00A43E04">
            <w:pPr>
              <w:pStyle w:val="P68B1DB1-Normal12"/>
              <w:jc w:val="center"/>
              <w:rPr>
                <w:noProof/>
              </w:rPr>
            </w:pPr>
            <w:r>
              <w:rPr>
                <w:noProof/>
              </w:rPr>
              <w:t>Naložba 2.2: Kmetijsko-sonalni park</w:t>
            </w:r>
          </w:p>
        </w:tc>
        <w:tc>
          <w:tcPr>
            <w:tcW w:w="1380" w:type="dxa"/>
            <w:tcBorders>
              <w:top w:val="nil"/>
              <w:left w:val="nil"/>
              <w:bottom w:val="single" w:sz="4" w:space="0" w:color="auto"/>
              <w:right w:val="single" w:sz="4" w:space="0" w:color="auto"/>
            </w:tcBorders>
            <w:shd w:val="clear" w:color="auto" w:fill="C6EFCE"/>
            <w:noWrap/>
            <w:vAlign w:val="center"/>
          </w:tcPr>
          <w:p w14:paraId="1ED124A8"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58781480" w14:textId="77777777" w:rsidR="00154E32" w:rsidRDefault="00A43E04">
            <w:pPr>
              <w:pStyle w:val="P68B1DB1-Normal12"/>
              <w:rPr>
                <w:noProof/>
              </w:rPr>
            </w:pPr>
            <w:r>
              <w:rPr>
                <w:noProof/>
              </w:rPr>
              <w:t>Agrovoltaična proizvodnja električne energije</w:t>
            </w:r>
          </w:p>
        </w:tc>
      </w:tr>
      <w:tr w:rsidR="00154E32" w14:paraId="315A0AE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1F82042" w14:textId="77777777" w:rsidR="00154E32" w:rsidRDefault="00A43E04">
            <w:pPr>
              <w:pStyle w:val="P68B1DB1-Normal12"/>
              <w:jc w:val="center"/>
              <w:rPr>
                <w:noProof/>
              </w:rPr>
            </w:pPr>
            <w:r>
              <w:rPr>
                <w:noProof/>
              </w:rPr>
              <w:t>M2C1–10</w:t>
            </w:r>
          </w:p>
        </w:tc>
        <w:tc>
          <w:tcPr>
            <w:tcW w:w="3195" w:type="dxa"/>
            <w:tcBorders>
              <w:top w:val="nil"/>
              <w:left w:val="nil"/>
              <w:bottom w:val="single" w:sz="4" w:space="0" w:color="auto"/>
              <w:right w:val="single" w:sz="4" w:space="0" w:color="auto"/>
            </w:tcBorders>
            <w:shd w:val="clear" w:color="auto" w:fill="C6EFCE"/>
            <w:noWrap/>
            <w:vAlign w:val="center"/>
          </w:tcPr>
          <w:p w14:paraId="66FA58B8" w14:textId="77777777" w:rsidR="00154E32" w:rsidRDefault="00A43E04">
            <w:pPr>
              <w:pStyle w:val="P68B1DB1-Normal12"/>
              <w:jc w:val="center"/>
              <w:rPr>
                <w:noProof/>
              </w:rPr>
            </w:pPr>
            <w:r>
              <w:rPr>
                <w:noProof/>
              </w:rPr>
              <w:t>Naložba 2.1: Logistični načrt za agroživilski, ribiški in akvakulturni sektor, gozdarstvo, cvetličarstvo in odraščanje rastlin</w:t>
            </w:r>
          </w:p>
        </w:tc>
        <w:tc>
          <w:tcPr>
            <w:tcW w:w="1380" w:type="dxa"/>
            <w:tcBorders>
              <w:top w:val="nil"/>
              <w:left w:val="nil"/>
              <w:bottom w:val="single" w:sz="4" w:space="0" w:color="auto"/>
              <w:right w:val="single" w:sz="4" w:space="0" w:color="auto"/>
            </w:tcBorders>
            <w:shd w:val="clear" w:color="auto" w:fill="C6EFCE"/>
            <w:noWrap/>
            <w:vAlign w:val="center"/>
          </w:tcPr>
          <w:p w14:paraId="2D2A7565"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50E66268" w14:textId="77777777" w:rsidR="00154E32" w:rsidRDefault="00A43E04">
            <w:pPr>
              <w:pStyle w:val="P68B1DB1-Normal12"/>
              <w:rPr>
                <w:noProof/>
              </w:rPr>
            </w:pPr>
            <w:r>
              <w:rPr>
                <w:noProof/>
              </w:rPr>
              <w:t>Ukrepi za izboljšanje logistike v agroživilskem, ribiškem in akvakulturnem sektorju, gozdarskem in cvetličarskem sektorju ter sektorju odraščanja rastlin</w:t>
            </w:r>
          </w:p>
        </w:tc>
      </w:tr>
      <w:tr w:rsidR="00154E32" w14:paraId="64A4129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660C83C" w14:textId="77777777" w:rsidR="00154E32" w:rsidRDefault="00A43E04">
            <w:pPr>
              <w:pStyle w:val="P68B1DB1-Normal12"/>
              <w:jc w:val="center"/>
              <w:rPr>
                <w:noProof/>
              </w:rPr>
            </w:pPr>
            <w:r>
              <w:rPr>
                <w:noProof/>
              </w:rPr>
              <w:t>M2C1–12</w:t>
            </w:r>
          </w:p>
        </w:tc>
        <w:tc>
          <w:tcPr>
            <w:tcW w:w="3195" w:type="dxa"/>
            <w:tcBorders>
              <w:top w:val="nil"/>
              <w:left w:val="nil"/>
              <w:bottom w:val="single" w:sz="4" w:space="0" w:color="auto"/>
              <w:right w:val="single" w:sz="4" w:space="0" w:color="auto"/>
            </w:tcBorders>
            <w:shd w:val="clear" w:color="auto" w:fill="C6EFCE"/>
            <w:noWrap/>
            <w:vAlign w:val="center"/>
          </w:tcPr>
          <w:p w14:paraId="29EE85DB" w14:textId="77777777" w:rsidR="00154E32" w:rsidRDefault="00A43E04">
            <w:pPr>
              <w:pStyle w:val="P68B1DB1-Normal12"/>
              <w:jc w:val="center"/>
              <w:rPr>
                <w:noProof/>
              </w:rPr>
            </w:pPr>
            <w:r>
              <w:rPr>
                <w:noProof/>
              </w:rPr>
              <w:t>Naložba 3.3: Kultura in ozaveščenost o okoljskih temah in izzivih</w:t>
            </w:r>
          </w:p>
        </w:tc>
        <w:tc>
          <w:tcPr>
            <w:tcW w:w="1380" w:type="dxa"/>
            <w:tcBorders>
              <w:top w:val="nil"/>
              <w:left w:val="nil"/>
              <w:bottom w:val="single" w:sz="4" w:space="0" w:color="auto"/>
              <w:right w:val="single" w:sz="4" w:space="0" w:color="auto"/>
            </w:tcBorders>
            <w:shd w:val="clear" w:color="auto" w:fill="C6EFCE"/>
            <w:noWrap/>
            <w:vAlign w:val="center"/>
          </w:tcPr>
          <w:p w14:paraId="3E91F727"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00C36FC9" w14:textId="77777777" w:rsidR="00154E32" w:rsidRDefault="00A43E04">
            <w:pPr>
              <w:pStyle w:val="P68B1DB1-Normal12"/>
              <w:rPr>
                <w:noProof/>
              </w:rPr>
            </w:pPr>
            <w:r>
              <w:rPr>
                <w:noProof/>
              </w:rPr>
              <w:t>Avdiovizualno gradivo o okoljskem prehodu</w:t>
            </w:r>
          </w:p>
        </w:tc>
      </w:tr>
      <w:tr w:rsidR="00154E32" w14:paraId="0422E20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56AEB67" w14:textId="77777777" w:rsidR="00154E32" w:rsidRDefault="00A43E04">
            <w:pPr>
              <w:pStyle w:val="P68B1DB1-Normal12"/>
              <w:jc w:val="center"/>
              <w:rPr>
                <w:noProof/>
              </w:rPr>
            </w:pPr>
            <w:r>
              <w:rPr>
                <w:noProof/>
              </w:rPr>
              <w:t>M2C2–23</w:t>
            </w:r>
          </w:p>
        </w:tc>
        <w:tc>
          <w:tcPr>
            <w:tcW w:w="3195" w:type="dxa"/>
            <w:tcBorders>
              <w:top w:val="nil"/>
              <w:left w:val="nil"/>
              <w:bottom w:val="single" w:sz="4" w:space="0" w:color="auto"/>
              <w:right w:val="single" w:sz="4" w:space="0" w:color="auto"/>
            </w:tcBorders>
            <w:shd w:val="clear" w:color="auto" w:fill="C6EFCE"/>
            <w:noWrap/>
            <w:vAlign w:val="center"/>
          </w:tcPr>
          <w:p w14:paraId="71D58F9A" w14:textId="77777777" w:rsidR="00154E32" w:rsidRDefault="00A43E04">
            <w:pPr>
              <w:pStyle w:val="P68B1DB1-Normal12"/>
              <w:jc w:val="center"/>
              <w:rPr>
                <w:noProof/>
              </w:rPr>
            </w:pPr>
            <w:r>
              <w:rPr>
                <w:noProof/>
              </w:rPr>
              <w:t>Naložba 4.1 Naložbe v mehko mobilnost (nacionalni načrt kolesarske poti)</w:t>
            </w:r>
          </w:p>
        </w:tc>
        <w:tc>
          <w:tcPr>
            <w:tcW w:w="1380" w:type="dxa"/>
            <w:tcBorders>
              <w:top w:val="nil"/>
              <w:left w:val="nil"/>
              <w:bottom w:val="single" w:sz="4" w:space="0" w:color="auto"/>
              <w:right w:val="single" w:sz="4" w:space="0" w:color="auto"/>
            </w:tcBorders>
            <w:shd w:val="clear" w:color="auto" w:fill="C6EFCE"/>
            <w:noWrap/>
            <w:vAlign w:val="center"/>
          </w:tcPr>
          <w:p w14:paraId="28F30833"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0E8E4CBF" w14:textId="77777777" w:rsidR="00154E32" w:rsidRDefault="00A43E04">
            <w:pPr>
              <w:pStyle w:val="P68B1DB1-Normal12"/>
              <w:rPr>
                <w:noProof/>
              </w:rPr>
            </w:pPr>
            <w:r>
              <w:rPr>
                <w:noProof/>
              </w:rPr>
              <w:t>Kolesarske steze T2</w:t>
            </w:r>
          </w:p>
        </w:tc>
      </w:tr>
      <w:tr w:rsidR="00154E32" w14:paraId="7404B29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946DC12" w14:textId="77777777" w:rsidR="00154E32" w:rsidRDefault="00A43E04">
            <w:pPr>
              <w:pStyle w:val="P68B1DB1-Normal12"/>
              <w:jc w:val="center"/>
              <w:rPr>
                <w:noProof/>
              </w:rPr>
            </w:pPr>
            <w:r>
              <w:rPr>
                <w:noProof/>
              </w:rPr>
              <w:t>M4C1–18</w:t>
            </w:r>
          </w:p>
        </w:tc>
        <w:tc>
          <w:tcPr>
            <w:tcW w:w="3195" w:type="dxa"/>
            <w:tcBorders>
              <w:top w:val="nil"/>
              <w:left w:val="nil"/>
              <w:bottom w:val="single" w:sz="4" w:space="0" w:color="auto"/>
              <w:right w:val="single" w:sz="4" w:space="0" w:color="auto"/>
            </w:tcBorders>
            <w:shd w:val="clear" w:color="auto" w:fill="C6EFCE"/>
            <w:noWrap/>
            <w:vAlign w:val="center"/>
          </w:tcPr>
          <w:p w14:paraId="3E758617" w14:textId="77777777" w:rsidR="00154E32" w:rsidRDefault="00A43E04">
            <w:pPr>
              <w:pStyle w:val="P68B1DB1-Normal12"/>
              <w:jc w:val="center"/>
              <w:rPr>
                <w:noProof/>
              </w:rPr>
            </w:pPr>
            <w:r>
              <w:rPr>
                <w:noProof/>
              </w:rPr>
              <w:t>Naložba 1.1: Načrt za vrtce in predšolske otroke ter storitve predšolske vzgoje in varstva</w:t>
            </w:r>
          </w:p>
        </w:tc>
        <w:tc>
          <w:tcPr>
            <w:tcW w:w="1380" w:type="dxa"/>
            <w:tcBorders>
              <w:top w:val="nil"/>
              <w:left w:val="nil"/>
              <w:bottom w:val="single" w:sz="4" w:space="0" w:color="auto"/>
              <w:right w:val="single" w:sz="4" w:space="0" w:color="auto"/>
            </w:tcBorders>
            <w:shd w:val="clear" w:color="auto" w:fill="C6EFCE"/>
            <w:noWrap/>
            <w:vAlign w:val="center"/>
          </w:tcPr>
          <w:p w14:paraId="3DA5FB3E"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23A46007" w14:textId="77777777" w:rsidR="00154E32" w:rsidRDefault="00A43E04">
            <w:pPr>
              <w:pStyle w:val="P68B1DB1-Normal12"/>
              <w:rPr>
                <w:noProof/>
              </w:rPr>
            </w:pPr>
            <w:r>
              <w:rPr>
                <w:noProof/>
              </w:rPr>
              <w:t>Nova mesta, aktivirana za storitve izobraževanja in varstva v zgodnjem otroštvu (od nič do šest let)</w:t>
            </w:r>
          </w:p>
        </w:tc>
      </w:tr>
      <w:tr w:rsidR="00154E32" w14:paraId="4B7DA0B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344916A" w14:textId="77777777" w:rsidR="00154E32" w:rsidRDefault="00A43E04">
            <w:pPr>
              <w:pStyle w:val="P68B1DB1-Normal12"/>
              <w:jc w:val="center"/>
              <w:rPr>
                <w:noProof/>
              </w:rPr>
            </w:pPr>
            <w:r>
              <w:rPr>
                <w:noProof/>
              </w:rPr>
              <w:t>M4C1–21</w:t>
            </w:r>
          </w:p>
        </w:tc>
        <w:tc>
          <w:tcPr>
            <w:tcW w:w="3195" w:type="dxa"/>
            <w:tcBorders>
              <w:top w:val="nil"/>
              <w:left w:val="nil"/>
              <w:bottom w:val="single" w:sz="4" w:space="0" w:color="auto"/>
              <w:right w:val="single" w:sz="4" w:space="0" w:color="auto"/>
            </w:tcBorders>
            <w:shd w:val="clear" w:color="auto" w:fill="C6EFCE"/>
            <w:noWrap/>
            <w:vAlign w:val="center"/>
          </w:tcPr>
          <w:p w14:paraId="288B76D6" w14:textId="77777777" w:rsidR="00154E32" w:rsidRDefault="00A43E04">
            <w:pPr>
              <w:pStyle w:val="P68B1DB1-Normal12"/>
              <w:jc w:val="center"/>
              <w:rPr>
                <w:noProof/>
              </w:rPr>
            </w:pPr>
            <w:r>
              <w:rPr>
                <w:noProof/>
              </w:rPr>
              <w:t>Naložba 1.2: Načrt za podaljšanje polnega delovnega časa</w:t>
            </w:r>
          </w:p>
        </w:tc>
        <w:tc>
          <w:tcPr>
            <w:tcW w:w="1380" w:type="dxa"/>
            <w:tcBorders>
              <w:top w:val="nil"/>
              <w:left w:val="nil"/>
              <w:bottom w:val="single" w:sz="4" w:space="0" w:color="auto"/>
              <w:right w:val="single" w:sz="4" w:space="0" w:color="auto"/>
            </w:tcBorders>
            <w:shd w:val="clear" w:color="auto" w:fill="C6EFCE"/>
            <w:noWrap/>
            <w:vAlign w:val="center"/>
          </w:tcPr>
          <w:p w14:paraId="095AB5CE"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77FD4CF1" w14:textId="77777777" w:rsidR="00154E32" w:rsidRDefault="00A43E04">
            <w:pPr>
              <w:pStyle w:val="P68B1DB1-Normal47"/>
              <w:rPr>
                <w:noProof/>
              </w:rPr>
            </w:pPr>
            <w:r>
              <w:rPr>
                <w:noProof/>
              </w:rPr>
              <w:t>Strukture za sprejem učencev po šolskem času</w:t>
            </w:r>
          </w:p>
        </w:tc>
      </w:tr>
      <w:tr w:rsidR="00154E32" w14:paraId="688E354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8BDE0E" w14:textId="77777777" w:rsidR="00154E32" w:rsidRDefault="00A43E04">
            <w:pPr>
              <w:pStyle w:val="P68B1DB1-Normal12"/>
              <w:jc w:val="center"/>
              <w:rPr>
                <w:noProof/>
              </w:rPr>
            </w:pPr>
            <w:r>
              <w:rPr>
                <w:noProof/>
              </w:rPr>
              <w:t>M4C1–22</w:t>
            </w:r>
          </w:p>
        </w:tc>
        <w:tc>
          <w:tcPr>
            <w:tcW w:w="3195" w:type="dxa"/>
            <w:tcBorders>
              <w:top w:val="nil"/>
              <w:left w:val="nil"/>
              <w:bottom w:val="single" w:sz="4" w:space="0" w:color="auto"/>
              <w:right w:val="single" w:sz="4" w:space="0" w:color="auto"/>
            </w:tcBorders>
            <w:shd w:val="clear" w:color="auto" w:fill="C6EFCE"/>
            <w:noWrap/>
            <w:vAlign w:val="center"/>
          </w:tcPr>
          <w:p w14:paraId="69D29ACC" w14:textId="77777777" w:rsidR="00154E32" w:rsidRDefault="00A43E04">
            <w:pPr>
              <w:pStyle w:val="P68B1DB1-Normal12"/>
              <w:jc w:val="center"/>
              <w:rPr>
                <w:noProof/>
              </w:rPr>
            </w:pPr>
            <w:r>
              <w:rPr>
                <w:noProof/>
              </w:rPr>
              <w:t>Naložba 1.3: Načrt za izboljšanje športne infrastrukture v šolah</w:t>
            </w:r>
          </w:p>
        </w:tc>
        <w:tc>
          <w:tcPr>
            <w:tcW w:w="1380" w:type="dxa"/>
            <w:tcBorders>
              <w:top w:val="nil"/>
              <w:left w:val="nil"/>
              <w:bottom w:val="single" w:sz="4" w:space="0" w:color="auto"/>
              <w:right w:val="single" w:sz="4" w:space="0" w:color="auto"/>
            </w:tcBorders>
            <w:shd w:val="clear" w:color="auto" w:fill="C6EFCE"/>
            <w:noWrap/>
            <w:vAlign w:val="center"/>
          </w:tcPr>
          <w:p w14:paraId="4F896A89"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65C8EF38" w14:textId="77777777" w:rsidR="00154E32" w:rsidRDefault="00A43E04">
            <w:pPr>
              <w:pStyle w:val="P68B1DB1-Normal12"/>
              <w:rPr>
                <w:noProof/>
              </w:rPr>
            </w:pPr>
            <w:r>
              <w:rPr>
                <w:noProof/>
              </w:rPr>
              <w:t>Qm, zgrajen ali prenovljen, se uporablja kot telovadnice ali športni objekti</w:t>
            </w:r>
          </w:p>
        </w:tc>
      </w:tr>
      <w:tr w:rsidR="00154E32" w14:paraId="6AFC5A7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29F8B6A" w14:textId="77777777" w:rsidR="00154E32" w:rsidRDefault="00A43E04">
            <w:pPr>
              <w:pStyle w:val="P68B1DB1-Normal12"/>
              <w:jc w:val="center"/>
              <w:rPr>
                <w:noProof/>
              </w:rPr>
            </w:pPr>
            <w:r>
              <w:rPr>
                <w:noProof/>
              </w:rPr>
              <w:t>M4C1–23</w:t>
            </w:r>
          </w:p>
        </w:tc>
        <w:tc>
          <w:tcPr>
            <w:tcW w:w="3195" w:type="dxa"/>
            <w:tcBorders>
              <w:top w:val="nil"/>
              <w:left w:val="nil"/>
              <w:bottom w:val="single" w:sz="4" w:space="0" w:color="auto"/>
              <w:right w:val="single" w:sz="4" w:space="0" w:color="auto"/>
            </w:tcBorders>
            <w:shd w:val="clear" w:color="auto" w:fill="C6EFCE"/>
            <w:noWrap/>
            <w:vAlign w:val="center"/>
          </w:tcPr>
          <w:p w14:paraId="2DB41D14" w14:textId="77777777" w:rsidR="00154E32" w:rsidRDefault="00A43E04">
            <w:pPr>
              <w:pStyle w:val="P68B1DB1-Normal12"/>
              <w:jc w:val="center"/>
              <w:rPr>
                <w:noProof/>
              </w:rPr>
            </w:pPr>
            <w:r>
              <w:rPr>
                <w:noProof/>
              </w:rPr>
              <w:t xml:space="preserve">Naložba 3.4: Poučevanje in napredne univerzitetne spretnosti </w:t>
            </w:r>
          </w:p>
        </w:tc>
        <w:tc>
          <w:tcPr>
            <w:tcW w:w="1380" w:type="dxa"/>
            <w:tcBorders>
              <w:top w:val="nil"/>
              <w:left w:val="nil"/>
              <w:bottom w:val="single" w:sz="4" w:space="0" w:color="auto"/>
              <w:right w:val="single" w:sz="4" w:space="0" w:color="auto"/>
            </w:tcBorders>
            <w:shd w:val="clear" w:color="auto" w:fill="C6EFCE"/>
            <w:noWrap/>
            <w:vAlign w:val="center"/>
          </w:tcPr>
          <w:p w14:paraId="71CC4B40"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456FBEED" w14:textId="77777777" w:rsidR="00154E32" w:rsidRDefault="00A43E04">
            <w:pPr>
              <w:pStyle w:val="P68B1DB1-Normal12"/>
              <w:rPr>
                <w:noProof/>
              </w:rPr>
            </w:pPr>
            <w:r>
              <w:rPr>
                <w:noProof/>
              </w:rPr>
              <w:t xml:space="preserve">Novi doktorski študij za tri leta v programih, namenjenih digitalnemu in okoljskemu prehodu  </w:t>
            </w:r>
          </w:p>
        </w:tc>
      </w:tr>
      <w:tr w:rsidR="00154E32" w14:paraId="6B7A35D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E289027" w14:textId="77777777" w:rsidR="00154E32" w:rsidRDefault="00A43E04">
            <w:pPr>
              <w:pStyle w:val="P68B1DB1-Normal12"/>
              <w:jc w:val="center"/>
              <w:rPr>
                <w:noProof/>
              </w:rPr>
            </w:pPr>
            <w:r>
              <w:rPr>
                <w:noProof/>
              </w:rPr>
              <w:t>M4C1–23 bis</w:t>
            </w:r>
          </w:p>
        </w:tc>
        <w:tc>
          <w:tcPr>
            <w:tcW w:w="3195" w:type="dxa"/>
            <w:tcBorders>
              <w:top w:val="nil"/>
              <w:left w:val="nil"/>
              <w:bottom w:val="single" w:sz="4" w:space="0" w:color="auto"/>
              <w:right w:val="single" w:sz="4" w:space="0" w:color="auto"/>
            </w:tcBorders>
            <w:shd w:val="clear" w:color="auto" w:fill="C6EFCE"/>
            <w:noWrap/>
            <w:vAlign w:val="center"/>
          </w:tcPr>
          <w:p w14:paraId="252F1617" w14:textId="77777777" w:rsidR="00154E32" w:rsidRDefault="00A43E04">
            <w:pPr>
              <w:pStyle w:val="P68B1DB1-Normal12"/>
              <w:jc w:val="center"/>
              <w:rPr>
                <w:noProof/>
              </w:rPr>
            </w:pPr>
            <w:r>
              <w:rPr>
                <w:noProof/>
              </w:rPr>
              <w:t xml:space="preserve">Naložba 3.4: Poučevanje in napredne univerzitetne spretnosti </w:t>
            </w:r>
          </w:p>
        </w:tc>
        <w:tc>
          <w:tcPr>
            <w:tcW w:w="1380" w:type="dxa"/>
            <w:tcBorders>
              <w:top w:val="nil"/>
              <w:left w:val="nil"/>
              <w:bottom w:val="single" w:sz="4" w:space="0" w:color="auto"/>
              <w:right w:val="single" w:sz="4" w:space="0" w:color="auto"/>
            </w:tcBorders>
            <w:shd w:val="clear" w:color="auto" w:fill="C6EFCE"/>
            <w:noWrap/>
            <w:vAlign w:val="center"/>
          </w:tcPr>
          <w:p w14:paraId="1A6F35D1" w14:textId="77777777" w:rsidR="00154E32" w:rsidRDefault="00A43E04">
            <w:pPr>
              <w:pStyle w:val="P68B1DB1-Normal12"/>
              <w:jc w:val="center"/>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37705503" w14:textId="77777777" w:rsidR="00154E32" w:rsidRDefault="00A43E04">
            <w:pPr>
              <w:pStyle w:val="P68B1DB1-Normal12"/>
              <w:rPr>
                <w:noProof/>
              </w:rPr>
            </w:pPr>
            <w:r>
              <w:rPr>
                <w:noProof/>
              </w:rPr>
              <w:t>Zaključek izvajanja podukrepov v zvezi s poučevanjem in naprednimi univerzitetnimi znanji in spretnostmi</w:t>
            </w:r>
          </w:p>
        </w:tc>
      </w:tr>
      <w:tr w:rsidR="00154E32" w14:paraId="374F04C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A71876D" w14:textId="77777777" w:rsidR="00154E32" w:rsidRDefault="00A43E04">
            <w:pPr>
              <w:pStyle w:val="P68B1DB1-Normal12"/>
              <w:jc w:val="center"/>
              <w:rPr>
                <w:noProof/>
              </w:rPr>
            </w:pPr>
            <w:r>
              <w:rPr>
                <w:noProof/>
              </w:rPr>
              <w:t>M4C1–24</w:t>
            </w:r>
          </w:p>
        </w:tc>
        <w:tc>
          <w:tcPr>
            <w:tcW w:w="3195" w:type="dxa"/>
            <w:tcBorders>
              <w:top w:val="nil"/>
              <w:left w:val="nil"/>
              <w:bottom w:val="single" w:sz="4" w:space="0" w:color="auto"/>
              <w:right w:val="single" w:sz="4" w:space="0" w:color="auto"/>
            </w:tcBorders>
            <w:shd w:val="clear" w:color="auto" w:fill="C6EFCE"/>
            <w:noWrap/>
            <w:vAlign w:val="center"/>
          </w:tcPr>
          <w:p w14:paraId="00652B28" w14:textId="77777777" w:rsidR="00154E32" w:rsidRDefault="00A43E04">
            <w:pPr>
              <w:pStyle w:val="P68B1DB1-Normal12"/>
              <w:jc w:val="center"/>
              <w:rPr>
                <w:noProof/>
              </w:rPr>
            </w:pPr>
            <w:r>
              <w:rPr>
                <w:noProof/>
              </w:rPr>
              <w:t>Naložba 1.6: Aktivno usmerjanje pri prehodu med šolami in univerzami.</w:t>
            </w:r>
          </w:p>
        </w:tc>
        <w:tc>
          <w:tcPr>
            <w:tcW w:w="1380" w:type="dxa"/>
            <w:tcBorders>
              <w:top w:val="nil"/>
              <w:left w:val="nil"/>
              <w:bottom w:val="single" w:sz="4" w:space="0" w:color="auto"/>
              <w:right w:val="single" w:sz="4" w:space="0" w:color="auto"/>
            </w:tcBorders>
            <w:shd w:val="clear" w:color="auto" w:fill="C6EFCE"/>
            <w:noWrap/>
            <w:vAlign w:val="center"/>
          </w:tcPr>
          <w:p w14:paraId="443546BE"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4AE7BD1E" w14:textId="77777777" w:rsidR="00154E32" w:rsidRDefault="00A43E04">
            <w:pPr>
              <w:pStyle w:val="P68B1DB1-Normal12"/>
              <w:rPr>
                <w:noProof/>
              </w:rPr>
            </w:pPr>
            <w:r>
              <w:rPr>
                <w:noProof/>
              </w:rPr>
              <w:t>Dijaki, ki so obiskovali prehodne tečaje med šolo in univerzami</w:t>
            </w:r>
          </w:p>
        </w:tc>
      </w:tr>
      <w:tr w:rsidR="00154E32" w14:paraId="372AE81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D785C07" w14:textId="77777777" w:rsidR="00154E32" w:rsidRDefault="00A43E04">
            <w:pPr>
              <w:pStyle w:val="P68B1DB1-Normal12"/>
              <w:jc w:val="center"/>
              <w:rPr>
                <w:noProof/>
              </w:rPr>
            </w:pPr>
            <w:r>
              <w:rPr>
                <w:noProof/>
              </w:rPr>
              <w:t>M4C1–25</w:t>
            </w:r>
          </w:p>
        </w:tc>
        <w:tc>
          <w:tcPr>
            <w:tcW w:w="3195" w:type="dxa"/>
            <w:tcBorders>
              <w:top w:val="nil"/>
              <w:left w:val="nil"/>
              <w:bottom w:val="single" w:sz="4" w:space="0" w:color="auto"/>
              <w:right w:val="single" w:sz="4" w:space="0" w:color="auto"/>
            </w:tcBorders>
            <w:shd w:val="clear" w:color="auto" w:fill="C6EFCE"/>
            <w:noWrap/>
            <w:vAlign w:val="center"/>
          </w:tcPr>
          <w:p w14:paraId="3D6F68C9" w14:textId="77777777" w:rsidR="00154E32" w:rsidRDefault="00A43E04">
            <w:pPr>
              <w:pStyle w:val="P68B1DB1-Normal12"/>
              <w:jc w:val="center"/>
              <w:rPr>
                <w:noProof/>
              </w:rPr>
            </w:pPr>
            <w:r>
              <w:rPr>
                <w:noProof/>
              </w:rPr>
              <w:t>Naložba 1.4: Izredni ukrepi za zmanjšanje teritorialnih vrzeli v I in II srednješolskih ciklih ter za odpravo osipa v šolah</w:t>
            </w:r>
          </w:p>
        </w:tc>
        <w:tc>
          <w:tcPr>
            <w:tcW w:w="1380" w:type="dxa"/>
            <w:tcBorders>
              <w:top w:val="nil"/>
              <w:left w:val="nil"/>
              <w:bottom w:val="single" w:sz="4" w:space="0" w:color="auto"/>
              <w:right w:val="single" w:sz="4" w:space="0" w:color="auto"/>
            </w:tcBorders>
            <w:shd w:val="clear" w:color="auto" w:fill="C6EFCE"/>
            <w:noWrap/>
            <w:vAlign w:val="center"/>
          </w:tcPr>
          <w:p w14:paraId="7613C4C0"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6F7002DE" w14:textId="77777777" w:rsidR="00154E32" w:rsidRDefault="00A43E04">
            <w:pPr>
              <w:pStyle w:val="P68B1DB1-Normal12"/>
              <w:rPr>
                <w:noProof/>
              </w:rPr>
            </w:pPr>
            <w:r>
              <w:rPr>
                <w:noProof/>
              </w:rPr>
              <w:t>Razlika v stopnji osipa v srednješolskem izobraževanju</w:t>
            </w:r>
          </w:p>
        </w:tc>
      </w:tr>
      <w:tr w:rsidR="00154E32" w14:paraId="22AF60A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415EA43" w14:textId="77777777" w:rsidR="00154E32" w:rsidRDefault="00A43E04">
            <w:pPr>
              <w:pStyle w:val="P68B1DB1-Normal12"/>
              <w:jc w:val="center"/>
              <w:rPr>
                <w:noProof/>
              </w:rPr>
            </w:pPr>
            <w:r>
              <w:rPr>
                <w:noProof/>
              </w:rPr>
              <w:t>M4C1–26</w:t>
            </w:r>
          </w:p>
        </w:tc>
        <w:tc>
          <w:tcPr>
            <w:tcW w:w="3195" w:type="dxa"/>
            <w:tcBorders>
              <w:top w:val="nil"/>
              <w:left w:val="nil"/>
              <w:bottom w:val="single" w:sz="4" w:space="0" w:color="auto"/>
              <w:right w:val="single" w:sz="4" w:space="0" w:color="auto"/>
            </w:tcBorders>
            <w:shd w:val="clear" w:color="auto" w:fill="C6EFCE"/>
            <w:noWrap/>
            <w:vAlign w:val="center"/>
          </w:tcPr>
          <w:p w14:paraId="57C8B925" w14:textId="77777777" w:rsidR="00154E32" w:rsidRDefault="00A43E04">
            <w:pPr>
              <w:pStyle w:val="P68B1DB1-Normal12"/>
              <w:jc w:val="center"/>
              <w:rPr>
                <w:noProof/>
              </w:rPr>
            </w:pPr>
            <w:r>
              <w:rPr>
                <w:noProof/>
              </w:rPr>
              <w:t>Naložba 3.3: Načrt za varnost gradnje šol in strukturno sanacijo</w:t>
            </w:r>
          </w:p>
        </w:tc>
        <w:tc>
          <w:tcPr>
            <w:tcW w:w="1380" w:type="dxa"/>
            <w:tcBorders>
              <w:top w:val="nil"/>
              <w:left w:val="nil"/>
              <w:bottom w:val="single" w:sz="4" w:space="0" w:color="auto"/>
              <w:right w:val="single" w:sz="4" w:space="0" w:color="auto"/>
            </w:tcBorders>
            <w:shd w:val="clear" w:color="auto" w:fill="C6EFCE"/>
            <w:noWrap/>
            <w:vAlign w:val="center"/>
          </w:tcPr>
          <w:p w14:paraId="4A73B21B"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5384A4B4" w14:textId="77777777" w:rsidR="00154E32" w:rsidRDefault="00A43E04">
            <w:pPr>
              <w:pStyle w:val="P68B1DB1-Normal12"/>
              <w:rPr>
                <w:noProof/>
              </w:rPr>
            </w:pPr>
            <w:r>
              <w:rPr>
                <w:noProof/>
              </w:rPr>
              <w:t>Sqm obnovljenih šolskih stavb</w:t>
            </w:r>
          </w:p>
        </w:tc>
      </w:tr>
      <w:tr w:rsidR="00154E32" w14:paraId="0B80DAD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D1B1F7D" w14:textId="77777777" w:rsidR="00154E32" w:rsidRDefault="00A43E04">
            <w:pPr>
              <w:pStyle w:val="P68B1DB1-Normal12"/>
              <w:jc w:val="center"/>
              <w:rPr>
                <w:noProof/>
              </w:rPr>
            </w:pPr>
            <w:r>
              <w:rPr>
                <w:noProof/>
              </w:rPr>
              <w:t>M5C1–7a</w:t>
            </w:r>
          </w:p>
        </w:tc>
        <w:tc>
          <w:tcPr>
            <w:tcW w:w="3195" w:type="dxa"/>
            <w:tcBorders>
              <w:top w:val="nil"/>
              <w:left w:val="nil"/>
              <w:bottom w:val="single" w:sz="4" w:space="0" w:color="auto"/>
              <w:right w:val="single" w:sz="4" w:space="0" w:color="auto"/>
            </w:tcBorders>
            <w:shd w:val="clear" w:color="auto" w:fill="C6EFCE"/>
            <w:noWrap/>
            <w:vAlign w:val="center"/>
          </w:tcPr>
          <w:p w14:paraId="5493C2D2" w14:textId="77777777" w:rsidR="00154E32" w:rsidRDefault="00A43E04">
            <w:pPr>
              <w:pStyle w:val="P68B1DB1-Normal12"/>
              <w:jc w:val="center"/>
              <w:rPr>
                <w:noProof/>
              </w:rPr>
            </w:pPr>
            <w:r>
              <w:rPr>
                <w:noProof/>
              </w:rPr>
              <w:t xml:space="preserve">Naložba 1 – Krepitev javnih zavodov za zaposlovanje (JZZ) </w:t>
            </w:r>
          </w:p>
        </w:tc>
        <w:tc>
          <w:tcPr>
            <w:tcW w:w="1380" w:type="dxa"/>
            <w:tcBorders>
              <w:top w:val="nil"/>
              <w:left w:val="nil"/>
              <w:bottom w:val="single" w:sz="4" w:space="0" w:color="auto"/>
              <w:right w:val="single" w:sz="4" w:space="0" w:color="auto"/>
            </w:tcBorders>
            <w:shd w:val="clear" w:color="auto" w:fill="C6EFCE"/>
            <w:noWrap/>
            <w:vAlign w:val="center"/>
          </w:tcPr>
          <w:p w14:paraId="43A5C5E9"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49A64A65" w14:textId="77777777" w:rsidR="00154E32" w:rsidRDefault="00A43E04">
            <w:pPr>
              <w:pStyle w:val="P68B1DB1-Normal12"/>
              <w:rPr>
                <w:noProof/>
              </w:rPr>
            </w:pPr>
            <w:r>
              <w:rPr>
                <w:noProof/>
              </w:rPr>
              <w:t>Javne službe za zaposlovanje (JZZ) so zaključile dejavnosti, predvidene v načrtu krepitve.</w:t>
            </w:r>
          </w:p>
        </w:tc>
      </w:tr>
      <w:tr w:rsidR="00154E32" w14:paraId="13F30A8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958FF6A" w14:textId="77777777" w:rsidR="00154E32" w:rsidRDefault="00A43E04">
            <w:pPr>
              <w:pStyle w:val="P68B1DB1-Normal12"/>
              <w:jc w:val="center"/>
              <w:rPr>
                <w:noProof/>
              </w:rPr>
            </w:pPr>
            <w:r>
              <w:rPr>
                <w:noProof/>
              </w:rPr>
              <w:t xml:space="preserve">M5C1–13 </w:t>
            </w:r>
          </w:p>
        </w:tc>
        <w:tc>
          <w:tcPr>
            <w:tcW w:w="3195" w:type="dxa"/>
            <w:tcBorders>
              <w:top w:val="nil"/>
              <w:left w:val="nil"/>
              <w:bottom w:val="single" w:sz="4" w:space="0" w:color="auto"/>
              <w:right w:val="single" w:sz="4" w:space="0" w:color="auto"/>
            </w:tcBorders>
            <w:shd w:val="clear" w:color="auto" w:fill="C6EFCE"/>
            <w:noWrap/>
            <w:vAlign w:val="center"/>
          </w:tcPr>
          <w:p w14:paraId="164B6904" w14:textId="77777777" w:rsidR="00154E32" w:rsidRDefault="00A43E04">
            <w:pPr>
              <w:pStyle w:val="P68B1DB1-Normal12"/>
              <w:jc w:val="center"/>
              <w:rPr>
                <w:noProof/>
              </w:rPr>
            </w:pPr>
            <w:r>
              <w:rPr>
                <w:noProof/>
              </w:rPr>
              <w:t>Naložba 2 – Sistem certificiranja za enakost spolov</w:t>
            </w:r>
          </w:p>
        </w:tc>
        <w:tc>
          <w:tcPr>
            <w:tcW w:w="1380" w:type="dxa"/>
            <w:tcBorders>
              <w:top w:val="nil"/>
              <w:left w:val="nil"/>
              <w:bottom w:val="single" w:sz="4" w:space="0" w:color="auto"/>
              <w:right w:val="single" w:sz="4" w:space="0" w:color="auto"/>
            </w:tcBorders>
            <w:shd w:val="clear" w:color="auto" w:fill="C6EFCE"/>
            <w:noWrap/>
            <w:vAlign w:val="center"/>
          </w:tcPr>
          <w:p w14:paraId="66087A52"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6E497AA5" w14:textId="77777777" w:rsidR="00154E32" w:rsidRDefault="00A43E04">
            <w:pPr>
              <w:pStyle w:val="P68B1DB1-Normal12"/>
              <w:rPr>
                <w:noProof/>
              </w:rPr>
            </w:pPr>
            <w:r>
              <w:rPr>
                <w:noProof/>
              </w:rPr>
              <w:t>Podjetja so pridobila potrdilo o enakosti spolov</w:t>
            </w:r>
          </w:p>
        </w:tc>
      </w:tr>
      <w:tr w:rsidR="00154E32" w14:paraId="464676D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DE67C08" w14:textId="77777777" w:rsidR="00154E32" w:rsidRDefault="00A43E04">
            <w:pPr>
              <w:pStyle w:val="P68B1DB1-Normal12"/>
              <w:jc w:val="center"/>
              <w:rPr>
                <w:noProof/>
              </w:rPr>
            </w:pPr>
            <w:r>
              <w:rPr>
                <w:noProof/>
              </w:rPr>
              <w:t>M5C1–14</w:t>
            </w:r>
          </w:p>
        </w:tc>
        <w:tc>
          <w:tcPr>
            <w:tcW w:w="3195" w:type="dxa"/>
            <w:tcBorders>
              <w:top w:val="nil"/>
              <w:left w:val="nil"/>
              <w:bottom w:val="single" w:sz="4" w:space="0" w:color="auto"/>
              <w:right w:val="single" w:sz="4" w:space="0" w:color="auto"/>
            </w:tcBorders>
            <w:shd w:val="clear" w:color="auto" w:fill="C6EFCE"/>
            <w:noWrap/>
            <w:vAlign w:val="center"/>
          </w:tcPr>
          <w:p w14:paraId="3E312D33" w14:textId="77777777" w:rsidR="00154E32" w:rsidRDefault="00A43E04">
            <w:pPr>
              <w:pStyle w:val="P68B1DB1-Normal12"/>
              <w:jc w:val="center"/>
              <w:rPr>
                <w:noProof/>
              </w:rPr>
            </w:pPr>
            <w:r>
              <w:rPr>
                <w:noProof/>
              </w:rPr>
              <w:t>Naložba 2 – Sistem certificiranja za enakost spolov</w:t>
            </w:r>
          </w:p>
        </w:tc>
        <w:tc>
          <w:tcPr>
            <w:tcW w:w="1380" w:type="dxa"/>
            <w:tcBorders>
              <w:top w:val="nil"/>
              <w:left w:val="nil"/>
              <w:bottom w:val="single" w:sz="4" w:space="0" w:color="auto"/>
              <w:right w:val="single" w:sz="4" w:space="0" w:color="auto"/>
            </w:tcBorders>
            <w:shd w:val="clear" w:color="auto" w:fill="C6EFCE"/>
            <w:noWrap/>
            <w:vAlign w:val="center"/>
          </w:tcPr>
          <w:p w14:paraId="7F9FE5C0"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343DE9FE" w14:textId="77777777" w:rsidR="00154E32" w:rsidRDefault="00A43E04">
            <w:pPr>
              <w:pStyle w:val="P68B1DB1-Normal12"/>
              <w:rPr>
                <w:noProof/>
              </w:rPr>
            </w:pPr>
            <w:r>
              <w:rPr>
                <w:noProof/>
              </w:rPr>
              <w:t>Podjetja, ki prejemajo tehnično pomoč, so pridobila potrdilo o enakosti spolov</w:t>
            </w:r>
          </w:p>
        </w:tc>
      </w:tr>
      <w:tr w:rsidR="00154E32" w14:paraId="3F1111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849C71C" w14:textId="77777777" w:rsidR="00154E32" w:rsidRDefault="00A43E04">
            <w:pPr>
              <w:pStyle w:val="P68B1DB1-Normal12"/>
              <w:jc w:val="center"/>
              <w:rPr>
                <w:noProof/>
              </w:rPr>
            </w:pPr>
            <w:r>
              <w:rPr>
                <w:noProof/>
              </w:rPr>
              <w:t>M5C1–16</w:t>
            </w:r>
          </w:p>
        </w:tc>
        <w:tc>
          <w:tcPr>
            <w:tcW w:w="3195" w:type="dxa"/>
            <w:tcBorders>
              <w:top w:val="nil"/>
              <w:left w:val="nil"/>
              <w:bottom w:val="single" w:sz="4" w:space="0" w:color="auto"/>
              <w:right w:val="single" w:sz="4" w:space="0" w:color="auto"/>
            </w:tcBorders>
            <w:shd w:val="clear" w:color="auto" w:fill="C6EFCE"/>
            <w:noWrap/>
            <w:vAlign w:val="center"/>
          </w:tcPr>
          <w:p w14:paraId="61684F11" w14:textId="77777777" w:rsidR="00154E32" w:rsidRDefault="00A43E04">
            <w:pPr>
              <w:pStyle w:val="P68B1DB1-Normal12"/>
              <w:jc w:val="center"/>
              <w:rPr>
                <w:noProof/>
              </w:rPr>
            </w:pPr>
            <w:r>
              <w:rPr>
                <w:noProof/>
              </w:rPr>
              <w:t>Naložba 4 – Univerzalna javna služba</w:t>
            </w:r>
          </w:p>
        </w:tc>
        <w:tc>
          <w:tcPr>
            <w:tcW w:w="1380" w:type="dxa"/>
            <w:tcBorders>
              <w:top w:val="nil"/>
              <w:left w:val="nil"/>
              <w:bottom w:val="single" w:sz="4" w:space="0" w:color="auto"/>
              <w:right w:val="single" w:sz="4" w:space="0" w:color="auto"/>
            </w:tcBorders>
            <w:shd w:val="clear" w:color="auto" w:fill="C6EFCE"/>
            <w:noWrap/>
            <w:vAlign w:val="center"/>
          </w:tcPr>
          <w:p w14:paraId="79AE2D78"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2A133CD2" w14:textId="77777777" w:rsidR="00154E32" w:rsidRDefault="00A43E04">
            <w:pPr>
              <w:pStyle w:val="P68B1DB1-Normal12"/>
              <w:rPr>
                <w:noProof/>
              </w:rPr>
            </w:pPr>
            <w:r>
              <w:rPr>
                <w:noProof/>
              </w:rPr>
              <w:t>Ljudje so sodelovali v programu univerzalne javne službe in pridobili ustrezno potrdilo v štiriletnem obdobju 2021–2024.</w:t>
            </w:r>
          </w:p>
        </w:tc>
      </w:tr>
      <w:tr w:rsidR="00154E32" w14:paraId="090E21A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CCF3FE8" w14:textId="77777777" w:rsidR="00154E32" w:rsidRDefault="00A43E04">
            <w:pPr>
              <w:pStyle w:val="P68B1DB1-Normal12"/>
              <w:jc w:val="center"/>
              <w:rPr>
                <w:noProof/>
              </w:rPr>
            </w:pPr>
            <w:r>
              <w:rPr>
                <w:noProof/>
              </w:rPr>
              <w:t>M5C3–4</w:t>
            </w:r>
          </w:p>
        </w:tc>
        <w:tc>
          <w:tcPr>
            <w:tcW w:w="3195" w:type="dxa"/>
            <w:tcBorders>
              <w:top w:val="nil"/>
              <w:left w:val="nil"/>
              <w:bottom w:val="single" w:sz="4" w:space="0" w:color="auto"/>
              <w:right w:val="single" w:sz="4" w:space="0" w:color="auto"/>
            </w:tcBorders>
            <w:shd w:val="clear" w:color="auto" w:fill="C6EFCE"/>
            <w:noWrap/>
            <w:vAlign w:val="center"/>
          </w:tcPr>
          <w:p w14:paraId="05D36C98" w14:textId="77777777" w:rsidR="00154E32" w:rsidRDefault="00A43E04">
            <w:pPr>
              <w:pStyle w:val="P68B1DB1-Normal12"/>
              <w:jc w:val="center"/>
              <w:rPr>
                <w:noProof/>
              </w:rPr>
            </w:pPr>
            <w:r>
              <w:rPr>
                <w:noProof/>
              </w:rPr>
              <w:t>Naložba 2: Teritorialna bližina zdravstvenih ustanov</w:t>
            </w:r>
          </w:p>
        </w:tc>
        <w:tc>
          <w:tcPr>
            <w:tcW w:w="1380" w:type="dxa"/>
            <w:tcBorders>
              <w:top w:val="nil"/>
              <w:left w:val="nil"/>
              <w:bottom w:val="single" w:sz="4" w:space="0" w:color="auto"/>
              <w:right w:val="single" w:sz="4" w:space="0" w:color="auto"/>
            </w:tcBorders>
            <w:shd w:val="clear" w:color="auto" w:fill="C6EFCE"/>
            <w:noWrap/>
            <w:vAlign w:val="center"/>
          </w:tcPr>
          <w:p w14:paraId="1AF9B75F"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78FC7B2B" w14:textId="77777777" w:rsidR="00154E32" w:rsidRDefault="00A43E04">
            <w:pPr>
              <w:pStyle w:val="P68B1DB1-Normal12"/>
              <w:rPr>
                <w:noProof/>
              </w:rPr>
            </w:pPr>
            <w:r>
              <w:rPr>
                <w:noProof/>
              </w:rPr>
              <w:t>Podpora podeželskim lekarnam v občinah, zaselkih ali naseljih z manj kot 5000 prebivalci (druga serija)</w:t>
            </w:r>
          </w:p>
        </w:tc>
      </w:tr>
      <w:tr w:rsidR="00154E32" w14:paraId="0828AEF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E2DAF0C" w14:textId="77777777" w:rsidR="00154E32" w:rsidRDefault="00A43E04">
            <w:pPr>
              <w:pStyle w:val="P68B1DB1-Normal12"/>
              <w:jc w:val="center"/>
              <w:rPr>
                <w:noProof/>
              </w:rPr>
            </w:pPr>
            <w:r>
              <w:rPr>
                <w:noProof/>
              </w:rPr>
              <w:t>M5C3–9</w:t>
            </w:r>
          </w:p>
        </w:tc>
        <w:tc>
          <w:tcPr>
            <w:tcW w:w="3195" w:type="dxa"/>
            <w:tcBorders>
              <w:top w:val="nil"/>
              <w:left w:val="nil"/>
              <w:bottom w:val="single" w:sz="4" w:space="0" w:color="auto"/>
              <w:right w:val="single" w:sz="4" w:space="0" w:color="auto"/>
            </w:tcBorders>
            <w:shd w:val="clear" w:color="auto" w:fill="C6EFCE"/>
            <w:noWrap/>
            <w:vAlign w:val="center"/>
          </w:tcPr>
          <w:p w14:paraId="39A16615" w14:textId="77777777" w:rsidR="00154E32" w:rsidRDefault="00A43E04">
            <w:pPr>
              <w:pStyle w:val="P68B1DB1-Normal12"/>
              <w:jc w:val="center"/>
              <w:rPr>
                <w:noProof/>
              </w:rPr>
            </w:pPr>
            <w:r>
              <w:rPr>
                <w:noProof/>
              </w:rPr>
              <w:t>Naložba1.3: Strukturirani socialno-izobraževalni ukrepi za boj proti izobraževalni revščini na jugu, ki podpirajo tretji sektor</w:t>
            </w:r>
          </w:p>
        </w:tc>
        <w:tc>
          <w:tcPr>
            <w:tcW w:w="1380" w:type="dxa"/>
            <w:tcBorders>
              <w:top w:val="nil"/>
              <w:left w:val="nil"/>
              <w:bottom w:val="single" w:sz="4" w:space="0" w:color="auto"/>
              <w:right w:val="single" w:sz="4" w:space="0" w:color="auto"/>
            </w:tcBorders>
            <w:shd w:val="clear" w:color="auto" w:fill="C6EFCE"/>
            <w:noWrap/>
            <w:vAlign w:val="center"/>
          </w:tcPr>
          <w:p w14:paraId="7FD5FDE1"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4F79A12A" w14:textId="77777777" w:rsidR="00154E32" w:rsidRDefault="00A43E04">
            <w:pPr>
              <w:pStyle w:val="P68B1DB1-Normal12"/>
              <w:rPr>
                <w:noProof/>
              </w:rPr>
            </w:pPr>
            <w:r>
              <w:rPr>
                <w:noProof/>
              </w:rPr>
              <w:t>Izobraževalna podpora mladoletnikom (druga serija)</w:t>
            </w:r>
          </w:p>
        </w:tc>
      </w:tr>
      <w:tr w:rsidR="00154E32" w14:paraId="6CB7560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BCDD483" w14:textId="77777777" w:rsidR="00154E32" w:rsidRDefault="00A43E04">
            <w:pPr>
              <w:pStyle w:val="P68B1DB1-Normal12"/>
              <w:jc w:val="center"/>
              <w:rPr>
                <w:noProof/>
              </w:rPr>
            </w:pPr>
            <w:r>
              <w:rPr>
                <w:noProof/>
              </w:rPr>
              <w:t>M7–11</w:t>
            </w:r>
          </w:p>
        </w:tc>
        <w:tc>
          <w:tcPr>
            <w:tcW w:w="3195" w:type="dxa"/>
            <w:tcBorders>
              <w:top w:val="nil"/>
              <w:left w:val="nil"/>
              <w:bottom w:val="single" w:sz="4" w:space="0" w:color="auto"/>
              <w:right w:val="single" w:sz="4" w:space="0" w:color="auto"/>
            </w:tcBorders>
            <w:shd w:val="clear" w:color="auto" w:fill="C6EFCE"/>
            <w:noWrap/>
            <w:vAlign w:val="center"/>
          </w:tcPr>
          <w:p w14:paraId="425E6CB2" w14:textId="77777777" w:rsidR="00154E32" w:rsidRDefault="00A43E04">
            <w:pPr>
              <w:pStyle w:val="P68B1DB1-Normal12"/>
              <w:rPr>
                <w:noProof/>
              </w:rPr>
            </w:pPr>
            <w:r>
              <w:rPr>
                <w:noProof/>
              </w:rPr>
              <w:t>Naložba 1: Ukrep razširitve: Krepitev pametnih omrežij</w:t>
            </w:r>
          </w:p>
        </w:tc>
        <w:tc>
          <w:tcPr>
            <w:tcW w:w="1380" w:type="dxa"/>
            <w:tcBorders>
              <w:top w:val="nil"/>
              <w:left w:val="nil"/>
              <w:bottom w:val="single" w:sz="4" w:space="0" w:color="auto"/>
              <w:right w:val="single" w:sz="4" w:space="0" w:color="auto"/>
            </w:tcBorders>
            <w:shd w:val="clear" w:color="auto" w:fill="C6EFCE"/>
            <w:noWrap/>
            <w:vAlign w:val="center"/>
          </w:tcPr>
          <w:p w14:paraId="3B7CD0F7"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3E696793" w14:textId="77777777" w:rsidR="00154E32" w:rsidRDefault="00A43E04">
            <w:pPr>
              <w:pStyle w:val="P68B1DB1-Normal12"/>
              <w:rPr>
                <w:noProof/>
              </w:rPr>
            </w:pPr>
            <w:r>
              <w:rPr>
                <w:noProof/>
              </w:rPr>
              <w:t>Pametna omrežja – elektrifikacija porabe energije</w:t>
            </w:r>
          </w:p>
        </w:tc>
      </w:tr>
      <w:tr w:rsidR="00154E32" w14:paraId="3ECF9F5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06D4741" w14:textId="77777777" w:rsidR="00154E32" w:rsidRDefault="00A43E04">
            <w:pPr>
              <w:pStyle w:val="P68B1DB1-Normal12"/>
              <w:jc w:val="center"/>
              <w:rPr>
                <w:noProof/>
              </w:rPr>
            </w:pPr>
            <w:r>
              <w:rPr>
                <w:noProof/>
              </w:rPr>
              <w:t>M7–12</w:t>
            </w:r>
          </w:p>
        </w:tc>
        <w:tc>
          <w:tcPr>
            <w:tcW w:w="3195" w:type="dxa"/>
            <w:tcBorders>
              <w:top w:val="nil"/>
              <w:left w:val="nil"/>
              <w:bottom w:val="single" w:sz="4" w:space="0" w:color="auto"/>
              <w:right w:val="single" w:sz="4" w:space="0" w:color="auto"/>
            </w:tcBorders>
            <w:shd w:val="clear" w:color="auto" w:fill="C6EFCE"/>
            <w:noWrap/>
            <w:vAlign w:val="center"/>
          </w:tcPr>
          <w:p w14:paraId="0B535F4F" w14:textId="77777777" w:rsidR="00154E32" w:rsidRDefault="00A43E04">
            <w:pPr>
              <w:pStyle w:val="P68B1DB1-Normal12"/>
              <w:rPr>
                <w:noProof/>
              </w:rPr>
            </w:pPr>
            <w:r>
              <w:rPr>
                <w:noProof/>
              </w:rPr>
              <w:t>Naložba 2: Ukrep razširitve: Intervencije za povečanje odpornosti električnega omrežja</w:t>
            </w:r>
          </w:p>
        </w:tc>
        <w:tc>
          <w:tcPr>
            <w:tcW w:w="1380" w:type="dxa"/>
            <w:tcBorders>
              <w:top w:val="nil"/>
              <w:left w:val="nil"/>
              <w:bottom w:val="single" w:sz="4" w:space="0" w:color="auto"/>
              <w:right w:val="single" w:sz="4" w:space="0" w:color="auto"/>
            </w:tcBorders>
            <w:shd w:val="clear" w:color="auto" w:fill="C6EFCE"/>
            <w:noWrap/>
            <w:vAlign w:val="center"/>
          </w:tcPr>
          <w:p w14:paraId="187C133F"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6AFB1E8B" w14:textId="77777777" w:rsidR="00154E32" w:rsidRDefault="00A43E04">
            <w:pPr>
              <w:pStyle w:val="P68B1DB1-Normal12"/>
              <w:rPr>
                <w:noProof/>
              </w:rPr>
            </w:pPr>
            <w:r>
              <w:rPr>
                <w:noProof/>
              </w:rPr>
              <w:t>Povečanje odpornosti omrežja elektroenergetskega sistema</w:t>
            </w:r>
          </w:p>
        </w:tc>
      </w:tr>
      <w:tr w:rsidR="00154E32" w14:paraId="3CE58A9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E21060E" w14:textId="77777777" w:rsidR="00154E32" w:rsidRDefault="00A43E04">
            <w:pPr>
              <w:pStyle w:val="P68B1DB1-Normal12"/>
              <w:jc w:val="center"/>
              <w:rPr>
                <w:noProof/>
              </w:rPr>
            </w:pPr>
            <w:r>
              <w:rPr>
                <w:noProof/>
              </w:rPr>
              <w:t>M7–13</w:t>
            </w:r>
          </w:p>
        </w:tc>
        <w:tc>
          <w:tcPr>
            <w:tcW w:w="3195" w:type="dxa"/>
            <w:tcBorders>
              <w:top w:val="nil"/>
              <w:left w:val="nil"/>
              <w:bottom w:val="single" w:sz="4" w:space="0" w:color="auto"/>
              <w:right w:val="single" w:sz="4" w:space="0" w:color="auto"/>
            </w:tcBorders>
            <w:shd w:val="clear" w:color="auto" w:fill="C6EFCE"/>
            <w:noWrap/>
            <w:vAlign w:val="center"/>
          </w:tcPr>
          <w:p w14:paraId="13F21012" w14:textId="77777777" w:rsidR="00154E32" w:rsidRDefault="00A43E04">
            <w:pPr>
              <w:pStyle w:val="P68B1DB1-Normal12"/>
              <w:rPr>
                <w:noProof/>
              </w:rPr>
            </w:pPr>
            <w:r>
              <w:rPr>
                <w:noProof/>
              </w:rPr>
              <w:t>Naložba 3: Ukrep razširitve: Proizvodnja vodika na degradiranih območjih (Hydrogen Valleys)</w:t>
            </w:r>
          </w:p>
        </w:tc>
        <w:tc>
          <w:tcPr>
            <w:tcW w:w="1380" w:type="dxa"/>
            <w:tcBorders>
              <w:top w:val="nil"/>
              <w:left w:val="nil"/>
              <w:bottom w:val="single" w:sz="4" w:space="0" w:color="auto"/>
              <w:right w:val="single" w:sz="4" w:space="0" w:color="auto"/>
            </w:tcBorders>
            <w:shd w:val="clear" w:color="auto" w:fill="C6EFCE"/>
            <w:noWrap/>
            <w:vAlign w:val="center"/>
          </w:tcPr>
          <w:p w14:paraId="485F32DE"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072F4E8F" w14:textId="77777777" w:rsidR="00154E32" w:rsidRDefault="00A43E04">
            <w:pPr>
              <w:pStyle w:val="P68B1DB1-Normal12"/>
              <w:rPr>
                <w:noProof/>
              </w:rPr>
            </w:pPr>
            <w:r>
              <w:rPr>
                <w:noProof/>
              </w:rPr>
              <w:t>Zaključek projekta v zvezi s proizvodnjo vodika na industrijskih območjih</w:t>
            </w:r>
          </w:p>
        </w:tc>
      </w:tr>
      <w:tr w:rsidR="00154E32" w14:paraId="00D878F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D034129" w14:textId="77777777" w:rsidR="00154E32" w:rsidRDefault="00A43E04">
            <w:pPr>
              <w:pStyle w:val="P68B1DB1-Normal12"/>
              <w:jc w:val="center"/>
              <w:rPr>
                <w:noProof/>
              </w:rPr>
            </w:pPr>
            <w:r>
              <w:rPr>
                <w:noProof/>
              </w:rPr>
              <w:t>M7–15</w:t>
            </w:r>
          </w:p>
        </w:tc>
        <w:tc>
          <w:tcPr>
            <w:tcW w:w="3195" w:type="dxa"/>
            <w:tcBorders>
              <w:top w:val="nil"/>
              <w:left w:val="nil"/>
              <w:bottom w:val="single" w:sz="4" w:space="0" w:color="auto"/>
              <w:right w:val="single" w:sz="4" w:space="0" w:color="auto"/>
            </w:tcBorders>
            <w:shd w:val="clear" w:color="auto" w:fill="C6EFCE"/>
            <w:noWrap/>
            <w:vAlign w:val="center"/>
          </w:tcPr>
          <w:p w14:paraId="10E7AE78" w14:textId="77777777" w:rsidR="00154E32" w:rsidRDefault="00A43E04">
            <w:pPr>
              <w:pStyle w:val="P68B1DB1-Normal12"/>
              <w:rPr>
                <w:noProof/>
              </w:rPr>
            </w:pPr>
            <w:r>
              <w:rPr>
                <w:noProof/>
              </w:rPr>
              <w:t>Naložba 4: Tirenska povezava</w:t>
            </w:r>
          </w:p>
        </w:tc>
        <w:tc>
          <w:tcPr>
            <w:tcW w:w="1380" w:type="dxa"/>
            <w:tcBorders>
              <w:top w:val="nil"/>
              <w:left w:val="nil"/>
              <w:bottom w:val="single" w:sz="4" w:space="0" w:color="auto"/>
              <w:right w:val="single" w:sz="4" w:space="0" w:color="auto"/>
            </w:tcBorders>
            <w:shd w:val="clear" w:color="auto" w:fill="C6EFCE"/>
            <w:noWrap/>
            <w:vAlign w:val="center"/>
          </w:tcPr>
          <w:p w14:paraId="231CECA4"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27AF0827" w14:textId="77777777" w:rsidR="00154E32" w:rsidRDefault="00A43E04">
            <w:pPr>
              <w:pStyle w:val="P68B1DB1-Normal12"/>
              <w:rPr>
                <w:noProof/>
              </w:rPr>
            </w:pPr>
            <w:r>
              <w:rPr>
                <w:noProof/>
              </w:rPr>
              <w:t>514 km položenega kabla</w:t>
            </w:r>
          </w:p>
        </w:tc>
      </w:tr>
      <w:tr w:rsidR="00154E32" w14:paraId="4D68AD6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BA5696F" w14:textId="77777777" w:rsidR="00154E32" w:rsidRDefault="00A43E04">
            <w:pPr>
              <w:pStyle w:val="P68B1DB1-Normal12"/>
              <w:jc w:val="center"/>
              <w:rPr>
                <w:noProof/>
              </w:rPr>
            </w:pPr>
            <w:r>
              <w:rPr>
                <w:noProof/>
              </w:rPr>
              <w:t>M7–17</w:t>
            </w:r>
          </w:p>
        </w:tc>
        <w:tc>
          <w:tcPr>
            <w:tcW w:w="3195" w:type="dxa"/>
            <w:tcBorders>
              <w:top w:val="nil"/>
              <w:left w:val="nil"/>
              <w:bottom w:val="single" w:sz="4" w:space="0" w:color="auto"/>
              <w:right w:val="single" w:sz="4" w:space="0" w:color="auto"/>
            </w:tcBorders>
            <w:shd w:val="clear" w:color="auto" w:fill="C6EFCE"/>
            <w:noWrap/>
            <w:vAlign w:val="center"/>
          </w:tcPr>
          <w:p w14:paraId="63CA88A9" w14:textId="77777777" w:rsidR="00154E32" w:rsidRDefault="00A43E04">
            <w:pPr>
              <w:pStyle w:val="P68B1DB1-Normal12"/>
              <w:rPr>
                <w:noProof/>
              </w:rPr>
            </w:pPr>
            <w:r>
              <w:rPr>
                <w:noProof/>
              </w:rPr>
              <w:t>Naložba 5: SA.CO.I.3</w:t>
            </w:r>
          </w:p>
        </w:tc>
        <w:tc>
          <w:tcPr>
            <w:tcW w:w="1380" w:type="dxa"/>
            <w:tcBorders>
              <w:top w:val="nil"/>
              <w:left w:val="nil"/>
              <w:bottom w:val="single" w:sz="4" w:space="0" w:color="auto"/>
              <w:right w:val="single" w:sz="4" w:space="0" w:color="auto"/>
            </w:tcBorders>
            <w:shd w:val="clear" w:color="auto" w:fill="C6EFCE"/>
            <w:noWrap/>
            <w:vAlign w:val="center"/>
          </w:tcPr>
          <w:p w14:paraId="6BE9AFB8" w14:textId="77777777" w:rsidR="00154E32" w:rsidRDefault="00A43E04">
            <w:pPr>
              <w:pStyle w:val="P68B1DB1-Normal12"/>
              <w:jc w:val="center"/>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7F0712C9" w14:textId="77777777" w:rsidR="00154E32" w:rsidRDefault="00A43E04">
            <w:pPr>
              <w:pStyle w:val="P68B1DB1-Normal12"/>
              <w:rPr>
                <w:noProof/>
              </w:rPr>
            </w:pPr>
            <w:r>
              <w:rPr>
                <w:noProof/>
              </w:rPr>
              <w:t>Dokončanje lupin predelovalnih postaj na Sardiniji (Codrongianos) in Toskani (Suvereto)</w:t>
            </w:r>
          </w:p>
        </w:tc>
      </w:tr>
      <w:tr w:rsidR="00154E32" w14:paraId="3E43F4E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3D1BA36" w14:textId="77777777" w:rsidR="00154E32" w:rsidRDefault="00A43E04">
            <w:pPr>
              <w:pStyle w:val="P68B1DB1-Normal12"/>
              <w:jc w:val="center"/>
              <w:rPr>
                <w:noProof/>
              </w:rPr>
            </w:pPr>
            <w:r>
              <w:rPr>
                <w:noProof/>
              </w:rPr>
              <w:t>M7–19</w:t>
            </w:r>
          </w:p>
        </w:tc>
        <w:tc>
          <w:tcPr>
            <w:tcW w:w="3195" w:type="dxa"/>
            <w:tcBorders>
              <w:top w:val="nil"/>
              <w:left w:val="nil"/>
              <w:bottom w:val="single" w:sz="4" w:space="0" w:color="auto"/>
              <w:right w:val="single" w:sz="4" w:space="0" w:color="auto"/>
            </w:tcBorders>
            <w:shd w:val="clear" w:color="auto" w:fill="C6EFCE"/>
            <w:noWrap/>
            <w:vAlign w:val="center"/>
          </w:tcPr>
          <w:p w14:paraId="5FE18960" w14:textId="77777777" w:rsidR="00154E32" w:rsidRDefault="00A43E04">
            <w:pPr>
              <w:pStyle w:val="P68B1DB1-Normal12"/>
              <w:rPr>
                <w:noProof/>
              </w:rPr>
            </w:pPr>
            <w:r>
              <w:rPr>
                <w:noProof/>
              </w:rPr>
              <w:t>Naložba 6: Projekti čezmejnih elektroenergetskih povezav med Italijo in sosednjimi državami</w:t>
            </w:r>
          </w:p>
        </w:tc>
        <w:tc>
          <w:tcPr>
            <w:tcW w:w="1380" w:type="dxa"/>
            <w:tcBorders>
              <w:top w:val="nil"/>
              <w:left w:val="nil"/>
              <w:bottom w:val="single" w:sz="4" w:space="0" w:color="auto"/>
              <w:right w:val="single" w:sz="4" w:space="0" w:color="auto"/>
            </w:tcBorders>
            <w:shd w:val="clear" w:color="auto" w:fill="C6EFCE"/>
            <w:noWrap/>
            <w:vAlign w:val="center"/>
          </w:tcPr>
          <w:p w14:paraId="6A6006F5"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00F7D21B" w14:textId="77777777" w:rsidR="00154E32" w:rsidRDefault="00A43E04">
            <w:pPr>
              <w:pStyle w:val="P68B1DB1-Normal12"/>
              <w:rPr>
                <w:noProof/>
              </w:rPr>
            </w:pPr>
            <w:r>
              <w:rPr>
                <w:noProof/>
              </w:rPr>
              <w:t>Povečanje nazivne zmogljivosti povezovalnih daljnovodov med Italijo in Avstrijo zaradi dokončanja povezovalnega daljnovoda</w:t>
            </w:r>
          </w:p>
        </w:tc>
      </w:tr>
      <w:tr w:rsidR="00154E32" w14:paraId="5DBD020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0172A5E" w14:textId="77777777" w:rsidR="00154E32" w:rsidRDefault="00A43E04">
            <w:pPr>
              <w:pStyle w:val="P68B1DB1-Normal12"/>
              <w:jc w:val="center"/>
              <w:rPr>
                <w:noProof/>
              </w:rPr>
            </w:pPr>
            <w:r>
              <w:rPr>
                <w:noProof/>
              </w:rPr>
              <w:t>M7–22</w:t>
            </w:r>
          </w:p>
        </w:tc>
        <w:tc>
          <w:tcPr>
            <w:tcW w:w="3195" w:type="dxa"/>
            <w:tcBorders>
              <w:top w:val="nil"/>
              <w:left w:val="nil"/>
              <w:bottom w:val="single" w:sz="4" w:space="0" w:color="auto"/>
              <w:right w:val="single" w:sz="4" w:space="0" w:color="auto"/>
            </w:tcBorders>
            <w:shd w:val="clear" w:color="auto" w:fill="C6EFCE"/>
            <w:noWrap/>
            <w:vAlign w:val="center"/>
          </w:tcPr>
          <w:p w14:paraId="23C14565" w14:textId="77777777" w:rsidR="00154E32" w:rsidRDefault="00A43E04">
            <w:pPr>
              <w:pStyle w:val="P68B1DB1-Normal12"/>
              <w:rPr>
                <w:noProof/>
              </w:rPr>
            </w:pPr>
            <w:r>
              <w:rPr>
                <w:noProof/>
              </w:rPr>
              <w:t>Naložba 7: Pametno nacionalno prenosno omrežje</w:t>
            </w:r>
          </w:p>
        </w:tc>
        <w:tc>
          <w:tcPr>
            <w:tcW w:w="1380" w:type="dxa"/>
            <w:tcBorders>
              <w:top w:val="nil"/>
              <w:left w:val="nil"/>
              <w:bottom w:val="single" w:sz="4" w:space="0" w:color="auto"/>
              <w:right w:val="single" w:sz="4" w:space="0" w:color="auto"/>
            </w:tcBorders>
            <w:shd w:val="clear" w:color="auto" w:fill="C6EFCE"/>
            <w:noWrap/>
            <w:vAlign w:val="center"/>
          </w:tcPr>
          <w:p w14:paraId="48900716"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586CB733" w14:textId="77777777" w:rsidR="00154E32" w:rsidRDefault="00A43E04">
            <w:pPr>
              <w:pStyle w:val="P68B1DB1-Normal12"/>
              <w:rPr>
                <w:noProof/>
              </w:rPr>
            </w:pPr>
            <w:r>
              <w:rPr>
                <w:noProof/>
              </w:rPr>
              <w:t>Namestitev opreme 5G ali arhitekture IKT na postajah</w:t>
            </w:r>
          </w:p>
        </w:tc>
      </w:tr>
      <w:tr w:rsidR="00154E32" w14:paraId="16AA2A2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704CDD2" w14:textId="77777777" w:rsidR="00154E32" w:rsidRDefault="00A43E04">
            <w:pPr>
              <w:pStyle w:val="P68B1DB1-Normal12"/>
              <w:jc w:val="center"/>
              <w:rPr>
                <w:noProof/>
              </w:rPr>
            </w:pPr>
            <w:r>
              <w:rPr>
                <w:noProof/>
              </w:rPr>
              <w:t>M7–23</w:t>
            </w:r>
          </w:p>
        </w:tc>
        <w:tc>
          <w:tcPr>
            <w:tcW w:w="3195" w:type="dxa"/>
            <w:tcBorders>
              <w:top w:val="nil"/>
              <w:left w:val="nil"/>
              <w:bottom w:val="single" w:sz="4" w:space="0" w:color="auto"/>
              <w:right w:val="single" w:sz="4" w:space="0" w:color="auto"/>
            </w:tcBorders>
            <w:shd w:val="clear" w:color="auto" w:fill="C6EFCE"/>
            <w:noWrap/>
            <w:vAlign w:val="center"/>
          </w:tcPr>
          <w:p w14:paraId="4E58B8FF" w14:textId="77777777" w:rsidR="00154E32" w:rsidRDefault="00A43E04">
            <w:pPr>
              <w:pStyle w:val="P68B1DB1-Normal12"/>
              <w:rPr>
                <w:noProof/>
              </w:rPr>
            </w:pPr>
            <w:r>
              <w:rPr>
                <w:noProof/>
              </w:rPr>
              <w:t>Naložba 7: Pametno nacionalno prenosno omrežje</w:t>
            </w:r>
          </w:p>
        </w:tc>
        <w:tc>
          <w:tcPr>
            <w:tcW w:w="1380" w:type="dxa"/>
            <w:tcBorders>
              <w:top w:val="nil"/>
              <w:left w:val="nil"/>
              <w:bottom w:val="single" w:sz="4" w:space="0" w:color="auto"/>
              <w:right w:val="single" w:sz="4" w:space="0" w:color="auto"/>
            </w:tcBorders>
            <w:shd w:val="clear" w:color="auto" w:fill="C6EFCE"/>
            <w:noWrap/>
            <w:vAlign w:val="center"/>
          </w:tcPr>
          <w:p w14:paraId="3CBDE1F5"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5B924D3E" w14:textId="77777777" w:rsidR="00154E32" w:rsidRDefault="00A43E04">
            <w:pPr>
              <w:pStyle w:val="P68B1DB1-Normal12"/>
              <w:rPr>
                <w:noProof/>
              </w:rPr>
            </w:pPr>
            <w:r>
              <w:rPr>
                <w:noProof/>
              </w:rPr>
              <w:t>Novi sistem upravljanja in nadzora omrežja</w:t>
            </w:r>
          </w:p>
        </w:tc>
      </w:tr>
      <w:tr w:rsidR="00154E32" w14:paraId="34EE214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920D458" w14:textId="77777777" w:rsidR="00154E32" w:rsidRDefault="00A43E04">
            <w:pPr>
              <w:pStyle w:val="P68B1DB1-Normal12"/>
              <w:jc w:val="center"/>
              <w:rPr>
                <w:noProof/>
              </w:rPr>
            </w:pPr>
            <w:r>
              <w:rPr>
                <w:noProof/>
              </w:rPr>
              <w:t>M7–24</w:t>
            </w:r>
          </w:p>
        </w:tc>
        <w:tc>
          <w:tcPr>
            <w:tcW w:w="3195" w:type="dxa"/>
            <w:tcBorders>
              <w:top w:val="nil"/>
              <w:left w:val="nil"/>
              <w:bottom w:val="single" w:sz="4" w:space="0" w:color="auto"/>
              <w:right w:val="single" w:sz="4" w:space="0" w:color="auto"/>
            </w:tcBorders>
            <w:shd w:val="clear" w:color="auto" w:fill="C6EFCE"/>
            <w:noWrap/>
            <w:vAlign w:val="center"/>
          </w:tcPr>
          <w:p w14:paraId="1B7EFF33" w14:textId="77777777" w:rsidR="00154E32" w:rsidRDefault="00A43E04">
            <w:pPr>
              <w:pStyle w:val="P68B1DB1-Normal12"/>
              <w:rPr>
                <w:noProof/>
              </w:rPr>
            </w:pPr>
            <w:r>
              <w:rPr>
                <w:noProof/>
              </w:rPr>
              <w:t>Naložba 7: Pametno nacionalno prenosno omrežje</w:t>
            </w:r>
          </w:p>
        </w:tc>
        <w:tc>
          <w:tcPr>
            <w:tcW w:w="1380" w:type="dxa"/>
            <w:tcBorders>
              <w:top w:val="nil"/>
              <w:left w:val="nil"/>
              <w:bottom w:val="single" w:sz="4" w:space="0" w:color="auto"/>
              <w:right w:val="single" w:sz="4" w:space="0" w:color="auto"/>
            </w:tcBorders>
            <w:shd w:val="clear" w:color="auto" w:fill="C6EFCE"/>
            <w:noWrap/>
            <w:vAlign w:val="center"/>
          </w:tcPr>
          <w:p w14:paraId="72110916" w14:textId="77777777" w:rsidR="00154E32" w:rsidRDefault="00A43E04">
            <w:pPr>
              <w:pStyle w:val="P68B1DB1-Normal12"/>
              <w:jc w:val="center"/>
              <w:rPr>
                <w:noProof/>
              </w:rPr>
            </w:pPr>
            <w:r>
              <w:rPr>
                <w:noProof/>
              </w:rPr>
              <w:t xml:space="preserve">Tarča </w:t>
            </w:r>
          </w:p>
        </w:tc>
        <w:tc>
          <w:tcPr>
            <w:tcW w:w="4035" w:type="dxa"/>
            <w:tcBorders>
              <w:top w:val="nil"/>
              <w:left w:val="nil"/>
              <w:bottom w:val="single" w:sz="4" w:space="0" w:color="auto"/>
              <w:right w:val="single" w:sz="4" w:space="0" w:color="auto"/>
            </w:tcBorders>
            <w:shd w:val="clear" w:color="auto" w:fill="C6EFCE"/>
            <w:noWrap/>
            <w:vAlign w:val="center"/>
          </w:tcPr>
          <w:p w14:paraId="12968EBA" w14:textId="77777777" w:rsidR="00154E32" w:rsidRDefault="00A43E04">
            <w:pPr>
              <w:pStyle w:val="P68B1DB1-Normal12"/>
              <w:rPr>
                <w:noProof/>
              </w:rPr>
            </w:pPr>
            <w:r>
              <w:rPr>
                <w:noProof/>
              </w:rPr>
              <w:t>Industrijski internet stvari</w:t>
            </w:r>
          </w:p>
        </w:tc>
      </w:tr>
      <w:tr w:rsidR="00154E32" w14:paraId="4C9996E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E7E907C" w14:textId="77777777" w:rsidR="00154E32" w:rsidRDefault="00A43E04">
            <w:pPr>
              <w:pStyle w:val="P68B1DB1-Normal12"/>
              <w:jc w:val="center"/>
              <w:rPr>
                <w:noProof/>
              </w:rPr>
            </w:pPr>
            <w:r>
              <w:rPr>
                <w:noProof/>
              </w:rPr>
              <w:t>M7–27</w:t>
            </w:r>
          </w:p>
        </w:tc>
        <w:tc>
          <w:tcPr>
            <w:tcW w:w="3195" w:type="dxa"/>
            <w:tcBorders>
              <w:top w:val="nil"/>
              <w:left w:val="nil"/>
              <w:bottom w:val="single" w:sz="4" w:space="0" w:color="auto"/>
              <w:right w:val="single" w:sz="4" w:space="0" w:color="auto"/>
            </w:tcBorders>
            <w:shd w:val="clear" w:color="auto" w:fill="C6EFCE"/>
            <w:noWrap/>
            <w:vAlign w:val="center"/>
          </w:tcPr>
          <w:p w14:paraId="48799EAB" w14:textId="77777777" w:rsidR="00154E32" w:rsidRDefault="00A43E04">
            <w:pPr>
              <w:pStyle w:val="P68B1DB1-Normal12"/>
              <w:rPr>
                <w:noProof/>
              </w:rPr>
            </w:pPr>
            <w:r>
              <w:rPr>
                <w:noProof/>
              </w:rPr>
              <w:t>Naložba 10: Trajnostna, krožna in varna oskrba s kritičnimi surovinami</w:t>
            </w:r>
          </w:p>
        </w:tc>
        <w:tc>
          <w:tcPr>
            <w:tcW w:w="1380" w:type="dxa"/>
            <w:tcBorders>
              <w:top w:val="nil"/>
              <w:left w:val="nil"/>
              <w:bottom w:val="single" w:sz="4" w:space="0" w:color="auto"/>
              <w:right w:val="single" w:sz="4" w:space="0" w:color="auto"/>
            </w:tcBorders>
            <w:shd w:val="clear" w:color="auto" w:fill="C6EFCE"/>
            <w:noWrap/>
            <w:vAlign w:val="center"/>
          </w:tcPr>
          <w:p w14:paraId="7CC8D3BE" w14:textId="77777777" w:rsidR="00154E32" w:rsidRDefault="00A43E04">
            <w:pPr>
              <w:pStyle w:val="P68B1DB1-Normal12"/>
              <w:jc w:val="center"/>
              <w:rPr>
                <w:noProof/>
              </w:rPr>
            </w:pPr>
            <w:r>
              <w:rPr>
                <w:noProof/>
              </w:rPr>
              <w:t xml:space="preserve">Tarča </w:t>
            </w:r>
          </w:p>
        </w:tc>
        <w:tc>
          <w:tcPr>
            <w:tcW w:w="4035" w:type="dxa"/>
            <w:tcBorders>
              <w:top w:val="nil"/>
              <w:left w:val="nil"/>
              <w:bottom w:val="single" w:sz="4" w:space="0" w:color="auto"/>
              <w:right w:val="single" w:sz="4" w:space="0" w:color="auto"/>
            </w:tcBorders>
            <w:shd w:val="clear" w:color="auto" w:fill="C6EFCE"/>
            <w:noWrap/>
            <w:vAlign w:val="center"/>
          </w:tcPr>
          <w:p w14:paraId="3F70271F" w14:textId="77777777" w:rsidR="00154E32" w:rsidRDefault="00A43E04">
            <w:pPr>
              <w:pStyle w:val="P68B1DB1-Normal12"/>
              <w:rPr>
                <w:noProof/>
              </w:rPr>
            </w:pPr>
            <w:r>
              <w:rPr>
                <w:noProof/>
              </w:rPr>
              <w:t>Zaključek projektov raziskav in razvoja na področju okoljsko primerne zasnove in urbanega rudarjenja za trajnostno, krožno in varno oskrbo s kritičnimi surovinami</w:t>
            </w:r>
          </w:p>
        </w:tc>
      </w:tr>
      <w:tr w:rsidR="00154E32" w14:paraId="71F29F0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B3F9A3A" w14:textId="77777777" w:rsidR="00154E32" w:rsidRDefault="00A43E04">
            <w:pPr>
              <w:pStyle w:val="P68B1DB1-Normal12"/>
              <w:jc w:val="center"/>
              <w:rPr>
                <w:noProof/>
              </w:rPr>
            </w:pPr>
            <w:r>
              <w:rPr>
                <w:noProof/>
              </w:rPr>
              <w:t>M7–28</w:t>
            </w:r>
          </w:p>
        </w:tc>
        <w:tc>
          <w:tcPr>
            <w:tcW w:w="3195" w:type="dxa"/>
            <w:tcBorders>
              <w:top w:val="nil"/>
              <w:left w:val="nil"/>
              <w:bottom w:val="single" w:sz="4" w:space="0" w:color="auto"/>
              <w:right w:val="single" w:sz="4" w:space="0" w:color="auto"/>
            </w:tcBorders>
            <w:shd w:val="clear" w:color="auto" w:fill="C6EFCE"/>
            <w:noWrap/>
            <w:vAlign w:val="center"/>
          </w:tcPr>
          <w:p w14:paraId="120C6948" w14:textId="77777777" w:rsidR="00154E32" w:rsidRDefault="00A43E04">
            <w:pPr>
              <w:pStyle w:val="P68B1DB1-Normal12"/>
              <w:rPr>
                <w:noProof/>
              </w:rPr>
            </w:pPr>
            <w:r>
              <w:rPr>
                <w:noProof/>
              </w:rPr>
              <w:t>Naložba 10: Trajnostna, krožna in varna oskrba s kritičnimi surovinami</w:t>
            </w:r>
          </w:p>
        </w:tc>
        <w:tc>
          <w:tcPr>
            <w:tcW w:w="1380" w:type="dxa"/>
            <w:tcBorders>
              <w:top w:val="nil"/>
              <w:left w:val="nil"/>
              <w:bottom w:val="single" w:sz="4" w:space="0" w:color="auto"/>
              <w:right w:val="single" w:sz="4" w:space="0" w:color="auto"/>
            </w:tcBorders>
            <w:shd w:val="clear" w:color="auto" w:fill="C6EFCE"/>
            <w:noWrap/>
            <w:vAlign w:val="center"/>
          </w:tcPr>
          <w:p w14:paraId="012FAA34"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1CA14577" w14:textId="77777777" w:rsidR="00154E32" w:rsidRDefault="00A43E04">
            <w:pPr>
              <w:pStyle w:val="P68B1DB1-Normal12"/>
              <w:rPr>
                <w:noProof/>
              </w:rPr>
            </w:pPr>
            <w:r>
              <w:rPr>
                <w:noProof/>
              </w:rPr>
              <w:t>Oprema laboratorijev, ki pripadajo tehnološkemu vozlišču za urbano rudarjenje in okoljsko primerno zasnovo</w:t>
            </w:r>
          </w:p>
        </w:tc>
      </w:tr>
      <w:tr w:rsidR="00154E32" w14:paraId="449B576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3CBA8C0" w14:textId="77777777" w:rsidR="00154E32" w:rsidRDefault="00A43E04">
            <w:pPr>
              <w:pStyle w:val="P68B1DB1-Normal12"/>
              <w:jc w:val="center"/>
              <w:rPr>
                <w:noProof/>
              </w:rPr>
            </w:pPr>
            <w:r>
              <w:rPr>
                <w:noProof/>
              </w:rPr>
              <w:t>M7–29</w:t>
            </w:r>
          </w:p>
        </w:tc>
        <w:tc>
          <w:tcPr>
            <w:tcW w:w="3195" w:type="dxa"/>
            <w:tcBorders>
              <w:top w:val="nil"/>
              <w:left w:val="nil"/>
              <w:bottom w:val="single" w:sz="4" w:space="0" w:color="auto"/>
              <w:right w:val="single" w:sz="4" w:space="0" w:color="auto"/>
            </w:tcBorders>
            <w:shd w:val="clear" w:color="auto" w:fill="C6EFCE"/>
            <w:noWrap/>
            <w:vAlign w:val="center"/>
          </w:tcPr>
          <w:p w14:paraId="3715777C" w14:textId="77777777" w:rsidR="00154E32" w:rsidRDefault="00A43E04">
            <w:pPr>
              <w:pStyle w:val="P68B1DB1-Normal12"/>
              <w:rPr>
                <w:noProof/>
              </w:rPr>
            </w:pPr>
            <w:r>
              <w:rPr>
                <w:noProof/>
              </w:rPr>
              <w:t>Naložba 9: Ukrep razširitve: Zagotavljanje tehnične pomoči in krepitev krepitve zmogljivosti za izvajanje italijanskega načrta za okrevanje in odpornost</w:t>
            </w:r>
          </w:p>
        </w:tc>
        <w:tc>
          <w:tcPr>
            <w:tcW w:w="1380" w:type="dxa"/>
            <w:tcBorders>
              <w:top w:val="nil"/>
              <w:left w:val="nil"/>
              <w:bottom w:val="single" w:sz="4" w:space="0" w:color="auto"/>
              <w:right w:val="single" w:sz="4" w:space="0" w:color="auto"/>
            </w:tcBorders>
            <w:shd w:val="clear" w:color="auto" w:fill="C6EFCE"/>
            <w:noWrap/>
            <w:vAlign w:val="center"/>
          </w:tcPr>
          <w:p w14:paraId="4D95B08E"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02A30FA1" w14:textId="77777777" w:rsidR="00154E32" w:rsidRDefault="00A43E04">
            <w:pPr>
              <w:pStyle w:val="P68B1DB1-Normal12"/>
              <w:rPr>
                <w:noProof/>
              </w:rPr>
            </w:pPr>
            <w:r>
              <w:rPr>
                <w:noProof/>
              </w:rPr>
              <w:t>Izobraževanje in usposabljanje</w:t>
            </w:r>
          </w:p>
        </w:tc>
      </w:tr>
      <w:tr w:rsidR="00154E32" w14:paraId="4021362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673C716" w14:textId="77777777" w:rsidR="00154E32" w:rsidRDefault="00A43E04">
            <w:pPr>
              <w:pStyle w:val="P68B1DB1-Normal12"/>
              <w:jc w:val="center"/>
              <w:rPr>
                <w:noProof/>
              </w:rPr>
            </w:pPr>
            <w:r>
              <w:rPr>
                <w:noProof/>
              </w:rPr>
              <w:t>M7–31</w:t>
            </w:r>
          </w:p>
        </w:tc>
        <w:tc>
          <w:tcPr>
            <w:tcW w:w="3195" w:type="dxa"/>
            <w:tcBorders>
              <w:top w:val="nil"/>
              <w:left w:val="nil"/>
              <w:bottom w:val="single" w:sz="4" w:space="0" w:color="auto"/>
              <w:right w:val="single" w:sz="4" w:space="0" w:color="auto"/>
            </w:tcBorders>
            <w:shd w:val="clear" w:color="auto" w:fill="C6EFCE"/>
            <w:noWrap/>
            <w:vAlign w:val="center"/>
          </w:tcPr>
          <w:p w14:paraId="72A94CDD" w14:textId="77777777" w:rsidR="00154E32" w:rsidRDefault="00A43E04">
            <w:pPr>
              <w:pStyle w:val="P68B1DB1-Normal12"/>
              <w:rPr>
                <w:noProof/>
              </w:rPr>
            </w:pPr>
            <w:r>
              <w:rPr>
                <w:noProof/>
              </w:rPr>
              <w:t>Naložba 11:  Krepitev regionalnega javnega železniškega voznega parka z brezemisijskimi vlaki in univerzalnimi storitvami</w:t>
            </w:r>
          </w:p>
        </w:tc>
        <w:tc>
          <w:tcPr>
            <w:tcW w:w="1380" w:type="dxa"/>
            <w:tcBorders>
              <w:top w:val="nil"/>
              <w:left w:val="nil"/>
              <w:bottom w:val="single" w:sz="4" w:space="0" w:color="auto"/>
              <w:right w:val="single" w:sz="4" w:space="0" w:color="auto"/>
            </w:tcBorders>
            <w:shd w:val="clear" w:color="auto" w:fill="C6EFCE"/>
            <w:noWrap/>
            <w:vAlign w:val="center"/>
          </w:tcPr>
          <w:p w14:paraId="63F6AB20"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090FD9BF" w14:textId="77777777" w:rsidR="00154E32" w:rsidRDefault="00A43E04">
            <w:pPr>
              <w:pStyle w:val="P68B1DB1-Normal12"/>
              <w:rPr>
                <w:noProof/>
              </w:rPr>
            </w:pPr>
            <w:r>
              <w:rPr>
                <w:noProof/>
              </w:rPr>
              <w:t xml:space="preserve">Število vlakov brez emisij in število prevoznih sredstev za univerzalno storitev </w:t>
            </w:r>
          </w:p>
        </w:tc>
      </w:tr>
      <w:tr w:rsidR="00154E32" w14:paraId="4ED8F39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5282241" w14:textId="77777777" w:rsidR="00154E32" w:rsidRDefault="00A43E04">
            <w:pPr>
              <w:pStyle w:val="P68B1DB1-Normal12"/>
              <w:jc w:val="center"/>
              <w:rPr>
                <w:noProof/>
              </w:rPr>
            </w:pPr>
            <w:r>
              <w:rPr>
                <w:noProof/>
              </w:rPr>
              <w:t>M7–34</w:t>
            </w:r>
          </w:p>
        </w:tc>
        <w:tc>
          <w:tcPr>
            <w:tcW w:w="3195" w:type="dxa"/>
            <w:tcBorders>
              <w:top w:val="nil"/>
              <w:left w:val="nil"/>
              <w:bottom w:val="single" w:sz="4" w:space="0" w:color="auto"/>
              <w:right w:val="single" w:sz="4" w:space="0" w:color="auto"/>
            </w:tcBorders>
            <w:shd w:val="clear" w:color="auto" w:fill="C6EFCE"/>
            <w:noWrap/>
            <w:vAlign w:val="center"/>
          </w:tcPr>
          <w:p w14:paraId="7FB70382" w14:textId="77777777" w:rsidR="00154E32" w:rsidRDefault="00A43E04">
            <w:pPr>
              <w:pStyle w:val="P68B1DB1-Normal12"/>
              <w:rPr>
                <w:noProof/>
              </w:rPr>
            </w:pPr>
            <w:r>
              <w:rPr>
                <w:noProof/>
              </w:rPr>
              <w:t>Naložba 12 Shema nepovratnih sredstev za razvoj mednarodnega, industrijskega in raziskovalnega vodilnega položaja na področju električnih avtobusov</w:t>
            </w:r>
          </w:p>
        </w:tc>
        <w:tc>
          <w:tcPr>
            <w:tcW w:w="1380" w:type="dxa"/>
            <w:tcBorders>
              <w:top w:val="nil"/>
              <w:left w:val="nil"/>
              <w:bottom w:val="single" w:sz="4" w:space="0" w:color="auto"/>
              <w:right w:val="single" w:sz="4" w:space="0" w:color="auto"/>
            </w:tcBorders>
            <w:shd w:val="clear" w:color="auto" w:fill="C6EFCE"/>
            <w:noWrap/>
            <w:vAlign w:val="center"/>
          </w:tcPr>
          <w:p w14:paraId="2B0E81A6" w14:textId="77777777" w:rsidR="00154E32" w:rsidRDefault="00A43E04">
            <w:pPr>
              <w:pStyle w:val="P68B1DB1-Normal12"/>
              <w:jc w:val="center"/>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669074AD" w14:textId="77777777" w:rsidR="00154E32" w:rsidRDefault="00A43E04">
            <w:pPr>
              <w:pStyle w:val="P68B1DB1-Normal12"/>
              <w:rPr>
                <w:noProof/>
              </w:rPr>
            </w:pPr>
            <w:r>
              <w:rPr>
                <w:noProof/>
              </w:rPr>
              <w:t>Ministrstvo je zaključilo naložbo</w:t>
            </w:r>
          </w:p>
        </w:tc>
      </w:tr>
      <w:tr w:rsidR="00154E32" w14:paraId="03AF93D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4064437" w14:textId="77777777" w:rsidR="00154E32" w:rsidRDefault="00A43E04">
            <w:pPr>
              <w:pStyle w:val="P68B1DB1-Normal12"/>
              <w:jc w:val="center"/>
              <w:rPr>
                <w:noProof/>
              </w:rPr>
            </w:pPr>
            <w:r>
              <w:rPr>
                <w:noProof/>
              </w:rPr>
              <w:t>M1C2–14b</w:t>
            </w:r>
          </w:p>
        </w:tc>
        <w:tc>
          <w:tcPr>
            <w:tcW w:w="3195" w:type="dxa"/>
            <w:tcBorders>
              <w:top w:val="nil"/>
              <w:left w:val="nil"/>
              <w:bottom w:val="single" w:sz="4" w:space="0" w:color="auto"/>
              <w:right w:val="single" w:sz="4" w:space="0" w:color="auto"/>
            </w:tcBorders>
            <w:shd w:val="clear" w:color="auto" w:fill="C6EFCE"/>
            <w:noWrap/>
            <w:vAlign w:val="center"/>
          </w:tcPr>
          <w:p w14:paraId="2F73FA0D" w14:textId="77777777" w:rsidR="00154E32" w:rsidRDefault="00A43E04">
            <w:pPr>
              <w:pStyle w:val="P68B1DB1-Normal12"/>
              <w:jc w:val="center"/>
              <w:rPr>
                <w:noProof/>
              </w:rPr>
            </w:pPr>
            <w:r>
              <w:rPr>
                <w:noProof/>
              </w:rPr>
              <w:t>Reforma 3: racionalizacija in poenostavitev spodbud za podjetja.</w:t>
            </w:r>
          </w:p>
        </w:tc>
        <w:tc>
          <w:tcPr>
            <w:tcW w:w="1380" w:type="dxa"/>
            <w:tcBorders>
              <w:top w:val="nil"/>
              <w:left w:val="nil"/>
              <w:bottom w:val="single" w:sz="4" w:space="0" w:color="auto"/>
              <w:right w:val="single" w:sz="4" w:space="0" w:color="auto"/>
            </w:tcBorders>
            <w:shd w:val="clear" w:color="auto" w:fill="C6EFCE"/>
            <w:noWrap/>
            <w:vAlign w:val="center"/>
          </w:tcPr>
          <w:p w14:paraId="0F4C992C" w14:textId="77777777" w:rsidR="00154E32" w:rsidRDefault="00A43E04">
            <w:pPr>
              <w:pStyle w:val="P68B1DB1-Normal12"/>
              <w:jc w:val="center"/>
              <w:rPr>
                <w:noProof/>
              </w:rPr>
            </w:pPr>
            <w:r>
              <w:rPr>
                <w:noProof/>
              </w:rPr>
              <w:t xml:space="preserve">Mejnik </w:t>
            </w:r>
          </w:p>
        </w:tc>
        <w:tc>
          <w:tcPr>
            <w:tcW w:w="4035" w:type="dxa"/>
            <w:tcBorders>
              <w:top w:val="nil"/>
              <w:left w:val="nil"/>
              <w:bottom w:val="single" w:sz="4" w:space="0" w:color="auto"/>
              <w:right w:val="single" w:sz="4" w:space="0" w:color="auto"/>
            </w:tcBorders>
            <w:shd w:val="clear" w:color="auto" w:fill="C6EFCE"/>
            <w:noWrap/>
            <w:vAlign w:val="center"/>
          </w:tcPr>
          <w:p w14:paraId="089CD54D" w14:textId="77777777" w:rsidR="00154E32" w:rsidRDefault="00A43E04">
            <w:pPr>
              <w:pStyle w:val="P68B1DB1-Normal12"/>
              <w:rPr>
                <w:noProof/>
              </w:rPr>
            </w:pPr>
            <w:r>
              <w:rPr>
                <w:noProof/>
              </w:rPr>
              <w:t>Začetek veljavnosti primarne zakonodaje za racionalizacijo spodbud podjetij</w:t>
            </w:r>
          </w:p>
        </w:tc>
      </w:tr>
      <w:tr w:rsidR="00154E32" w14:paraId="7F31750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1C645D1" w14:textId="77777777" w:rsidR="00154E32" w:rsidRDefault="00A43E04">
            <w:pPr>
              <w:pStyle w:val="P68B1DB1-Normal12"/>
              <w:jc w:val="center"/>
              <w:rPr>
                <w:noProof/>
              </w:rPr>
            </w:pPr>
            <w:r>
              <w:rPr>
                <w:noProof/>
              </w:rPr>
              <w:t>M4C1–15 ter</w:t>
            </w:r>
          </w:p>
        </w:tc>
        <w:tc>
          <w:tcPr>
            <w:tcW w:w="3195" w:type="dxa"/>
            <w:tcBorders>
              <w:top w:val="nil"/>
              <w:left w:val="nil"/>
              <w:bottom w:val="single" w:sz="4" w:space="0" w:color="auto"/>
              <w:right w:val="single" w:sz="4" w:space="0" w:color="auto"/>
            </w:tcBorders>
            <w:shd w:val="clear" w:color="auto" w:fill="C6EFCE"/>
            <w:noWrap/>
            <w:vAlign w:val="center"/>
          </w:tcPr>
          <w:p w14:paraId="2E711FB2" w14:textId="77777777" w:rsidR="00154E32" w:rsidRDefault="00A43E04">
            <w:pPr>
              <w:pStyle w:val="P68B1DB1-Normal12"/>
              <w:jc w:val="center"/>
              <w:rPr>
                <w:noProof/>
              </w:rPr>
            </w:pPr>
            <w:r>
              <w:rPr>
                <w:noProof/>
              </w:rPr>
              <w:t>Reforma 2.1: Zaposlovanje učiteljev</w:t>
            </w:r>
          </w:p>
        </w:tc>
        <w:tc>
          <w:tcPr>
            <w:tcW w:w="1380" w:type="dxa"/>
            <w:tcBorders>
              <w:top w:val="nil"/>
              <w:left w:val="nil"/>
              <w:bottom w:val="single" w:sz="4" w:space="0" w:color="auto"/>
              <w:right w:val="single" w:sz="4" w:space="0" w:color="auto"/>
            </w:tcBorders>
            <w:shd w:val="clear" w:color="auto" w:fill="C6EFCE"/>
            <w:noWrap/>
            <w:vAlign w:val="center"/>
          </w:tcPr>
          <w:p w14:paraId="44D9AF0E" w14:textId="77777777" w:rsidR="00154E32" w:rsidRDefault="00A43E04">
            <w:pPr>
              <w:pStyle w:val="P68B1DB1-Normal12"/>
              <w:jc w:val="center"/>
              <w:rPr>
                <w:noProof/>
              </w:rPr>
            </w:pPr>
            <w:r>
              <w:rPr>
                <w:noProof/>
              </w:rPr>
              <w:t>Tarča</w:t>
            </w:r>
          </w:p>
        </w:tc>
        <w:tc>
          <w:tcPr>
            <w:tcW w:w="4035" w:type="dxa"/>
            <w:tcBorders>
              <w:top w:val="nil"/>
              <w:left w:val="nil"/>
              <w:bottom w:val="single" w:sz="4" w:space="0" w:color="auto"/>
              <w:right w:val="single" w:sz="4" w:space="0" w:color="auto"/>
            </w:tcBorders>
            <w:shd w:val="clear" w:color="auto" w:fill="C6EFCE"/>
            <w:noWrap/>
            <w:vAlign w:val="center"/>
          </w:tcPr>
          <w:p w14:paraId="6E1D9030" w14:textId="77777777" w:rsidR="00154E32" w:rsidRDefault="00A43E04">
            <w:pPr>
              <w:pStyle w:val="P68B1DB1-Normal12"/>
              <w:rPr>
                <w:noProof/>
              </w:rPr>
            </w:pPr>
            <w:r>
              <w:rPr>
                <w:noProof/>
              </w:rPr>
              <w:t>Kandidati, ki so uspešno opravili javni natečaj za učitelje po reformiranem sistemu zaposlovanja.</w:t>
            </w:r>
          </w:p>
        </w:tc>
      </w:tr>
      <w:tr w:rsidR="00154E32" w14:paraId="41AEA91F"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2764580E" w14:textId="77777777" w:rsidR="00154E32" w:rsidRDefault="00154E32">
            <w:pPr>
              <w:jc w:val="center"/>
              <w:rPr>
                <w:noProof/>
                <w:color w:val="006100"/>
                <w:sz w:val="20"/>
              </w:rPr>
            </w:pPr>
          </w:p>
        </w:tc>
        <w:tc>
          <w:tcPr>
            <w:tcW w:w="3195" w:type="dxa"/>
            <w:tcBorders>
              <w:top w:val="single" w:sz="4" w:space="0" w:color="auto"/>
              <w:left w:val="nil"/>
              <w:bottom w:val="single" w:sz="4" w:space="0" w:color="auto"/>
              <w:right w:val="single" w:sz="4" w:space="0" w:color="auto"/>
            </w:tcBorders>
            <w:shd w:val="clear" w:color="auto" w:fill="C6EFCE"/>
            <w:noWrap/>
            <w:vAlign w:val="bottom"/>
          </w:tcPr>
          <w:p w14:paraId="4F92CCF4" w14:textId="77777777" w:rsidR="00154E32" w:rsidRDefault="00154E32">
            <w:pPr>
              <w:rPr>
                <w:noProof/>
                <w:color w:val="006100"/>
                <w:sz w:val="20"/>
              </w:rPr>
            </w:pPr>
          </w:p>
        </w:tc>
        <w:tc>
          <w:tcPr>
            <w:tcW w:w="1380" w:type="dxa"/>
            <w:tcBorders>
              <w:top w:val="single" w:sz="4" w:space="0" w:color="auto"/>
              <w:left w:val="nil"/>
              <w:bottom w:val="single" w:sz="4" w:space="0" w:color="auto"/>
              <w:right w:val="single" w:sz="4" w:space="0" w:color="auto"/>
            </w:tcBorders>
            <w:shd w:val="clear" w:color="auto" w:fill="C6EFCE"/>
            <w:noWrap/>
            <w:vAlign w:val="bottom"/>
          </w:tcPr>
          <w:p w14:paraId="4DCD8B80" w14:textId="77777777" w:rsidR="00154E32" w:rsidRDefault="00A43E04">
            <w:pPr>
              <w:pStyle w:val="P68B1DB1-Normal12"/>
              <w:rPr>
                <w:noProof/>
              </w:rPr>
            </w:pPr>
            <w:r>
              <w:rPr>
                <w:noProof/>
              </w:rPr>
              <w:t>Znesek obroka</w:t>
            </w:r>
          </w:p>
        </w:tc>
        <w:tc>
          <w:tcPr>
            <w:tcW w:w="4035" w:type="dxa"/>
            <w:tcBorders>
              <w:top w:val="single" w:sz="4" w:space="0" w:color="auto"/>
              <w:left w:val="nil"/>
              <w:bottom w:val="single" w:sz="4" w:space="0" w:color="auto"/>
              <w:right w:val="single" w:sz="4" w:space="0" w:color="auto"/>
            </w:tcBorders>
            <w:shd w:val="clear" w:color="auto" w:fill="C6EFCE"/>
            <w:noWrap/>
            <w:vAlign w:val="bottom"/>
          </w:tcPr>
          <w:p w14:paraId="616D85B0" w14:textId="7E36A48C" w:rsidR="00154E32" w:rsidRDefault="00A43E04">
            <w:pPr>
              <w:pStyle w:val="P68B1DB1-Normal46"/>
              <w:rPr>
                <w:noProof/>
              </w:rPr>
            </w:pPr>
            <w:r>
              <w:rPr>
                <w:noProof/>
              </w:rPr>
              <w:t>12</w:t>
            </w:r>
            <w:r>
              <w:rPr>
                <w:noProof/>
              </w:rPr>
              <w:t> </w:t>
            </w:r>
            <w:r>
              <w:rPr>
                <w:noProof/>
              </w:rPr>
              <w:t>836</w:t>
            </w:r>
            <w:r>
              <w:rPr>
                <w:noProof/>
              </w:rPr>
              <w:t> </w:t>
            </w:r>
            <w:r>
              <w:rPr>
                <w:noProof/>
              </w:rPr>
              <w:t>600</w:t>
            </w:r>
            <w:r>
              <w:rPr>
                <w:noProof/>
              </w:rPr>
              <w:t> </w:t>
            </w:r>
            <w:r>
              <w:rPr>
                <w:noProof/>
              </w:rPr>
              <w:t>146</w:t>
            </w:r>
            <w:r>
              <w:rPr>
                <w:noProof/>
              </w:rPr>
              <w:t> </w:t>
            </w:r>
            <w:r>
              <w:rPr>
                <w:noProof/>
              </w:rPr>
              <w:t>EUR</w:t>
            </w:r>
          </w:p>
        </w:tc>
      </w:tr>
    </w:tbl>
    <w:p w14:paraId="2A4840BE" w14:textId="77777777" w:rsidR="00154E32" w:rsidRDefault="00154E32">
      <w:pPr>
        <w:spacing w:before="120" w:after="120"/>
        <w:jc w:val="both"/>
        <w:rPr>
          <w:rFonts w:eastAsia="Calibri"/>
          <w:noProof/>
        </w:rPr>
      </w:pPr>
    </w:p>
    <w:p w14:paraId="1CE5E1DD" w14:textId="2ACF9498" w:rsidR="00154E32" w:rsidRDefault="00A43E04">
      <w:pPr>
        <w:pStyle w:val="P68B1DB1-NumPar143"/>
        <w:numPr>
          <w:ilvl w:val="0"/>
          <w:numId w:val="141"/>
        </w:numPr>
        <w:rPr>
          <w:noProof/>
        </w:rPr>
      </w:pPr>
      <w:r>
        <w:rPr>
          <w:noProof/>
        </w:rPr>
        <w:t>Podpora v obliki posojila</w:t>
      </w:r>
    </w:p>
    <w:p w14:paraId="09EC44B6" w14:textId="78BB40FD" w:rsidR="00154E32" w:rsidRDefault="00A43E04">
      <w:pPr>
        <w:pStyle w:val="Text1"/>
        <w:rPr>
          <w:noProof/>
        </w:rPr>
      </w:pPr>
      <w:r>
        <w:rPr>
          <w:noProof/>
        </w:rPr>
        <w:t>Obroki iz člena 3(2) se organizirajo na naslednji način:</w:t>
      </w:r>
    </w:p>
    <w:p w14:paraId="29023A3B" w14:textId="78A037B0" w:rsidR="00154E32" w:rsidRDefault="00A43E04">
      <w:pPr>
        <w:pStyle w:val="P68B1DB1-Normal44"/>
        <w:numPr>
          <w:ilvl w:val="1"/>
          <w:numId w:val="6"/>
        </w:numPr>
        <w:spacing w:before="120" w:after="120"/>
        <w:jc w:val="both"/>
        <w:rPr>
          <w:noProof/>
        </w:rPr>
      </w:pPr>
      <w:r>
        <w:rPr>
          <w:noProof/>
        </w:rPr>
        <w:t>Prva namestitev (podpora za posojila):</w:t>
      </w:r>
    </w:p>
    <w:tbl>
      <w:tblPr>
        <w:tblW w:w="10038" w:type="dxa"/>
        <w:tblInd w:w="113" w:type="dxa"/>
        <w:tblLook w:val="04A0" w:firstRow="1" w:lastRow="0" w:firstColumn="1" w:lastColumn="0" w:noHBand="0" w:noVBand="1"/>
      </w:tblPr>
      <w:tblGrid>
        <w:gridCol w:w="1413"/>
        <w:gridCol w:w="3195"/>
        <w:gridCol w:w="1455"/>
        <w:gridCol w:w="3975"/>
      </w:tblGrid>
      <w:tr w:rsidR="00154E32" w14:paraId="5526EC61" w14:textId="77777777">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F12D14A" w14:textId="77777777" w:rsidR="00154E32" w:rsidRDefault="00A43E04">
            <w:pPr>
              <w:pStyle w:val="P68B1DB1-Normal45"/>
              <w:jc w:val="center"/>
              <w:rPr>
                <w:noProof/>
              </w:rPr>
            </w:pPr>
            <w:r>
              <w:rPr>
                <w:noProof/>
              </w:rPr>
              <w:t>Zaporedna številka</w:t>
            </w:r>
          </w:p>
        </w:tc>
        <w:tc>
          <w:tcPr>
            <w:tcW w:w="31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FF3C1B2" w14:textId="77777777" w:rsidR="00154E32" w:rsidRDefault="00A43E04">
            <w:pPr>
              <w:pStyle w:val="P68B1DB1-Normal45"/>
              <w:jc w:val="center"/>
              <w:rPr>
                <w:noProof/>
              </w:rPr>
            </w:pPr>
            <w:r>
              <w:rPr>
                <w:noProof/>
              </w:rPr>
              <w:t>Povezani ukrep (reforma ali naložba)</w:t>
            </w:r>
          </w:p>
        </w:tc>
        <w:tc>
          <w:tcPr>
            <w:tcW w:w="145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55AC440" w14:textId="77777777" w:rsidR="00154E32" w:rsidRDefault="00A43E04">
            <w:pPr>
              <w:pStyle w:val="P68B1DB1-Normal45"/>
              <w:jc w:val="center"/>
              <w:rPr>
                <w:noProof/>
              </w:rPr>
            </w:pPr>
            <w:r>
              <w:rPr>
                <w:noProof/>
              </w:rPr>
              <w:t>Mejnik/cilj</w:t>
            </w:r>
          </w:p>
        </w:tc>
        <w:tc>
          <w:tcPr>
            <w:tcW w:w="39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6278506" w14:textId="77777777" w:rsidR="00154E32" w:rsidRDefault="00A43E04">
            <w:pPr>
              <w:pStyle w:val="P68B1DB1-Normal45"/>
              <w:jc w:val="center"/>
              <w:rPr>
                <w:noProof/>
              </w:rPr>
            </w:pPr>
            <w:r>
              <w:rPr>
                <w:noProof/>
              </w:rPr>
              <w:t>Ime</w:t>
            </w:r>
          </w:p>
        </w:tc>
      </w:tr>
      <w:tr w:rsidR="00154E32" w14:paraId="6E169588" w14:textId="77777777">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1471DBA" w14:textId="77777777" w:rsidR="00154E32" w:rsidRDefault="00154E32">
            <w:pPr>
              <w:rPr>
                <w:b/>
                <w:noProof/>
              </w:rPr>
            </w:pP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304C5644" w14:textId="77777777" w:rsidR="00154E32" w:rsidRDefault="00154E32">
            <w:pPr>
              <w:rPr>
                <w:b/>
                <w:noProof/>
              </w:rPr>
            </w:pPr>
          </w:p>
        </w:tc>
        <w:tc>
          <w:tcPr>
            <w:tcW w:w="1455" w:type="dxa"/>
            <w:vMerge/>
            <w:tcBorders>
              <w:top w:val="single" w:sz="4" w:space="0" w:color="auto"/>
              <w:left w:val="single" w:sz="4" w:space="0" w:color="auto"/>
              <w:bottom w:val="single" w:sz="4" w:space="0" w:color="auto"/>
              <w:right w:val="single" w:sz="4" w:space="0" w:color="auto"/>
            </w:tcBorders>
            <w:vAlign w:val="center"/>
            <w:hideMark/>
          </w:tcPr>
          <w:p w14:paraId="7B96458B" w14:textId="77777777" w:rsidR="00154E32" w:rsidRDefault="00154E32">
            <w:pPr>
              <w:rPr>
                <w:b/>
                <w:noProof/>
              </w:rPr>
            </w:pPr>
          </w:p>
        </w:tc>
        <w:tc>
          <w:tcPr>
            <w:tcW w:w="3975" w:type="dxa"/>
            <w:vMerge/>
            <w:tcBorders>
              <w:top w:val="single" w:sz="4" w:space="0" w:color="auto"/>
              <w:left w:val="single" w:sz="4" w:space="0" w:color="auto"/>
              <w:bottom w:val="single" w:sz="4" w:space="0" w:color="auto"/>
              <w:right w:val="single" w:sz="4" w:space="0" w:color="auto"/>
            </w:tcBorders>
            <w:vAlign w:val="center"/>
            <w:hideMark/>
          </w:tcPr>
          <w:p w14:paraId="4EF6D357" w14:textId="77777777" w:rsidR="00154E32" w:rsidRDefault="00154E32">
            <w:pPr>
              <w:rPr>
                <w:b/>
                <w:noProof/>
              </w:rPr>
            </w:pPr>
          </w:p>
        </w:tc>
      </w:tr>
      <w:tr w:rsidR="00154E32" w14:paraId="315F9125"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37375F1" w14:textId="77777777" w:rsidR="00154E32" w:rsidRDefault="00A43E04">
            <w:pPr>
              <w:pStyle w:val="P68B1DB1-Normal12"/>
              <w:rPr>
                <w:noProof/>
              </w:rPr>
            </w:pPr>
            <w:r>
              <w:rPr>
                <w:noProof/>
              </w:rPr>
              <w:t>M4C2–10</w:t>
            </w:r>
          </w:p>
        </w:tc>
        <w:tc>
          <w:tcPr>
            <w:tcW w:w="3195" w:type="dxa"/>
            <w:tcBorders>
              <w:top w:val="single" w:sz="4" w:space="0" w:color="auto"/>
              <w:left w:val="nil"/>
              <w:bottom w:val="single" w:sz="4" w:space="0" w:color="auto"/>
              <w:right w:val="single" w:sz="4" w:space="0" w:color="auto"/>
            </w:tcBorders>
            <w:shd w:val="clear" w:color="auto" w:fill="C6EFCE"/>
            <w:noWrap/>
            <w:vAlign w:val="center"/>
          </w:tcPr>
          <w:p w14:paraId="2F80A25A" w14:textId="77777777" w:rsidR="00154E32" w:rsidRDefault="00A43E04">
            <w:pPr>
              <w:pStyle w:val="P68B1DB1-Normal12"/>
              <w:rPr>
                <w:noProof/>
              </w:rPr>
            </w:pPr>
            <w:r>
              <w:rPr>
                <w:noProof/>
              </w:rPr>
              <w:t>Naložba 2.1: POMEMBNI PROJEKTI SKUPNEGA EVROPSKEGA INTERESA</w:t>
            </w:r>
          </w:p>
        </w:tc>
        <w:tc>
          <w:tcPr>
            <w:tcW w:w="1455" w:type="dxa"/>
            <w:tcBorders>
              <w:top w:val="single" w:sz="4" w:space="0" w:color="auto"/>
              <w:left w:val="nil"/>
              <w:bottom w:val="single" w:sz="4" w:space="0" w:color="auto"/>
              <w:right w:val="single" w:sz="4" w:space="0" w:color="auto"/>
            </w:tcBorders>
            <w:shd w:val="clear" w:color="auto" w:fill="C6EFCE"/>
            <w:noWrap/>
            <w:vAlign w:val="center"/>
          </w:tcPr>
          <w:p w14:paraId="74E11DA6" w14:textId="77777777" w:rsidR="00154E32" w:rsidRDefault="00A43E04">
            <w:pPr>
              <w:pStyle w:val="P68B1DB1-Normal12"/>
              <w:rPr>
                <w:noProof/>
              </w:rPr>
            </w:pPr>
            <w:r>
              <w:rPr>
                <w:noProof/>
              </w:rPr>
              <w:t>Mejnik</w:t>
            </w:r>
          </w:p>
        </w:tc>
        <w:tc>
          <w:tcPr>
            <w:tcW w:w="3975" w:type="dxa"/>
            <w:tcBorders>
              <w:top w:val="single" w:sz="4" w:space="0" w:color="auto"/>
              <w:left w:val="nil"/>
              <w:bottom w:val="single" w:sz="4" w:space="0" w:color="auto"/>
              <w:right w:val="single" w:sz="4" w:space="0" w:color="auto"/>
            </w:tcBorders>
            <w:shd w:val="clear" w:color="auto" w:fill="C6EFCE"/>
            <w:noWrap/>
            <w:vAlign w:val="center"/>
          </w:tcPr>
          <w:p w14:paraId="7B3B6A07" w14:textId="77777777" w:rsidR="00154E32" w:rsidRDefault="00A43E04">
            <w:pPr>
              <w:pStyle w:val="P68B1DB1-Normal12"/>
              <w:jc w:val="center"/>
              <w:rPr>
                <w:noProof/>
              </w:rPr>
            </w:pPr>
            <w:r>
              <w:rPr>
                <w:noProof/>
              </w:rPr>
              <w:t>Objava razpisa za prijavo interesa za opredelitev nacionalnih projektov, vključno s projekti o mikroelektronskih projektih skupnega evropskega interesa</w:t>
            </w:r>
          </w:p>
        </w:tc>
      </w:tr>
      <w:tr w:rsidR="00154E32" w14:paraId="57E2943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A5002FF" w14:textId="77777777" w:rsidR="00154E32" w:rsidRDefault="00A43E04">
            <w:pPr>
              <w:pStyle w:val="P68B1DB1-Normal12"/>
              <w:rPr>
                <w:noProof/>
              </w:rPr>
            </w:pPr>
            <w:r>
              <w:rPr>
                <w:noProof/>
              </w:rPr>
              <w:t>M1C2–26</w:t>
            </w:r>
          </w:p>
        </w:tc>
        <w:tc>
          <w:tcPr>
            <w:tcW w:w="3195" w:type="dxa"/>
            <w:tcBorders>
              <w:top w:val="nil"/>
              <w:left w:val="nil"/>
              <w:bottom w:val="single" w:sz="4" w:space="0" w:color="auto"/>
              <w:right w:val="single" w:sz="4" w:space="0" w:color="auto"/>
            </w:tcBorders>
            <w:shd w:val="clear" w:color="auto" w:fill="C6EFCE"/>
            <w:noWrap/>
            <w:vAlign w:val="center"/>
          </w:tcPr>
          <w:p w14:paraId="2A8FC036" w14:textId="77777777" w:rsidR="00154E32" w:rsidRDefault="00A43E04">
            <w:pPr>
              <w:pStyle w:val="P68B1DB1-Normal12"/>
              <w:rPr>
                <w:noProof/>
              </w:rPr>
            </w:pPr>
            <w:r>
              <w:rPr>
                <w:noProof/>
              </w:rPr>
              <w:t>Naložba 5.1: Refinanciranje in preoblikovanje sklada 394/81, ki ga upravlja SIMEST</w:t>
            </w:r>
          </w:p>
        </w:tc>
        <w:tc>
          <w:tcPr>
            <w:tcW w:w="1455" w:type="dxa"/>
            <w:tcBorders>
              <w:top w:val="nil"/>
              <w:left w:val="nil"/>
              <w:bottom w:val="single" w:sz="4" w:space="0" w:color="auto"/>
              <w:right w:val="single" w:sz="4" w:space="0" w:color="auto"/>
            </w:tcBorders>
            <w:shd w:val="clear" w:color="auto" w:fill="C6EFCE"/>
            <w:noWrap/>
            <w:vAlign w:val="center"/>
          </w:tcPr>
          <w:p w14:paraId="67CDADB5" w14:textId="77777777" w:rsidR="00154E32" w:rsidRDefault="00A43E04">
            <w:pPr>
              <w:pStyle w:val="P68B1DB1-Normal12"/>
              <w:rPr>
                <w:noProof/>
              </w:rPr>
            </w:pPr>
            <w:r>
              <w:rPr>
                <w:noProof/>
              </w:rPr>
              <w:t>Mejnik</w:t>
            </w:r>
          </w:p>
        </w:tc>
        <w:tc>
          <w:tcPr>
            <w:tcW w:w="3975" w:type="dxa"/>
            <w:tcBorders>
              <w:top w:val="nil"/>
              <w:left w:val="nil"/>
              <w:bottom w:val="single" w:sz="4" w:space="0" w:color="auto"/>
              <w:right w:val="single" w:sz="4" w:space="0" w:color="auto"/>
            </w:tcBorders>
            <w:shd w:val="clear" w:color="auto" w:fill="C6EFCE"/>
            <w:noWrap/>
            <w:vAlign w:val="center"/>
          </w:tcPr>
          <w:p w14:paraId="588DEDA4" w14:textId="77777777" w:rsidR="00154E32" w:rsidRDefault="00A43E04">
            <w:pPr>
              <w:pStyle w:val="P68B1DB1-Normal12"/>
              <w:jc w:val="center"/>
              <w:rPr>
                <w:noProof/>
              </w:rPr>
            </w:pPr>
            <w:r>
              <w:rPr>
                <w:noProof/>
              </w:rPr>
              <w:t>Začetek veljavnosti refinanciranja Sklada 394/81 in sprejetje naložbene politike</w:t>
            </w:r>
          </w:p>
        </w:tc>
      </w:tr>
      <w:tr w:rsidR="00154E32" w14:paraId="260310D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A5C70C0" w14:textId="77777777" w:rsidR="00154E32" w:rsidRDefault="00A43E04">
            <w:pPr>
              <w:pStyle w:val="P68B1DB1-Normal12"/>
              <w:rPr>
                <w:noProof/>
              </w:rPr>
            </w:pPr>
            <w:r>
              <w:rPr>
                <w:noProof/>
              </w:rPr>
              <w:t>M2C1–14</w:t>
            </w:r>
          </w:p>
        </w:tc>
        <w:tc>
          <w:tcPr>
            <w:tcW w:w="3195" w:type="dxa"/>
            <w:tcBorders>
              <w:top w:val="nil"/>
              <w:left w:val="nil"/>
              <w:bottom w:val="single" w:sz="4" w:space="0" w:color="auto"/>
              <w:right w:val="single" w:sz="4" w:space="0" w:color="auto"/>
            </w:tcBorders>
            <w:shd w:val="clear" w:color="auto" w:fill="C6EFCE"/>
            <w:noWrap/>
            <w:vAlign w:val="center"/>
          </w:tcPr>
          <w:p w14:paraId="375E31C5" w14:textId="77777777" w:rsidR="00154E32" w:rsidRDefault="00A43E04">
            <w:pPr>
              <w:pStyle w:val="P68B1DB1-Normal12"/>
              <w:rPr>
                <w:noProof/>
              </w:rPr>
            </w:pPr>
            <w:r>
              <w:rPr>
                <w:noProof/>
              </w:rPr>
              <w:t>Naložba 1.1 – Izvajanje novih obratov za ravnanje z odpadki in posodobitev obstoječih obratov; Naložba 1.2 – „vodilni“ projekti krožnega gospodarstva</w:t>
            </w:r>
          </w:p>
        </w:tc>
        <w:tc>
          <w:tcPr>
            <w:tcW w:w="1455" w:type="dxa"/>
            <w:tcBorders>
              <w:top w:val="nil"/>
              <w:left w:val="nil"/>
              <w:bottom w:val="single" w:sz="4" w:space="0" w:color="auto"/>
              <w:right w:val="single" w:sz="4" w:space="0" w:color="auto"/>
            </w:tcBorders>
            <w:shd w:val="clear" w:color="auto" w:fill="C6EFCE"/>
            <w:noWrap/>
            <w:vAlign w:val="center"/>
          </w:tcPr>
          <w:p w14:paraId="33A81900" w14:textId="77777777" w:rsidR="00154E32" w:rsidRDefault="00A43E04">
            <w:pPr>
              <w:pStyle w:val="P68B1DB1-Normal12"/>
              <w:rPr>
                <w:noProof/>
              </w:rPr>
            </w:pPr>
            <w:r>
              <w:rPr>
                <w:noProof/>
              </w:rPr>
              <w:t>Mejnik</w:t>
            </w:r>
          </w:p>
        </w:tc>
        <w:tc>
          <w:tcPr>
            <w:tcW w:w="3975" w:type="dxa"/>
            <w:tcBorders>
              <w:top w:val="nil"/>
              <w:left w:val="nil"/>
              <w:bottom w:val="single" w:sz="4" w:space="0" w:color="auto"/>
              <w:right w:val="single" w:sz="4" w:space="0" w:color="auto"/>
            </w:tcBorders>
            <w:shd w:val="clear" w:color="auto" w:fill="C6EFCE"/>
            <w:noWrap/>
            <w:vAlign w:val="center"/>
          </w:tcPr>
          <w:p w14:paraId="52D3E4F3" w14:textId="77777777" w:rsidR="00154E32" w:rsidRDefault="00A43E04">
            <w:pPr>
              <w:pStyle w:val="P68B1DB1-Normal12"/>
              <w:jc w:val="center"/>
              <w:rPr>
                <w:noProof/>
              </w:rPr>
            </w:pPr>
            <w:r>
              <w:rPr>
                <w:noProof/>
              </w:rPr>
              <w:t>Začetek veljavnosti ministrske uredbe.</w:t>
            </w:r>
          </w:p>
        </w:tc>
      </w:tr>
      <w:tr w:rsidR="00154E32" w14:paraId="6793F6D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EAA351D" w14:textId="77777777" w:rsidR="00154E32" w:rsidRDefault="00A43E04">
            <w:pPr>
              <w:pStyle w:val="P68B1DB1-Normal12"/>
              <w:rPr>
                <w:noProof/>
              </w:rPr>
            </w:pPr>
            <w:r>
              <w:rPr>
                <w:noProof/>
              </w:rPr>
              <w:t>M2C4–8</w:t>
            </w:r>
          </w:p>
        </w:tc>
        <w:tc>
          <w:tcPr>
            <w:tcW w:w="3195" w:type="dxa"/>
            <w:tcBorders>
              <w:top w:val="nil"/>
              <w:left w:val="nil"/>
              <w:bottom w:val="single" w:sz="4" w:space="0" w:color="auto"/>
              <w:right w:val="single" w:sz="4" w:space="0" w:color="auto"/>
            </w:tcBorders>
            <w:shd w:val="clear" w:color="auto" w:fill="C6EFCE"/>
            <w:noWrap/>
            <w:vAlign w:val="center"/>
          </w:tcPr>
          <w:p w14:paraId="42C48309" w14:textId="77777777" w:rsidR="00154E32" w:rsidRDefault="00A43E04">
            <w:pPr>
              <w:pStyle w:val="P68B1DB1-Normal12"/>
              <w:rPr>
                <w:noProof/>
              </w:rPr>
            </w:pPr>
            <w:r>
              <w:rPr>
                <w:noProof/>
              </w:rPr>
              <w:t>Naložba 1.1. Izvajanje naprednega in integriranega sistema spremljanja in napovedovanja</w:t>
            </w:r>
          </w:p>
        </w:tc>
        <w:tc>
          <w:tcPr>
            <w:tcW w:w="1455" w:type="dxa"/>
            <w:tcBorders>
              <w:top w:val="nil"/>
              <w:left w:val="nil"/>
              <w:bottom w:val="single" w:sz="4" w:space="0" w:color="auto"/>
              <w:right w:val="single" w:sz="4" w:space="0" w:color="auto"/>
            </w:tcBorders>
            <w:shd w:val="clear" w:color="auto" w:fill="C6EFCE"/>
            <w:noWrap/>
            <w:vAlign w:val="center"/>
          </w:tcPr>
          <w:p w14:paraId="07E3C085" w14:textId="77777777" w:rsidR="00154E32" w:rsidRDefault="00A43E04">
            <w:pPr>
              <w:pStyle w:val="P68B1DB1-Normal12"/>
              <w:rPr>
                <w:noProof/>
              </w:rPr>
            </w:pPr>
            <w:r>
              <w:rPr>
                <w:noProof/>
              </w:rPr>
              <w:t>Mejnik</w:t>
            </w:r>
          </w:p>
        </w:tc>
        <w:tc>
          <w:tcPr>
            <w:tcW w:w="3975" w:type="dxa"/>
            <w:tcBorders>
              <w:top w:val="nil"/>
              <w:left w:val="nil"/>
              <w:bottom w:val="single" w:sz="4" w:space="0" w:color="auto"/>
              <w:right w:val="single" w:sz="4" w:space="0" w:color="auto"/>
            </w:tcBorders>
            <w:shd w:val="clear" w:color="auto" w:fill="C6EFCE"/>
            <w:noWrap/>
            <w:vAlign w:val="center"/>
          </w:tcPr>
          <w:p w14:paraId="475D7666" w14:textId="77777777" w:rsidR="00154E32" w:rsidRDefault="00A43E04">
            <w:pPr>
              <w:pStyle w:val="P68B1DB1-Normal12"/>
              <w:jc w:val="center"/>
              <w:rPr>
                <w:noProof/>
              </w:rPr>
            </w:pPr>
            <w:r>
              <w:rPr>
                <w:noProof/>
              </w:rPr>
              <w:t xml:space="preserve">Operativni načrt za napredni in integriran sistem spremljanja in napovedovanja za opredelitev hidroloških tveganj </w:t>
            </w:r>
          </w:p>
        </w:tc>
      </w:tr>
      <w:tr w:rsidR="00154E32" w14:paraId="4D27EF8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271F432" w14:textId="77777777" w:rsidR="00154E32" w:rsidRDefault="00A43E04">
            <w:pPr>
              <w:pStyle w:val="P68B1DB1-Normal12"/>
              <w:rPr>
                <w:noProof/>
              </w:rPr>
            </w:pPr>
            <w:r>
              <w:rPr>
                <w:noProof/>
              </w:rPr>
              <w:t>M5C1–17</w:t>
            </w:r>
          </w:p>
        </w:tc>
        <w:tc>
          <w:tcPr>
            <w:tcW w:w="3195" w:type="dxa"/>
            <w:tcBorders>
              <w:top w:val="nil"/>
              <w:left w:val="nil"/>
              <w:bottom w:val="single" w:sz="4" w:space="0" w:color="auto"/>
              <w:right w:val="single" w:sz="4" w:space="0" w:color="auto"/>
            </w:tcBorders>
            <w:shd w:val="clear" w:color="auto" w:fill="C6EFCE"/>
            <w:noWrap/>
            <w:vAlign w:val="center"/>
          </w:tcPr>
          <w:p w14:paraId="58B1E453" w14:textId="77777777" w:rsidR="00154E32" w:rsidRDefault="00A43E04">
            <w:pPr>
              <w:pStyle w:val="P68B1DB1-Normal12"/>
              <w:rPr>
                <w:noProof/>
              </w:rPr>
            </w:pPr>
            <w:r>
              <w:rPr>
                <w:noProof/>
              </w:rPr>
              <w:t>Naložba 5 – Ustanovitev ženskih podjetij</w:t>
            </w:r>
          </w:p>
        </w:tc>
        <w:tc>
          <w:tcPr>
            <w:tcW w:w="1455" w:type="dxa"/>
            <w:tcBorders>
              <w:top w:val="nil"/>
              <w:left w:val="nil"/>
              <w:bottom w:val="single" w:sz="4" w:space="0" w:color="auto"/>
              <w:right w:val="single" w:sz="4" w:space="0" w:color="auto"/>
            </w:tcBorders>
            <w:shd w:val="clear" w:color="auto" w:fill="C6EFCE"/>
            <w:noWrap/>
            <w:vAlign w:val="center"/>
          </w:tcPr>
          <w:p w14:paraId="3B912CE7" w14:textId="77777777" w:rsidR="00154E32" w:rsidRDefault="00A43E04">
            <w:pPr>
              <w:pStyle w:val="P68B1DB1-Normal12"/>
              <w:rPr>
                <w:noProof/>
              </w:rPr>
            </w:pPr>
            <w:r>
              <w:rPr>
                <w:noProof/>
              </w:rPr>
              <w:t>Mejnik</w:t>
            </w:r>
          </w:p>
        </w:tc>
        <w:tc>
          <w:tcPr>
            <w:tcW w:w="3975" w:type="dxa"/>
            <w:tcBorders>
              <w:top w:val="nil"/>
              <w:left w:val="nil"/>
              <w:bottom w:val="single" w:sz="4" w:space="0" w:color="auto"/>
              <w:right w:val="single" w:sz="4" w:space="0" w:color="auto"/>
            </w:tcBorders>
            <w:shd w:val="clear" w:color="auto" w:fill="C6EFCE"/>
            <w:noWrap/>
            <w:vAlign w:val="center"/>
          </w:tcPr>
          <w:p w14:paraId="4B747136" w14:textId="77777777" w:rsidR="00154E32" w:rsidRDefault="00A43E04">
            <w:pPr>
              <w:pStyle w:val="P68B1DB1-Normal12"/>
              <w:jc w:val="center"/>
              <w:rPr>
                <w:noProof/>
              </w:rPr>
            </w:pPr>
            <w:r>
              <w:rPr>
                <w:noProof/>
              </w:rPr>
              <w:t>Sprejet je sklad za podporo ženskemu podjetništvu.</w:t>
            </w:r>
          </w:p>
        </w:tc>
      </w:tr>
      <w:tr w:rsidR="00154E32" w14:paraId="0B4870F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01D99EA" w14:textId="77777777" w:rsidR="00154E32" w:rsidRDefault="00A43E04">
            <w:pPr>
              <w:pStyle w:val="P68B1DB1-Normal12"/>
              <w:rPr>
                <w:noProof/>
              </w:rPr>
            </w:pPr>
            <w:r>
              <w:rPr>
                <w:noProof/>
              </w:rPr>
              <w:t>M1C2–27</w:t>
            </w:r>
          </w:p>
        </w:tc>
        <w:tc>
          <w:tcPr>
            <w:tcW w:w="3195" w:type="dxa"/>
            <w:tcBorders>
              <w:top w:val="nil"/>
              <w:left w:val="nil"/>
              <w:bottom w:val="single" w:sz="4" w:space="0" w:color="auto"/>
              <w:right w:val="single" w:sz="4" w:space="0" w:color="auto"/>
            </w:tcBorders>
            <w:shd w:val="clear" w:color="auto" w:fill="C6EFCE"/>
            <w:noWrap/>
            <w:vAlign w:val="center"/>
          </w:tcPr>
          <w:p w14:paraId="5AA6677E" w14:textId="77777777" w:rsidR="00154E32" w:rsidRDefault="00A43E04">
            <w:pPr>
              <w:pStyle w:val="P68B1DB1-Normal12"/>
              <w:rPr>
                <w:noProof/>
              </w:rPr>
            </w:pPr>
            <w:r>
              <w:rPr>
                <w:noProof/>
              </w:rPr>
              <w:t>Naložba 5.1: Refinanciranje in preoblikovanje sklada 394/81, ki ga upravlja SIMEST</w:t>
            </w:r>
          </w:p>
        </w:tc>
        <w:tc>
          <w:tcPr>
            <w:tcW w:w="1455" w:type="dxa"/>
            <w:tcBorders>
              <w:top w:val="nil"/>
              <w:left w:val="nil"/>
              <w:bottom w:val="single" w:sz="4" w:space="0" w:color="auto"/>
              <w:right w:val="single" w:sz="4" w:space="0" w:color="auto"/>
            </w:tcBorders>
            <w:shd w:val="clear" w:color="auto" w:fill="C6EFCE"/>
            <w:noWrap/>
            <w:vAlign w:val="center"/>
          </w:tcPr>
          <w:p w14:paraId="3CDD4389" w14:textId="77777777" w:rsidR="00154E32" w:rsidRDefault="00A43E04">
            <w:pPr>
              <w:pStyle w:val="P68B1DB1-Normal12"/>
              <w:rPr>
                <w:noProof/>
              </w:rPr>
            </w:pPr>
            <w:r>
              <w:rPr>
                <w:noProof/>
              </w:rPr>
              <w:t>Tarča</w:t>
            </w:r>
          </w:p>
        </w:tc>
        <w:tc>
          <w:tcPr>
            <w:tcW w:w="3975" w:type="dxa"/>
            <w:tcBorders>
              <w:top w:val="nil"/>
              <w:left w:val="nil"/>
              <w:bottom w:val="single" w:sz="4" w:space="0" w:color="auto"/>
              <w:right w:val="single" w:sz="4" w:space="0" w:color="auto"/>
            </w:tcBorders>
            <w:shd w:val="clear" w:color="auto" w:fill="C6EFCE"/>
            <w:noWrap/>
            <w:vAlign w:val="center"/>
          </w:tcPr>
          <w:p w14:paraId="0F74B4CA" w14:textId="77777777" w:rsidR="00154E32" w:rsidRDefault="00A43E04">
            <w:pPr>
              <w:pStyle w:val="P68B1DB1-Normal12"/>
              <w:jc w:val="center"/>
              <w:rPr>
                <w:noProof/>
              </w:rPr>
            </w:pPr>
            <w:r>
              <w:rPr>
                <w:noProof/>
              </w:rPr>
              <w:t>MSP, ki so prejela podporo iz Sklada 394/81</w:t>
            </w:r>
          </w:p>
        </w:tc>
      </w:tr>
      <w:tr w:rsidR="00154E32" w14:paraId="2667F17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52192EE" w14:textId="77777777" w:rsidR="00154E32" w:rsidRDefault="00A43E04">
            <w:pPr>
              <w:pStyle w:val="P68B1DB1-Normal12"/>
              <w:rPr>
                <w:noProof/>
              </w:rPr>
            </w:pPr>
            <w:r>
              <w:rPr>
                <w:noProof/>
              </w:rPr>
              <w:t>M1C3–22</w:t>
            </w:r>
          </w:p>
        </w:tc>
        <w:tc>
          <w:tcPr>
            <w:tcW w:w="3195" w:type="dxa"/>
            <w:tcBorders>
              <w:top w:val="nil"/>
              <w:left w:val="nil"/>
              <w:bottom w:val="single" w:sz="4" w:space="0" w:color="auto"/>
              <w:right w:val="single" w:sz="4" w:space="0" w:color="auto"/>
            </w:tcBorders>
            <w:shd w:val="clear" w:color="auto" w:fill="C6EFCE"/>
            <w:noWrap/>
            <w:vAlign w:val="center"/>
          </w:tcPr>
          <w:p w14:paraId="240EBC4F" w14:textId="77777777" w:rsidR="00154E32" w:rsidRDefault="00A43E04">
            <w:pPr>
              <w:pStyle w:val="P68B1DB1-Normal12"/>
              <w:rPr>
                <w:noProof/>
              </w:rPr>
            </w:pPr>
            <w:r>
              <w:rPr>
                <w:noProof/>
              </w:rPr>
              <w:t xml:space="preserve">Naložba 4.2 Skladi za konkurenčnost turističnega podjetja </w:t>
            </w:r>
          </w:p>
        </w:tc>
        <w:tc>
          <w:tcPr>
            <w:tcW w:w="1455" w:type="dxa"/>
            <w:tcBorders>
              <w:top w:val="nil"/>
              <w:left w:val="nil"/>
              <w:bottom w:val="single" w:sz="4" w:space="0" w:color="auto"/>
              <w:right w:val="single" w:sz="4" w:space="0" w:color="auto"/>
            </w:tcBorders>
            <w:shd w:val="clear" w:color="auto" w:fill="C6EFCE"/>
            <w:noWrap/>
            <w:vAlign w:val="center"/>
          </w:tcPr>
          <w:p w14:paraId="645AE250" w14:textId="77777777" w:rsidR="00154E32" w:rsidRDefault="00A43E04">
            <w:pPr>
              <w:pStyle w:val="P68B1DB1-Normal12"/>
              <w:rPr>
                <w:noProof/>
              </w:rPr>
            </w:pPr>
            <w:r>
              <w:rPr>
                <w:noProof/>
              </w:rPr>
              <w:t>Mejnik</w:t>
            </w:r>
          </w:p>
        </w:tc>
        <w:tc>
          <w:tcPr>
            <w:tcW w:w="3975" w:type="dxa"/>
            <w:tcBorders>
              <w:top w:val="nil"/>
              <w:left w:val="nil"/>
              <w:bottom w:val="single" w:sz="4" w:space="0" w:color="auto"/>
              <w:right w:val="single" w:sz="4" w:space="0" w:color="auto"/>
            </w:tcBorders>
            <w:shd w:val="clear" w:color="auto" w:fill="C6EFCE"/>
            <w:noWrap/>
            <w:vAlign w:val="center"/>
          </w:tcPr>
          <w:p w14:paraId="0DA8F912" w14:textId="77777777" w:rsidR="00154E32" w:rsidRDefault="00A43E04">
            <w:pPr>
              <w:pStyle w:val="P68B1DB1-Normal12"/>
              <w:jc w:val="center"/>
              <w:rPr>
                <w:noProof/>
              </w:rPr>
            </w:pPr>
            <w:r>
              <w:rPr>
                <w:noProof/>
              </w:rPr>
              <w:t xml:space="preserve">Naložbena politika za: tematski sklad Evropske investicijske banke;  </w:t>
            </w:r>
          </w:p>
        </w:tc>
      </w:tr>
      <w:tr w:rsidR="00154E32" w14:paraId="572D798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CA85353" w14:textId="77777777" w:rsidR="00154E32" w:rsidRDefault="00A43E04">
            <w:pPr>
              <w:pStyle w:val="P68B1DB1-Normal12"/>
              <w:rPr>
                <w:noProof/>
              </w:rPr>
            </w:pPr>
            <w:r>
              <w:rPr>
                <w:noProof/>
              </w:rPr>
              <w:t>M1C3–23</w:t>
            </w:r>
          </w:p>
        </w:tc>
        <w:tc>
          <w:tcPr>
            <w:tcW w:w="3195" w:type="dxa"/>
            <w:tcBorders>
              <w:top w:val="nil"/>
              <w:left w:val="nil"/>
              <w:bottom w:val="single" w:sz="4" w:space="0" w:color="auto"/>
              <w:right w:val="single" w:sz="4" w:space="0" w:color="auto"/>
            </w:tcBorders>
            <w:shd w:val="clear" w:color="auto" w:fill="C6EFCE"/>
            <w:noWrap/>
            <w:vAlign w:val="center"/>
          </w:tcPr>
          <w:p w14:paraId="60918E36" w14:textId="77777777" w:rsidR="00154E32" w:rsidRDefault="00A43E04">
            <w:pPr>
              <w:pStyle w:val="P68B1DB1-Normal12"/>
              <w:rPr>
                <w:noProof/>
              </w:rPr>
            </w:pPr>
            <w:r>
              <w:rPr>
                <w:noProof/>
              </w:rPr>
              <w:t xml:space="preserve">Naložba 4.2:  Sredstva za konkurenčnost turističnih podjetij </w:t>
            </w:r>
          </w:p>
        </w:tc>
        <w:tc>
          <w:tcPr>
            <w:tcW w:w="1455" w:type="dxa"/>
            <w:tcBorders>
              <w:top w:val="nil"/>
              <w:left w:val="nil"/>
              <w:bottom w:val="single" w:sz="4" w:space="0" w:color="auto"/>
              <w:right w:val="single" w:sz="4" w:space="0" w:color="auto"/>
            </w:tcBorders>
            <w:shd w:val="clear" w:color="auto" w:fill="C6EFCE"/>
            <w:noWrap/>
            <w:vAlign w:val="center"/>
          </w:tcPr>
          <w:p w14:paraId="4B099F95" w14:textId="77777777" w:rsidR="00154E32" w:rsidRDefault="00A43E04">
            <w:pPr>
              <w:pStyle w:val="P68B1DB1-Normal12"/>
              <w:rPr>
                <w:noProof/>
              </w:rPr>
            </w:pPr>
            <w:r>
              <w:rPr>
                <w:noProof/>
              </w:rPr>
              <w:t>Mejnik</w:t>
            </w:r>
          </w:p>
        </w:tc>
        <w:tc>
          <w:tcPr>
            <w:tcW w:w="3975" w:type="dxa"/>
            <w:tcBorders>
              <w:top w:val="nil"/>
              <w:left w:val="nil"/>
              <w:bottom w:val="single" w:sz="4" w:space="0" w:color="auto"/>
              <w:right w:val="single" w:sz="4" w:space="0" w:color="auto"/>
            </w:tcBorders>
            <w:shd w:val="clear" w:color="auto" w:fill="C6EFCE"/>
            <w:noWrap/>
            <w:vAlign w:val="center"/>
          </w:tcPr>
          <w:p w14:paraId="4B3BFB88" w14:textId="77777777" w:rsidR="00154E32" w:rsidRDefault="00A43E04">
            <w:pPr>
              <w:pStyle w:val="P68B1DB1-Normal12"/>
              <w:jc w:val="center"/>
              <w:rPr>
                <w:noProof/>
              </w:rPr>
            </w:pPr>
            <w:r>
              <w:rPr>
                <w:noProof/>
              </w:rPr>
              <w:t xml:space="preserve">Naložbena politika za Nacionalni sklad za turizem, </w:t>
            </w:r>
          </w:p>
        </w:tc>
      </w:tr>
      <w:tr w:rsidR="00154E32" w14:paraId="53BCE6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69C2A2E" w14:textId="77777777" w:rsidR="00154E32" w:rsidRDefault="00A43E04">
            <w:pPr>
              <w:pStyle w:val="P68B1DB1-Normal12"/>
              <w:rPr>
                <w:noProof/>
              </w:rPr>
            </w:pPr>
            <w:r>
              <w:rPr>
                <w:noProof/>
              </w:rPr>
              <w:t>M1C3–24</w:t>
            </w:r>
          </w:p>
        </w:tc>
        <w:tc>
          <w:tcPr>
            <w:tcW w:w="3195" w:type="dxa"/>
            <w:tcBorders>
              <w:top w:val="nil"/>
              <w:left w:val="nil"/>
              <w:bottom w:val="single" w:sz="4" w:space="0" w:color="auto"/>
              <w:right w:val="single" w:sz="4" w:space="0" w:color="auto"/>
            </w:tcBorders>
            <w:shd w:val="clear" w:color="auto" w:fill="C6EFCE"/>
            <w:noWrap/>
            <w:vAlign w:val="center"/>
          </w:tcPr>
          <w:p w14:paraId="300ADD09" w14:textId="77777777" w:rsidR="00154E32" w:rsidRDefault="00A43E04">
            <w:pPr>
              <w:pStyle w:val="P68B1DB1-Normal12"/>
              <w:rPr>
                <w:noProof/>
              </w:rPr>
            </w:pPr>
            <w:r>
              <w:rPr>
                <w:noProof/>
              </w:rPr>
              <w:t xml:space="preserve">Naložbe 4.2 Skladi za konkurenčnost turističnih podjetij </w:t>
            </w:r>
          </w:p>
        </w:tc>
        <w:tc>
          <w:tcPr>
            <w:tcW w:w="1455" w:type="dxa"/>
            <w:tcBorders>
              <w:top w:val="nil"/>
              <w:left w:val="nil"/>
              <w:bottom w:val="single" w:sz="4" w:space="0" w:color="auto"/>
              <w:right w:val="single" w:sz="4" w:space="0" w:color="auto"/>
            </w:tcBorders>
            <w:shd w:val="clear" w:color="auto" w:fill="C6EFCE"/>
            <w:noWrap/>
            <w:vAlign w:val="center"/>
          </w:tcPr>
          <w:p w14:paraId="2BCE7032" w14:textId="77777777" w:rsidR="00154E32" w:rsidRDefault="00A43E04">
            <w:pPr>
              <w:pStyle w:val="P68B1DB1-Normal12"/>
              <w:rPr>
                <w:noProof/>
              </w:rPr>
            </w:pPr>
            <w:r>
              <w:rPr>
                <w:noProof/>
              </w:rPr>
              <w:t>Mejnik</w:t>
            </w:r>
          </w:p>
        </w:tc>
        <w:tc>
          <w:tcPr>
            <w:tcW w:w="3975" w:type="dxa"/>
            <w:tcBorders>
              <w:top w:val="nil"/>
              <w:left w:val="nil"/>
              <w:bottom w:val="single" w:sz="4" w:space="0" w:color="auto"/>
              <w:right w:val="single" w:sz="4" w:space="0" w:color="auto"/>
            </w:tcBorders>
            <w:shd w:val="clear" w:color="auto" w:fill="C6EFCE"/>
            <w:noWrap/>
            <w:vAlign w:val="center"/>
          </w:tcPr>
          <w:p w14:paraId="29B30469" w14:textId="77777777" w:rsidR="00154E32" w:rsidRDefault="00A43E04">
            <w:pPr>
              <w:pStyle w:val="P68B1DB1-Normal12"/>
              <w:jc w:val="center"/>
              <w:rPr>
                <w:noProof/>
              </w:rPr>
            </w:pPr>
            <w:r>
              <w:rPr>
                <w:noProof/>
              </w:rPr>
              <w:t>Naložbena politika za: Jamstveni sklad za MSP,</w:t>
            </w:r>
          </w:p>
        </w:tc>
      </w:tr>
      <w:tr w:rsidR="00154E32" w14:paraId="157098E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0D9B7E9" w14:textId="77777777" w:rsidR="00154E32" w:rsidRDefault="00A43E04">
            <w:pPr>
              <w:pStyle w:val="P68B1DB1-Normal12"/>
              <w:rPr>
                <w:noProof/>
              </w:rPr>
            </w:pPr>
            <w:r>
              <w:rPr>
                <w:noProof/>
              </w:rPr>
              <w:t>M1C3–25</w:t>
            </w:r>
          </w:p>
        </w:tc>
        <w:tc>
          <w:tcPr>
            <w:tcW w:w="3195" w:type="dxa"/>
            <w:tcBorders>
              <w:top w:val="nil"/>
              <w:left w:val="nil"/>
              <w:bottom w:val="single" w:sz="4" w:space="0" w:color="auto"/>
              <w:right w:val="single" w:sz="4" w:space="0" w:color="auto"/>
            </w:tcBorders>
            <w:shd w:val="clear" w:color="auto" w:fill="C6EFCE"/>
            <w:noWrap/>
            <w:vAlign w:val="center"/>
          </w:tcPr>
          <w:p w14:paraId="0B7121E4" w14:textId="77777777" w:rsidR="00154E32" w:rsidRDefault="00A43E04">
            <w:pPr>
              <w:pStyle w:val="P68B1DB1-Normal12"/>
              <w:rPr>
                <w:noProof/>
              </w:rPr>
            </w:pPr>
            <w:r>
              <w:rPr>
                <w:noProof/>
              </w:rPr>
              <w:t xml:space="preserve">Naložba 4.2:  Sredstva za konkurenčnost turističnih podjetij </w:t>
            </w:r>
          </w:p>
        </w:tc>
        <w:tc>
          <w:tcPr>
            <w:tcW w:w="1455" w:type="dxa"/>
            <w:tcBorders>
              <w:top w:val="nil"/>
              <w:left w:val="nil"/>
              <w:bottom w:val="single" w:sz="4" w:space="0" w:color="auto"/>
              <w:right w:val="single" w:sz="4" w:space="0" w:color="auto"/>
            </w:tcBorders>
            <w:shd w:val="clear" w:color="auto" w:fill="C6EFCE"/>
            <w:noWrap/>
            <w:vAlign w:val="center"/>
          </w:tcPr>
          <w:p w14:paraId="0E2DDCCE" w14:textId="77777777" w:rsidR="00154E32" w:rsidRDefault="00A43E04">
            <w:pPr>
              <w:pStyle w:val="P68B1DB1-Normal12"/>
              <w:rPr>
                <w:noProof/>
              </w:rPr>
            </w:pPr>
            <w:r>
              <w:rPr>
                <w:noProof/>
              </w:rPr>
              <w:t>Mejnik</w:t>
            </w:r>
          </w:p>
        </w:tc>
        <w:tc>
          <w:tcPr>
            <w:tcW w:w="3975" w:type="dxa"/>
            <w:tcBorders>
              <w:top w:val="nil"/>
              <w:left w:val="nil"/>
              <w:bottom w:val="single" w:sz="4" w:space="0" w:color="auto"/>
              <w:right w:val="single" w:sz="4" w:space="0" w:color="auto"/>
            </w:tcBorders>
            <w:shd w:val="clear" w:color="auto" w:fill="C6EFCE"/>
            <w:noWrap/>
            <w:vAlign w:val="center"/>
          </w:tcPr>
          <w:p w14:paraId="107C8E6D" w14:textId="77777777" w:rsidR="00154E32" w:rsidRDefault="00A43E04">
            <w:pPr>
              <w:pStyle w:val="P68B1DB1-Normal12"/>
              <w:jc w:val="center"/>
              <w:rPr>
                <w:noProof/>
              </w:rPr>
            </w:pPr>
            <w:r>
              <w:rPr>
                <w:noProof/>
              </w:rPr>
              <w:t xml:space="preserve">Naložbena politika za Fondo Rotativo </w:t>
            </w:r>
          </w:p>
        </w:tc>
      </w:tr>
      <w:tr w:rsidR="00154E32" w14:paraId="2C99BF4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BA7B82E" w14:textId="77777777" w:rsidR="00154E32" w:rsidRDefault="00A43E04">
            <w:pPr>
              <w:pStyle w:val="P68B1DB1-Normal12"/>
              <w:rPr>
                <w:noProof/>
              </w:rPr>
            </w:pPr>
            <w:r>
              <w:rPr>
                <w:noProof/>
              </w:rPr>
              <w:t>M1C3–26</w:t>
            </w:r>
          </w:p>
        </w:tc>
        <w:tc>
          <w:tcPr>
            <w:tcW w:w="3195" w:type="dxa"/>
            <w:tcBorders>
              <w:top w:val="nil"/>
              <w:left w:val="nil"/>
              <w:bottom w:val="single" w:sz="4" w:space="0" w:color="auto"/>
              <w:right w:val="single" w:sz="4" w:space="0" w:color="auto"/>
            </w:tcBorders>
            <w:shd w:val="clear" w:color="auto" w:fill="C6EFCE"/>
            <w:noWrap/>
            <w:vAlign w:val="center"/>
          </w:tcPr>
          <w:p w14:paraId="0C518EC3" w14:textId="77777777" w:rsidR="00154E32" w:rsidRDefault="00A43E04">
            <w:pPr>
              <w:pStyle w:val="P68B1DB1-Normal12"/>
              <w:rPr>
                <w:noProof/>
              </w:rPr>
            </w:pPr>
            <w:r>
              <w:rPr>
                <w:noProof/>
              </w:rPr>
              <w:t xml:space="preserve">Naložba 4.2:  Sredstva za konkurenčnost turističnih podjetij </w:t>
            </w:r>
          </w:p>
        </w:tc>
        <w:tc>
          <w:tcPr>
            <w:tcW w:w="1455" w:type="dxa"/>
            <w:tcBorders>
              <w:top w:val="nil"/>
              <w:left w:val="nil"/>
              <w:bottom w:val="single" w:sz="4" w:space="0" w:color="auto"/>
              <w:right w:val="single" w:sz="4" w:space="0" w:color="auto"/>
            </w:tcBorders>
            <w:shd w:val="clear" w:color="auto" w:fill="C6EFCE"/>
            <w:noWrap/>
            <w:vAlign w:val="center"/>
          </w:tcPr>
          <w:p w14:paraId="2FDE7E58" w14:textId="77777777" w:rsidR="00154E32" w:rsidRDefault="00A43E04">
            <w:pPr>
              <w:pStyle w:val="P68B1DB1-Normal12"/>
              <w:rPr>
                <w:noProof/>
              </w:rPr>
            </w:pPr>
            <w:r>
              <w:rPr>
                <w:noProof/>
              </w:rPr>
              <w:t>Mejnik</w:t>
            </w:r>
          </w:p>
        </w:tc>
        <w:tc>
          <w:tcPr>
            <w:tcW w:w="3975" w:type="dxa"/>
            <w:tcBorders>
              <w:top w:val="nil"/>
              <w:left w:val="nil"/>
              <w:bottom w:val="single" w:sz="4" w:space="0" w:color="auto"/>
              <w:right w:val="single" w:sz="4" w:space="0" w:color="auto"/>
            </w:tcBorders>
            <w:shd w:val="clear" w:color="auto" w:fill="C6EFCE"/>
            <w:noWrap/>
            <w:vAlign w:val="center"/>
          </w:tcPr>
          <w:p w14:paraId="05A1D5F5" w14:textId="77777777" w:rsidR="00154E32" w:rsidRDefault="00A43E04">
            <w:pPr>
              <w:pStyle w:val="P68B1DB1-Normal12"/>
              <w:jc w:val="center"/>
              <w:rPr>
                <w:noProof/>
              </w:rPr>
            </w:pPr>
            <w:r>
              <w:rPr>
                <w:noProof/>
              </w:rPr>
              <w:t>Začetek veljavnosti izvedbene uredbe za davčno olajšavo za prenovo nastanitvenih objektov.</w:t>
            </w:r>
          </w:p>
        </w:tc>
      </w:tr>
      <w:tr w:rsidR="00154E32" w14:paraId="08A9102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14B7470" w14:textId="77777777" w:rsidR="00154E32" w:rsidRDefault="00A43E04">
            <w:pPr>
              <w:pStyle w:val="P68B1DB1-Normal12"/>
              <w:rPr>
                <w:noProof/>
              </w:rPr>
            </w:pPr>
            <w:r>
              <w:rPr>
                <w:noProof/>
              </w:rPr>
              <w:t>M2C4–7</w:t>
            </w:r>
          </w:p>
        </w:tc>
        <w:tc>
          <w:tcPr>
            <w:tcW w:w="3195" w:type="dxa"/>
            <w:tcBorders>
              <w:top w:val="nil"/>
              <w:left w:val="nil"/>
              <w:bottom w:val="single" w:sz="4" w:space="0" w:color="auto"/>
              <w:right w:val="single" w:sz="4" w:space="0" w:color="auto"/>
            </w:tcBorders>
            <w:shd w:val="clear" w:color="auto" w:fill="C6EFCE"/>
            <w:noWrap/>
            <w:vAlign w:val="center"/>
          </w:tcPr>
          <w:p w14:paraId="66BEB345" w14:textId="77777777" w:rsidR="00154E32" w:rsidRDefault="00A43E04">
            <w:pPr>
              <w:pStyle w:val="P68B1DB1-Normal12"/>
              <w:rPr>
                <w:noProof/>
              </w:rPr>
            </w:pPr>
            <w:r>
              <w:rPr>
                <w:noProof/>
              </w:rPr>
              <w:t>Reforma 3.1: Sprejetje nacionalnih programov za nadzor nad onesnaževanjem zraka</w:t>
            </w:r>
          </w:p>
        </w:tc>
        <w:tc>
          <w:tcPr>
            <w:tcW w:w="1455" w:type="dxa"/>
            <w:tcBorders>
              <w:top w:val="nil"/>
              <w:left w:val="nil"/>
              <w:bottom w:val="single" w:sz="4" w:space="0" w:color="auto"/>
              <w:right w:val="single" w:sz="4" w:space="0" w:color="auto"/>
            </w:tcBorders>
            <w:shd w:val="clear" w:color="auto" w:fill="C6EFCE"/>
            <w:noWrap/>
            <w:vAlign w:val="center"/>
          </w:tcPr>
          <w:p w14:paraId="3CF03BF4" w14:textId="77777777" w:rsidR="00154E32" w:rsidRDefault="00A43E04">
            <w:pPr>
              <w:pStyle w:val="P68B1DB1-Normal12"/>
              <w:rPr>
                <w:noProof/>
              </w:rPr>
            </w:pPr>
            <w:r>
              <w:rPr>
                <w:noProof/>
              </w:rPr>
              <w:t>Mejnik</w:t>
            </w:r>
          </w:p>
        </w:tc>
        <w:tc>
          <w:tcPr>
            <w:tcW w:w="3975" w:type="dxa"/>
            <w:tcBorders>
              <w:top w:val="nil"/>
              <w:left w:val="nil"/>
              <w:bottom w:val="single" w:sz="4" w:space="0" w:color="auto"/>
              <w:right w:val="single" w:sz="4" w:space="0" w:color="auto"/>
            </w:tcBorders>
            <w:shd w:val="clear" w:color="auto" w:fill="C6EFCE"/>
            <w:noWrap/>
            <w:vAlign w:val="center"/>
          </w:tcPr>
          <w:p w14:paraId="6738C9F8" w14:textId="77777777" w:rsidR="00154E32" w:rsidRDefault="00A43E04">
            <w:pPr>
              <w:pStyle w:val="P68B1DB1-Normal12"/>
              <w:jc w:val="center"/>
              <w:rPr>
                <w:noProof/>
              </w:rPr>
            </w:pPr>
            <w:r>
              <w:rPr>
                <w:noProof/>
              </w:rPr>
              <w:t>Začetek veljavnosti nacionalnega programa nadzora nad onesnaževanjem zraka</w:t>
            </w:r>
          </w:p>
        </w:tc>
      </w:tr>
      <w:tr w:rsidR="00154E32" w14:paraId="6C33D54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8DC7E14" w14:textId="77777777" w:rsidR="00154E32" w:rsidRDefault="00A43E04">
            <w:pPr>
              <w:pStyle w:val="P68B1DB1-Normal12"/>
              <w:rPr>
                <w:noProof/>
              </w:rPr>
            </w:pPr>
            <w:r>
              <w:rPr>
                <w:noProof/>
              </w:rPr>
              <w:t>M2C4–12</w:t>
            </w:r>
          </w:p>
        </w:tc>
        <w:tc>
          <w:tcPr>
            <w:tcW w:w="3195" w:type="dxa"/>
            <w:tcBorders>
              <w:top w:val="nil"/>
              <w:left w:val="nil"/>
              <w:bottom w:val="single" w:sz="4" w:space="0" w:color="auto"/>
              <w:right w:val="single" w:sz="4" w:space="0" w:color="auto"/>
            </w:tcBorders>
            <w:shd w:val="clear" w:color="auto" w:fill="C6EFCE"/>
            <w:noWrap/>
            <w:vAlign w:val="center"/>
          </w:tcPr>
          <w:p w14:paraId="1DDDB908" w14:textId="77777777" w:rsidR="00154E32" w:rsidRDefault="00A43E04">
            <w:pPr>
              <w:pStyle w:val="P68B1DB1-Normal12"/>
              <w:rPr>
                <w:noProof/>
              </w:rPr>
            </w:pPr>
            <w:r>
              <w:rPr>
                <w:noProof/>
              </w:rPr>
              <w:t>Naložba 2.1.b Ukrepi za zmanjšanje tveganja poplav in hidrogeološkega tveganja</w:t>
            </w:r>
          </w:p>
        </w:tc>
        <w:tc>
          <w:tcPr>
            <w:tcW w:w="1455" w:type="dxa"/>
            <w:tcBorders>
              <w:top w:val="nil"/>
              <w:left w:val="nil"/>
              <w:bottom w:val="single" w:sz="4" w:space="0" w:color="auto"/>
              <w:right w:val="single" w:sz="4" w:space="0" w:color="auto"/>
            </w:tcBorders>
            <w:shd w:val="clear" w:color="auto" w:fill="C6EFCE"/>
            <w:noWrap/>
            <w:vAlign w:val="center"/>
          </w:tcPr>
          <w:p w14:paraId="5E1033BB" w14:textId="77777777" w:rsidR="00154E32" w:rsidRDefault="00A43E04">
            <w:pPr>
              <w:pStyle w:val="P68B1DB1-Normal12"/>
              <w:rPr>
                <w:noProof/>
              </w:rPr>
            </w:pPr>
            <w:r>
              <w:rPr>
                <w:noProof/>
              </w:rPr>
              <w:t>Mejnik</w:t>
            </w:r>
          </w:p>
        </w:tc>
        <w:tc>
          <w:tcPr>
            <w:tcW w:w="3975" w:type="dxa"/>
            <w:tcBorders>
              <w:top w:val="nil"/>
              <w:left w:val="nil"/>
              <w:bottom w:val="single" w:sz="4" w:space="0" w:color="auto"/>
              <w:right w:val="single" w:sz="4" w:space="0" w:color="auto"/>
            </w:tcBorders>
            <w:shd w:val="clear" w:color="auto" w:fill="C6EFCE"/>
            <w:noWrap/>
            <w:vAlign w:val="center"/>
          </w:tcPr>
          <w:p w14:paraId="2E9D863E" w14:textId="77777777" w:rsidR="00154E32" w:rsidRDefault="00A43E04">
            <w:pPr>
              <w:pStyle w:val="P68B1DB1-Normal12"/>
              <w:jc w:val="center"/>
              <w:rPr>
                <w:noProof/>
              </w:rPr>
            </w:pPr>
            <w:r>
              <w:rPr>
                <w:noProof/>
              </w:rPr>
              <w:t>Začetek veljavnosti revidiranega pravnega okvira za intervencije proti poplavnim in hidrogeološkim tveganjem</w:t>
            </w:r>
          </w:p>
        </w:tc>
      </w:tr>
      <w:tr w:rsidR="00154E32" w14:paraId="3AE882A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B8A266A" w14:textId="77777777" w:rsidR="00154E32" w:rsidRDefault="00A43E04">
            <w:pPr>
              <w:pStyle w:val="P68B1DB1-Normal12"/>
              <w:rPr>
                <w:noProof/>
              </w:rPr>
            </w:pPr>
            <w:r>
              <w:rPr>
                <w:noProof/>
              </w:rPr>
              <w:t>M2C4–18</w:t>
            </w:r>
          </w:p>
        </w:tc>
        <w:tc>
          <w:tcPr>
            <w:tcW w:w="3195" w:type="dxa"/>
            <w:tcBorders>
              <w:top w:val="nil"/>
              <w:left w:val="nil"/>
              <w:bottom w:val="single" w:sz="4" w:space="0" w:color="auto"/>
              <w:right w:val="single" w:sz="4" w:space="0" w:color="auto"/>
            </w:tcBorders>
            <w:shd w:val="clear" w:color="auto" w:fill="C6EFCE"/>
            <w:noWrap/>
            <w:vAlign w:val="center"/>
          </w:tcPr>
          <w:p w14:paraId="1DF082B5" w14:textId="77777777" w:rsidR="00154E32" w:rsidRDefault="00A43E04">
            <w:pPr>
              <w:pStyle w:val="P68B1DB1-Normal12"/>
              <w:rPr>
                <w:noProof/>
              </w:rPr>
            </w:pPr>
            <w:r>
              <w:rPr>
                <w:noProof/>
              </w:rPr>
              <w:t>Naložbe. 3.1: Varstvo in krepitev mestnih in primestnih gozdov</w:t>
            </w:r>
          </w:p>
        </w:tc>
        <w:tc>
          <w:tcPr>
            <w:tcW w:w="1455" w:type="dxa"/>
            <w:tcBorders>
              <w:top w:val="nil"/>
              <w:left w:val="nil"/>
              <w:bottom w:val="single" w:sz="4" w:space="0" w:color="auto"/>
              <w:right w:val="single" w:sz="4" w:space="0" w:color="auto"/>
            </w:tcBorders>
            <w:shd w:val="clear" w:color="auto" w:fill="C6EFCE"/>
            <w:noWrap/>
            <w:vAlign w:val="center"/>
          </w:tcPr>
          <w:p w14:paraId="2ED31732" w14:textId="77777777" w:rsidR="00154E32" w:rsidRDefault="00A43E04">
            <w:pPr>
              <w:pStyle w:val="P68B1DB1-Normal12"/>
              <w:rPr>
                <w:noProof/>
              </w:rPr>
            </w:pPr>
            <w:r>
              <w:rPr>
                <w:noProof/>
              </w:rPr>
              <w:t>Mejnik</w:t>
            </w:r>
          </w:p>
        </w:tc>
        <w:tc>
          <w:tcPr>
            <w:tcW w:w="3975" w:type="dxa"/>
            <w:tcBorders>
              <w:top w:val="nil"/>
              <w:left w:val="nil"/>
              <w:bottom w:val="single" w:sz="4" w:space="0" w:color="auto"/>
              <w:right w:val="single" w:sz="4" w:space="0" w:color="auto"/>
            </w:tcBorders>
            <w:shd w:val="clear" w:color="auto" w:fill="C6EFCE"/>
            <w:noWrap/>
            <w:vAlign w:val="center"/>
          </w:tcPr>
          <w:p w14:paraId="732DB0E7" w14:textId="77777777" w:rsidR="00154E32" w:rsidRDefault="00A43E04">
            <w:pPr>
              <w:pStyle w:val="P68B1DB1-Normal12"/>
              <w:jc w:val="center"/>
              <w:rPr>
                <w:noProof/>
              </w:rPr>
            </w:pPr>
            <w:r>
              <w:rPr>
                <w:noProof/>
              </w:rPr>
              <w:t xml:space="preserve">Začetek veljavnosti revidiranih pravnih sprememb za zaščito in valorizacijo mestnih in primestnih zelenih območij </w:t>
            </w:r>
          </w:p>
        </w:tc>
      </w:tr>
      <w:tr w:rsidR="00154E32" w14:paraId="6F3BFDC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4E940E0" w14:textId="77777777" w:rsidR="00154E32" w:rsidRDefault="00A43E04">
            <w:pPr>
              <w:pStyle w:val="P68B1DB1-Normal12"/>
              <w:rPr>
                <w:noProof/>
              </w:rPr>
            </w:pPr>
            <w:r>
              <w:rPr>
                <w:noProof/>
              </w:rPr>
              <w:t>M3C1–1</w:t>
            </w:r>
          </w:p>
        </w:tc>
        <w:tc>
          <w:tcPr>
            <w:tcW w:w="3195" w:type="dxa"/>
            <w:tcBorders>
              <w:top w:val="nil"/>
              <w:left w:val="nil"/>
              <w:bottom w:val="single" w:sz="4" w:space="0" w:color="auto"/>
              <w:right w:val="single" w:sz="4" w:space="0" w:color="auto"/>
            </w:tcBorders>
            <w:shd w:val="clear" w:color="auto" w:fill="C6EFCE"/>
            <w:noWrap/>
            <w:vAlign w:val="center"/>
          </w:tcPr>
          <w:p w14:paraId="036A7CB0" w14:textId="77777777" w:rsidR="00154E32" w:rsidRDefault="00A43E04">
            <w:pPr>
              <w:pStyle w:val="P68B1DB1-Normal12"/>
              <w:rPr>
                <w:noProof/>
              </w:rPr>
            </w:pPr>
            <w:r>
              <w:rPr>
                <w:noProof/>
              </w:rPr>
              <w:t>Reforma 1.1 – Pospešitev postopka odobritve pogodbe med MIT in RFI</w:t>
            </w:r>
          </w:p>
        </w:tc>
        <w:tc>
          <w:tcPr>
            <w:tcW w:w="1455" w:type="dxa"/>
            <w:tcBorders>
              <w:top w:val="nil"/>
              <w:left w:val="nil"/>
              <w:bottom w:val="single" w:sz="4" w:space="0" w:color="auto"/>
              <w:right w:val="single" w:sz="4" w:space="0" w:color="auto"/>
            </w:tcBorders>
            <w:shd w:val="clear" w:color="auto" w:fill="C6EFCE"/>
            <w:noWrap/>
            <w:vAlign w:val="center"/>
          </w:tcPr>
          <w:p w14:paraId="273E1EF7" w14:textId="77777777" w:rsidR="00154E32" w:rsidRDefault="00A43E04">
            <w:pPr>
              <w:pStyle w:val="P68B1DB1-Normal12"/>
              <w:rPr>
                <w:noProof/>
              </w:rPr>
            </w:pPr>
            <w:r>
              <w:rPr>
                <w:noProof/>
              </w:rPr>
              <w:t>Mejnik</w:t>
            </w:r>
          </w:p>
        </w:tc>
        <w:tc>
          <w:tcPr>
            <w:tcW w:w="3975" w:type="dxa"/>
            <w:tcBorders>
              <w:top w:val="nil"/>
              <w:left w:val="nil"/>
              <w:bottom w:val="single" w:sz="4" w:space="0" w:color="auto"/>
              <w:right w:val="single" w:sz="4" w:space="0" w:color="auto"/>
            </w:tcBorders>
            <w:shd w:val="clear" w:color="auto" w:fill="C6EFCE"/>
            <w:noWrap/>
            <w:vAlign w:val="center"/>
          </w:tcPr>
          <w:p w14:paraId="1536B7F5" w14:textId="77777777" w:rsidR="00154E32" w:rsidRDefault="00A43E04">
            <w:pPr>
              <w:pStyle w:val="P68B1DB1-Normal12"/>
              <w:jc w:val="center"/>
              <w:rPr>
                <w:noProof/>
              </w:rPr>
            </w:pPr>
            <w:r>
              <w:rPr>
                <w:noProof/>
              </w:rPr>
              <w:t>Začetek veljavnosti zakonodajne spremembe o postopku odobritve Contratti di Programma (CdP)</w:t>
            </w:r>
          </w:p>
        </w:tc>
      </w:tr>
      <w:tr w:rsidR="00154E32" w14:paraId="1F3B73D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B82C774" w14:textId="77777777" w:rsidR="00154E32" w:rsidRDefault="00A43E04">
            <w:pPr>
              <w:pStyle w:val="P68B1DB1-Normal12"/>
              <w:rPr>
                <w:noProof/>
              </w:rPr>
            </w:pPr>
            <w:r>
              <w:rPr>
                <w:noProof/>
              </w:rPr>
              <w:t>M3C1–2</w:t>
            </w:r>
          </w:p>
        </w:tc>
        <w:tc>
          <w:tcPr>
            <w:tcW w:w="3195" w:type="dxa"/>
            <w:tcBorders>
              <w:top w:val="nil"/>
              <w:left w:val="nil"/>
              <w:bottom w:val="single" w:sz="4" w:space="0" w:color="auto"/>
              <w:right w:val="single" w:sz="4" w:space="0" w:color="auto"/>
            </w:tcBorders>
            <w:shd w:val="clear" w:color="auto" w:fill="C6EFCE"/>
            <w:noWrap/>
            <w:vAlign w:val="center"/>
          </w:tcPr>
          <w:p w14:paraId="132A8E2D" w14:textId="77777777" w:rsidR="00154E32" w:rsidRDefault="00A43E04">
            <w:pPr>
              <w:pStyle w:val="P68B1DB1-Normal12"/>
              <w:rPr>
                <w:noProof/>
              </w:rPr>
            </w:pPr>
            <w:r>
              <w:rPr>
                <w:noProof/>
              </w:rPr>
              <w:t>Reforma 1.2 – Pospešitev postopka odobritve projektov</w:t>
            </w:r>
          </w:p>
        </w:tc>
        <w:tc>
          <w:tcPr>
            <w:tcW w:w="1455" w:type="dxa"/>
            <w:tcBorders>
              <w:top w:val="nil"/>
              <w:left w:val="nil"/>
              <w:bottom w:val="single" w:sz="4" w:space="0" w:color="auto"/>
              <w:right w:val="single" w:sz="4" w:space="0" w:color="auto"/>
            </w:tcBorders>
            <w:shd w:val="clear" w:color="auto" w:fill="C6EFCE"/>
            <w:noWrap/>
            <w:vAlign w:val="center"/>
          </w:tcPr>
          <w:p w14:paraId="629D1083" w14:textId="77777777" w:rsidR="00154E32" w:rsidRDefault="00A43E04">
            <w:pPr>
              <w:pStyle w:val="P68B1DB1-Normal12"/>
              <w:rPr>
                <w:noProof/>
              </w:rPr>
            </w:pPr>
            <w:r>
              <w:rPr>
                <w:noProof/>
              </w:rPr>
              <w:t>Mejnik</w:t>
            </w:r>
          </w:p>
        </w:tc>
        <w:tc>
          <w:tcPr>
            <w:tcW w:w="3975" w:type="dxa"/>
            <w:tcBorders>
              <w:top w:val="nil"/>
              <w:left w:val="nil"/>
              <w:bottom w:val="single" w:sz="4" w:space="0" w:color="auto"/>
              <w:right w:val="single" w:sz="4" w:space="0" w:color="auto"/>
            </w:tcBorders>
            <w:shd w:val="clear" w:color="auto" w:fill="C6EFCE"/>
            <w:noWrap/>
            <w:vAlign w:val="center"/>
          </w:tcPr>
          <w:p w14:paraId="3E8F6C53" w14:textId="77777777" w:rsidR="00154E32" w:rsidRDefault="00A43E04">
            <w:pPr>
              <w:pStyle w:val="P68B1DB1-Normal12"/>
              <w:jc w:val="center"/>
              <w:rPr>
                <w:noProof/>
              </w:rPr>
            </w:pPr>
            <w:r>
              <w:rPr>
                <w:noProof/>
              </w:rPr>
              <w:t>Začetek veljavnosti regulativne spremembe, s katero se čas odobritve projektov skrajša z 11 na šest mesecev</w:t>
            </w:r>
          </w:p>
        </w:tc>
      </w:tr>
      <w:tr w:rsidR="00154E32" w14:paraId="1DDC098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6D8923E" w14:textId="77777777" w:rsidR="00154E32" w:rsidRDefault="00A43E04">
            <w:pPr>
              <w:pStyle w:val="P68B1DB1-Normal12"/>
              <w:rPr>
                <w:noProof/>
              </w:rPr>
            </w:pPr>
            <w:r>
              <w:rPr>
                <w:noProof/>
              </w:rPr>
              <w:t>M3C1–21</w:t>
            </w:r>
          </w:p>
        </w:tc>
        <w:tc>
          <w:tcPr>
            <w:tcW w:w="3195" w:type="dxa"/>
            <w:tcBorders>
              <w:top w:val="nil"/>
              <w:left w:val="nil"/>
              <w:bottom w:val="single" w:sz="4" w:space="0" w:color="auto"/>
              <w:right w:val="single" w:sz="4" w:space="0" w:color="auto"/>
            </w:tcBorders>
            <w:shd w:val="clear" w:color="auto" w:fill="C6EFCE"/>
            <w:noWrap/>
            <w:vAlign w:val="center"/>
          </w:tcPr>
          <w:p w14:paraId="7D6F2DC2" w14:textId="77777777" w:rsidR="00154E32" w:rsidRDefault="00A43E04">
            <w:pPr>
              <w:pStyle w:val="P68B1DB1-Normal12"/>
              <w:rPr>
                <w:noProof/>
              </w:rPr>
            </w:pPr>
            <w:r>
              <w:rPr>
                <w:noProof/>
              </w:rPr>
              <w:t>Reforma 2.1 – Izvajanje nedavne uredbe o poenostavitvi (preoblikovane v zakon št. 120 z dne 11. septembra 2020) z izdajo odloka o sprejetju „Smernic za razvrščanje in obvladovanje tveganj, oceni varnosti in spremljanju obstoječih mostov“</w:t>
            </w:r>
          </w:p>
        </w:tc>
        <w:tc>
          <w:tcPr>
            <w:tcW w:w="1455" w:type="dxa"/>
            <w:tcBorders>
              <w:top w:val="nil"/>
              <w:left w:val="nil"/>
              <w:bottom w:val="single" w:sz="4" w:space="0" w:color="auto"/>
              <w:right w:val="single" w:sz="4" w:space="0" w:color="auto"/>
            </w:tcBorders>
            <w:shd w:val="clear" w:color="auto" w:fill="C6EFCE"/>
            <w:noWrap/>
            <w:vAlign w:val="center"/>
          </w:tcPr>
          <w:p w14:paraId="2D3B787E" w14:textId="77777777" w:rsidR="00154E32" w:rsidRDefault="00A43E04">
            <w:pPr>
              <w:pStyle w:val="P68B1DB1-Normal12"/>
              <w:rPr>
                <w:noProof/>
              </w:rPr>
            </w:pPr>
            <w:r>
              <w:rPr>
                <w:noProof/>
              </w:rPr>
              <w:t>Mejnik</w:t>
            </w:r>
          </w:p>
        </w:tc>
        <w:tc>
          <w:tcPr>
            <w:tcW w:w="3975" w:type="dxa"/>
            <w:tcBorders>
              <w:top w:val="nil"/>
              <w:left w:val="nil"/>
              <w:bottom w:val="single" w:sz="4" w:space="0" w:color="auto"/>
              <w:right w:val="single" w:sz="4" w:space="0" w:color="auto"/>
            </w:tcBorders>
            <w:shd w:val="clear" w:color="auto" w:fill="C6EFCE"/>
            <w:noWrap/>
            <w:vAlign w:val="center"/>
          </w:tcPr>
          <w:p w14:paraId="5D8A4DEB" w14:textId="77777777" w:rsidR="00154E32" w:rsidRDefault="00A43E04">
            <w:pPr>
              <w:pStyle w:val="P68B1DB1-Normal12"/>
              <w:jc w:val="center"/>
              <w:rPr>
                <w:noProof/>
              </w:rPr>
            </w:pPr>
            <w:r>
              <w:rPr>
                <w:noProof/>
              </w:rPr>
              <w:t>Začetek veljavnosti „Smernic za razvrščanje in obvladovanje tveganj, ocenjevanje varnosti in spremljanje obstoječih mostov“</w:t>
            </w:r>
          </w:p>
        </w:tc>
      </w:tr>
      <w:tr w:rsidR="00154E32" w14:paraId="34ACB6D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D66AC75" w14:textId="77777777" w:rsidR="00154E32" w:rsidRDefault="00A43E04">
            <w:pPr>
              <w:pStyle w:val="P68B1DB1-Normal12"/>
              <w:rPr>
                <w:noProof/>
              </w:rPr>
            </w:pPr>
            <w:r>
              <w:rPr>
                <w:noProof/>
              </w:rPr>
              <w:t>M3C1–22</w:t>
            </w:r>
          </w:p>
        </w:tc>
        <w:tc>
          <w:tcPr>
            <w:tcW w:w="3195" w:type="dxa"/>
            <w:tcBorders>
              <w:top w:val="nil"/>
              <w:left w:val="nil"/>
              <w:bottom w:val="single" w:sz="4" w:space="0" w:color="auto"/>
              <w:right w:val="single" w:sz="4" w:space="0" w:color="auto"/>
            </w:tcBorders>
            <w:shd w:val="clear" w:color="auto" w:fill="C6EFCE"/>
            <w:noWrap/>
            <w:vAlign w:val="center"/>
          </w:tcPr>
          <w:p w14:paraId="06F2B643" w14:textId="77777777" w:rsidR="00154E32" w:rsidRDefault="00A43E04">
            <w:pPr>
              <w:pStyle w:val="P68B1DB1-Normal12"/>
              <w:rPr>
                <w:noProof/>
              </w:rPr>
            </w:pPr>
            <w:r>
              <w:rPr>
                <w:noProof/>
              </w:rPr>
              <w:t>Reforma 2.2 – Prenos lastništva mostov in viaduktov s cest nižje stopnje na ceste višje stopnje</w:t>
            </w:r>
          </w:p>
        </w:tc>
        <w:tc>
          <w:tcPr>
            <w:tcW w:w="1455" w:type="dxa"/>
            <w:tcBorders>
              <w:top w:val="nil"/>
              <w:left w:val="nil"/>
              <w:bottom w:val="single" w:sz="4" w:space="0" w:color="auto"/>
              <w:right w:val="single" w:sz="4" w:space="0" w:color="auto"/>
            </w:tcBorders>
            <w:shd w:val="clear" w:color="auto" w:fill="C6EFCE"/>
            <w:noWrap/>
            <w:vAlign w:val="center"/>
          </w:tcPr>
          <w:p w14:paraId="2846CCD5" w14:textId="77777777" w:rsidR="00154E32" w:rsidRDefault="00A43E04">
            <w:pPr>
              <w:pStyle w:val="P68B1DB1-Normal12"/>
              <w:rPr>
                <w:noProof/>
              </w:rPr>
            </w:pPr>
            <w:r>
              <w:rPr>
                <w:noProof/>
              </w:rPr>
              <w:t>Mejnik</w:t>
            </w:r>
          </w:p>
        </w:tc>
        <w:tc>
          <w:tcPr>
            <w:tcW w:w="3975" w:type="dxa"/>
            <w:tcBorders>
              <w:top w:val="nil"/>
              <w:left w:val="nil"/>
              <w:bottom w:val="single" w:sz="4" w:space="0" w:color="auto"/>
              <w:right w:val="single" w:sz="4" w:space="0" w:color="auto"/>
            </w:tcBorders>
            <w:shd w:val="clear" w:color="auto" w:fill="C6EFCE"/>
            <w:noWrap/>
            <w:vAlign w:val="center"/>
          </w:tcPr>
          <w:p w14:paraId="3F2CCC77" w14:textId="77777777" w:rsidR="00154E32" w:rsidRDefault="00A43E04">
            <w:pPr>
              <w:pStyle w:val="P68B1DB1-Normal12"/>
              <w:jc w:val="center"/>
              <w:rPr>
                <w:noProof/>
              </w:rPr>
            </w:pPr>
            <w:r>
              <w:rPr>
                <w:noProof/>
              </w:rPr>
              <w:t>Prenos lastništva nad mostovi, viadukti in nadvozi s cest nižje stopnje na ceste višjega razreda (avtoceste in glavne državne ceste)</w:t>
            </w:r>
          </w:p>
        </w:tc>
      </w:tr>
      <w:tr w:rsidR="00154E32" w14:paraId="42D69BE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0EF2621" w14:textId="77777777" w:rsidR="00154E32" w:rsidRDefault="00A43E04">
            <w:pPr>
              <w:pStyle w:val="P68B1DB1-Normal12"/>
              <w:rPr>
                <w:noProof/>
              </w:rPr>
            </w:pPr>
            <w:r>
              <w:rPr>
                <w:noProof/>
              </w:rPr>
              <w:t>M4C1–27</w:t>
            </w:r>
          </w:p>
        </w:tc>
        <w:tc>
          <w:tcPr>
            <w:tcW w:w="3195" w:type="dxa"/>
            <w:tcBorders>
              <w:top w:val="nil"/>
              <w:left w:val="nil"/>
              <w:bottom w:val="single" w:sz="4" w:space="0" w:color="auto"/>
              <w:right w:val="single" w:sz="4" w:space="0" w:color="auto"/>
            </w:tcBorders>
            <w:shd w:val="clear" w:color="auto" w:fill="C6EFCE"/>
            <w:noWrap/>
            <w:vAlign w:val="center"/>
          </w:tcPr>
          <w:p w14:paraId="51969987" w14:textId="77777777" w:rsidR="00154E32" w:rsidRDefault="00A43E04">
            <w:pPr>
              <w:pStyle w:val="P68B1DB1-Normal12"/>
              <w:rPr>
                <w:noProof/>
              </w:rPr>
            </w:pPr>
            <w:r>
              <w:rPr>
                <w:noProof/>
              </w:rPr>
              <w:t>Reforma 1.7: Reforma ureditve študentskih stanovanj in naložbe v študentska stanovanja</w:t>
            </w:r>
          </w:p>
        </w:tc>
        <w:tc>
          <w:tcPr>
            <w:tcW w:w="1455" w:type="dxa"/>
            <w:tcBorders>
              <w:top w:val="nil"/>
              <w:left w:val="nil"/>
              <w:bottom w:val="single" w:sz="4" w:space="0" w:color="auto"/>
              <w:right w:val="single" w:sz="4" w:space="0" w:color="auto"/>
            </w:tcBorders>
            <w:shd w:val="clear" w:color="auto" w:fill="C6EFCE"/>
            <w:noWrap/>
            <w:vAlign w:val="center"/>
          </w:tcPr>
          <w:p w14:paraId="198CAC35" w14:textId="77777777" w:rsidR="00154E32" w:rsidRDefault="00A43E04">
            <w:pPr>
              <w:pStyle w:val="P68B1DB1-Normal12"/>
              <w:rPr>
                <w:noProof/>
              </w:rPr>
            </w:pPr>
            <w:r>
              <w:rPr>
                <w:noProof/>
              </w:rPr>
              <w:t>Mejnik</w:t>
            </w:r>
          </w:p>
        </w:tc>
        <w:tc>
          <w:tcPr>
            <w:tcW w:w="3975" w:type="dxa"/>
            <w:tcBorders>
              <w:top w:val="nil"/>
              <w:left w:val="nil"/>
              <w:bottom w:val="single" w:sz="4" w:space="0" w:color="auto"/>
              <w:right w:val="single" w:sz="4" w:space="0" w:color="auto"/>
            </w:tcBorders>
            <w:shd w:val="clear" w:color="auto" w:fill="C6EFCE"/>
            <w:noWrap/>
            <w:vAlign w:val="center"/>
          </w:tcPr>
          <w:p w14:paraId="44B730C4" w14:textId="77777777" w:rsidR="00154E32" w:rsidRDefault="00A43E04">
            <w:pPr>
              <w:pStyle w:val="P68B1DB1-Normal12"/>
              <w:jc w:val="center"/>
              <w:rPr>
                <w:noProof/>
              </w:rPr>
            </w:pPr>
            <w:r>
              <w:rPr>
                <w:noProof/>
              </w:rPr>
              <w:t>Začetek veljavnosti zakonodaje za spremembo veljavnih pravil za študentska stanovanja.</w:t>
            </w:r>
          </w:p>
        </w:tc>
      </w:tr>
      <w:tr w:rsidR="00154E32" w14:paraId="14CCCB9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E28D34D" w14:textId="77777777" w:rsidR="00154E32" w:rsidRDefault="00A43E04">
            <w:pPr>
              <w:pStyle w:val="P68B1DB1-Normal12"/>
              <w:rPr>
                <w:noProof/>
              </w:rPr>
            </w:pPr>
            <w:r>
              <w:rPr>
                <w:noProof/>
              </w:rPr>
              <w:t>M5C3–10</w:t>
            </w:r>
          </w:p>
        </w:tc>
        <w:tc>
          <w:tcPr>
            <w:tcW w:w="3195" w:type="dxa"/>
            <w:tcBorders>
              <w:top w:val="nil"/>
              <w:left w:val="nil"/>
              <w:bottom w:val="single" w:sz="4" w:space="0" w:color="auto"/>
              <w:right w:val="single" w:sz="4" w:space="0" w:color="auto"/>
            </w:tcBorders>
            <w:shd w:val="clear" w:color="auto" w:fill="C6EFCE"/>
            <w:noWrap/>
            <w:vAlign w:val="center"/>
          </w:tcPr>
          <w:p w14:paraId="3F3F02A5" w14:textId="77777777" w:rsidR="00154E32" w:rsidRDefault="00A43E04">
            <w:pPr>
              <w:pStyle w:val="P68B1DB1-Normal12"/>
              <w:rPr>
                <w:noProof/>
              </w:rPr>
            </w:pPr>
            <w:r>
              <w:rPr>
                <w:noProof/>
              </w:rPr>
              <w:t>Reforma1: Poenostavitev postopkov in okrepitev komisarja v posebnih ekonomskih conah</w:t>
            </w:r>
          </w:p>
        </w:tc>
        <w:tc>
          <w:tcPr>
            <w:tcW w:w="1455" w:type="dxa"/>
            <w:tcBorders>
              <w:top w:val="nil"/>
              <w:left w:val="nil"/>
              <w:bottom w:val="single" w:sz="4" w:space="0" w:color="auto"/>
              <w:right w:val="single" w:sz="4" w:space="0" w:color="auto"/>
            </w:tcBorders>
            <w:shd w:val="clear" w:color="auto" w:fill="C6EFCE"/>
            <w:noWrap/>
            <w:vAlign w:val="center"/>
          </w:tcPr>
          <w:p w14:paraId="6F554D54" w14:textId="77777777" w:rsidR="00154E32" w:rsidRDefault="00A43E04">
            <w:pPr>
              <w:pStyle w:val="P68B1DB1-Normal12"/>
              <w:rPr>
                <w:noProof/>
              </w:rPr>
            </w:pPr>
            <w:r>
              <w:rPr>
                <w:noProof/>
              </w:rPr>
              <w:t>Mejnik</w:t>
            </w:r>
          </w:p>
        </w:tc>
        <w:tc>
          <w:tcPr>
            <w:tcW w:w="3975" w:type="dxa"/>
            <w:tcBorders>
              <w:top w:val="nil"/>
              <w:left w:val="nil"/>
              <w:bottom w:val="single" w:sz="4" w:space="0" w:color="auto"/>
              <w:right w:val="single" w:sz="4" w:space="0" w:color="auto"/>
            </w:tcBorders>
            <w:shd w:val="clear" w:color="auto" w:fill="C6EFCE"/>
            <w:noWrap/>
            <w:vAlign w:val="center"/>
          </w:tcPr>
          <w:p w14:paraId="3684841B" w14:textId="77777777" w:rsidR="00154E32" w:rsidRDefault="00A43E04">
            <w:pPr>
              <w:pStyle w:val="P68B1DB1-Normal12"/>
              <w:jc w:val="center"/>
              <w:rPr>
                <w:noProof/>
              </w:rPr>
            </w:pPr>
            <w:r>
              <w:rPr>
                <w:noProof/>
              </w:rPr>
              <w:t>Začetek veljavnosti uredbe za poenostavitev postopkov in okrepitev vloge komisarja v posebnih ekonomskih conah</w:t>
            </w:r>
          </w:p>
        </w:tc>
      </w:tr>
      <w:tr w:rsidR="00154E32" w14:paraId="7892394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FAA1F4B" w14:textId="77777777" w:rsidR="00154E32" w:rsidRDefault="00A43E04">
            <w:pPr>
              <w:pStyle w:val="P68B1DB1-Normal12"/>
              <w:rPr>
                <w:noProof/>
              </w:rPr>
            </w:pPr>
            <w:r>
              <w:rPr>
                <w:noProof/>
              </w:rPr>
              <w:t>M5C3–11</w:t>
            </w:r>
          </w:p>
        </w:tc>
        <w:tc>
          <w:tcPr>
            <w:tcW w:w="3195" w:type="dxa"/>
            <w:tcBorders>
              <w:top w:val="nil"/>
              <w:left w:val="nil"/>
              <w:bottom w:val="single" w:sz="4" w:space="0" w:color="auto"/>
              <w:right w:val="single" w:sz="4" w:space="0" w:color="auto"/>
            </w:tcBorders>
            <w:shd w:val="clear" w:color="auto" w:fill="C6EFCE"/>
            <w:noWrap/>
            <w:vAlign w:val="center"/>
          </w:tcPr>
          <w:p w14:paraId="0C7F3AC5" w14:textId="77777777" w:rsidR="00154E32" w:rsidRDefault="00A43E04">
            <w:pPr>
              <w:pStyle w:val="P68B1DB1-Normal12"/>
              <w:rPr>
                <w:noProof/>
              </w:rPr>
            </w:pPr>
            <w:r>
              <w:rPr>
                <w:noProof/>
              </w:rPr>
              <w:t xml:space="preserve">Naložba 1.4: Infrastrukturne naložbe za posebno ekonomsko cono </w:t>
            </w:r>
          </w:p>
        </w:tc>
        <w:tc>
          <w:tcPr>
            <w:tcW w:w="1455" w:type="dxa"/>
            <w:tcBorders>
              <w:top w:val="nil"/>
              <w:left w:val="nil"/>
              <w:bottom w:val="single" w:sz="4" w:space="0" w:color="auto"/>
              <w:right w:val="single" w:sz="4" w:space="0" w:color="auto"/>
            </w:tcBorders>
            <w:shd w:val="clear" w:color="auto" w:fill="C6EFCE"/>
            <w:noWrap/>
            <w:vAlign w:val="center"/>
          </w:tcPr>
          <w:p w14:paraId="07FE45BA" w14:textId="77777777" w:rsidR="00154E32" w:rsidRDefault="00A43E04">
            <w:pPr>
              <w:pStyle w:val="P68B1DB1-Normal12"/>
              <w:rPr>
                <w:noProof/>
              </w:rPr>
            </w:pPr>
            <w:r>
              <w:rPr>
                <w:noProof/>
              </w:rPr>
              <w:t>Mejnik</w:t>
            </w:r>
          </w:p>
        </w:tc>
        <w:tc>
          <w:tcPr>
            <w:tcW w:w="3975" w:type="dxa"/>
            <w:tcBorders>
              <w:top w:val="nil"/>
              <w:left w:val="nil"/>
              <w:bottom w:val="single" w:sz="4" w:space="0" w:color="auto"/>
              <w:right w:val="single" w:sz="4" w:space="0" w:color="auto"/>
            </w:tcBorders>
            <w:shd w:val="clear" w:color="auto" w:fill="C6EFCE"/>
            <w:noWrap/>
            <w:vAlign w:val="center"/>
          </w:tcPr>
          <w:p w14:paraId="40C59FDA" w14:textId="77777777" w:rsidR="00154E32" w:rsidRDefault="00A43E04">
            <w:pPr>
              <w:pStyle w:val="P68B1DB1-Normal12"/>
              <w:jc w:val="center"/>
              <w:rPr>
                <w:noProof/>
              </w:rPr>
            </w:pPr>
            <w:r>
              <w:rPr>
                <w:noProof/>
              </w:rPr>
              <w:t>Začetek veljavnosti uredb ministrstva o odobritvi operativnih načrtov za vseh osem posebnih ekonomskih con</w:t>
            </w:r>
          </w:p>
        </w:tc>
      </w:tr>
      <w:tr w:rsidR="00154E32" w14:paraId="756814F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CAC0C6C" w14:textId="77777777" w:rsidR="00154E32" w:rsidRDefault="00A43E04">
            <w:pPr>
              <w:pStyle w:val="P68B1DB1-Normal12"/>
              <w:rPr>
                <w:noProof/>
              </w:rPr>
            </w:pPr>
            <w:r>
              <w:rPr>
                <w:noProof/>
              </w:rPr>
              <w:t>M6C2–4</w:t>
            </w:r>
          </w:p>
        </w:tc>
        <w:tc>
          <w:tcPr>
            <w:tcW w:w="3195" w:type="dxa"/>
            <w:tcBorders>
              <w:top w:val="nil"/>
              <w:left w:val="nil"/>
              <w:bottom w:val="single" w:sz="4" w:space="0" w:color="auto"/>
              <w:right w:val="single" w:sz="4" w:space="0" w:color="auto"/>
            </w:tcBorders>
            <w:shd w:val="clear" w:color="auto" w:fill="C6EFCE"/>
            <w:noWrap/>
            <w:vAlign w:val="center"/>
          </w:tcPr>
          <w:p w14:paraId="0F65448F" w14:textId="77777777" w:rsidR="00154E32" w:rsidRDefault="00A43E04">
            <w:pPr>
              <w:pStyle w:val="P68B1DB1-Normal48"/>
              <w:rPr>
                <w:noProof/>
                <w:color w:val="006100"/>
              </w:rPr>
            </w:pPr>
            <w:r>
              <w:rPr>
                <w:noProof/>
              </w:rPr>
              <w:t>Naložba 1.1: Digitalna posodobitev tehnološke opreme bolnišnic</w:t>
            </w:r>
          </w:p>
        </w:tc>
        <w:tc>
          <w:tcPr>
            <w:tcW w:w="1455" w:type="dxa"/>
            <w:tcBorders>
              <w:top w:val="nil"/>
              <w:left w:val="nil"/>
              <w:bottom w:val="single" w:sz="4" w:space="0" w:color="auto"/>
              <w:right w:val="single" w:sz="4" w:space="0" w:color="auto"/>
            </w:tcBorders>
            <w:shd w:val="clear" w:color="auto" w:fill="C6EFCE"/>
            <w:noWrap/>
            <w:vAlign w:val="center"/>
          </w:tcPr>
          <w:p w14:paraId="3B03D3B4" w14:textId="77777777" w:rsidR="00154E32" w:rsidRDefault="00A43E04">
            <w:pPr>
              <w:pStyle w:val="P68B1DB1-Normal48"/>
              <w:rPr>
                <w:noProof/>
                <w:color w:val="006100"/>
              </w:rPr>
            </w:pPr>
            <w:r>
              <w:rPr>
                <w:noProof/>
              </w:rPr>
              <w:t>Mejnik</w:t>
            </w:r>
          </w:p>
        </w:tc>
        <w:tc>
          <w:tcPr>
            <w:tcW w:w="3975" w:type="dxa"/>
            <w:tcBorders>
              <w:top w:val="nil"/>
              <w:left w:val="nil"/>
              <w:bottom w:val="single" w:sz="4" w:space="0" w:color="auto"/>
              <w:right w:val="single" w:sz="4" w:space="0" w:color="auto"/>
            </w:tcBorders>
            <w:shd w:val="clear" w:color="auto" w:fill="C6EFCE"/>
            <w:noWrap/>
            <w:vAlign w:val="center"/>
          </w:tcPr>
          <w:p w14:paraId="1CDD6B3F" w14:textId="77777777" w:rsidR="00154E32" w:rsidRDefault="00A43E04">
            <w:pPr>
              <w:pStyle w:val="P68B1DB1-Normal48"/>
              <w:jc w:val="center"/>
              <w:rPr>
                <w:noProof/>
              </w:rPr>
            </w:pPr>
            <w:r>
              <w:rPr>
                <w:noProof/>
              </w:rPr>
              <w:t>Načrt reorganizacije, ki ga je odobrilo ministrstvo za zdravje/italijanske regije</w:t>
            </w:r>
          </w:p>
        </w:tc>
      </w:tr>
      <w:tr w:rsidR="00154E32" w14:paraId="50811951"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34F95A11" w14:textId="77777777" w:rsidR="00154E32" w:rsidRDefault="00154E32">
            <w:pPr>
              <w:jc w:val="center"/>
              <w:rPr>
                <w:noProof/>
                <w:color w:val="006100"/>
                <w:sz w:val="20"/>
              </w:rPr>
            </w:pPr>
          </w:p>
        </w:tc>
        <w:tc>
          <w:tcPr>
            <w:tcW w:w="3195" w:type="dxa"/>
            <w:tcBorders>
              <w:top w:val="single" w:sz="4" w:space="0" w:color="auto"/>
              <w:left w:val="nil"/>
              <w:bottom w:val="single" w:sz="4" w:space="0" w:color="auto"/>
              <w:right w:val="single" w:sz="4" w:space="0" w:color="auto"/>
            </w:tcBorders>
            <w:shd w:val="clear" w:color="auto" w:fill="C6EFCE"/>
            <w:noWrap/>
            <w:vAlign w:val="bottom"/>
          </w:tcPr>
          <w:p w14:paraId="5D010E46" w14:textId="77777777" w:rsidR="00154E32" w:rsidRDefault="00154E32">
            <w:pPr>
              <w:rPr>
                <w:noProof/>
                <w:color w:val="006100"/>
                <w:sz w:val="20"/>
              </w:rPr>
            </w:pPr>
          </w:p>
        </w:tc>
        <w:tc>
          <w:tcPr>
            <w:tcW w:w="1455" w:type="dxa"/>
            <w:tcBorders>
              <w:top w:val="single" w:sz="4" w:space="0" w:color="auto"/>
              <w:left w:val="nil"/>
              <w:bottom w:val="single" w:sz="4" w:space="0" w:color="auto"/>
              <w:right w:val="single" w:sz="4" w:space="0" w:color="auto"/>
            </w:tcBorders>
            <w:shd w:val="clear" w:color="auto" w:fill="C6EFCE"/>
            <w:noWrap/>
            <w:vAlign w:val="bottom"/>
          </w:tcPr>
          <w:p w14:paraId="0C8D73F1" w14:textId="77777777" w:rsidR="00154E32" w:rsidRDefault="00A43E04">
            <w:pPr>
              <w:pStyle w:val="P68B1DB1-Normal12"/>
              <w:rPr>
                <w:noProof/>
              </w:rPr>
            </w:pPr>
            <w:r>
              <w:rPr>
                <w:noProof/>
              </w:rPr>
              <w:t>Znesek obroka</w:t>
            </w:r>
          </w:p>
        </w:tc>
        <w:tc>
          <w:tcPr>
            <w:tcW w:w="3975" w:type="dxa"/>
            <w:tcBorders>
              <w:top w:val="single" w:sz="4" w:space="0" w:color="auto"/>
              <w:left w:val="nil"/>
              <w:bottom w:val="single" w:sz="4" w:space="0" w:color="auto"/>
              <w:right w:val="single" w:sz="4" w:space="0" w:color="auto"/>
            </w:tcBorders>
            <w:shd w:val="clear" w:color="auto" w:fill="C6EFCE"/>
            <w:noWrap/>
            <w:vAlign w:val="bottom"/>
          </w:tcPr>
          <w:p w14:paraId="29A5963B" w14:textId="5BF24E3C" w:rsidR="00154E32" w:rsidRDefault="00A43E04">
            <w:pPr>
              <w:pStyle w:val="P68B1DB1-Normal46"/>
              <w:rPr>
                <w:noProof/>
              </w:rPr>
            </w:pPr>
            <w:r>
              <w:rPr>
                <w:noProof/>
              </w:rPr>
              <w:t>12</w:t>
            </w:r>
            <w:r>
              <w:rPr>
                <w:noProof/>
              </w:rPr>
              <w:t> </w:t>
            </w:r>
            <w:r>
              <w:rPr>
                <w:noProof/>
              </w:rPr>
              <w:t>643</w:t>
            </w:r>
            <w:r>
              <w:rPr>
                <w:noProof/>
              </w:rPr>
              <w:t> </w:t>
            </w:r>
            <w:r>
              <w:rPr>
                <w:noProof/>
              </w:rPr>
              <w:t>678</w:t>
            </w:r>
            <w:r>
              <w:rPr>
                <w:noProof/>
              </w:rPr>
              <w:t> </w:t>
            </w:r>
            <w:r>
              <w:rPr>
                <w:noProof/>
              </w:rPr>
              <w:t>161</w:t>
            </w:r>
            <w:r>
              <w:rPr>
                <w:noProof/>
              </w:rPr>
              <w:t> </w:t>
            </w:r>
            <w:r>
              <w:rPr>
                <w:noProof/>
              </w:rPr>
              <w:t>EUR</w:t>
            </w:r>
          </w:p>
        </w:tc>
      </w:tr>
    </w:tbl>
    <w:p w14:paraId="5580BDCD" w14:textId="7C565BD2" w:rsidR="00154E32" w:rsidRDefault="00A43E04">
      <w:pPr>
        <w:pStyle w:val="P68B1DB1-Normal44"/>
        <w:numPr>
          <w:ilvl w:val="1"/>
          <w:numId w:val="6"/>
        </w:numPr>
        <w:spacing w:before="120" w:after="120"/>
        <w:jc w:val="both"/>
        <w:rPr>
          <w:noProof/>
        </w:rPr>
      </w:pPr>
      <w:r>
        <w:rPr>
          <w:noProof/>
        </w:rPr>
        <w:t>Druga namestitev (podpora za posojila):</w:t>
      </w:r>
    </w:p>
    <w:tbl>
      <w:tblPr>
        <w:tblW w:w="10096" w:type="dxa"/>
        <w:tblInd w:w="113" w:type="dxa"/>
        <w:tblLook w:val="04A0" w:firstRow="1" w:lastRow="0" w:firstColumn="1" w:lastColumn="0" w:noHBand="0" w:noVBand="1"/>
      </w:tblPr>
      <w:tblGrid>
        <w:gridCol w:w="1413"/>
        <w:gridCol w:w="3195"/>
        <w:gridCol w:w="1453"/>
        <w:gridCol w:w="4035"/>
      </w:tblGrid>
      <w:tr w:rsidR="00154E32" w14:paraId="2B67401A" w14:textId="77777777">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B82C480" w14:textId="77777777" w:rsidR="00154E32" w:rsidRDefault="00A43E04">
            <w:pPr>
              <w:pStyle w:val="P68B1DB1-Normal45"/>
              <w:jc w:val="center"/>
              <w:rPr>
                <w:noProof/>
              </w:rPr>
            </w:pPr>
            <w:r>
              <w:rPr>
                <w:noProof/>
              </w:rPr>
              <w:t>Zaporedna številka</w:t>
            </w:r>
          </w:p>
        </w:tc>
        <w:tc>
          <w:tcPr>
            <w:tcW w:w="31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2B941D0" w14:textId="77777777" w:rsidR="00154E32" w:rsidRDefault="00A43E04">
            <w:pPr>
              <w:pStyle w:val="P68B1DB1-Normal45"/>
              <w:jc w:val="center"/>
              <w:rPr>
                <w:noProof/>
              </w:rPr>
            </w:pPr>
            <w:r>
              <w:rPr>
                <w:noProof/>
              </w:rPr>
              <w:t>Povezani ukrep (reforma ali naložba)</w:t>
            </w:r>
          </w:p>
        </w:tc>
        <w:tc>
          <w:tcPr>
            <w:tcW w:w="145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81E7DD6" w14:textId="77777777" w:rsidR="00154E32" w:rsidRDefault="00A43E04">
            <w:pPr>
              <w:pStyle w:val="P68B1DB1-Normal45"/>
              <w:jc w:val="center"/>
              <w:rPr>
                <w:noProof/>
              </w:rPr>
            </w:pPr>
            <w:r>
              <w:rPr>
                <w:noProof/>
              </w:rPr>
              <w:t>Mejnik/cilj</w:t>
            </w:r>
          </w:p>
        </w:tc>
        <w:tc>
          <w:tcPr>
            <w:tcW w:w="403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4CE5A33" w14:textId="77777777" w:rsidR="00154E32" w:rsidRDefault="00A43E04">
            <w:pPr>
              <w:pStyle w:val="P68B1DB1-Normal45"/>
              <w:jc w:val="center"/>
              <w:rPr>
                <w:noProof/>
              </w:rPr>
            </w:pPr>
            <w:r>
              <w:rPr>
                <w:noProof/>
              </w:rPr>
              <w:t>Ime</w:t>
            </w:r>
          </w:p>
        </w:tc>
      </w:tr>
      <w:tr w:rsidR="00154E32" w14:paraId="7BD35D9E" w14:textId="77777777">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312FCBD" w14:textId="77777777" w:rsidR="00154E32" w:rsidRDefault="00154E32">
            <w:pPr>
              <w:rPr>
                <w:b/>
                <w:noProof/>
              </w:rPr>
            </w:pP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7A76A996" w14:textId="77777777" w:rsidR="00154E32" w:rsidRDefault="00154E32">
            <w:pPr>
              <w:rPr>
                <w:b/>
                <w:noProof/>
              </w:rPr>
            </w:pPr>
          </w:p>
        </w:tc>
        <w:tc>
          <w:tcPr>
            <w:tcW w:w="1453" w:type="dxa"/>
            <w:vMerge/>
            <w:tcBorders>
              <w:top w:val="single" w:sz="4" w:space="0" w:color="auto"/>
              <w:left w:val="single" w:sz="4" w:space="0" w:color="auto"/>
              <w:bottom w:val="single" w:sz="4" w:space="0" w:color="auto"/>
              <w:right w:val="single" w:sz="4" w:space="0" w:color="auto"/>
            </w:tcBorders>
            <w:vAlign w:val="center"/>
            <w:hideMark/>
          </w:tcPr>
          <w:p w14:paraId="3554D1E9" w14:textId="77777777" w:rsidR="00154E32" w:rsidRDefault="00154E32">
            <w:pPr>
              <w:rPr>
                <w:b/>
                <w:noProof/>
              </w:rPr>
            </w:pPr>
          </w:p>
        </w:tc>
        <w:tc>
          <w:tcPr>
            <w:tcW w:w="4035" w:type="dxa"/>
            <w:vMerge/>
            <w:tcBorders>
              <w:top w:val="single" w:sz="4" w:space="0" w:color="auto"/>
              <w:left w:val="single" w:sz="4" w:space="0" w:color="auto"/>
              <w:bottom w:val="single" w:sz="4" w:space="0" w:color="auto"/>
              <w:right w:val="single" w:sz="4" w:space="0" w:color="auto"/>
            </w:tcBorders>
            <w:vAlign w:val="center"/>
            <w:hideMark/>
          </w:tcPr>
          <w:p w14:paraId="12059936" w14:textId="77777777" w:rsidR="00154E32" w:rsidRDefault="00154E32">
            <w:pPr>
              <w:rPr>
                <w:b/>
                <w:noProof/>
              </w:rPr>
            </w:pPr>
          </w:p>
        </w:tc>
      </w:tr>
      <w:tr w:rsidR="00154E32" w14:paraId="3F51A568"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76BB6EA8" w14:textId="77777777" w:rsidR="00154E32" w:rsidRDefault="00A43E04">
            <w:pPr>
              <w:pStyle w:val="P68B1DB1-Normal12"/>
              <w:rPr>
                <w:noProof/>
              </w:rPr>
            </w:pPr>
            <w:r>
              <w:rPr>
                <w:noProof/>
              </w:rPr>
              <w:t>M1C2–28</w:t>
            </w:r>
          </w:p>
        </w:tc>
        <w:tc>
          <w:tcPr>
            <w:tcW w:w="3195" w:type="dxa"/>
            <w:tcBorders>
              <w:top w:val="single" w:sz="4" w:space="0" w:color="auto"/>
              <w:left w:val="nil"/>
              <w:bottom w:val="single" w:sz="4" w:space="0" w:color="auto"/>
              <w:right w:val="single" w:sz="4" w:space="0" w:color="auto"/>
            </w:tcBorders>
            <w:shd w:val="clear" w:color="auto" w:fill="C6EFCE"/>
            <w:noWrap/>
            <w:vAlign w:val="center"/>
          </w:tcPr>
          <w:p w14:paraId="0F911167" w14:textId="77777777" w:rsidR="00154E32" w:rsidRDefault="00A43E04">
            <w:pPr>
              <w:pStyle w:val="P68B1DB1-Normal12"/>
              <w:rPr>
                <w:noProof/>
              </w:rPr>
            </w:pPr>
            <w:r>
              <w:rPr>
                <w:noProof/>
              </w:rPr>
              <w:t>Naložba 5.2: Konkurenčnost in odpornost dobavnih verig</w:t>
            </w:r>
          </w:p>
        </w:tc>
        <w:tc>
          <w:tcPr>
            <w:tcW w:w="1453" w:type="dxa"/>
            <w:tcBorders>
              <w:top w:val="single" w:sz="4" w:space="0" w:color="auto"/>
              <w:left w:val="nil"/>
              <w:bottom w:val="single" w:sz="4" w:space="0" w:color="auto"/>
              <w:right w:val="single" w:sz="4" w:space="0" w:color="auto"/>
            </w:tcBorders>
            <w:shd w:val="clear" w:color="auto" w:fill="C6EFCE"/>
            <w:noWrap/>
            <w:vAlign w:val="center"/>
          </w:tcPr>
          <w:p w14:paraId="4B556553" w14:textId="77777777" w:rsidR="00154E32" w:rsidRDefault="00A43E04">
            <w:pPr>
              <w:pStyle w:val="P68B1DB1-Normal12"/>
              <w:rPr>
                <w:noProof/>
              </w:rPr>
            </w:pPr>
            <w:r>
              <w:rPr>
                <w:noProof/>
              </w:rPr>
              <w:t>Mejnik</w:t>
            </w:r>
          </w:p>
        </w:tc>
        <w:tc>
          <w:tcPr>
            <w:tcW w:w="4035" w:type="dxa"/>
            <w:tcBorders>
              <w:top w:val="single" w:sz="4" w:space="0" w:color="auto"/>
              <w:left w:val="nil"/>
              <w:bottom w:val="single" w:sz="4" w:space="0" w:color="auto"/>
              <w:right w:val="single" w:sz="4" w:space="0" w:color="auto"/>
            </w:tcBorders>
            <w:shd w:val="clear" w:color="auto" w:fill="C6EFCE"/>
            <w:noWrap/>
            <w:vAlign w:val="center"/>
          </w:tcPr>
          <w:p w14:paraId="261CF0E1" w14:textId="77777777" w:rsidR="00154E32" w:rsidRDefault="00A43E04">
            <w:pPr>
              <w:pStyle w:val="P68B1DB1-Normal12"/>
              <w:jc w:val="center"/>
              <w:rPr>
                <w:noProof/>
              </w:rPr>
            </w:pPr>
            <w:r>
              <w:rPr>
                <w:noProof/>
              </w:rPr>
              <w:t>Začetek veljavnosti odloka, ki vključuje naložbeno politiko pogodb o razvoju</w:t>
            </w:r>
          </w:p>
        </w:tc>
      </w:tr>
      <w:tr w:rsidR="00154E32" w14:paraId="569A963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A434D11" w14:textId="77777777" w:rsidR="00154E32" w:rsidRDefault="00A43E04">
            <w:pPr>
              <w:pStyle w:val="P68B1DB1-Normal12"/>
              <w:rPr>
                <w:noProof/>
              </w:rPr>
            </w:pPr>
            <w:r>
              <w:rPr>
                <w:noProof/>
              </w:rPr>
              <w:t>M2C4–27</w:t>
            </w:r>
          </w:p>
        </w:tc>
        <w:tc>
          <w:tcPr>
            <w:tcW w:w="3195" w:type="dxa"/>
            <w:tcBorders>
              <w:top w:val="nil"/>
              <w:left w:val="nil"/>
              <w:bottom w:val="single" w:sz="4" w:space="0" w:color="auto"/>
              <w:right w:val="single" w:sz="4" w:space="0" w:color="auto"/>
            </w:tcBorders>
            <w:shd w:val="clear" w:color="auto" w:fill="C6EFCE"/>
            <w:noWrap/>
            <w:vAlign w:val="center"/>
          </w:tcPr>
          <w:p w14:paraId="42F04730" w14:textId="77777777" w:rsidR="00154E32" w:rsidRDefault="00A43E04">
            <w:pPr>
              <w:pStyle w:val="P68B1DB1-Normal12"/>
              <w:rPr>
                <w:noProof/>
              </w:rPr>
            </w:pPr>
            <w:r>
              <w:rPr>
                <w:noProof/>
              </w:rPr>
              <w:t>Reforma 4.1. Poenostavitev zakonodaje in krepitev upravljanja za izvajanje naložb v infrastrukturo za oskrbo z vodo</w:t>
            </w:r>
          </w:p>
        </w:tc>
        <w:tc>
          <w:tcPr>
            <w:tcW w:w="1453" w:type="dxa"/>
            <w:tcBorders>
              <w:top w:val="nil"/>
              <w:left w:val="nil"/>
              <w:bottom w:val="single" w:sz="4" w:space="0" w:color="auto"/>
              <w:right w:val="single" w:sz="4" w:space="0" w:color="auto"/>
            </w:tcBorders>
            <w:shd w:val="clear" w:color="auto" w:fill="C6EFCE"/>
            <w:noWrap/>
            <w:vAlign w:val="center"/>
          </w:tcPr>
          <w:p w14:paraId="16E7D741"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573991C8" w14:textId="77777777" w:rsidR="00154E32" w:rsidRDefault="00A43E04">
            <w:pPr>
              <w:pStyle w:val="P68B1DB1-Normal12"/>
              <w:jc w:val="center"/>
              <w:rPr>
                <w:noProof/>
              </w:rPr>
            </w:pPr>
            <w:r>
              <w:rPr>
                <w:noProof/>
              </w:rPr>
              <w:t xml:space="preserve">Začetek veljavnosti poenostavitve zakonodaje za posege v primarno vodno infrastrukturo za zanesljivost oskrbe z vodo </w:t>
            </w:r>
          </w:p>
        </w:tc>
      </w:tr>
      <w:tr w:rsidR="00154E32" w14:paraId="1860723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380F5A0" w14:textId="77777777" w:rsidR="00154E32" w:rsidRDefault="00A43E04">
            <w:pPr>
              <w:pStyle w:val="P68B1DB1-Normal12"/>
              <w:rPr>
                <w:noProof/>
              </w:rPr>
            </w:pPr>
            <w:r>
              <w:rPr>
                <w:noProof/>
              </w:rPr>
              <w:t>M5C2–11</w:t>
            </w:r>
          </w:p>
        </w:tc>
        <w:tc>
          <w:tcPr>
            <w:tcW w:w="3195" w:type="dxa"/>
            <w:tcBorders>
              <w:top w:val="nil"/>
              <w:left w:val="nil"/>
              <w:bottom w:val="single" w:sz="4" w:space="0" w:color="auto"/>
              <w:right w:val="single" w:sz="4" w:space="0" w:color="auto"/>
            </w:tcBorders>
            <w:shd w:val="clear" w:color="auto" w:fill="C6EFCE"/>
            <w:noWrap/>
            <w:vAlign w:val="center"/>
          </w:tcPr>
          <w:p w14:paraId="055BBF77" w14:textId="77777777" w:rsidR="00154E32" w:rsidRDefault="00A43E04">
            <w:pPr>
              <w:pStyle w:val="P68B1DB1-Normal12"/>
              <w:rPr>
                <w:noProof/>
              </w:rPr>
            </w:pPr>
            <w:r>
              <w:rPr>
                <w:noProof/>
              </w:rPr>
              <w:t>Naložba 4 – Naložbe v projekte oživljanja mest, katerih cilj je zmanjšati marginalizacijo in družbeno degradacijo</w:t>
            </w:r>
          </w:p>
        </w:tc>
        <w:tc>
          <w:tcPr>
            <w:tcW w:w="1453" w:type="dxa"/>
            <w:tcBorders>
              <w:top w:val="nil"/>
              <w:left w:val="nil"/>
              <w:bottom w:val="single" w:sz="4" w:space="0" w:color="auto"/>
              <w:right w:val="single" w:sz="4" w:space="0" w:color="auto"/>
            </w:tcBorders>
            <w:shd w:val="clear" w:color="auto" w:fill="C6EFCE"/>
            <w:noWrap/>
            <w:vAlign w:val="center"/>
          </w:tcPr>
          <w:p w14:paraId="2BCCDE85"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6D81672F" w14:textId="77777777" w:rsidR="00154E32" w:rsidRDefault="00A43E04">
            <w:pPr>
              <w:pStyle w:val="P68B1DB1-Normal12"/>
              <w:jc w:val="center"/>
              <w:rPr>
                <w:noProof/>
              </w:rPr>
            </w:pPr>
            <w:r>
              <w:rPr>
                <w:noProof/>
              </w:rPr>
              <w:t>Oddaja vseh javnih naročil za naložbe v oživljanje mest za zmanjšanje marginalizacije in družbene degradacije s projekti v skladu s cilji mehanizma za okrevanje in odpornost, vključno z načelom, da se ne škoduje bistveno</w:t>
            </w:r>
          </w:p>
        </w:tc>
      </w:tr>
      <w:tr w:rsidR="00154E32" w14:paraId="71D6532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70B1A86" w14:textId="77777777" w:rsidR="00154E32" w:rsidRDefault="00A43E04">
            <w:pPr>
              <w:pStyle w:val="P68B1DB1-Normal12"/>
              <w:rPr>
                <w:noProof/>
              </w:rPr>
            </w:pPr>
            <w:r>
              <w:rPr>
                <w:noProof/>
              </w:rPr>
              <w:t>M5C2–15</w:t>
            </w:r>
          </w:p>
        </w:tc>
        <w:tc>
          <w:tcPr>
            <w:tcW w:w="3195" w:type="dxa"/>
            <w:tcBorders>
              <w:top w:val="nil"/>
              <w:left w:val="nil"/>
              <w:bottom w:val="single" w:sz="4" w:space="0" w:color="auto"/>
              <w:right w:val="single" w:sz="4" w:space="0" w:color="auto"/>
            </w:tcBorders>
            <w:shd w:val="clear" w:color="auto" w:fill="C6EFCE"/>
            <w:noWrap/>
            <w:vAlign w:val="center"/>
          </w:tcPr>
          <w:p w14:paraId="10055F66" w14:textId="77777777" w:rsidR="00154E32" w:rsidRDefault="00A43E04">
            <w:pPr>
              <w:pStyle w:val="P68B1DB1-Normal12"/>
              <w:rPr>
                <w:noProof/>
              </w:rPr>
            </w:pPr>
            <w:r>
              <w:rPr>
                <w:noProof/>
              </w:rPr>
              <w:t>Naložba 5 – Celostni urbani načrti – Premagovanje nezakonitih naselbin za boj proti izkoriščanju delovne sile v kmetijstvu</w:t>
            </w:r>
          </w:p>
        </w:tc>
        <w:tc>
          <w:tcPr>
            <w:tcW w:w="1453" w:type="dxa"/>
            <w:tcBorders>
              <w:top w:val="nil"/>
              <w:left w:val="nil"/>
              <w:bottom w:val="single" w:sz="4" w:space="0" w:color="auto"/>
              <w:right w:val="single" w:sz="4" w:space="0" w:color="auto"/>
            </w:tcBorders>
            <w:shd w:val="clear" w:color="auto" w:fill="C6EFCE"/>
            <w:noWrap/>
            <w:vAlign w:val="center"/>
          </w:tcPr>
          <w:p w14:paraId="392981EE"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086A51F2" w14:textId="77777777" w:rsidR="00154E32" w:rsidRDefault="00A43E04">
            <w:pPr>
              <w:pStyle w:val="P68B1DB1-Normal12"/>
              <w:jc w:val="center"/>
              <w:rPr>
                <w:noProof/>
              </w:rPr>
            </w:pPr>
            <w:r>
              <w:rPr>
                <w:noProof/>
              </w:rPr>
              <w:t>Začetek veljavnosti ministrskega odloka o opredelitvi nezakonitih naselbin je bil sprejet s „Tavolo di contrao allo sfruttamento lavorativo in agricoltura“, ministrska uredba o dodelitvi sredstev pa je sprejeta.</w:t>
            </w:r>
          </w:p>
        </w:tc>
      </w:tr>
      <w:tr w:rsidR="00154E32" w14:paraId="46A8391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640FFBF" w14:textId="77777777" w:rsidR="00154E32" w:rsidRDefault="00A43E04">
            <w:pPr>
              <w:pStyle w:val="P68B1DB1-Normal12"/>
              <w:rPr>
                <w:noProof/>
              </w:rPr>
            </w:pPr>
            <w:r>
              <w:rPr>
                <w:noProof/>
              </w:rPr>
              <w:t>M5C2–19</w:t>
            </w:r>
          </w:p>
        </w:tc>
        <w:tc>
          <w:tcPr>
            <w:tcW w:w="3195" w:type="dxa"/>
            <w:tcBorders>
              <w:top w:val="nil"/>
              <w:left w:val="nil"/>
              <w:bottom w:val="single" w:sz="4" w:space="0" w:color="auto"/>
              <w:right w:val="single" w:sz="4" w:space="0" w:color="auto"/>
            </w:tcBorders>
            <w:shd w:val="clear" w:color="auto" w:fill="C6EFCE"/>
            <w:noWrap/>
            <w:vAlign w:val="center"/>
          </w:tcPr>
          <w:p w14:paraId="46A01089" w14:textId="77777777" w:rsidR="00154E32" w:rsidRDefault="00A43E04">
            <w:pPr>
              <w:pStyle w:val="P68B1DB1-Normal12"/>
              <w:rPr>
                <w:noProof/>
              </w:rPr>
            </w:pPr>
            <w:r>
              <w:rPr>
                <w:noProof/>
              </w:rPr>
              <w:t>Naložba 6 – Inovacijski program za kakovost stanovanj</w:t>
            </w:r>
          </w:p>
        </w:tc>
        <w:tc>
          <w:tcPr>
            <w:tcW w:w="1453" w:type="dxa"/>
            <w:tcBorders>
              <w:top w:val="nil"/>
              <w:left w:val="nil"/>
              <w:bottom w:val="single" w:sz="4" w:space="0" w:color="auto"/>
              <w:right w:val="single" w:sz="4" w:space="0" w:color="auto"/>
            </w:tcBorders>
            <w:shd w:val="clear" w:color="auto" w:fill="C6EFCE"/>
            <w:noWrap/>
            <w:vAlign w:val="center"/>
          </w:tcPr>
          <w:p w14:paraId="05A742EC"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7CBF0177" w14:textId="77777777" w:rsidR="00154E32" w:rsidRDefault="00A43E04">
            <w:pPr>
              <w:pStyle w:val="P68B1DB1-Normal12"/>
              <w:jc w:val="center"/>
              <w:rPr>
                <w:noProof/>
              </w:rPr>
            </w:pPr>
            <w:r>
              <w:rPr>
                <w:noProof/>
              </w:rPr>
              <w:t>Regije in avtonomne pokrajine (vključno z občinami in/ali metropolitanskimi mesti na teh ozemljih) so podpisale sporazume o ponovnem razvoju in povečanju socialnih stanovanj</w:t>
            </w:r>
          </w:p>
        </w:tc>
      </w:tr>
      <w:tr w:rsidR="00154E32" w14:paraId="6E1B6C7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EA3727D" w14:textId="77777777" w:rsidR="00154E32" w:rsidRDefault="00A43E04">
            <w:pPr>
              <w:pStyle w:val="P68B1DB1-Normal12"/>
              <w:rPr>
                <w:noProof/>
              </w:rPr>
            </w:pPr>
            <w:r>
              <w:rPr>
                <w:noProof/>
              </w:rPr>
              <w:t>M1C2–16</w:t>
            </w:r>
          </w:p>
        </w:tc>
        <w:tc>
          <w:tcPr>
            <w:tcW w:w="3195" w:type="dxa"/>
            <w:tcBorders>
              <w:top w:val="nil"/>
              <w:left w:val="nil"/>
              <w:bottom w:val="single" w:sz="4" w:space="0" w:color="auto"/>
              <w:right w:val="single" w:sz="4" w:space="0" w:color="auto"/>
            </w:tcBorders>
            <w:shd w:val="clear" w:color="auto" w:fill="C6EFCE"/>
            <w:noWrap/>
            <w:vAlign w:val="center"/>
          </w:tcPr>
          <w:p w14:paraId="1F6BE94C" w14:textId="77777777" w:rsidR="00154E32" w:rsidRDefault="00A43E04">
            <w:pPr>
              <w:pStyle w:val="P68B1DB1-Normal12"/>
              <w:rPr>
                <w:noProof/>
              </w:rPr>
            </w:pPr>
            <w:r>
              <w:rPr>
                <w:noProof/>
              </w:rPr>
              <w:t>Naložba 3: Hitre internetne povezave (Ultra-širokopasovne povezave in 5G)</w:t>
            </w:r>
          </w:p>
        </w:tc>
        <w:tc>
          <w:tcPr>
            <w:tcW w:w="1453" w:type="dxa"/>
            <w:tcBorders>
              <w:top w:val="nil"/>
              <w:left w:val="nil"/>
              <w:bottom w:val="single" w:sz="4" w:space="0" w:color="auto"/>
              <w:right w:val="single" w:sz="4" w:space="0" w:color="auto"/>
            </w:tcBorders>
            <w:shd w:val="clear" w:color="auto" w:fill="C6EFCE"/>
            <w:noWrap/>
            <w:vAlign w:val="center"/>
          </w:tcPr>
          <w:p w14:paraId="09E1D1D1"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373B0429" w14:textId="77777777" w:rsidR="00154E32" w:rsidRDefault="00A43E04">
            <w:pPr>
              <w:pStyle w:val="P68B1DB1-Normal12"/>
              <w:jc w:val="center"/>
              <w:rPr>
                <w:noProof/>
              </w:rPr>
            </w:pPr>
            <w:r>
              <w:rPr>
                <w:noProof/>
              </w:rPr>
              <w:t>Oddaja vseh javnih naročil za hitrejše projekte povezovanja</w:t>
            </w:r>
          </w:p>
        </w:tc>
      </w:tr>
      <w:tr w:rsidR="00154E32" w14:paraId="71D9E95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1BF2D5" w14:textId="77777777" w:rsidR="00154E32" w:rsidRDefault="00A43E04">
            <w:pPr>
              <w:pStyle w:val="P68B1DB1-Normal12"/>
              <w:rPr>
                <w:noProof/>
              </w:rPr>
            </w:pPr>
            <w:r>
              <w:rPr>
                <w:noProof/>
              </w:rPr>
              <w:t>M1C3–12</w:t>
            </w:r>
          </w:p>
        </w:tc>
        <w:tc>
          <w:tcPr>
            <w:tcW w:w="3195" w:type="dxa"/>
            <w:tcBorders>
              <w:top w:val="nil"/>
              <w:left w:val="nil"/>
              <w:bottom w:val="single" w:sz="4" w:space="0" w:color="auto"/>
              <w:right w:val="single" w:sz="4" w:space="0" w:color="auto"/>
            </w:tcBorders>
            <w:shd w:val="clear" w:color="auto" w:fill="C6EFCE"/>
            <w:noWrap/>
            <w:vAlign w:val="center"/>
          </w:tcPr>
          <w:p w14:paraId="243FAFD2" w14:textId="77777777" w:rsidR="00154E32" w:rsidRDefault="00A43E04">
            <w:pPr>
              <w:pStyle w:val="P68B1DB1-Normal12"/>
              <w:rPr>
                <w:noProof/>
              </w:rPr>
            </w:pPr>
            <w:r>
              <w:rPr>
                <w:noProof/>
              </w:rPr>
              <w:t>Naložba 2.1 – Privlačnost majhnega zgodovinskega mesta</w:t>
            </w:r>
          </w:p>
        </w:tc>
        <w:tc>
          <w:tcPr>
            <w:tcW w:w="1453" w:type="dxa"/>
            <w:tcBorders>
              <w:top w:val="nil"/>
              <w:left w:val="nil"/>
              <w:bottom w:val="single" w:sz="4" w:space="0" w:color="auto"/>
              <w:right w:val="single" w:sz="4" w:space="0" w:color="auto"/>
            </w:tcBorders>
            <w:shd w:val="clear" w:color="auto" w:fill="C6EFCE"/>
            <w:noWrap/>
            <w:vAlign w:val="center"/>
          </w:tcPr>
          <w:p w14:paraId="3A48C7FB"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152CC6F9" w14:textId="77777777" w:rsidR="00154E32" w:rsidRDefault="00A43E04">
            <w:pPr>
              <w:pStyle w:val="P68B1DB1-Normal12"/>
              <w:jc w:val="center"/>
              <w:rPr>
                <w:noProof/>
              </w:rPr>
            </w:pPr>
            <w:r>
              <w:rPr>
                <w:noProof/>
              </w:rPr>
              <w:t xml:space="preserve">Začetek veljavnosti odloka ministrstva za kulturo o dodelitvi sredstev občinam za privlačnost majhnih zgodovinskih mest  </w:t>
            </w:r>
          </w:p>
        </w:tc>
      </w:tr>
      <w:tr w:rsidR="00154E32" w14:paraId="6E9AB54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FD89E5E" w14:textId="77777777" w:rsidR="00154E32" w:rsidRDefault="00A43E04">
            <w:pPr>
              <w:pStyle w:val="P68B1DB1-Normal12"/>
              <w:rPr>
                <w:noProof/>
              </w:rPr>
            </w:pPr>
            <w:r>
              <w:rPr>
                <w:noProof/>
              </w:rPr>
              <w:t>M1C3–13</w:t>
            </w:r>
          </w:p>
        </w:tc>
        <w:tc>
          <w:tcPr>
            <w:tcW w:w="3195" w:type="dxa"/>
            <w:tcBorders>
              <w:top w:val="nil"/>
              <w:left w:val="nil"/>
              <w:bottom w:val="single" w:sz="4" w:space="0" w:color="auto"/>
              <w:right w:val="single" w:sz="4" w:space="0" w:color="auto"/>
            </w:tcBorders>
            <w:shd w:val="clear" w:color="auto" w:fill="C6EFCE"/>
            <w:noWrap/>
            <w:vAlign w:val="center"/>
          </w:tcPr>
          <w:p w14:paraId="4440632D" w14:textId="77777777" w:rsidR="00154E32" w:rsidRDefault="00A43E04">
            <w:pPr>
              <w:pStyle w:val="P68B1DB1-Normal12"/>
              <w:rPr>
                <w:noProof/>
              </w:rPr>
            </w:pPr>
            <w:r>
              <w:rPr>
                <w:noProof/>
              </w:rPr>
              <w:t>Naložba 2.2 – Zaščita in izboljšanje podeželske arhitekture in krajine</w:t>
            </w:r>
          </w:p>
        </w:tc>
        <w:tc>
          <w:tcPr>
            <w:tcW w:w="1453" w:type="dxa"/>
            <w:tcBorders>
              <w:top w:val="nil"/>
              <w:left w:val="nil"/>
              <w:bottom w:val="single" w:sz="4" w:space="0" w:color="auto"/>
              <w:right w:val="single" w:sz="4" w:space="0" w:color="auto"/>
            </w:tcBorders>
            <w:shd w:val="clear" w:color="auto" w:fill="C6EFCE"/>
            <w:noWrap/>
            <w:vAlign w:val="center"/>
          </w:tcPr>
          <w:p w14:paraId="752985D1"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54FFA646" w14:textId="77777777" w:rsidR="00154E32" w:rsidRDefault="00A43E04">
            <w:pPr>
              <w:pStyle w:val="P68B1DB1-Normal12"/>
              <w:jc w:val="center"/>
              <w:rPr>
                <w:noProof/>
              </w:rPr>
            </w:pPr>
            <w:r>
              <w:rPr>
                <w:noProof/>
              </w:rPr>
              <w:t xml:space="preserve">Začetek veljavnosti odloka ministrstva za kulturo o dodelitvi sredstev: za zaščito in krepitev podeželske arhitekture in krajine </w:t>
            </w:r>
          </w:p>
        </w:tc>
      </w:tr>
      <w:tr w:rsidR="00154E32" w14:paraId="33478FD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02A3E10" w14:textId="77777777" w:rsidR="00154E32" w:rsidRDefault="00A43E04">
            <w:pPr>
              <w:pStyle w:val="P68B1DB1-Normal12"/>
              <w:rPr>
                <w:noProof/>
              </w:rPr>
            </w:pPr>
            <w:r>
              <w:rPr>
                <w:noProof/>
              </w:rPr>
              <w:t>M1C3–14</w:t>
            </w:r>
          </w:p>
        </w:tc>
        <w:tc>
          <w:tcPr>
            <w:tcW w:w="3195" w:type="dxa"/>
            <w:tcBorders>
              <w:top w:val="nil"/>
              <w:left w:val="nil"/>
              <w:bottom w:val="single" w:sz="4" w:space="0" w:color="auto"/>
              <w:right w:val="single" w:sz="4" w:space="0" w:color="auto"/>
            </w:tcBorders>
            <w:shd w:val="clear" w:color="auto" w:fill="C6EFCE"/>
            <w:noWrap/>
            <w:vAlign w:val="center"/>
          </w:tcPr>
          <w:p w14:paraId="2F9BC5A7" w14:textId="77777777" w:rsidR="00154E32" w:rsidRDefault="00A43E04">
            <w:pPr>
              <w:pStyle w:val="P68B1DB1-Normal12"/>
              <w:rPr>
                <w:noProof/>
              </w:rPr>
            </w:pPr>
            <w:r>
              <w:rPr>
                <w:noProof/>
              </w:rPr>
              <w:t>Naložba 2.3 – Programi za izboljšanje identitete krajev, parkov in zgodovinskih vrtov</w:t>
            </w:r>
          </w:p>
        </w:tc>
        <w:tc>
          <w:tcPr>
            <w:tcW w:w="1453" w:type="dxa"/>
            <w:tcBorders>
              <w:top w:val="nil"/>
              <w:left w:val="nil"/>
              <w:bottom w:val="single" w:sz="4" w:space="0" w:color="auto"/>
              <w:right w:val="single" w:sz="4" w:space="0" w:color="auto"/>
            </w:tcBorders>
            <w:shd w:val="clear" w:color="auto" w:fill="C6EFCE"/>
            <w:noWrap/>
            <w:vAlign w:val="center"/>
          </w:tcPr>
          <w:p w14:paraId="05FA6958"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72A807FE" w14:textId="77777777" w:rsidR="00154E32" w:rsidRDefault="00A43E04">
            <w:pPr>
              <w:pStyle w:val="P68B1DB1-Normal12"/>
              <w:jc w:val="center"/>
              <w:rPr>
                <w:noProof/>
              </w:rPr>
            </w:pPr>
            <w:r>
              <w:rPr>
                <w:noProof/>
              </w:rPr>
              <w:t xml:space="preserve">Začetek veljavnosti odloka ministrstva za kulturo o dodelitvi sredstev: za projekte za izboljšanje identitete krajev, parkov in zgodovinskih vrtov </w:t>
            </w:r>
          </w:p>
        </w:tc>
      </w:tr>
      <w:tr w:rsidR="00154E32" w14:paraId="3DD5FA7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B66DD09" w14:textId="77777777" w:rsidR="00154E32" w:rsidRDefault="00A43E04">
            <w:pPr>
              <w:pStyle w:val="P68B1DB1-Normal12"/>
              <w:rPr>
                <w:noProof/>
              </w:rPr>
            </w:pPr>
            <w:r>
              <w:rPr>
                <w:noProof/>
              </w:rPr>
              <w:t>M1C3–15</w:t>
            </w:r>
          </w:p>
        </w:tc>
        <w:tc>
          <w:tcPr>
            <w:tcW w:w="3195" w:type="dxa"/>
            <w:tcBorders>
              <w:top w:val="nil"/>
              <w:left w:val="nil"/>
              <w:bottom w:val="single" w:sz="4" w:space="0" w:color="auto"/>
              <w:right w:val="single" w:sz="4" w:space="0" w:color="auto"/>
            </w:tcBorders>
            <w:shd w:val="clear" w:color="auto" w:fill="C6EFCE"/>
            <w:noWrap/>
            <w:vAlign w:val="center"/>
          </w:tcPr>
          <w:p w14:paraId="143A949D" w14:textId="77777777" w:rsidR="00154E32" w:rsidRDefault="00A43E04">
            <w:pPr>
              <w:pStyle w:val="P68B1DB1-Normal12"/>
              <w:rPr>
                <w:noProof/>
              </w:rPr>
            </w:pPr>
            <w:r>
              <w:rPr>
                <w:noProof/>
              </w:rPr>
              <w:t>Naložba 2.4 – Seizmična varnost verskih objektov, obnova dediščine FEC in zavetišč za umetniška dela</w:t>
            </w:r>
          </w:p>
        </w:tc>
        <w:tc>
          <w:tcPr>
            <w:tcW w:w="1453" w:type="dxa"/>
            <w:tcBorders>
              <w:top w:val="nil"/>
              <w:left w:val="nil"/>
              <w:bottom w:val="single" w:sz="4" w:space="0" w:color="auto"/>
              <w:right w:val="single" w:sz="4" w:space="0" w:color="auto"/>
            </w:tcBorders>
            <w:shd w:val="clear" w:color="auto" w:fill="C6EFCE"/>
            <w:noWrap/>
            <w:vAlign w:val="center"/>
          </w:tcPr>
          <w:p w14:paraId="2664058E"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6635ED1A" w14:textId="77777777" w:rsidR="00154E32" w:rsidRDefault="00A43E04">
            <w:pPr>
              <w:pStyle w:val="P68B1DB1-Normal12"/>
              <w:jc w:val="center"/>
              <w:rPr>
                <w:noProof/>
              </w:rPr>
            </w:pPr>
            <w:r>
              <w:rPr>
                <w:noProof/>
              </w:rPr>
              <w:t xml:space="preserve">Začetek veljavnosti odloka ministrstva za kulturo o dodelitvi sredstev: za seizmično varnost namesto verskih obredov in obnovo kulturne dediščine (Fondo Edifici di Culto) </w:t>
            </w:r>
          </w:p>
        </w:tc>
      </w:tr>
      <w:tr w:rsidR="00154E32" w14:paraId="27EFF9E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4F5FF38" w14:textId="77777777" w:rsidR="00154E32" w:rsidRDefault="00A43E04">
            <w:pPr>
              <w:pStyle w:val="P68B1DB1-Normal12"/>
              <w:rPr>
                <w:noProof/>
              </w:rPr>
            </w:pPr>
            <w:r>
              <w:rPr>
                <w:noProof/>
              </w:rPr>
              <w:t>M1C3–35</w:t>
            </w:r>
          </w:p>
        </w:tc>
        <w:tc>
          <w:tcPr>
            <w:tcW w:w="3195" w:type="dxa"/>
            <w:tcBorders>
              <w:top w:val="nil"/>
              <w:left w:val="nil"/>
              <w:bottom w:val="single" w:sz="4" w:space="0" w:color="auto"/>
              <w:right w:val="single" w:sz="4" w:space="0" w:color="auto"/>
            </w:tcBorders>
            <w:shd w:val="clear" w:color="auto" w:fill="C6EFCE"/>
            <w:noWrap/>
            <w:vAlign w:val="center"/>
          </w:tcPr>
          <w:p w14:paraId="7C4CE154" w14:textId="77777777" w:rsidR="00154E32" w:rsidRDefault="00A43E04">
            <w:pPr>
              <w:pStyle w:val="P68B1DB1-Normal12"/>
              <w:rPr>
                <w:noProof/>
              </w:rPr>
            </w:pPr>
            <w:r>
              <w:rPr>
                <w:noProof/>
              </w:rPr>
              <w:t>Naložbe – 4.3 Caput Mundi-Next Generation EU za turistične odlične dogodke</w:t>
            </w:r>
          </w:p>
        </w:tc>
        <w:tc>
          <w:tcPr>
            <w:tcW w:w="1453" w:type="dxa"/>
            <w:tcBorders>
              <w:top w:val="nil"/>
              <w:left w:val="nil"/>
              <w:bottom w:val="single" w:sz="4" w:space="0" w:color="auto"/>
              <w:right w:val="single" w:sz="4" w:space="0" w:color="auto"/>
            </w:tcBorders>
            <w:shd w:val="clear" w:color="auto" w:fill="C6EFCE"/>
            <w:noWrap/>
            <w:vAlign w:val="center"/>
          </w:tcPr>
          <w:p w14:paraId="2C6D597D"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7A0EE18E" w14:textId="77777777" w:rsidR="00154E32" w:rsidRDefault="00A43E04">
            <w:pPr>
              <w:pStyle w:val="P68B1DB1-Normal12"/>
              <w:jc w:val="center"/>
              <w:rPr>
                <w:noProof/>
              </w:rPr>
            </w:pPr>
            <w:r>
              <w:rPr>
                <w:noProof/>
              </w:rPr>
              <w:t>Podpis vsakega sporazuma za šest projektov med ministrstvom za turizem in upravičenci/izvajalskimi organi</w:t>
            </w:r>
          </w:p>
        </w:tc>
      </w:tr>
      <w:tr w:rsidR="00154E32" w14:paraId="30B9653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C53BDF5" w14:textId="77777777" w:rsidR="00154E32" w:rsidRDefault="00A43E04">
            <w:pPr>
              <w:pStyle w:val="P68B1DB1-Normal12"/>
              <w:rPr>
                <w:noProof/>
              </w:rPr>
            </w:pPr>
            <w:r>
              <w:rPr>
                <w:noProof/>
              </w:rPr>
              <w:t>M2C1–13</w:t>
            </w:r>
          </w:p>
        </w:tc>
        <w:tc>
          <w:tcPr>
            <w:tcW w:w="3195" w:type="dxa"/>
            <w:tcBorders>
              <w:top w:val="nil"/>
              <w:left w:val="nil"/>
              <w:bottom w:val="single" w:sz="4" w:space="0" w:color="auto"/>
              <w:right w:val="single" w:sz="4" w:space="0" w:color="auto"/>
            </w:tcBorders>
            <w:shd w:val="clear" w:color="auto" w:fill="C6EFCE"/>
            <w:noWrap/>
            <w:vAlign w:val="center"/>
          </w:tcPr>
          <w:p w14:paraId="73AB3711" w14:textId="77777777" w:rsidR="00154E32" w:rsidRDefault="00A43E04">
            <w:pPr>
              <w:pStyle w:val="P68B1DB1-Normal12"/>
              <w:rPr>
                <w:noProof/>
              </w:rPr>
            </w:pPr>
            <w:r>
              <w:rPr>
                <w:noProof/>
              </w:rPr>
              <w:t>Reforma 1.2 – Nacionalni program za ravnanje z odpadki</w:t>
            </w:r>
          </w:p>
        </w:tc>
        <w:tc>
          <w:tcPr>
            <w:tcW w:w="1453" w:type="dxa"/>
            <w:tcBorders>
              <w:top w:val="nil"/>
              <w:left w:val="nil"/>
              <w:bottom w:val="single" w:sz="4" w:space="0" w:color="auto"/>
              <w:right w:val="single" w:sz="4" w:space="0" w:color="auto"/>
            </w:tcBorders>
            <w:shd w:val="clear" w:color="auto" w:fill="C6EFCE"/>
            <w:noWrap/>
            <w:vAlign w:val="center"/>
          </w:tcPr>
          <w:p w14:paraId="0A6C89EE"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00F42198" w14:textId="77777777" w:rsidR="00154E32" w:rsidRDefault="00A43E04">
            <w:pPr>
              <w:pStyle w:val="P68B1DB1-Normal12"/>
              <w:jc w:val="center"/>
              <w:rPr>
                <w:noProof/>
              </w:rPr>
            </w:pPr>
            <w:r>
              <w:rPr>
                <w:noProof/>
              </w:rPr>
              <w:t>Začetek veljavnosti ministrske uredbe za nacionalni program ravnanja z odpadki</w:t>
            </w:r>
          </w:p>
        </w:tc>
      </w:tr>
      <w:tr w:rsidR="00154E32" w14:paraId="6266D11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36BB948" w14:textId="77777777" w:rsidR="00154E32" w:rsidRDefault="00A43E04">
            <w:pPr>
              <w:pStyle w:val="P68B1DB1-Normal12"/>
              <w:rPr>
                <w:noProof/>
              </w:rPr>
            </w:pPr>
            <w:r>
              <w:rPr>
                <w:noProof/>
              </w:rPr>
              <w:t>M2C2–52</w:t>
            </w:r>
          </w:p>
        </w:tc>
        <w:tc>
          <w:tcPr>
            <w:tcW w:w="3195" w:type="dxa"/>
            <w:tcBorders>
              <w:top w:val="nil"/>
              <w:left w:val="nil"/>
              <w:bottom w:val="single" w:sz="4" w:space="0" w:color="auto"/>
              <w:right w:val="single" w:sz="4" w:space="0" w:color="auto"/>
            </w:tcBorders>
            <w:shd w:val="clear" w:color="auto" w:fill="C6EFCE"/>
            <w:noWrap/>
            <w:vAlign w:val="center"/>
          </w:tcPr>
          <w:p w14:paraId="66AFD223" w14:textId="77777777" w:rsidR="00154E32" w:rsidRDefault="00A43E04">
            <w:pPr>
              <w:pStyle w:val="P68B1DB1-Normal12"/>
              <w:rPr>
                <w:noProof/>
              </w:rPr>
            </w:pPr>
            <w:r>
              <w:rPr>
                <w:noProof/>
              </w:rPr>
              <w:t>Naložba 5.2 Vodenje</w:t>
            </w:r>
          </w:p>
        </w:tc>
        <w:tc>
          <w:tcPr>
            <w:tcW w:w="1453" w:type="dxa"/>
            <w:tcBorders>
              <w:top w:val="nil"/>
              <w:left w:val="nil"/>
              <w:bottom w:val="single" w:sz="4" w:space="0" w:color="auto"/>
              <w:right w:val="single" w:sz="4" w:space="0" w:color="auto"/>
            </w:tcBorders>
            <w:shd w:val="clear" w:color="auto" w:fill="C6EFCE"/>
            <w:noWrap/>
            <w:vAlign w:val="center"/>
          </w:tcPr>
          <w:p w14:paraId="021D7C1C"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402EE728" w14:textId="77777777" w:rsidR="00154E32" w:rsidRDefault="00A43E04">
            <w:pPr>
              <w:pStyle w:val="P68B1DB1-Normal12"/>
              <w:jc w:val="center"/>
              <w:rPr>
                <w:noProof/>
              </w:rPr>
            </w:pPr>
            <w:r>
              <w:rPr>
                <w:noProof/>
              </w:rPr>
              <w:t>Proizvodnja elektrolizatorjev</w:t>
            </w:r>
          </w:p>
        </w:tc>
      </w:tr>
      <w:tr w:rsidR="00154E32" w14:paraId="0B8C71D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D700486" w14:textId="77777777" w:rsidR="00154E32" w:rsidRDefault="00A43E04">
            <w:pPr>
              <w:pStyle w:val="P68B1DB1-Normal12"/>
              <w:rPr>
                <w:noProof/>
              </w:rPr>
            </w:pPr>
            <w:r>
              <w:rPr>
                <w:noProof/>
              </w:rPr>
              <w:t>M4C2–11</w:t>
            </w:r>
          </w:p>
        </w:tc>
        <w:tc>
          <w:tcPr>
            <w:tcW w:w="3195" w:type="dxa"/>
            <w:tcBorders>
              <w:top w:val="nil"/>
              <w:left w:val="nil"/>
              <w:bottom w:val="single" w:sz="4" w:space="0" w:color="auto"/>
              <w:right w:val="single" w:sz="4" w:space="0" w:color="auto"/>
            </w:tcBorders>
            <w:shd w:val="clear" w:color="auto" w:fill="C6EFCE"/>
            <w:noWrap/>
            <w:vAlign w:val="center"/>
          </w:tcPr>
          <w:p w14:paraId="6D6A3FC0" w14:textId="77777777" w:rsidR="00154E32" w:rsidRDefault="00A43E04">
            <w:pPr>
              <w:pStyle w:val="P68B1DB1-Normal12"/>
              <w:rPr>
                <w:noProof/>
              </w:rPr>
            </w:pPr>
            <w:r>
              <w:rPr>
                <w:noProof/>
              </w:rPr>
              <w:t xml:space="preserve">Naložba 2.1: POMEMBNI PROJEKTI SKUPNEGA EVROPSKEGA INTERESA </w:t>
            </w:r>
          </w:p>
        </w:tc>
        <w:tc>
          <w:tcPr>
            <w:tcW w:w="1453" w:type="dxa"/>
            <w:tcBorders>
              <w:top w:val="nil"/>
              <w:left w:val="nil"/>
              <w:bottom w:val="single" w:sz="4" w:space="0" w:color="auto"/>
              <w:right w:val="single" w:sz="4" w:space="0" w:color="auto"/>
            </w:tcBorders>
            <w:shd w:val="clear" w:color="auto" w:fill="C6EFCE"/>
            <w:noWrap/>
            <w:vAlign w:val="center"/>
          </w:tcPr>
          <w:p w14:paraId="201C95FF" w14:textId="77777777" w:rsidR="00154E32" w:rsidRDefault="00A43E04">
            <w:pPr>
              <w:pStyle w:val="P68B1DB1-Normal12"/>
              <w:rPr>
                <w:noProof/>
              </w:rPr>
            </w:pPr>
            <w:r>
              <w:rPr>
                <w:noProof/>
              </w:rPr>
              <w:t xml:space="preserve">Mejnik </w:t>
            </w:r>
          </w:p>
        </w:tc>
        <w:tc>
          <w:tcPr>
            <w:tcW w:w="4035" w:type="dxa"/>
            <w:tcBorders>
              <w:top w:val="nil"/>
              <w:left w:val="nil"/>
              <w:bottom w:val="single" w:sz="4" w:space="0" w:color="auto"/>
              <w:right w:val="single" w:sz="4" w:space="0" w:color="auto"/>
            </w:tcBorders>
            <w:shd w:val="clear" w:color="auto" w:fill="C6EFCE"/>
            <w:noWrap/>
            <w:vAlign w:val="center"/>
          </w:tcPr>
          <w:p w14:paraId="03B32B30" w14:textId="77777777" w:rsidR="00154E32" w:rsidRDefault="00A43E04">
            <w:pPr>
              <w:pStyle w:val="P68B1DB1-Normal12"/>
              <w:jc w:val="center"/>
              <w:rPr>
                <w:noProof/>
              </w:rPr>
            </w:pPr>
            <w:r>
              <w:rPr>
                <w:noProof/>
              </w:rPr>
              <w:t>Začetek veljavnosti nacionalnega pravnega akta o dodelitvi potrebnih sredstev za zagotavljanje podpore udeležencem projekta.</w:t>
            </w:r>
          </w:p>
        </w:tc>
      </w:tr>
      <w:tr w:rsidR="00154E32" w14:paraId="2A18F05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5F8B8D9" w14:textId="77777777" w:rsidR="00154E32" w:rsidRDefault="00A43E04">
            <w:pPr>
              <w:pStyle w:val="P68B1DB1-Normal12"/>
              <w:rPr>
                <w:noProof/>
              </w:rPr>
            </w:pPr>
            <w:r>
              <w:rPr>
                <w:noProof/>
              </w:rPr>
              <w:t>M4C2–17</w:t>
            </w:r>
          </w:p>
        </w:tc>
        <w:tc>
          <w:tcPr>
            <w:tcW w:w="3195" w:type="dxa"/>
            <w:tcBorders>
              <w:top w:val="nil"/>
              <w:left w:val="nil"/>
              <w:bottom w:val="single" w:sz="4" w:space="0" w:color="auto"/>
              <w:right w:val="single" w:sz="4" w:space="0" w:color="auto"/>
            </w:tcBorders>
            <w:shd w:val="clear" w:color="auto" w:fill="C6EFCE"/>
            <w:noWrap/>
            <w:vAlign w:val="center"/>
          </w:tcPr>
          <w:p w14:paraId="51D831F3" w14:textId="77777777" w:rsidR="00154E32" w:rsidRDefault="00A43E04">
            <w:pPr>
              <w:pStyle w:val="P68B1DB1-Normal12"/>
              <w:rPr>
                <w:noProof/>
              </w:rPr>
            </w:pPr>
            <w:r>
              <w:rPr>
                <w:noProof/>
              </w:rPr>
              <w:t>Naložba 3.1: Sklad za izgradnjo integriranega sistema raziskovalnih in inovacijskih infrastruktur; Naložbe</w:t>
            </w:r>
          </w:p>
        </w:tc>
        <w:tc>
          <w:tcPr>
            <w:tcW w:w="1453" w:type="dxa"/>
            <w:tcBorders>
              <w:top w:val="nil"/>
              <w:left w:val="nil"/>
              <w:bottom w:val="single" w:sz="4" w:space="0" w:color="auto"/>
              <w:right w:val="single" w:sz="4" w:space="0" w:color="auto"/>
            </w:tcBorders>
            <w:shd w:val="clear" w:color="auto" w:fill="C6EFCE"/>
            <w:noWrap/>
            <w:vAlign w:val="center"/>
          </w:tcPr>
          <w:p w14:paraId="6E011E4D"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3BF466CF" w14:textId="77777777" w:rsidR="00154E32" w:rsidRDefault="00A43E04">
            <w:pPr>
              <w:pStyle w:val="P68B1DB1-Normal12"/>
              <w:jc w:val="center"/>
              <w:rPr>
                <w:noProof/>
              </w:rPr>
            </w:pPr>
            <w:r>
              <w:rPr>
                <w:noProof/>
              </w:rPr>
              <w:t>Oddaja naročil za projekte, ki se nanašajo na: a) integrirani sistem raziskovalnih in inovacijskih infrastruktur</w:t>
            </w:r>
          </w:p>
        </w:tc>
      </w:tr>
      <w:tr w:rsidR="00154E32" w14:paraId="3CE23F2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9C8E49E" w14:textId="77777777" w:rsidR="00154E32" w:rsidRDefault="00A43E04">
            <w:pPr>
              <w:pStyle w:val="P68B1DB1-Normal12"/>
              <w:rPr>
                <w:noProof/>
              </w:rPr>
            </w:pPr>
            <w:r>
              <w:rPr>
                <w:noProof/>
              </w:rPr>
              <w:t>M4C2–18</w:t>
            </w:r>
          </w:p>
        </w:tc>
        <w:tc>
          <w:tcPr>
            <w:tcW w:w="3195" w:type="dxa"/>
            <w:tcBorders>
              <w:top w:val="nil"/>
              <w:left w:val="nil"/>
              <w:bottom w:val="single" w:sz="4" w:space="0" w:color="auto"/>
              <w:right w:val="single" w:sz="4" w:space="0" w:color="auto"/>
            </w:tcBorders>
            <w:shd w:val="clear" w:color="auto" w:fill="C6EFCE"/>
            <w:noWrap/>
            <w:vAlign w:val="center"/>
          </w:tcPr>
          <w:p w14:paraId="4AF73EEA" w14:textId="77777777" w:rsidR="00154E32" w:rsidRDefault="00A43E04">
            <w:pPr>
              <w:pStyle w:val="P68B1DB1-Normal12"/>
              <w:rPr>
                <w:noProof/>
              </w:rPr>
            </w:pPr>
            <w:r>
              <w:rPr>
                <w:noProof/>
              </w:rPr>
              <w:t>Invesment1.5: Vzpostavitev in krepitev „inovacijskih ekosistemov za trajnostnost“ z oblikovanjem „ozemeljskih voditeljev raziskav in razvoja“</w:t>
            </w:r>
          </w:p>
        </w:tc>
        <w:tc>
          <w:tcPr>
            <w:tcW w:w="1453" w:type="dxa"/>
            <w:tcBorders>
              <w:top w:val="nil"/>
              <w:left w:val="nil"/>
              <w:bottom w:val="single" w:sz="4" w:space="0" w:color="auto"/>
              <w:right w:val="single" w:sz="4" w:space="0" w:color="auto"/>
            </w:tcBorders>
            <w:shd w:val="clear" w:color="auto" w:fill="C6EFCE"/>
            <w:noWrap/>
            <w:vAlign w:val="center"/>
          </w:tcPr>
          <w:p w14:paraId="0A3575B9"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3FF1DE19" w14:textId="77777777" w:rsidR="00154E32" w:rsidRDefault="00A43E04">
            <w:pPr>
              <w:pStyle w:val="P68B1DB1-Normal12"/>
              <w:jc w:val="center"/>
              <w:rPr>
                <w:noProof/>
              </w:rPr>
            </w:pPr>
            <w:r>
              <w:rPr>
                <w:noProof/>
              </w:rPr>
              <w:t>Oddaja naročil za projekte v zvezi z inovacijskimi ekosistemi;</w:t>
            </w:r>
          </w:p>
        </w:tc>
      </w:tr>
      <w:tr w:rsidR="00154E32" w14:paraId="6AA04E3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E9D5505" w14:textId="77777777" w:rsidR="00154E32" w:rsidRDefault="00A43E04">
            <w:pPr>
              <w:pStyle w:val="P68B1DB1-Normal12"/>
              <w:rPr>
                <w:noProof/>
              </w:rPr>
            </w:pPr>
            <w:r>
              <w:rPr>
                <w:noProof/>
              </w:rPr>
              <w:t>M4C2–19</w:t>
            </w:r>
          </w:p>
        </w:tc>
        <w:tc>
          <w:tcPr>
            <w:tcW w:w="3195" w:type="dxa"/>
            <w:tcBorders>
              <w:top w:val="nil"/>
              <w:left w:val="nil"/>
              <w:bottom w:val="single" w:sz="4" w:space="0" w:color="auto"/>
              <w:right w:val="single" w:sz="4" w:space="0" w:color="auto"/>
            </w:tcBorders>
            <w:shd w:val="clear" w:color="auto" w:fill="C6EFCE"/>
            <w:noWrap/>
            <w:vAlign w:val="center"/>
          </w:tcPr>
          <w:p w14:paraId="04D36DD9" w14:textId="77777777" w:rsidR="00154E32" w:rsidRDefault="00A43E04">
            <w:pPr>
              <w:pStyle w:val="P68B1DB1-Normal12"/>
              <w:rPr>
                <w:noProof/>
              </w:rPr>
            </w:pPr>
            <w:r>
              <w:rPr>
                <w:noProof/>
              </w:rPr>
              <w:t>Naložba 1.4: Krepitev raziskovalnih struktur in podpiranje oblikovanja „nacionalnih voditeljev na področju raziskav in razvoja“ na področju nekaterih ključnih omogočitvenih tehnologij</w:t>
            </w:r>
          </w:p>
        </w:tc>
        <w:tc>
          <w:tcPr>
            <w:tcW w:w="1453" w:type="dxa"/>
            <w:tcBorders>
              <w:top w:val="nil"/>
              <w:left w:val="nil"/>
              <w:bottom w:val="single" w:sz="4" w:space="0" w:color="auto"/>
              <w:right w:val="single" w:sz="4" w:space="0" w:color="auto"/>
            </w:tcBorders>
            <w:shd w:val="clear" w:color="auto" w:fill="C6EFCE"/>
            <w:noWrap/>
            <w:vAlign w:val="center"/>
          </w:tcPr>
          <w:p w14:paraId="3E29C6D1"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63BD277A" w14:textId="77777777" w:rsidR="00154E32" w:rsidRDefault="00A43E04">
            <w:pPr>
              <w:pStyle w:val="P68B1DB1-Normal12"/>
              <w:jc w:val="center"/>
              <w:rPr>
                <w:noProof/>
              </w:rPr>
            </w:pPr>
            <w:r>
              <w:rPr>
                <w:noProof/>
              </w:rPr>
              <w:t>Oddaja naročil za projekte v zvezi z nacionalnimi vodilnimi na področju raziskav in razvoja na področju ključnih omogočitvenih tehnologij</w:t>
            </w:r>
          </w:p>
        </w:tc>
      </w:tr>
      <w:tr w:rsidR="00154E32" w14:paraId="1CE328A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2E52DC2" w14:textId="77777777" w:rsidR="00154E32" w:rsidRDefault="00A43E04">
            <w:pPr>
              <w:pStyle w:val="P68B1DB1-Normal12"/>
              <w:rPr>
                <w:noProof/>
              </w:rPr>
            </w:pPr>
            <w:r>
              <w:rPr>
                <w:noProof/>
              </w:rPr>
              <w:t>M4C2–20</w:t>
            </w:r>
          </w:p>
        </w:tc>
        <w:tc>
          <w:tcPr>
            <w:tcW w:w="3195" w:type="dxa"/>
            <w:tcBorders>
              <w:top w:val="nil"/>
              <w:left w:val="nil"/>
              <w:bottom w:val="single" w:sz="4" w:space="0" w:color="auto"/>
              <w:right w:val="single" w:sz="4" w:space="0" w:color="auto"/>
            </w:tcBorders>
            <w:shd w:val="clear" w:color="auto" w:fill="C6EFCE"/>
            <w:noWrap/>
            <w:vAlign w:val="center"/>
          </w:tcPr>
          <w:p w14:paraId="4D193189" w14:textId="77777777" w:rsidR="00154E32" w:rsidRDefault="00A43E04">
            <w:pPr>
              <w:pStyle w:val="P68B1DB1-Normal12"/>
              <w:rPr>
                <w:noProof/>
              </w:rPr>
            </w:pPr>
            <w:r>
              <w:rPr>
                <w:noProof/>
              </w:rPr>
              <w:t>Naložba 3.2: Financiranje zagonskih podjetij</w:t>
            </w:r>
          </w:p>
        </w:tc>
        <w:tc>
          <w:tcPr>
            <w:tcW w:w="1453" w:type="dxa"/>
            <w:tcBorders>
              <w:top w:val="nil"/>
              <w:left w:val="nil"/>
              <w:bottom w:val="single" w:sz="4" w:space="0" w:color="auto"/>
              <w:right w:val="single" w:sz="4" w:space="0" w:color="auto"/>
            </w:tcBorders>
            <w:shd w:val="clear" w:color="auto" w:fill="C6EFCE"/>
            <w:noWrap/>
            <w:vAlign w:val="center"/>
          </w:tcPr>
          <w:p w14:paraId="5A8E283D"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1AAA9357" w14:textId="77777777" w:rsidR="00154E32" w:rsidRDefault="00A43E04">
            <w:pPr>
              <w:pStyle w:val="P68B1DB1-Normal12"/>
              <w:jc w:val="center"/>
              <w:rPr>
                <w:noProof/>
              </w:rPr>
            </w:pPr>
            <w:r>
              <w:rPr>
                <w:noProof/>
              </w:rPr>
              <w:t>Sporazum med vlado IT in izvajalskim partnerjem Cassa Depositi e Prestiti (CDP), ki vzpostavlja podpisan finančni instrument</w:t>
            </w:r>
          </w:p>
        </w:tc>
      </w:tr>
      <w:tr w:rsidR="00154E32" w14:paraId="05C7B9B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19B6369" w14:textId="77777777" w:rsidR="00154E32" w:rsidRDefault="00A43E04">
            <w:pPr>
              <w:pStyle w:val="P68B1DB1-Normal12"/>
              <w:rPr>
                <w:noProof/>
              </w:rPr>
            </w:pPr>
            <w:r>
              <w:rPr>
                <w:noProof/>
              </w:rPr>
              <w:t>M6C1–1</w:t>
            </w:r>
          </w:p>
        </w:tc>
        <w:tc>
          <w:tcPr>
            <w:tcW w:w="3195" w:type="dxa"/>
            <w:tcBorders>
              <w:top w:val="nil"/>
              <w:left w:val="nil"/>
              <w:bottom w:val="single" w:sz="4" w:space="0" w:color="auto"/>
              <w:right w:val="single" w:sz="4" w:space="0" w:color="auto"/>
            </w:tcBorders>
            <w:shd w:val="clear" w:color="auto" w:fill="C6EFCE"/>
            <w:noWrap/>
            <w:vAlign w:val="center"/>
          </w:tcPr>
          <w:p w14:paraId="51419DB1" w14:textId="77777777" w:rsidR="00154E32" w:rsidRDefault="00A43E04">
            <w:pPr>
              <w:pStyle w:val="P68B1DB1-Normal12"/>
              <w:rPr>
                <w:noProof/>
              </w:rPr>
            </w:pPr>
            <w:r>
              <w:rPr>
                <w:noProof/>
              </w:rPr>
              <w:t>Reforma 1:  Opredelitev novega organizacijskega modela za teritorialno mrežo zdravstvene pomoči</w:t>
            </w:r>
          </w:p>
        </w:tc>
        <w:tc>
          <w:tcPr>
            <w:tcW w:w="1453" w:type="dxa"/>
            <w:tcBorders>
              <w:top w:val="nil"/>
              <w:left w:val="nil"/>
              <w:bottom w:val="single" w:sz="4" w:space="0" w:color="auto"/>
              <w:right w:val="single" w:sz="4" w:space="0" w:color="auto"/>
            </w:tcBorders>
            <w:shd w:val="clear" w:color="auto" w:fill="C6EFCE"/>
            <w:noWrap/>
            <w:vAlign w:val="center"/>
          </w:tcPr>
          <w:p w14:paraId="5D4B7461"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32BC885A" w14:textId="77777777" w:rsidR="00154E32" w:rsidRDefault="00A43E04">
            <w:pPr>
              <w:pStyle w:val="P68B1DB1-Normal12"/>
              <w:jc w:val="center"/>
              <w:rPr>
                <w:noProof/>
              </w:rPr>
            </w:pPr>
            <w:r>
              <w:rPr>
                <w:noProof/>
              </w:rPr>
              <w:t>Začetek veljavnosti sekundarne zakonodaje (ministrska uredba), ki predvideva reformo organizacije zdravstvenega varstva.</w:t>
            </w:r>
          </w:p>
        </w:tc>
      </w:tr>
      <w:tr w:rsidR="00154E32" w14:paraId="17C13BD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A2D67B8" w14:textId="77777777" w:rsidR="00154E32" w:rsidRDefault="00A43E04">
            <w:pPr>
              <w:pStyle w:val="P68B1DB1-Normal12"/>
              <w:rPr>
                <w:noProof/>
              </w:rPr>
            </w:pPr>
            <w:r>
              <w:rPr>
                <w:noProof/>
              </w:rPr>
              <w:t>M6C1–2</w:t>
            </w:r>
          </w:p>
        </w:tc>
        <w:tc>
          <w:tcPr>
            <w:tcW w:w="3195" w:type="dxa"/>
            <w:tcBorders>
              <w:top w:val="nil"/>
              <w:left w:val="nil"/>
              <w:bottom w:val="single" w:sz="4" w:space="0" w:color="auto"/>
              <w:right w:val="single" w:sz="4" w:space="0" w:color="auto"/>
            </w:tcBorders>
            <w:shd w:val="clear" w:color="auto" w:fill="C6EFCE"/>
            <w:noWrap/>
            <w:vAlign w:val="center"/>
          </w:tcPr>
          <w:p w14:paraId="1AF0D271" w14:textId="77777777" w:rsidR="00154E32" w:rsidRDefault="00A43E04">
            <w:pPr>
              <w:pStyle w:val="P68B1DB1-Normal12"/>
              <w:rPr>
                <w:noProof/>
              </w:rPr>
            </w:pPr>
            <w:r>
              <w:rPr>
                <w:noProof/>
              </w:rPr>
              <w:t>Naložba 1.1: Zdravstvene hiše skupnosti za izboljšanje ozemeljske zdravstvene pomoči</w:t>
            </w:r>
          </w:p>
        </w:tc>
        <w:tc>
          <w:tcPr>
            <w:tcW w:w="1453" w:type="dxa"/>
            <w:tcBorders>
              <w:top w:val="nil"/>
              <w:left w:val="nil"/>
              <w:bottom w:val="single" w:sz="4" w:space="0" w:color="auto"/>
              <w:right w:val="single" w:sz="4" w:space="0" w:color="auto"/>
            </w:tcBorders>
            <w:shd w:val="clear" w:color="auto" w:fill="C6EFCE"/>
            <w:noWrap/>
            <w:vAlign w:val="center"/>
          </w:tcPr>
          <w:p w14:paraId="23C5EF4D"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7B7A23ED" w14:textId="77777777" w:rsidR="00154E32" w:rsidRDefault="00A43E04">
            <w:pPr>
              <w:pStyle w:val="P68B1DB1-Normal12"/>
              <w:jc w:val="center"/>
              <w:rPr>
                <w:noProof/>
              </w:rPr>
            </w:pPr>
            <w:r>
              <w:rPr>
                <w:noProof/>
              </w:rPr>
              <w:t xml:space="preserve">Odobritev pogodbe o institucionalnem razvoju </w:t>
            </w:r>
          </w:p>
        </w:tc>
      </w:tr>
      <w:tr w:rsidR="00154E32" w14:paraId="02BCBE2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B20E9E3" w14:textId="77777777" w:rsidR="00154E32" w:rsidRDefault="00A43E04">
            <w:pPr>
              <w:pStyle w:val="P68B1DB1-Normal12"/>
              <w:rPr>
                <w:noProof/>
              </w:rPr>
            </w:pPr>
            <w:r>
              <w:rPr>
                <w:noProof/>
              </w:rPr>
              <w:t>M6C1–4</w:t>
            </w:r>
          </w:p>
        </w:tc>
        <w:tc>
          <w:tcPr>
            <w:tcW w:w="3195" w:type="dxa"/>
            <w:tcBorders>
              <w:top w:val="nil"/>
              <w:left w:val="nil"/>
              <w:bottom w:val="single" w:sz="4" w:space="0" w:color="auto"/>
              <w:right w:val="single" w:sz="4" w:space="0" w:color="auto"/>
            </w:tcBorders>
            <w:shd w:val="clear" w:color="auto" w:fill="C6EFCE"/>
            <w:noWrap/>
            <w:vAlign w:val="center"/>
          </w:tcPr>
          <w:p w14:paraId="68B99A4E" w14:textId="77777777" w:rsidR="00154E32" w:rsidRDefault="00A43E04">
            <w:pPr>
              <w:pStyle w:val="P68B1DB1-Normal12"/>
              <w:rPr>
                <w:noProof/>
              </w:rPr>
            </w:pPr>
            <w:r>
              <w:rPr>
                <w:noProof/>
              </w:rPr>
              <w:t>Naložba 1.2: Dom kot prvi kraj oskrbe in telemedicine</w:t>
            </w:r>
          </w:p>
        </w:tc>
        <w:tc>
          <w:tcPr>
            <w:tcW w:w="1453" w:type="dxa"/>
            <w:tcBorders>
              <w:top w:val="nil"/>
              <w:left w:val="nil"/>
              <w:bottom w:val="single" w:sz="4" w:space="0" w:color="auto"/>
              <w:right w:val="single" w:sz="4" w:space="0" w:color="auto"/>
            </w:tcBorders>
            <w:shd w:val="clear" w:color="auto" w:fill="C6EFCE"/>
            <w:noWrap/>
            <w:vAlign w:val="center"/>
          </w:tcPr>
          <w:p w14:paraId="33619175"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4115F74B" w14:textId="77777777" w:rsidR="00154E32" w:rsidRDefault="00A43E04">
            <w:pPr>
              <w:pStyle w:val="P68B1DB1-Normal12"/>
              <w:jc w:val="center"/>
              <w:rPr>
                <w:noProof/>
              </w:rPr>
            </w:pPr>
            <w:r>
              <w:rPr>
                <w:noProof/>
              </w:rPr>
              <w:t>Odobritev smernic, ki vsebujejo digitalni model za izvajanje oskrbe na domu</w:t>
            </w:r>
          </w:p>
        </w:tc>
      </w:tr>
      <w:tr w:rsidR="00154E32" w14:paraId="7598F28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DD7CA11" w14:textId="77777777" w:rsidR="00154E32" w:rsidRDefault="00A43E04">
            <w:pPr>
              <w:pStyle w:val="P68B1DB1-Normal12"/>
              <w:rPr>
                <w:noProof/>
              </w:rPr>
            </w:pPr>
            <w:r>
              <w:rPr>
                <w:noProof/>
              </w:rPr>
              <w:t>M6C1–5</w:t>
            </w:r>
          </w:p>
        </w:tc>
        <w:tc>
          <w:tcPr>
            <w:tcW w:w="3195" w:type="dxa"/>
            <w:tcBorders>
              <w:top w:val="nil"/>
              <w:left w:val="nil"/>
              <w:bottom w:val="single" w:sz="4" w:space="0" w:color="auto"/>
              <w:right w:val="single" w:sz="4" w:space="0" w:color="auto"/>
            </w:tcBorders>
            <w:shd w:val="clear" w:color="auto" w:fill="C6EFCE"/>
            <w:noWrap/>
            <w:vAlign w:val="center"/>
          </w:tcPr>
          <w:p w14:paraId="7A6FB73B" w14:textId="77777777" w:rsidR="00154E32" w:rsidRDefault="00A43E04">
            <w:pPr>
              <w:pStyle w:val="P68B1DB1-Normal12"/>
              <w:rPr>
                <w:noProof/>
              </w:rPr>
            </w:pPr>
            <w:r>
              <w:rPr>
                <w:noProof/>
              </w:rPr>
              <w:t>Naložba 1.2: Dom kot prvi kraj oskrbe in telemedicine</w:t>
            </w:r>
          </w:p>
        </w:tc>
        <w:tc>
          <w:tcPr>
            <w:tcW w:w="1453" w:type="dxa"/>
            <w:tcBorders>
              <w:top w:val="nil"/>
              <w:left w:val="nil"/>
              <w:bottom w:val="single" w:sz="4" w:space="0" w:color="auto"/>
              <w:right w:val="single" w:sz="4" w:space="0" w:color="auto"/>
            </w:tcBorders>
            <w:shd w:val="clear" w:color="auto" w:fill="C6EFCE"/>
            <w:noWrap/>
            <w:vAlign w:val="center"/>
          </w:tcPr>
          <w:p w14:paraId="2AD54719"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53155CE1" w14:textId="77777777" w:rsidR="00154E32" w:rsidRDefault="00A43E04">
            <w:pPr>
              <w:pStyle w:val="P68B1DB1-Normal12"/>
              <w:jc w:val="center"/>
              <w:rPr>
                <w:noProof/>
              </w:rPr>
            </w:pPr>
            <w:r>
              <w:rPr>
                <w:noProof/>
              </w:rPr>
              <w:t xml:space="preserve">Pogodba o institucionalnem razvoju, ki jo je odobrilo ministrstvo za zdravje in regije </w:t>
            </w:r>
          </w:p>
        </w:tc>
      </w:tr>
      <w:tr w:rsidR="00154E32" w14:paraId="75634BF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79E5B74" w14:textId="77777777" w:rsidR="00154E32" w:rsidRDefault="00A43E04">
            <w:pPr>
              <w:pStyle w:val="P68B1DB1-Normal12"/>
              <w:rPr>
                <w:noProof/>
              </w:rPr>
            </w:pPr>
            <w:r>
              <w:rPr>
                <w:noProof/>
              </w:rPr>
              <w:t>M6C1–10</w:t>
            </w:r>
          </w:p>
        </w:tc>
        <w:tc>
          <w:tcPr>
            <w:tcW w:w="3195" w:type="dxa"/>
            <w:tcBorders>
              <w:top w:val="nil"/>
              <w:left w:val="nil"/>
              <w:bottom w:val="single" w:sz="4" w:space="0" w:color="auto"/>
              <w:right w:val="single" w:sz="4" w:space="0" w:color="auto"/>
            </w:tcBorders>
            <w:shd w:val="clear" w:color="auto" w:fill="C6EFCE"/>
            <w:noWrap/>
            <w:vAlign w:val="center"/>
          </w:tcPr>
          <w:p w14:paraId="61271C39" w14:textId="77777777" w:rsidR="00154E32" w:rsidRDefault="00A43E04">
            <w:pPr>
              <w:pStyle w:val="P68B1DB1-Normal12"/>
              <w:rPr>
                <w:noProof/>
              </w:rPr>
            </w:pPr>
            <w:r>
              <w:rPr>
                <w:noProof/>
              </w:rPr>
              <w:t>Naložba 1.3: Krepitev srednjega zdravstvenega varstva in njegovih zmogljivosti (bolnišnice Skupnosti)</w:t>
            </w:r>
          </w:p>
        </w:tc>
        <w:tc>
          <w:tcPr>
            <w:tcW w:w="1453" w:type="dxa"/>
            <w:tcBorders>
              <w:top w:val="nil"/>
              <w:left w:val="nil"/>
              <w:bottom w:val="single" w:sz="4" w:space="0" w:color="auto"/>
              <w:right w:val="single" w:sz="4" w:space="0" w:color="auto"/>
            </w:tcBorders>
            <w:shd w:val="clear" w:color="auto" w:fill="C6EFCE"/>
            <w:noWrap/>
            <w:vAlign w:val="center"/>
          </w:tcPr>
          <w:p w14:paraId="3472A18E" w14:textId="77777777" w:rsidR="00154E32" w:rsidRDefault="00A43E04">
            <w:pPr>
              <w:pStyle w:val="P68B1DB1-Normal12"/>
              <w:rPr>
                <w:noProof/>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2CAC9F2D" w14:textId="77777777" w:rsidR="00154E32" w:rsidRDefault="00A43E04">
            <w:pPr>
              <w:pStyle w:val="P68B1DB1-Normal12"/>
              <w:jc w:val="center"/>
              <w:rPr>
                <w:noProof/>
              </w:rPr>
            </w:pPr>
            <w:r>
              <w:rPr>
                <w:noProof/>
              </w:rPr>
              <w:t>Odobritev pogodbe o institucionalnem razvoju (Contratto Istituzionale di Sviluppo)</w:t>
            </w:r>
          </w:p>
        </w:tc>
      </w:tr>
      <w:tr w:rsidR="00154E32" w14:paraId="346A4C8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D668C5C" w14:textId="77777777" w:rsidR="00154E32" w:rsidRDefault="00A43E04">
            <w:pPr>
              <w:pStyle w:val="P68B1DB1-Normal12"/>
              <w:rPr>
                <w:noProof/>
              </w:rPr>
            </w:pPr>
            <w:r>
              <w:rPr>
                <w:noProof/>
              </w:rPr>
              <w:t>M6C2–5</w:t>
            </w:r>
          </w:p>
        </w:tc>
        <w:tc>
          <w:tcPr>
            <w:tcW w:w="3195" w:type="dxa"/>
            <w:tcBorders>
              <w:top w:val="nil"/>
              <w:left w:val="nil"/>
              <w:bottom w:val="single" w:sz="4" w:space="0" w:color="auto"/>
              <w:right w:val="single" w:sz="4" w:space="0" w:color="auto"/>
            </w:tcBorders>
            <w:shd w:val="clear" w:color="auto" w:fill="C6EFCE"/>
            <w:noWrap/>
            <w:vAlign w:val="center"/>
          </w:tcPr>
          <w:p w14:paraId="62239DD4" w14:textId="77777777" w:rsidR="00154E32" w:rsidRDefault="00A43E04">
            <w:pPr>
              <w:pStyle w:val="P68B1DB1-Normal48"/>
              <w:rPr>
                <w:noProof/>
                <w:color w:val="006100"/>
              </w:rPr>
            </w:pPr>
            <w:r>
              <w:rPr>
                <w:noProof/>
              </w:rPr>
              <w:t>Naložba 1.1: Digitalna posodobitev tehnološke opreme bolnišnic</w:t>
            </w:r>
          </w:p>
        </w:tc>
        <w:tc>
          <w:tcPr>
            <w:tcW w:w="1453" w:type="dxa"/>
            <w:tcBorders>
              <w:top w:val="nil"/>
              <w:left w:val="nil"/>
              <w:bottom w:val="single" w:sz="4" w:space="0" w:color="auto"/>
              <w:right w:val="single" w:sz="4" w:space="0" w:color="auto"/>
            </w:tcBorders>
            <w:shd w:val="clear" w:color="auto" w:fill="C6EFCE"/>
            <w:noWrap/>
            <w:vAlign w:val="center"/>
          </w:tcPr>
          <w:p w14:paraId="0B6ACA53" w14:textId="77777777" w:rsidR="00154E32" w:rsidRDefault="00A43E04">
            <w:pPr>
              <w:pStyle w:val="P68B1DB1-Normal48"/>
              <w:rPr>
                <w:noProof/>
                <w:color w:val="006100"/>
              </w:rPr>
            </w:pPr>
            <w:r>
              <w:rPr>
                <w:noProof/>
              </w:rPr>
              <w:t>Mejnik</w:t>
            </w:r>
          </w:p>
        </w:tc>
        <w:tc>
          <w:tcPr>
            <w:tcW w:w="4035" w:type="dxa"/>
            <w:tcBorders>
              <w:top w:val="nil"/>
              <w:left w:val="nil"/>
              <w:bottom w:val="single" w:sz="4" w:space="0" w:color="auto"/>
              <w:right w:val="single" w:sz="4" w:space="0" w:color="auto"/>
            </w:tcBorders>
            <w:shd w:val="clear" w:color="auto" w:fill="C6EFCE"/>
            <w:noWrap/>
            <w:vAlign w:val="center"/>
          </w:tcPr>
          <w:p w14:paraId="1AE092BE" w14:textId="77777777" w:rsidR="00154E32" w:rsidRDefault="00A43E04">
            <w:pPr>
              <w:pStyle w:val="P68B1DB1-Normal48"/>
              <w:jc w:val="center"/>
              <w:rPr>
                <w:noProof/>
              </w:rPr>
            </w:pPr>
            <w:r>
              <w:rPr>
                <w:noProof/>
              </w:rPr>
              <w:t>Odobritev pogodbe o institucionalnem razvoju</w:t>
            </w:r>
          </w:p>
        </w:tc>
      </w:tr>
      <w:tr w:rsidR="00154E32" w14:paraId="026DA9E5"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6D06B826" w14:textId="77777777" w:rsidR="00154E32" w:rsidRDefault="00154E32">
            <w:pPr>
              <w:jc w:val="center"/>
              <w:rPr>
                <w:noProof/>
                <w:color w:val="006100"/>
                <w:sz w:val="20"/>
              </w:rPr>
            </w:pPr>
          </w:p>
        </w:tc>
        <w:tc>
          <w:tcPr>
            <w:tcW w:w="3195" w:type="dxa"/>
            <w:tcBorders>
              <w:top w:val="single" w:sz="4" w:space="0" w:color="auto"/>
              <w:left w:val="nil"/>
              <w:bottom w:val="single" w:sz="4" w:space="0" w:color="auto"/>
              <w:right w:val="single" w:sz="4" w:space="0" w:color="auto"/>
            </w:tcBorders>
            <w:shd w:val="clear" w:color="auto" w:fill="C6EFCE"/>
            <w:noWrap/>
            <w:vAlign w:val="bottom"/>
          </w:tcPr>
          <w:p w14:paraId="35D3733B" w14:textId="77777777" w:rsidR="00154E32" w:rsidRDefault="00154E32">
            <w:pPr>
              <w:rPr>
                <w:noProof/>
                <w:color w:val="006100"/>
                <w:sz w:val="20"/>
              </w:rPr>
            </w:pPr>
          </w:p>
        </w:tc>
        <w:tc>
          <w:tcPr>
            <w:tcW w:w="1453" w:type="dxa"/>
            <w:tcBorders>
              <w:top w:val="single" w:sz="4" w:space="0" w:color="auto"/>
              <w:left w:val="nil"/>
              <w:bottom w:val="single" w:sz="4" w:space="0" w:color="auto"/>
              <w:right w:val="single" w:sz="4" w:space="0" w:color="auto"/>
            </w:tcBorders>
            <w:shd w:val="clear" w:color="auto" w:fill="C6EFCE"/>
            <w:noWrap/>
            <w:vAlign w:val="bottom"/>
          </w:tcPr>
          <w:p w14:paraId="0BF867CB" w14:textId="77777777" w:rsidR="00154E32" w:rsidRDefault="00A43E04">
            <w:pPr>
              <w:pStyle w:val="P68B1DB1-Normal12"/>
              <w:rPr>
                <w:noProof/>
              </w:rPr>
            </w:pPr>
            <w:r>
              <w:rPr>
                <w:noProof/>
              </w:rPr>
              <w:t>Znesek obroka</w:t>
            </w:r>
          </w:p>
        </w:tc>
        <w:tc>
          <w:tcPr>
            <w:tcW w:w="4035" w:type="dxa"/>
            <w:tcBorders>
              <w:top w:val="single" w:sz="4" w:space="0" w:color="auto"/>
              <w:left w:val="nil"/>
              <w:bottom w:val="single" w:sz="4" w:space="0" w:color="auto"/>
              <w:right w:val="single" w:sz="4" w:space="0" w:color="auto"/>
            </w:tcBorders>
            <w:shd w:val="clear" w:color="auto" w:fill="C6EFCE"/>
            <w:noWrap/>
            <w:vAlign w:val="bottom"/>
          </w:tcPr>
          <w:p w14:paraId="53B2838D" w14:textId="41722945" w:rsidR="00154E32" w:rsidRDefault="00A43E04">
            <w:pPr>
              <w:pStyle w:val="P68B1DB1-Normal46"/>
              <w:rPr>
                <w:noProof/>
              </w:rPr>
            </w:pPr>
            <w:r>
              <w:rPr>
                <w:noProof/>
              </w:rPr>
              <w:t>12</w:t>
            </w:r>
            <w:r>
              <w:rPr>
                <w:noProof/>
              </w:rPr>
              <w:t> </w:t>
            </w:r>
            <w:r>
              <w:rPr>
                <w:noProof/>
              </w:rPr>
              <w:t>643</w:t>
            </w:r>
            <w:r>
              <w:rPr>
                <w:noProof/>
              </w:rPr>
              <w:t> </w:t>
            </w:r>
            <w:r>
              <w:rPr>
                <w:noProof/>
              </w:rPr>
              <w:t>678</w:t>
            </w:r>
            <w:r>
              <w:rPr>
                <w:noProof/>
              </w:rPr>
              <w:t> </w:t>
            </w:r>
            <w:r>
              <w:rPr>
                <w:noProof/>
              </w:rPr>
              <w:t>161</w:t>
            </w:r>
            <w:r>
              <w:rPr>
                <w:noProof/>
              </w:rPr>
              <w:t> </w:t>
            </w:r>
            <w:r>
              <w:rPr>
                <w:noProof/>
              </w:rPr>
              <w:t>EUR</w:t>
            </w:r>
          </w:p>
        </w:tc>
      </w:tr>
    </w:tbl>
    <w:p w14:paraId="25473B18" w14:textId="77777777" w:rsidR="00154E32" w:rsidRDefault="00154E32">
      <w:pPr>
        <w:spacing w:before="120" w:after="120"/>
        <w:jc w:val="both"/>
        <w:rPr>
          <w:rFonts w:eastAsia="Calibri"/>
          <w:noProof/>
        </w:rPr>
      </w:pPr>
    </w:p>
    <w:p w14:paraId="78BB3320" w14:textId="35DB9781" w:rsidR="00154E32" w:rsidRDefault="00154E32">
      <w:pPr>
        <w:spacing w:after="200" w:line="276" w:lineRule="auto"/>
        <w:rPr>
          <w:rFonts w:eastAsia="Calibri"/>
          <w:noProof/>
        </w:rPr>
      </w:pPr>
    </w:p>
    <w:p w14:paraId="5ED46D17" w14:textId="40A5438B" w:rsidR="00154E32" w:rsidRDefault="00A43E04">
      <w:pPr>
        <w:pStyle w:val="P68B1DB1-Normal44"/>
        <w:spacing w:after="200" w:line="276" w:lineRule="auto"/>
        <w:rPr>
          <w:noProof/>
        </w:rPr>
      </w:pPr>
      <w:r>
        <w:rPr>
          <w:noProof/>
        </w:rPr>
        <w:br w:type="page"/>
      </w:r>
    </w:p>
    <w:p w14:paraId="46FE4F8B" w14:textId="45E25ECC" w:rsidR="00154E32" w:rsidRDefault="00A43E04">
      <w:pPr>
        <w:pStyle w:val="P68B1DB1-Normal44"/>
        <w:numPr>
          <w:ilvl w:val="1"/>
          <w:numId w:val="6"/>
        </w:numPr>
        <w:spacing w:before="120" w:after="120"/>
        <w:jc w:val="both"/>
        <w:rPr>
          <w:noProof/>
        </w:rPr>
      </w:pPr>
      <w:r>
        <w:rPr>
          <w:noProof/>
        </w:rPr>
        <w:t>Tretja namestitev (podpora za posojila):</w:t>
      </w:r>
    </w:p>
    <w:tbl>
      <w:tblPr>
        <w:tblW w:w="101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50"/>
        <w:gridCol w:w="1485"/>
        <w:gridCol w:w="4065"/>
      </w:tblGrid>
      <w:tr w:rsidR="00154E32" w14:paraId="065BB83B" w14:textId="77777777">
        <w:trPr>
          <w:trHeight w:val="906"/>
        </w:trPr>
        <w:tc>
          <w:tcPr>
            <w:tcW w:w="1413" w:type="dxa"/>
            <w:vMerge w:val="restart"/>
            <w:shd w:val="clear" w:color="auto" w:fill="BDD7EE"/>
            <w:vAlign w:val="center"/>
            <w:hideMark/>
          </w:tcPr>
          <w:p w14:paraId="27886142" w14:textId="77777777" w:rsidR="00154E32" w:rsidRDefault="00A43E04">
            <w:pPr>
              <w:pStyle w:val="P68B1DB1-Normal45"/>
              <w:jc w:val="center"/>
              <w:rPr>
                <w:noProof/>
              </w:rPr>
            </w:pPr>
            <w:r>
              <w:rPr>
                <w:noProof/>
              </w:rPr>
              <w:t>Zaporedna številka</w:t>
            </w:r>
          </w:p>
        </w:tc>
        <w:tc>
          <w:tcPr>
            <w:tcW w:w="3150" w:type="dxa"/>
            <w:vMerge w:val="restart"/>
            <w:shd w:val="clear" w:color="auto" w:fill="BDD7EE"/>
            <w:vAlign w:val="center"/>
            <w:hideMark/>
          </w:tcPr>
          <w:p w14:paraId="3607EE74" w14:textId="77777777" w:rsidR="00154E32" w:rsidRDefault="00A43E04">
            <w:pPr>
              <w:pStyle w:val="P68B1DB1-Normal45"/>
              <w:jc w:val="center"/>
              <w:rPr>
                <w:noProof/>
              </w:rPr>
            </w:pPr>
            <w:r>
              <w:rPr>
                <w:noProof/>
              </w:rPr>
              <w:t>Povezani ukrep (reforma ali naložba)</w:t>
            </w:r>
          </w:p>
        </w:tc>
        <w:tc>
          <w:tcPr>
            <w:tcW w:w="1485" w:type="dxa"/>
            <w:vMerge w:val="restart"/>
            <w:shd w:val="clear" w:color="auto" w:fill="BDD7EE"/>
            <w:vAlign w:val="center"/>
            <w:hideMark/>
          </w:tcPr>
          <w:p w14:paraId="6953AAEF" w14:textId="77777777" w:rsidR="00154E32" w:rsidRDefault="00A43E04">
            <w:pPr>
              <w:pStyle w:val="P68B1DB1-Normal45"/>
              <w:jc w:val="center"/>
              <w:rPr>
                <w:noProof/>
              </w:rPr>
            </w:pPr>
            <w:r>
              <w:rPr>
                <w:noProof/>
              </w:rPr>
              <w:t>Mejnik/cilj</w:t>
            </w:r>
          </w:p>
        </w:tc>
        <w:tc>
          <w:tcPr>
            <w:tcW w:w="4065" w:type="dxa"/>
            <w:vMerge w:val="restart"/>
            <w:shd w:val="clear" w:color="auto" w:fill="BDD7EE"/>
            <w:vAlign w:val="center"/>
            <w:hideMark/>
          </w:tcPr>
          <w:p w14:paraId="49D18803" w14:textId="77777777" w:rsidR="00154E32" w:rsidRDefault="00A43E04">
            <w:pPr>
              <w:pStyle w:val="P68B1DB1-Normal45"/>
              <w:jc w:val="center"/>
              <w:rPr>
                <w:noProof/>
              </w:rPr>
            </w:pPr>
            <w:r>
              <w:rPr>
                <w:noProof/>
              </w:rPr>
              <w:t>Ime</w:t>
            </w:r>
          </w:p>
        </w:tc>
      </w:tr>
      <w:tr w:rsidR="00154E32" w14:paraId="7278BD4C" w14:textId="77777777">
        <w:trPr>
          <w:trHeight w:val="517"/>
        </w:trPr>
        <w:tc>
          <w:tcPr>
            <w:tcW w:w="1413" w:type="dxa"/>
            <w:vMerge/>
            <w:vAlign w:val="center"/>
            <w:hideMark/>
          </w:tcPr>
          <w:p w14:paraId="07B75A72" w14:textId="77777777" w:rsidR="00154E32" w:rsidRDefault="00154E32">
            <w:pPr>
              <w:rPr>
                <w:b/>
                <w:noProof/>
              </w:rPr>
            </w:pPr>
          </w:p>
        </w:tc>
        <w:tc>
          <w:tcPr>
            <w:tcW w:w="3150" w:type="dxa"/>
            <w:vMerge/>
            <w:vAlign w:val="center"/>
            <w:hideMark/>
          </w:tcPr>
          <w:p w14:paraId="201584EF" w14:textId="77777777" w:rsidR="00154E32" w:rsidRDefault="00154E32">
            <w:pPr>
              <w:rPr>
                <w:b/>
                <w:noProof/>
              </w:rPr>
            </w:pPr>
          </w:p>
        </w:tc>
        <w:tc>
          <w:tcPr>
            <w:tcW w:w="1485" w:type="dxa"/>
            <w:vMerge/>
            <w:vAlign w:val="center"/>
            <w:hideMark/>
          </w:tcPr>
          <w:p w14:paraId="74997D2B" w14:textId="77777777" w:rsidR="00154E32" w:rsidRDefault="00154E32">
            <w:pPr>
              <w:rPr>
                <w:b/>
                <w:noProof/>
              </w:rPr>
            </w:pPr>
          </w:p>
        </w:tc>
        <w:tc>
          <w:tcPr>
            <w:tcW w:w="4065" w:type="dxa"/>
            <w:vMerge/>
            <w:vAlign w:val="center"/>
            <w:hideMark/>
          </w:tcPr>
          <w:p w14:paraId="3F63CB3D" w14:textId="77777777" w:rsidR="00154E32" w:rsidRDefault="00154E32">
            <w:pPr>
              <w:rPr>
                <w:b/>
                <w:noProof/>
              </w:rPr>
            </w:pPr>
          </w:p>
        </w:tc>
      </w:tr>
      <w:tr w:rsidR="00154E32" w14:paraId="20209A0A" w14:textId="77777777">
        <w:trPr>
          <w:trHeight w:val="302"/>
        </w:trPr>
        <w:tc>
          <w:tcPr>
            <w:tcW w:w="1413" w:type="dxa"/>
            <w:shd w:val="clear" w:color="auto" w:fill="C6EFCE"/>
            <w:noWrap/>
            <w:vAlign w:val="center"/>
          </w:tcPr>
          <w:p w14:paraId="1D02FA28" w14:textId="77777777" w:rsidR="00154E32" w:rsidRDefault="00A43E04">
            <w:pPr>
              <w:pStyle w:val="P68B1DB1-Normal12"/>
              <w:rPr>
                <w:noProof/>
              </w:rPr>
            </w:pPr>
            <w:r>
              <w:rPr>
                <w:noProof/>
              </w:rPr>
              <w:t>M2C1–18</w:t>
            </w:r>
          </w:p>
        </w:tc>
        <w:tc>
          <w:tcPr>
            <w:tcW w:w="3150" w:type="dxa"/>
            <w:shd w:val="clear" w:color="auto" w:fill="C6EFCE"/>
            <w:noWrap/>
            <w:vAlign w:val="center"/>
          </w:tcPr>
          <w:p w14:paraId="16439997" w14:textId="77777777" w:rsidR="00154E32" w:rsidRDefault="00A43E04">
            <w:pPr>
              <w:pStyle w:val="P68B1DB1-Normal12"/>
              <w:rPr>
                <w:noProof/>
              </w:rPr>
            </w:pPr>
            <w:r>
              <w:rPr>
                <w:noProof/>
              </w:rPr>
              <w:t>Naložba 3.1: Zeleni otoki</w:t>
            </w:r>
          </w:p>
        </w:tc>
        <w:tc>
          <w:tcPr>
            <w:tcW w:w="1485" w:type="dxa"/>
            <w:shd w:val="clear" w:color="auto" w:fill="C6EFCE"/>
            <w:noWrap/>
            <w:vAlign w:val="center"/>
          </w:tcPr>
          <w:p w14:paraId="3A67ED27" w14:textId="77777777" w:rsidR="00154E32" w:rsidRDefault="00A43E04">
            <w:pPr>
              <w:pStyle w:val="P68B1DB1-Normal12"/>
              <w:rPr>
                <w:noProof/>
              </w:rPr>
            </w:pPr>
            <w:r>
              <w:rPr>
                <w:noProof/>
              </w:rPr>
              <w:t>Mejnik</w:t>
            </w:r>
          </w:p>
        </w:tc>
        <w:tc>
          <w:tcPr>
            <w:tcW w:w="4065" w:type="dxa"/>
            <w:shd w:val="clear" w:color="auto" w:fill="C6EFCE"/>
            <w:noWrap/>
            <w:vAlign w:val="center"/>
          </w:tcPr>
          <w:p w14:paraId="4001CCF5" w14:textId="77777777" w:rsidR="00154E32" w:rsidRDefault="00A43E04">
            <w:pPr>
              <w:pStyle w:val="P68B1DB1-Normal12"/>
              <w:jc w:val="center"/>
              <w:rPr>
                <w:noProof/>
              </w:rPr>
            </w:pPr>
            <w:r>
              <w:rPr>
                <w:noProof/>
              </w:rPr>
              <w:t>Začetek veljavnosti uredbe o direktorju</w:t>
            </w:r>
          </w:p>
        </w:tc>
      </w:tr>
      <w:tr w:rsidR="00154E32" w14:paraId="7116FF74" w14:textId="77777777">
        <w:trPr>
          <w:trHeight w:val="302"/>
        </w:trPr>
        <w:tc>
          <w:tcPr>
            <w:tcW w:w="1413" w:type="dxa"/>
            <w:shd w:val="clear" w:color="auto" w:fill="C6EFCE"/>
            <w:noWrap/>
            <w:vAlign w:val="center"/>
          </w:tcPr>
          <w:p w14:paraId="1DC22C9B" w14:textId="77777777" w:rsidR="00154E32" w:rsidRDefault="00A43E04">
            <w:pPr>
              <w:pStyle w:val="P68B1DB1-Normal12"/>
              <w:rPr>
                <w:noProof/>
              </w:rPr>
            </w:pPr>
            <w:r>
              <w:rPr>
                <w:noProof/>
              </w:rPr>
              <w:t>M2C1–20</w:t>
            </w:r>
          </w:p>
        </w:tc>
        <w:tc>
          <w:tcPr>
            <w:tcW w:w="3150" w:type="dxa"/>
            <w:shd w:val="clear" w:color="auto" w:fill="C6EFCE"/>
            <w:noWrap/>
            <w:vAlign w:val="center"/>
          </w:tcPr>
          <w:p w14:paraId="3D35E7E9" w14:textId="77777777" w:rsidR="00154E32" w:rsidRDefault="00A43E04">
            <w:pPr>
              <w:pStyle w:val="P68B1DB1-Normal12"/>
              <w:rPr>
                <w:noProof/>
              </w:rPr>
            </w:pPr>
            <w:r>
              <w:rPr>
                <w:noProof/>
              </w:rPr>
              <w:t>Naložba 3.2: Zelene skupnosti</w:t>
            </w:r>
          </w:p>
        </w:tc>
        <w:tc>
          <w:tcPr>
            <w:tcW w:w="1485" w:type="dxa"/>
            <w:shd w:val="clear" w:color="auto" w:fill="C6EFCE"/>
            <w:noWrap/>
            <w:vAlign w:val="center"/>
          </w:tcPr>
          <w:p w14:paraId="580EB8EC" w14:textId="77777777" w:rsidR="00154E32" w:rsidRDefault="00A43E04">
            <w:pPr>
              <w:pStyle w:val="P68B1DB1-Normal12"/>
              <w:rPr>
                <w:noProof/>
              </w:rPr>
            </w:pPr>
            <w:r>
              <w:rPr>
                <w:noProof/>
              </w:rPr>
              <w:t>Mejnik</w:t>
            </w:r>
          </w:p>
        </w:tc>
        <w:tc>
          <w:tcPr>
            <w:tcW w:w="4065" w:type="dxa"/>
            <w:shd w:val="clear" w:color="auto" w:fill="C6EFCE"/>
            <w:noWrap/>
            <w:vAlign w:val="center"/>
          </w:tcPr>
          <w:p w14:paraId="47D9296C" w14:textId="77777777" w:rsidR="00154E32" w:rsidRDefault="00A43E04">
            <w:pPr>
              <w:pStyle w:val="P68B1DB1-Normal12"/>
              <w:jc w:val="center"/>
              <w:rPr>
                <w:noProof/>
              </w:rPr>
            </w:pPr>
            <w:r>
              <w:rPr>
                <w:noProof/>
              </w:rPr>
              <w:t>Oddaja (vseh) javnih naročil za izbor zelenih skupnosti</w:t>
            </w:r>
          </w:p>
        </w:tc>
      </w:tr>
      <w:tr w:rsidR="00154E32" w14:paraId="2DA15309" w14:textId="77777777">
        <w:trPr>
          <w:trHeight w:val="302"/>
        </w:trPr>
        <w:tc>
          <w:tcPr>
            <w:tcW w:w="1413" w:type="dxa"/>
            <w:shd w:val="clear" w:color="auto" w:fill="C6EFCE"/>
            <w:noWrap/>
            <w:vAlign w:val="center"/>
          </w:tcPr>
          <w:p w14:paraId="1A530293" w14:textId="77777777" w:rsidR="00154E32" w:rsidRDefault="00A43E04">
            <w:pPr>
              <w:pStyle w:val="P68B1DB1-Normal12"/>
              <w:rPr>
                <w:noProof/>
              </w:rPr>
            </w:pPr>
            <w:r>
              <w:rPr>
                <w:noProof/>
              </w:rPr>
              <w:t>M5C2–17</w:t>
            </w:r>
          </w:p>
        </w:tc>
        <w:tc>
          <w:tcPr>
            <w:tcW w:w="3150" w:type="dxa"/>
            <w:shd w:val="clear" w:color="auto" w:fill="C6EFCE"/>
            <w:noWrap/>
            <w:vAlign w:val="center"/>
          </w:tcPr>
          <w:p w14:paraId="7D967792" w14:textId="77777777" w:rsidR="00154E32" w:rsidRDefault="00A43E04">
            <w:pPr>
              <w:pStyle w:val="P68B1DB1-Normal12"/>
              <w:rPr>
                <w:noProof/>
              </w:rPr>
            </w:pPr>
            <w:r>
              <w:rPr>
                <w:noProof/>
              </w:rPr>
              <w:t>Naložba 5 – Celostni urbanistični načrti – sklad EIB – Sklad</w:t>
            </w:r>
          </w:p>
        </w:tc>
        <w:tc>
          <w:tcPr>
            <w:tcW w:w="1485" w:type="dxa"/>
            <w:shd w:val="clear" w:color="auto" w:fill="C6EFCE"/>
            <w:noWrap/>
            <w:vAlign w:val="center"/>
          </w:tcPr>
          <w:p w14:paraId="107628C2" w14:textId="77777777" w:rsidR="00154E32" w:rsidRDefault="00A43E04">
            <w:pPr>
              <w:pStyle w:val="P68B1DB1-Normal12"/>
              <w:rPr>
                <w:noProof/>
              </w:rPr>
            </w:pPr>
            <w:r>
              <w:rPr>
                <w:noProof/>
              </w:rPr>
              <w:t>Mejnik</w:t>
            </w:r>
          </w:p>
        </w:tc>
        <w:tc>
          <w:tcPr>
            <w:tcW w:w="4065" w:type="dxa"/>
            <w:shd w:val="clear" w:color="auto" w:fill="C6EFCE"/>
            <w:noWrap/>
            <w:vAlign w:val="center"/>
          </w:tcPr>
          <w:p w14:paraId="200652C0" w14:textId="77777777" w:rsidR="00154E32" w:rsidRDefault="00A43E04">
            <w:pPr>
              <w:pStyle w:val="P68B1DB1-Normal12"/>
              <w:jc w:val="center"/>
              <w:rPr>
                <w:noProof/>
              </w:rPr>
            </w:pPr>
            <w:r>
              <w:rPr>
                <w:noProof/>
              </w:rPr>
              <w:t>Naložbeno strategijo sklada odobri Ministrstvo za finance (MEF).</w:t>
            </w:r>
          </w:p>
        </w:tc>
      </w:tr>
      <w:tr w:rsidR="00154E32" w14:paraId="20BAEEF6" w14:textId="77777777">
        <w:trPr>
          <w:trHeight w:val="302"/>
        </w:trPr>
        <w:tc>
          <w:tcPr>
            <w:tcW w:w="1413" w:type="dxa"/>
            <w:shd w:val="clear" w:color="auto" w:fill="C6EFCE"/>
            <w:noWrap/>
            <w:vAlign w:val="center"/>
          </w:tcPr>
          <w:p w14:paraId="20FB5E75" w14:textId="77777777" w:rsidR="00154E32" w:rsidRDefault="00A43E04">
            <w:pPr>
              <w:pStyle w:val="P68B1DB1-Normal12"/>
              <w:rPr>
                <w:noProof/>
              </w:rPr>
            </w:pPr>
            <w:r>
              <w:rPr>
                <w:noProof/>
              </w:rPr>
              <w:t>M1C1–123</w:t>
            </w:r>
          </w:p>
        </w:tc>
        <w:tc>
          <w:tcPr>
            <w:tcW w:w="3150" w:type="dxa"/>
            <w:shd w:val="clear" w:color="auto" w:fill="C6EFCE"/>
            <w:noWrap/>
            <w:vAlign w:val="center"/>
          </w:tcPr>
          <w:p w14:paraId="66636E57" w14:textId="77777777" w:rsidR="00154E32" w:rsidRDefault="00A43E04">
            <w:pPr>
              <w:pStyle w:val="P68B1DB1-Normal12"/>
              <w:rPr>
                <w:noProof/>
              </w:rPr>
            </w:pPr>
            <w:r>
              <w:rPr>
                <w:noProof/>
              </w:rPr>
              <w:t>Naložba 1.6.3 – Digitizacija nacionalnega zavoda za socialno varnost (INPS) in Nacionalnega inštituta za zavarovanje pred nesrečami pri delu (INAIL)</w:t>
            </w:r>
          </w:p>
        </w:tc>
        <w:tc>
          <w:tcPr>
            <w:tcW w:w="1485" w:type="dxa"/>
            <w:shd w:val="clear" w:color="auto" w:fill="C6EFCE"/>
            <w:noWrap/>
            <w:vAlign w:val="center"/>
          </w:tcPr>
          <w:p w14:paraId="0F8CF685" w14:textId="77777777" w:rsidR="00154E32" w:rsidRDefault="00A43E04">
            <w:pPr>
              <w:pStyle w:val="P68B1DB1-Normal12"/>
              <w:rPr>
                <w:noProof/>
              </w:rPr>
            </w:pPr>
            <w:r>
              <w:rPr>
                <w:noProof/>
              </w:rPr>
              <w:t>Tarča</w:t>
            </w:r>
          </w:p>
        </w:tc>
        <w:tc>
          <w:tcPr>
            <w:tcW w:w="4065" w:type="dxa"/>
            <w:shd w:val="clear" w:color="auto" w:fill="C6EFCE"/>
            <w:noWrap/>
            <w:vAlign w:val="center"/>
          </w:tcPr>
          <w:p w14:paraId="2DDA09E9" w14:textId="77777777" w:rsidR="00154E32" w:rsidRDefault="00A43E04">
            <w:pPr>
              <w:pStyle w:val="P68B1DB1-Normal12"/>
              <w:jc w:val="center"/>
              <w:rPr>
                <w:noProof/>
              </w:rPr>
            </w:pPr>
            <w:r>
              <w:rPr>
                <w:noProof/>
              </w:rPr>
              <w:t>INPS – storitve/vsebine T1</w:t>
            </w:r>
          </w:p>
        </w:tc>
      </w:tr>
      <w:tr w:rsidR="00154E32" w14:paraId="565A47EC" w14:textId="77777777">
        <w:trPr>
          <w:trHeight w:val="302"/>
        </w:trPr>
        <w:tc>
          <w:tcPr>
            <w:tcW w:w="1413" w:type="dxa"/>
            <w:shd w:val="clear" w:color="auto" w:fill="C6EFCE"/>
            <w:noWrap/>
            <w:vAlign w:val="center"/>
          </w:tcPr>
          <w:p w14:paraId="3E6E1980" w14:textId="77777777" w:rsidR="00154E32" w:rsidRDefault="00A43E04">
            <w:pPr>
              <w:pStyle w:val="P68B1DB1-Normal12"/>
              <w:rPr>
                <w:noProof/>
              </w:rPr>
            </w:pPr>
            <w:r>
              <w:rPr>
                <w:noProof/>
              </w:rPr>
              <w:t>M1C1–124</w:t>
            </w:r>
          </w:p>
        </w:tc>
        <w:tc>
          <w:tcPr>
            <w:tcW w:w="3150" w:type="dxa"/>
            <w:shd w:val="clear" w:color="auto" w:fill="C6EFCE"/>
            <w:noWrap/>
            <w:vAlign w:val="center"/>
          </w:tcPr>
          <w:p w14:paraId="20D51DF1" w14:textId="77777777" w:rsidR="00154E32" w:rsidRDefault="00A43E04">
            <w:pPr>
              <w:pStyle w:val="P68B1DB1-Normal12"/>
              <w:rPr>
                <w:noProof/>
              </w:rPr>
            </w:pPr>
            <w:r>
              <w:rPr>
                <w:noProof/>
              </w:rPr>
              <w:t>Naložba 1.6.3 – Digitizacija nacionalnega zavoda za socialno varnost (INPS) in Nacionalnega inštituta za zavarovanje pred nesrečami pri delu (INAIL)</w:t>
            </w:r>
          </w:p>
        </w:tc>
        <w:tc>
          <w:tcPr>
            <w:tcW w:w="1485" w:type="dxa"/>
            <w:shd w:val="clear" w:color="auto" w:fill="C6EFCE"/>
            <w:noWrap/>
            <w:vAlign w:val="center"/>
          </w:tcPr>
          <w:p w14:paraId="2AEA633F" w14:textId="77777777" w:rsidR="00154E32" w:rsidRDefault="00A43E04">
            <w:pPr>
              <w:pStyle w:val="P68B1DB1-Normal12"/>
              <w:rPr>
                <w:noProof/>
              </w:rPr>
            </w:pPr>
            <w:r>
              <w:rPr>
                <w:noProof/>
              </w:rPr>
              <w:t>Tarča</w:t>
            </w:r>
          </w:p>
        </w:tc>
        <w:tc>
          <w:tcPr>
            <w:tcW w:w="4065" w:type="dxa"/>
            <w:shd w:val="clear" w:color="auto" w:fill="C6EFCE"/>
            <w:noWrap/>
            <w:vAlign w:val="center"/>
          </w:tcPr>
          <w:p w14:paraId="7CEE204E" w14:textId="77777777" w:rsidR="00154E32" w:rsidRDefault="00A43E04">
            <w:pPr>
              <w:pStyle w:val="P68B1DB1-Normal12"/>
              <w:jc w:val="center"/>
              <w:rPr>
                <w:noProof/>
              </w:rPr>
            </w:pPr>
            <w:r>
              <w:rPr>
                <w:noProof/>
              </w:rPr>
              <w:t>INPS – zaposleni z izboljšanimi znanji in spretnostmi na področju informacijskih in komunikacijskih tehnologij (IKT) T1</w:t>
            </w:r>
          </w:p>
        </w:tc>
      </w:tr>
      <w:tr w:rsidR="00154E32" w14:paraId="63F9CE85" w14:textId="77777777">
        <w:trPr>
          <w:trHeight w:val="302"/>
        </w:trPr>
        <w:tc>
          <w:tcPr>
            <w:tcW w:w="1413" w:type="dxa"/>
            <w:shd w:val="clear" w:color="auto" w:fill="C6EFCE"/>
            <w:noWrap/>
            <w:vAlign w:val="center"/>
          </w:tcPr>
          <w:p w14:paraId="6085FEAD" w14:textId="77777777" w:rsidR="00154E32" w:rsidRDefault="00A43E04">
            <w:pPr>
              <w:pStyle w:val="P68B1DB1-Normal12"/>
              <w:rPr>
                <w:noProof/>
              </w:rPr>
            </w:pPr>
            <w:r>
              <w:rPr>
                <w:noProof/>
              </w:rPr>
              <w:t>M1C3–30</w:t>
            </w:r>
          </w:p>
        </w:tc>
        <w:tc>
          <w:tcPr>
            <w:tcW w:w="3150" w:type="dxa"/>
            <w:shd w:val="clear" w:color="auto" w:fill="C6EFCE"/>
            <w:noWrap/>
            <w:vAlign w:val="center"/>
          </w:tcPr>
          <w:p w14:paraId="0F8819CD" w14:textId="77777777" w:rsidR="00154E32" w:rsidRDefault="00A43E04">
            <w:pPr>
              <w:pStyle w:val="P68B1DB1-Normal12"/>
              <w:rPr>
                <w:noProof/>
              </w:rPr>
            </w:pPr>
            <w:r>
              <w:rPr>
                <w:noProof/>
              </w:rPr>
              <w:t>Naložba 4.2:  Sredstva za konkurenčnost turističnih podjetij</w:t>
            </w:r>
          </w:p>
        </w:tc>
        <w:tc>
          <w:tcPr>
            <w:tcW w:w="1485" w:type="dxa"/>
            <w:shd w:val="clear" w:color="auto" w:fill="C6EFCE"/>
            <w:noWrap/>
            <w:vAlign w:val="center"/>
          </w:tcPr>
          <w:p w14:paraId="735296F9" w14:textId="77777777" w:rsidR="00154E32" w:rsidRDefault="00A43E04">
            <w:pPr>
              <w:pStyle w:val="P68B1DB1-Normal12"/>
              <w:rPr>
                <w:noProof/>
              </w:rPr>
            </w:pPr>
            <w:r>
              <w:rPr>
                <w:noProof/>
              </w:rPr>
              <w:t>Tarča</w:t>
            </w:r>
          </w:p>
        </w:tc>
        <w:tc>
          <w:tcPr>
            <w:tcW w:w="4065" w:type="dxa"/>
            <w:shd w:val="clear" w:color="auto" w:fill="C6EFCE"/>
            <w:noWrap/>
            <w:vAlign w:val="center"/>
          </w:tcPr>
          <w:p w14:paraId="4276D5ED" w14:textId="77777777" w:rsidR="00154E32" w:rsidRDefault="00A43E04">
            <w:pPr>
              <w:pStyle w:val="P68B1DB1-Normal12"/>
              <w:jc w:val="center"/>
              <w:rPr>
                <w:noProof/>
              </w:rPr>
            </w:pPr>
            <w:r>
              <w:rPr>
                <w:noProof/>
              </w:rPr>
              <w:t>Tematski skladi Evropske investicijske banke: Izplačilo v Sklad v skupni višini 350 000 000 EUR.</w:t>
            </w:r>
          </w:p>
        </w:tc>
      </w:tr>
      <w:tr w:rsidR="00154E32" w14:paraId="5FBB01D0" w14:textId="77777777">
        <w:trPr>
          <w:trHeight w:val="302"/>
        </w:trPr>
        <w:tc>
          <w:tcPr>
            <w:tcW w:w="1413" w:type="dxa"/>
            <w:shd w:val="clear" w:color="auto" w:fill="C6EFCE"/>
            <w:noWrap/>
            <w:vAlign w:val="center"/>
          </w:tcPr>
          <w:p w14:paraId="0174B3F7" w14:textId="77777777" w:rsidR="00154E32" w:rsidRDefault="00A43E04">
            <w:pPr>
              <w:pStyle w:val="P68B1DB1-Normal12"/>
              <w:rPr>
                <w:noProof/>
              </w:rPr>
            </w:pPr>
            <w:r>
              <w:rPr>
                <w:noProof/>
              </w:rPr>
              <w:t>M1C3–31</w:t>
            </w:r>
          </w:p>
        </w:tc>
        <w:tc>
          <w:tcPr>
            <w:tcW w:w="3150" w:type="dxa"/>
            <w:shd w:val="clear" w:color="auto" w:fill="C6EFCE"/>
            <w:noWrap/>
            <w:vAlign w:val="center"/>
          </w:tcPr>
          <w:p w14:paraId="7528B091" w14:textId="77777777" w:rsidR="00154E32" w:rsidRDefault="00A43E04">
            <w:pPr>
              <w:pStyle w:val="P68B1DB1-Normal12"/>
              <w:rPr>
                <w:noProof/>
              </w:rPr>
            </w:pPr>
            <w:r>
              <w:rPr>
                <w:noProof/>
              </w:rPr>
              <w:t>Naložba 4.2:  Sredstva za konkurenčnost turističnih podjetij</w:t>
            </w:r>
          </w:p>
        </w:tc>
        <w:tc>
          <w:tcPr>
            <w:tcW w:w="1485" w:type="dxa"/>
            <w:shd w:val="clear" w:color="auto" w:fill="C6EFCE"/>
            <w:noWrap/>
            <w:vAlign w:val="center"/>
          </w:tcPr>
          <w:p w14:paraId="350AA077" w14:textId="77777777" w:rsidR="00154E32" w:rsidRDefault="00A43E04">
            <w:pPr>
              <w:pStyle w:val="P68B1DB1-Normal12"/>
              <w:rPr>
                <w:noProof/>
              </w:rPr>
            </w:pPr>
            <w:r>
              <w:rPr>
                <w:noProof/>
              </w:rPr>
              <w:t>Tarča</w:t>
            </w:r>
          </w:p>
        </w:tc>
        <w:tc>
          <w:tcPr>
            <w:tcW w:w="4065" w:type="dxa"/>
            <w:shd w:val="clear" w:color="auto" w:fill="C6EFCE"/>
            <w:noWrap/>
            <w:vAlign w:val="center"/>
          </w:tcPr>
          <w:p w14:paraId="73BAC8EC" w14:textId="77777777" w:rsidR="00154E32" w:rsidRDefault="00A43E04">
            <w:pPr>
              <w:pStyle w:val="P68B1DB1-Normal12"/>
              <w:jc w:val="center"/>
              <w:rPr>
                <w:noProof/>
              </w:rPr>
            </w:pPr>
            <w:r>
              <w:rPr>
                <w:noProof/>
              </w:rPr>
              <w:t>Nacionalni sklad za turizem: Izplačilo v Sklad v skupni višini 150 000 000 EUR za podporo za lastniški kapital.</w:t>
            </w:r>
          </w:p>
        </w:tc>
      </w:tr>
      <w:tr w:rsidR="00154E32" w14:paraId="41073435" w14:textId="77777777">
        <w:trPr>
          <w:trHeight w:val="302"/>
        </w:trPr>
        <w:tc>
          <w:tcPr>
            <w:tcW w:w="1413" w:type="dxa"/>
            <w:shd w:val="clear" w:color="auto" w:fill="C6EFCE"/>
            <w:noWrap/>
            <w:vAlign w:val="center"/>
          </w:tcPr>
          <w:p w14:paraId="244180F9" w14:textId="77777777" w:rsidR="00154E32" w:rsidRDefault="00A43E04">
            <w:pPr>
              <w:pStyle w:val="P68B1DB1-Normal12"/>
              <w:rPr>
                <w:noProof/>
              </w:rPr>
            </w:pPr>
            <w:r>
              <w:rPr>
                <w:noProof/>
              </w:rPr>
              <w:t>M2C3–9</w:t>
            </w:r>
          </w:p>
        </w:tc>
        <w:tc>
          <w:tcPr>
            <w:tcW w:w="3150" w:type="dxa"/>
            <w:shd w:val="clear" w:color="auto" w:fill="C6EFCE"/>
            <w:noWrap/>
            <w:vAlign w:val="center"/>
          </w:tcPr>
          <w:p w14:paraId="7FFDA652" w14:textId="77777777" w:rsidR="00154E32" w:rsidRDefault="00A43E04">
            <w:pPr>
              <w:pStyle w:val="P68B1DB1-Normal12"/>
              <w:rPr>
                <w:noProof/>
              </w:rPr>
            </w:pPr>
            <w:r>
              <w:rPr>
                <w:noProof/>
              </w:rPr>
              <w:t>Naložba 3.1: Spodbujanje učinkovitega daljinskega ogrevanja</w:t>
            </w:r>
          </w:p>
        </w:tc>
        <w:tc>
          <w:tcPr>
            <w:tcW w:w="1485" w:type="dxa"/>
            <w:shd w:val="clear" w:color="auto" w:fill="C6EFCE"/>
            <w:noWrap/>
            <w:vAlign w:val="center"/>
          </w:tcPr>
          <w:p w14:paraId="40E29E23" w14:textId="77777777" w:rsidR="00154E32" w:rsidRDefault="00A43E04">
            <w:pPr>
              <w:pStyle w:val="P68B1DB1-Normal12"/>
              <w:rPr>
                <w:noProof/>
              </w:rPr>
            </w:pPr>
            <w:r>
              <w:rPr>
                <w:noProof/>
              </w:rPr>
              <w:t>Mejnik</w:t>
            </w:r>
          </w:p>
        </w:tc>
        <w:tc>
          <w:tcPr>
            <w:tcW w:w="4065" w:type="dxa"/>
            <w:shd w:val="clear" w:color="auto" w:fill="C6EFCE"/>
            <w:noWrap/>
            <w:vAlign w:val="center"/>
          </w:tcPr>
          <w:p w14:paraId="50D9726A" w14:textId="77777777" w:rsidR="00154E32" w:rsidRDefault="00A43E04">
            <w:pPr>
              <w:pStyle w:val="P68B1DB1-Normal12"/>
              <w:jc w:val="center"/>
              <w:rPr>
                <w:noProof/>
              </w:rPr>
            </w:pPr>
            <w:r>
              <w:rPr>
                <w:noProof/>
              </w:rPr>
              <w:t xml:space="preserve">Naročila za izboljšanje ogrevalnih omrežij odda ministrstvo za ekološki prehod na podlagi javnega razpisa. </w:t>
            </w:r>
          </w:p>
        </w:tc>
      </w:tr>
      <w:tr w:rsidR="00154E32" w14:paraId="4C882B17" w14:textId="77777777">
        <w:trPr>
          <w:trHeight w:val="302"/>
        </w:trPr>
        <w:tc>
          <w:tcPr>
            <w:tcW w:w="1413" w:type="dxa"/>
            <w:shd w:val="clear" w:color="auto" w:fill="C6EFCE"/>
            <w:noWrap/>
            <w:vAlign w:val="center"/>
          </w:tcPr>
          <w:p w14:paraId="4C6ABE14" w14:textId="77777777" w:rsidR="00154E32" w:rsidRDefault="00A43E04">
            <w:pPr>
              <w:pStyle w:val="P68B1DB1-Normal12"/>
              <w:rPr>
                <w:noProof/>
              </w:rPr>
            </w:pPr>
            <w:r>
              <w:rPr>
                <w:noProof/>
              </w:rPr>
              <w:t>M2C4–19</w:t>
            </w:r>
          </w:p>
        </w:tc>
        <w:tc>
          <w:tcPr>
            <w:tcW w:w="3150" w:type="dxa"/>
            <w:shd w:val="clear" w:color="auto" w:fill="C6EFCE"/>
            <w:noWrap/>
            <w:vAlign w:val="center"/>
          </w:tcPr>
          <w:p w14:paraId="360AE387" w14:textId="77777777" w:rsidR="00154E32" w:rsidRDefault="00A43E04">
            <w:pPr>
              <w:pStyle w:val="P68B1DB1-Normal12"/>
              <w:rPr>
                <w:noProof/>
              </w:rPr>
            </w:pPr>
            <w:r>
              <w:rPr>
                <w:noProof/>
              </w:rPr>
              <w:t>Naložbe. 3.1: Varstvo in krepitev mestnih in primestnih gozdov</w:t>
            </w:r>
          </w:p>
        </w:tc>
        <w:tc>
          <w:tcPr>
            <w:tcW w:w="1485" w:type="dxa"/>
            <w:shd w:val="clear" w:color="auto" w:fill="C6EFCE"/>
            <w:noWrap/>
            <w:vAlign w:val="center"/>
          </w:tcPr>
          <w:p w14:paraId="5AC778D9" w14:textId="77777777" w:rsidR="00154E32" w:rsidRDefault="00A43E04">
            <w:pPr>
              <w:pStyle w:val="P68B1DB1-Normal12"/>
              <w:rPr>
                <w:noProof/>
              </w:rPr>
            </w:pPr>
            <w:r>
              <w:rPr>
                <w:noProof/>
              </w:rPr>
              <w:t>Tarča</w:t>
            </w:r>
          </w:p>
        </w:tc>
        <w:tc>
          <w:tcPr>
            <w:tcW w:w="4065" w:type="dxa"/>
            <w:shd w:val="clear" w:color="auto" w:fill="C6EFCE"/>
            <w:noWrap/>
            <w:vAlign w:val="center"/>
          </w:tcPr>
          <w:p w14:paraId="31740FA0" w14:textId="77777777" w:rsidR="00154E32" w:rsidRDefault="00A43E04">
            <w:pPr>
              <w:pStyle w:val="P68B1DB1-Normal12"/>
              <w:jc w:val="center"/>
              <w:rPr>
                <w:noProof/>
              </w:rPr>
            </w:pPr>
            <w:r>
              <w:rPr>
                <w:noProof/>
              </w:rPr>
              <w:t>Rastlinska drevesa za varstvo in valorizacijo mestnih in primestnih zelenih površin T1</w:t>
            </w:r>
          </w:p>
        </w:tc>
      </w:tr>
      <w:tr w:rsidR="00154E32" w14:paraId="09EBD27B" w14:textId="77777777">
        <w:trPr>
          <w:trHeight w:val="302"/>
        </w:trPr>
        <w:tc>
          <w:tcPr>
            <w:tcW w:w="1413" w:type="dxa"/>
            <w:shd w:val="clear" w:color="auto" w:fill="C6EFCE"/>
            <w:noWrap/>
            <w:vAlign w:val="center"/>
          </w:tcPr>
          <w:p w14:paraId="1EE9F384" w14:textId="77777777" w:rsidR="00154E32" w:rsidRDefault="00A43E04">
            <w:pPr>
              <w:pStyle w:val="P68B1DB1-Normal12"/>
              <w:rPr>
                <w:noProof/>
              </w:rPr>
            </w:pPr>
            <w:r>
              <w:rPr>
                <w:noProof/>
              </w:rPr>
              <w:t>M2C4–24</w:t>
            </w:r>
          </w:p>
        </w:tc>
        <w:tc>
          <w:tcPr>
            <w:tcW w:w="3150" w:type="dxa"/>
            <w:shd w:val="clear" w:color="auto" w:fill="C6EFCE"/>
            <w:noWrap/>
            <w:vAlign w:val="center"/>
          </w:tcPr>
          <w:p w14:paraId="102FC07C" w14:textId="77777777" w:rsidR="00154E32" w:rsidRDefault="00A43E04">
            <w:pPr>
              <w:pStyle w:val="P68B1DB1-Normal12"/>
              <w:rPr>
                <w:noProof/>
              </w:rPr>
            </w:pPr>
            <w:r>
              <w:rPr>
                <w:noProof/>
              </w:rPr>
              <w:t>Naložba 3.4. Sanacija tal na območjih sirote</w:t>
            </w:r>
          </w:p>
        </w:tc>
        <w:tc>
          <w:tcPr>
            <w:tcW w:w="1485" w:type="dxa"/>
            <w:shd w:val="clear" w:color="auto" w:fill="C6EFCE"/>
            <w:noWrap/>
            <w:vAlign w:val="center"/>
          </w:tcPr>
          <w:p w14:paraId="12F80B00" w14:textId="77777777" w:rsidR="00154E32" w:rsidRDefault="00A43E04">
            <w:pPr>
              <w:pStyle w:val="P68B1DB1-Normal12"/>
              <w:rPr>
                <w:noProof/>
              </w:rPr>
            </w:pPr>
            <w:r>
              <w:rPr>
                <w:noProof/>
              </w:rPr>
              <w:t>Mejnik</w:t>
            </w:r>
          </w:p>
        </w:tc>
        <w:tc>
          <w:tcPr>
            <w:tcW w:w="4065" w:type="dxa"/>
            <w:shd w:val="clear" w:color="auto" w:fill="C6EFCE"/>
            <w:noWrap/>
            <w:vAlign w:val="center"/>
          </w:tcPr>
          <w:p w14:paraId="50CAAA15" w14:textId="77777777" w:rsidR="00154E32" w:rsidRDefault="00A43E04">
            <w:pPr>
              <w:pStyle w:val="P68B1DB1-Normal12"/>
              <w:jc w:val="center"/>
              <w:rPr>
                <w:noProof/>
              </w:rPr>
            </w:pPr>
            <w:r>
              <w:rPr>
                <w:noProof/>
              </w:rPr>
              <w:t>Pravni okvir za sanacijo območij neznanega porekla</w:t>
            </w:r>
          </w:p>
        </w:tc>
      </w:tr>
      <w:tr w:rsidR="00154E32" w14:paraId="58EF84DC" w14:textId="77777777">
        <w:trPr>
          <w:trHeight w:val="302"/>
        </w:trPr>
        <w:tc>
          <w:tcPr>
            <w:tcW w:w="1413" w:type="dxa"/>
            <w:shd w:val="clear" w:color="auto" w:fill="C6EFCE"/>
            <w:noWrap/>
            <w:vAlign w:val="center"/>
          </w:tcPr>
          <w:p w14:paraId="36F66CE9" w14:textId="77777777" w:rsidR="00154E32" w:rsidRDefault="00A43E04">
            <w:pPr>
              <w:pStyle w:val="P68B1DB1-Normal12"/>
              <w:rPr>
                <w:noProof/>
              </w:rPr>
            </w:pPr>
            <w:r>
              <w:rPr>
                <w:noProof/>
              </w:rPr>
              <w:t>M3C1–3</w:t>
            </w:r>
          </w:p>
        </w:tc>
        <w:tc>
          <w:tcPr>
            <w:tcW w:w="3150" w:type="dxa"/>
            <w:shd w:val="clear" w:color="auto" w:fill="C6EFCE"/>
            <w:noWrap/>
            <w:vAlign w:val="center"/>
          </w:tcPr>
          <w:p w14:paraId="26BCF146" w14:textId="77777777" w:rsidR="00154E32" w:rsidRDefault="00A43E04">
            <w:pPr>
              <w:pStyle w:val="P68B1DB1-Normal12"/>
              <w:rPr>
                <w:noProof/>
              </w:rPr>
            </w:pPr>
            <w:r>
              <w:rPr>
                <w:noProof/>
              </w:rPr>
              <w:t>Naložba 1.1 – Železniške povezave z jugom za potnike in tovor</w:t>
            </w:r>
          </w:p>
        </w:tc>
        <w:tc>
          <w:tcPr>
            <w:tcW w:w="1485" w:type="dxa"/>
            <w:shd w:val="clear" w:color="auto" w:fill="C6EFCE"/>
            <w:noWrap/>
            <w:vAlign w:val="center"/>
          </w:tcPr>
          <w:p w14:paraId="3980E0F9" w14:textId="77777777" w:rsidR="00154E32" w:rsidRDefault="00A43E04">
            <w:pPr>
              <w:pStyle w:val="P68B1DB1-Normal12"/>
              <w:rPr>
                <w:noProof/>
              </w:rPr>
            </w:pPr>
            <w:r>
              <w:rPr>
                <w:noProof/>
              </w:rPr>
              <w:t>Mejnik</w:t>
            </w:r>
          </w:p>
        </w:tc>
        <w:tc>
          <w:tcPr>
            <w:tcW w:w="4065" w:type="dxa"/>
            <w:shd w:val="clear" w:color="auto" w:fill="C6EFCE"/>
            <w:noWrap/>
            <w:vAlign w:val="center"/>
          </w:tcPr>
          <w:p w14:paraId="2043826E" w14:textId="77777777" w:rsidR="00154E32" w:rsidRDefault="00A43E04">
            <w:pPr>
              <w:pStyle w:val="P68B1DB1-Normal12"/>
              <w:jc w:val="center"/>
              <w:rPr>
                <w:noProof/>
              </w:rPr>
            </w:pPr>
            <w:r>
              <w:rPr>
                <w:noProof/>
              </w:rPr>
              <w:t>Oddaja naročila za gradnjo železniške proge za visoke hitrosti na progah Napoli-Bari in Palermo-Catania</w:t>
            </w:r>
          </w:p>
        </w:tc>
      </w:tr>
      <w:tr w:rsidR="00154E32" w14:paraId="0F0BC34A" w14:textId="77777777">
        <w:trPr>
          <w:trHeight w:val="302"/>
        </w:trPr>
        <w:tc>
          <w:tcPr>
            <w:tcW w:w="1413" w:type="dxa"/>
            <w:shd w:val="clear" w:color="auto" w:fill="C6EFCE"/>
            <w:noWrap/>
            <w:vAlign w:val="center"/>
          </w:tcPr>
          <w:p w14:paraId="77C8D006" w14:textId="77777777" w:rsidR="00154E32" w:rsidRDefault="00A43E04">
            <w:pPr>
              <w:pStyle w:val="P68B1DB1-Normal12"/>
              <w:rPr>
                <w:noProof/>
              </w:rPr>
            </w:pPr>
            <w:r>
              <w:rPr>
                <w:noProof/>
              </w:rPr>
              <w:t>M3C1–12</w:t>
            </w:r>
          </w:p>
        </w:tc>
        <w:tc>
          <w:tcPr>
            <w:tcW w:w="3150" w:type="dxa"/>
            <w:shd w:val="clear" w:color="auto" w:fill="C6EFCE"/>
            <w:noWrap/>
            <w:vAlign w:val="center"/>
          </w:tcPr>
          <w:p w14:paraId="6DE169CB" w14:textId="77777777" w:rsidR="00154E32" w:rsidRDefault="00A43E04">
            <w:pPr>
              <w:pStyle w:val="P68B1DB1-Normal12"/>
              <w:rPr>
                <w:noProof/>
              </w:rPr>
            </w:pPr>
            <w:r>
              <w:rPr>
                <w:noProof/>
              </w:rPr>
              <w:t>Naložba 1.4 – Vzpostavitev evropskega sistema za upravljanje železniškega prometa (ERTMS)</w:t>
            </w:r>
          </w:p>
        </w:tc>
        <w:tc>
          <w:tcPr>
            <w:tcW w:w="1485" w:type="dxa"/>
            <w:shd w:val="clear" w:color="auto" w:fill="C6EFCE"/>
            <w:noWrap/>
            <w:vAlign w:val="center"/>
          </w:tcPr>
          <w:p w14:paraId="7BA47512" w14:textId="77777777" w:rsidR="00154E32" w:rsidRDefault="00A43E04">
            <w:pPr>
              <w:pStyle w:val="P68B1DB1-Normal12"/>
              <w:rPr>
                <w:noProof/>
              </w:rPr>
            </w:pPr>
            <w:r>
              <w:rPr>
                <w:noProof/>
              </w:rPr>
              <w:t>Mejnik</w:t>
            </w:r>
          </w:p>
        </w:tc>
        <w:tc>
          <w:tcPr>
            <w:tcW w:w="4065" w:type="dxa"/>
            <w:shd w:val="clear" w:color="auto" w:fill="C6EFCE"/>
            <w:noWrap/>
            <w:vAlign w:val="center"/>
          </w:tcPr>
          <w:p w14:paraId="6F2C3C21" w14:textId="77777777" w:rsidR="00154E32" w:rsidRDefault="00A43E04">
            <w:pPr>
              <w:pStyle w:val="P68B1DB1-Normal12"/>
              <w:jc w:val="center"/>
              <w:rPr>
                <w:noProof/>
              </w:rPr>
            </w:pPr>
            <w:r>
              <w:rPr>
                <w:noProof/>
              </w:rPr>
              <w:t>Oddaja naročil za evropski sistem za upravljanje železniškega prometa</w:t>
            </w:r>
          </w:p>
        </w:tc>
      </w:tr>
      <w:tr w:rsidR="00154E32" w14:paraId="6302813E" w14:textId="77777777">
        <w:trPr>
          <w:trHeight w:val="302"/>
        </w:trPr>
        <w:tc>
          <w:tcPr>
            <w:tcW w:w="1413" w:type="dxa"/>
            <w:shd w:val="clear" w:color="auto" w:fill="C6EFCE"/>
            <w:noWrap/>
            <w:vAlign w:val="center"/>
          </w:tcPr>
          <w:p w14:paraId="514FA6C1" w14:textId="77777777" w:rsidR="00154E32" w:rsidRDefault="00A43E04">
            <w:pPr>
              <w:pStyle w:val="P68B1DB1-Normal12"/>
              <w:rPr>
                <w:noProof/>
              </w:rPr>
            </w:pPr>
            <w:r>
              <w:rPr>
                <w:noProof/>
              </w:rPr>
              <w:t>M3C2–8</w:t>
            </w:r>
          </w:p>
        </w:tc>
        <w:tc>
          <w:tcPr>
            <w:tcW w:w="3150" w:type="dxa"/>
            <w:shd w:val="clear" w:color="auto" w:fill="C6EFCE"/>
            <w:noWrap/>
            <w:vAlign w:val="center"/>
          </w:tcPr>
          <w:p w14:paraId="77BD0EC7" w14:textId="77777777" w:rsidR="00154E32" w:rsidRDefault="00A43E04">
            <w:pPr>
              <w:pStyle w:val="P68B1DB1-Normal12"/>
              <w:rPr>
                <w:noProof/>
              </w:rPr>
            </w:pPr>
            <w:r>
              <w:rPr>
                <w:noProof/>
              </w:rPr>
              <w:t>Naložba 1.1: Zelena pristanišča: ukrepi na področju energije iz obnovljivih virov in energetske učinkovitosti v pristaniščih</w:t>
            </w:r>
          </w:p>
        </w:tc>
        <w:tc>
          <w:tcPr>
            <w:tcW w:w="1485" w:type="dxa"/>
            <w:shd w:val="clear" w:color="auto" w:fill="C6EFCE"/>
            <w:noWrap/>
            <w:vAlign w:val="center"/>
          </w:tcPr>
          <w:p w14:paraId="2AECF23D" w14:textId="77777777" w:rsidR="00154E32" w:rsidRDefault="00A43E04">
            <w:pPr>
              <w:pStyle w:val="P68B1DB1-Normal12"/>
              <w:rPr>
                <w:noProof/>
              </w:rPr>
            </w:pPr>
            <w:r>
              <w:rPr>
                <w:noProof/>
              </w:rPr>
              <w:t>Tarča</w:t>
            </w:r>
          </w:p>
        </w:tc>
        <w:tc>
          <w:tcPr>
            <w:tcW w:w="4065" w:type="dxa"/>
            <w:shd w:val="clear" w:color="auto" w:fill="C6EFCE"/>
            <w:noWrap/>
            <w:vAlign w:val="center"/>
          </w:tcPr>
          <w:p w14:paraId="5F15D112" w14:textId="77777777" w:rsidR="00154E32" w:rsidRDefault="00A43E04">
            <w:pPr>
              <w:pStyle w:val="P68B1DB1-Normal12"/>
              <w:jc w:val="center"/>
              <w:rPr>
                <w:noProof/>
              </w:rPr>
            </w:pPr>
            <w:r>
              <w:rPr>
                <w:noProof/>
              </w:rPr>
              <w:t>Zelena pristanišča: dodelitev del</w:t>
            </w:r>
          </w:p>
        </w:tc>
      </w:tr>
      <w:tr w:rsidR="00154E32" w14:paraId="0735D4C4" w14:textId="77777777">
        <w:trPr>
          <w:trHeight w:val="302"/>
        </w:trPr>
        <w:tc>
          <w:tcPr>
            <w:tcW w:w="1413" w:type="dxa"/>
            <w:shd w:val="clear" w:color="auto" w:fill="C6EFCE"/>
            <w:noWrap/>
            <w:vAlign w:val="center"/>
          </w:tcPr>
          <w:p w14:paraId="72252254" w14:textId="77777777" w:rsidR="00154E32" w:rsidRDefault="00A43E04">
            <w:pPr>
              <w:pStyle w:val="P68B1DB1-Normal12"/>
              <w:rPr>
                <w:noProof/>
              </w:rPr>
            </w:pPr>
            <w:r>
              <w:rPr>
                <w:noProof/>
              </w:rPr>
              <w:t>M4C1–29</w:t>
            </w:r>
          </w:p>
        </w:tc>
        <w:tc>
          <w:tcPr>
            <w:tcW w:w="3150" w:type="dxa"/>
            <w:shd w:val="clear" w:color="auto" w:fill="C6EFCE"/>
            <w:noWrap/>
            <w:vAlign w:val="center"/>
          </w:tcPr>
          <w:p w14:paraId="15A2E58E" w14:textId="77777777" w:rsidR="00154E32" w:rsidRDefault="00A43E04">
            <w:pPr>
              <w:pStyle w:val="P68B1DB1-Normal12"/>
              <w:rPr>
                <w:noProof/>
              </w:rPr>
            </w:pPr>
            <w:r>
              <w:rPr>
                <w:noProof/>
              </w:rPr>
              <w:t xml:space="preserve">Reforma 1.7: Reforma ureditve študentskih stanovanj in naložbe v študentska stanovanja </w:t>
            </w:r>
          </w:p>
        </w:tc>
        <w:tc>
          <w:tcPr>
            <w:tcW w:w="1485" w:type="dxa"/>
            <w:shd w:val="clear" w:color="auto" w:fill="C6EFCE"/>
            <w:noWrap/>
            <w:vAlign w:val="center"/>
          </w:tcPr>
          <w:p w14:paraId="254D47F0" w14:textId="77777777" w:rsidR="00154E32" w:rsidRDefault="00A43E04">
            <w:pPr>
              <w:pStyle w:val="P68B1DB1-Normal12"/>
              <w:rPr>
                <w:noProof/>
              </w:rPr>
            </w:pPr>
            <w:r>
              <w:rPr>
                <w:noProof/>
              </w:rPr>
              <w:t>Mejnik</w:t>
            </w:r>
          </w:p>
        </w:tc>
        <w:tc>
          <w:tcPr>
            <w:tcW w:w="4065" w:type="dxa"/>
            <w:shd w:val="clear" w:color="auto" w:fill="C6EFCE"/>
            <w:noWrap/>
            <w:vAlign w:val="center"/>
          </w:tcPr>
          <w:p w14:paraId="20CD8361" w14:textId="77777777" w:rsidR="00154E32" w:rsidRDefault="00A43E04">
            <w:pPr>
              <w:pStyle w:val="P68B1DB1-Normal12"/>
              <w:jc w:val="center"/>
              <w:rPr>
                <w:noProof/>
              </w:rPr>
            </w:pPr>
            <w:r>
              <w:rPr>
                <w:noProof/>
              </w:rPr>
              <w:t xml:space="preserve">Začetek veljavnosti reforme zakonodaje o študentskih stanovanjih.    </w:t>
            </w:r>
          </w:p>
        </w:tc>
      </w:tr>
      <w:tr w:rsidR="00154E32" w14:paraId="64A5021C" w14:textId="77777777">
        <w:trPr>
          <w:trHeight w:val="302"/>
        </w:trPr>
        <w:tc>
          <w:tcPr>
            <w:tcW w:w="1413" w:type="dxa"/>
            <w:shd w:val="clear" w:color="auto" w:fill="C6EFCE"/>
            <w:noWrap/>
            <w:vAlign w:val="center"/>
          </w:tcPr>
          <w:p w14:paraId="37302358" w14:textId="77777777" w:rsidR="00154E32" w:rsidRDefault="00A43E04">
            <w:pPr>
              <w:pStyle w:val="P68B1DB1-Normal12"/>
              <w:rPr>
                <w:noProof/>
              </w:rPr>
            </w:pPr>
            <w:r>
              <w:rPr>
                <w:noProof/>
              </w:rPr>
              <w:t>M5C2–13</w:t>
            </w:r>
          </w:p>
        </w:tc>
        <w:tc>
          <w:tcPr>
            <w:tcW w:w="3150" w:type="dxa"/>
            <w:shd w:val="clear" w:color="auto" w:fill="C6EFCE"/>
            <w:noWrap/>
            <w:vAlign w:val="center"/>
          </w:tcPr>
          <w:p w14:paraId="4CC8AD07" w14:textId="77777777" w:rsidR="00154E32" w:rsidRDefault="00A43E04">
            <w:pPr>
              <w:pStyle w:val="P68B1DB1-Normal12"/>
              <w:rPr>
                <w:noProof/>
              </w:rPr>
            </w:pPr>
            <w:r>
              <w:rPr>
                <w:noProof/>
              </w:rPr>
              <w:t>Naložba 5 – Celostni urbanistični načrti – splošni projekti</w:t>
            </w:r>
          </w:p>
        </w:tc>
        <w:tc>
          <w:tcPr>
            <w:tcW w:w="1485" w:type="dxa"/>
            <w:shd w:val="clear" w:color="auto" w:fill="C6EFCE"/>
            <w:noWrap/>
            <w:vAlign w:val="center"/>
          </w:tcPr>
          <w:p w14:paraId="49A2B903" w14:textId="77777777" w:rsidR="00154E32" w:rsidRDefault="00A43E04">
            <w:pPr>
              <w:pStyle w:val="P68B1DB1-Normal12"/>
              <w:rPr>
                <w:noProof/>
              </w:rPr>
            </w:pPr>
            <w:r>
              <w:rPr>
                <w:noProof/>
              </w:rPr>
              <w:t>Mejnik</w:t>
            </w:r>
          </w:p>
        </w:tc>
        <w:tc>
          <w:tcPr>
            <w:tcW w:w="4065" w:type="dxa"/>
            <w:shd w:val="clear" w:color="auto" w:fill="C6EFCE"/>
            <w:noWrap/>
            <w:vAlign w:val="center"/>
          </w:tcPr>
          <w:p w14:paraId="02A08F45" w14:textId="77777777" w:rsidR="00154E32" w:rsidRDefault="00A43E04">
            <w:pPr>
              <w:pStyle w:val="P68B1DB1-Normal12"/>
              <w:jc w:val="center"/>
              <w:rPr>
                <w:noProof/>
              </w:rPr>
            </w:pPr>
            <w:r>
              <w:rPr>
                <w:noProof/>
              </w:rPr>
              <w:t>Začetek veljavnosti naložbenega načrta za projekte oživljanja mest na metropolitanskih območjih</w:t>
            </w:r>
          </w:p>
        </w:tc>
      </w:tr>
      <w:tr w:rsidR="00154E32" w14:paraId="08A8E24F" w14:textId="77777777">
        <w:trPr>
          <w:trHeight w:val="302"/>
        </w:trPr>
        <w:tc>
          <w:tcPr>
            <w:tcW w:w="1413" w:type="dxa"/>
            <w:shd w:val="clear" w:color="auto" w:fill="C6EFCE"/>
            <w:noWrap/>
            <w:vAlign w:val="center"/>
          </w:tcPr>
          <w:p w14:paraId="294EE748" w14:textId="77777777" w:rsidR="00154E32" w:rsidRDefault="00A43E04">
            <w:pPr>
              <w:pStyle w:val="P68B1DB1-Normal12"/>
              <w:rPr>
                <w:noProof/>
              </w:rPr>
            </w:pPr>
            <w:r>
              <w:rPr>
                <w:noProof/>
              </w:rPr>
              <w:t>M6C2–7</w:t>
            </w:r>
          </w:p>
        </w:tc>
        <w:tc>
          <w:tcPr>
            <w:tcW w:w="3150" w:type="dxa"/>
            <w:shd w:val="clear" w:color="auto" w:fill="C6EFCE"/>
            <w:noWrap/>
            <w:vAlign w:val="center"/>
          </w:tcPr>
          <w:p w14:paraId="530B9058" w14:textId="77777777" w:rsidR="00154E32" w:rsidRDefault="00A43E04">
            <w:pPr>
              <w:pStyle w:val="P68B1DB1-Normal48"/>
              <w:rPr>
                <w:noProof/>
                <w:color w:val="006100"/>
              </w:rPr>
            </w:pPr>
            <w:r>
              <w:rPr>
                <w:noProof/>
              </w:rPr>
              <w:t>Naložba 1.1: Digitalna posodobitev tehnološke opreme bolnišnic</w:t>
            </w:r>
          </w:p>
        </w:tc>
        <w:tc>
          <w:tcPr>
            <w:tcW w:w="1485" w:type="dxa"/>
            <w:shd w:val="clear" w:color="auto" w:fill="C6EFCE"/>
            <w:noWrap/>
            <w:vAlign w:val="center"/>
          </w:tcPr>
          <w:p w14:paraId="7DAD5BFA" w14:textId="77777777" w:rsidR="00154E32" w:rsidRDefault="00A43E04">
            <w:pPr>
              <w:pStyle w:val="P68B1DB1-Normal48"/>
              <w:rPr>
                <w:noProof/>
                <w:color w:val="006100"/>
              </w:rPr>
            </w:pPr>
            <w:r>
              <w:rPr>
                <w:noProof/>
              </w:rPr>
              <w:t>Mejnik</w:t>
            </w:r>
          </w:p>
        </w:tc>
        <w:tc>
          <w:tcPr>
            <w:tcW w:w="4065" w:type="dxa"/>
            <w:shd w:val="clear" w:color="auto" w:fill="C6EFCE"/>
            <w:noWrap/>
            <w:vAlign w:val="center"/>
          </w:tcPr>
          <w:p w14:paraId="7EAE881E" w14:textId="77777777" w:rsidR="00154E32" w:rsidRDefault="00A43E04">
            <w:pPr>
              <w:pStyle w:val="P68B1DB1-Normal48"/>
              <w:jc w:val="center"/>
              <w:rPr>
                <w:noProof/>
              </w:rPr>
            </w:pPr>
            <w:r>
              <w:rPr>
                <w:noProof/>
              </w:rPr>
              <w:t>Oddaja vseh javnih naročil</w:t>
            </w:r>
          </w:p>
        </w:tc>
      </w:tr>
      <w:tr w:rsidR="00154E32" w14:paraId="062D1D70" w14:textId="77777777">
        <w:trPr>
          <w:trHeight w:val="302"/>
        </w:trPr>
        <w:tc>
          <w:tcPr>
            <w:tcW w:w="1413" w:type="dxa"/>
            <w:shd w:val="clear" w:color="auto" w:fill="C6EFCE"/>
            <w:noWrap/>
            <w:vAlign w:val="bottom"/>
          </w:tcPr>
          <w:p w14:paraId="51FEAA78" w14:textId="77777777" w:rsidR="00154E32" w:rsidRDefault="00154E32">
            <w:pPr>
              <w:jc w:val="center"/>
              <w:rPr>
                <w:noProof/>
                <w:color w:val="006100"/>
                <w:sz w:val="20"/>
              </w:rPr>
            </w:pPr>
          </w:p>
        </w:tc>
        <w:tc>
          <w:tcPr>
            <w:tcW w:w="3150" w:type="dxa"/>
            <w:shd w:val="clear" w:color="auto" w:fill="C6EFCE"/>
            <w:noWrap/>
            <w:vAlign w:val="bottom"/>
          </w:tcPr>
          <w:p w14:paraId="31DE9928" w14:textId="77777777" w:rsidR="00154E32" w:rsidRDefault="00154E32">
            <w:pPr>
              <w:rPr>
                <w:noProof/>
                <w:color w:val="006100"/>
                <w:sz w:val="20"/>
              </w:rPr>
            </w:pPr>
          </w:p>
        </w:tc>
        <w:tc>
          <w:tcPr>
            <w:tcW w:w="1485" w:type="dxa"/>
            <w:shd w:val="clear" w:color="auto" w:fill="C6EFCE"/>
            <w:noWrap/>
            <w:vAlign w:val="bottom"/>
          </w:tcPr>
          <w:p w14:paraId="43A66C06" w14:textId="77777777" w:rsidR="00154E32" w:rsidRDefault="00A43E04">
            <w:pPr>
              <w:pStyle w:val="P68B1DB1-Normal12"/>
              <w:rPr>
                <w:noProof/>
              </w:rPr>
            </w:pPr>
            <w:r>
              <w:rPr>
                <w:noProof/>
              </w:rPr>
              <w:t>Znesek obroka</w:t>
            </w:r>
          </w:p>
        </w:tc>
        <w:tc>
          <w:tcPr>
            <w:tcW w:w="4065" w:type="dxa"/>
            <w:shd w:val="clear" w:color="auto" w:fill="C6EFCE"/>
            <w:noWrap/>
            <w:vAlign w:val="bottom"/>
          </w:tcPr>
          <w:p w14:paraId="628AE982" w14:textId="6B67E6C7" w:rsidR="00154E32" w:rsidRDefault="00A43E04">
            <w:pPr>
              <w:pStyle w:val="P68B1DB1-Normal46"/>
              <w:rPr>
                <w:noProof/>
              </w:rPr>
            </w:pPr>
            <w:r>
              <w:rPr>
                <w:noProof/>
              </w:rPr>
              <w:t>9</w:t>
            </w:r>
            <w:r>
              <w:rPr>
                <w:noProof/>
              </w:rPr>
              <w:t> </w:t>
            </w:r>
            <w:r>
              <w:rPr>
                <w:noProof/>
              </w:rPr>
              <w:t>825</w:t>
            </w:r>
            <w:r>
              <w:rPr>
                <w:noProof/>
              </w:rPr>
              <w:t> </w:t>
            </w:r>
            <w:r>
              <w:rPr>
                <w:noProof/>
              </w:rPr>
              <w:t>328</w:t>
            </w:r>
            <w:r>
              <w:rPr>
                <w:noProof/>
              </w:rPr>
              <w:t> </w:t>
            </w:r>
            <w:r>
              <w:rPr>
                <w:noProof/>
              </w:rPr>
              <w:t>389</w:t>
            </w:r>
            <w:r>
              <w:rPr>
                <w:noProof/>
              </w:rPr>
              <w:t> </w:t>
            </w:r>
            <w:r>
              <w:rPr>
                <w:noProof/>
              </w:rPr>
              <w:t>EUR</w:t>
            </w:r>
          </w:p>
        </w:tc>
      </w:tr>
    </w:tbl>
    <w:p w14:paraId="4CE29C51" w14:textId="77777777" w:rsidR="00154E32" w:rsidRDefault="00A43E04">
      <w:pPr>
        <w:pStyle w:val="P68B1DB1-Normal44"/>
        <w:spacing w:after="200" w:line="276" w:lineRule="auto"/>
        <w:rPr>
          <w:noProof/>
        </w:rPr>
      </w:pPr>
      <w:r>
        <w:rPr>
          <w:noProof/>
        </w:rPr>
        <w:br w:type="page"/>
      </w:r>
    </w:p>
    <w:p w14:paraId="253E5AD1" w14:textId="1478D9BA" w:rsidR="00154E32" w:rsidRDefault="00A43E04">
      <w:pPr>
        <w:pStyle w:val="P68B1DB1-Normal44"/>
        <w:numPr>
          <w:ilvl w:val="1"/>
          <w:numId w:val="6"/>
        </w:numPr>
        <w:spacing w:before="120" w:after="120"/>
        <w:jc w:val="both"/>
        <w:rPr>
          <w:noProof/>
        </w:rPr>
      </w:pPr>
      <w:r>
        <w:rPr>
          <w:noProof/>
        </w:rPr>
        <w:t>Četrta namestitev (podpora za posojila):</w:t>
      </w:r>
    </w:p>
    <w:tbl>
      <w:tblPr>
        <w:tblW w:w="101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65"/>
        <w:gridCol w:w="1468"/>
        <w:gridCol w:w="4095"/>
      </w:tblGrid>
      <w:tr w:rsidR="00154E32" w14:paraId="2C8A1A66" w14:textId="77777777">
        <w:trPr>
          <w:trHeight w:val="906"/>
          <w:tblHeader/>
        </w:trPr>
        <w:tc>
          <w:tcPr>
            <w:tcW w:w="1413" w:type="dxa"/>
            <w:vMerge w:val="restart"/>
            <w:shd w:val="clear" w:color="auto" w:fill="BDD7EE"/>
            <w:vAlign w:val="center"/>
            <w:hideMark/>
          </w:tcPr>
          <w:p w14:paraId="1652294F" w14:textId="77777777" w:rsidR="00154E32" w:rsidRDefault="00A43E04">
            <w:pPr>
              <w:pStyle w:val="P68B1DB1-Normal45"/>
              <w:jc w:val="center"/>
              <w:rPr>
                <w:noProof/>
              </w:rPr>
            </w:pPr>
            <w:r>
              <w:rPr>
                <w:noProof/>
              </w:rPr>
              <w:t>Zaporedna številka</w:t>
            </w:r>
          </w:p>
        </w:tc>
        <w:tc>
          <w:tcPr>
            <w:tcW w:w="3165" w:type="dxa"/>
            <w:vMerge w:val="restart"/>
            <w:shd w:val="clear" w:color="auto" w:fill="BDD7EE"/>
            <w:vAlign w:val="center"/>
            <w:hideMark/>
          </w:tcPr>
          <w:p w14:paraId="69076A27" w14:textId="77777777" w:rsidR="00154E32" w:rsidRDefault="00A43E04">
            <w:pPr>
              <w:pStyle w:val="P68B1DB1-Normal45"/>
              <w:jc w:val="center"/>
              <w:rPr>
                <w:noProof/>
              </w:rPr>
            </w:pPr>
            <w:r>
              <w:rPr>
                <w:noProof/>
              </w:rPr>
              <w:t>Povezani ukrep (reforma ali naložba)</w:t>
            </w:r>
          </w:p>
        </w:tc>
        <w:tc>
          <w:tcPr>
            <w:tcW w:w="1468" w:type="dxa"/>
            <w:vMerge w:val="restart"/>
            <w:shd w:val="clear" w:color="auto" w:fill="BDD7EE"/>
            <w:vAlign w:val="center"/>
            <w:hideMark/>
          </w:tcPr>
          <w:p w14:paraId="5C805A0D" w14:textId="77777777" w:rsidR="00154E32" w:rsidRDefault="00A43E04">
            <w:pPr>
              <w:pStyle w:val="P68B1DB1-Normal45"/>
              <w:jc w:val="center"/>
              <w:rPr>
                <w:noProof/>
              </w:rPr>
            </w:pPr>
            <w:r>
              <w:rPr>
                <w:noProof/>
              </w:rPr>
              <w:t>Mejnik/cilj</w:t>
            </w:r>
          </w:p>
        </w:tc>
        <w:tc>
          <w:tcPr>
            <w:tcW w:w="4095" w:type="dxa"/>
            <w:vMerge w:val="restart"/>
            <w:shd w:val="clear" w:color="auto" w:fill="BDD7EE"/>
            <w:vAlign w:val="center"/>
            <w:hideMark/>
          </w:tcPr>
          <w:p w14:paraId="430B88C1" w14:textId="77777777" w:rsidR="00154E32" w:rsidRDefault="00A43E04">
            <w:pPr>
              <w:pStyle w:val="P68B1DB1-Normal45"/>
              <w:jc w:val="center"/>
              <w:rPr>
                <w:noProof/>
              </w:rPr>
            </w:pPr>
            <w:r>
              <w:rPr>
                <w:noProof/>
              </w:rPr>
              <w:t>Ime</w:t>
            </w:r>
          </w:p>
        </w:tc>
      </w:tr>
      <w:tr w:rsidR="00154E32" w14:paraId="72A0592F" w14:textId="77777777">
        <w:trPr>
          <w:trHeight w:val="517"/>
        </w:trPr>
        <w:tc>
          <w:tcPr>
            <w:tcW w:w="1413" w:type="dxa"/>
            <w:vMerge/>
            <w:vAlign w:val="center"/>
            <w:hideMark/>
          </w:tcPr>
          <w:p w14:paraId="49237D11" w14:textId="77777777" w:rsidR="00154E32" w:rsidRDefault="00154E32">
            <w:pPr>
              <w:rPr>
                <w:b/>
                <w:noProof/>
              </w:rPr>
            </w:pPr>
          </w:p>
        </w:tc>
        <w:tc>
          <w:tcPr>
            <w:tcW w:w="3165" w:type="dxa"/>
            <w:vMerge/>
            <w:vAlign w:val="center"/>
            <w:hideMark/>
          </w:tcPr>
          <w:p w14:paraId="7181CFFC" w14:textId="77777777" w:rsidR="00154E32" w:rsidRDefault="00154E32">
            <w:pPr>
              <w:rPr>
                <w:b/>
                <w:noProof/>
              </w:rPr>
            </w:pPr>
          </w:p>
        </w:tc>
        <w:tc>
          <w:tcPr>
            <w:tcW w:w="1468" w:type="dxa"/>
            <w:vMerge/>
            <w:vAlign w:val="center"/>
            <w:hideMark/>
          </w:tcPr>
          <w:p w14:paraId="1C14FC72" w14:textId="77777777" w:rsidR="00154E32" w:rsidRDefault="00154E32">
            <w:pPr>
              <w:rPr>
                <w:b/>
                <w:noProof/>
              </w:rPr>
            </w:pPr>
          </w:p>
        </w:tc>
        <w:tc>
          <w:tcPr>
            <w:tcW w:w="4095" w:type="dxa"/>
            <w:vMerge/>
            <w:vAlign w:val="center"/>
            <w:hideMark/>
          </w:tcPr>
          <w:p w14:paraId="6C256BAA" w14:textId="77777777" w:rsidR="00154E32" w:rsidRDefault="00154E32">
            <w:pPr>
              <w:rPr>
                <w:b/>
                <w:noProof/>
              </w:rPr>
            </w:pPr>
          </w:p>
        </w:tc>
      </w:tr>
      <w:tr w:rsidR="00154E32" w14:paraId="1417C069" w14:textId="77777777">
        <w:trPr>
          <w:trHeight w:val="302"/>
        </w:trPr>
        <w:tc>
          <w:tcPr>
            <w:tcW w:w="1413" w:type="dxa"/>
            <w:shd w:val="clear" w:color="auto" w:fill="C6EFCE"/>
            <w:noWrap/>
            <w:vAlign w:val="center"/>
          </w:tcPr>
          <w:p w14:paraId="0C8A46CE" w14:textId="77777777" w:rsidR="00154E32" w:rsidRDefault="00A43E04">
            <w:pPr>
              <w:pStyle w:val="P68B1DB1-Normal12"/>
              <w:rPr>
                <w:noProof/>
              </w:rPr>
            </w:pPr>
            <w:r>
              <w:rPr>
                <w:noProof/>
              </w:rPr>
              <w:t>M1C1–125</w:t>
            </w:r>
          </w:p>
        </w:tc>
        <w:tc>
          <w:tcPr>
            <w:tcW w:w="3165" w:type="dxa"/>
            <w:shd w:val="clear" w:color="auto" w:fill="C6EFCE"/>
            <w:noWrap/>
            <w:vAlign w:val="center"/>
          </w:tcPr>
          <w:p w14:paraId="2FCB0183" w14:textId="77777777" w:rsidR="00154E32" w:rsidRDefault="00A43E04">
            <w:pPr>
              <w:pStyle w:val="P68B1DB1-Normal12"/>
              <w:rPr>
                <w:noProof/>
              </w:rPr>
            </w:pPr>
            <w:r>
              <w:rPr>
                <w:noProof/>
              </w:rPr>
              <w:t>Naložba 1.2 – Omogočanje oblaka za lokalne pripravljalne ukrepe</w:t>
            </w:r>
          </w:p>
        </w:tc>
        <w:tc>
          <w:tcPr>
            <w:tcW w:w="1468" w:type="dxa"/>
            <w:shd w:val="clear" w:color="auto" w:fill="C6EFCE"/>
            <w:noWrap/>
            <w:vAlign w:val="center"/>
          </w:tcPr>
          <w:p w14:paraId="1A05CCAB" w14:textId="77777777" w:rsidR="00154E32" w:rsidRDefault="00A43E04">
            <w:pPr>
              <w:pStyle w:val="P68B1DB1-Normal12"/>
              <w:rPr>
                <w:noProof/>
              </w:rPr>
            </w:pPr>
            <w:r>
              <w:rPr>
                <w:noProof/>
              </w:rPr>
              <w:t>Mejnik</w:t>
            </w:r>
          </w:p>
        </w:tc>
        <w:tc>
          <w:tcPr>
            <w:tcW w:w="4095" w:type="dxa"/>
            <w:shd w:val="clear" w:color="auto" w:fill="C6EFCE"/>
            <w:noWrap/>
            <w:vAlign w:val="center"/>
          </w:tcPr>
          <w:p w14:paraId="6B8979EF" w14:textId="77777777" w:rsidR="00154E32" w:rsidRDefault="00A43E04">
            <w:pPr>
              <w:pStyle w:val="P68B1DB1-Normal12"/>
              <w:jc w:val="center"/>
              <w:rPr>
                <w:noProof/>
              </w:rPr>
            </w:pPr>
            <w:r>
              <w:rPr>
                <w:noProof/>
              </w:rPr>
              <w:t>Oddaja (vseh) javnih razpisov za omogočanje računalništva v oblaku za razpise za lokalno javno upravo</w:t>
            </w:r>
          </w:p>
        </w:tc>
      </w:tr>
      <w:tr w:rsidR="00154E32" w14:paraId="7324A748" w14:textId="77777777">
        <w:trPr>
          <w:trHeight w:val="302"/>
        </w:trPr>
        <w:tc>
          <w:tcPr>
            <w:tcW w:w="1413" w:type="dxa"/>
            <w:shd w:val="clear" w:color="auto" w:fill="C6EFCE"/>
            <w:noWrap/>
            <w:vAlign w:val="center"/>
          </w:tcPr>
          <w:p w14:paraId="6E3D35E9" w14:textId="77777777" w:rsidR="00154E32" w:rsidRDefault="00A43E04">
            <w:pPr>
              <w:pStyle w:val="P68B1DB1-Normal12"/>
              <w:rPr>
                <w:noProof/>
              </w:rPr>
            </w:pPr>
            <w:r>
              <w:rPr>
                <w:noProof/>
              </w:rPr>
              <w:t>M1C2–22</w:t>
            </w:r>
          </w:p>
        </w:tc>
        <w:tc>
          <w:tcPr>
            <w:tcW w:w="3165" w:type="dxa"/>
            <w:shd w:val="clear" w:color="auto" w:fill="C6EFCE"/>
            <w:noWrap/>
            <w:vAlign w:val="center"/>
          </w:tcPr>
          <w:p w14:paraId="3D4A2D92" w14:textId="77777777" w:rsidR="00154E32" w:rsidRDefault="00A43E04">
            <w:pPr>
              <w:pStyle w:val="P68B1DB1-Normal12"/>
              <w:rPr>
                <w:noProof/>
              </w:rPr>
            </w:pPr>
            <w:r>
              <w:rPr>
                <w:noProof/>
              </w:rPr>
              <w:t>Naložba 4: Satelitska tehnologija in vesoljsko gospodarstvo</w:t>
            </w:r>
          </w:p>
        </w:tc>
        <w:tc>
          <w:tcPr>
            <w:tcW w:w="1468" w:type="dxa"/>
            <w:shd w:val="clear" w:color="auto" w:fill="C6EFCE"/>
            <w:noWrap/>
            <w:vAlign w:val="center"/>
          </w:tcPr>
          <w:p w14:paraId="61C312AD" w14:textId="77777777" w:rsidR="00154E32" w:rsidRDefault="00A43E04">
            <w:pPr>
              <w:pStyle w:val="P68B1DB1-Normal12"/>
              <w:rPr>
                <w:noProof/>
              </w:rPr>
            </w:pPr>
            <w:r>
              <w:rPr>
                <w:noProof/>
              </w:rPr>
              <w:t>Mejnik</w:t>
            </w:r>
          </w:p>
        </w:tc>
        <w:tc>
          <w:tcPr>
            <w:tcW w:w="4095" w:type="dxa"/>
            <w:shd w:val="clear" w:color="auto" w:fill="C6EFCE"/>
            <w:noWrap/>
            <w:vAlign w:val="center"/>
          </w:tcPr>
          <w:p w14:paraId="13B0727B" w14:textId="77777777" w:rsidR="00154E32" w:rsidRDefault="00A43E04">
            <w:pPr>
              <w:pStyle w:val="P68B1DB1-Normal12"/>
              <w:jc w:val="center"/>
              <w:rPr>
                <w:noProof/>
              </w:rPr>
            </w:pPr>
            <w:r>
              <w:rPr>
                <w:noProof/>
              </w:rPr>
              <w:t>Oddaja vseh javnih naročil za projekte satelitske tehnologije in vesolja</w:t>
            </w:r>
          </w:p>
        </w:tc>
      </w:tr>
      <w:tr w:rsidR="00154E32" w14:paraId="5A986F18" w14:textId="77777777">
        <w:trPr>
          <w:trHeight w:val="302"/>
        </w:trPr>
        <w:tc>
          <w:tcPr>
            <w:tcW w:w="1413" w:type="dxa"/>
            <w:shd w:val="clear" w:color="auto" w:fill="C6EFCE"/>
            <w:noWrap/>
            <w:vAlign w:val="center"/>
          </w:tcPr>
          <w:p w14:paraId="603263C0" w14:textId="77777777" w:rsidR="00154E32" w:rsidRDefault="00A43E04">
            <w:pPr>
              <w:pStyle w:val="P68B1DB1-Normal12"/>
              <w:rPr>
                <w:noProof/>
              </w:rPr>
            </w:pPr>
            <w:r>
              <w:rPr>
                <w:noProof/>
              </w:rPr>
              <w:t>M2C2–48</w:t>
            </w:r>
          </w:p>
        </w:tc>
        <w:tc>
          <w:tcPr>
            <w:tcW w:w="3165" w:type="dxa"/>
            <w:shd w:val="clear" w:color="auto" w:fill="C6EFCE"/>
            <w:noWrap/>
            <w:vAlign w:val="center"/>
          </w:tcPr>
          <w:p w14:paraId="08299A7D" w14:textId="77777777" w:rsidR="00154E32" w:rsidRDefault="00A43E04">
            <w:pPr>
              <w:pStyle w:val="P68B1DB1-Normal12"/>
              <w:rPr>
                <w:noProof/>
              </w:rPr>
            </w:pPr>
            <w:r>
              <w:rPr>
                <w:noProof/>
              </w:rPr>
              <w:t>Naložba 3.1 Proizvodnja vodika na degradiranih območjih (hidrogenska dolina)</w:t>
            </w:r>
          </w:p>
        </w:tc>
        <w:tc>
          <w:tcPr>
            <w:tcW w:w="1468" w:type="dxa"/>
            <w:shd w:val="clear" w:color="auto" w:fill="C6EFCE"/>
            <w:noWrap/>
            <w:vAlign w:val="center"/>
          </w:tcPr>
          <w:p w14:paraId="3F1869CE" w14:textId="77777777" w:rsidR="00154E32" w:rsidRDefault="00A43E04">
            <w:pPr>
              <w:pStyle w:val="P68B1DB1-Normal12"/>
              <w:rPr>
                <w:noProof/>
              </w:rPr>
            </w:pPr>
            <w:r>
              <w:rPr>
                <w:noProof/>
              </w:rPr>
              <w:t>Mejnik</w:t>
            </w:r>
          </w:p>
        </w:tc>
        <w:tc>
          <w:tcPr>
            <w:tcW w:w="4095" w:type="dxa"/>
            <w:shd w:val="clear" w:color="auto" w:fill="C6EFCE"/>
            <w:noWrap/>
            <w:vAlign w:val="center"/>
          </w:tcPr>
          <w:p w14:paraId="269FC6C0" w14:textId="77777777" w:rsidR="00154E32" w:rsidRDefault="00A43E04">
            <w:pPr>
              <w:pStyle w:val="P68B1DB1-Normal12"/>
              <w:jc w:val="center"/>
              <w:rPr>
                <w:noProof/>
              </w:rPr>
            </w:pPr>
            <w:r>
              <w:rPr>
                <w:noProof/>
              </w:rPr>
              <w:t>Oddaja vseh javnih naročil za projekte proizvodnje vodika v zapuščenih industrijskih središčih</w:t>
            </w:r>
          </w:p>
        </w:tc>
      </w:tr>
      <w:tr w:rsidR="00154E32" w14:paraId="3D9F8EE0" w14:textId="77777777">
        <w:trPr>
          <w:trHeight w:val="302"/>
        </w:trPr>
        <w:tc>
          <w:tcPr>
            <w:tcW w:w="1413" w:type="dxa"/>
            <w:shd w:val="clear" w:color="auto" w:fill="C6EFCE"/>
            <w:noWrap/>
            <w:vAlign w:val="center"/>
          </w:tcPr>
          <w:p w14:paraId="24EAC02A" w14:textId="77777777" w:rsidR="00154E32" w:rsidRDefault="00A43E04">
            <w:pPr>
              <w:pStyle w:val="P68B1DB1-Normal12"/>
              <w:rPr>
                <w:noProof/>
              </w:rPr>
            </w:pPr>
            <w:r>
              <w:rPr>
                <w:noProof/>
              </w:rPr>
              <w:t>M2C2–50</w:t>
            </w:r>
          </w:p>
        </w:tc>
        <w:tc>
          <w:tcPr>
            <w:tcW w:w="3165" w:type="dxa"/>
            <w:shd w:val="clear" w:color="auto" w:fill="C6EFCE"/>
            <w:noWrap/>
            <w:vAlign w:val="center"/>
          </w:tcPr>
          <w:p w14:paraId="5CDAD9EE" w14:textId="77777777" w:rsidR="00154E32" w:rsidRDefault="00A43E04">
            <w:pPr>
              <w:pStyle w:val="P68B1DB1-Normal12"/>
              <w:rPr>
                <w:noProof/>
              </w:rPr>
            </w:pPr>
            <w:r>
              <w:rPr>
                <w:noProof/>
              </w:rPr>
              <w:t>Naložba 3.2 Uporaba vodika v industriji, v kateri je težko zmanjšati emisije</w:t>
            </w:r>
          </w:p>
        </w:tc>
        <w:tc>
          <w:tcPr>
            <w:tcW w:w="1468" w:type="dxa"/>
            <w:shd w:val="clear" w:color="auto" w:fill="C6EFCE"/>
            <w:noWrap/>
            <w:vAlign w:val="center"/>
          </w:tcPr>
          <w:p w14:paraId="52E77506" w14:textId="77777777" w:rsidR="00154E32" w:rsidRDefault="00A43E04">
            <w:pPr>
              <w:pStyle w:val="P68B1DB1-Normal12"/>
              <w:rPr>
                <w:noProof/>
              </w:rPr>
            </w:pPr>
            <w:r>
              <w:rPr>
                <w:noProof/>
              </w:rPr>
              <w:t>Mejnik</w:t>
            </w:r>
          </w:p>
        </w:tc>
        <w:tc>
          <w:tcPr>
            <w:tcW w:w="4095" w:type="dxa"/>
            <w:shd w:val="clear" w:color="auto" w:fill="C6EFCE"/>
            <w:noWrap/>
            <w:vAlign w:val="center"/>
          </w:tcPr>
          <w:p w14:paraId="148140CC" w14:textId="77777777" w:rsidR="00154E32" w:rsidRDefault="00A43E04">
            <w:pPr>
              <w:pStyle w:val="P68B1DB1-Normal12"/>
              <w:jc w:val="center"/>
              <w:rPr>
                <w:noProof/>
              </w:rPr>
            </w:pPr>
            <w:r>
              <w:rPr>
                <w:noProof/>
              </w:rPr>
              <w:t>Dogovor o spodbujanju prehoda z metana na zeleni vodik</w:t>
            </w:r>
          </w:p>
        </w:tc>
      </w:tr>
      <w:tr w:rsidR="00154E32" w14:paraId="03A13CBD" w14:textId="77777777">
        <w:trPr>
          <w:trHeight w:val="302"/>
        </w:trPr>
        <w:tc>
          <w:tcPr>
            <w:tcW w:w="1413" w:type="dxa"/>
            <w:shd w:val="clear" w:color="auto" w:fill="C6EFCE"/>
            <w:noWrap/>
            <w:vAlign w:val="center"/>
          </w:tcPr>
          <w:p w14:paraId="2D390D21" w14:textId="77777777" w:rsidR="00154E32" w:rsidRDefault="00A43E04">
            <w:pPr>
              <w:pStyle w:val="P68B1DB1-Normal12"/>
              <w:rPr>
                <w:noProof/>
              </w:rPr>
            </w:pPr>
            <w:r>
              <w:rPr>
                <w:noProof/>
              </w:rPr>
              <w:t>M5C2–21</w:t>
            </w:r>
          </w:p>
        </w:tc>
        <w:tc>
          <w:tcPr>
            <w:tcW w:w="3165" w:type="dxa"/>
            <w:shd w:val="clear" w:color="auto" w:fill="C6EFCE"/>
            <w:noWrap/>
            <w:vAlign w:val="center"/>
          </w:tcPr>
          <w:p w14:paraId="00B97818" w14:textId="77777777" w:rsidR="00154E32" w:rsidRDefault="00A43E04">
            <w:pPr>
              <w:pStyle w:val="P68B1DB1-Normal12"/>
              <w:rPr>
                <w:noProof/>
              </w:rPr>
            </w:pPr>
            <w:r>
              <w:rPr>
                <w:noProof/>
              </w:rPr>
              <w:t>Naložba 7 – Projekt za šport in socialno vključenost</w:t>
            </w:r>
          </w:p>
        </w:tc>
        <w:tc>
          <w:tcPr>
            <w:tcW w:w="1468" w:type="dxa"/>
            <w:shd w:val="clear" w:color="auto" w:fill="C6EFCE"/>
            <w:noWrap/>
            <w:vAlign w:val="center"/>
          </w:tcPr>
          <w:p w14:paraId="6640E0AC" w14:textId="77777777" w:rsidR="00154E32" w:rsidRDefault="00A43E04">
            <w:pPr>
              <w:pStyle w:val="P68B1DB1-Normal12"/>
              <w:rPr>
                <w:noProof/>
              </w:rPr>
            </w:pPr>
            <w:r>
              <w:rPr>
                <w:noProof/>
              </w:rPr>
              <w:t>Mejnik</w:t>
            </w:r>
          </w:p>
        </w:tc>
        <w:tc>
          <w:tcPr>
            <w:tcW w:w="4095" w:type="dxa"/>
            <w:shd w:val="clear" w:color="auto" w:fill="C6EFCE"/>
            <w:noWrap/>
            <w:vAlign w:val="center"/>
          </w:tcPr>
          <w:p w14:paraId="61F809EA" w14:textId="77777777" w:rsidR="00154E32" w:rsidRDefault="00A43E04">
            <w:pPr>
              <w:pStyle w:val="P68B1DB1-Normal12"/>
              <w:jc w:val="center"/>
              <w:rPr>
                <w:noProof/>
              </w:rPr>
            </w:pPr>
            <w:r>
              <w:rPr>
                <w:noProof/>
              </w:rPr>
              <w:t>Oddaja vseh javnih naročil za projekte na področju športa in socialne vključenosti na podlagi javnega razpisa za zbiranje predlogov</w:t>
            </w:r>
          </w:p>
        </w:tc>
      </w:tr>
      <w:tr w:rsidR="00154E32" w14:paraId="5BEB90CE" w14:textId="77777777">
        <w:trPr>
          <w:trHeight w:val="302"/>
        </w:trPr>
        <w:tc>
          <w:tcPr>
            <w:tcW w:w="1413" w:type="dxa"/>
            <w:shd w:val="clear" w:color="auto" w:fill="C6EFCE"/>
            <w:noWrap/>
            <w:vAlign w:val="center"/>
          </w:tcPr>
          <w:p w14:paraId="5BA3D342" w14:textId="77777777" w:rsidR="00154E32" w:rsidRDefault="00A43E04">
            <w:pPr>
              <w:pStyle w:val="P68B1DB1-Normal12"/>
              <w:rPr>
                <w:noProof/>
              </w:rPr>
            </w:pPr>
            <w:r>
              <w:rPr>
                <w:noProof/>
              </w:rPr>
              <w:t>M1C3–20</w:t>
            </w:r>
          </w:p>
        </w:tc>
        <w:tc>
          <w:tcPr>
            <w:tcW w:w="3165" w:type="dxa"/>
            <w:shd w:val="clear" w:color="auto" w:fill="C6EFCE"/>
            <w:noWrap/>
            <w:vAlign w:val="center"/>
          </w:tcPr>
          <w:p w14:paraId="36EC7873" w14:textId="77777777" w:rsidR="00154E32" w:rsidRDefault="00A43E04">
            <w:pPr>
              <w:pStyle w:val="P68B1DB1-Normal12"/>
              <w:rPr>
                <w:noProof/>
              </w:rPr>
            </w:pPr>
            <w:r>
              <w:rPr>
                <w:noProof/>
              </w:rPr>
              <w:t>Naložbe – 3.2 Razvoj filmske industrije (projekt Cinecittà)</w:t>
            </w:r>
          </w:p>
        </w:tc>
        <w:tc>
          <w:tcPr>
            <w:tcW w:w="1468" w:type="dxa"/>
            <w:shd w:val="clear" w:color="auto" w:fill="C6EFCE"/>
            <w:noWrap/>
            <w:vAlign w:val="center"/>
          </w:tcPr>
          <w:p w14:paraId="28D595B7" w14:textId="77777777" w:rsidR="00154E32" w:rsidRDefault="00A43E04">
            <w:pPr>
              <w:pStyle w:val="P68B1DB1-Normal12"/>
              <w:rPr>
                <w:noProof/>
              </w:rPr>
            </w:pPr>
            <w:r>
              <w:rPr>
                <w:noProof/>
              </w:rPr>
              <w:t>Mejnik</w:t>
            </w:r>
          </w:p>
        </w:tc>
        <w:tc>
          <w:tcPr>
            <w:tcW w:w="4095" w:type="dxa"/>
            <w:shd w:val="clear" w:color="auto" w:fill="C6EFCE"/>
            <w:noWrap/>
            <w:vAlign w:val="center"/>
          </w:tcPr>
          <w:p w14:paraId="24DD6154" w14:textId="77777777" w:rsidR="00154E32" w:rsidRDefault="00A43E04">
            <w:pPr>
              <w:pStyle w:val="P68B1DB1-Normal12"/>
              <w:jc w:val="center"/>
              <w:rPr>
                <w:noProof/>
              </w:rPr>
            </w:pPr>
            <w:r>
              <w:rPr>
                <w:noProof/>
              </w:rPr>
              <w:t>Podpis pogodb med izvajalcem Cinecittà SPA in družbami v zvezi z gradnjo devetih studiev</w:t>
            </w:r>
          </w:p>
        </w:tc>
      </w:tr>
      <w:tr w:rsidR="00154E32" w14:paraId="388592D8" w14:textId="77777777">
        <w:trPr>
          <w:trHeight w:val="302"/>
        </w:trPr>
        <w:tc>
          <w:tcPr>
            <w:tcW w:w="1413" w:type="dxa"/>
            <w:shd w:val="clear" w:color="auto" w:fill="C6EFCE"/>
            <w:noWrap/>
            <w:vAlign w:val="center"/>
          </w:tcPr>
          <w:p w14:paraId="771F1F00" w14:textId="77777777" w:rsidR="00154E32" w:rsidRDefault="00A43E04">
            <w:pPr>
              <w:pStyle w:val="P68B1DB1-Normal12"/>
              <w:rPr>
                <w:noProof/>
              </w:rPr>
            </w:pPr>
            <w:r>
              <w:rPr>
                <w:noProof/>
              </w:rPr>
              <w:t>M2C4–21</w:t>
            </w:r>
          </w:p>
        </w:tc>
        <w:tc>
          <w:tcPr>
            <w:tcW w:w="3165" w:type="dxa"/>
            <w:shd w:val="clear" w:color="auto" w:fill="C6EFCE"/>
            <w:noWrap/>
            <w:vAlign w:val="center"/>
          </w:tcPr>
          <w:p w14:paraId="7FF53FFA" w14:textId="77777777" w:rsidR="00154E32" w:rsidRDefault="00A43E04">
            <w:pPr>
              <w:pStyle w:val="P68B1DB1-Normal12"/>
              <w:rPr>
                <w:noProof/>
              </w:rPr>
            </w:pPr>
            <w:r>
              <w:rPr>
                <w:noProof/>
              </w:rPr>
              <w:t>Naložba 3.3 Renaturifikacija območja Po</w:t>
            </w:r>
          </w:p>
        </w:tc>
        <w:tc>
          <w:tcPr>
            <w:tcW w:w="1468" w:type="dxa"/>
            <w:shd w:val="clear" w:color="auto" w:fill="C6EFCE"/>
            <w:noWrap/>
            <w:vAlign w:val="center"/>
          </w:tcPr>
          <w:p w14:paraId="7EA4591F" w14:textId="77777777" w:rsidR="00154E32" w:rsidRDefault="00A43E04">
            <w:pPr>
              <w:pStyle w:val="P68B1DB1-Normal12"/>
              <w:rPr>
                <w:noProof/>
              </w:rPr>
            </w:pPr>
            <w:r>
              <w:rPr>
                <w:noProof/>
              </w:rPr>
              <w:t>Mejnik</w:t>
            </w:r>
          </w:p>
        </w:tc>
        <w:tc>
          <w:tcPr>
            <w:tcW w:w="4095" w:type="dxa"/>
            <w:shd w:val="clear" w:color="auto" w:fill="C6EFCE"/>
            <w:noWrap/>
            <w:vAlign w:val="center"/>
          </w:tcPr>
          <w:p w14:paraId="01FBEB7C" w14:textId="77777777" w:rsidR="00154E32" w:rsidRDefault="00A43E04">
            <w:pPr>
              <w:pStyle w:val="P68B1DB1-Normal12"/>
              <w:jc w:val="center"/>
              <w:rPr>
                <w:noProof/>
              </w:rPr>
            </w:pPr>
            <w:r>
              <w:rPr>
                <w:noProof/>
              </w:rPr>
              <w:t xml:space="preserve">Revizija pravnega okvira za intervencije za ponovno nastavitev območja Pad </w:t>
            </w:r>
          </w:p>
        </w:tc>
      </w:tr>
      <w:tr w:rsidR="00154E32" w14:paraId="21768022" w14:textId="77777777">
        <w:trPr>
          <w:trHeight w:val="302"/>
        </w:trPr>
        <w:tc>
          <w:tcPr>
            <w:tcW w:w="1413" w:type="dxa"/>
            <w:shd w:val="clear" w:color="auto" w:fill="C6EFCE"/>
            <w:noWrap/>
            <w:vAlign w:val="center"/>
          </w:tcPr>
          <w:p w14:paraId="775F350B" w14:textId="77777777" w:rsidR="00154E32" w:rsidRDefault="00A43E04">
            <w:pPr>
              <w:pStyle w:val="P68B1DB1-Normal12"/>
              <w:rPr>
                <w:noProof/>
              </w:rPr>
            </w:pPr>
            <w:r>
              <w:rPr>
                <w:noProof/>
              </w:rPr>
              <w:t>M4C1–28</w:t>
            </w:r>
          </w:p>
        </w:tc>
        <w:tc>
          <w:tcPr>
            <w:tcW w:w="3165" w:type="dxa"/>
            <w:shd w:val="clear" w:color="auto" w:fill="C6EFCE"/>
            <w:noWrap/>
            <w:vAlign w:val="center"/>
          </w:tcPr>
          <w:p w14:paraId="1A82F044" w14:textId="77777777" w:rsidR="00154E32" w:rsidRDefault="00A43E04">
            <w:pPr>
              <w:pStyle w:val="P68B1DB1-Normal12"/>
              <w:rPr>
                <w:noProof/>
              </w:rPr>
            </w:pPr>
            <w:r>
              <w:rPr>
                <w:noProof/>
              </w:rPr>
              <w:t>Reforma 1.7: Reforma ureditve študentskih stanovanj in naložbe v študentska stanovanja</w:t>
            </w:r>
          </w:p>
        </w:tc>
        <w:tc>
          <w:tcPr>
            <w:tcW w:w="1468" w:type="dxa"/>
            <w:shd w:val="clear" w:color="auto" w:fill="C6EFCE"/>
            <w:noWrap/>
            <w:vAlign w:val="center"/>
          </w:tcPr>
          <w:p w14:paraId="2C48318D" w14:textId="77777777" w:rsidR="00154E32" w:rsidRDefault="00A43E04">
            <w:pPr>
              <w:pStyle w:val="P68B1DB1-Normal12"/>
              <w:rPr>
                <w:noProof/>
              </w:rPr>
            </w:pPr>
            <w:r>
              <w:rPr>
                <w:noProof/>
              </w:rPr>
              <w:t>Mejnik</w:t>
            </w:r>
          </w:p>
        </w:tc>
        <w:tc>
          <w:tcPr>
            <w:tcW w:w="4095" w:type="dxa"/>
            <w:shd w:val="clear" w:color="auto" w:fill="C6EFCE"/>
            <w:noWrap/>
            <w:vAlign w:val="center"/>
          </w:tcPr>
          <w:p w14:paraId="68A1C7AF" w14:textId="77777777" w:rsidR="00154E32" w:rsidRDefault="00A43E04">
            <w:pPr>
              <w:pStyle w:val="P68B1DB1-Normal12"/>
              <w:jc w:val="center"/>
              <w:rPr>
                <w:noProof/>
              </w:rPr>
            </w:pPr>
            <w:r>
              <w:rPr>
                <w:noProof/>
              </w:rPr>
              <w:t xml:space="preserve"> Oddaja prvih naročil za izgradnjo dodatnih spalnih nastanitvenih enot (postelj)</w:t>
            </w:r>
          </w:p>
        </w:tc>
      </w:tr>
      <w:tr w:rsidR="00154E32" w14:paraId="1F14D10A" w14:textId="77777777">
        <w:trPr>
          <w:trHeight w:val="302"/>
        </w:trPr>
        <w:tc>
          <w:tcPr>
            <w:tcW w:w="1413" w:type="dxa"/>
            <w:shd w:val="clear" w:color="auto" w:fill="C6EFCE"/>
            <w:noWrap/>
            <w:vAlign w:val="center"/>
          </w:tcPr>
          <w:p w14:paraId="5A1E5FFB" w14:textId="77777777" w:rsidR="00154E32" w:rsidRDefault="00A43E04">
            <w:pPr>
              <w:pStyle w:val="P68B1DB1-Normal12"/>
              <w:rPr>
                <w:noProof/>
              </w:rPr>
            </w:pPr>
            <w:r>
              <w:rPr>
                <w:noProof/>
              </w:rPr>
              <w:t>M4C2–12</w:t>
            </w:r>
          </w:p>
        </w:tc>
        <w:tc>
          <w:tcPr>
            <w:tcW w:w="3165" w:type="dxa"/>
            <w:shd w:val="clear" w:color="auto" w:fill="C6EFCE"/>
            <w:noWrap/>
            <w:vAlign w:val="center"/>
          </w:tcPr>
          <w:p w14:paraId="5A5512E6" w14:textId="77777777" w:rsidR="00154E32" w:rsidRDefault="00A43E04">
            <w:pPr>
              <w:pStyle w:val="P68B1DB1-Normal12"/>
              <w:rPr>
                <w:noProof/>
              </w:rPr>
            </w:pPr>
            <w:r>
              <w:rPr>
                <w:noProof/>
              </w:rPr>
              <w:t>Naložba 2.1: POMEMBNI PROJEKTI SKUPNEGA EVROPSKEGA INTERESA</w:t>
            </w:r>
          </w:p>
        </w:tc>
        <w:tc>
          <w:tcPr>
            <w:tcW w:w="1468" w:type="dxa"/>
            <w:shd w:val="clear" w:color="auto" w:fill="C6EFCE"/>
            <w:noWrap/>
            <w:vAlign w:val="center"/>
          </w:tcPr>
          <w:p w14:paraId="0CC2DEEB" w14:textId="77777777" w:rsidR="00154E32" w:rsidRDefault="00A43E04">
            <w:pPr>
              <w:pStyle w:val="P68B1DB1-Normal12"/>
              <w:rPr>
                <w:noProof/>
              </w:rPr>
            </w:pPr>
            <w:r>
              <w:rPr>
                <w:noProof/>
              </w:rPr>
              <w:t>Mejnik</w:t>
            </w:r>
          </w:p>
        </w:tc>
        <w:tc>
          <w:tcPr>
            <w:tcW w:w="4095" w:type="dxa"/>
            <w:shd w:val="clear" w:color="auto" w:fill="C6EFCE"/>
            <w:noWrap/>
            <w:vAlign w:val="center"/>
          </w:tcPr>
          <w:p w14:paraId="2AEE9D49" w14:textId="77777777" w:rsidR="00154E32" w:rsidRDefault="00A43E04">
            <w:pPr>
              <w:pStyle w:val="P68B1DB1-Normal12"/>
              <w:jc w:val="center"/>
              <w:rPr>
                <w:noProof/>
              </w:rPr>
            </w:pPr>
            <w:r>
              <w:rPr>
                <w:noProof/>
              </w:rPr>
              <w:t>Seznam udeležencev v projektih pomembnih projektov skupnega evropskega interesa bo dokončan do 30. junija 2023.</w:t>
            </w:r>
          </w:p>
        </w:tc>
      </w:tr>
      <w:tr w:rsidR="00154E32" w14:paraId="0B8DEADD" w14:textId="77777777">
        <w:trPr>
          <w:trHeight w:val="302"/>
        </w:trPr>
        <w:tc>
          <w:tcPr>
            <w:tcW w:w="1413" w:type="dxa"/>
            <w:shd w:val="clear" w:color="auto" w:fill="C6EFCE"/>
            <w:noWrap/>
            <w:vAlign w:val="center"/>
          </w:tcPr>
          <w:p w14:paraId="7CA42619" w14:textId="77777777" w:rsidR="00154E32" w:rsidRDefault="00A43E04">
            <w:pPr>
              <w:pStyle w:val="P68B1DB1-Normal12"/>
              <w:rPr>
                <w:noProof/>
              </w:rPr>
            </w:pPr>
            <w:r>
              <w:rPr>
                <w:noProof/>
              </w:rPr>
              <w:t>M4C2–16</w:t>
            </w:r>
          </w:p>
        </w:tc>
        <w:tc>
          <w:tcPr>
            <w:tcW w:w="3165" w:type="dxa"/>
            <w:shd w:val="clear" w:color="auto" w:fill="C6EFCE"/>
            <w:noWrap/>
            <w:vAlign w:val="center"/>
          </w:tcPr>
          <w:p w14:paraId="4056997F" w14:textId="77777777" w:rsidR="00154E32" w:rsidRDefault="00A43E04">
            <w:pPr>
              <w:pStyle w:val="P68B1DB1-Normal12"/>
              <w:rPr>
                <w:noProof/>
              </w:rPr>
            </w:pPr>
            <w:r>
              <w:rPr>
                <w:noProof/>
              </w:rPr>
              <w:t>Naložba 3.1: Sklad za izgradnjo integriranega sistema raziskovalnih in inovacijskih infrastruktur</w:t>
            </w:r>
          </w:p>
        </w:tc>
        <w:tc>
          <w:tcPr>
            <w:tcW w:w="1468" w:type="dxa"/>
            <w:shd w:val="clear" w:color="auto" w:fill="C6EFCE"/>
            <w:noWrap/>
            <w:vAlign w:val="center"/>
          </w:tcPr>
          <w:p w14:paraId="554B8643" w14:textId="77777777" w:rsidR="00154E32" w:rsidRDefault="00A43E04">
            <w:pPr>
              <w:pStyle w:val="P68B1DB1-Normal12"/>
              <w:rPr>
                <w:noProof/>
              </w:rPr>
            </w:pPr>
            <w:r>
              <w:rPr>
                <w:noProof/>
              </w:rPr>
              <w:t>Tarča</w:t>
            </w:r>
          </w:p>
        </w:tc>
        <w:tc>
          <w:tcPr>
            <w:tcW w:w="4095" w:type="dxa"/>
            <w:shd w:val="clear" w:color="auto" w:fill="C6EFCE"/>
            <w:noWrap/>
            <w:vAlign w:val="center"/>
          </w:tcPr>
          <w:p w14:paraId="4D6A8C1C" w14:textId="77777777" w:rsidR="00154E32" w:rsidRDefault="00A43E04">
            <w:pPr>
              <w:pStyle w:val="P68B1DB1-Normal12"/>
              <w:jc w:val="center"/>
              <w:rPr>
                <w:noProof/>
              </w:rPr>
            </w:pPr>
            <w:r>
              <w:rPr>
                <w:noProof/>
              </w:rPr>
              <w:t>Število financiranih infrastruktur</w:t>
            </w:r>
          </w:p>
        </w:tc>
      </w:tr>
      <w:tr w:rsidR="00154E32" w14:paraId="7A55E239" w14:textId="77777777">
        <w:trPr>
          <w:trHeight w:val="302"/>
        </w:trPr>
        <w:tc>
          <w:tcPr>
            <w:tcW w:w="1413" w:type="dxa"/>
            <w:shd w:val="clear" w:color="auto" w:fill="C6EFCE"/>
            <w:noWrap/>
            <w:vAlign w:val="center"/>
          </w:tcPr>
          <w:p w14:paraId="5E77C7D9" w14:textId="77777777" w:rsidR="00154E32" w:rsidRDefault="00A43E04">
            <w:pPr>
              <w:pStyle w:val="P68B1DB1-Normal12"/>
              <w:rPr>
                <w:noProof/>
              </w:rPr>
            </w:pPr>
            <w:r>
              <w:rPr>
                <w:noProof/>
              </w:rPr>
              <w:t>M5C1–18</w:t>
            </w:r>
          </w:p>
        </w:tc>
        <w:tc>
          <w:tcPr>
            <w:tcW w:w="3165" w:type="dxa"/>
            <w:shd w:val="clear" w:color="auto" w:fill="C6EFCE"/>
            <w:noWrap/>
            <w:vAlign w:val="center"/>
          </w:tcPr>
          <w:p w14:paraId="343AA613" w14:textId="77777777" w:rsidR="00154E32" w:rsidRDefault="00A43E04">
            <w:pPr>
              <w:pStyle w:val="P68B1DB1-Normal12"/>
              <w:rPr>
                <w:noProof/>
              </w:rPr>
            </w:pPr>
            <w:r>
              <w:rPr>
                <w:noProof/>
              </w:rPr>
              <w:t>Naložba 5 – Ustanovitev ženskih podjetij</w:t>
            </w:r>
          </w:p>
        </w:tc>
        <w:tc>
          <w:tcPr>
            <w:tcW w:w="1468" w:type="dxa"/>
            <w:shd w:val="clear" w:color="auto" w:fill="C6EFCE"/>
            <w:noWrap/>
            <w:vAlign w:val="center"/>
          </w:tcPr>
          <w:p w14:paraId="4902035D" w14:textId="77777777" w:rsidR="00154E32" w:rsidRDefault="00A43E04">
            <w:pPr>
              <w:pStyle w:val="P68B1DB1-Normal12"/>
              <w:rPr>
                <w:noProof/>
              </w:rPr>
            </w:pPr>
            <w:r>
              <w:rPr>
                <w:noProof/>
              </w:rPr>
              <w:t>Tarča</w:t>
            </w:r>
          </w:p>
        </w:tc>
        <w:tc>
          <w:tcPr>
            <w:tcW w:w="4095" w:type="dxa"/>
            <w:shd w:val="clear" w:color="auto" w:fill="C6EFCE"/>
            <w:noWrap/>
            <w:vAlign w:val="center"/>
          </w:tcPr>
          <w:p w14:paraId="6D47E62B" w14:textId="77777777" w:rsidR="00154E32" w:rsidRDefault="00A43E04">
            <w:pPr>
              <w:pStyle w:val="P68B1DB1-Normal12"/>
              <w:jc w:val="center"/>
              <w:rPr>
                <w:noProof/>
              </w:rPr>
            </w:pPr>
            <w:r>
              <w:rPr>
                <w:noProof/>
              </w:rPr>
              <w:t xml:space="preserve">Dodeljena je bila finančna podpora podjetjem </w:t>
            </w:r>
          </w:p>
        </w:tc>
      </w:tr>
      <w:tr w:rsidR="00154E32" w14:paraId="08C5D382" w14:textId="77777777">
        <w:trPr>
          <w:trHeight w:val="302"/>
        </w:trPr>
        <w:tc>
          <w:tcPr>
            <w:tcW w:w="1413" w:type="dxa"/>
            <w:shd w:val="clear" w:color="auto" w:fill="C6EFCE"/>
            <w:noWrap/>
            <w:vAlign w:val="center"/>
          </w:tcPr>
          <w:p w14:paraId="4BD4A668" w14:textId="77777777" w:rsidR="00154E32" w:rsidRDefault="00A43E04">
            <w:pPr>
              <w:pStyle w:val="P68B1DB1-Normal12"/>
              <w:rPr>
                <w:noProof/>
              </w:rPr>
            </w:pPr>
            <w:r>
              <w:rPr>
                <w:noProof/>
              </w:rPr>
              <w:t>M6C2–14</w:t>
            </w:r>
          </w:p>
        </w:tc>
        <w:tc>
          <w:tcPr>
            <w:tcW w:w="3165" w:type="dxa"/>
            <w:shd w:val="clear" w:color="auto" w:fill="C6EFCE"/>
            <w:noWrap/>
            <w:vAlign w:val="center"/>
          </w:tcPr>
          <w:p w14:paraId="3800CDCE" w14:textId="77777777" w:rsidR="00154E32" w:rsidRDefault="00A43E04">
            <w:pPr>
              <w:pStyle w:val="P68B1DB1-Normal48"/>
              <w:rPr>
                <w:noProof/>
                <w:color w:val="006100"/>
              </w:rPr>
            </w:pPr>
            <w:r>
              <w:rPr>
                <w:noProof/>
              </w:rPr>
              <w:t>Naložba 2.2: Razvoj tehnično-strokovnih, digitalnih in vodstvenih znanj in spretnosti strokovnjakov v zdravstvenem sistemu</w:t>
            </w:r>
          </w:p>
        </w:tc>
        <w:tc>
          <w:tcPr>
            <w:tcW w:w="1468" w:type="dxa"/>
            <w:shd w:val="clear" w:color="auto" w:fill="C6EFCE"/>
            <w:noWrap/>
            <w:vAlign w:val="center"/>
          </w:tcPr>
          <w:p w14:paraId="11E43281" w14:textId="77777777" w:rsidR="00154E32" w:rsidRDefault="00A43E04">
            <w:pPr>
              <w:pStyle w:val="P68B1DB1-Normal48"/>
              <w:rPr>
                <w:noProof/>
                <w:color w:val="006100"/>
              </w:rPr>
            </w:pPr>
            <w:r>
              <w:rPr>
                <w:noProof/>
              </w:rPr>
              <w:t>Tarča</w:t>
            </w:r>
          </w:p>
        </w:tc>
        <w:tc>
          <w:tcPr>
            <w:tcW w:w="4095" w:type="dxa"/>
            <w:shd w:val="clear" w:color="auto" w:fill="C6EFCE"/>
            <w:noWrap/>
            <w:vAlign w:val="center"/>
          </w:tcPr>
          <w:p w14:paraId="7A722A18" w14:textId="77777777" w:rsidR="00154E32" w:rsidRDefault="00A43E04">
            <w:pPr>
              <w:pStyle w:val="P68B1DB1-Normal48"/>
              <w:jc w:val="center"/>
              <w:rPr>
                <w:noProof/>
              </w:rPr>
            </w:pPr>
            <w:r>
              <w:rPr>
                <w:noProof/>
              </w:rPr>
              <w:t>Dodelijo se štipendije za posebno usposabljanje iz splošne medicine.</w:t>
            </w:r>
          </w:p>
        </w:tc>
      </w:tr>
      <w:tr w:rsidR="00154E32" w14:paraId="022911C1" w14:textId="77777777">
        <w:trPr>
          <w:trHeight w:val="302"/>
        </w:trPr>
        <w:tc>
          <w:tcPr>
            <w:tcW w:w="1413" w:type="dxa"/>
            <w:shd w:val="clear" w:color="auto" w:fill="C6EFCE"/>
            <w:noWrap/>
            <w:vAlign w:val="bottom"/>
          </w:tcPr>
          <w:p w14:paraId="284FCE36" w14:textId="77777777" w:rsidR="00154E32" w:rsidRDefault="00154E32">
            <w:pPr>
              <w:jc w:val="center"/>
              <w:rPr>
                <w:noProof/>
                <w:color w:val="006100"/>
                <w:sz w:val="20"/>
              </w:rPr>
            </w:pPr>
          </w:p>
        </w:tc>
        <w:tc>
          <w:tcPr>
            <w:tcW w:w="3165" w:type="dxa"/>
            <w:shd w:val="clear" w:color="auto" w:fill="C6EFCE"/>
            <w:noWrap/>
            <w:vAlign w:val="bottom"/>
          </w:tcPr>
          <w:p w14:paraId="18A6B8FF" w14:textId="77777777" w:rsidR="00154E32" w:rsidRDefault="00154E32">
            <w:pPr>
              <w:rPr>
                <w:noProof/>
                <w:color w:val="006100"/>
                <w:sz w:val="20"/>
              </w:rPr>
            </w:pPr>
          </w:p>
        </w:tc>
        <w:tc>
          <w:tcPr>
            <w:tcW w:w="1468" w:type="dxa"/>
            <w:shd w:val="clear" w:color="auto" w:fill="C6EFCE"/>
            <w:noWrap/>
            <w:vAlign w:val="bottom"/>
          </w:tcPr>
          <w:p w14:paraId="4F13DE23" w14:textId="77777777" w:rsidR="00154E32" w:rsidRDefault="00A43E04">
            <w:pPr>
              <w:pStyle w:val="P68B1DB1-Normal12"/>
              <w:rPr>
                <w:noProof/>
              </w:rPr>
            </w:pPr>
            <w:r>
              <w:rPr>
                <w:noProof/>
              </w:rPr>
              <w:t>Znesek obroka</w:t>
            </w:r>
          </w:p>
        </w:tc>
        <w:tc>
          <w:tcPr>
            <w:tcW w:w="4095" w:type="dxa"/>
            <w:shd w:val="clear" w:color="auto" w:fill="C6EFCE"/>
            <w:noWrap/>
            <w:vAlign w:val="bottom"/>
          </w:tcPr>
          <w:p w14:paraId="483DB3D7" w14:textId="0C0D46A6" w:rsidR="00154E32" w:rsidRDefault="00A43E04">
            <w:pPr>
              <w:pStyle w:val="P68B1DB1-Normal12"/>
              <w:rPr>
                <w:noProof/>
              </w:rPr>
            </w:pPr>
            <w:r>
              <w:rPr>
                <w:noProof/>
              </w:rPr>
              <w:t>16 611 453 220 EUR</w:t>
            </w:r>
          </w:p>
        </w:tc>
      </w:tr>
    </w:tbl>
    <w:p w14:paraId="642EDD2A" w14:textId="02C61903" w:rsidR="00154E32" w:rsidRDefault="00A43E04">
      <w:pPr>
        <w:pStyle w:val="P68B1DB1-Normal44"/>
        <w:numPr>
          <w:ilvl w:val="1"/>
          <w:numId w:val="6"/>
        </w:numPr>
        <w:spacing w:before="120" w:after="120"/>
        <w:jc w:val="both"/>
        <w:rPr>
          <w:noProof/>
        </w:rPr>
      </w:pPr>
      <w:r>
        <w:rPr>
          <w:noProof/>
        </w:rPr>
        <w:t>Peta namestitev (podpora za posojila):</w:t>
      </w:r>
    </w:p>
    <w:tbl>
      <w:tblPr>
        <w:tblW w:w="10139" w:type="dxa"/>
        <w:tblInd w:w="113" w:type="dxa"/>
        <w:tblLook w:val="04A0" w:firstRow="1" w:lastRow="0" w:firstColumn="1" w:lastColumn="0" w:noHBand="0" w:noVBand="1"/>
      </w:tblPr>
      <w:tblGrid>
        <w:gridCol w:w="1413"/>
        <w:gridCol w:w="3195"/>
        <w:gridCol w:w="1438"/>
        <w:gridCol w:w="4093"/>
      </w:tblGrid>
      <w:tr w:rsidR="00154E32" w14:paraId="40D5A379" w14:textId="77777777">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15F6DF5" w14:textId="77777777" w:rsidR="00154E32" w:rsidRDefault="00A43E04">
            <w:pPr>
              <w:pStyle w:val="P68B1DB1-Normal45"/>
              <w:jc w:val="center"/>
              <w:rPr>
                <w:noProof/>
              </w:rPr>
            </w:pPr>
            <w:r>
              <w:rPr>
                <w:noProof/>
              </w:rPr>
              <w:t>Zaporedna številka</w:t>
            </w:r>
          </w:p>
        </w:tc>
        <w:tc>
          <w:tcPr>
            <w:tcW w:w="31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50A207A" w14:textId="77777777" w:rsidR="00154E32" w:rsidRDefault="00A43E04">
            <w:pPr>
              <w:pStyle w:val="P68B1DB1-Normal45"/>
              <w:jc w:val="center"/>
              <w:rPr>
                <w:noProof/>
              </w:rPr>
            </w:pPr>
            <w:r>
              <w:rPr>
                <w:noProof/>
              </w:rPr>
              <w:t>Povezani ukrep (reforma ali naložba)</w:t>
            </w:r>
          </w:p>
        </w:tc>
        <w:tc>
          <w:tcPr>
            <w:tcW w:w="143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508CC54E" w14:textId="77777777" w:rsidR="00154E32" w:rsidRDefault="00A43E04">
            <w:pPr>
              <w:pStyle w:val="P68B1DB1-Normal45"/>
              <w:jc w:val="center"/>
              <w:rPr>
                <w:noProof/>
              </w:rPr>
            </w:pPr>
            <w:r>
              <w:rPr>
                <w:noProof/>
              </w:rPr>
              <w:t>Mejnik/cilj</w:t>
            </w:r>
          </w:p>
        </w:tc>
        <w:tc>
          <w:tcPr>
            <w:tcW w:w="4093" w:type="dxa"/>
            <w:vMerge w:val="restart"/>
            <w:tcBorders>
              <w:top w:val="single" w:sz="4" w:space="0" w:color="auto"/>
              <w:left w:val="nil"/>
              <w:bottom w:val="single" w:sz="4" w:space="0" w:color="auto"/>
              <w:right w:val="single" w:sz="4" w:space="0" w:color="auto"/>
            </w:tcBorders>
            <w:shd w:val="clear" w:color="auto" w:fill="BDD7EE"/>
            <w:vAlign w:val="center"/>
            <w:hideMark/>
          </w:tcPr>
          <w:p w14:paraId="437A2B23" w14:textId="77777777" w:rsidR="00154E32" w:rsidRDefault="00A43E04">
            <w:pPr>
              <w:pStyle w:val="P68B1DB1-Normal45"/>
              <w:jc w:val="center"/>
              <w:rPr>
                <w:noProof/>
              </w:rPr>
            </w:pPr>
            <w:r>
              <w:rPr>
                <w:noProof/>
              </w:rPr>
              <w:t>Ime</w:t>
            </w:r>
          </w:p>
        </w:tc>
      </w:tr>
      <w:tr w:rsidR="00154E32" w14:paraId="5B79208A" w14:textId="77777777">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EED36EA" w14:textId="77777777" w:rsidR="00154E32" w:rsidRDefault="00154E32">
            <w:pPr>
              <w:rPr>
                <w:b/>
                <w:noProof/>
              </w:rPr>
            </w:pP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4D60A6AB" w14:textId="77777777" w:rsidR="00154E32" w:rsidRDefault="00154E32">
            <w:pPr>
              <w:rPr>
                <w:b/>
                <w:noProof/>
              </w:rPr>
            </w:pPr>
          </w:p>
        </w:tc>
        <w:tc>
          <w:tcPr>
            <w:tcW w:w="1438" w:type="dxa"/>
            <w:vMerge/>
            <w:tcBorders>
              <w:top w:val="single" w:sz="4" w:space="0" w:color="auto"/>
              <w:left w:val="single" w:sz="4" w:space="0" w:color="auto"/>
              <w:bottom w:val="single" w:sz="4" w:space="0" w:color="auto"/>
              <w:right w:val="single" w:sz="4" w:space="0" w:color="auto"/>
            </w:tcBorders>
            <w:vAlign w:val="center"/>
            <w:hideMark/>
          </w:tcPr>
          <w:p w14:paraId="0FE6CB09" w14:textId="77777777" w:rsidR="00154E32" w:rsidRDefault="00154E32">
            <w:pPr>
              <w:rPr>
                <w:b/>
                <w:noProof/>
              </w:rPr>
            </w:pPr>
          </w:p>
        </w:tc>
        <w:tc>
          <w:tcPr>
            <w:tcW w:w="4093" w:type="dxa"/>
            <w:vMerge/>
            <w:tcBorders>
              <w:top w:val="single" w:sz="4" w:space="0" w:color="auto"/>
              <w:left w:val="single" w:sz="4" w:space="0" w:color="auto"/>
              <w:bottom w:val="single" w:sz="4" w:space="0" w:color="auto"/>
              <w:right w:val="single" w:sz="4" w:space="0" w:color="auto"/>
            </w:tcBorders>
            <w:vAlign w:val="center"/>
            <w:hideMark/>
          </w:tcPr>
          <w:p w14:paraId="2407D4BD" w14:textId="77777777" w:rsidR="00154E32" w:rsidRDefault="00154E32">
            <w:pPr>
              <w:rPr>
                <w:b/>
                <w:noProof/>
              </w:rPr>
            </w:pPr>
          </w:p>
        </w:tc>
      </w:tr>
      <w:tr w:rsidR="00154E32" w14:paraId="4616306F"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0E22BB8" w14:textId="77777777" w:rsidR="00154E32" w:rsidRDefault="00A43E04">
            <w:pPr>
              <w:pStyle w:val="P68B1DB1-Normal12"/>
              <w:jc w:val="center"/>
              <w:rPr>
                <w:noProof/>
              </w:rPr>
            </w:pPr>
            <w:r>
              <w:rPr>
                <w:noProof/>
              </w:rPr>
              <w:t>M2C3–5</w:t>
            </w:r>
          </w:p>
        </w:tc>
        <w:tc>
          <w:tcPr>
            <w:tcW w:w="3195" w:type="dxa"/>
            <w:tcBorders>
              <w:top w:val="single" w:sz="4" w:space="0" w:color="auto"/>
              <w:left w:val="nil"/>
              <w:bottom w:val="single" w:sz="4" w:space="0" w:color="auto"/>
              <w:right w:val="single" w:sz="4" w:space="0" w:color="auto"/>
            </w:tcBorders>
            <w:shd w:val="clear" w:color="auto" w:fill="C6EFCE"/>
            <w:noWrap/>
            <w:vAlign w:val="center"/>
          </w:tcPr>
          <w:p w14:paraId="0FB406AA" w14:textId="77777777" w:rsidR="00154E32" w:rsidRDefault="00A43E04">
            <w:pPr>
              <w:pStyle w:val="P68B1DB1-Normal12"/>
              <w:jc w:val="center"/>
              <w:rPr>
                <w:noProof/>
              </w:rPr>
            </w:pPr>
            <w:r>
              <w:rPr>
                <w:noProof/>
              </w:rPr>
              <w:t xml:space="preserve">Naložba 1.1: Gradnja novih šol z zamenjavo stavb </w:t>
            </w:r>
          </w:p>
        </w:tc>
        <w:tc>
          <w:tcPr>
            <w:tcW w:w="1438" w:type="dxa"/>
            <w:tcBorders>
              <w:top w:val="single" w:sz="4" w:space="0" w:color="auto"/>
              <w:left w:val="nil"/>
              <w:bottom w:val="single" w:sz="4" w:space="0" w:color="auto"/>
              <w:right w:val="single" w:sz="4" w:space="0" w:color="auto"/>
            </w:tcBorders>
            <w:shd w:val="clear" w:color="auto" w:fill="C6EFCE"/>
            <w:noWrap/>
            <w:vAlign w:val="center"/>
          </w:tcPr>
          <w:p w14:paraId="087072EA" w14:textId="77777777" w:rsidR="00154E32" w:rsidRDefault="00A43E04">
            <w:pPr>
              <w:pStyle w:val="P68B1DB1-Normal12"/>
              <w:jc w:val="center"/>
              <w:rPr>
                <w:noProof/>
              </w:rPr>
            </w:pPr>
            <w:r>
              <w:rPr>
                <w:noProof/>
              </w:rPr>
              <w:t>Mejnik</w:t>
            </w:r>
          </w:p>
        </w:tc>
        <w:tc>
          <w:tcPr>
            <w:tcW w:w="4093" w:type="dxa"/>
            <w:tcBorders>
              <w:top w:val="single" w:sz="4" w:space="0" w:color="auto"/>
              <w:left w:val="nil"/>
              <w:bottom w:val="single" w:sz="4" w:space="0" w:color="auto"/>
              <w:right w:val="single" w:sz="4" w:space="0" w:color="auto"/>
            </w:tcBorders>
            <w:shd w:val="clear" w:color="auto" w:fill="C6EFCE"/>
            <w:noWrap/>
            <w:vAlign w:val="center"/>
          </w:tcPr>
          <w:p w14:paraId="5CF5359A" w14:textId="77777777" w:rsidR="00154E32" w:rsidRDefault="00A43E04">
            <w:pPr>
              <w:pStyle w:val="P68B1DB1-Normal12"/>
              <w:jc w:val="center"/>
              <w:rPr>
                <w:noProof/>
              </w:rPr>
            </w:pPr>
            <w:r>
              <w:rPr>
                <w:noProof/>
              </w:rPr>
              <w:t xml:space="preserve">Oddaja vseh javnih naročil za gradnjo novih šol z zamenjavo stavb za posodobitev energije v šolskih stavbah po postopku javnega razpisa </w:t>
            </w:r>
          </w:p>
        </w:tc>
      </w:tr>
      <w:tr w:rsidR="00154E32" w14:paraId="18A8A10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C4CE3D8" w14:textId="77777777" w:rsidR="00154E32" w:rsidRDefault="00A43E04">
            <w:pPr>
              <w:pStyle w:val="P68B1DB1-Normal12"/>
              <w:jc w:val="center"/>
              <w:rPr>
                <w:noProof/>
              </w:rPr>
            </w:pPr>
            <w:r>
              <w:rPr>
                <w:noProof/>
              </w:rPr>
              <w:t>M2C4–28</w:t>
            </w:r>
          </w:p>
        </w:tc>
        <w:tc>
          <w:tcPr>
            <w:tcW w:w="3195" w:type="dxa"/>
            <w:tcBorders>
              <w:top w:val="nil"/>
              <w:left w:val="nil"/>
              <w:bottom w:val="single" w:sz="4" w:space="0" w:color="auto"/>
              <w:right w:val="single" w:sz="4" w:space="0" w:color="auto"/>
            </w:tcBorders>
            <w:shd w:val="clear" w:color="auto" w:fill="C6EFCE"/>
            <w:noWrap/>
            <w:vAlign w:val="center"/>
          </w:tcPr>
          <w:p w14:paraId="0CCDC74A" w14:textId="77777777" w:rsidR="00154E32" w:rsidRDefault="00A43E04">
            <w:pPr>
              <w:pStyle w:val="P68B1DB1-Normal12"/>
              <w:jc w:val="center"/>
              <w:rPr>
                <w:noProof/>
              </w:rPr>
            </w:pPr>
            <w:r>
              <w:rPr>
                <w:noProof/>
              </w:rPr>
              <w:t>Naložba 4.1. Naložbe v primarno vodno infrastrukturo za zanesljivost oskrbe z vodo</w:t>
            </w:r>
          </w:p>
        </w:tc>
        <w:tc>
          <w:tcPr>
            <w:tcW w:w="1438" w:type="dxa"/>
            <w:tcBorders>
              <w:top w:val="nil"/>
              <w:left w:val="nil"/>
              <w:bottom w:val="single" w:sz="4" w:space="0" w:color="auto"/>
              <w:right w:val="single" w:sz="4" w:space="0" w:color="auto"/>
            </w:tcBorders>
            <w:shd w:val="clear" w:color="auto" w:fill="C6EFCE"/>
            <w:noWrap/>
            <w:vAlign w:val="center"/>
          </w:tcPr>
          <w:p w14:paraId="4D6311FC" w14:textId="77777777" w:rsidR="00154E32" w:rsidRDefault="00A43E04">
            <w:pPr>
              <w:pStyle w:val="P68B1DB1-Normal12"/>
              <w:jc w:val="center"/>
              <w:rPr>
                <w:noProof/>
              </w:rPr>
            </w:pPr>
            <w:r>
              <w:rPr>
                <w:noProof/>
              </w:rPr>
              <w:t>Mejnik</w:t>
            </w:r>
          </w:p>
        </w:tc>
        <w:tc>
          <w:tcPr>
            <w:tcW w:w="4093" w:type="dxa"/>
            <w:tcBorders>
              <w:top w:val="nil"/>
              <w:left w:val="nil"/>
              <w:bottom w:val="single" w:sz="4" w:space="0" w:color="auto"/>
              <w:right w:val="single" w:sz="4" w:space="0" w:color="auto"/>
            </w:tcBorders>
            <w:shd w:val="clear" w:color="auto" w:fill="C6EFCE"/>
            <w:noWrap/>
            <w:vAlign w:val="center"/>
          </w:tcPr>
          <w:p w14:paraId="6CB5E1E9" w14:textId="77777777" w:rsidR="00154E32" w:rsidRDefault="00A43E04">
            <w:pPr>
              <w:pStyle w:val="P68B1DB1-Normal12"/>
              <w:jc w:val="center"/>
              <w:rPr>
                <w:noProof/>
              </w:rPr>
            </w:pPr>
            <w:r>
              <w:rPr>
                <w:noProof/>
              </w:rPr>
              <w:t xml:space="preserve">Oddaja (vseh) javnih naročil za naložbe v primarno vodno infrastrukturo in za zanesljivost oskrbe z vodo </w:t>
            </w:r>
          </w:p>
        </w:tc>
      </w:tr>
      <w:tr w:rsidR="00154E32" w14:paraId="7EE9CC5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8366D46" w14:textId="77777777" w:rsidR="00154E32" w:rsidRDefault="00A43E04">
            <w:pPr>
              <w:pStyle w:val="P68B1DB1-Normal12"/>
              <w:jc w:val="center"/>
              <w:rPr>
                <w:noProof/>
              </w:rPr>
            </w:pPr>
            <w:r>
              <w:rPr>
                <w:noProof/>
              </w:rPr>
              <w:t>M2C4–30</w:t>
            </w:r>
          </w:p>
        </w:tc>
        <w:tc>
          <w:tcPr>
            <w:tcW w:w="3195" w:type="dxa"/>
            <w:tcBorders>
              <w:top w:val="nil"/>
              <w:left w:val="nil"/>
              <w:bottom w:val="single" w:sz="4" w:space="0" w:color="auto"/>
              <w:right w:val="single" w:sz="4" w:space="0" w:color="auto"/>
            </w:tcBorders>
            <w:shd w:val="clear" w:color="auto" w:fill="C6EFCE"/>
            <w:noWrap/>
            <w:vAlign w:val="center"/>
          </w:tcPr>
          <w:p w14:paraId="7B0AE733" w14:textId="77777777" w:rsidR="00154E32" w:rsidRDefault="00A43E04">
            <w:pPr>
              <w:pStyle w:val="P68B1DB1-Normal12"/>
              <w:jc w:val="center"/>
              <w:rPr>
                <w:noProof/>
              </w:rPr>
            </w:pPr>
            <w:r>
              <w:rPr>
                <w:noProof/>
              </w:rPr>
              <w:t>Naložba 4.2. Zmanjšanje izgub v vodovodnih omrežjih, vključno z digitalizacijo in spremljanjem omrežij</w:t>
            </w:r>
          </w:p>
        </w:tc>
        <w:tc>
          <w:tcPr>
            <w:tcW w:w="1438" w:type="dxa"/>
            <w:tcBorders>
              <w:top w:val="nil"/>
              <w:left w:val="nil"/>
              <w:bottom w:val="single" w:sz="4" w:space="0" w:color="auto"/>
              <w:right w:val="single" w:sz="4" w:space="0" w:color="auto"/>
            </w:tcBorders>
            <w:shd w:val="clear" w:color="auto" w:fill="C6EFCE"/>
            <w:noWrap/>
            <w:vAlign w:val="center"/>
          </w:tcPr>
          <w:p w14:paraId="6C548862" w14:textId="77777777" w:rsidR="00154E32" w:rsidRDefault="00A43E04">
            <w:pPr>
              <w:pStyle w:val="P68B1DB1-Normal12"/>
              <w:jc w:val="center"/>
              <w:rPr>
                <w:noProof/>
              </w:rPr>
            </w:pPr>
            <w:r>
              <w:rPr>
                <w:noProof/>
              </w:rPr>
              <w:t>Mejnik</w:t>
            </w:r>
          </w:p>
        </w:tc>
        <w:tc>
          <w:tcPr>
            <w:tcW w:w="4093" w:type="dxa"/>
            <w:tcBorders>
              <w:top w:val="nil"/>
              <w:left w:val="nil"/>
              <w:bottom w:val="single" w:sz="4" w:space="0" w:color="auto"/>
              <w:right w:val="single" w:sz="4" w:space="0" w:color="auto"/>
            </w:tcBorders>
            <w:shd w:val="clear" w:color="auto" w:fill="C6EFCE"/>
            <w:noWrap/>
            <w:vAlign w:val="center"/>
          </w:tcPr>
          <w:p w14:paraId="0201175C" w14:textId="77777777" w:rsidR="00154E32" w:rsidRDefault="00A43E04">
            <w:pPr>
              <w:pStyle w:val="P68B1DB1-Normal12"/>
              <w:jc w:val="center"/>
              <w:rPr>
                <w:noProof/>
              </w:rPr>
            </w:pPr>
            <w:r>
              <w:rPr>
                <w:noProof/>
              </w:rPr>
              <w:t>Oddaja vseh javnih naročil za intervencije v vodovodnih omrežjih, vključno z digitalizacijo in spremljanjem omrežij</w:t>
            </w:r>
          </w:p>
        </w:tc>
      </w:tr>
      <w:tr w:rsidR="00154E32" w14:paraId="2505FBC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A51B825" w14:textId="77777777" w:rsidR="00154E32" w:rsidRDefault="00A43E04">
            <w:pPr>
              <w:pStyle w:val="P68B1DB1-Normal12"/>
              <w:jc w:val="center"/>
              <w:rPr>
                <w:noProof/>
              </w:rPr>
            </w:pPr>
            <w:r>
              <w:rPr>
                <w:noProof/>
              </w:rPr>
              <w:t>M1C1–14</w:t>
            </w:r>
          </w:p>
        </w:tc>
        <w:tc>
          <w:tcPr>
            <w:tcW w:w="3195" w:type="dxa"/>
            <w:tcBorders>
              <w:top w:val="nil"/>
              <w:left w:val="nil"/>
              <w:bottom w:val="single" w:sz="4" w:space="0" w:color="auto"/>
              <w:right w:val="single" w:sz="4" w:space="0" w:color="auto"/>
            </w:tcBorders>
            <w:shd w:val="clear" w:color="auto" w:fill="C6EFCE"/>
            <w:noWrap/>
            <w:vAlign w:val="center"/>
          </w:tcPr>
          <w:p w14:paraId="5C124260" w14:textId="77777777" w:rsidR="00154E32" w:rsidRDefault="00A43E04">
            <w:pPr>
              <w:pStyle w:val="P68B1DB1-Normal12"/>
              <w:jc w:val="center"/>
              <w:rPr>
                <w:noProof/>
              </w:rPr>
            </w:pPr>
            <w:r>
              <w:rPr>
                <w:noProof/>
              </w:rPr>
              <w:t>Naložba 1.6.5: Digitalizacija državnega sveta</w:t>
            </w:r>
          </w:p>
        </w:tc>
        <w:tc>
          <w:tcPr>
            <w:tcW w:w="1438" w:type="dxa"/>
            <w:tcBorders>
              <w:top w:val="nil"/>
              <w:left w:val="nil"/>
              <w:bottom w:val="single" w:sz="4" w:space="0" w:color="auto"/>
              <w:right w:val="single" w:sz="4" w:space="0" w:color="auto"/>
            </w:tcBorders>
            <w:shd w:val="clear" w:color="auto" w:fill="C6EFCE"/>
            <w:noWrap/>
            <w:vAlign w:val="center"/>
          </w:tcPr>
          <w:p w14:paraId="43893C09" w14:textId="77777777" w:rsidR="00154E32" w:rsidRDefault="00A43E04">
            <w:pPr>
              <w:pStyle w:val="P68B1DB1-Normal12"/>
              <w:jc w:val="center"/>
              <w:rPr>
                <w:noProof/>
              </w:rPr>
            </w:pPr>
            <w:r>
              <w:rPr>
                <w:noProof/>
              </w:rPr>
              <w:t>Tarča</w:t>
            </w:r>
          </w:p>
        </w:tc>
        <w:tc>
          <w:tcPr>
            <w:tcW w:w="4093" w:type="dxa"/>
            <w:tcBorders>
              <w:top w:val="nil"/>
              <w:left w:val="nil"/>
              <w:bottom w:val="single" w:sz="4" w:space="0" w:color="auto"/>
              <w:right w:val="single" w:sz="4" w:space="0" w:color="auto"/>
            </w:tcBorders>
            <w:shd w:val="clear" w:color="auto" w:fill="C6EFCE"/>
            <w:noWrap/>
            <w:vAlign w:val="center"/>
          </w:tcPr>
          <w:p w14:paraId="02D0F2F9" w14:textId="77777777" w:rsidR="00154E32" w:rsidRDefault="00A43E04">
            <w:pPr>
              <w:pStyle w:val="P68B1DB1-Normal12"/>
              <w:jc w:val="center"/>
              <w:rPr>
                <w:noProof/>
              </w:rPr>
            </w:pPr>
            <w:r>
              <w:rPr>
                <w:noProof/>
              </w:rPr>
              <w:t>Državni svet – sodni dokumenti, ki so na voljo za analizo v podatkovnem skladišču T1</w:t>
            </w:r>
          </w:p>
        </w:tc>
      </w:tr>
      <w:tr w:rsidR="00154E32" w14:paraId="1AB7B11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1998392" w14:textId="77777777" w:rsidR="00154E32" w:rsidRDefault="00A43E04">
            <w:pPr>
              <w:pStyle w:val="P68B1DB1-Normal12"/>
              <w:jc w:val="center"/>
              <w:rPr>
                <w:noProof/>
              </w:rPr>
            </w:pPr>
            <w:r>
              <w:rPr>
                <w:noProof/>
              </w:rPr>
              <w:t>M1C1–16</w:t>
            </w:r>
          </w:p>
        </w:tc>
        <w:tc>
          <w:tcPr>
            <w:tcW w:w="3195" w:type="dxa"/>
            <w:tcBorders>
              <w:top w:val="nil"/>
              <w:left w:val="nil"/>
              <w:bottom w:val="single" w:sz="4" w:space="0" w:color="auto"/>
              <w:right w:val="single" w:sz="4" w:space="0" w:color="auto"/>
            </w:tcBorders>
            <w:shd w:val="clear" w:color="auto" w:fill="C6EFCE"/>
            <w:noWrap/>
            <w:vAlign w:val="center"/>
          </w:tcPr>
          <w:p w14:paraId="29596D4E" w14:textId="77777777" w:rsidR="00154E32" w:rsidRDefault="00A43E04">
            <w:pPr>
              <w:pStyle w:val="P68B1DB1-Normal12"/>
              <w:jc w:val="center"/>
              <w:rPr>
                <w:noProof/>
              </w:rPr>
            </w:pPr>
            <w:r>
              <w:rPr>
                <w:noProof/>
              </w:rPr>
              <w:t>Naložba 1.6.5: Digitalizacija državnega sveta</w:t>
            </w:r>
          </w:p>
        </w:tc>
        <w:tc>
          <w:tcPr>
            <w:tcW w:w="1438" w:type="dxa"/>
            <w:tcBorders>
              <w:top w:val="nil"/>
              <w:left w:val="nil"/>
              <w:bottom w:val="single" w:sz="4" w:space="0" w:color="auto"/>
              <w:right w:val="single" w:sz="4" w:space="0" w:color="auto"/>
            </w:tcBorders>
            <w:shd w:val="clear" w:color="auto" w:fill="C6EFCE"/>
            <w:noWrap/>
            <w:vAlign w:val="center"/>
          </w:tcPr>
          <w:p w14:paraId="66C30726" w14:textId="77777777" w:rsidR="00154E32" w:rsidRDefault="00A43E04">
            <w:pPr>
              <w:pStyle w:val="P68B1DB1-Normal12"/>
              <w:jc w:val="center"/>
              <w:rPr>
                <w:noProof/>
              </w:rPr>
            </w:pPr>
            <w:r>
              <w:rPr>
                <w:noProof/>
              </w:rPr>
              <w:t>Tarča</w:t>
            </w:r>
          </w:p>
        </w:tc>
        <w:tc>
          <w:tcPr>
            <w:tcW w:w="4093" w:type="dxa"/>
            <w:tcBorders>
              <w:top w:val="nil"/>
              <w:left w:val="nil"/>
              <w:bottom w:val="single" w:sz="4" w:space="0" w:color="auto"/>
              <w:right w:val="single" w:sz="4" w:space="0" w:color="auto"/>
            </w:tcBorders>
            <w:shd w:val="clear" w:color="auto" w:fill="C6EFCE"/>
            <w:noWrap/>
            <w:vAlign w:val="center"/>
          </w:tcPr>
          <w:p w14:paraId="62F63763" w14:textId="77777777" w:rsidR="00154E32" w:rsidRDefault="00A43E04">
            <w:pPr>
              <w:pStyle w:val="P68B1DB1-Normal12"/>
              <w:jc w:val="center"/>
              <w:rPr>
                <w:noProof/>
              </w:rPr>
            </w:pPr>
            <w:r>
              <w:rPr>
                <w:noProof/>
              </w:rPr>
              <w:t>Državni svet – sodni dokumenti, ki so na voljo za analizo v podatkovnem skladišču T2</w:t>
            </w:r>
          </w:p>
        </w:tc>
      </w:tr>
      <w:tr w:rsidR="00154E32" w14:paraId="226651D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411E7A6" w14:textId="77777777" w:rsidR="00154E32" w:rsidRDefault="00A43E04">
            <w:pPr>
              <w:pStyle w:val="P68B1DB1-Normal12"/>
              <w:jc w:val="center"/>
              <w:rPr>
                <w:noProof/>
              </w:rPr>
            </w:pPr>
            <w:r>
              <w:rPr>
                <w:noProof/>
              </w:rPr>
              <w:t>M1C1–126</w:t>
            </w:r>
          </w:p>
        </w:tc>
        <w:tc>
          <w:tcPr>
            <w:tcW w:w="3195" w:type="dxa"/>
            <w:tcBorders>
              <w:top w:val="nil"/>
              <w:left w:val="nil"/>
              <w:bottom w:val="single" w:sz="4" w:space="0" w:color="auto"/>
              <w:right w:val="single" w:sz="4" w:space="0" w:color="auto"/>
            </w:tcBorders>
            <w:shd w:val="clear" w:color="auto" w:fill="C6EFCE"/>
            <w:noWrap/>
            <w:vAlign w:val="center"/>
          </w:tcPr>
          <w:p w14:paraId="0DF07D6F" w14:textId="77777777" w:rsidR="00154E32" w:rsidRDefault="00A43E04">
            <w:pPr>
              <w:pStyle w:val="P68B1DB1-Normal12"/>
              <w:jc w:val="center"/>
              <w:rPr>
                <w:noProof/>
              </w:rPr>
            </w:pPr>
            <w:r>
              <w:rPr>
                <w:noProof/>
              </w:rPr>
              <w:t>Naložba 1.4.3 – sprejetje razširitve storitev platforme PagoPA in aplikacije „IO“</w:t>
            </w:r>
          </w:p>
        </w:tc>
        <w:tc>
          <w:tcPr>
            <w:tcW w:w="1438" w:type="dxa"/>
            <w:tcBorders>
              <w:top w:val="nil"/>
              <w:left w:val="nil"/>
              <w:bottom w:val="single" w:sz="4" w:space="0" w:color="auto"/>
              <w:right w:val="single" w:sz="4" w:space="0" w:color="auto"/>
            </w:tcBorders>
            <w:shd w:val="clear" w:color="auto" w:fill="C6EFCE"/>
            <w:noWrap/>
            <w:vAlign w:val="center"/>
          </w:tcPr>
          <w:p w14:paraId="5E08D2A8" w14:textId="77777777" w:rsidR="00154E32" w:rsidRDefault="00A43E04">
            <w:pPr>
              <w:pStyle w:val="P68B1DB1-Normal12"/>
              <w:jc w:val="center"/>
              <w:rPr>
                <w:noProof/>
              </w:rPr>
            </w:pPr>
            <w:r>
              <w:rPr>
                <w:noProof/>
              </w:rPr>
              <w:t>Tarča</w:t>
            </w:r>
          </w:p>
        </w:tc>
        <w:tc>
          <w:tcPr>
            <w:tcW w:w="4093" w:type="dxa"/>
            <w:tcBorders>
              <w:top w:val="nil"/>
              <w:left w:val="nil"/>
              <w:bottom w:val="single" w:sz="4" w:space="0" w:color="auto"/>
              <w:right w:val="single" w:sz="4" w:space="0" w:color="auto"/>
            </w:tcBorders>
            <w:shd w:val="clear" w:color="auto" w:fill="C6EFCE"/>
            <w:noWrap/>
            <w:vAlign w:val="center"/>
          </w:tcPr>
          <w:p w14:paraId="13864DE0" w14:textId="77777777" w:rsidR="00154E32" w:rsidRDefault="00A43E04">
            <w:pPr>
              <w:pStyle w:val="P68B1DB1-Normal12"/>
              <w:jc w:val="center"/>
              <w:rPr>
                <w:noProof/>
              </w:rPr>
            </w:pPr>
            <w:r>
              <w:rPr>
                <w:noProof/>
              </w:rPr>
              <w:t>Razširitev sprejetja storitev platforme PagoPA T1</w:t>
            </w:r>
          </w:p>
        </w:tc>
      </w:tr>
      <w:tr w:rsidR="00154E32" w14:paraId="324317D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A5F2356" w14:textId="77777777" w:rsidR="00154E32" w:rsidRDefault="00A43E04">
            <w:pPr>
              <w:pStyle w:val="P68B1DB1-Normal12"/>
              <w:jc w:val="center"/>
              <w:rPr>
                <w:noProof/>
              </w:rPr>
            </w:pPr>
            <w:r>
              <w:rPr>
                <w:noProof/>
              </w:rPr>
              <w:t>M1C1–127</w:t>
            </w:r>
          </w:p>
        </w:tc>
        <w:tc>
          <w:tcPr>
            <w:tcW w:w="3195" w:type="dxa"/>
            <w:tcBorders>
              <w:top w:val="nil"/>
              <w:left w:val="nil"/>
              <w:bottom w:val="single" w:sz="4" w:space="0" w:color="auto"/>
              <w:right w:val="single" w:sz="4" w:space="0" w:color="auto"/>
            </w:tcBorders>
            <w:shd w:val="clear" w:color="auto" w:fill="C6EFCE"/>
            <w:noWrap/>
            <w:vAlign w:val="center"/>
          </w:tcPr>
          <w:p w14:paraId="3EDB7FD8" w14:textId="77777777" w:rsidR="00154E32" w:rsidRDefault="00A43E04">
            <w:pPr>
              <w:pStyle w:val="P68B1DB1-Normal12"/>
              <w:jc w:val="center"/>
              <w:rPr>
                <w:noProof/>
              </w:rPr>
            </w:pPr>
            <w:r>
              <w:rPr>
                <w:noProof/>
              </w:rPr>
              <w:t>Naložba 1.4.3 – sprejetje razširitve storitev platforme PagoPA in aplikacije „IO“</w:t>
            </w:r>
          </w:p>
        </w:tc>
        <w:tc>
          <w:tcPr>
            <w:tcW w:w="1438" w:type="dxa"/>
            <w:tcBorders>
              <w:top w:val="nil"/>
              <w:left w:val="nil"/>
              <w:bottom w:val="single" w:sz="4" w:space="0" w:color="auto"/>
              <w:right w:val="single" w:sz="4" w:space="0" w:color="auto"/>
            </w:tcBorders>
            <w:shd w:val="clear" w:color="auto" w:fill="C6EFCE"/>
            <w:noWrap/>
            <w:vAlign w:val="center"/>
          </w:tcPr>
          <w:p w14:paraId="05C46700" w14:textId="77777777" w:rsidR="00154E32" w:rsidRDefault="00A43E04">
            <w:pPr>
              <w:pStyle w:val="P68B1DB1-Normal12"/>
              <w:jc w:val="center"/>
              <w:rPr>
                <w:noProof/>
              </w:rPr>
            </w:pPr>
            <w:r>
              <w:rPr>
                <w:noProof/>
              </w:rPr>
              <w:t>Tarča</w:t>
            </w:r>
          </w:p>
        </w:tc>
        <w:tc>
          <w:tcPr>
            <w:tcW w:w="4093" w:type="dxa"/>
            <w:tcBorders>
              <w:top w:val="nil"/>
              <w:left w:val="nil"/>
              <w:bottom w:val="single" w:sz="4" w:space="0" w:color="auto"/>
              <w:right w:val="single" w:sz="4" w:space="0" w:color="auto"/>
            </w:tcBorders>
            <w:shd w:val="clear" w:color="auto" w:fill="C6EFCE"/>
            <w:noWrap/>
            <w:vAlign w:val="center"/>
          </w:tcPr>
          <w:p w14:paraId="5AB02332" w14:textId="77777777" w:rsidR="00154E32" w:rsidRDefault="00A43E04">
            <w:pPr>
              <w:pStyle w:val="P68B1DB1-Normal12"/>
              <w:jc w:val="center"/>
              <w:rPr>
                <w:noProof/>
              </w:rPr>
            </w:pPr>
            <w:r>
              <w:rPr>
                <w:noProof/>
              </w:rPr>
              <w:t>Razširitev sprejetja aplikacije T1 „IO“</w:t>
            </w:r>
          </w:p>
        </w:tc>
      </w:tr>
      <w:tr w:rsidR="00154E32" w14:paraId="77466BE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2F69BC6" w14:textId="77777777" w:rsidR="00154E32" w:rsidRDefault="00A43E04">
            <w:pPr>
              <w:pStyle w:val="P68B1DB1-Normal12"/>
              <w:jc w:val="center"/>
              <w:rPr>
                <w:noProof/>
              </w:rPr>
            </w:pPr>
            <w:r>
              <w:rPr>
                <w:noProof/>
              </w:rPr>
              <w:t>M1C1–128</w:t>
            </w:r>
          </w:p>
        </w:tc>
        <w:tc>
          <w:tcPr>
            <w:tcW w:w="3195" w:type="dxa"/>
            <w:tcBorders>
              <w:top w:val="nil"/>
              <w:left w:val="nil"/>
              <w:bottom w:val="single" w:sz="4" w:space="0" w:color="auto"/>
              <w:right w:val="single" w:sz="4" w:space="0" w:color="auto"/>
            </w:tcBorders>
            <w:shd w:val="clear" w:color="auto" w:fill="C6EFCE"/>
            <w:noWrap/>
            <w:vAlign w:val="center"/>
          </w:tcPr>
          <w:p w14:paraId="59C2E0C2" w14:textId="77777777" w:rsidR="00154E32" w:rsidRDefault="00A43E04">
            <w:pPr>
              <w:pStyle w:val="P68B1DB1-Normal12"/>
              <w:jc w:val="center"/>
              <w:rPr>
                <w:noProof/>
              </w:rPr>
            </w:pPr>
            <w:r>
              <w:rPr>
                <w:noProof/>
              </w:rPr>
              <w:t>Naložba 1.4.5 – Digitalizacija javnih obvestil</w:t>
            </w:r>
          </w:p>
        </w:tc>
        <w:tc>
          <w:tcPr>
            <w:tcW w:w="1438" w:type="dxa"/>
            <w:tcBorders>
              <w:top w:val="nil"/>
              <w:left w:val="nil"/>
              <w:bottom w:val="single" w:sz="4" w:space="0" w:color="auto"/>
              <w:right w:val="single" w:sz="4" w:space="0" w:color="auto"/>
            </w:tcBorders>
            <w:shd w:val="clear" w:color="auto" w:fill="C6EFCE"/>
            <w:noWrap/>
            <w:vAlign w:val="center"/>
          </w:tcPr>
          <w:p w14:paraId="2435468C" w14:textId="77777777" w:rsidR="00154E32" w:rsidRDefault="00A43E04">
            <w:pPr>
              <w:pStyle w:val="P68B1DB1-Normal12"/>
              <w:jc w:val="center"/>
              <w:rPr>
                <w:noProof/>
              </w:rPr>
            </w:pPr>
            <w:r>
              <w:rPr>
                <w:noProof/>
              </w:rPr>
              <w:t>Tarča</w:t>
            </w:r>
          </w:p>
        </w:tc>
        <w:tc>
          <w:tcPr>
            <w:tcW w:w="4093" w:type="dxa"/>
            <w:tcBorders>
              <w:top w:val="nil"/>
              <w:left w:val="nil"/>
              <w:bottom w:val="single" w:sz="4" w:space="0" w:color="auto"/>
              <w:right w:val="single" w:sz="4" w:space="0" w:color="auto"/>
            </w:tcBorders>
            <w:shd w:val="clear" w:color="auto" w:fill="C6EFCE"/>
            <w:noWrap/>
            <w:vAlign w:val="center"/>
          </w:tcPr>
          <w:p w14:paraId="2AE03B0F" w14:textId="77777777" w:rsidR="00154E32" w:rsidRDefault="00A43E04">
            <w:pPr>
              <w:pStyle w:val="P68B1DB1-Normal12"/>
              <w:jc w:val="center"/>
              <w:rPr>
                <w:noProof/>
              </w:rPr>
            </w:pPr>
            <w:r>
              <w:rPr>
                <w:noProof/>
              </w:rPr>
              <w:t>Povečanje sprejetja digitalnih javnih obvestil T1</w:t>
            </w:r>
          </w:p>
        </w:tc>
      </w:tr>
      <w:tr w:rsidR="00154E32" w14:paraId="55F77BE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3A5E191" w14:textId="77777777" w:rsidR="00154E32" w:rsidRDefault="00A43E04">
            <w:pPr>
              <w:pStyle w:val="P68B1DB1-Normal12"/>
              <w:jc w:val="center"/>
              <w:rPr>
                <w:noProof/>
              </w:rPr>
            </w:pPr>
            <w:r>
              <w:rPr>
                <w:noProof/>
              </w:rPr>
              <w:t>M1C1–129</w:t>
            </w:r>
          </w:p>
        </w:tc>
        <w:tc>
          <w:tcPr>
            <w:tcW w:w="3195" w:type="dxa"/>
            <w:tcBorders>
              <w:top w:val="nil"/>
              <w:left w:val="nil"/>
              <w:bottom w:val="single" w:sz="4" w:space="0" w:color="auto"/>
              <w:right w:val="single" w:sz="4" w:space="0" w:color="auto"/>
            </w:tcBorders>
            <w:shd w:val="clear" w:color="auto" w:fill="C6EFCE"/>
            <w:noWrap/>
            <w:vAlign w:val="center"/>
          </w:tcPr>
          <w:p w14:paraId="6DCB6C7D" w14:textId="77777777" w:rsidR="00154E32" w:rsidRDefault="00A43E04">
            <w:pPr>
              <w:pStyle w:val="P68B1DB1-Normal12"/>
              <w:jc w:val="center"/>
              <w:rPr>
                <w:noProof/>
              </w:rPr>
            </w:pPr>
            <w:r>
              <w:rPr>
                <w:noProof/>
              </w:rPr>
              <w:t>Naložba 1.6.1 – Digitalizacija ministrstva za notranje zadeve</w:t>
            </w:r>
          </w:p>
        </w:tc>
        <w:tc>
          <w:tcPr>
            <w:tcW w:w="1438" w:type="dxa"/>
            <w:tcBorders>
              <w:top w:val="nil"/>
              <w:left w:val="nil"/>
              <w:bottom w:val="single" w:sz="4" w:space="0" w:color="auto"/>
              <w:right w:val="single" w:sz="4" w:space="0" w:color="auto"/>
            </w:tcBorders>
            <w:shd w:val="clear" w:color="auto" w:fill="C6EFCE"/>
            <w:noWrap/>
            <w:vAlign w:val="center"/>
          </w:tcPr>
          <w:p w14:paraId="300DD812" w14:textId="77777777" w:rsidR="00154E32" w:rsidRDefault="00A43E04">
            <w:pPr>
              <w:pStyle w:val="P68B1DB1-Normal12"/>
              <w:jc w:val="center"/>
              <w:rPr>
                <w:noProof/>
              </w:rPr>
            </w:pPr>
            <w:r>
              <w:rPr>
                <w:noProof/>
              </w:rPr>
              <w:t>Tarča</w:t>
            </w:r>
          </w:p>
        </w:tc>
        <w:tc>
          <w:tcPr>
            <w:tcW w:w="4093" w:type="dxa"/>
            <w:tcBorders>
              <w:top w:val="nil"/>
              <w:left w:val="nil"/>
              <w:bottom w:val="single" w:sz="4" w:space="0" w:color="auto"/>
              <w:right w:val="single" w:sz="4" w:space="0" w:color="auto"/>
            </w:tcBorders>
            <w:shd w:val="clear" w:color="auto" w:fill="C6EFCE"/>
            <w:noWrap/>
            <w:vAlign w:val="center"/>
          </w:tcPr>
          <w:p w14:paraId="1E26EA4E" w14:textId="77777777" w:rsidR="00154E32" w:rsidRDefault="00A43E04">
            <w:pPr>
              <w:pStyle w:val="P68B1DB1-Normal12"/>
              <w:jc w:val="center"/>
              <w:rPr>
                <w:noProof/>
              </w:rPr>
            </w:pPr>
            <w:r>
              <w:rPr>
                <w:noProof/>
              </w:rPr>
              <w:t>Ministrstvo za notranje zadeve – popolnoma preoblikovani in digitalizirani postopki T1</w:t>
            </w:r>
          </w:p>
        </w:tc>
      </w:tr>
      <w:tr w:rsidR="00154E32" w14:paraId="13610FF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259A816" w14:textId="77777777" w:rsidR="00154E32" w:rsidRDefault="00A43E04">
            <w:pPr>
              <w:pStyle w:val="P68B1DB1-Normal12"/>
              <w:jc w:val="center"/>
              <w:rPr>
                <w:noProof/>
              </w:rPr>
            </w:pPr>
            <w:r>
              <w:rPr>
                <w:noProof/>
              </w:rPr>
              <w:t>M1C1–130</w:t>
            </w:r>
          </w:p>
        </w:tc>
        <w:tc>
          <w:tcPr>
            <w:tcW w:w="3195" w:type="dxa"/>
            <w:tcBorders>
              <w:top w:val="nil"/>
              <w:left w:val="nil"/>
              <w:bottom w:val="single" w:sz="4" w:space="0" w:color="auto"/>
              <w:right w:val="single" w:sz="4" w:space="0" w:color="auto"/>
            </w:tcBorders>
            <w:shd w:val="clear" w:color="auto" w:fill="C6EFCE"/>
            <w:noWrap/>
            <w:vAlign w:val="center"/>
          </w:tcPr>
          <w:p w14:paraId="149212EF" w14:textId="77777777" w:rsidR="00154E32" w:rsidRDefault="00A43E04">
            <w:pPr>
              <w:pStyle w:val="P68B1DB1-Normal12"/>
              <w:jc w:val="center"/>
              <w:rPr>
                <w:noProof/>
              </w:rPr>
            </w:pPr>
            <w:r>
              <w:rPr>
                <w:noProof/>
              </w:rPr>
              <w:t>Naložba 1.6.2 – Digitizacija ministrstva za pravosodje</w:t>
            </w:r>
          </w:p>
        </w:tc>
        <w:tc>
          <w:tcPr>
            <w:tcW w:w="1438" w:type="dxa"/>
            <w:tcBorders>
              <w:top w:val="nil"/>
              <w:left w:val="nil"/>
              <w:bottom w:val="single" w:sz="4" w:space="0" w:color="auto"/>
              <w:right w:val="single" w:sz="4" w:space="0" w:color="auto"/>
            </w:tcBorders>
            <w:shd w:val="clear" w:color="auto" w:fill="C6EFCE"/>
            <w:noWrap/>
            <w:vAlign w:val="center"/>
          </w:tcPr>
          <w:p w14:paraId="42ED247B" w14:textId="77777777" w:rsidR="00154E32" w:rsidRDefault="00A43E04">
            <w:pPr>
              <w:pStyle w:val="P68B1DB1-Normal12"/>
              <w:jc w:val="center"/>
              <w:rPr>
                <w:noProof/>
              </w:rPr>
            </w:pPr>
            <w:r>
              <w:rPr>
                <w:noProof/>
              </w:rPr>
              <w:t>Tarča</w:t>
            </w:r>
          </w:p>
        </w:tc>
        <w:tc>
          <w:tcPr>
            <w:tcW w:w="4093" w:type="dxa"/>
            <w:tcBorders>
              <w:top w:val="nil"/>
              <w:left w:val="nil"/>
              <w:bottom w:val="single" w:sz="4" w:space="0" w:color="auto"/>
              <w:right w:val="single" w:sz="4" w:space="0" w:color="auto"/>
            </w:tcBorders>
            <w:shd w:val="clear" w:color="auto" w:fill="C6EFCE"/>
            <w:noWrap/>
            <w:vAlign w:val="center"/>
          </w:tcPr>
          <w:p w14:paraId="1E9D4B5E" w14:textId="77777777" w:rsidR="00154E32" w:rsidRDefault="00A43E04">
            <w:pPr>
              <w:pStyle w:val="P68B1DB1-Normal12"/>
              <w:jc w:val="center"/>
              <w:rPr>
                <w:noProof/>
              </w:rPr>
            </w:pPr>
            <w:r>
              <w:rPr>
                <w:noProof/>
              </w:rPr>
              <w:t>Digitalizirani sodni spisi T1</w:t>
            </w:r>
          </w:p>
        </w:tc>
      </w:tr>
      <w:tr w:rsidR="00154E32" w14:paraId="4471CDB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DAE6720" w14:textId="77777777" w:rsidR="00154E32" w:rsidRDefault="00A43E04">
            <w:pPr>
              <w:pStyle w:val="P68B1DB1-Normal12"/>
              <w:jc w:val="center"/>
              <w:rPr>
                <w:noProof/>
              </w:rPr>
            </w:pPr>
            <w:r>
              <w:rPr>
                <w:noProof/>
              </w:rPr>
              <w:t>M1C1–131</w:t>
            </w:r>
          </w:p>
        </w:tc>
        <w:tc>
          <w:tcPr>
            <w:tcW w:w="3195" w:type="dxa"/>
            <w:tcBorders>
              <w:top w:val="nil"/>
              <w:left w:val="nil"/>
              <w:bottom w:val="single" w:sz="4" w:space="0" w:color="auto"/>
              <w:right w:val="single" w:sz="4" w:space="0" w:color="auto"/>
            </w:tcBorders>
            <w:shd w:val="clear" w:color="auto" w:fill="C6EFCE"/>
            <w:noWrap/>
            <w:vAlign w:val="center"/>
          </w:tcPr>
          <w:p w14:paraId="76B6FBC8" w14:textId="77777777" w:rsidR="00154E32" w:rsidRDefault="00A43E04">
            <w:pPr>
              <w:pStyle w:val="P68B1DB1-Normal12"/>
              <w:jc w:val="center"/>
              <w:rPr>
                <w:noProof/>
              </w:rPr>
            </w:pPr>
            <w:r>
              <w:rPr>
                <w:noProof/>
              </w:rPr>
              <w:t>Naložba 1.6.2 – Digitizacija ministrstva za pravosodje</w:t>
            </w:r>
          </w:p>
        </w:tc>
        <w:tc>
          <w:tcPr>
            <w:tcW w:w="1438" w:type="dxa"/>
            <w:tcBorders>
              <w:top w:val="nil"/>
              <w:left w:val="nil"/>
              <w:bottom w:val="single" w:sz="4" w:space="0" w:color="auto"/>
              <w:right w:val="single" w:sz="4" w:space="0" w:color="auto"/>
            </w:tcBorders>
            <w:shd w:val="clear" w:color="auto" w:fill="C6EFCE"/>
            <w:noWrap/>
            <w:vAlign w:val="center"/>
          </w:tcPr>
          <w:p w14:paraId="64E61A98" w14:textId="77777777" w:rsidR="00154E32" w:rsidRDefault="00A43E04">
            <w:pPr>
              <w:pStyle w:val="P68B1DB1-Normal12"/>
              <w:jc w:val="center"/>
              <w:rPr>
                <w:noProof/>
              </w:rPr>
            </w:pPr>
            <w:r>
              <w:rPr>
                <w:noProof/>
              </w:rPr>
              <w:t>Mejnik</w:t>
            </w:r>
          </w:p>
        </w:tc>
        <w:tc>
          <w:tcPr>
            <w:tcW w:w="4093" w:type="dxa"/>
            <w:tcBorders>
              <w:top w:val="nil"/>
              <w:left w:val="nil"/>
              <w:bottom w:val="single" w:sz="4" w:space="0" w:color="auto"/>
              <w:right w:val="single" w:sz="4" w:space="0" w:color="auto"/>
            </w:tcBorders>
            <w:shd w:val="clear" w:color="auto" w:fill="C6EFCE"/>
            <w:noWrap/>
            <w:vAlign w:val="center"/>
          </w:tcPr>
          <w:p w14:paraId="6A972BA2" w14:textId="77777777" w:rsidR="00154E32" w:rsidRDefault="00A43E04">
            <w:pPr>
              <w:pStyle w:val="P68B1DB1-Normal12"/>
              <w:jc w:val="center"/>
              <w:rPr>
                <w:noProof/>
              </w:rPr>
            </w:pPr>
            <w:r>
              <w:rPr>
                <w:noProof/>
              </w:rPr>
              <w:t>Sistemi znanja o pravosodnem jezeru T1</w:t>
            </w:r>
          </w:p>
        </w:tc>
      </w:tr>
      <w:tr w:rsidR="00154E32" w14:paraId="6171475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CED42CA" w14:textId="77777777" w:rsidR="00154E32" w:rsidRDefault="00A43E04">
            <w:pPr>
              <w:pStyle w:val="P68B1DB1-Normal12"/>
              <w:jc w:val="center"/>
              <w:rPr>
                <w:noProof/>
              </w:rPr>
            </w:pPr>
            <w:r>
              <w:rPr>
                <w:noProof/>
              </w:rPr>
              <w:t>M1C1–132</w:t>
            </w:r>
          </w:p>
        </w:tc>
        <w:tc>
          <w:tcPr>
            <w:tcW w:w="3195" w:type="dxa"/>
            <w:tcBorders>
              <w:top w:val="nil"/>
              <w:left w:val="nil"/>
              <w:bottom w:val="single" w:sz="4" w:space="0" w:color="auto"/>
              <w:right w:val="single" w:sz="4" w:space="0" w:color="auto"/>
            </w:tcBorders>
            <w:shd w:val="clear" w:color="auto" w:fill="C6EFCE"/>
            <w:noWrap/>
            <w:vAlign w:val="center"/>
          </w:tcPr>
          <w:p w14:paraId="15281567" w14:textId="77777777" w:rsidR="00154E32" w:rsidRDefault="00A43E04">
            <w:pPr>
              <w:pStyle w:val="P68B1DB1-Normal12"/>
              <w:jc w:val="center"/>
              <w:rPr>
                <w:noProof/>
              </w:rPr>
            </w:pPr>
            <w:r>
              <w:rPr>
                <w:noProof/>
              </w:rPr>
              <w:t>Naložba 1.6.3 – Digitizacija nacionalnega zavoda za socialno varnost (INPS) in Nacionalnega inštituta za zavarovanje pred nesrečami pri delu (INAIL)</w:t>
            </w:r>
          </w:p>
        </w:tc>
        <w:tc>
          <w:tcPr>
            <w:tcW w:w="1438" w:type="dxa"/>
            <w:tcBorders>
              <w:top w:val="nil"/>
              <w:left w:val="nil"/>
              <w:bottom w:val="single" w:sz="4" w:space="0" w:color="auto"/>
              <w:right w:val="single" w:sz="4" w:space="0" w:color="auto"/>
            </w:tcBorders>
            <w:shd w:val="clear" w:color="auto" w:fill="C6EFCE"/>
            <w:noWrap/>
            <w:vAlign w:val="center"/>
          </w:tcPr>
          <w:p w14:paraId="3DC9D7FA" w14:textId="77777777" w:rsidR="00154E32" w:rsidRDefault="00A43E04">
            <w:pPr>
              <w:pStyle w:val="P68B1DB1-Normal12"/>
              <w:jc w:val="center"/>
              <w:rPr>
                <w:noProof/>
              </w:rPr>
            </w:pPr>
            <w:r>
              <w:rPr>
                <w:noProof/>
              </w:rPr>
              <w:t>Tarča</w:t>
            </w:r>
          </w:p>
        </w:tc>
        <w:tc>
          <w:tcPr>
            <w:tcW w:w="4093" w:type="dxa"/>
            <w:tcBorders>
              <w:top w:val="nil"/>
              <w:left w:val="nil"/>
              <w:bottom w:val="single" w:sz="4" w:space="0" w:color="auto"/>
              <w:right w:val="single" w:sz="4" w:space="0" w:color="auto"/>
            </w:tcBorders>
            <w:shd w:val="clear" w:color="auto" w:fill="C6EFCE"/>
            <w:noWrap/>
            <w:vAlign w:val="center"/>
          </w:tcPr>
          <w:p w14:paraId="036F5735" w14:textId="77777777" w:rsidR="00154E32" w:rsidRDefault="00A43E04">
            <w:pPr>
              <w:pStyle w:val="P68B1DB1-Normal12"/>
              <w:jc w:val="center"/>
              <w:rPr>
                <w:noProof/>
              </w:rPr>
            </w:pPr>
            <w:r>
              <w:rPr>
                <w:noProof/>
              </w:rPr>
              <w:t>INPS – storitve/vsebine T2</w:t>
            </w:r>
          </w:p>
        </w:tc>
      </w:tr>
      <w:tr w:rsidR="00154E32" w14:paraId="62D9F19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1CBED6A" w14:textId="77777777" w:rsidR="00154E32" w:rsidRDefault="00A43E04">
            <w:pPr>
              <w:pStyle w:val="P68B1DB1-Normal12"/>
              <w:jc w:val="center"/>
              <w:rPr>
                <w:noProof/>
              </w:rPr>
            </w:pPr>
            <w:r>
              <w:rPr>
                <w:noProof/>
              </w:rPr>
              <w:t>M1C1–133</w:t>
            </w:r>
          </w:p>
        </w:tc>
        <w:tc>
          <w:tcPr>
            <w:tcW w:w="3195" w:type="dxa"/>
            <w:tcBorders>
              <w:top w:val="nil"/>
              <w:left w:val="nil"/>
              <w:bottom w:val="single" w:sz="4" w:space="0" w:color="auto"/>
              <w:right w:val="single" w:sz="4" w:space="0" w:color="auto"/>
            </w:tcBorders>
            <w:shd w:val="clear" w:color="auto" w:fill="C6EFCE"/>
            <w:noWrap/>
            <w:vAlign w:val="center"/>
          </w:tcPr>
          <w:p w14:paraId="175FD68C" w14:textId="77777777" w:rsidR="00154E32" w:rsidRDefault="00A43E04">
            <w:pPr>
              <w:pStyle w:val="P68B1DB1-Normal12"/>
              <w:jc w:val="center"/>
              <w:rPr>
                <w:noProof/>
              </w:rPr>
            </w:pPr>
            <w:r>
              <w:rPr>
                <w:noProof/>
              </w:rPr>
              <w:t>Naložba 1.6.3 – Digitizacija nacionalnega zavoda za socialno varnost (INPS) in Nacionalnega inštituta za zavarovanje pred nesrečami pri delu (INAIL)</w:t>
            </w:r>
          </w:p>
        </w:tc>
        <w:tc>
          <w:tcPr>
            <w:tcW w:w="1438" w:type="dxa"/>
            <w:tcBorders>
              <w:top w:val="nil"/>
              <w:left w:val="nil"/>
              <w:bottom w:val="single" w:sz="4" w:space="0" w:color="auto"/>
              <w:right w:val="single" w:sz="4" w:space="0" w:color="auto"/>
            </w:tcBorders>
            <w:shd w:val="clear" w:color="auto" w:fill="C6EFCE"/>
            <w:noWrap/>
            <w:vAlign w:val="center"/>
          </w:tcPr>
          <w:p w14:paraId="52B686EF" w14:textId="77777777" w:rsidR="00154E32" w:rsidRDefault="00A43E04">
            <w:pPr>
              <w:pStyle w:val="P68B1DB1-Normal12"/>
              <w:jc w:val="center"/>
              <w:rPr>
                <w:noProof/>
              </w:rPr>
            </w:pPr>
            <w:r>
              <w:rPr>
                <w:noProof/>
              </w:rPr>
              <w:t>Tarča</w:t>
            </w:r>
          </w:p>
        </w:tc>
        <w:tc>
          <w:tcPr>
            <w:tcW w:w="4093" w:type="dxa"/>
            <w:tcBorders>
              <w:top w:val="nil"/>
              <w:left w:val="nil"/>
              <w:bottom w:val="single" w:sz="4" w:space="0" w:color="auto"/>
              <w:right w:val="single" w:sz="4" w:space="0" w:color="auto"/>
            </w:tcBorders>
            <w:shd w:val="clear" w:color="auto" w:fill="C6EFCE"/>
            <w:noWrap/>
            <w:vAlign w:val="center"/>
          </w:tcPr>
          <w:p w14:paraId="3F636301" w14:textId="77777777" w:rsidR="00154E32" w:rsidRDefault="00A43E04">
            <w:pPr>
              <w:pStyle w:val="P68B1DB1-Normal12"/>
              <w:jc w:val="center"/>
              <w:rPr>
                <w:noProof/>
              </w:rPr>
            </w:pPr>
            <w:r>
              <w:rPr>
                <w:noProof/>
              </w:rPr>
              <w:t>INPS – zaposleni z izboljšanimi znanji in spretnostmi na področju informacijskih in komunikacijskih tehnologij (IKT) T2</w:t>
            </w:r>
          </w:p>
        </w:tc>
      </w:tr>
      <w:tr w:rsidR="00154E32" w14:paraId="7612662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E15C143" w14:textId="77777777" w:rsidR="00154E32" w:rsidRDefault="00A43E04">
            <w:pPr>
              <w:pStyle w:val="P68B1DB1-Normal12"/>
              <w:jc w:val="center"/>
              <w:rPr>
                <w:noProof/>
              </w:rPr>
            </w:pPr>
            <w:r>
              <w:rPr>
                <w:noProof/>
              </w:rPr>
              <w:t>M1C1–134</w:t>
            </w:r>
          </w:p>
        </w:tc>
        <w:tc>
          <w:tcPr>
            <w:tcW w:w="3195" w:type="dxa"/>
            <w:tcBorders>
              <w:top w:val="nil"/>
              <w:left w:val="nil"/>
              <w:bottom w:val="single" w:sz="4" w:space="0" w:color="auto"/>
              <w:right w:val="single" w:sz="4" w:space="0" w:color="auto"/>
            </w:tcBorders>
            <w:shd w:val="clear" w:color="auto" w:fill="C6EFCE"/>
            <w:noWrap/>
            <w:vAlign w:val="center"/>
          </w:tcPr>
          <w:p w14:paraId="03A402E8" w14:textId="77777777" w:rsidR="00154E32" w:rsidRDefault="00A43E04">
            <w:pPr>
              <w:pStyle w:val="P68B1DB1-Normal12"/>
              <w:jc w:val="center"/>
              <w:rPr>
                <w:noProof/>
              </w:rPr>
            </w:pPr>
            <w:r>
              <w:rPr>
                <w:noProof/>
              </w:rPr>
              <w:t>Naložba 1.6.3 – Digitizacija nacionalnega zavoda za socialno varnost (INPS) in Nacionalnega inštituta za zavarovanje pred nesrečami pri delu (INAIL)</w:t>
            </w:r>
          </w:p>
        </w:tc>
        <w:tc>
          <w:tcPr>
            <w:tcW w:w="1438" w:type="dxa"/>
            <w:tcBorders>
              <w:top w:val="nil"/>
              <w:left w:val="nil"/>
              <w:bottom w:val="single" w:sz="4" w:space="0" w:color="auto"/>
              <w:right w:val="single" w:sz="4" w:space="0" w:color="auto"/>
            </w:tcBorders>
            <w:shd w:val="clear" w:color="auto" w:fill="C6EFCE"/>
            <w:noWrap/>
            <w:vAlign w:val="center"/>
          </w:tcPr>
          <w:p w14:paraId="46103069" w14:textId="77777777" w:rsidR="00154E32" w:rsidRDefault="00A43E04">
            <w:pPr>
              <w:pStyle w:val="P68B1DB1-Normal12"/>
              <w:jc w:val="center"/>
              <w:rPr>
                <w:noProof/>
              </w:rPr>
            </w:pPr>
            <w:r>
              <w:rPr>
                <w:noProof/>
              </w:rPr>
              <w:t>Tarča</w:t>
            </w:r>
          </w:p>
        </w:tc>
        <w:tc>
          <w:tcPr>
            <w:tcW w:w="4093" w:type="dxa"/>
            <w:tcBorders>
              <w:top w:val="nil"/>
              <w:left w:val="nil"/>
              <w:bottom w:val="single" w:sz="4" w:space="0" w:color="auto"/>
              <w:right w:val="single" w:sz="4" w:space="0" w:color="auto"/>
            </w:tcBorders>
            <w:shd w:val="clear" w:color="auto" w:fill="C6EFCE"/>
            <w:noWrap/>
            <w:vAlign w:val="center"/>
          </w:tcPr>
          <w:p w14:paraId="761DF379" w14:textId="77777777" w:rsidR="00154E32" w:rsidRDefault="00A43E04">
            <w:pPr>
              <w:pStyle w:val="P68B1DB1-Normal12"/>
              <w:jc w:val="center"/>
              <w:rPr>
                <w:noProof/>
              </w:rPr>
            </w:pPr>
            <w:r>
              <w:rPr>
                <w:noProof/>
              </w:rPr>
              <w:t>INAIL – V celoti preoblikovani in digitalizirani postopki/storitve T1</w:t>
            </w:r>
          </w:p>
        </w:tc>
      </w:tr>
      <w:tr w:rsidR="00154E32" w14:paraId="4E721F4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AE620D1" w14:textId="77777777" w:rsidR="00154E32" w:rsidRDefault="00A43E04">
            <w:pPr>
              <w:pStyle w:val="P68B1DB1-Normal12"/>
              <w:jc w:val="center"/>
              <w:rPr>
                <w:noProof/>
              </w:rPr>
            </w:pPr>
            <w:r>
              <w:rPr>
                <w:noProof/>
              </w:rPr>
              <w:t>M1C1–135</w:t>
            </w:r>
          </w:p>
        </w:tc>
        <w:tc>
          <w:tcPr>
            <w:tcW w:w="3195" w:type="dxa"/>
            <w:tcBorders>
              <w:top w:val="nil"/>
              <w:left w:val="nil"/>
              <w:bottom w:val="single" w:sz="4" w:space="0" w:color="auto"/>
              <w:right w:val="single" w:sz="4" w:space="0" w:color="auto"/>
            </w:tcBorders>
            <w:shd w:val="clear" w:color="auto" w:fill="C6EFCE"/>
            <w:noWrap/>
            <w:vAlign w:val="center"/>
          </w:tcPr>
          <w:p w14:paraId="2985B763" w14:textId="77777777" w:rsidR="00154E32" w:rsidRDefault="00A43E04">
            <w:pPr>
              <w:pStyle w:val="P68B1DB1-Normal12"/>
              <w:jc w:val="center"/>
              <w:rPr>
                <w:noProof/>
              </w:rPr>
            </w:pPr>
            <w:r>
              <w:rPr>
                <w:noProof/>
              </w:rPr>
              <w:t>Naložba 1.6.4 – Digitalizacija ministrstva za obrambo</w:t>
            </w:r>
          </w:p>
        </w:tc>
        <w:tc>
          <w:tcPr>
            <w:tcW w:w="1438" w:type="dxa"/>
            <w:tcBorders>
              <w:top w:val="nil"/>
              <w:left w:val="nil"/>
              <w:bottom w:val="single" w:sz="4" w:space="0" w:color="auto"/>
              <w:right w:val="single" w:sz="4" w:space="0" w:color="auto"/>
            </w:tcBorders>
            <w:shd w:val="clear" w:color="auto" w:fill="C6EFCE"/>
            <w:noWrap/>
            <w:vAlign w:val="center"/>
          </w:tcPr>
          <w:p w14:paraId="09D9130E" w14:textId="77777777" w:rsidR="00154E32" w:rsidRDefault="00A43E04">
            <w:pPr>
              <w:pStyle w:val="P68B1DB1-Normal12"/>
              <w:jc w:val="center"/>
              <w:rPr>
                <w:noProof/>
              </w:rPr>
            </w:pPr>
            <w:r>
              <w:rPr>
                <w:noProof/>
              </w:rPr>
              <w:t>Tarča</w:t>
            </w:r>
          </w:p>
        </w:tc>
        <w:tc>
          <w:tcPr>
            <w:tcW w:w="4093" w:type="dxa"/>
            <w:tcBorders>
              <w:top w:val="nil"/>
              <w:left w:val="nil"/>
              <w:bottom w:val="single" w:sz="4" w:space="0" w:color="auto"/>
              <w:right w:val="single" w:sz="4" w:space="0" w:color="auto"/>
            </w:tcBorders>
            <w:shd w:val="clear" w:color="auto" w:fill="C6EFCE"/>
            <w:noWrap/>
            <w:vAlign w:val="center"/>
          </w:tcPr>
          <w:p w14:paraId="67BCBB81" w14:textId="77777777" w:rsidR="00154E32" w:rsidRDefault="00A43E04">
            <w:pPr>
              <w:pStyle w:val="P68B1DB1-Normal12"/>
              <w:jc w:val="center"/>
              <w:rPr>
                <w:noProof/>
              </w:rPr>
            </w:pPr>
            <w:r>
              <w:rPr>
                <w:noProof/>
              </w:rPr>
              <w:t>Ministrstvo za obrambo – Digitalizacija postopkov T1</w:t>
            </w:r>
          </w:p>
        </w:tc>
      </w:tr>
      <w:tr w:rsidR="00154E32" w14:paraId="1F8D21A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B26B15A" w14:textId="77777777" w:rsidR="00154E32" w:rsidRDefault="00A43E04">
            <w:pPr>
              <w:pStyle w:val="P68B1DB1-Normal12"/>
              <w:jc w:val="center"/>
              <w:rPr>
                <w:noProof/>
              </w:rPr>
            </w:pPr>
            <w:r>
              <w:rPr>
                <w:noProof/>
              </w:rPr>
              <w:t>M1C1–136</w:t>
            </w:r>
          </w:p>
        </w:tc>
        <w:tc>
          <w:tcPr>
            <w:tcW w:w="3195" w:type="dxa"/>
            <w:tcBorders>
              <w:top w:val="nil"/>
              <w:left w:val="nil"/>
              <w:bottom w:val="single" w:sz="4" w:space="0" w:color="auto"/>
              <w:right w:val="single" w:sz="4" w:space="0" w:color="auto"/>
            </w:tcBorders>
            <w:shd w:val="clear" w:color="auto" w:fill="C6EFCE"/>
            <w:noWrap/>
            <w:vAlign w:val="center"/>
          </w:tcPr>
          <w:p w14:paraId="666E72E7" w14:textId="77777777" w:rsidR="00154E32" w:rsidRDefault="00A43E04">
            <w:pPr>
              <w:pStyle w:val="P68B1DB1-Normal12"/>
              <w:jc w:val="center"/>
              <w:rPr>
                <w:noProof/>
              </w:rPr>
            </w:pPr>
            <w:r>
              <w:rPr>
                <w:noProof/>
              </w:rPr>
              <w:t>Naložba 1.6.4 – Digitalizacija ministrstva za obrambo</w:t>
            </w:r>
          </w:p>
        </w:tc>
        <w:tc>
          <w:tcPr>
            <w:tcW w:w="1438" w:type="dxa"/>
            <w:tcBorders>
              <w:top w:val="nil"/>
              <w:left w:val="nil"/>
              <w:bottom w:val="single" w:sz="4" w:space="0" w:color="auto"/>
              <w:right w:val="single" w:sz="4" w:space="0" w:color="auto"/>
            </w:tcBorders>
            <w:shd w:val="clear" w:color="auto" w:fill="C6EFCE"/>
            <w:noWrap/>
            <w:vAlign w:val="center"/>
          </w:tcPr>
          <w:p w14:paraId="363B0460" w14:textId="77777777" w:rsidR="00154E32" w:rsidRDefault="00A43E04">
            <w:pPr>
              <w:pStyle w:val="P68B1DB1-Normal12"/>
              <w:jc w:val="center"/>
              <w:rPr>
                <w:noProof/>
              </w:rPr>
            </w:pPr>
            <w:r>
              <w:rPr>
                <w:noProof/>
              </w:rPr>
              <w:t>Tarča</w:t>
            </w:r>
          </w:p>
        </w:tc>
        <w:tc>
          <w:tcPr>
            <w:tcW w:w="4093" w:type="dxa"/>
            <w:tcBorders>
              <w:top w:val="nil"/>
              <w:left w:val="nil"/>
              <w:bottom w:val="single" w:sz="4" w:space="0" w:color="auto"/>
              <w:right w:val="single" w:sz="4" w:space="0" w:color="auto"/>
            </w:tcBorders>
            <w:shd w:val="clear" w:color="auto" w:fill="C6EFCE"/>
            <w:noWrap/>
            <w:vAlign w:val="center"/>
          </w:tcPr>
          <w:p w14:paraId="1123A567" w14:textId="77777777" w:rsidR="00154E32" w:rsidRDefault="00A43E04">
            <w:pPr>
              <w:pStyle w:val="P68B1DB1-Normal12"/>
              <w:jc w:val="center"/>
              <w:rPr>
                <w:noProof/>
              </w:rPr>
            </w:pPr>
            <w:r>
              <w:rPr>
                <w:noProof/>
              </w:rPr>
              <w:t>Ministrstvo za obrambo – Digitalizacija potrdil T1</w:t>
            </w:r>
          </w:p>
        </w:tc>
      </w:tr>
      <w:tr w:rsidR="00154E32" w14:paraId="61B9A2C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451F212" w14:textId="77777777" w:rsidR="00154E32" w:rsidRDefault="00A43E04">
            <w:pPr>
              <w:pStyle w:val="P68B1DB1-Normal12"/>
              <w:jc w:val="center"/>
              <w:rPr>
                <w:noProof/>
              </w:rPr>
            </w:pPr>
            <w:r>
              <w:rPr>
                <w:noProof/>
              </w:rPr>
              <w:t>M1C1–137</w:t>
            </w:r>
          </w:p>
        </w:tc>
        <w:tc>
          <w:tcPr>
            <w:tcW w:w="3195" w:type="dxa"/>
            <w:tcBorders>
              <w:top w:val="nil"/>
              <w:left w:val="nil"/>
              <w:bottom w:val="single" w:sz="4" w:space="0" w:color="auto"/>
              <w:right w:val="single" w:sz="4" w:space="0" w:color="auto"/>
            </w:tcBorders>
            <w:shd w:val="clear" w:color="auto" w:fill="C6EFCE"/>
            <w:noWrap/>
            <w:vAlign w:val="center"/>
          </w:tcPr>
          <w:p w14:paraId="56C0588E" w14:textId="77777777" w:rsidR="00154E32" w:rsidRDefault="00A43E04">
            <w:pPr>
              <w:pStyle w:val="P68B1DB1-Normal12"/>
              <w:jc w:val="center"/>
              <w:rPr>
                <w:noProof/>
              </w:rPr>
            </w:pPr>
            <w:r>
              <w:rPr>
                <w:noProof/>
              </w:rPr>
              <w:t>Naložba 1.6.4 – Digitalizacija ministrstva za obrambo</w:t>
            </w:r>
          </w:p>
        </w:tc>
        <w:tc>
          <w:tcPr>
            <w:tcW w:w="1438" w:type="dxa"/>
            <w:tcBorders>
              <w:top w:val="nil"/>
              <w:left w:val="nil"/>
              <w:bottom w:val="single" w:sz="4" w:space="0" w:color="auto"/>
              <w:right w:val="single" w:sz="4" w:space="0" w:color="auto"/>
            </w:tcBorders>
            <w:shd w:val="clear" w:color="auto" w:fill="C6EFCE"/>
            <w:noWrap/>
            <w:vAlign w:val="center"/>
          </w:tcPr>
          <w:p w14:paraId="2C122C62" w14:textId="77777777" w:rsidR="00154E32" w:rsidRDefault="00A43E04">
            <w:pPr>
              <w:pStyle w:val="P68B1DB1-Normal12"/>
              <w:jc w:val="center"/>
              <w:rPr>
                <w:noProof/>
              </w:rPr>
            </w:pPr>
            <w:r>
              <w:rPr>
                <w:noProof/>
              </w:rPr>
              <w:t>Mejnik</w:t>
            </w:r>
          </w:p>
        </w:tc>
        <w:tc>
          <w:tcPr>
            <w:tcW w:w="4093" w:type="dxa"/>
            <w:tcBorders>
              <w:top w:val="nil"/>
              <w:left w:val="nil"/>
              <w:bottom w:val="single" w:sz="4" w:space="0" w:color="auto"/>
              <w:right w:val="single" w:sz="4" w:space="0" w:color="auto"/>
            </w:tcBorders>
            <w:shd w:val="clear" w:color="auto" w:fill="C6EFCE"/>
            <w:noWrap/>
            <w:vAlign w:val="center"/>
          </w:tcPr>
          <w:p w14:paraId="503D7B8D" w14:textId="77777777" w:rsidR="00154E32" w:rsidRDefault="00A43E04">
            <w:pPr>
              <w:pStyle w:val="P68B1DB1-Normal12"/>
              <w:jc w:val="center"/>
              <w:rPr>
                <w:noProof/>
              </w:rPr>
            </w:pPr>
            <w:r>
              <w:rPr>
                <w:noProof/>
              </w:rPr>
              <w:t>Ministrstvo za obrambo – začetek delovanja institucionalnih spletnih portalov in intranetnih portalov</w:t>
            </w:r>
          </w:p>
        </w:tc>
      </w:tr>
      <w:tr w:rsidR="00154E32" w14:paraId="6742CC0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9A72608" w14:textId="77777777" w:rsidR="00154E32" w:rsidRDefault="00A43E04">
            <w:pPr>
              <w:pStyle w:val="P68B1DB1-Normal12"/>
              <w:jc w:val="center"/>
              <w:rPr>
                <w:noProof/>
              </w:rPr>
            </w:pPr>
            <w:r>
              <w:rPr>
                <w:noProof/>
              </w:rPr>
              <w:t>M1C1–138</w:t>
            </w:r>
          </w:p>
        </w:tc>
        <w:tc>
          <w:tcPr>
            <w:tcW w:w="3195" w:type="dxa"/>
            <w:tcBorders>
              <w:top w:val="nil"/>
              <w:left w:val="nil"/>
              <w:bottom w:val="single" w:sz="4" w:space="0" w:color="auto"/>
              <w:right w:val="single" w:sz="4" w:space="0" w:color="auto"/>
            </w:tcBorders>
            <w:shd w:val="clear" w:color="auto" w:fill="C6EFCE"/>
            <w:noWrap/>
            <w:vAlign w:val="center"/>
          </w:tcPr>
          <w:p w14:paraId="0C6AC40C" w14:textId="77777777" w:rsidR="00154E32" w:rsidRDefault="00A43E04">
            <w:pPr>
              <w:pStyle w:val="P68B1DB1-Normal12"/>
              <w:jc w:val="center"/>
              <w:rPr>
                <w:noProof/>
              </w:rPr>
            </w:pPr>
            <w:r>
              <w:rPr>
                <w:noProof/>
              </w:rPr>
              <w:t>Naložba 1.6.4 – Digitalizacija ministrstva za obrambo</w:t>
            </w:r>
          </w:p>
        </w:tc>
        <w:tc>
          <w:tcPr>
            <w:tcW w:w="1438" w:type="dxa"/>
            <w:tcBorders>
              <w:top w:val="nil"/>
              <w:left w:val="nil"/>
              <w:bottom w:val="single" w:sz="4" w:space="0" w:color="auto"/>
              <w:right w:val="single" w:sz="4" w:space="0" w:color="auto"/>
            </w:tcBorders>
            <w:shd w:val="clear" w:color="auto" w:fill="C6EFCE"/>
            <w:noWrap/>
            <w:vAlign w:val="center"/>
          </w:tcPr>
          <w:p w14:paraId="76EFAA3E" w14:textId="77777777" w:rsidR="00154E32" w:rsidRDefault="00A43E04">
            <w:pPr>
              <w:pStyle w:val="P68B1DB1-Normal12"/>
              <w:jc w:val="center"/>
              <w:rPr>
                <w:noProof/>
              </w:rPr>
            </w:pPr>
            <w:r>
              <w:rPr>
                <w:noProof/>
              </w:rPr>
              <w:t>Tarča</w:t>
            </w:r>
          </w:p>
        </w:tc>
        <w:tc>
          <w:tcPr>
            <w:tcW w:w="4093" w:type="dxa"/>
            <w:tcBorders>
              <w:top w:val="nil"/>
              <w:left w:val="nil"/>
              <w:bottom w:val="single" w:sz="4" w:space="0" w:color="auto"/>
              <w:right w:val="single" w:sz="4" w:space="0" w:color="auto"/>
            </w:tcBorders>
            <w:shd w:val="clear" w:color="auto" w:fill="C6EFCE"/>
            <w:noWrap/>
            <w:vAlign w:val="center"/>
          </w:tcPr>
          <w:p w14:paraId="6362FAF7" w14:textId="77777777" w:rsidR="00154E32" w:rsidRDefault="00A43E04">
            <w:pPr>
              <w:pStyle w:val="P68B1DB1-Normal12"/>
              <w:jc w:val="center"/>
              <w:rPr>
                <w:noProof/>
              </w:rPr>
            </w:pPr>
            <w:r>
              <w:rPr>
                <w:noProof/>
              </w:rPr>
              <w:t>Ministrstvo za obrambo – Migracija nemisijskih kritičnih aplikacij v rešitev za popolno zaščito informacij z odprtostjo infrastrukture (S.C.I.P.I.O.) T1</w:t>
            </w:r>
          </w:p>
        </w:tc>
      </w:tr>
      <w:tr w:rsidR="00154E32" w14:paraId="4E0F079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89A9492" w14:textId="77777777" w:rsidR="00154E32" w:rsidRDefault="00A43E04">
            <w:pPr>
              <w:pStyle w:val="P68B1DB1-Normal12"/>
              <w:jc w:val="center"/>
              <w:rPr>
                <w:noProof/>
              </w:rPr>
            </w:pPr>
            <w:r>
              <w:rPr>
                <w:noProof/>
              </w:rPr>
              <w:t>M1C2–29</w:t>
            </w:r>
          </w:p>
        </w:tc>
        <w:tc>
          <w:tcPr>
            <w:tcW w:w="3195" w:type="dxa"/>
            <w:tcBorders>
              <w:top w:val="nil"/>
              <w:left w:val="nil"/>
              <w:bottom w:val="single" w:sz="4" w:space="0" w:color="auto"/>
              <w:right w:val="single" w:sz="4" w:space="0" w:color="auto"/>
            </w:tcBorders>
            <w:shd w:val="clear" w:color="auto" w:fill="C6EFCE"/>
            <w:noWrap/>
            <w:vAlign w:val="center"/>
          </w:tcPr>
          <w:p w14:paraId="2D425EF6" w14:textId="77777777" w:rsidR="00154E32" w:rsidRDefault="00A43E04">
            <w:pPr>
              <w:pStyle w:val="P68B1DB1-Normal12"/>
              <w:jc w:val="center"/>
              <w:rPr>
                <w:noProof/>
              </w:rPr>
            </w:pPr>
            <w:r>
              <w:rPr>
                <w:noProof/>
              </w:rPr>
              <w:t>Naložba 5.2: Konkurenčnost in odpornost dobavnih verig</w:t>
            </w:r>
          </w:p>
        </w:tc>
        <w:tc>
          <w:tcPr>
            <w:tcW w:w="1438" w:type="dxa"/>
            <w:tcBorders>
              <w:top w:val="nil"/>
              <w:left w:val="nil"/>
              <w:bottom w:val="single" w:sz="4" w:space="0" w:color="auto"/>
              <w:right w:val="single" w:sz="4" w:space="0" w:color="auto"/>
            </w:tcBorders>
            <w:shd w:val="clear" w:color="auto" w:fill="C6EFCE"/>
            <w:noWrap/>
            <w:vAlign w:val="center"/>
          </w:tcPr>
          <w:p w14:paraId="6641C680" w14:textId="77777777" w:rsidR="00154E32" w:rsidRDefault="00A43E04">
            <w:pPr>
              <w:pStyle w:val="P68B1DB1-Normal12"/>
              <w:jc w:val="center"/>
              <w:rPr>
                <w:noProof/>
              </w:rPr>
            </w:pPr>
            <w:r>
              <w:rPr>
                <w:noProof/>
              </w:rPr>
              <w:t>Tarča</w:t>
            </w:r>
          </w:p>
        </w:tc>
        <w:tc>
          <w:tcPr>
            <w:tcW w:w="4093" w:type="dxa"/>
            <w:tcBorders>
              <w:top w:val="nil"/>
              <w:left w:val="nil"/>
              <w:bottom w:val="single" w:sz="4" w:space="0" w:color="auto"/>
              <w:right w:val="single" w:sz="4" w:space="0" w:color="auto"/>
            </w:tcBorders>
            <w:shd w:val="clear" w:color="auto" w:fill="C6EFCE"/>
            <w:noWrap/>
            <w:vAlign w:val="center"/>
          </w:tcPr>
          <w:p w14:paraId="0469131E" w14:textId="77777777" w:rsidR="00154E32" w:rsidRDefault="00A43E04">
            <w:pPr>
              <w:pStyle w:val="P68B1DB1-Normal12"/>
              <w:jc w:val="center"/>
              <w:rPr>
                <w:noProof/>
              </w:rPr>
            </w:pPr>
            <w:r>
              <w:rPr>
                <w:noProof/>
              </w:rPr>
              <w:t>Odobrene pogodbe o razvoju</w:t>
            </w:r>
          </w:p>
        </w:tc>
      </w:tr>
      <w:tr w:rsidR="00154E32" w14:paraId="508FE1E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1A40833" w14:textId="77777777" w:rsidR="00154E32" w:rsidRDefault="00A43E04">
            <w:pPr>
              <w:pStyle w:val="P68B1DB1-Normal12"/>
              <w:jc w:val="center"/>
              <w:rPr>
                <w:noProof/>
              </w:rPr>
            </w:pPr>
            <w:r>
              <w:rPr>
                <w:noProof/>
              </w:rPr>
              <w:t>M2C1–15a</w:t>
            </w:r>
          </w:p>
        </w:tc>
        <w:tc>
          <w:tcPr>
            <w:tcW w:w="3195" w:type="dxa"/>
            <w:tcBorders>
              <w:top w:val="nil"/>
              <w:left w:val="nil"/>
              <w:bottom w:val="single" w:sz="4" w:space="0" w:color="auto"/>
              <w:right w:val="single" w:sz="4" w:space="0" w:color="auto"/>
            </w:tcBorders>
            <w:shd w:val="clear" w:color="auto" w:fill="C6EFCE"/>
            <w:noWrap/>
            <w:vAlign w:val="center"/>
          </w:tcPr>
          <w:p w14:paraId="7CDB5129" w14:textId="77777777" w:rsidR="00154E32" w:rsidRDefault="00A43E04">
            <w:pPr>
              <w:pStyle w:val="P68B1DB1-Normal12"/>
              <w:jc w:val="center"/>
              <w:rPr>
                <w:noProof/>
              </w:rPr>
            </w:pPr>
            <w:r>
              <w:rPr>
                <w:noProof/>
              </w:rPr>
              <w:t>Reforma 1.2 Nacionalni program za ravnanje z odpadki:  Naložba 1.1 – Izvajanje novih obratov za ravnanje z odpadki in posodobitev obstoječih obratov</w:t>
            </w:r>
          </w:p>
        </w:tc>
        <w:tc>
          <w:tcPr>
            <w:tcW w:w="1438" w:type="dxa"/>
            <w:tcBorders>
              <w:top w:val="nil"/>
              <w:left w:val="nil"/>
              <w:bottom w:val="single" w:sz="4" w:space="0" w:color="auto"/>
              <w:right w:val="single" w:sz="4" w:space="0" w:color="auto"/>
            </w:tcBorders>
            <w:shd w:val="clear" w:color="auto" w:fill="C6EFCE"/>
            <w:noWrap/>
            <w:vAlign w:val="center"/>
          </w:tcPr>
          <w:p w14:paraId="04C57A6C" w14:textId="77777777" w:rsidR="00154E32" w:rsidRDefault="00A43E04">
            <w:pPr>
              <w:pStyle w:val="P68B1DB1-Normal12"/>
              <w:jc w:val="center"/>
              <w:rPr>
                <w:noProof/>
              </w:rPr>
            </w:pPr>
            <w:r>
              <w:rPr>
                <w:noProof/>
              </w:rPr>
              <w:t>Tarča</w:t>
            </w:r>
          </w:p>
        </w:tc>
        <w:tc>
          <w:tcPr>
            <w:tcW w:w="4093" w:type="dxa"/>
            <w:tcBorders>
              <w:top w:val="nil"/>
              <w:left w:val="nil"/>
              <w:bottom w:val="single" w:sz="4" w:space="0" w:color="auto"/>
              <w:right w:val="single" w:sz="4" w:space="0" w:color="auto"/>
            </w:tcBorders>
            <w:shd w:val="clear" w:color="auto" w:fill="C6EFCE"/>
            <w:noWrap/>
            <w:vAlign w:val="center"/>
          </w:tcPr>
          <w:p w14:paraId="26F643B3" w14:textId="77777777" w:rsidR="00154E32" w:rsidRDefault="00A43E04">
            <w:pPr>
              <w:pStyle w:val="P68B1DB1-Normal12"/>
              <w:jc w:val="center"/>
              <w:rPr>
                <w:noProof/>
              </w:rPr>
            </w:pPr>
            <w:r>
              <w:rPr>
                <w:noProof/>
              </w:rPr>
              <w:t>Zmanjšanje nezakonitih odlagališč (T2)</w:t>
            </w:r>
          </w:p>
        </w:tc>
      </w:tr>
      <w:tr w:rsidR="00154E32" w14:paraId="17790CC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ADB07E8" w14:textId="77777777" w:rsidR="00154E32" w:rsidRDefault="00A43E04">
            <w:pPr>
              <w:pStyle w:val="P68B1DB1-Normal12"/>
              <w:jc w:val="center"/>
              <w:rPr>
                <w:noProof/>
              </w:rPr>
            </w:pPr>
            <w:r>
              <w:rPr>
                <w:noProof/>
              </w:rPr>
              <w:t>M2C1–15b</w:t>
            </w:r>
          </w:p>
        </w:tc>
        <w:tc>
          <w:tcPr>
            <w:tcW w:w="3195" w:type="dxa"/>
            <w:tcBorders>
              <w:top w:val="nil"/>
              <w:left w:val="nil"/>
              <w:bottom w:val="single" w:sz="4" w:space="0" w:color="auto"/>
              <w:right w:val="single" w:sz="4" w:space="0" w:color="auto"/>
            </w:tcBorders>
            <w:shd w:val="clear" w:color="auto" w:fill="C6EFCE"/>
            <w:noWrap/>
            <w:vAlign w:val="center"/>
          </w:tcPr>
          <w:p w14:paraId="7FCB1BB4" w14:textId="77777777" w:rsidR="00154E32" w:rsidRDefault="00A43E04">
            <w:pPr>
              <w:pStyle w:val="P68B1DB1-Normal12"/>
              <w:jc w:val="center"/>
              <w:rPr>
                <w:noProof/>
              </w:rPr>
            </w:pPr>
            <w:r>
              <w:rPr>
                <w:noProof/>
              </w:rPr>
              <w:t>Reforma 1.2 Nacionalni program za ravnanje z odpadki:  Naložba 1.1 – Izvajanje novih obratov za ravnanje z odpadki in posodobitev obstoječih obratov</w:t>
            </w:r>
          </w:p>
        </w:tc>
        <w:tc>
          <w:tcPr>
            <w:tcW w:w="1438" w:type="dxa"/>
            <w:tcBorders>
              <w:top w:val="nil"/>
              <w:left w:val="nil"/>
              <w:bottom w:val="single" w:sz="4" w:space="0" w:color="auto"/>
              <w:right w:val="single" w:sz="4" w:space="0" w:color="auto"/>
            </w:tcBorders>
            <w:shd w:val="clear" w:color="auto" w:fill="C6EFCE"/>
            <w:noWrap/>
            <w:vAlign w:val="center"/>
          </w:tcPr>
          <w:p w14:paraId="2DF2D316" w14:textId="77777777" w:rsidR="00154E32" w:rsidRDefault="00A43E04">
            <w:pPr>
              <w:pStyle w:val="P68B1DB1-Normal12"/>
              <w:jc w:val="center"/>
              <w:rPr>
                <w:noProof/>
              </w:rPr>
            </w:pPr>
            <w:r>
              <w:rPr>
                <w:noProof/>
              </w:rPr>
              <w:t>Tarča</w:t>
            </w:r>
          </w:p>
        </w:tc>
        <w:tc>
          <w:tcPr>
            <w:tcW w:w="4093" w:type="dxa"/>
            <w:tcBorders>
              <w:top w:val="nil"/>
              <w:left w:val="nil"/>
              <w:bottom w:val="single" w:sz="4" w:space="0" w:color="auto"/>
              <w:right w:val="single" w:sz="4" w:space="0" w:color="auto"/>
            </w:tcBorders>
            <w:shd w:val="clear" w:color="auto" w:fill="C6EFCE"/>
            <w:noWrap/>
            <w:vAlign w:val="center"/>
          </w:tcPr>
          <w:p w14:paraId="5798AEDC" w14:textId="77777777" w:rsidR="00154E32" w:rsidRDefault="00A43E04">
            <w:pPr>
              <w:pStyle w:val="P68B1DB1-Normal12"/>
              <w:jc w:val="center"/>
              <w:rPr>
                <w:noProof/>
              </w:rPr>
            </w:pPr>
            <w:r>
              <w:rPr>
                <w:noProof/>
              </w:rPr>
              <w:t>Regionalne razlike pri ločenem zbiranju</w:t>
            </w:r>
          </w:p>
        </w:tc>
      </w:tr>
      <w:tr w:rsidR="00154E32" w14:paraId="3668DB4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9EC2CD9" w14:textId="77777777" w:rsidR="00154E32" w:rsidRDefault="00A43E04">
            <w:pPr>
              <w:pStyle w:val="P68B1DB1-Normal12"/>
              <w:jc w:val="center"/>
              <w:rPr>
                <w:noProof/>
              </w:rPr>
            </w:pPr>
            <w:r>
              <w:rPr>
                <w:noProof/>
              </w:rPr>
              <w:t>M2C1–15 m</w:t>
            </w:r>
          </w:p>
        </w:tc>
        <w:tc>
          <w:tcPr>
            <w:tcW w:w="3195" w:type="dxa"/>
            <w:tcBorders>
              <w:top w:val="nil"/>
              <w:left w:val="nil"/>
              <w:bottom w:val="single" w:sz="4" w:space="0" w:color="auto"/>
              <w:right w:val="single" w:sz="4" w:space="0" w:color="auto"/>
            </w:tcBorders>
            <w:shd w:val="clear" w:color="auto" w:fill="C6EFCE"/>
            <w:noWrap/>
            <w:vAlign w:val="center"/>
          </w:tcPr>
          <w:p w14:paraId="148152A8" w14:textId="77777777" w:rsidR="00154E32" w:rsidRDefault="00A43E04">
            <w:pPr>
              <w:pStyle w:val="P68B1DB1-Normal12"/>
              <w:jc w:val="center"/>
              <w:rPr>
                <w:noProof/>
              </w:rPr>
            </w:pPr>
            <w:r>
              <w:rPr>
                <w:noProof/>
              </w:rPr>
              <w:t>Naložba 1.1 – Izvajanje novih obratov za ravnanje z odpadki in posodobitev obstoječih obratov</w:t>
            </w:r>
          </w:p>
        </w:tc>
        <w:tc>
          <w:tcPr>
            <w:tcW w:w="1438" w:type="dxa"/>
            <w:tcBorders>
              <w:top w:val="nil"/>
              <w:left w:val="nil"/>
              <w:bottom w:val="single" w:sz="4" w:space="0" w:color="auto"/>
              <w:right w:val="single" w:sz="4" w:space="0" w:color="auto"/>
            </w:tcBorders>
            <w:shd w:val="clear" w:color="auto" w:fill="C6EFCE"/>
            <w:noWrap/>
            <w:vAlign w:val="center"/>
          </w:tcPr>
          <w:p w14:paraId="404CB7FF" w14:textId="77777777" w:rsidR="00154E32" w:rsidRDefault="00A43E04">
            <w:pPr>
              <w:pStyle w:val="P68B1DB1-Normal12"/>
              <w:jc w:val="center"/>
              <w:rPr>
                <w:noProof/>
              </w:rPr>
            </w:pPr>
            <w:r>
              <w:rPr>
                <w:noProof/>
              </w:rPr>
              <w:t>Mejnik</w:t>
            </w:r>
          </w:p>
        </w:tc>
        <w:tc>
          <w:tcPr>
            <w:tcW w:w="4093" w:type="dxa"/>
            <w:tcBorders>
              <w:top w:val="nil"/>
              <w:left w:val="nil"/>
              <w:bottom w:val="single" w:sz="4" w:space="0" w:color="auto"/>
              <w:right w:val="single" w:sz="4" w:space="0" w:color="auto"/>
            </w:tcBorders>
            <w:shd w:val="clear" w:color="auto" w:fill="C6EFCE"/>
            <w:noWrap/>
            <w:vAlign w:val="center"/>
          </w:tcPr>
          <w:p w14:paraId="5A3B779E" w14:textId="77777777" w:rsidR="00154E32" w:rsidRDefault="00A43E04">
            <w:pPr>
              <w:pStyle w:val="P68B1DB1-Normal12"/>
              <w:jc w:val="center"/>
              <w:rPr>
                <w:noProof/>
              </w:rPr>
            </w:pPr>
            <w:r>
              <w:rPr>
                <w:noProof/>
              </w:rPr>
              <w:t>Začetek veljavnosti obveznosti ločenega zbiranja bioloških odpadkov</w:t>
            </w:r>
          </w:p>
        </w:tc>
      </w:tr>
      <w:tr w:rsidR="00154E32" w14:paraId="1124484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FB084A2" w14:textId="77777777" w:rsidR="00154E32" w:rsidRDefault="00A43E04">
            <w:pPr>
              <w:pStyle w:val="P68B1DB1-Normal12"/>
              <w:jc w:val="center"/>
              <w:rPr>
                <w:noProof/>
              </w:rPr>
            </w:pPr>
            <w:r>
              <w:rPr>
                <w:noProof/>
              </w:rPr>
              <w:t>M2C2–32</w:t>
            </w:r>
          </w:p>
        </w:tc>
        <w:tc>
          <w:tcPr>
            <w:tcW w:w="3195" w:type="dxa"/>
            <w:tcBorders>
              <w:top w:val="nil"/>
              <w:left w:val="nil"/>
              <w:bottom w:val="single" w:sz="4" w:space="0" w:color="auto"/>
              <w:right w:val="single" w:sz="4" w:space="0" w:color="auto"/>
            </w:tcBorders>
            <w:shd w:val="clear" w:color="auto" w:fill="C6EFCE"/>
            <w:noWrap/>
            <w:vAlign w:val="center"/>
          </w:tcPr>
          <w:p w14:paraId="61DD3F40" w14:textId="77777777" w:rsidR="00154E32" w:rsidRDefault="00A43E04">
            <w:pPr>
              <w:pStyle w:val="P68B1DB1-Normal12"/>
              <w:jc w:val="center"/>
              <w:rPr>
                <w:noProof/>
              </w:rPr>
            </w:pPr>
            <w:r>
              <w:rPr>
                <w:noProof/>
              </w:rPr>
              <w:t>Naložba 4.4.1: Krepitev voznega parka avtobusov v regionalnem javnem prometu z brezemisijskimi nizkopodnimi avtobusi</w:t>
            </w:r>
          </w:p>
        </w:tc>
        <w:tc>
          <w:tcPr>
            <w:tcW w:w="1438" w:type="dxa"/>
            <w:tcBorders>
              <w:top w:val="nil"/>
              <w:left w:val="nil"/>
              <w:bottom w:val="single" w:sz="4" w:space="0" w:color="auto"/>
              <w:right w:val="single" w:sz="4" w:space="0" w:color="auto"/>
            </w:tcBorders>
            <w:shd w:val="clear" w:color="auto" w:fill="C6EFCE"/>
            <w:noWrap/>
            <w:vAlign w:val="center"/>
          </w:tcPr>
          <w:p w14:paraId="7FD05296" w14:textId="77777777" w:rsidR="00154E32" w:rsidRDefault="00A43E04">
            <w:pPr>
              <w:pStyle w:val="P68B1DB1-Normal12"/>
              <w:jc w:val="center"/>
              <w:rPr>
                <w:noProof/>
              </w:rPr>
            </w:pPr>
            <w:r>
              <w:rPr>
                <w:noProof/>
              </w:rPr>
              <w:t>Mejnik</w:t>
            </w:r>
          </w:p>
        </w:tc>
        <w:tc>
          <w:tcPr>
            <w:tcW w:w="4093" w:type="dxa"/>
            <w:tcBorders>
              <w:top w:val="nil"/>
              <w:left w:val="nil"/>
              <w:bottom w:val="single" w:sz="4" w:space="0" w:color="auto"/>
              <w:right w:val="single" w:sz="4" w:space="0" w:color="auto"/>
            </w:tcBorders>
            <w:shd w:val="clear" w:color="auto" w:fill="C6EFCE"/>
            <w:noWrap/>
            <w:vAlign w:val="center"/>
          </w:tcPr>
          <w:p w14:paraId="75FD4A9C" w14:textId="77777777" w:rsidR="00154E32" w:rsidRDefault="00A43E04">
            <w:pPr>
              <w:pStyle w:val="P68B1DB1-Normal12"/>
              <w:jc w:val="center"/>
              <w:rPr>
                <w:noProof/>
              </w:rPr>
            </w:pPr>
            <w:r>
              <w:rPr>
                <w:noProof/>
              </w:rPr>
              <w:t>Oddaja vseh javnih naročil za krepitev voznega parka avtobusov regionalnega javnega prevoza z brezemisijskimi nizkopodnimi avtobusi</w:t>
            </w:r>
          </w:p>
        </w:tc>
      </w:tr>
      <w:tr w:rsidR="00154E32" w14:paraId="14AE070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7F553D0" w14:textId="77777777" w:rsidR="00154E32" w:rsidRDefault="00A43E04">
            <w:pPr>
              <w:pStyle w:val="P68B1DB1-Normal12"/>
              <w:jc w:val="center"/>
              <w:rPr>
                <w:noProof/>
              </w:rPr>
            </w:pPr>
            <w:r>
              <w:rPr>
                <w:noProof/>
              </w:rPr>
              <w:t>M2C3–7</w:t>
            </w:r>
          </w:p>
        </w:tc>
        <w:tc>
          <w:tcPr>
            <w:tcW w:w="3195" w:type="dxa"/>
            <w:tcBorders>
              <w:top w:val="nil"/>
              <w:left w:val="nil"/>
              <w:bottom w:val="single" w:sz="4" w:space="0" w:color="auto"/>
              <w:right w:val="single" w:sz="4" w:space="0" w:color="auto"/>
            </w:tcBorders>
            <w:shd w:val="clear" w:color="auto" w:fill="C6EFCE"/>
            <w:noWrap/>
            <w:vAlign w:val="center"/>
          </w:tcPr>
          <w:p w14:paraId="599D16BF" w14:textId="77777777" w:rsidR="00154E32" w:rsidRDefault="00A43E04">
            <w:pPr>
              <w:pStyle w:val="P68B1DB1-Normal12"/>
              <w:jc w:val="center"/>
              <w:rPr>
                <w:noProof/>
              </w:rPr>
            </w:pPr>
            <w:r>
              <w:rPr>
                <w:noProof/>
              </w:rPr>
              <w:t>Naložba 1.2 – Gradnja stavb, prekvalifikacija in krepitev nepremičninskih sredstev pravosodja</w:t>
            </w:r>
          </w:p>
        </w:tc>
        <w:tc>
          <w:tcPr>
            <w:tcW w:w="1438" w:type="dxa"/>
            <w:tcBorders>
              <w:top w:val="nil"/>
              <w:left w:val="nil"/>
              <w:bottom w:val="single" w:sz="4" w:space="0" w:color="auto"/>
              <w:right w:val="single" w:sz="4" w:space="0" w:color="auto"/>
            </w:tcBorders>
            <w:shd w:val="clear" w:color="auto" w:fill="C6EFCE"/>
            <w:noWrap/>
            <w:vAlign w:val="center"/>
          </w:tcPr>
          <w:p w14:paraId="7A7E8276" w14:textId="77777777" w:rsidR="00154E32" w:rsidRDefault="00A43E04">
            <w:pPr>
              <w:pStyle w:val="P68B1DB1-Normal12"/>
              <w:jc w:val="center"/>
              <w:rPr>
                <w:noProof/>
              </w:rPr>
            </w:pPr>
            <w:r>
              <w:rPr>
                <w:noProof/>
              </w:rPr>
              <w:t>Mejnik</w:t>
            </w:r>
          </w:p>
        </w:tc>
        <w:tc>
          <w:tcPr>
            <w:tcW w:w="4093" w:type="dxa"/>
            <w:tcBorders>
              <w:top w:val="nil"/>
              <w:left w:val="nil"/>
              <w:bottom w:val="single" w:sz="4" w:space="0" w:color="auto"/>
              <w:right w:val="single" w:sz="4" w:space="0" w:color="auto"/>
            </w:tcBorders>
            <w:shd w:val="clear" w:color="auto" w:fill="C6EFCE"/>
            <w:noWrap/>
            <w:vAlign w:val="center"/>
          </w:tcPr>
          <w:p w14:paraId="625FEA57" w14:textId="77777777" w:rsidR="00154E32" w:rsidRDefault="00A43E04">
            <w:pPr>
              <w:pStyle w:val="P68B1DB1-Normal12"/>
              <w:jc w:val="center"/>
              <w:rPr>
                <w:noProof/>
              </w:rPr>
            </w:pPr>
            <w:r>
              <w:rPr>
                <w:noProof/>
              </w:rPr>
              <w:t>Oddajo vseh javnih naročil za gradnjo novih stavb, prekvalifikacijo in okrepitev nepremičninskega premoženja pravosodja podpiše naročnik na podlagi postopka javnega razpisa.</w:t>
            </w:r>
          </w:p>
        </w:tc>
      </w:tr>
      <w:tr w:rsidR="00154E32" w14:paraId="3D90978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34FDE25" w14:textId="77777777" w:rsidR="00154E32" w:rsidRDefault="00A43E04">
            <w:pPr>
              <w:pStyle w:val="P68B1DB1-Normal12"/>
              <w:jc w:val="center"/>
              <w:rPr>
                <w:noProof/>
              </w:rPr>
            </w:pPr>
            <w:r>
              <w:rPr>
                <w:noProof/>
              </w:rPr>
              <w:t>M2C4–33</w:t>
            </w:r>
          </w:p>
        </w:tc>
        <w:tc>
          <w:tcPr>
            <w:tcW w:w="3195" w:type="dxa"/>
            <w:tcBorders>
              <w:top w:val="nil"/>
              <w:left w:val="nil"/>
              <w:bottom w:val="single" w:sz="4" w:space="0" w:color="auto"/>
              <w:right w:val="single" w:sz="4" w:space="0" w:color="auto"/>
            </w:tcBorders>
            <w:shd w:val="clear" w:color="auto" w:fill="C6EFCE"/>
            <w:noWrap/>
            <w:vAlign w:val="center"/>
          </w:tcPr>
          <w:p w14:paraId="5A0A2C66" w14:textId="77777777" w:rsidR="00154E32" w:rsidRDefault="00A43E04">
            <w:pPr>
              <w:pStyle w:val="P68B1DB1-Normal12"/>
              <w:jc w:val="center"/>
              <w:rPr>
                <w:noProof/>
              </w:rPr>
            </w:pPr>
            <w:r>
              <w:rPr>
                <w:noProof/>
              </w:rPr>
              <w:t>Naložba 4.3 Naložbe v odpornost namakalnega kmetijskega sistema za boljše upravljanje vodnih virov</w:t>
            </w:r>
          </w:p>
        </w:tc>
        <w:tc>
          <w:tcPr>
            <w:tcW w:w="1438" w:type="dxa"/>
            <w:tcBorders>
              <w:top w:val="nil"/>
              <w:left w:val="nil"/>
              <w:bottom w:val="single" w:sz="4" w:space="0" w:color="auto"/>
              <w:right w:val="single" w:sz="4" w:space="0" w:color="auto"/>
            </w:tcBorders>
            <w:shd w:val="clear" w:color="auto" w:fill="C6EFCE"/>
            <w:noWrap/>
            <w:vAlign w:val="center"/>
          </w:tcPr>
          <w:p w14:paraId="535621BD" w14:textId="77777777" w:rsidR="00154E32" w:rsidRDefault="00A43E04">
            <w:pPr>
              <w:pStyle w:val="P68B1DB1-Normal12"/>
              <w:jc w:val="center"/>
              <w:rPr>
                <w:noProof/>
              </w:rPr>
            </w:pPr>
            <w:r>
              <w:rPr>
                <w:noProof/>
              </w:rPr>
              <w:t>Mejnik</w:t>
            </w:r>
          </w:p>
        </w:tc>
        <w:tc>
          <w:tcPr>
            <w:tcW w:w="4093" w:type="dxa"/>
            <w:tcBorders>
              <w:top w:val="nil"/>
              <w:left w:val="nil"/>
              <w:bottom w:val="single" w:sz="4" w:space="0" w:color="auto"/>
              <w:right w:val="single" w:sz="4" w:space="0" w:color="auto"/>
            </w:tcBorders>
            <w:shd w:val="clear" w:color="auto" w:fill="C6EFCE"/>
            <w:noWrap/>
            <w:vAlign w:val="center"/>
          </w:tcPr>
          <w:p w14:paraId="2A5943F3" w14:textId="77777777" w:rsidR="00154E32" w:rsidRDefault="00A43E04">
            <w:pPr>
              <w:pStyle w:val="P68B1DB1-Normal12"/>
              <w:jc w:val="center"/>
              <w:rPr>
                <w:noProof/>
              </w:rPr>
            </w:pPr>
            <w:r>
              <w:rPr>
                <w:noProof/>
              </w:rPr>
              <w:t>Oddaja vseh javnih naročil za odpornost namakalnega kmetijskega sistema za boljše upravljanje vodnih virov</w:t>
            </w:r>
          </w:p>
        </w:tc>
      </w:tr>
      <w:tr w:rsidR="00154E32" w14:paraId="75A3762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F11A5C6" w14:textId="77777777" w:rsidR="00154E32" w:rsidRDefault="00A43E04">
            <w:pPr>
              <w:pStyle w:val="P68B1DB1-Normal12"/>
              <w:jc w:val="center"/>
              <w:rPr>
                <w:noProof/>
              </w:rPr>
            </w:pPr>
            <w:r>
              <w:rPr>
                <w:noProof/>
              </w:rPr>
              <w:t>M2C4–36</w:t>
            </w:r>
          </w:p>
        </w:tc>
        <w:tc>
          <w:tcPr>
            <w:tcW w:w="3195" w:type="dxa"/>
            <w:tcBorders>
              <w:top w:val="nil"/>
              <w:left w:val="nil"/>
              <w:bottom w:val="single" w:sz="4" w:space="0" w:color="auto"/>
              <w:right w:val="single" w:sz="4" w:space="0" w:color="auto"/>
            </w:tcBorders>
            <w:shd w:val="clear" w:color="auto" w:fill="C6EFCE"/>
            <w:noWrap/>
            <w:vAlign w:val="center"/>
          </w:tcPr>
          <w:p w14:paraId="1311A2AE" w14:textId="77777777" w:rsidR="00154E32" w:rsidRDefault="00A43E04">
            <w:pPr>
              <w:pStyle w:val="P68B1DB1-Normal12"/>
              <w:jc w:val="center"/>
              <w:rPr>
                <w:noProof/>
              </w:rPr>
            </w:pPr>
            <w:r>
              <w:rPr>
                <w:noProof/>
              </w:rPr>
              <w:t>Naložba 4.4 Naložbe v kanalizacijo in čiščenje odpadnih voda</w:t>
            </w:r>
          </w:p>
        </w:tc>
        <w:tc>
          <w:tcPr>
            <w:tcW w:w="1438" w:type="dxa"/>
            <w:tcBorders>
              <w:top w:val="nil"/>
              <w:left w:val="nil"/>
              <w:bottom w:val="single" w:sz="4" w:space="0" w:color="auto"/>
              <w:right w:val="single" w:sz="4" w:space="0" w:color="auto"/>
            </w:tcBorders>
            <w:shd w:val="clear" w:color="auto" w:fill="C6EFCE"/>
            <w:noWrap/>
            <w:vAlign w:val="center"/>
          </w:tcPr>
          <w:p w14:paraId="269AA988" w14:textId="77777777" w:rsidR="00154E32" w:rsidRDefault="00A43E04">
            <w:pPr>
              <w:pStyle w:val="P68B1DB1-Normal12"/>
              <w:jc w:val="center"/>
              <w:rPr>
                <w:noProof/>
              </w:rPr>
            </w:pPr>
            <w:r>
              <w:rPr>
                <w:noProof/>
              </w:rPr>
              <w:t>Mejnik</w:t>
            </w:r>
          </w:p>
        </w:tc>
        <w:tc>
          <w:tcPr>
            <w:tcW w:w="4093" w:type="dxa"/>
            <w:tcBorders>
              <w:top w:val="nil"/>
              <w:left w:val="nil"/>
              <w:bottom w:val="single" w:sz="4" w:space="0" w:color="auto"/>
              <w:right w:val="single" w:sz="4" w:space="0" w:color="auto"/>
            </w:tcBorders>
            <w:shd w:val="clear" w:color="auto" w:fill="C6EFCE"/>
            <w:noWrap/>
            <w:vAlign w:val="center"/>
          </w:tcPr>
          <w:p w14:paraId="1666825A" w14:textId="77777777" w:rsidR="00154E32" w:rsidRDefault="00A43E04">
            <w:pPr>
              <w:pStyle w:val="P68B1DB1-Normal12"/>
              <w:jc w:val="center"/>
              <w:rPr>
                <w:noProof/>
              </w:rPr>
            </w:pPr>
            <w:r>
              <w:rPr>
                <w:noProof/>
              </w:rPr>
              <w:t>Oddaja vseh javnih naročil za kanalizacijo in čiščenje</w:t>
            </w:r>
          </w:p>
        </w:tc>
      </w:tr>
      <w:tr w:rsidR="00154E32" w14:paraId="6408014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AF8D6F7" w14:textId="77777777" w:rsidR="00154E32" w:rsidRDefault="00A43E04">
            <w:pPr>
              <w:pStyle w:val="P68B1DB1-Normal12"/>
              <w:jc w:val="center"/>
              <w:rPr>
                <w:noProof/>
              </w:rPr>
            </w:pPr>
            <w:r>
              <w:rPr>
                <w:noProof/>
              </w:rPr>
              <w:t>M3C1–4</w:t>
            </w:r>
          </w:p>
        </w:tc>
        <w:tc>
          <w:tcPr>
            <w:tcW w:w="3195" w:type="dxa"/>
            <w:tcBorders>
              <w:top w:val="nil"/>
              <w:left w:val="nil"/>
              <w:bottom w:val="single" w:sz="4" w:space="0" w:color="auto"/>
              <w:right w:val="single" w:sz="4" w:space="0" w:color="auto"/>
            </w:tcBorders>
            <w:shd w:val="clear" w:color="auto" w:fill="C6EFCE"/>
            <w:noWrap/>
            <w:vAlign w:val="center"/>
          </w:tcPr>
          <w:p w14:paraId="575B9413" w14:textId="77777777" w:rsidR="00154E32" w:rsidRDefault="00A43E04">
            <w:pPr>
              <w:pStyle w:val="P68B1DB1-Normal12"/>
              <w:jc w:val="center"/>
              <w:rPr>
                <w:noProof/>
              </w:rPr>
            </w:pPr>
            <w:r>
              <w:rPr>
                <w:noProof/>
              </w:rPr>
              <w:t>Naložba 1.1 – Železniške povezave z jugom za potnike in tovor</w:t>
            </w:r>
          </w:p>
        </w:tc>
        <w:tc>
          <w:tcPr>
            <w:tcW w:w="1438" w:type="dxa"/>
            <w:tcBorders>
              <w:top w:val="nil"/>
              <w:left w:val="nil"/>
              <w:bottom w:val="single" w:sz="4" w:space="0" w:color="auto"/>
              <w:right w:val="single" w:sz="4" w:space="0" w:color="auto"/>
            </w:tcBorders>
            <w:shd w:val="clear" w:color="auto" w:fill="C6EFCE"/>
            <w:noWrap/>
            <w:vAlign w:val="center"/>
          </w:tcPr>
          <w:p w14:paraId="6F4C8EA4" w14:textId="77777777" w:rsidR="00154E32" w:rsidRDefault="00A43E04">
            <w:pPr>
              <w:pStyle w:val="P68B1DB1-Normal12"/>
              <w:jc w:val="center"/>
              <w:rPr>
                <w:noProof/>
              </w:rPr>
            </w:pPr>
            <w:r>
              <w:rPr>
                <w:noProof/>
              </w:rPr>
              <w:t>Mejnik</w:t>
            </w:r>
          </w:p>
        </w:tc>
        <w:tc>
          <w:tcPr>
            <w:tcW w:w="4093" w:type="dxa"/>
            <w:tcBorders>
              <w:top w:val="nil"/>
              <w:left w:val="nil"/>
              <w:bottom w:val="single" w:sz="4" w:space="0" w:color="auto"/>
              <w:right w:val="single" w:sz="4" w:space="0" w:color="auto"/>
            </w:tcBorders>
            <w:shd w:val="clear" w:color="auto" w:fill="C6EFCE"/>
            <w:noWrap/>
            <w:vAlign w:val="center"/>
          </w:tcPr>
          <w:p w14:paraId="67091F70" w14:textId="77777777" w:rsidR="00154E32" w:rsidRDefault="00A43E04">
            <w:pPr>
              <w:pStyle w:val="P68B1DB1-Normal12"/>
              <w:jc w:val="center"/>
              <w:rPr>
                <w:noProof/>
              </w:rPr>
            </w:pPr>
            <w:r>
              <w:rPr>
                <w:noProof/>
              </w:rPr>
              <w:t>Oddaja naročila za gradnjo železniške proge za visoke hitrosti na progah Salerno Reggio Calabria</w:t>
            </w:r>
          </w:p>
        </w:tc>
      </w:tr>
      <w:tr w:rsidR="00154E32" w14:paraId="31CF0A1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224CDDE" w14:textId="77777777" w:rsidR="00154E32" w:rsidRDefault="00A43E04">
            <w:pPr>
              <w:pStyle w:val="P68B1DB1-Normal12"/>
              <w:jc w:val="center"/>
              <w:rPr>
                <w:noProof/>
              </w:rPr>
            </w:pPr>
            <w:r>
              <w:rPr>
                <w:noProof/>
              </w:rPr>
              <w:t>M3C1–17</w:t>
            </w:r>
          </w:p>
        </w:tc>
        <w:tc>
          <w:tcPr>
            <w:tcW w:w="3195" w:type="dxa"/>
            <w:tcBorders>
              <w:top w:val="nil"/>
              <w:left w:val="nil"/>
              <w:bottom w:val="single" w:sz="4" w:space="0" w:color="auto"/>
              <w:right w:val="single" w:sz="4" w:space="0" w:color="auto"/>
            </w:tcBorders>
            <w:shd w:val="clear" w:color="auto" w:fill="C6EFCE"/>
            <w:noWrap/>
            <w:vAlign w:val="center"/>
          </w:tcPr>
          <w:p w14:paraId="78FA7A6A" w14:textId="77777777" w:rsidR="00154E32" w:rsidRDefault="00A43E04">
            <w:pPr>
              <w:pStyle w:val="P68B1DB1-Normal12"/>
              <w:jc w:val="center"/>
              <w:rPr>
                <w:noProof/>
              </w:rPr>
            </w:pPr>
            <w:r>
              <w:rPr>
                <w:noProof/>
              </w:rPr>
              <w:t>Naložba 1.7 – Izpopolnitev, elektrifikacija in odpornost železnic na jugu</w:t>
            </w:r>
          </w:p>
        </w:tc>
        <w:tc>
          <w:tcPr>
            <w:tcW w:w="1438" w:type="dxa"/>
            <w:tcBorders>
              <w:top w:val="nil"/>
              <w:left w:val="nil"/>
              <w:bottom w:val="single" w:sz="4" w:space="0" w:color="auto"/>
              <w:right w:val="single" w:sz="4" w:space="0" w:color="auto"/>
            </w:tcBorders>
            <w:shd w:val="clear" w:color="auto" w:fill="C6EFCE"/>
            <w:noWrap/>
            <w:vAlign w:val="center"/>
          </w:tcPr>
          <w:p w14:paraId="3C371A43" w14:textId="77777777" w:rsidR="00154E32" w:rsidRDefault="00A43E04">
            <w:pPr>
              <w:pStyle w:val="P68B1DB1-Normal12"/>
              <w:jc w:val="center"/>
              <w:rPr>
                <w:noProof/>
              </w:rPr>
            </w:pPr>
            <w:r>
              <w:rPr>
                <w:noProof/>
              </w:rPr>
              <w:t xml:space="preserve">Tarča </w:t>
            </w:r>
          </w:p>
        </w:tc>
        <w:tc>
          <w:tcPr>
            <w:tcW w:w="4093" w:type="dxa"/>
            <w:tcBorders>
              <w:top w:val="nil"/>
              <w:left w:val="nil"/>
              <w:bottom w:val="single" w:sz="4" w:space="0" w:color="auto"/>
              <w:right w:val="single" w:sz="4" w:space="0" w:color="auto"/>
            </w:tcBorders>
            <w:shd w:val="clear" w:color="auto" w:fill="C6EFCE"/>
            <w:noWrap/>
            <w:vAlign w:val="center"/>
          </w:tcPr>
          <w:p w14:paraId="28F74998" w14:textId="77777777" w:rsidR="00154E32" w:rsidRDefault="00A43E04">
            <w:pPr>
              <w:pStyle w:val="P68B1DB1-Normal12"/>
              <w:jc w:val="center"/>
              <w:rPr>
                <w:noProof/>
              </w:rPr>
            </w:pPr>
            <w:r>
              <w:rPr>
                <w:noProof/>
              </w:rPr>
              <w:t>150 km končanih del v zvezi z nadgradnjo, elektrifikacijo in odpornostjo železnic na jugu, pripravljenih za faze odobritve in obratovanja.</w:t>
            </w:r>
          </w:p>
        </w:tc>
      </w:tr>
      <w:tr w:rsidR="00154E32" w14:paraId="4A47B8C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EC3AF5B" w14:textId="77777777" w:rsidR="00154E32" w:rsidRDefault="00A43E04">
            <w:pPr>
              <w:pStyle w:val="P68B1DB1-Normal12"/>
              <w:jc w:val="center"/>
              <w:rPr>
                <w:noProof/>
              </w:rPr>
            </w:pPr>
            <w:r>
              <w:rPr>
                <w:noProof/>
              </w:rPr>
              <w:t xml:space="preserve">M4C2–5 </w:t>
            </w:r>
          </w:p>
        </w:tc>
        <w:tc>
          <w:tcPr>
            <w:tcW w:w="3195" w:type="dxa"/>
            <w:tcBorders>
              <w:top w:val="nil"/>
              <w:left w:val="nil"/>
              <w:bottom w:val="single" w:sz="4" w:space="0" w:color="auto"/>
              <w:right w:val="single" w:sz="4" w:space="0" w:color="auto"/>
            </w:tcBorders>
            <w:shd w:val="clear" w:color="auto" w:fill="C6EFCE"/>
            <w:noWrap/>
            <w:vAlign w:val="center"/>
          </w:tcPr>
          <w:p w14:paraId="642B386F" w14:textId="77777777" w:rsidR="00154E32" w:rsidRDefault="00A43E04">
            <w:pPr>
              <w:pStyle w:val="P68B1DB1-Normal12"/>
              <w:jc w:val="center"/>
              <w:rPr>
                <w:noProof/>
              </w:rPr>
            </w:pPr>
            <w:r>
              <w:rPr>
                <w:noProof/>
              </w:rPr>
              <w:t xml:space="preserve">Naložba 1.1: Raziskovalni projekti pomembnega nacionalnega interesa (PRIN) </w:t>
            </w:r>
          </w:p>
        </w:tc>
        <w:tc>
          <w:tcPr>
            <w:tcW w:w="1438" w:type="dxa"/>
            <w:tcBorders>
              <w:top w:val="nil"/>
              <w:left w:val="nil"/>
              <w:bottom w:val="single" w:sz="4" w:space="0" w:color="auto"/>
              <w:right w:val="single" w:sz="4" w:space="0" w:color="auto"/>
            </w:tcBorders>
            <w:shd w:val="clear" w:color="auto" w:fill="C6EFCE"/>
            <w:noWrap/>
            <w:vAlign w:val="center"/>
          </w:tcPr>
          <w:p w14:paraId="6920D642" w14:textId="77777777" w:rsidR="00154E32" w:rsidRDefault="00A43E04">
            <w:pPr>
              <w:pStyle w:val="P68B1DB1-Normal12"/>
              <w:jc w:val="center"/>
              <w:rPr>
                <w:noProof/>
              </w:rPr>
            </w:pPr>
            <w:r>
              <w:rPr>
                <w:noProof/>
              </w:rPr>
              <w:t>Tarča</w:t>
            </w:r>
          </w:p>
        </w:tc>
        <w:tc>
          <w:tcPr>
            <w:tcW w:w="4093" w:type="dxa"/>
            <w:tcBorders>
              <w:top w:val="nil"/>
              <w:left w:val="nil"/>
              <w:bottom w:val="single" w:sz="4" w:space="0" w:color="auto"/>
              <w:right w:val="single" w:sz="4" w:space="0" w:color="auto"/>
            </w:tcBorders>
            <w:shd w:val="clear" w:color="auto" w:fill="C6EFCE"/>
            <w:noWrap/>
            <w:vAlign w:val="center"/>
          </w:tcPr>
          <w:p w14:paraId="2BC89D4F" w14:textId="77777777" w:rsidR="00154E32" w:rsidRDefault="00A43E04">
            <w:pPr>
              <w:pStyle w:val="P68B1DB1-Normal12"/>
              <w:jc w:val="center"/>
              <w:rPr>
                <w:noProof/>
              </w:rPr>
            </w:pPr>
            <w:r>
              <w:rPr>
                <w:noProof/>
              </w:rPr>
              <w:t xml:space="preserve">Število dodeljenih raziskovalnih projektov </w:t>
            </w:r>
          </w:p>
        </w:tc>
      </w:tr>
      <w:tr w:rsidR="00154E32" w14:paraId="1FD7347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C88F619" w14:textId="77777777" w:rsidR="00154E32" w:rsidRDefault="00A43E04">
            <w:pPr>
              <w:pStyle w:val="P68B1DB1-Normal12"/>
              <w:jc w:val="center"/>
              <w:rPr>
                <w:noProof/>
              </w:rPr>
            </w:pPr>
            <w:r>
              <w:rPr>
                <w:noProof/>
              </w:rPr>
              <w:t>M6C1–8</w:t>
            </w:r>
          </w:p>
        </w:tc>
        <w:tc>
          <w:tcPr>
            <w:tcW w:w="3195" w:type="dxa"/>
            <w:tcBorders>
              <w:top w:val="nil"/>
              <w:left w:val="nil"/>
              <w:bottom w:val="single" w:sz="4" w:space="0" w:color="auto"/>
              <w:right w:val="single" w:sz="4" w:space="0" w:color="auto"/>
            </w:tcBorders>
            <w:shd w:val="clear" w:color="auto" w:fill="C6EFCE"/>
            <w:noWrap/>
            <w:vAlign w:val="center"/>
          </w:tcPr>
          <w:p w14:paraId="6D55F951" w14:textId="77777777" w:rsidR="00154E32" w:rsidRDefault="00A43E04">
            <w:pPr>
              <w:pStyle w:val="P68B1DB1-Normal12"/>
              <w:jc w:val="center"/>
              <w:rPr>
                <w:noProof/>
              </w:rPr>
            </w:pPr>
            <w:r>
              <w:rPr>
                <w:noProof/>
              </w:rPr>
              <w:t>Naložba 1.2: Dom kot prvi kraj oskrbe in telemedicine</w:t>
            </w:r>
          </w:p>
        </w:tc>
        <w:tc>
          <w:tcPr>
            <w:tcW w:w="1438" w:type="dxa"/>
            <w:tcBorders>
              <w:top w:val="nil"/>
              <w:left w:val="nil"/>
              <w:bottom w:val="single" w:sz="4" w:space="0" w:color="auto"/>
              <w:right w:val="single" w:sz="4" w:space="0" w:color="auto"/>
            </w:tcBorders>
            <w:shd w:val="clear" w:color="auto" w:fill="C6EFCE"/>
            <w:noWrap/>
            <w:vAlign w:val="center"/>
          </w:tcPr>
          <w:p w14:paraId="164A8945" w14:textId="77777777" w:rsidR="00154E32" w:rsidRDefault="00A43E04">
            <w:pPr>
              <w:pStyle w:val="P68B1DB1-Normal12"/>
              <w:jc w:val="center"/>
              <w:rPr>
                <w:noProof/>
              </w:rPr>
            </w:pPr>
            <w:r>
              <w:rPr>
                <w:noProof/>
              </w:rPr>
              <w:t>Tarča</w:t>
            </w:r>
          </w:p>
        </w:tc>
        <w:tc>
          <w:tcPr>
            <w:tcW w:w="4093" w:type="dxa"/>
            <w:tcBorders>
              <w:top w:val="nil"/>
              <w:left w:val="nil"/>
              <w:bottom w:val="single" w:sz="4" w:space="0" w:color="auto"/>
              <w:right w:val="single" w:sz="4" w:space="0" w:color="auto"/>
            </w:tcBorders>
            <w:shd w:val="clear" w:color="auto" w:fill="C6EFCE"/>
            <w:noWrap/>
            <w:vAlign w:val="center"/>
          </w:tcPr>
          <w:p w14:paraId="4480E4D2" w14:textId="77777777" w:rsidR="00154E32" w:rsidRDefault="00A43E04">
            <w:pPr>
              <w:pStyle w:val="P68B1DB1-Normal12"/>
              <w:jc w:val="center"/>
              <w:rPr>
                <w:noProof/>
              </w:rPr>
            </w:pPr>
            <w:r>
              <w:rPr>
                <w:noProof/>
              </w:rPr>
              <w:t>Vsaj en projekt telemedicine na regijo (ob upoštevanju projektov, ki se bodo izvajali v posamezni regiji, in projektov, ki jih je mogoče razviti kot del konzorcijev med regijami)</w:t>
            </w:r>
          </w:p>
        </w:tc>
      </w:tr>
      <w:tr w:rsidR="00154E32" w14:paraId="274468D6"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1E0398F6" w14:textId="77777777" w:rsidR="00154E32" w:rsidRDefault="00154E32">
            <w:pPr>
              <w:jc w:val="center"/>
              <w:rPr>
                <w:noProof/>
                <w:color w:val="006100"/>
                <w:sz w:val="20"/>
              </w:rPr>
            </w:pPr>
          </w:p>
        </w:tc>
        <w:tc>
          <w:tcPr>
            <w:tcW w:w="3195" w:type="dxa"/>
            <w:tcBorders>
              <w:top w:val="single" w:sz="4" w:space="0" w:color="auto"/>
              <w:left w:val="nil"/>
              <w:bottom w:val="single" w:sz="4" w:space="0" w:color="auto"/>
              <w:right w:val="single" w:sz="4" w:space="0" w:color="auto"/>
            </w:tcBorders>
            <w:shd w:val="clear" w:color="auto" w:fill="C6EFCE"/>
            <w:noWrap/>
            <w:vAlign w:val="bottom"/>
          </w:tcPr>
          <w:p w14:paraId="0B0FDAE7" w14:textId="77777777" w:rsidR="00154E32" w:rsidRDefault="00154E32">
            <w:pPr>
              <w:rPr>
                <w:noProof/>
                <w:color w:val="006100"/>
                <w:sz w:val="20"/>
              </w:rPr>
            </w:pPr>
          </w:p>
        </w:tc>
        <w:tc>
          <w:tcPr>
            <w:tcW w:w="1438" w:type="dxa"/>
            <w:tcBorders>
              <w:top w:val="single" w:sz="4" w:space="0" w:color="auto"/>
              <w:left w:val="nil"/>
              <w:bottom w:val="single" w:sz="4" w:space="0" w:color="auto"/>
              <w:right w:val="single" w:sz="4" w:space="0" w:color="auto"/>
            </w:tcBorders>
            <w:shd w:val="clear" w:color="auto" w:fill="C6EFCE"/>
            <w:noWrap/>
            <w:vAlign w:val="bottom"/>
          </w:tcPr>
          <w:p w14:paraId="7A4D98F8" w14:textId="77777777" w:rsidR="00154E32" w:rsidRDefault="00A43E04">
            <w:pPr>
              <w:pStyle w:val="P68B1DB1-Normal12"/>
              <w:rPr>
                <w:noProof/>
              </w:rPr>
            </w:pPr>
            <w:r>
              <w:rPr>
                <w:noProof/>
              </w:rPr>
              <w:t>Znesek obroka</w:t>
            </w:r>
          </w:p>
        </w:tc>
        <w:tc>
          <w:tcPr>
            <w:tcW w:w="4093" w:type="dxa"/>
            <w:tcBorders>
              <w:top w:val="single" w:sz="4" w:space="0" w:color="auto"/>
              <w:left w:val="nil"/>
              <w:bottom w:val="single" w:sz="4" w:space="0" w:color="auto"/>
              <w:right w:val="single" w:sz="4" w:space="0" w:color="auto"/>
            </w:tcBorders>
            <w:shd w:val="clear" w:color="auto" w:fill="C6EFCE"/>
            <w:noWrap/>
            <w:vAlign w:val="bottom"/>
          </w:tcPr>
          <w:p w14:paraId="0DF2661F" w14:textId="0D766492" w:rsidR="00154E32" w:rsidRDefault="00A43E04">
            <w:pPr>
              <w:pStyle w:val="P68B1DB1-Normal12"/>
              <w:rPr>
                <w:noProof/>
              </w:rPr>
            </w:pPr>
            <w:r>
              <w:rPr>
                <w:noProof/>
              </w:rPr>
              <w:t>8 610 723 872 EUR</w:t>
            </w:r>
          </w:p>
        </w:tc>
      </w:tr>
    </w:tbl>
    <w:p w14:paraId="09751F0E" w14:textId="1C405A7C" w:rsidR="00154E32" w:rsidRDefault="00154E32">
      <w:pPr>
        <w:spacing w:before="120" w:after="120"/>
        <w:jc w:val="both"/>
        <w:rPr>
          <w:rFonts w:eastAsia="Calibri"/>
          <w:noProof/>
        </w:rPr>
      </w:pPr>
    </w:p>
    <w:p w14:paraId="6BDC08AF" w14:textId="77777777" w:rsidR="00154E32" w:rsidRDefault="00A43E04">
      <w:pPr>
        <w:pStyle w:val="P68B1DB1-Normal44"/>
        <w:spacing w:after="200" w:line="276" w:lineRule="auto"/>
        <w:rPr>
          <w:noProof/>
        </w:rPr>
      </w:pPr>
      <w:r>
        <w:rPr>
          <w:noProof/>
        </w:rPr>
        <w:br w:type="page"/>
      </w:r>
    </w:p>
    <w:p w14:paraId="74E77AE8" w14:textId="05EBE688" w:rsidR="00154E32" w:rsidRDefault="00A43E04">
      <w:pPr>
        <w:pStyle w:val="P68B1DB1-Normal44"/>
        <w:numPr>
          <w:ilvl w:val="1"/>
          <w:numId w:val="6"/>
        </w:numPr>
        <w:spacing w:before="120" w:after="120"/>
        <w:jc w:val="both"/>
        <w:rPr>
          <w:noProof/>
        </w:rPr>
      </w:pPr>
      <w:r>
        <w:rPr>
          <w:noProof/>
        </w:rPr>
        <w:t>Šesta namestitev (podpora za posojila):</w:t>
      </w:r>
    </w:p>
    <w:tbl>
      <w:tblPr>
        <w:tblW w:w="10139" w:type="dxa"/>
        <w:tblInd w:w="113" w:type="dxa"/>
        <w:tblLook w:val="04A0" w:firstRow="1" w:lastRow="0" w:firstColumn="1" w:lastColumn="0" w:noHBand="0" w:noVBand="1"/>
      </w:tblPr>
      <w:tblGrid>
        <w:gridCol w:w="1413"/>
        <w:gridCol w:w="3195"/>
        <w:gridCol w:w="1425"/>
        <w:gridCol w:w="4106"/>
      </w:tblGrid>
      <w:tr w:rsidR="00154E32" w14:paraId="57C773EE" w14:textId="77777777">
        <w:trPr>
          <w:trHeight w:val="906"/>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2077DD7" w14:textId="77777777" w:rsidR="00154E32" w:rsidRDefault="00A43E04">
            <w:pPr>
              <w:pStyle w:val="P68B1DB1-Normal45"/>
              <w:jc w:val="center"/>
              <w:rPr>
                <w:noProof/>
              </w:rPr>
            </w:pPr>
            <w:r>
              <w:rPr>
                <w:noProof/>
              </w:rPr>
              <w:t>Zaporedna številka</w:t>
            </w:r>
          </w:p>
        </w:tc>
        <w:tc>
          <w:tcPr>
            <w:tcW w:w="31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347375A0" w14:textId="77777777" w:rsidR="00154E32" w:rsidRDefault="00A43E04">
            <w:pPr>
              <w:pStyle w:val="P68B1DB1-Normal45"/>
              <w:jc w:val="center"/>
              <w:rPr>
                <w:noProof/>
              </w:rPr>
            </w:pPr>
            <w:r>
              <w:rPr>
                <w:noProof/>
              </w:rPr>
              <w:t>Povezani ukrep (reforma ali naložba)</w:t>
            </w:r>
          </w:p>
        </w:tc>
        <w:tc>
          <w:tcPr>
            <w:tcW w:w="142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C7450C5" w14:textId="77777777" w:rsidR="00154E32" w:rsidRDefault="00A43E04">
            <w:pPr>
              <w:pStyle w:val="P68B1DB1-Normal45"/>
              <w:jc w:val="center"/>
              <w:rPr>
                <w:noProof/>
              </w:rPr>
            </w:pPr>
            <w:r>
              <w:rPr>
                <w:noProof/>
              </w:rPr>
              <w:t>Mejnik/cilj</w:t>
            </w:r>
          </w:p>
        </w:tc>
        <w:tc>
          <w:tcPr>
            <w:tcW w:w="4106" w:type="dxa"/>
            <w:vMerge w:val="restart"/>
            <w:tcBorders>
              <w:top w:val="single" w:sz="4" w:space="0" w:color="auto"/>
              <w:left w:val="nil"/>
              <w:bottom w:val="single" w:sz="4" w:space="0" w:color="auto"/>
              <w:right w:val="single" w:sz="4" w:space="0" w:color="auto"/>
            </w:tcBorders>
            <w:shd w:val="clear" w:color="auto" w:fill="BDD7EE"/>
            <w:vAlign w:val="center"/>
            <w:hideMark/>
          </w:tcPr>
          <w:p w14:paraId="254B60A6" w14:textId="77777777" w:rsidR="00154E32" w:rsidRDefault="00A43E04">
            <w:pPr>
              <w:pStyle w:val="P68B1DB1-Normal45"/>
              <w:jc w:val="center"/>
              <w:rPr>
                <w:noProof/>
              </w:rPr>
            </w:pPr>
            <w:r>
              <w:rPr>
                <w:noProof/>
              </w:rPr>
              <w:t>Ime</w:t>
            </w:r>
          </w:p>
        </w:tc>
      </w:tr>
      <w:tr w:rsidR="00154E32" w14:paraId="24C58AFA" w14:textId="77777777">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19B75112" w14:textId="77777777" w:rsidR="00154E32" w:rsidRDefault="00154E32">
            <w:pPr>
              <w:rPr>
                <w:b/>
                <w:noProof/>
              </w:rPr>
            </w:pP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28ADF0B0" w14:textId="77777777" w:rsidR="00154E32" w:rsidRDefault="00154E32">
            <w:pPr>
              <w:rPr>
                <w:b/>
                <w:noProof/>
              </w:rPr>
            </w:pPr>
          </w:p>
        </w:tc>
        <w:tc>
          <w:tcPr>
            <w:tcW w:w="1425" w:type="dxa"/>
            <w:vMerge/>
            <w:tcBorders>
              <w:top w:val="single" w:sz="4" w:space="0" w:color="auto"/>
              <w:left w:val="single" w:sz="4" w:space="0" w:color="auto"/>
              <w:bottom w:val="single" w:sz="4" w:space="0" w:color="auto"/>
              <w:right w:val="single" w:sz="4" w:space="0" w:color="auto"/>
            </w:tcBorders>
            <w:vAlign w:val="center"/>
            <w:hideMark/>
          </w:tcPr>
          <w:p w14:paraId="33F75EEA" w14:textId="77777777" w:rsidR="00154E32" w:rsidRDefault="00154E32">
            <w:pPr>
              <w:rPr>
                <w:b/>
                <w:noProof/>
              </w:rPr>
            </w:pPr>
          </w:p>
        </w:tc>
        <w:tc>
          <w:tcPr>
            <w:tcW w:w="4106" w:type="dxa"/>
            <w:vMerge/>
            <w:tcBorders>
              <w:top w:val="single" w:sz="4" w:space="0" w:color="auto"/>
              <w:left w:val="single" w:sz="4" w:space="0" w:color="auto"/>
              <w:bottom w:val="single" w:sz="4" w:space="0" w:color="auto"/>
              <w:right w:val="single" w:sz="4" w:space="0" w:color="auto"/>
            </w:tcBorders>
            <w:vAlign w:val="center"/>
            <w:hideMark/>
          </w:tcPr>
          <w:p w14:paraId="3400FBB8" w14:textId="77777777" w:rsidR="00154E32" w:rsidRDefault="00154E32">
            <w:pPr>
              <w:rPr>
                <w:b/>
                <w:noProof/>
              </w:rPr>
            </w:pPr>
          </w:p>
        </w:tc>
      </w:tr>
      <w:tr w:rsidR="00154E32" w14:paraId="357F51E2"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9715716" w14:textId="77777777" w:rsidR="00154E32" w:rsidRDefault="00A43E04">
            <w:pPr>
              <w:pStyle w:val="P68B1DB1-Normal12"/>
              <w:jc w:val="center"/>
              <w:rPr>
                <w:noProof/>
              </w:rPr>
            </w:pPr>
            <w:r>
              <w:rPr>
                <w:noProof/>
              </w:rPr>
              <w:t>M3C1–10</w:t>
            </w:r>
          </w:p>
        </w:tc>
        <w:tc>
          <w:tcPr>
            <w:tcW w:w="3195" w:type="dxa"/>
            <w:tcBorders>
              <w:top w:val="single" w:sz="4" w:space="0" w:color="auto"/>
              <w:left w:val="nil"/>
              <w:bottom w:val="single" w:sz="4" w:space="0" w:color="auto"/>
              <w:right w:val="single" w:sz="4" w:space="0" w:color="auto"/>
            </w:tcBorders>
            <w:shd w:val="clear" w:color="auto" w:fill="C6EFCE"/>
            <w:noWrap/>
            <w:vAlign w:val="center"/>
          </w:tcPr>
          <w:p w14:paraId="1C26BEA9" w14:textId="77777777" w:rsidR="00154E32" w:rsidRDefault="00A43E04">
            <w:pPr>
              <w:pStyle w:val="P68B1DB1-Normal12"/>
              <w:jc w:val="center"/>
              <w:rPr>
                <w:noProof/>
              </w:rPr>
            </w:pPr>
            <w:r>
              <w:rPr>
                <w:noProof/>
              </w:rPr>
              <w:t>Naložba 1.3 – Diagonalne povezave</w:t>
            </w:r>
          </w:p>
        </w:tc>
        <w:tc>
          <w:tcPr>
            <w:tcW w:w="1425" w:type="dxa"/>
            <w:tcBorders>
              <w:top w:val="single" w:sz="4" w:space="0" w:color="auto"/>
              <w:left w:val="nil"/>
              <w:bottom w:val="single" w:sz="4" w:space="0" w:color="auto"/>
              <w:right w:val="single" w:sz="4" w:space="0" w:color="auto"/>
            </w:tcBorders>
            <w:shd w:val="clear" w:color="auto" w:fill="C6EFCE"/>
            <w:noWrap/>
            <w:vAlign w:val="center"/>
          </w:tcPr>
          <w:p w14:paraId="156D20CE" w14:textId="77777777" w:rsidR="00154E32" w:rsidRDefault="00A43E04">
            <w:pPr>
              <w:pStyle w:val="P68B1DB1-Normal12"/>
              <w:jc w:val="center"/>
              <w:rPr>
                <w:noProof/>
              </w:rPr>
            </w:pPr>
            <w:r>
              <w:rPr>
                <w:noProof/>
              </w:rPr>
              <w:t>Mejnik</w:t>
            </w:r>
          </w:p>
        </w:tc>
        <w:tc>
          <w:tcPr>
            <w:tcW w:w="4106" w:type="dxa"/>
            <w:tcBorders>
              <w:top w:val="single" w:sz="4" w:space="0" w:color="auto"/>
              <w:left w:val="nil"/>
              <w:bottom w:val="single" w:sz="4" w:space="0" w:color="auto"/>
              <w:right w:val="single" w:sz="4" w:space="0" w:color="auto"/>
            </w:tcBorders>
            <w:shd w:val="clear" w:color="auto" w:fill="C6EFCE"/>
            <w:noWrap/>
            <w:vAlign w:val="center"/>
          </w:tcPr>
          <w:p w14:paraId="16903649" w14:textId="77777777" w:rsidR="00154E32" w:rsidRDefault="00A43E04">
            <w:pPr>
              <w:pStyle w:val="P68B1DB1-Normal12"/>
              <w:jc w:val="center"/>
              <w:rPr>
                <w:noProof/>
              </w:rPr>
            </w:pPr>
            <w:r>
              <w:rPr>
                <w:noProof/>
              </w:rPr>
              <w:t>Oddaja naročila za izgradnjo povezav na progah Orte-Falconara in Taranto -Metaponto-Potenza-Battipaglia</w:t>
            </w:r>
          </w:p>
        </w:tc>
      </w:tr>
      <w:tr w:rsidR="00154E32" w14:paraId="55EB242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07509E4" w14:textId="77777777" w:rsidR="00154E32" w:rsidRDefault="00A43E04">
            <w:pPr>
              <w:pStyle w:val="P68B1DB1-Normal12"/>
              <w:jc w:val="center"/>
              <w:rPr>
                <w:noProof/>
              </w:rPr>
            </w:pPr>
            <w:r>
              <w:rPr>
                <w:noProof/>
              </w:rPr>
              <w:t>M7–35</w:t>
            </w:r>
          </w:p>
        </w:tc>
        <w:tc>
          <w:tcPr>
            <w:tcW w:w="3195" w:type="dxa"/>
            <w:tcBorders>
              <w:top w:val="nil"/>
              <w:left w:val="nil"/>
              <w:bottom w:val="single" w:sz="4" w:space="0" w:color="auto"/>
              <w:right w:val="single" w:sz="4" w:space="0" w:color="auto"/>
            </w:tcBorders>
            <w:shd w:val="clear" w:color="auto" w:fill="C6EFCE"/>
            <w:noWrap/>
            <w:vAlign w:val="center"/>
          </w:tcPr>
          <w:p w14:paraId="550951E9" w14:textId="77777777" w:rsidR="00154E32" w:rsidRDefault="00A43E04">
            <w:pPr>
              <w:pStyle w:val="P68B1DB1-Normal12"/>
              <w:jc w:val="center"/>
              <w:rPr>
                <w:noProof/>
              </w:rPr>
            </w:pPr>
            <w:r>
              <w:rPr>
                <w:noProof/>
              </w:rPr>
              <w:t>Naložba 13: Faza 1 Jadranske črte (kompresorska postaja Sulmona in plinovod Sestino-Minerbio)</w:t>
            </w:r>
          </w:p>
        </w:tc>
        <w:tc>
          <w:tcPr>
            <w:tcW w:w="1425" w:type="dxa"/>
            <w:tcBorders>
              <w:top w:val="nil"/>
              <w:left w:val="nil"/>
              <w:bottom w:val="single" w:sz="4" w:space="0" w:color="auto"/>
              <w:right w:val="single" w:sz="4" w:space="0" w:color="auto"/>
            </w:tcBorders>
            <w:shd w:val="clear" w:color="auto" w:fill="C6EFCE"/>
            <w:noWrap/>
            <w:vAlign w:val="center"/>
          </w:tcPr>
          <w:p w14:paraId="619828A4" w14:textId="77777777" w:rsidR="00154E32" w:rsidRDefault="00A43E04">
            <w:pPr>
              <w:pStyle w:val="P68B1DB1-Normal12"/>
              <w:jc w:val="center"/>
              <w:rPr>
                <w:noProof/>
              </w:rPr>
            </w:pPr>
            <w:r>
              <w:rPr>
                <w:noProof/>
              </w:rPr>
              <w:t>Mejnik</w:t>
            </w:r>
          </w:p>
        </w:tc>
        <w:tc>
          <w:tcPr>
            <w:tcW w:w="4106" w:type="dxa"/>
            <w:tcBorders>
              <w:top w:val="nil"/>
              <w:left w:val="nil"/>
              <w:bottom w:val="single" w:sz="4" w:space="0" w:color="auto"/>
              <w:right w:val="single" w:sz="4" w:space="0" w:color="auto"/>
            </w:tcBorders>
            <w:shd w:val="clear" w:color="auto" w:fill="C6EFCE"/>
            <w:noWrap/>
            <w:vAlign w:val="center"/>
          </w:tcPr>
          <w:p w14:paraId="255C02FB" w14:textId="77777777" w:rsidR="00154E32" w:rsidRDefault="00A43E04">
            <w:pPr>
              <w:pStyle w:val="P68B1DB1-Normal12"/>
              <w:jc w:val="center"/>
              <w:rPr>
                <w:noProof/>
              </w:rPr>
            </w:pPr>
            <w:r>
              <w:rPr>
                <w:noProof/>
              </w:rPr>
              <w:t>Sprejetje in posodobitev ustreznih presoj vplivov na okolje (VIncA)</w:t>
            </w:r>
          </w:p>
        </w:tc>
      </w:tr>
      <w:tr w:rsidR="00154E32" w14:paraId="5377CBA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8D61B19" w14:textId="77777777" w:rsidR="00154E32" w:rsidRDefault="00A43E04">
            <w:pPr>
              <w:pStyle w:val="P68B1DB1-Normal12"/>
              <w:jc w:val="center"/>
              <w:rPr>
                <w:noProof/>
              </w:rPr>
            </w:pPr>
            <w:r>
              <w:rPr>
                <w:noProof/>
              </w:rPr>
              <w:t>M7–40</w:t>
            </w:r>
          </w:p>
        </w:tc>
        <w:tc>
          <w:tcPr>
            <w:tcW w:w="3195" w:type="dxa"/>
            <w:tcBorders>
              <w:top w:val="nil"/>
              <w:left w:val="nil"/>
              <w:bottom w:val="single" w:sz="4" w:space="0" w:color="auto"/>
              <w:right w:val="single" w:sz="4" w:space="0" w:color="auto"/>
            </w:tcBorders>
            <w:shd w:val="clear" w:color="auto" w:fill="C6EFCE"/>
            <w:noWrap/>
            <w:vAlign w:val="center"/>
          </w:tcPr>
          <w:p w14:paraId="08DA5365" w14:textId="77777777" w:rsidR="00154E32" w:rsidRDefault="00A43E04">
            <w:pPr>
              <w:pStyle w:val="P68B1DB1-Normal12"/>
              <w:jc w:val="center"/>
              <w:rPr>
                <w:noProof/>
              </w:rPr>
            </w:pPr>
            <w:r>
              <w:rPr>
                <w:noProof/>
              </w:rPr>
              <w:t>Naložba 15: Transizione 5.0 Zeleni</w:t>
            </w:r>
          </w:p>
        </w:tc>
        <w:tc>
          <w:tcPr>
            <w:tcW w:w="1425" w:type="dxa"/>
            <w:tcBorders>
              <w:top w:val="nil"/>
              <w:left w:val="nil"/>
              <w:bottom w:val="single" w:sz="4" w:space="0" w:color="auto"/>
              <w:right w:val="single" w:sz="4" w:space="0" w:color="auto"/>
            </w:tcBorders>
            <w:shd w:val="clear" w:color="auto" w:fill="C6EFCE"/>
            <w:noWrap/>
            <w:vAlign w:val="center"/>
          </w:tcPr>
          <w:p w14:paraId="3ABDFDD8" w14:textId="77777777" w:rsidR="00154E32" w:rsidRDefault="00A43E04">
            <w:pPr>
              <w:pStyle w:val="P68B1DB1-Normal12"/>
              <w:jc w:val="center"/>
              <w:rPr>
                <w:noProof/>
              </w:rPr>
            </w:pPr>
            <w:r>
              <w:rPr>
                <w:noProof/>
              </w:rPr>
              <w:t>Mejnik</w:t>
            </w:r>
          </w:p>
        </w:tc>
        <w:tc>
          <w:tcPr>
            <w:tcW w:w="4106" w:type="dxa"/>
            <w:tcBorders>
              <w:top w:val="nil"/>
              <w:left w:val="nil"/>
              <w:bottom w:val="single" w:sz="4" w:space="0" w:color="auto"/>
              <w:right w:val="single" w:sz="4" w:space="0" w:color="auto"/>
            </w:tcBorders>
            <w:shd w:val="clear" w:color="auto" w:fill="C6EFCE"/>
            <w:noWrap/>
            <w:vAlign w:val="center"/>
          </w:tcPr>
          <w:p w14:paraId="25C00B22" w14:textId="77777777" w:rsidR="00154E32" w:rsidRDefault="00A43E04">
            <w:pPr>
              <w:pStyle w:val="P68B1DB1-Normal12"/>
              <w:jc w:val="center"/>
              <w:rPr>
                <w:noProof/>
              </w:rPr>
            </w:pPr>
            <w:r>
              <w:rPr>
                <w:noProof/>
              </w:rPr>
              <w:t>Začetek veljavnosti pravnega akta o določitvi meril za upravičene intervencije</w:t>
            </w:r>
          </w:p>
        </w:tc>
      </w:tr>
      <w:tr w:rsidR="00154E32" w14:paraId="68B34B3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5CC9744" w14:textId="77777777" w:rsidR="00154E32" w:rsidRDefault="00A43E04">
            <w:pPr>
              <w:pStyle w:val="P68B1DB1-Normal12"/>
              <w:jc w:val="center"/>
              <w:rPr>
                <w:noProof/>
              </w:rPr>
            </w:pPr>
            <w:r>
              <w:rPr>
                <w:noProof/>
              </w:rPr>
              <w:t>M2C1–15</w:t>
            </w:r>
          </w:p>
        </w:tc>
        <w:tc>
          <w:tcPr>
            <w:tcW w:w="3195" w:type="dxa"/>
            <w:tcBorders>
              <w:top w:val="nil"/>
              <w:left w:val="nil"/>
              <w:bottom w:val="single" w:sz="4" w:space="0" w:color="auto"/>
              <w:right w:val="single" w:sz="4" w:space="0" w:color="auto"/>
            </w:tcBorders>
            <w:shd w:val="clear" w:color="auto" w:fill="C6EFCE"/>
            <w:noWrap/>
            <w:vAlign w:val="center"/>
          </w:tcPr>
          <w:p w14:paraId="04D3DE21" w14:textId="77777777" w:rsidR="00154E32" w:rsidRDefault="00A43E04">
            <w:pPr>
              <w:pStyle w:val="P68B1DB1-Normal12"/>
              <w:jc w:val="center"/>
              <w:rPr>
                <w:noProof/>
              </w:rPr>
            </w:pPr>
            <w:r>
              <w:rPr>
                <w:noProof/>
              </w:rPr>
              <w:t>Reforma 1.2 Nacionalni program za ravnanje z odpadki;   Naložba 1.1 – Izvajanje novih obratov za ravnanje z odpadki in posodobitev obstoječih obratov</w:t>
            </w:r>
          </w:p>
        </w:tc>
        <w:tc>
          <w:tcPr>
            <w:tcW w:w="1425" w:type="dxa"/>
            <w:tcBorders>
              <w:top w:val="nil"/>
              <w:left w:val="nil"/>
              <w:bottom w:val="single" w:sz="4" w:space="0" w:color="auto"/>
              <w:right w:val="single" w:sz="4" w:space="0" w:color="auto"/>
            </w:tcBorders>
            <w:shd w:val="clear" w:color="auto" w:fill="C6EFCE"/>
            <w:noWrap/>
            <w:vAlign w:val="center"/>
          </w:tcPr>
          <w:p w14:paraId="4EFD43F8" w14:textId="77777777" w:rsidR="00154E32" w:rsidRDefault="00A43E04">
            <w:pPr>
              <w:pStyle w:val="P68B1DB1-Normal12"/>
              <w:jc w:val="center"/>
              <w:rPr>
                <w:noProof/>
              </w:rPr>
            </w:pPr>
            <w:r>
              <w:rPr>
                <w:noProof/>
              </w:rPr>
              <w:t>Tarča</w:t>
            </w:r>
          </w:p>
        </w:tc>
        <w:tc>
          <w:tcPr>
            <w:tcW w:w="4106" w:type="dxa"/>
            <w:tcBorders>
              <w:top w:val="nil"/>
              <w:left w:val="nil"/>
              <w:bottom w:val="single" w:sz="4" w:space="0" w:color="auto"/>
              <w:right w:val="single" w:sz="4" w:space="0" w:color="auto"/>
            </w:tcBorders>
            <w:shd w:val="clear" w:color="auto" w:fill="C6EFCE"/>
            <w:noWrap/>
            <w:vAlign w:val="center"/>
          </w:tcPr>
          <w:p w14:paraId="652572D5" w14:textId="77777777" w:rsidR="00154E32" w:rsidRDefault="00A43E04">
            <w:pPr>
              <w:pStyle w:val="P68B1DB1-Normal12"/>
              <w:jc w:val="center"/>
              <w:rPr>
                <w:noProof/>
              </w:rPr>
            </w:pPr>
            <w:r>
              <w:rPr>
                <w:noProof/>
              </w:rPr>
              <w:t xml:space="preserve">Zmanjšanje nezakonitih odlagališč (T1)  </w:t>
            </w:r>
          </w:p>
        </w:tc>
      </w:tr>
      <w:tr w:rsidR="00154E32" w14:paraId="77618AD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15A58A6" w14:textId="77777777" w:rsidR="00154E32" w:rsidRDefault="00A43E04">
            <w:pPr>
              <w:pStyle w:val="P68B1DB1-Normal12"/>
              <w:jc w:val="center"/>
              <w:rPr>
                <w:noProof/>
              </w:rPr>
            </w:pPr>
            <w:r>
              <w:rPr>
                <w:noProof/>
              </w:rPr>
              <w:t>M2C1–22</w:t>
            </w:r>
          </w:p>
        </w:tc>
        <w:tc>
          <w:tcPr>
            <w:tcW w:w="3195" w:type="dxa"/>
            <w:tcBorders>
              <w:top w:val="nil"/>
              <w:left w:val="nil"/>
              <w:bottom w:val="single" w:sz="4" w:space="0" w:color="auto"/>
              <w:right w:val="single" w:sz="4" w:space="0" w:color="auto"/>
            </w:tcBorders>
            <w:shd w:val="clear" w:color="auto" w:fill="C6EFCE"/>
            <w:noWrap/>
            <w:vAlign w:val="center"/>
          </w:tcPr>
          <w:p w14:paraId="4207AAF3" w14:textId="77777777" w:rsidR="00154E32" w:rsidRDefault="00A43E04">
            <w:pPr>
              <w:pStyle w:val="P68B1DB1-Normal12"/>
              <w:jc w:val="center"/>
              <w:rPr>
                <w:noProof/>
              </w:rPr>
            </w:pPr>
            <w:r>
              <w:rPr>
                <w:noProof/>
              </w:rPr>
              <w:t>Naložba 3.4: Fondo Contratti di Filiera (FCF) za podporo pogodb o dobavnih verigah za agroživilski, ribiški in akvakulturni sektor, gozdarstvo, cvetličarstvo in odraščanje rastlin</w:t>
            </w:r>
          </w:p>
        </w:tc>
        <w:tc>
          <w:tcPr>
            <w:tcW w:w="1425" w:type="dxa"/>
            <w:tcBorders>
              <w:top w:val="nil"/>
              <w:left w:val="nil"/>
              <w:bottom w:val="single" w:sz="4" w:space="0" w:color="auto"/>
              <w:right w:val="single" w:sz="4" w:space="0" w:color="auto"/>
            </w:tcBorders>
            <w:shd w:val="clear" w:color="auto" w:fill="C6EFCE"/>
            <w:noWrap/>
            <w:vAlign w:val="center"/>
          </w:tcPr>
          <w:p w14:paraId="3B361387" w14:textId="3BA642A3" w:rsidR="00154E32" w:rsidRDefault="00A43E04">
            <w:pPr>
              <w:pStyle w:val="P68B1DB1-Normal12"/>
              <w:jc w:val="center"/>
              <w:rPr>
                <w:noProof/>
              </w:rPr>
            </w:pPr>
            <w:r>
              <w:rPr>
                <w:noProof/>
              </w:rPr>
              <w:t>Mejnik</w:t>
            </w:r>
          </w:p>
        </w:tc>
        <w:tc>
          <w:tcPr>
            <w:tcW w:w="4106" w:type="dxa"/>
            <w:tcBorders>
              <w:top w:val="nil"/>
              <w:left w:val="nil"/>
              <w:bottom w:val="single" w:sz="4" w:space="0" w:color="auto"/>
              <w:right w:val="single" w:sz="4" w:space="0" w:color="auto"/>
            </w:tcBorders>
            <w:shd w:val="clear" w:color="auto" w:fill="C6EFCE"/>
            <w:noWrap/>
            <w:vAlign w:val="center"/>
          </w:tcPr>
          <w:p w14:paraId="2498076C" w14:textId="77777777" w:rsidR="00154E32" w:rsidRDefault="00A43E04">
            <w:pPr>
              <w:pStyle w:val="P68B1DB1-Normal12"/>
              <w:jc w:val="center"/>
              <w:rPr>
                <w:noProof/>
              </w:rPr>
            </w:pPr>
            <w:r>
              <w:rPr>
                <w:noProof/>
              </w:rPr>
              <w:t>Izvedbeni sporazum</w:t>
            </w:r>
          </w:p>
        </w:tc>
      </w:tr>
      <w:tr w:rsidR="00154E32" w14:paraId="2BCD731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418DE7A" w14:textId="77777777" w:rsidR="00154E32" w:rsidRDefault="00A43E04">
            <w:pPr>
              <w:pStyle w:val="P68B1DB1-Normal12"/>
              <w:jc w:val="center"/>
              <w:rPr>
                <w:noProof/>
              </w:rPr>
            </w:pPr>
            <w:r>
              <w:rPr>
                <w:noProof/>
              </w:rPr>
              <w:t>M2C2–31</w:t>
            </w:r>
          </w:p>
        </w:tc>
        <w:tc>
          <w:tcPr>
            <w:tcW w:w="3195" w:type="dxa"/>
            <w:tcBorders>
              <w:top w:val="nil"/>
              <w:left w:val="nil"/>
              <w:bottom w:val="single" w:sz="4" w:space="0" w:color="auto"/>
              <w:right w:val="single" w:sz="4" w:space="0" w:color="auto"/>
            </w:tcBorders>
            <w:shd w:val="clear" w:color="auto" w:fill="C6EFCE"/>
            <w:noWrap/>
            <w:vAlign w:val="center"/>
          </w:tcPr>
          <w:p w14:paraId="791BF650" w14:textId="77777777" w:rsidR="00154E32" w:rsidRDefault="00A43E04">
            <w:pPr>
              <w:pStyle w:val="P68B1DB1-Normal12"/>
              <w:jc w:val="center"/>
              <w:rPr>
                <w:noProof/>
              </w:rPr>
            </w:pPr>
            <w:r>
              <w:rPr>
                <w:noProof/>
              </w:rPr>
              <w:t>Naložba 4.4.3: Flota za obnovo nacionalnega poveljstva gasilske službe</w:t>
            </w:r>
          </w:p>
        </w:tc>
        <w:tc>
          <w:tcPr>
            <w:tcW w:w="1425" w:type="dxa"/>
            <w:tcBorders>
              <w:top w:val="nil"/>
              <w:left w:val="nil"/>
              <w:bottom w:val="single" w:sz="4" w:space="0" w:color="auto"/>
              <w:right w:val="single" w:sz="4" w:space="0" w:color="auto"/>
            </w:tcBorders>
            <w:shd w:val="clear" w:color="auto" w:fill="C6EFCE"/>
            <w:noWrap/>
            <w:vAlign w:val="center"/>
          </w:tcPr>
          <w:p w14:paraId="40C54EFA" w14:textId="77777777" w:rsidR="00154E32" w:rsidRDefault="00A43E04">
            <w:pPr>
              <w:pStyle w:val="P68B1DB1-Normal12"/>
              <w:jc w:val="center"/>
              <w:rPr>
                <w:noProof/>
              </w:rPr>
            </w:pPr>
            <w:r>
              <w:rPr>
                <w:noProof/>
              </w:rPr>
              <w:t>Mejnik</w:t>
            </w:r>
          </w:p>
        </w:tc>
        <w:tc>
          <w:tcPr>
            <w:tcW w:w="4106" w:type="dxa"/>
            <w:tcBorders>
              <w:top w:val="nil"/>
              <w:left w:val="nil"/>
              <w:bottom w:val="single" w:sz="4" w:space="0" w:color="auto"/>
              <w:right w:val="single" w:sz="4" w:space="0" w:color="auto"/>
            </w:tcBorders>
            <w:shd w:val="clear" w:color="auto" w:fill="C6EFCE"/>
            <w:noWrap/>
            <w:vAlign w:val="center"/>
          </w:tcPr>
          <w:p w14:paraId="6C73A6A8" w14:textId="77777777" w:rsidR="00154E32" w:rsidRDefault="00A43E04">
            <w:pPr>
              <w:pStyle w:val="P68B1DB1-Normal12"/>
              <w:jc w:val="center"/>
              <w:rPr>
                <w:noProof/>
              </w:rPr>
            </w:pPr>
            <w:r>
              <w:rPr>
                <w:noProof/>
              </w:rPr>
              <w:t>Oddaja vseh javnih naročil za obnovitveno floto nacionalnega poveljstva gasilske službe</w:t>
            </w:r>
          </w:p>
        </w:tc>
      </w:tr>
      <w:tr w:rsidR="00154E32" w14:paraId="09964D7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3C42CB8" w14:textId="77777777" w:rsidR="00154E32" w:rsidRDefault="00A43E04">
            <w:pPr>
              <w:pStyle w:val="P68B1DB1-Normal12"/>
              <w:jc w:val="center"/>
              <w:rPr>
                <w:noProof/>
              </w:rPr>
            </w:pPr>
            <w:r>
              <w:rPr>
                <w:noProof/>
              </w:rPr>
              <w:t>M2C4–6</w:t>
            </w:r>
          </w:p>
        </w:tc>
        <w:tc>
          <w:tcPr>
            <w:tcW w:w="3195" w:type="dxa"/>
            <w:tcBorders>
              <w:top w:val="nil"/>
              <w:left w:val="nil"/>
              <w:bottom w:val="single" w:sz="4" w:space="0" w:color="auto"/>
              <w:right w:val="single" w:sz="4" w:space="0" w:color="auto"/>
            </w:tcBorders>
            <w:shd w:val="clear" w:color="auto" w:fill="C6EFCE"/>
            <w:noWrap/>
            <w:vAlign w:val="center"/>
          </w:tcPr>
          <w:p w14:paraId="17F444A5" w14:textId="77777777" w:rsidR="00154E32" w:rsidRDefault="00A43E04">
            <w:pPr>
              <w:pStyle w:val="P68B1DB1-Normal12"/>
              <w:jc w:val="center"/>
              <w:rPr>
                <w:noProof/>
              </w:rPr>
            </w:pPr>
            <w:r>
              <w:rPr>
                <w:noProof/>
              </w:rPr>
              <w:t>Naložba 3.2: Digitalizacija nacionalnih parkov</w:t>
            </w:r>
          </w:p>
        </w:tc>
        <w:tc>
          <w:tcPr>
            <w:tcW w:w="1425" w:type="dxa"/>
            <w:tcBorders>
              <w:top w:val="nil"/>
              <w:left w:val="nil"/>
              <w:bottom w:val="single" w:sz="4" w:space="0" w:color="auto"/>
              <w:right w:val="single" w:sz="4" w:space="0" w:color="auto"/>
            </w:tcBorders>
            <w:shd w:val="clear" w:color="auto" w:fill="C6EFCE"/>
            <w:noWrap/>
            <w:vAlign w:val="center"/>
          </w:tcPr>
          <w:p w14:paraId="10FA3174" w14:textId="77777777" w:rsidR="00154E32" w:rsidRDefault="00A43E04">
            <w:pPr>
              <w:pStyle w:val="P68B1DB1-Normal12"/>
              <w:jc w:val="center"/>
              <w:rPr>
                <w:noProof/>
              </w:rPr>
            </w:pPr>
            <w:r>
              <w:rPr>
                <w:noProof/>
              </w:rPr>
              <w:t>Tarča</w:t>
            </w:r>
          </w:p>
        </w:tc>
        <w:tc>
          <w:tcPr>
            <w:tcW w:w="4106" w:type="dxa"/>
            <w:tcBorders>
              <w:top w:val="nil"/>
              <w:left w:val="nil"/>
              <w:bottom w:val="single" w:sz="4" w:space="0" w:color="auto"/>
              <w:right w:val="single" w:sz="4" w:space="0" w:color="auto"/>
            </w:tcBorders>
            <w:shd w:val="clear" w:color="auto" w:fill="C6EFCE"/>
            <w:noWrap/>
            <w:vAlign w:val="center"/>
          </w:tcPr>
          <w:p w14:paraId="6947FBDD" w14:textId="77777777" w:rsidR="00154E32" w:rsidRDefault="00A43E04">
            <w:pPr>
              <w:pStyle w:val="P68B1DB1-Normal12"/>
              <w:jc w:val="center"/>
              <w:rPr>
                <w:noProof/>
              </w:rPr>
            </w:pPr>
            <w:r>
              <w:rPr>
                <w:noProof/>
              </w:rPr>
              <w:t xml:space="preserve">Upravna poenostavitev in razvoj digitalnih storitev za obiskovalce nacionalnih parkov in zaščitenih morskih območij </w:t>
            </w:r>
          </w:p>
        </w:tc>
      </w:tr>
      <w:tr w:rsidR="00154E32" w14:paraId="065F7DB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6278614" w14:textId="77777777" w:rsidR="00154E32" w:rsidRDefault="00A43E04">
            <w:pPr>
              <w:pStyle w:val="P68B1DB1-Normal12"/>
              <w:jc w:val="center"/>
              <w:rPr>
                <w:noProof/>
              </w:rPr>
            </w:pPr>
            <w:r>
              <w:rPr>
                <w:noProof/>
              </w:rPr>
              <w:t>M2C4–20</w:t>
            </w:r>
          </w:p>
        </w:tc>
        <w:tc>
          <w:tcPr>
            <w:tcW w:w="3195" w:type="dxa"/>
            <w:tcBorders>
              <w:top w:val="nil"/>
              <w:left w:val="nil"/>
              <w:bottom w:val="single" w:sz="4" w:space="0" w:color="auto"/>
              <w:right w:val="single" w:sz="4" w:space="0" w:color="auto"/>
            </w:tcBorders>
            <w:shd w:val="clear" w:color="auto" w:fill="C6EFCE"/>
            <w:noWrap/>
            <w:vAlign w:val="center"/>
          </w:tcPr>
          <w:p w14:paraId="154FAD05" w14:textId="77777777" w:rsidR="00154E32" w:rsidRDefault="00A43E04">
            <w:pPr>
              <w:pStyle w:val="P68B1DB1-Normal12"/>
              <w:jc w:val="center"/>
              <w:rPr>
                <w:noProof/>
              </w:rPr>
            </w:pPr>
            <w:r>
              <w:rPr>
                <w:noProof/>
              </w:rPr>
              <w:t>Naložbe. 3.1: Varstvo in krepitev mestnih in primestnih gozdov</w:t>
            </w:r>
          </w:p>
        </w:tc>
        <w:tc>
          <w:tcPr>
            <w:tcW w:w="1425" w:type="dxa"/>
            <w:tcBorders>
              <w:top w:val="nil"/>
              <w:left w:val="nil"/>
              <w:bottom w:val="single" w:sz="4" w:space="0" w:color="auto"/>
              <w:right w:val="single" w:sz="4" w:space="0" w:color="auto"/>
            </w:tcBorders>
            <w:shd w:val="clear" w:color="auto" w:fill="C6EFCE"/>
            <w:noWrap/>
            <w:vAlign w:val="center"/>
          </w:tcPr>
          <w:p w14:paraId="2CAD670B" w14:textId="77777777" w:rsidR="00154E32" w:rsidRDefault="00A43E04">
            <w:pPr>
              <w:pStyle w:val="P68B1DB1-Normal12"/>
              <w:jc w:val="center"/>
              <w:rPr>
                <w:noProof/>
              </w:rPr>
            </w:pPr>
            <w:r>
              <w:rPr>
                <w:noProof/>
              </w:rPr>
              <w:t>Tarča</w:t>
            </w:r>
          </w:p>
        </w:tc>
        <w:tc>
          <w:tcPr>
            <w:tcW w:w="4106" w:type="dxa"/>
            <w:tcBorders>
              <w:top w:val="nil"/>
              <w:left w:val="nil"/>
              <w:bottom w:val="single" w:sz="4" w:space="0" w:color="auto"/>
              <w:right w:val="single" w:sz="4" w:space="0" w:color="auto"/>
            </w:tcBorders>
            <w:shd w:val="clear" w:color="auto" w:fill="C6EFCE"/>
            <w:noWrap/>
            <w:vAlign w:val="center"/>
          </w:tcPr>
          <w:p w14:paraId="1356DCC0" w14:textId="77777777" w:rsidR="00154E32" w:rsidRDefault="00A43E04">
            <w:pPr>
              <w:pStyle w:val="P68B1DB1-Normal12"/>
              <w:jc w:val="center"/>
              <w:rPr>
                <w:noProof/>
              </w:rPr>
            </w:pPr>
            <w:r>
              <w:rPr>
                <w:noProof/>
              </w:rPr>
              <w:t xml:space="preserve">Rastlinska drevesa za varstvo in valorizacijo mestnih in primestnih zelenih površin T2 </w:t>
            </w:r>
          </w:p>
        </w:tc>
      </w:tr>
      <w:tr w:rsidR="00154E32" w14:paraId="540EBA1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8672975" w14:textId="77777777" w:rsidR="00154E32" w:rsidRDefault="00A43E04">
            <w:pPr>
              <w:pStyle w:val="P68B1DB1-Normal12"/>
              <w:jc w:val="center"/>
              <w:rPr>
                <w:noProof/>
              </w:rPr>
            </w:pPr>
            <w:r>
              <w:rPr>
                <w:noProof/>
              </w:rPr>
              <w:t>M3C2–10</w:t>
            </w:r>
          </w:p>
        </w:tc>
        <w:tc>
          <w:tcPr>
            <w:tcW w:w="3195" w:type="dxa"/>
            <w:tcBorders>
              <w:top w:val="nil"/>
              <w:left w:val="nil"/>
              <w:bottom w:val="single" w:sz="4" w:space="0" w:color="auto"/>
              <w:right w:val="single" w:sz="4" w:space="0" w:color="auto"/>
            </w:tcBorders>
            <w:shd w:val="clear" w:color="auto" w:fill="C6EFCE"/>
            <w:noWrap/>
            <w:vAlign w:val="center"/>
          </w:tcPr>
          <w:p w14:paraId="48AE1BA9" w14:textId="77777777" w:rsidR="00154E32" w:rsidRDefault="00A43E04">
            <w:pPr>
              <w:pStyle w:val="P68B1DB1-Normal12"/>
              <w:jc w:val="center"/>
              <w:rPr>
                <w:noProof/>
              </w:rPr>
            </w:pPr>
            <w:r>
              <w:rPr>
                <w:noProof/>
              </w:rPr>
              <w:t>Reforma 2.2: Vzpostavitev nacionalne platforme za digitalno logistiko za uvedbo digitalizacije storitev tovornega in/ali potniškega prometa</w:t>
            </w:r>
          </w:p>
        </w:tc>
        <w:tc>
          <w:tcPr>
            <w:tcW w:w="1425" w:type="dxa"/>
            <w:tcBorders>
              <w:top w:val="nil"/>
              <w:left w:val="nil"/>
              <w:bottom w:val="single" w:sz="4" w:space="0" w:color="auto"/>
              <w:right w:val="single" w:sz="4" w:space="0" w:color="auto"/>
            </w:tcBorders>
            <w:shd w:val="clear" w:color="auto" w:fill="C6EFCE"/>
            <w:noWrap/>
            <w:vAlign w:val="center"/>
          </w:tcPr>
          <w:p w14:paraId="5A67F809" w14:textId="77777777" w:rsidR="00154E32" w:rsidRDefault="00A43E04">
            <w:pPr>
              <w:pStyle w:val="P68B1DB1-Normal12"/>
              <w:jc w:val="center"/>
              <w:rPr>
                <w:noProof/>
              </w:rPr>
            </w:pPr>
            <w:r>
              <w:rPr>
                <w:noProof/>
              </w:rPr>
              <w:t>Mejnik</w:t>
            </w:r>
          </w:p>
        </w:tc>
        <w:tc>
          <w:tcPr>
            <w:tcW w:w="4106" w:type="dxa"/>
            <w:tcBorders>
              <w:top w:val="nil"/>
              <w:left w:val="nil"/>
              <w:bottom w:val="single" w:sz="4" w:space="0" w:color="auto"/>
              <w:right w:val="single" w:sz="4" w:space="0" w:color="auto"/>
            </w:tcBorders>
            <w:shd w:val="clear" w:color="auto" w:fill="C6EFCE"/>
            <w:noWrap/>
            <w:vAlign w:val="center"/>
          </w:tcPr>
          <w:p w14:paraId="61A362B6" w14:textId="77777777" w:rsidR="00154E32" w:rsidRDefault="00A43E04">
            <w:pPr>
              <w:pStyle w:val="P68B1DB1-Normal12"/>
              <w:jc w:val="center"/>
              <w:rPr>
                <w:noProof/>
              </w:rPr>
            </w:pPr>
            <w:r>
              <w:rPr>
                <w:noProof/>
              </w:rPr>
              <w:t xml:space="preserve">Nacionalna platforma za digitalno logistiko </w:t>
            </w:r>
          </w:p>
        </w:tc>
      </w:tr>
      <w:tr w:rsidR="00154E32" w14:paraId="29E08EA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4067D6B" w14:textId="77777777" w:rsidR="00154E32" w:rsidRDefault="00A43E04">
            <w:pPr>
              <w:pStyle w:val="P68B1DB1-Normal12"/>
              <w:jc w:val="center"/>
              <w:rPr>
                <w:noProof/>
              </w:rPr>
            </w:pPr>
            <w:r>
              <w:rPr>
                <w:noProof/>
              </w:rPr>
              <w:t>M5C3–12</w:t>
            </w:r>
          </w:p>
        </w:tc>
        <w:tc>
          <w:tcPr>
            <w:tcW w:w="3195" w:type="dxa"/>
            <w:tcBorders>
              <w:top w:val="nil"/>
              <w:left w:val="nil"/>
              <w:bottom w:val="single" w:sz="4" w:space="0" w:color="auto"/>
              <w:right w:val="single" w:sz="4" w:space="0" w:color="auto"/>
            </w:tcBorders>
            <w:shd w:val="clear" w:color="auto" w:fill="C6EFCE"/>
            <w:noWrap/>
            <w:vAlign w:val="center"/>
          </w:tcPr>
          <w:p w14:paraId="18064305" w14:textId="77777777" w:rsidR="00154E32" w:rsidRDefault="00A43E04">
            <w:pPr>
              <w:pStyle w:val="P68B1DB1-Normal12"/>
              <w:jc w:val="center"/>
              <w:rPr>
                <w:noProof/>
              </w:rPr>
            </w:pPr>
            <w:r>
              <w:rPr>
                <w:noProof/>
              </w:rPr>
              <w:t>Naložba 1.4: Infrastrukturne naložbe za posebno ekonomsko cono</w:t>
            </w:r>
          </w:p>
        </w:tc>
        <w:tc>
          <w:tcPr>
            <w:tcW w:w="1425" w:type="dxa"/>
            <w:tcBorders>
              <w:top w:val="nil"/>
              <w:left w:val="nil"/>
              <w:bottom w:val="single" w:sz="4" w:space="0" w:color="auto"/>
              <w:right w:val="single" w:sz="4" w:space="0" w:color="auto"/>
            </w:tcBorders>
            <w:shd w:val="clear" w:color="auto" w:fill="C6EFCE"/>
            <w:noWrap/>
            <w:vAlign w:val="center"/>
          </w:tcPr>
          <w:p w14:paraId="4345E5CA" w14:textId="77777777" w:rsidR="00154E32" w:rsidRDefault="00A43E04">
            <w:pPr>
              <w:pStyle w:val="P68B1DB1-Normal12"/>
              <w:jc w:val="center"/>
              <w:rPr>
                <w:noProof/>
              </w:rPr>
            </w:pPr>
            <w:r>
              <w:rPr>
                <w:noProof/>
              </w:rPr>
              <w:t>Tarča</w:t>
            </w:r>
          </w:p>
        </w:tc>
        <w:tc>
          <w:tcPr>
            <w:tcW w:w="4106" w:type="dxa"/>
            <w:tcBorders>
              <w:top w:val="nil"/>
              <w:left w:val="nil"/>
              <w:bottom w:val="single" w:sz="4" w:space="0" w:color="auto"/>
              <w:right w:val="single" w:sz="4" w:space="0" w:color="auto"/>
            </w:tcBorders>
            <w:shd w:val="clear" w:color="auto" w:fill="C6EFCE"/>
            <w:noWrap/>
            <w:vAlign w:val="center"/>
          </w:tcPr>
          <w:p w14:paraId="6B8D6174" w14:textId="77777777" w:rsidR="00154E32" w:rsidRDefault="00A43E04">
            <w:pPr>
              <w:pStyle w:val="P68B1DB1-Normal12"/>
              <w:jc w:val="center"/>
              <w:rPr>
                <w:noProof/>
              </w:rPr>
            </w:pPr>
            <w:r>
              <w:rPr>
                <w:noProof/>
              </w:rPr>
              <w:t>Začetek infrastrukturnih posegov v posebnih ekonomskih conah</w:t>
            </w:r>
          </w:p>
        </w:tc>
      </w:tr>
      <w:tr w:rsidR="00154E32" w14:paraId="2C0FD15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6CCC17B" w14:textId="77777777" w:rsidR="00154E32" w:rsidRDefault="00A43E04">
            <w:pPr>
              <w:pStyle w:val="P68B1DB1-Normal12"/>
              <w:jc w:val="center"/>
              <w:rPr>
                <w:noProof/>
              </w:rPr>
            </w:pPr>
            <w:r>
              <w:rPr>
                <w:noProof/>
              </w:rPr>
              <w:t>M6C2–15</w:t>
            </w:r>
          </w:p>
        </w:tc>
        <w:tc>
          <w:tcPr>
            <w:tcW w:w="3195" w:type="dxa"/>
            <w:tcBorders>
              <w:top w:val="nil"/>
              <w:left w:val="nil"/>
              <w:bottom w:val="single" w:sz="4" w:space="0" w:color="auto"/>
              <w:right w:val="single" w:sz="4" w:space="0" w:color="auto"/>
            </w:tcBorders>
            <w:shd w:val="clear" w:color="auto" w:fill="C6EFCE"/>
            <w:noWrap/>
            <w:vAlign w:val="center"/>
          </w:tcPr>
          <w:p w14:paraId="1827635A" w14:textId="77777777" w:rsidR="00154E32" w:rsidRDefault="00A43E04">
            <w:pPr>
              <w:pStyle w:val="P68B1DB1-Normal48"/>
              <w:jc w:val="center"/>
              <w:rPr>
                <w:noProof/>
              </w:rPr>
            </w:pPr>
            <w:r>
              <w:rPr>
                <w:noProof/>
              </w:rPr>
              <w:t>Naložba 2.2: Razvoj tehnično-strokovnih, digitalnih in vodstvenih znanj in spretnosti strokovnjakov v zdravstvenem sistemu</w:t>
            </w:r>
          </w:p>
        </w:tc>
        <w:tc>
          <w:tcPr>
            <w:tcW w:w="1425" w:type="dxa"/>
            <w:tcBorders>
              <w:top w:val="nil"/>
              <w:left w:val="nil"/>
              <w:bottom w:val="single" w:sz="4" w:space="0" w:color="auto"/>
              <w:right w:val="single" w:sz="4" w:space="0" w:color="auto"/>
            </w:tcBorders>
            <w:shd w:val="clear" w:color="auto" w:fill="C6EFCE"/>
            <w:noWrap/>
            <w:vAlign w:val="center"/>
          </w:tcPr>
          <w:p w14:paraId="3A1B3B1A" w14:textId="77777777" w:rsidR="00154E32" w:rsidRDefault="00A43E04">
            <w:pPr>
              <w:pStyle w:val="P68B1DB1-Normal48"/>
              <w:jc w:val="center"/>
              <w:rPr>
                <w:noProof/>
              </w:rPr>
            </w:pPr>
            <w:r>
              <w:rPr>
                <w:noProof/>
              </w:rPr>
              <w:t>Tarča</w:t>
            </w:r>
          </w:p>
        </w:tc>
        <w:tc>
          <w:tcPr>
            <w:tcW w:w="4106" w:type="dxa"/>
            <w:tcBorders>
              <w:top w:val="nil"/>
              <w:left w:val="nil"/>
              <w:bottom w:val="single" w:sz="4" w:space="0" w:color="auto"/>
              <w:right w:val="single" w:sz="4" w:space="0" w:color="auto"/>
            </w:tcBorders>
            <w:shd w:val="clear" w:color="auto" w:fill="C6EFCE"/>
            <w:noWrap/>
            <w:vAlign w:val="center"/>
          </w:tcPr>
          <w:p w14:paraId="41B73241" w14:textId="77777777" w:rsidR="00154E32" w:rsidRDefault="00A43E04">
            <w:pPr>
              <w:pStyle w:val="P68B1DB1-Normal48"/>
              <w:jc w:val="center"/>
              <w:rPr>
                <w:noProof/>
              </w:rPr>
            </w:pPr>
            <w:r>
              <w:rPr>
                <w:noProof/>
              </w:rPr>
              <w:t>Dodelijo se dodatne štipendije za posebno usposabljanje na področju splošne medicine.</w:t>
            </w:r>
          </w:p>
        </w:tc>
      </w:tr>
      <w:tr w:rsidR="00154E32" w14:paraId="0DD3EF5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5DEB564" w14:textId="77777777" w:rsidR="00154E32" w:rsidRDefault="00A43E04">
            <w:pPr>
              <w:pStyle w:val="P68B1DB1-Normal12"/>
              <w:jc w:val="center"/>
              <w:rPr>
                <w:noProof/>
              </w:rPr>
            </w:pPr>
            <w:r>
              <w:rPr>
                <w:noProof/>
              </w:rPr>
              <w:t>M7–36</w:t>
            </w:r>
          </w:p>
        </w:tc>
        <w:tc>
          <w:tcPr>
            <w:tcW w:w="3195" w:type="dxa"/>
            <w:tcBorders>
              <w:top w:val="nil"/>
              <w:left w:val="nil"/>
              <w:bottom w:val="single" w:sz="4" w:space="0" w:color="auto"/>
              <w:right w:val="single" w:sz="4" w:space="0" w:color="auto"/>
            </w:tcBorders>
            <w:shd w:val="clear" w:color="auto" w:fill="C6EFCE"/>
            <w:noWrap/>
            <w:vAlign w:val="center"/>
          </w:tcPr>
          <w:p w14:paraId="7BE1C5C5" w14:textId="77777777" w:rsidR="00154E32" w:rsidRDefault="00A43E04">
            <w:pPr>
              <w:pStyle w:val="P68B1DB1-Normal12"/>
              <w:jc w:val="center"/>
              <w:rPr>
                <w:noProof/>
              </w:rPr>
            </w:pPr>
            <w:r>
              <w:rPr>
                <w:noProof/>
              </w:rPr>
              <w:t>Naložba 13: Faza 1 Jadranske črte (kompresorska postaja Sulmona in plinovod Sestino-Minerbio)</w:t>
            </w:r>
          </w:p>
        </w:tc>
        <w:tc>
          <w:tcPr>
            <w:tcW w:w="1425" w:type="dxa"/>
            <w:tcBorders>
              <w:top w:val="nil"/>
              <w:left w:val="nil"/>
              <w:bottom w:val="single" w:sz="4" w:space="0" w:color="auto"/>
              <w:right w:val="single" w:sz="4" w:space="0" w:color="auto"/>
            </w:tcBorders>
            <w:shd w:val="clear" w:color="auto" w:fill="C6EFCE"/>
            <w:noWrap/>
            <w:vAlign w:val="center"/>
          </w:tcPr>
          <w:p w14:paraId="1F6D0DEE" w14:textId="77777777" w:rsidR="00154E32" w:rsidRDefault="00A43E04">
            <w:pPr>
              <w:pStyle w:val="P68B1DB1-Normal12"/>
              <w:jc w:val="center"/>
              <w:rPr>
                <w:noProof/>
              </w:rPr>
            </w:pPr>
            <w:r>
              <w:rPr>
                <w:noProof/>
              </w:rPr>
              <w:t>Mejnik</w:t>
            </w:r>
          </w:p>
        </w:tc>
        <w:tc>
          <w:tcPr>
            <w:tcW w:w="4106" w:type="dxa"/>
            <w:tcBorders>
              <w:top w:val="nil"/>
              <w:left w:val="nil"/>
              <w:bottom w:val="single" w:sz="4" w:space="0" w:color="auto"/>
              <w:right w:val="single" w:sz="4" w:space="0" w:color="auto"/>
            </w:tcBorders>
            <w:shd w:val="clear" w:color="auto" w:fill="C6EFCE"/>
            <w:noWrap/>
            <w:vAlign w:val="center"/>
          </w:tcPr>
          <w:p w14:paraId="35BC2493" w14:textId="77777777" w:rsidR="00154E32" w:rsidRDefault="00A43E04">
            <w:pPr>
              <w:pStyle w:val="P68B1DB1-Normal12"/>
              <w:jc w:val="center"/>
              <w:rPr>
                <w:noProof/>
              </w:rPr>
            </w:pPr>
            <w:r>
              <w:rPr>
                <w:noProof/>
              </w:rPr>
              <w:t>Dodelitev pogodb</w:t>
            </w:r>
          </w:p>
        </w:tc>
      </w:tr>
      <w:tr w:rsidR="00154E32" w14:paraId="6944E1C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691076A" w14:textId="77777777" w:rsidR="00154E32" w:rsidRDefault="00A43E04">
            <w:pPr>
              <w:pStyle w:val="P68B1DB1-Normal12"/>
              <w:jc w:val="center"/>
              <w:rPr>
                <w:noProof/>
              </w:rPr>
            </w:pPr>
            <w:r>
              <w:rPr>
                <w:noProof/>
              </w:rPr>
              <w:t>M7–38</w:t>
            </w:r>
          </w:p>
        </w:tc>
        <w:tc>
          <w:tcPr>
            <w:tcW w:w="3195" w:type="dxa"/>
            <w:tcBorders>
              <w:top w:val="nil"/>
              <w:left w:val="nil"/>
              <w:bottom w:val="single" w:sz="4" w:space="0" w:color="auto"/>
              <w:right w:val="single" w:sz="4" w:space="0" w:color="auto"/>
            </w:tcBorders>
            <w:shd w:val="clear" w:color="auto" w:fill="C6EFCE"/>
            <w:noWrap/>
            <w:vAlign w:val="center"/>
          </w:tcPr>
          <w:p w14:paraId="54D63331" w14:textId="77777777" w:rsidR="00154E32" w:rsidRDefault="00A43E04">
            <w:pPr>
              <w:pStyle w:val="P68B1DB1-Normal12"/>
              <w:jc w:val="center"/>
              <w:rPr>
                <w:noProof/>
              </w:rPr>
            </w:pPr>
            <w:r>
              <w:rPr>
                <w:noProof/>
              </w:rPr>
              <w:t>Naložba 14: Infrastruktura za čezmejni izvoz plina</w:t>
            </w:r>
          </w:p>
        </w:tc>
        <w:tc>
          <w:tcPr>
            <w:tcW w:w="1425" w:type="dxa"/>
            <w:tcBorders>
              <w:top w:val="nil"/>
              <w:left w:val="nil"/>
              <w:bottom w:val="single" w:sz="4" w:space="0" w:color="auto"/>
              <w:right w:val="single" w:sz="4" w:space="0" w:color="auto"/>
            </w:tcBorders>
            <w:shd w:val="clear" w:color="auto" w:fill="C6EFCE"/>
            <w:noWrap/>
            <w:vAlign w:val="center"/>
          </w:tcPr>
          <w:p w14:paraId="3876B5CB" w14:textId="77777777" w:rsidR="00154E32" w:rsidRDefault="00A43E04">
            <w:pPr>
              <w:pStyle w:val="P68B1DB1-Normal12"/>
              <w:jc w:val="center"/>
              <w:rPr>
                <w:noProof/>
              </w:rPr>
            </w:pPr>
            <w:r>
              <w:rPr>
                <w:noProof/>
              </w:rPr>
              <w:t>Mejnik</w:t>
            </w:r>
          </w:p>
        </w:tc>
        <w:tc>
          <w:tcPr>
            <w:tcW w:w="4106" w:type="dxa"/>
            <w:tcBorders>
              <w:top w:val="nil"/>
              <w:left w:val="nil"/>
              <w:bottom w:val="single" w:sz="4" w:space="0" w:color="auto"/>
              <w:right w:val="single" w:sz="4" w:space="0" w:color="auto"/>
            </w:tcBorders>
            <w:shd w:val="clear" w:color="auto" w:fill="C6EFCE"/>
            <w:noWrap/>
            <w:vAlign w:val="center"/>
          </w:tcPr>
          <w:p w14:paraId="3D29022A" w14:textId="77777777" w:rsidR="00154E32" w:rsidRDefault="00A43E04">
            <w:pPr>
              <w:pStyle w:val="P68B1DB1-Normal12"/>
              <w:jc w:val="center"/>
              <w:rPr>
                <w:noProof/>
              </w:rPr>
            </w:pPr>
            <w:r>
              <w:rPr>
                <w:noProof/>
              </w:rPr>
              <w:t>Dodelitev pogodb</w:t>
            </w:r>
          </w:p>
        </w:tc>
      </w:tr>
      <w:tr w:rsidR="00154E32" w14:paraId="105443C9"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12970F1A" w14:textId="77777777" w:rsidR="00154E32" w:rsidRDefault="00154E32">
            <w:pPr>
              <w:jc w:val="center"/>
              <w:rPr>
                <w:noProof/>
                <w:color w:val="006100"/>
                <w:sz w:val="20"/>
              </w:rPr>
            </w:pPr>
          </w:p>
        </w:tc>
        <w:tc>
          <w:tcPr>
            <w:tcW w:w="3195" w:type="dxa"/>
            <w:tcBorders>
              <w:top w:val="single" w:sz="4" w:space="0" w:color="auto"/>
              <w:left w:val="nil"/>
              <w:bottom w:val="single" w:sz="4" w:space="0" w:color="auto"/>
              <w:right w:val="single" w:sz="4" w:space="0" w:color="auto"/>
            </w:tcBorders>
            <w:shd w:val="clear" w:color="auto" w:fill="C6EFCE"/>
            <w:noWrap/>
            <w:vAlign w:val="bottom"/>
          </w:tcPr>
          <w:p w14:paraId="482B1091" w14:textId="77777777" w:rsidR="00154E32" w:rsidRDefault="00154E32">
            <w:pPr>
              <w:rPr>
                <w:noProof/>
                <w:color w:val="006100"/>
                <w:sz w:val="20"/>
              </w:rPr>
            </w:pPr>
          </w:p>
        </w:tc>
        <w:tc>
          <w:tcPr>
            <w:tcW w:w="1425" w:type="dxa"/>
            <w:tcBorders>
              <w:top w:val="single" w:sz="4" w:space="0" w:color="auto"/>
              <w:left w:val="nil"/>
              <w:bottom w:val="single" w:sz="4" w:space="0" w:color="auto"/>
              <w:right w:val="single" w:sz="4" w:space="0" w:color="auto"/>
            </w:tcBorders>
            <w:shd w:val="clear" w:color="auto" w:fill="C6EFCE"/>
            <w:noWrap/>
            <w:vAlign w:val="bottom"/>
          </w:tcPr>
          <w:p w14:paraId="37276664" w14:textId="77777777" w:rsidR="00154E32" w:rsidRDefault="00A43E04">
            <w:pPr>
              <w:pStyle w:val="P68B1DB1-Normal12"/>
              <w:rPr>
                <w:noProof/>
              </w:rPr>
            </w:pPr>
            <w:r>
              <w:rPr>
                <w:noProof/>
              </w:rPr>
              <w:t>Znesek obroka</w:t>
            </w:r>
          </w:p>
        </w:tc>
        <w:tc>
          <w:tcPr>
            <w:tcW w:w="4106" w:type="dxa"/>
            <w:tcBorders>
              <w:top w:val="single" w:sz="4" w:space="0" w:color="auto"/>
              <w:left w:val="nil"/>
              <w:bottom w:val="single" w:sz="4" w:space="0" w:color="auto"/>
              <w:right w:val="single" w:sz="4" w:space="0" w:color="auto"/>
            </w:tcBorders>
            <w:shd w:val="clear" w:color="auto" w:fill="C6EFCE"/>
            <w:noWrap/>
            <w:vAlign w:val="bottom"/>
          </w:tcPr>
          <w:p w14:paraId="7D8FCA63" w14:textId="32ADD4AB" w:rsidR="00154E32" w:rsidRDefault="00A43E04">
            <w:pPr>
              <w:pStyle w:val="P68B1DB1-Normal12"/>
              <w:rPr>
                <w:noProof/>
              </w:rPr>
            </w:pPr>
            <w:r>
              <w:rPr>
                <w:noProof/>
              </w:rPr>
              <w:t>8 328 350 441 EUR</w:t>
            </w:r>
          </w:p>
        </w:tc>
      </w:tr>
    </w:tbl>
    <w:p w14:paraId="5F775B7E" w14:textId="6E18EF8B" w:rsidR="00154E32" w:rsidRDefault="00154E32">
      <w:pPr>
        <w:spacing w:before="120" w:after="120"/>
        <w:jc w:val="both"/>
        <w:rPr>
          <w:rFonts w:eastAsia="Calibri"/>
          <w:noProof/>
        </w:rPr>
      </w:pPr>
    </w:p>
    <w:p w14:paraId="4DAA9DBC" w14:textId="77777777" w:rsidR="00154E32" w:rsidRDefault="00A43E04">
      <w:pPr>
        <w:pStyle w:val="P68B1DB1-Normal44"/>
        <w:spacing w:after="200" w:line="276" w:lineRule="auto"/>
        <w:rPr>
          <w:noProof/>
        </w:rPr>
      </w:pPr>
      <w:r>
        <w:rPr>
          <w:noProof/>
        </w:rPr>
        <w:br w:type="page"/>
      </w:r>
    </w:p>
    <w:p w14:paraId="6F6310A3" w14:textId="00FDE67D" w:rsidR="00154E32" w:rsidRDefault="00A43E04">
      <w:pPr>
        <w:pStyle w:val="P68B1DB1-Normal44"/>
        <w:numPr>
          <w:ilvl w:val="1"/>
          <w:numId w:val="6"/>
        </w:numPr>
        <w:spacing w:before="120" w:after="120"/>
        <w:jc w:val="both"/>
        <w:rPr>
          <w:noProof/>
        </w:rPr>
      </w:pPr>
      <w:r>
        <w:rPr>
          <w:noProof/>
        </w:rPr>
        <w:t>Sedma namestitev (podpora za posojila):</w:t>
      </w:r>
    </w:p>
    <w:tbl>
      <w:tblPr>
        <w:tblW w:w="10152" w:type="dxa"/>
        <w:tblInd w:w="113" w:type="dxa"/>
        <w:tblLook w:val="04A0" w:firstRow="1" w:lastRow="0" w:firstColumn="1" w:lastColumn="0" w:noHBand="0" w:noVBand="1"/>
      </w:tblPr>
      <w:tblGrid>
        <w:gridCol w:w="1413"/>
        <w:gridCol w:w="3195"/>
        <w:gridCol w:w="1378"/>
        <w:gridCol w:w="4166"/>
      </w:tblGrid>
      <w:tr w:rsidR="00154E32" w14:paraId="44AAC083" w14:textId="77777777">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06BA279" w14:textId="77777777" w:rsidR="00154E32" w:rsidRDefault="00A43E04">
            <w:pPr>
              <w:pStyle w:val="P68B1DB1-Normal45"/>
              <w:jc w:val="center"/>
              <w:rPr>
                <w:noProof/>
              </w:rPr>
            </w:pPr>
            <w:r>
              <w:rPr>
                <w:noProof/>
              </w:rPr>
              <w:t>Zaporedna številka</w:t>
            </w:r>
          </w:p>
        </w:tc>
        <w:tc>
          <w:tcPr>
            <w:tcW w:w="319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C44C6F5" w14:textId="77777777" w:rsidR="00154E32" w:rsidRDefault="00A43E04">
            <w:pPr>
              <w:pStyle w:val="P68B1DB1-Normal45"/>
              <w:jc w:val="center"/>
              <w:rPr>
                <w:noProof/>
              </w:rPr>
            </w:pPr>
            <w:r>
              <w:rPr>
                <w:noProof/>
              </w:rPr>
              <w:t>Povezani ukrep (reforma ali naložba)</w:t>
            </w:r>
          </w:p>
        </w:tc>
        <w:tc>
          <w:tcPr>
            <w:tcW w:w="137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5919E63" w14:textId="77777777" w:rsidR="00154E32" w:rsidRDefault="00A43E04">
            <w:pPr>
              <w:pStyle w:val="P68B1DB1-Normal45"/>
              <w:jc w:val="center"/>
              <w:rPr>
                <w:noProof/>
              </w:rPr>
            </w:pPr>
            <w:r>
              <w:rPr>
                <w:noProof/>
              </w:rPr>
              <w:t>Mejnik/cilj</w:t>
            </w:r>
          </w:p>
        </w:tc>
        <w:tc>
          <w:tcPr>
            <w:tcW w:w="4166" w:type="dxa"/>
            <w:vMerge w:val="restart"/>
            <w:tcBorders>
              <w:top w:val="single" w:sz="4" w:space="0" w:color="auto"/>
              <w:left w:val="nil"/>
              <w:bottom w:val="single" w:sz="4" w:space="0" w:color="auto"/>
              <w:right w:val="single" w:sz="4" w:space="0" w:color="auto"/>
            </w:tcBorders>
            <w:shd w:val="clear" w:color="auto" w:fill="BDD7EE"/>
            <w:vAlign w:val="center"/>
            <w:hideMark/>
          </w:tcPr>
          <w:p w14:paraId="6E761FB1" w14:textId="77777777" w:rsidR="00154E32" w:rsidRDefault="00A43E04">
            <w:pPr>
              <w:pStyle w:val="P68B1DB1-Normal45"/>
              <w:jc w:val="center"/>
              <w:rPr>
                <w:noProof/>
              </w:rPr>
            </w:pPr>
            <w:r>
              <w:rPr>
                <w:noProof/>
              </w:rPr>
              <w:t>Ime</w:t>
            </w:r>
          </w:p>
        </w:tc>
      </w:tr>
      <w:tr w:rsidR="00154E32" w14:paraId="28D2CF08" w14:textId="77777777">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5A83B21" w14:textId="77777777" w:rsidR="00154E32" w:rsidRDefault="00154E32">
            <w:pPr>
              <w:rPr>
                <w:b/>
                <w:noProof/>
              </w:rPr>
            </w:pPr>
          </w:p>
        </w:tc>
        <w:tc>
          <w:tcPr>
            <w:tcW w:w="3195" w:type="dxa"/>
            <w:vMerge/>
            <w:tcBorders>
              <w:top w:val="single" w:sz="4" w:space="0" w:color="auto"/>
              <w:left w:val="single" w:sz="4" w:space="0" w:color="auto"/>
              <w:bottom w:val="single" w:sz="4" w:space="0" w:color="auto"/>
              <w:right w:val="single" w:sz="4" w:space="0" w:color="auto"/>
            </w:tcBorders>
            <w:vAlign w:val="center"/>
            <w:hideMark/>
          </w:tcPr>
          <w:p w14:paraId="01F13D27" w14:textId="77777777" w:rsidR="00154E32" w:rsidRDefault="00154E32">
            <w:pPr>
              <w:rPr>
                <w:b/>
                <w:noProof/>
              </w:rPr>
            </w:pPr>
          </w:p>
        </w:tc>
        <w:tc>
          <w:tcPr>
            <w:tcW w:w="1378" w:type="dxa"/>
            <w:vMerge/>
            <w:tcBorders>
              <w:top w:val="single" w:sz="4" w:space="0" w:color="auto"/>
              <w:left w:val="single" w:sz="4" w:space="0" w:color="auto"/>
              <w:bottom w:val="single" w:sz="4" w:space="0" w:color="auto"/>
              <w:right w:val="single" w:sz="4" w:space="0" w:color="auto"/>
            </w:tcBorders>
            <w:vAlign w:val="center"/>
            <w:hideMark/>
          </w:tcPr>
          <w:p w14:paraId="1EC3C4AE" w14:textId="77777777" w:rsidR="00154E32" w:rsidRDefault="00154E32">
            <w:pPr>
              <w:rPr>
                <w:b/>
                <w:noProof/>
              </w:rPr>
            </w:pPr>
          </w:p>
        </w:tc>
        <w:tc>
          <w:tcPr>
            <w:tcW w:w="4166" w:type="dxa"/>
            <w:vMerge/>
            <w:tcBorders>
              <w:top w:val="single" w:sz="4" w:space="0" w:color="auto"/>
              <w:left w:val="single" w:sz="4" w:space="0" w:color="auto"/>
              <w:bottom w:val="single" w:sz="4" w:space="0" w:color="auto"/>
              <w:right w:val="single" w:sz="4" w:space="0" w:color="auto"/>
            </w:tcBorders>
            <w:vAlign w:val="center"/>
            <w:hideMark/>
          </w:tcPr>
          <w:p w14:paraId="575D13F0" w14:textId="77777777" w:rsidR="00154E32" w:rsidRDefault="00154E32">
            <w:pPr>
              <w:rPr>
                <w:b/>
                <w:noProof/>
              </w:rPr>
            </w:pPr>
          </w:p>
        </w:tc>
      </w:tr>
      <w:tr w:rsidR="00154E32" w14:paraId="15F9B3C4"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3A5D2E83" w14:textId="77777777" w:rsidR="00154E32" w:rsidRDefault="00A43E04">
            <w:pPr>
              <w:pStyle w:val="P68B1DB1-Normal12"/>
              <w:jc w:val="center"/>
              <w:rPr>
                <w:noProof/>
              </w:rPr>
            </w:pPr>
            <w:r>
              <w:rPr>
                <w:noProof/>
              </w:rPr>
              <w:t>M1C1–139</w:t>
            </w:r>
          </w:p>
        </w:tc>
        <w:tc>
          <w:tcPr>
            <w:tcW w:w="3195" w:type="dxa"/>
            <w:tcBorders>
              <w:top w:val="single" w:sz="4" w:space="0" w:color="auto"/>
              <w:left w:val="nil"/>
              <w:bottom w:val="single" w:sz="4" w:space="0" w:color="auto"/>
              <w:right w:val="single" w:sz="4" w:space="0" w:color="auto"/>
            </w:tcBorders>
            <w:shd w:val="clear" w:color="auto" w:fill="C6EFCE"/>
            <w:noWrap/>
            <w:vAlign w:val="center"/>
          </w:tcPr>
          <w:p w14:paraId="23CE31CE" w14:textId="77777777" w:rsidR="00154E32" w:rsidRDefault="00A43E04">
            <w:pPr>
              <w:pStyle w:val="P68B1DB1-Normal12"/>
              <w:jc w:val="center"/>
              <w:rPr>
                <w:noProof/>
              </w:rPr>
            </w:pPr>
            <w:r>
              <w:rPr>
                <w:noProof/>
              </w:rPr>
              <w:t>Naložba 1.2 – Omogočanje oblaka za lokalne pripravljalne ukrepe</w:t>
            </w:r>
          </w:p>
        </w:tc>
        <w:tc>
          <w:tcPr>
            <w:tcW w:w="1378" w:type="dxa"/>
            <w:tcBorders>
              <w:top w:val="single" w:sz="4" w:space="0" w:color="auto"/>
              <w:left w:val="nil"/>
              <w:bottom w:val="single" w:sz="4" w:space="0" w:color="auto"/>
              <w:right w:val="single" w:sz="4" w:space="0" w:color="auto"/>
            </w:tcBorders>
            <w:shd w:val="clear" w:color="auto" w:fill="C6EFCE"/>
            <w:noWrap/>
            <w:vAlign w:val="center"/>
          </w:tcPr>
          <w:p w14:paraId="385979FD" w14:textId="77777777" w:rsidR="00154E32" w:rsidRDefault="00A43E04">
            <w:pPr>
              <w:pStyle w:val="P68B1DB1-Normal12"/>
              <w:jc w:val="center"/>
              <w:rPr>
                <w:noProof/>
              </w:rPr>
            </w:pPr>
            <w:r>
              <w:rPr>
                <w:noProof/>
              </w:rPr>
              <w:t>Tarča</w:t>
            </w:r>
          </w:p>
        </w:tc>
        <w:tc>
          <w:tcPr>
            <w:tcW w:w="4166" w:type="dxa"/>
            <w:tcBorders>
              <w:top w:val="single" w:sz="4" w:space="0" w:color="auto"/>
              <w:left w:val="nil"/>
              <w:bottom w:val="single" w:sz="4" w:space="0" w:color="auto"/>
              <w:right w:val="single" w:sz="4" w:space="0" w:color="auto"/>
            </w:tcBorders>
            <w:shd w:val="clear" w:color="auto" w:fill="C6EFCE"/>
            <w:noWrap/>
            <w:vAlign w:val="center"/>
          </w:tcPr>
          <w:p w14:paraId="5BA9A3B1" w14:textId="77777777" w:rsidR="00154E32" w:rsidRDefault="00A43E04">
            <w:pPr>
              <w:pStyle w:val="P68B1DB1-Normal12"/>
              <w:jc w:val="center"/>
              <w:rPr>
                <w:noProof/>
              </w:rPr>
            </w:pPr>
            <w:r>
              <w:rPr>
                <w:noProof/>
              </w:rPr>
              <w:t>Omogočanje oblaka za lokalno javno upravo T1</w:t>
            </w:r>
          </w:p>
        </w:tc>
      </w:tr>
      <w:tr w:rsidR="00154E32" w14:paraId="677B27A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7722059" w14:textId="77777777" w:rsidR="00154E32" w:rsidRDefault="00A43E04">
            <w:pPr>
              <w:pStyle w:val="P68B1DB1-Normal12"/>
              <w:jc w:val="center"/>
              <w:rPr>
                <w:noProof/>
              </w:rPr>
            </w:pPr>
            <w:r>
              <w:rPr>
                <w:noProof/>
              </w:rPr>
              <w:t>M2C2–25</w:t>
            </w:r>
          </w:p>
        </w:tc>
        <w:tc>
          <w:tcPr>
            <w:tcW w:w="3195" w:type="dxa"/>
            <w:tcBorders>
              <w:top w:val="nil"/>
              <w:left w:val="nil"/>
              <w:bottom w:val="single" w:sz="4" w:space="0" w:color="auto"/>
              <w:right w:val="single" w:sz="4" w:space="0" w:color="auto"/>
            </w:tcBorders>
            <w:shd w:val="clear" w:color="auto" w:fill="C6EFCE"/>
            <w:noWrap/>
            <w:vAlign w:val="center"/>
          </w:tcPr>
          <w:p w14:paraId="604FCE5F" w14:textId="77777777" w:rsidR="00154E32" w:rsidRDefault="00A43E04">
            <w:pPr>
              <w:pStyle w:val="P68B1DB1-Normal12"/>
              <w:jc w:val="center"/>
              <w:rPr>
                <w:noProof/>
              </w:rPr>
            </w:pPr>
            <w:r>
              <w:rPr>
                <w:noProof/>
              </w:rPr>
              <w:t>Naložba 4.2 Razvoj sistemov hitrega množičnega prevoza (metro, ulična motorna vozila, BRT)</w:t>
            </w:r>
          </w:p>
        </w:tc>
        <w:tc>
          <w:tcPr>
            <w:tcW w:w="1378" w:type="dxa"/>
            <w:tcBorders>
              <w:top w:val="nil"/>
              <w:left w:val="nil"/>
              <w:bottom w:val="single" w:sz="4" w:space="0" w:color="auto"/>
              <w:right w:val="single" w:sz="4" w:space="0" w:color="auto"/>
            </w:tcBorders>
            <w:shd w:val="clear" w:color="auto" w:fill="C6EFCE"/>
            <w:noWrap/>
            <w:vAlign w:val="center"/>
          </w:tcPr>
          <w:p w14:paraId="70ACFCC2" w14:textId="77777777" w:rsidR="00154E32" w:rsidRDefault="00A43E04">
            <w:pPr>
              <w:pStyle w:val="P68B1DB1-Normal12"/>
              <w:jc w:val="center"/>
              <w:rPr>
                <w:noProof/>
              </w:rPr>
            </w:pPr>
            <w:r>
              <w:rPr>
                <w:noProof/>
              </w:rPr>
              <w:t>Mejnik</w:t>
            </w:r>
          </w:p>
        </w:tc>
        <w:tc>
          <w:tcPr>
            <w:tcW w:w="4166" w:type="dxa"/>
            <w:tcBorders>
              <w:top w:val="nil"/>
              <w:left w:val="nil"/>
              <w:bottom w:val="single" w:sz="4" w:space="0" w:color="auto"/>
              <w:right w:val="single" w:sz="4" w:space="0" w:color="auto"/>
            </w:tcBorders>
            <w:shd w:val="clear" w:color="auto" w:fill="C6EFCE"/>
            <w:noWrap/>
            <w:vAlign w:val="center"/>
          </w:tcPr>
          <w:p w14:paraId="37698E0C" w14:textId="77777777" w:rsidR="00154E32" w:rsidRDefault="00A43E04">
            <w:pPr>
              <w:pStyle w:val="P68B1DB1-Normal26"/>
              <w:jc w:val="center"/>
              <w:rPr>
                <w:noProof/>
                <w:color w:val="006100"/>
              </w:rPr>
            </w:pPr>
            <w:r>
              <w:rPr>
                <w:noProof/>
                <w:color w:val="006100"/>
              </w:rPr>
              <w:t>Oddaja</w:t>
            </w:r>
            <w:r>
              <w:rPr>
                <w:noProof/>
                <w:color w:val="000000" w:themeColor="text1"/>
              </w:rPr>
              <w:t xml:space="preserve"> </w:t>
            </w:r>
            <w:r>
              <w:rPr>
                <w:noProof/>
                <w:color w:val="006100"/>
              </w:rPr>
              <w:t>vseh javnih naročil za nakup brezemisijskih tirnih vozil in posegi za nadgradnjo infrastrukture hitrih sistemov masovnega prometa</w:t>
            </w:r>
          </w:p>
        </w:tc>
      </w:tr>
      <w:tr w:rsidR="00154E32" w14:paraId="7927D19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AADA5A2" w14:textId="77777777" w:rsidR="00154E32" w:rsidRDefault="00A43E04">
            <w:pPr>
              <w:pStyle w:val="P68B1DB1-Normal12"/>
              <w:jc w:val="center"/>
              <w:rPr>
                <w:noProof/>
              </w:rPr>
            </w:pPr>
            <w:r>
              <w:rPr>
                <w:noProof/>
              </w:rPr>
              <w:t>M2C4–11</w:t>
            </w:r>
          </w:p>
        </w:tc>
        <w:tc>
          <w:tcPr>
            <w:tcW w:w="3195" w:type="dxa"/>
            <w:tcBorders>
              <w:top w:val="nil"/>
              <w:left w:val="nil"/>
              <w:bottom w:val="single" w:sz="4" w:space="0" w:color="auto"/>
              <w:right w:val="single" w:sz="4" w:space="0" w:color="auto"/>
            </w:tcBorders>
            <w:shd w:val="clear" w:color="auto" w:fill="C6EFCE"/>
            <w:noWrap/>
            <w:vAlign w:val="center"/>
          </w:tcPr>
          <w:p w14:paraId="72B821DF" w14:textId="77777777" w:rsidR="00154E32" w:rsidRDefault="00A43E04">
            <w:pPr>
              <w:pStyle w:val="P68B1DB1-Normal12"/>
              <w:jc w:val="center"/>
              <w:rPr>
                <w:noProof/>
              </w:rPr>
            </w:pPr>
            <w:r>
              <w:rPr>
                <w:noProof/>
              </w:rPr>
              <w:t>Naložba 2.1.a Ukrepi za zmanjšanje tveganja poplav in hidrogeološkega tveganja – intervencije v Emiliji-Romanja, Toskani in Marke</w:t>
            </w:r>
          </w:p>
        </w:tc>
        <w:tc>
          <w:tcPr>
            <w:tcW w:w="1378" w:type="dxa"/>
            <w:tcBorders>
              <w:top w:val="nil"/>
              <w:left w:val="nil"/>
              <w:bottom w:val="single" w:sz="4" w:space="0" w:color="auto"/>
              <w:right w:val="single" w:sz="4" w:space="0" w:color="auto"/>
            </w:tcBorders>
            <w:shd w:val="clear" w:color="auto" w:fill="C6EFCE"/>
            <w:noWrap/>
            <w:vAlign w:val="center"/>
          </w:tcPr>
          <w:p w14:paraId="1CF8691E" w14:textId="77777777" w:rsidR="00154E32" w:rsidRDefault="00A43E04">
            <w:pPr>
              <w:pStyle w:val="P68B1DB1-Normal12"/>
              <w:jc w:val="center"/>
              <w:rPr>
                <w:noProof/>
              </w:rPr>
            </w:pPr>
            <w:r>
              <w:rPr>
                <w:noProof/>
              </w:rPr>
              <w:t>Mejnik</w:t>
            </w:r>
          </w:p>
        </w:tc>
        <w:tc>
          <w:tcPr>
            <w:tcW w:w="4166" w:type="dxa"/>
            <w:tcBorders>
              <w:top w:val="nil"/>
              <w:left w:val="nil"/>
              <w:bottom w:val="single" w:sz="4" w:space="0" w:color="auto"/>
              <w:right w:val="single" w:sz="4" w:space="0" w:color="auto"/>
            </w:tcBorders>
            <w:shd w:val="clear" w:color="auto" w:fill="C6EFCE"/>
            <w:noWrap/>
            <w:vAlign w:val="center"/>
          </w:tcPr>
          <w:p w14:paraId="00E5562E" w14:textId="77777777" w:rsidR="00154E32" w:rsidRDefault="00A43E04">
            <w:pPr>
              <w:pStyle w:val="P68B1DB1-Normal12"/>
              <w:jc w:val="center"/>
              <w:rPr>
                <w:noProof/>
              </w:rPr>
            </w:pPr>
            <w:r>
              <w:rPr>
                <w:noProof/>
              </w:rPr>
              <w:t>Opredelitev intervencij s sklepom(-i) komisarja za izredne razmere</w:t>
            </w:r>
          </w:p>
        </w:tc>
      </w:tr>
      <w:tr w:rsidR="00154E32" w14:paraId="4BFF1D9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7A16901" w14:textId="77777777" w:rsidR="00154E32" w:rsidRDefault="00A43E04">
            <w:pPr>
              <w:pStyle w:val="P68B1DB1-Normal12"/>
              <w:jc w:val="center"/>
              <w:rPr>
                <w:noProof/>
              </w:rPr>
            </w:pPr>
            <w:r>
              <w:rPr>
                <w:noProof/>
              </w:rPr>
              <w:t>M7–46</w:t>
            </w:r>
          </w:p>
        </w:tc>
        <w:tc>
          <w:tcPr>
            <w:tcW w:w="3195" w:type="dxa"/>
            <w:tcBorders>
              <w:top w:val="nil"/>
              <w:left w:val="nil"/>
              <w:bottom w:val="single" w:sz="4" w:space="0" w:color="auto"/>
              <w:right w:val="single" w:sz="4" w:space="0" w:color="auto"/>
            </w:tcBorders>
            <w:shd w:val="clear" w:color="auto" w:fill="C6EFCE"/>
            <w:noWrap/>
            <w:vAlign w:val="center"/>
          </w:tcPr>
          <w:p w14:paraId="5645F8D8" w14:textId="77777777" w:rsidR="00154E32" w:rsidRDefault="00A43E04">
            <w:pPr>
              <w:pStyle w:val="P68B1DB1-Normal12"/>
              <w:jc w:val="center"/>
              <w:rPr>
                <w:noProof/>
              </w:rPr>
            </w:pPr>
            <w:r>
              <w:rPr>
                <w:noProof/>
              </w:rPr>
              <w:t>Naložba 17: Finančni instrument za energetsko prenovo javnih in socialnih stanovanj</w:t>
            </w:r>
          </w:p>
        </w:tc>
        <w:tc>
          <w:tcPr>
            <w:tcW w:w="1378" w:type="dxa"/>
            <w:tcBorders>
              <w:top w:val="nil"/>
              <w:left w:val="nil"/>
              <w:bottom w:val="single" w:sz="4" w:space="0" w:color="auto"/>
              <w:right w:val="single" w:sz="4" w:space="0" w:color="auto"/>
            </w:tcBorders>
            <w:shd w:val="clear" w:color="auto" w:fill="C6EFCE"/>
            <w:noWrap/>
            <w:vAlign w:val="center"/>
          </w:tcPr>
          <w:p w14:paraId="55685A1F" w14:textId="77777777" w:rsidR="00154E32" w:rsidRDefault="00A43E04">
            <w:pPr>
              <w:pStyle w:val="P68B1DB1-Normal12"/>
              <w:jc w:val="center"/>
              <w:rPr>
                <w:noProof/>
              </w:rPr>
            </w:pPr>
            <w:r>
              <w:rPr>
                <w:noProof/>
              </w:rPr>
              <w:t>Mejnik</w:t>
            </w:r>
          </w:p>
        </w:tc>
        <w:tc>
          <w:tcPr>
            <w:tcW w:w="4166" w:type="dxa"/>
            <w:tcBorders>
              <w:top w:val="nil"/>
              <w:left w:val="nil"/>
              <w:bottom w:val="single" w:sz="4" w:space="0" w:color="auto"/>
              <w:right w:val="single" w:sz="4" w:space="0" w:color="auto"/>
            </w:tcBorders>
            <w:shd w:val="clear" w:color="auto" w:fill="C6EFCE"/>
            <w:noWrap/>
            <w:vAlign w:val="center"/>
          </w:tcPr>
          <w:p w14:paraId="1F56476F" w14:textId="77777777" w:rsidR="00154E32" w:rsidRDefault="00A43E04">
            <w:pPr>
              <w:pStyle w:val="P68B1DB1-Normal12"/>
              <w:jc w:val="center"/>
              <w:rPr>
                <w:noProof/>
              </w:rPr>
            </w:pPr>
            <w:r>
              <w:rPr>
                <w:noProof/>
              </w:rPr>
              <w:t>Opredelitev cilja nalog in nalog</w:t>
            </w:r>
          </w:p>
        </w:tc>
      </w:tr>
      <w:tr w:rsidR="00154E32" w14:paraId="43CCA1D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51E8FB5" w14:textId="77777777" w:rsidR="00154E32" w:rsidRDefault="00A43E04">
            <w:pPr>
              <w:pStyle w:val="P68B1DB1-Normal12"/>
              <w:jc w:val="center"/>
              <w:rPr>
                <w:noProof/>
              </w:rPr>
            </w:pPr>
            <w:r>
              <w:rPr>
                <w:noProof/>
              </w:rPr>
              <w:t>M1C1–140</w:t>
            </w:r>
          </w:p>
        </w:tc>
        <w:tc>
          <w:tcPr>
            <w:tcW w:w="3195" w:type="dxa"/>
            <w:tcBorders>
              <w:top w:val="nil"/>
              <w:left w:val="nil"/>
              <w:bottom w:val="single" w:sz="4" w:space="0" w:color="auto"/>
              <w:right w:val="single" w:sz="4" w:space="0" w:color="auto"/>
            </w:tcBorders>
            <w:shd w:val="clear" w:color="auto" w:fill="C6EFCE"/>
            <w:noWrap/>
            <w:vAlign w:val="center"/>
          </w:tcPr>
          <w:p w14:paraId="507BDD88" w14:textId="77777777" w:rsidR="00154E32" w:rsidRDefault="00A43E04">
            <w:pPr>
              <w:pStyle w:val="P68B1DB1-Normal12"/>
              <w:jc w:val="center"/>
              <w:rPr>
                <w:noProof/>
              </w:rPr>
            </w:pPr>
            <w:r>
              <w:rPr>
                <w:noProof/>
              </w:rPr>
              <w:t>Naložba 1.4.1 – Izkušnje državljanov – Izboljšanje kakovosti in uporabnosti digitalnih javnih storitev</w:t>
            </w:r>
          </w:p>
        </w:tc>
        <w:tc>
          <w:tcPr>
            <w:tcW w:w="1378" w:type="dxa"/>
            <w:tcBorders>
              <w:top w:val="nil"/>
              <w:left w:val="nil"/>
              <w:bottom w:val="single" w:sz="4" w:space="0" w:color="auto"/>
              <w:right w:val="single" w:sz="4" w:space="0" w:color="auto"/>
            </w:tcBorders>
            <w:shd w:val="clear" w:color="auto" w:fill="C6EFCE"/>
            <w:noWrap/>
            <w:vAlign w:val="center"/>
          </w:tcPr>
          <w:p w14:paraId="3AEE8EE3" w14:textId="77777777" w:rsidR="00154E32" w:rsidRDefault="00A43E04">
            <w:pPr>
              <w:pStyle w:val="P68B1DB1-Normal12"/>
              <w:jc w:val="center"/>
              <w:rPr>
                <w:noProof/>
              </w:rPr>
            </w:pPr>
            <w:r>
              <w:rPr>
                <w:noProof/>
              </w:rPr>
              <w:t>Tarča</w:t>
            </w:r>
          </w:p>
        </w:tc>
        <w:tc>
          <w:tcPr>
            <w:tcW w:w="4166" w:type="dxa"/>
            <w:tcBorders>
              <w:top w:val="nil"/>
              <w:left w:val="nil"/>
              <w:bottom w:val="single" w:sz="4" w:space="0" w:color="auto"/>
              <w:right w:val="single" w:sz="4" w:space="0" w:color="auto"/>
            </w:tcBorders>
            <w:shd w:val="clear" w:color="auto" w:fill="C6EFCE"/>
            <w:noWrap/>
            <w:vAlign w:val="center"/>
          </w:tcPr>
          <w:p w14:paraId="6CEC6431" w14:textId="77777777" w:rsidR="00154E32" w:rsidRDefault="00A43E04">
            <w:pPr>
              <w:pStyle w:val="P68B1DB1-Normal12"/>
              <w:jc w:val="center"/>
              <w:rPr>
                <w:noProof/>
              </w:rPr>
            </w:pPr>
            <w:r>
              <w:rPr>
                <w:noProof/>
              </w:rPr>
              <w:t>Izboljšanje kakovosti in uporabnosti digitalnih javnih storitev T1</w:t>
            </w:r>
          </w:p>
        </w:tc>
      </w:tr>
      <w:tr w:rsidR="00154E32" w14:paraId="2A2619E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C6885B3" w14:textId="77777777" w:rsidR="00154E32" w:rsidRDefault="00A43E04">
            <w:pPr>
              <w:pStyle w:val="P68B1DB1-Normal12"/>
              <w:jc w:val="center"/>
              <w:rPr>
                <w:noProof/>
              </w:rPr>
            </w:pPr>
            <w:r>
              <w:rPr>
                <w:noProof/>
              </w:rPr>
              <w:t>M1C1–141</w:t>
            </w:r>
          </w:p>
        </w:tc>
        <w:tc>
          <w:tcPr>
            <w:tcW w:w="3195" w:type="dxa"/>
            <w:tcBorders>
              <w:top w:val="nil"/>
              <w:left w:val="nil"/>
              <w:bottom w:val="single" w:sz="4" w:space="0" w:color="auto"/>
              <w:right w:val="single" w:sz="4" w:space="0" w:color="auto"/>
            </w:tcBorders>
            <w:shd w:val="clear" w:color="auto" w:fill="C6EFCE"/>
            <w:noWrap/>
            <w:vAlign w:val="center"/>
          </w:tcPr>
          <w:p w14:paraId="70DDF566" w14:textId="77777777" w:rsidR="00154E32" w:rsidRDefault="00A43E04">
            <w:pPr>
              <w:pStyle w:val="P68B1DB1-Normal12"/>
              <w:jc w:val="center"/>
              <w:rPr>
                <w:noProof/>
              </w:rPr>
            </w:pPr>
            <w:r>
              <w:rPr>
                <w:noProof/>
              </w:rPr>
              <w:t>Naložba 1.6.4 – Digitalizacija ministrstva za obrambo</w:t>
            </w:r>
          </w:p>
        </w:tc>
        <w:tc>
          <w:tcPr>
            <w:tcW w:w="1378" w:type="dxa"/>
            <w:tcBorders>
              <w:top w:val="nil"/>
              <w:left w:val="nil"/>
              <w:bottom w:val="single" w:sz="4" w:space="0" w:color="auto"/>
              <w:right w:val="single" w:sz="4" w:space="0" w:color="auto"/>
            </w:tcBorders>
            <w:shd w:val="clear" w:color="auto" w:fill="C6EFCE"/>
            <w:noWrap/>
            <w:vAlign w:val="center"/>
          </w:tcPr>
          <w:p w14:paraId="0E1C2DF0" w14:textId="77777777" w:rsidR="00154E32" w:rsidRDefault="00A43E04">
            <w:pPr>
              <w:pStyle w:val="P68B1DB1-Normal12"/>
              <w:jc w:val="center"/>
              <w:rPr>
                <w:noProof/>
              </w:rPr>
            </w:pPr>
            <w:r>
              <w:rPr>
                <w:noProof/>
              </w:rPr>
              <w:t>Tarča</w:t>
            </w:r>
          </w:p>
        </w:tc>
        <w:tc>
          <w:tcPr>
            <w:tcW w:w="4166" w:type="dxa"/>
            <w:tcBorders>
              <w:top w:val="nil"/>
              <w:left w:val="nil"/>
              <w:bottom w:val="single" w:sz="4" w:space="0" w:color="auto"/>
              <w:right w:val="single" w:sz="4" w:space="0" w:color="auto"/>
            </w:tcBorders>
            <w:shd w:val="clear" w:color="auto" w:fill="C6EFCE"/>
            <w:noWrap/>
            <w:vAlign w:val="center"/>
          </w:tcPr>
          <w:p w14:paraId="6A1B089B" w14:textId="77777777" w:rsidR="00154E32" w:rsidRDefault="00A43E04">
            <w:pPr>
              <w:pStyle w:val="P68B1DB1-Normal12"/>
              <w:jc w:val="center"/>
              <w:rPr>
                <w:noProof/>
              </w:rPr>
            </w:pPr>
            <w:r>
              <w:rPr>
                <w:noProof/>
              </w:rPr>
              <w:t>Digitalizacija postopkov ministrstva za obrambo T2</w:t>
            </w:r>
          </w:p>
        </w:tc>
      </w:tr>
      <w:tr w:rsidR="00154E32" w14:paraId="161C0E0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2BC3C23" w14:textId="77777777" w:rsidR="00154E32" w:rsidRDefault="00A43E04">
            <w:pPr>
              <w:pStyle w:val="P68B1DB1-Normal12"/>
              <w:jc w:val="center"/>
              <w:rPr>
                <w:noProof/>
              </w:rPr>
            </w:pPr>
            <w:r>
              <w:rPr>
                <w:noProof/>
              </w:rPr>
              <w:t>M1C1–142</w:t>
            </w:r>
          </w:p>
        </w:tc>
        <w:tc>
          <w:tcPr>
            <w:tcW w:w="3195" w:type="dxa"/>
            <w:tcBorders>
              <w:top w:val="nil"/>
              <w:left w:val="nil"/>
              <w:bottom w:val="single" w:sz="4" w:space="0" w:color="auto"/>
              <w:right w:val="single" w:sz="4" w:space="0" w:color="auto"/>
            </w:tcBorders>
            <w:shd w:val="clear" w:color="auto" w:fill="C6EFCE"/>
            <w:noWrap/>
            <w:vAlign w:val="center"/>
          </w:tcPr>
          <w:p w14:paraId="5A5BCB4D" w14:textId="77777777" w:rsidR="00154E32" w:rsidRDefault="00A43E04">
            <w:pPr>
              <w:pStyle w:val="P68B1DB1-Normal12"/>
              <w:jc w:val="center"/>
              <w:rPr>
                <w:noProof/>
              </w:rPr>
            </w:pPr>
            <w:r>
              <w:rPr>
                <w:noProof/>
              </w:rPr>
              <w:t>Naložba 1.6.4 – Digitalizacija ministrstva za obrambo</w:t>
            </w:r>
          </w:p>
        </w:tc>
        <w:tc>
          <w:tcPr>
            <w:tcW w:w="1378" w:type="dxa"/>
            <w:tcBorders>
              <w:top w:val="nil"/>
              <w:left w:val="nil"/>
              <w:bottom w:val="single" w:sz="4" w:space="0" w:color="auto"/>
              <w:right w:val="single" w:sz="4" w:space="0" w:color="auto"/>
            </w:tcBorders>
            <w:shd w:val="clear" w:color="auto" w:fill="C6EFCE"/>
            <w:noWrap/>
            <w:vAlign w:val="center"/>
          </w:tcPr>
          <w:p w14:paraId="0E9338D8" w14:textId="77777777" w:rsidR="00154E32" w:rsidRDefault="00A43E04">
            <w:pPr>
              <w:pStyle w:val="P68B1DB1-Normal12"/>
              <w:jc w:val="center"/>
              <w:rPr>
                <w:noProof/>
              </w:rPr>
            </w:pPr>
            <w:r>
              <w:rPr>
                <w:noProof/>
              </w:rPr>
              <w:t>Tarča</w:t>
            </w:r>
          </w:p>
        </w:tc>
        <w:tc>
          <w:tcPr>
            <w:tcW w:w="4166" w:type="dxa"/>
            <w:tcBorders>
              <w:top w:val="nil"/>
              <w:left w:val="nil"/>
              <w:bottom w:val="single" w:sz="4" w:space="0" w:color="auto"/>
              <w:right w:val="single" w:sz="4" w:space="0" w:color="auto"/>
            </w:tcBorders>
            <w:shd w:val="clear" w:color="auto" w:fill="C6EFCE"/>
            <w:noWrap/>
            <w:vAlign w:val="center"/>
          </w:tcPr>
          <w:p w14:paraId="40F87136" w14:textId="77777777" w:rsidR="00154E32" w:rsidRDefault="00A43E04">
            <w:pPr>
              <w:pStyle w:val="P68B1DB1-Normal12"/>
              <w:jc w:val="center"/>
              <w:rPr>
                <w:noProof/>
              </w:rPr>
            </w:pPr>
            <w:r>
              <w:rPr>
                <w:noProof/>
              </w:rPr>
              <w:t>Digitalizacija potrdil ministrstva za obrambo T2</w:t>
            </w:r>
          </w:p>
        </w:tc>
      </w:tr>
      <w:tr w:rsidR="00154E32" w14:paraId="5FC0CFD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D538547" w14:textId="77777777" w:rsidR="00154E32" w:rsidRDefault="00A43E04">
            <w:pPr>
              <w:pStyle w:val="P68B1DB1-Normal12"/>
              <w:jc w:val="center"/>
              <w:rPr>
                <w:noProof/>
              </w:rPr>
            </w:pPr>
            <w:r>
              <w:rPr>
                <w:noProof/>
              </w:rPr>
              <w:t>M1C1–143</w:t>
            </w:r>
          </w:p>
        </w:tc>
        <w:tc>
          <w:tcPr>
            <w:tcW w:w="3195" w:type="dxa"/>
            <w:tcBorders>
              <w:top w:val="nil"/>
              <w:left w:val="nil"/>
              <w:bottom w:val="single" w:sz="4" w:space="0" w:color="auto"/>
              <w:right w:val="single" w:sz="4" w:space="0" w:color="auto"/>
            </w:tcBorders>
            <w:shd w:val="clear" w:color="auto" w:fill="C6EFCE"/>
            <w:noWrap/>
            <w:vAlign w:val="center"/>
          </w:tcPr>
          <w:p w14:paraId="182CC0FF" w14:textId="77777777" w:rsidR="00154E32" w:rsidRDefault="00A43E04">
            <w:pPr>
              <w:pStyle w:val="P68B1DB1-Normal12"/>
              <w:jc w:val="center"/>
              <w:rPr>
                <w:noProof/>
              </w:rPr>
            </w:pPr>
            <w:r>
              <w:rPr>
                <w:noProof/>
              </w:rPr>
              <w:t>Naložba 1.6.4 – Digitalizacija ministrstva za obrambo</w:t>
            </w:r>
          </w:p>
        </w:tc>
        <w:tc>
          <w:tcPr>
            <w:tcW w:w="1378" w:type="dxa"/>
            <w:tcBorders>
              <w:top w:val="nil"/>
              <w:left w:val="nil"/>
              <w:bottom w:val="single" w:sz="4" w:space="0" w:color="auto"/>
              <w:right w:val="single" w:sz="4" w:space="0" w:color="auto"/>
            </w:tcBorders>
            <w:shd w:val="clear" w:color="auto" w:fill="C6EFCE"/>
            <w:noWrap/>
            <w:vAlign w:val="center"/>
          </w:tcPr>
          <w:p w14:paraId="07F4C611" w14:textId="77777777" w:rsidR="00154E32" w:rsidRDefault="00A43E04">
            <w:pPr>
              <w:pStyle w:val="P68B1DB1-Normal12"/>
              <w:jc w:val="center"/>
              <w:rPr>
                <w:noProof/>
              </w:rPr>
            </w:pPr>
            <w:r>
              <w:rPr>
                <w:noProof/>
              </w:rPr>
              <w:t>Tarča</w:t>
            </w:r>
          </w:p>
        </w:tc>
        <w:tc>
          <w:tcPr>
            <w:tcW w:w="4166" w:type="dxa"/>
            <w:tcBorders>
              <w:top w:val="nil"/>
              <w:left w:val="nil"/>
              <w:bottom w:val="single" w:sz="4" w:space="0" w:color="auto"/>
              <w:right w:val="single" w:sz="4" w:space="0" w:color="auto"/>
            </w:tcBorders>
            <w:shd w:val="clear" w:color="auto" w:fill="C6EFCE"/>
            <w:noWrap/>
            <w:vAlign w:val="center"/>
          </w:tcPr>
          <w:p w14:paraId="545F1BF8" w14:textId="77777777" w:rsidR="00154E32" w:rsidRDefault="00A43E04">
            <w:pPr>
              <w:pStyle w:val="P68B1DB1-Normal12"/>
              <w:jc w:val="center"/>
              <w:rPr>
                <w:noProof/>
              </w:rPr>
            </w:pPr>
            <w:r>
              <w:rPr>
                <w:noProof/>
              </w:rPr>
              <w:t>Ministrstvo za obrambo – Migracija nemisijskih kritičnih aplikacij v rešitev za popolno zaščito informacij z odprtostjo infrastrukture (S.C.I.P.I.O.) T2</w:t>
            </w:r>
          </w:p>
        </w:tc>
      </w:tr>
      <w:tr w:rsidR="00154E32" w14:paraId="164A816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2F311CD" w14:textId="77777777" w:rsidR="00154E32" w:rsidRDefault="00A43E04">
            <w:pPr>
              <w:pStyle w:val="P68B1DB1-Normal12"/>
              <w:jc w:val="center"/>
              <w:rPr>
                <w:noProof/>
              </w:rPr>
            </w:pPr>
            <w:r>
              <w:rPr>
                <w:noProof/>
              </w:rPr>
              <w:t>M1C2–19</w:t>
            </w:r>
          </w:p>
        </w:tc>
        <w:tc>
          <w:tcPr>
            <w:tcW w:w="3195" w:type="dxa"/>
            <w:tcBorders>
              <w:top w:val="nil"/>
              <w:left w:val="nil"/>
              <w:bottom w:val="single" w:sz="4" w:space="0" w:color="auto"/>
              <w:right w:val="single" w:sz="4" w:space="0" w:color="auto"/>
            </w:tcBorders>
            <w:shd w:val="clear" w:color="auto" w:fill="C6EFCE"/>
            <w:noWrap/>
            <w:vAlign w:val="center"/>
          </w:tcPr>
          <w:p w14:paraId="41FEA802" w14:textId="77777777" w:rsidR="00154E32" w:rsidRDefault="00A43E04">
            <w:pPr>
              <w:pStyle w:val="P68B1DB1-Normal12"/>
              <w:jc w:val="center"/>
              <w:rPr>
                <w:noProof/>
              </w:rPr>
            </w:pPr>
            <w:r>
              <w:rPr>
                <w:noProof/>
              </w:rPr>
              <w:t>Naložba 3: Hitre internetne povezave (Ultra-širokopasovne povezave in 5G)</w:t>
            </w:r>
          </w:p>
        </w:tc>
        <w:tc>
          <w:tcPr>
            <w:tcW w:w="1378" w:type="dxa"/>
            <w:tcBorders>
              <w:top w:val="nil"/>
              <w:left w:val="nil"/>
              <w:bottom w:val="single" w:sz="4" w:space="0" w:color="auto"/>
              <w:right w:val="single" w:sz="4" w:space="0" w:color="auto"/>
            </w:tcBorders>
            <w:shd w:val="clear" w:color="auto" w:fill="C6EFCE"/>
            <w:noWrap/>
            <w:vAlign w:val="center"/>
          </w:tcPr>
          <w:p w14:paraId="618039F5" w14:textId="77777777" w:rsidR="00154E32" w:rsidRDefault="00A43E04">
            <w:pPr>
              <w:pStyle w:val="P68B1DB1-Normal12"/>
              <w:jc w:val="center"/>
              <w:rPr>
                <w:noProof/>
              </w:rPr>
            </w:pPr>
            <w:r>
              <w:rPr>
                <w:noProof/>
              </w:rPr>
              <w:t>Tarča</w:t>
            </w:r>
          </w:p>
        </w:tc>
        <w:tc>
          <w:tcPr>
            <w:tcW w:w="4166" w:type="dxa"/>
            <w:tcBorders>
              <w:top w:val="nil"/>
              <w:left w:val="nil"/>
              <w:bottom w:val="single" w:sz="4" w:space="0" w:color="auto"/>
              <w:right w:val="single" w:sz="4" w:space="0" w:color="auto"/>
            </w:tcBorders>
            <w:shd w:val="clear" w:color="auto" w:fill="C6EFCE"/>
            <w:noWrap/>
            <w:vAlign w:val="center"/>
          </w:tcPr>
          <w:p w14:paraId="0F3C45B2" w14:textId="77777777" w:rsidR="00154E32" w:rsidRDefault="00A43E04">
            <w:pPr>
              <w:pStyle w:val="P68B1DB1-Normal12"/>
              <w:jc w:val="center"/>
              <w:rPr>
                <w:noProof/>
              </w:rPr>
            </w:pPr>
            <w:r>
              <w:rPr>
                <w:noProof/>
              </w:rPr>
              <w:t>Otoki z ultraširokopasovno povezljivostjo</w:t>
            </w:r>
          </w:p>
        </w:tc>
      </w:tr>
      <w:tr w:rsidR="00154E32" w14:paraId="1483DA0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35307B0" w14:textId="77777777" w:rsidR="00154E32" w:rsidRDefault="00A43E04">
            <w:pPr>
              <w:pStyle w:val="P68B1DB1-Normal12"/>
              <w:jc w:val="center"/>
              <w:rPr>
                <w:noProof/>
              </w:rPr>
            </w:pPr>
            <w:r>
              <w:rPr>
                <w:noProof/>
              </w:rPr>
              <w:t>M1C2–30</w:t>
            </w:r>
          </w:p>
        </w:tc>
        <w:tc>
          <w:tcPr>
            <w:tcW w:w="3195" w:type="dxa"/>
            <w:tcBorders>
              <w:top w:val="nil"/>
              <w:left w:val="nil"/>
              <w:bottom w:val="single" w:sz="4" w:space="0" w:color="auto"/>
              <w:right w:val="single" w:sz="4" w:space="0" w:color="auto"/>
            </w:tcBorders>
            <w:shd w:val="clear" w:color="auto" w:fill="C6EFCE"/>
            <w:noWrap/>
            <w:vAlign w:val="center"/>
          </w:tcPr>
          <w:p w14:paraId="635AB869" w14:textId="77777777" w:rsidR="00154E32" w:rsidRDefault="00A43E04">
            <w:pPr>
              <w:pStyle w:val="P68B1DB1-Normal12"/>
              <w:jc w:val="center"/>
              <w:rPr>
                <w:noProof/>
              </w:rPr>
            </w:pPr>
            <w:r>
              <w:rPr>
                <w:noProof/>
              </w:rPr>
              <w:t>Naložba 7. Podpora proizvodnemu sistemu za ekološki prehod, neto ničelne tehnologije ter konkurenčnost in odpornost strateških dobavnih verig</w:t>
            </w:r>
          </w:p>
        </w:tc>
        <w:tc>
          <w:tcPr>
            <w:tcW w:w="1378" w:type="dxa"/>
            <w:tcBorders>
              <w:top w:val="nil"/>
              <w:left w:val="nil"/>
              <w:bottom w:val="single" w:sz="4" w:space="0" w:color="auto"/>
              <w:right w:val="single" w:sz="4" w:space="0" w:color="auto"/>
            </w:tcBorders>
            <w:shd w:val="clear" w:color="auto" w:fill="C6EFCE"/>
            <w:noWrap/>
            <w:vAlign w:val="center"/>
          </w:tcPr>
          <w:p w14:paraId="2A618D4E" w14:textId="77777777" w:rsidR="00154E32" w:rsidRDefault="00A43E04">
            <w:pPr>
              <w:pStyle w:val="P68B1DB1-Normal12"/>
              <w:rPr>
                <w:noProof/>
              </w:rPr>
            </w:pPr>
            <w:r>
              <w:rPr>
                <w:noProof/>
              </w:rPr>
              <w:t>Mejnik</w:t>
            </w:r>
          </w:p>
        </w:tc>
        <w:tc>
          <w:tcPr>
            <w:tcW w:w="4166" w:type="dxa"/>
            <w:tcBorders>
              <w:top w:val="nil"/>
              <w:left w:val="nil"/>
              <w:bottom w:val="single" w:sz="4" w:space="0" w:color="auto"/>
              <w:right w:val="single" w:sz="4" w:space="0" w:color="auto"/>
            </w:tcBorders>
            <w:shd w:val="clear" w:color="auto" w:fill="C6EFCE"/>
            <w:noWrap/>
            <w:vAlign w:val="center"/>
          </w:tcPr>
          <w:p w14:paraId="7B76B828" w14:textId="77777777" w:rsidR="00154E32" w:rsidRDefault="00A43E04">
            <w:pPr>
              <w:pStyle w:val="P68B1DB1-Normal12"/>
              <w:rPr>
                <w:noProof/>
              </w:rPr>
            </w:pPr>
            <w:r>
              <w:rPr>
                <w:noProof/>
              </w:rPr>
              <w:t>Izvedbeni sporazum</w:t>
            </w:r>
          </w:p>
        </w:tc>
      </w:tr>
      <w:tr w:rsidR="00154E32" w14:paraId="5518284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150365B" w14:textId="77777777" w:rsidR="00154E32" w:rsidRDefault="00A43E04">
            <w:pPr>
              <w:pStyle w:val="P68B1DB1-Normal12"/>
              <w:jc w:val="center"/>
              <w:rPr>
                <w:noProof/>
              </w:rPr>
            </w:pPr>
            <w:r>
              <w:rPr>
                <w:noProof/>
              </w:rPr>
              <w:t>M1C2–31</w:t>
            </w:r>
          </w:p>
        </w:tc>
        <w:tc>
          <w:tcPr>
            <w:tcW w:w="3195" w:type="dxa"/>
            <w:tcBorders>
              <w:top w:val="nil"/>
              <w:left w:val="nil"/>
              <w:bottom w:val="single" w:sz="4" w:space="0" w:color="auto"/>
              <w:right w:val="single" w:sz="4" w:space="0" w:color="auto"/>
            </w:tcBorders>
            <w:shd w:val="clear" w:color="auto" w:fill="C6EFCE"/>
            <w:noWrap/>
            <w:vAlign w:val="center"/>
          </w:tcPr>
          <w:p w14:paraId="1D42058C" w14:textId="77777777" w:rsidR="00154E32" w:rsidRDefault="00A43E04">
            <w:pPr>
              <w:pStyle w:val="P68B1DB1-Normal12"/>
              <w:jc w:val="center"/>
              <w:rPr>
                <w:noProof/>
              </w:rPr>
            </w:pPr>
            <w:r>
              <w:rPr>
                <w:noProof/>
              </w:rPr>
              <w:t>Naložba 7 Podpora proizvodnemu sistemu za ekološki prehod, neto ničelne tehnologije ter konkurenčnost in odpornost strateških dobavnih verig</w:t>
            </w:r>
          </w:p>
        </w:tc>
        <w:tc>
          <w:tcPr>
            <w:tcW w:w="1378" w:type="dxa"/>
            <w:tcBorders>
              <w:top w:val="nil"/>
              <w:left w:val="nil"/>
              <w:bottom w:val="single" w:sz="4" w:space="0" w:color="auto"/>
              <w:right w:val="single" w:sz="4" w:space="0" w:color="auto"/>
            </w:tcBorders>
            <w:shd w:val="clear" w:color="auto" w:fill="C6EFCE"/>
            <w:noWrap/>
            <w:vAlign w:val="center"/>
          </w:tcPr>
          <w:p w14:paraId="08DB8017" w14:textId="77777777" w:rsidR="00154E32" w:rsidRDefault="00A43E04">
            <w:pPr>
              <w:pStyle w:val="P68B1DB1-Normal12"/>
              <w:rPr>
                <w:noProof/>
              </w:rPr>
            </w:pPr>
            <w:r>
              <w:rPr>
                <w:noProof/>
              </w:rPr>
              <w:t>Mejnik</w:t>
            </w:r>
          </w:p>
        </w:tc>
        <w:tc>
          <w:tcPr>
            <w:tcW w:w="4166" w:type="dxa"/>
            <w:tcBorders>
              <w:top w:val="nil"/>
              <w:left w:val="nil"/>
              <w:bottom w:val="single" w:sz="4" w:space="0" w:color="auto"/>
              <w:right w:val="single" w:sz="4" w:space="0" w:color="auto"/>
            </w:tcBorders>
            <w:shd w:val="clear" w:color="auto" w:fill="C6EFCE"/>
            <w:noWrap/>
            <w:vAlign w:val="center"/>
          </w:tcPr>
          <w:p w14:paraId="67CD969E" w14:textId="77777777" w:rsidR="00154E32" w:rsidRDefault="00A43E04">
            <w:pPr>
              <w:pStyle w:val="P68B1DB1-Normal12"/>
              <w:rPr>
                <w:noProof/>
              </w:rPr>
            </w:pPr>
            <w:r>
              <w:rPr>
                <w:noProof/>
              </w:rPr>
              <w:t>Italijansko ministrstvo za podjetja in Made je zaključilo naložbo</w:t>
            </w:r>
          </w:p>
        </w:tc>
      </w:tr>
      <w:tr w:rsidR="00154E32" w14:paraId="2FD9EAC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ACF0A4F" w14:textId="77777777" w:rsidR="00154E32" w:rsidRDefault="00A43E04">
            <w:pPr>
              <w:pStyle w:val="P68B1DB1-Normal12"/>
              <w:jc w:val="center"/>
              <w:rPr>
                <w:noProof/>
              </w:rPr>
            </w:pPr>
            <w:r>
              <w:rPr>
                <w:noProof/>
              </w:rPr>
              <w:t>M1C3–27</w:t>
            </w:r>
          </w:p>
        </w:tc>
        <w:tc>
          <w:tcPr>
            <w:tcW w:w="3195" w:type="dxa"/>
            <w:tcBorders>
              <w:top w:val="nil"/>
              <w:left w:val="nil"/>
              <w:bottom w:val="single" w:sz="4" w:space="0" w:color="auto"/>
              <w:right w:val="single" w:sz="4" w:space="0" w:color="auto"/>
            </w:tcBorders>
            <w:shd w:val="clear" w:color="auto" w:fill="C6EFCE"/>
            <w:noWrap/>
            <w:vAlign w:val="center"/>
          </w:tcPr>
          <w:p w14:paraId="13CB479A" w14:textId="77777777" w:rsidR="00154E32" w:rsidRDefault="00A43E04">
            <w:pPr>
              <w:pStyle w:val="P68B1DB1-Normal12"/>
              <w:jc w:val="center"/>
              <w:rPr>
                <w:noProof/>
              </w:rPr>
            </w:pPr>
            <w:r>
              <w:rPr>
                <w:noProof/>
              </w:rPr>
              <w:t>Naložbe – 4.3 Caput Mundi-Next Generation EU za velike turistične dogodke</w:t>
            </w:r>
          </w:p>
        </w:tc>
        <w:tc>
          <w:tcPr>
            <w:tcW w:w="1378" w:type="dxa"/>
            <w:tcBorders>
              <w:top w:val="nil"/>
              <w:left w:val="nil"/>
              <w:bottom w:val="single" w:sz="4" w:space="0" w:color="auto"/>
              <w:right w:val="single" w:sz="4" w:space="0" w:color="auto"/>
            </w:tcBorders>
            <w:shd w:val="clear" w:color="auto" w:fill="C6EFCE"/>
            <w:noWrap/>
            <w:vAlign w:val="center"/>
          </w:tcPr>
          <w:p w14:paraId="78869CAF" w14:textId="77777777" w:rsidR="00154E32" w:rsidRDefault="00A43E04">
            <w:pPr>
              <w:pStyle w:val="P68B1DB1-Normal12"/>
              <w:jc w:val="center"/>
              <w:rPr>
                <w:noProof/>
              </w:rPr>
            </w:pPr>
            <w:r>
              <w:rPr>
                <w:noProof/>
              </w:rPr>
              <w:t>Tarča</w:t>
            </w:r>
          </w:p>
        </w:tc>
        <w:tc>
          <w:tcPr>
            <w:tcW w:w="4166" w:type="dxa"/>
            <w:tcBorders>
              <w:top w:val="nil"/>
              <w:left w:val="nil"/>
              <w:bottom w:val="single" w:sz="4" w:space="0" w:color="auto"/>
              <w:right w:val="single" w:sz="4" w:space="0" w:color="auto"/>
            </w:tcBorders>
            <w:shd w:val="clear" w:color="auto" w:fill="C6EFCE"/>
            <w:noWrap/>
            <w:vAlign w:val="center"/>
          </w:tcPr>
          <w:p w14:paraId="5F35D930" w14:textId="77777777" w:rsidR="00154E32" w:rsidRDefault="00A43E04">
            <w:pPr>
              <w:pStyle w:val="P68B1DB1-Normal12"/>
              <w:jc w:val="center"/>
              <w:rPr>
                <w:noProof/>
              </w:rPr>
            </w:pPr>
            <w:r>
              <w:rPr>
                <w:noProof/>
              </w:rPr>
              <w:t xml:space="preserve">Število kulturnih in turističnih območij, katerih prekvalifikacija je v povprečju dosegla 50 % podjetja Stato Avanzamento Lavori (SAL) (prvi sklop) </w:t>
            </w:r>
          </w:p>
        </w:tc>
      </w:tr>
      <w:tr w:rsidR="00154E32" w14:paraId="39F351B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610435C" w14:textId="77777777" w:rsidR="00154E32" w:rsidRDefault="00A43E04">
            <w:pPr>
              <w:pStyle w:val="P68B1DB1-Normal12"/>
              <w:jc w:val="center"/>
              <w:rPr>
                <w:noProof/>
              </w:rPr>
            </w:pPr>
            <w:r>
              <w:rPr>
                <w:noProof/>
              </w:rPr>
              <w:t>M2C1–16a</w:t>
            </w:r>
          </w:p>
        </w:tc>
        <w:tc>
          <w:tcPr>
            <w:tcW w:w="3195" w:type="dxa"/>
            <w:tcBorders>
              <w:top w:val="nil"/>
              <w:left w:val="nil"/>
              <w:bottom w:val="single" w:sz="4" w:space="0" w:color="auto"/>
              <w:right w:val="single" w:sz="4" w:space="0" w:color="auto"/>
            </w:tcBorders>
            <w:shd w:val="clear" w:color="auto" w:fill="C6EFCE"/>
            <w:noWrap/>
            <w:vAlign w:val="center"/>
          </w:tcPr>
          <w:p w14:paraId="48F4F850" w14:textId="77777777" w:rsidR="00154E32" w:rsidRDefault="00A43E04">
            <w:pPr>
              <w:pStyle w:val="P68B1DB1-Normal12"/>
              <w:jc w:val="center"/>
              <w:rPr>
                <w:noProof/>
              </w:rPr>
            </w:pPr>
            <w:r>
              <w:rPr>
                <w:noProof/>
              </w:rPr>
              <w:t>Naložba 1.1 – Izvajanje novih obratov za ravnanje z odpadki in posodobitev obstoječih obratov</w:t>
            </w:r>
          </w:p>
        </w:tc>
        <w:tc>
          <w:tcPr>
            <w:tcW w:w="1378" w:type="dxa"/>
            <w:tcBorders>
              <w:top w:val="nil"/>
              <w:left w:val="nil"/>
              <w:bottom w:val="single" w:sz="4" w:space="0" w:color="auto"/>
              <w:right w:val="single" w:sz="4" w:space="0" w:color="auto"/>
            </w:tcBorders>
            <w:shd w:val="clear" w:color="auto" w:fill="C6EFCE"/>
            <w:noWrap/>
            <w:vAlign w:val="center"/>
          </w:tcPr>
          <w:p w14:paraId="78E6F15F" w14:textId="77777777" w:rsidR="00154E32" w:rsidRDefault="00A43E04">
            <w:pPr>
              <w:pStyle w:val="P68B1DB1-Normal12"/>
              <w:jc w:val="center"/>
              <w:rPr>
                <w:noProof/>
              </w:rPr>
            </w:pPr>
            <w:r>
              <w:rPr>
                <w:noProof/>
              </w:rPr>
              <w:t>Tarča</w:t>
            </w:r>
          </w:p>
        </w:tc>
        <w:tc>
          <w:tcPr>
            <w:tcW w:w="4166" w:type="dxa"/>
            <w:tcBorders>
              <w:top w:val="nil"/>
              <w:left w:val="nil"/>
              <w:bottom w:val="single" w:sz="4" w:space="0" w:color="auto"/>
              <w:right w:val="single" w:sz="4" w:space="0" w:color="auto"/>
            </w:tcBorders>
            <w:shd w:val="clear" w:color="auto" w:fill="C6EFCE"/>
            <w:noWrap/>
            <w:vAlign w:val="center"/>
          </w:tcPr>
          <w:p w14:paraId="4EC6C152" w14:textId="77777777" w:rsidR="00154E32" w:rsidRDefault="00A43E04">
            <w:pPr>
              <w:pStyle w:val="P68B1DB1-Normal12"/>
              <w:jc w:val="center"/>
              <w:rPr>
                <w:noProof/>
              </w:rPr>
            </w:pPr>
            <w:r>
              <w:rPr>
                <w:noProof/>
              </w:rPr>
              <w:t>Neregularna odlagališča</w:t>
            </w:r>
          </w:p>
        </w:tc>
      </w:tr>
      <w:tr w:rsidR="00154E32" w14:paraId="7086AB1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69294AC" w14:textId="77777777" w:rsidR="00154E32" w:rsidRDefault="00A43E04">
            <w:pPr>
              <w:pStyle w:val="P68B1DB1-Normal12"/>
              <w:jc w:val="center"/>
              <w:rPr>
                <w:noProof/>
              </w:rPr>
            </w:pPr>
            <w:r>
              <w:rPr>
                <w:noProof/>
              </w:rPr>
              <w:t>M2C1–16b</w:t>
            </w:r>
          </w:p>
        </w:tc>
        <w:tc>
          <w:tcPr>
            <w:tcW w:w="3195" w:type="dxa"/>
            <w:tcBorders>
              <w:top w:val="nil"/>
              <w:left w:val="nil"/>
              <w:bottom w:val="single" w:sz="4" w:space="0" w:color="auto"/>
              <w:right w:val="single" w:sz="4" w:space="0" w:color="auto"/>
            </w:tcBorders>
            <w:shd w:val="clear" w:color="auto" w:fill="C6EFCE"/>
            <w:noWrap/>
            <w:vAlign w:val="center"/>
          </w:tcPr>
          <w:p w14:paraId="005E775C" w14:textId="77777777" w:rsidR="00154E32" w:rsidRDefault="00A43E04">
            <w:pPr>
              <w:pStyle w:val="P68B1DB1-Normal12"/>
              <w:jc w:val="center"/>
              <w:rPr>
                <w:noProof/>
              </w:rPr>
            </w:pPr>
            <w:r>
              <w:rPr>
                <w:noProof/>
              </w:rPr>
              <w:t>Reforma 1.2 Nacionalni program za naložbe v ravnanje z odpadki 1.1 – Izvajanje novih obratov za ravnanje z odpadki in posodobitev obstoječih obratov</w:t>
            </w:r>
          </w:p>
        </w:tc>
        <w:tc>
          <w:tcPr>
            <w:tcW w:w="1378" w:type="dxa"/>
            <w:tcBorders>
              <w:top w:val="nil"/>
              <w:left w:val="nil"/>
              <w:bottom w:val="single" w:sz="4" w:space="0" w:color="auto"/>
              <w:right w:val="single" w:sz="4" w:space="0" w:color="auto"/>
            </w:tcBorders>
            <w:shd w:val="clear" w:color="auto" w:fill="C6EFCE"/>
            <w:noWrap/>
            <w:vAlign w:val="center"/>
          </w:tcPr>
          <w:p w14:paraId="4315B4FA" w14:textId="77777777" w:rsidR="00154E32" w:rsidRDefault="00A43E04">
            <w:pPr>
              <w:pStyle w:val="P68B1DB1-Normal12"/>
              <w:jc w:val="center"/>
              <w:rPr>
                <w:noProof/>
              </w:rPr>
            </w:pPr>
            <w:r>
              <w:rPr>
                <w:noProof/>
              </w:rPr>
              <w:t>Tarča</w:t>
            </w:r>
          </w:p>
        </w:tc>
        <w:tc>
          <w:tcPr>
            <w:tcW w:w="4166" w:type="dxa"/>
            <w:tcBorders>
              <w:top w:val="nil"/>
              <w:left w:val="nil"/>
              <w:bottom w:val="single" w:sz="4" w:space="0" w:color="auto"/>
              <w:right w:val="single" w:sz="4" w:space="0" w:color="auto"/>
            </w:tcBorders>
            <w:shd w:val="clear" w:color="auto" w:fill="C6EFCE"/>
            <w:noWrap/>
            <w:vAlign w:val="center"/>
          </w:tcPr>
          <w:p w14:paraId="32CCA946" w14:textId="77777777" w:rsidR="00154E32" w:rsidRDefault="00A43E04">
            <w:pPr>
              <w:pStyle w:val="P68B1DB1-Normal12"/>
              <w:jc w:val="center"/>
              <w:rPr>
                <w:noProof/>
              </w:rPr>
            </w:pPr>
            <w:r>
              <w:rPr>
                <w:noProof/>
              </w:rPr>
              <w:t>Regionalne razlike v stopnjah ločenega zbiranja</w:t>
            </w:r>
          </w:p>
        </w:tc>
      </w:tr>
      <w:tr w:rsidR="00154E32" w14:paraId="2659CD6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95F325A" w14:textId="77777777" w:rsidR="00154E32" w:rsidRDefault="00A43E04">
            <w:pPr>
              <w:pStyle w:val="P68B1DB1-Normal12"/>
              <w:jc w:val="center"/>
              <w:rPr>
                <w:noProof/>
              </w:rPr>
            </w:pPr>
            <w:r>
              <w:rPr>
                <w:noProof/>
              </w:rPr>
              <w:t>M2C1–25</w:t>
            </w:r>
          </w:p>
        </w:tc>
        <w:tc>
          <w:tcPr>
            <w:tcW w:w="3195" w:type="dxa"/>
            <w:tcBorders>
              <w:top w:val="nil"/>
              <w:left w:val="nil"/>
              <w:bottom w:val="single" w:sz="4" w:space="0" w:color="auto"/>
              <w:right w:val="single" w:sz="4" w:space="0" w:color="auto"/>
            </w:tcBorders>
            <w:shd w:val="clear" w:color="auto" w:fill="C6EFCE"/>
            <w:noWrap/>
            <w:vAlign w:val="center"/>
          </w:tcPr>
          <w:p w14:paraId="541B9729" w14:textId="77777777" w:rsidR="00154E32" w:rsidRDefault="00A43E04">
            <w:pPr>
              <w:pStyle w:val="P68B1DB1-Normal12"/>
              <w:jc w:val="center"/>
              <w:rPr>
                <w:noProof/>
              </w:rPr>
            </w:pPr>
            <w:r>
              <w:rPr>
                <w:noProof/>
              </w:rPr>
              <w:t>Naložba 3.4: Fondo Contratti di Filiera (FCF) za podporo pogodb o dobavnih verigah za agroživilski, ribiški in akvakulturni sektor, gozdarstvo, cvetličarstvo in odraščanje rastlin</w:t>
            </w:r>
          </w:p>
        </w:tc>
        <w:tc>
          <w:tcPr>
            <w:tcW w:w="1378" w:type="dxa"/>
            <w:tcBorders>
              <w:top w:val="nil"/>
              <w:left w:val="nil"/>
              <w:bottom w:val="single" w:sz="4" w:space="0" w:color="auto"/>
              <w:right w:val="single" w:sz="4" w:space="0" w:color="auto"/>
            </w:tcBorders>
            <w:shd w:val="clear" w:color="auto" w:fill="C6EFCE"/>
            <w:noWrap/>
            <w:vAlign w:val="center"/>
          </w:tcPr>
          <w:p w14:paraId="4182F276" w14:textId="23BAFB26" w:rsidR="00154E32" w:rsidRDefault="00A43E04">
            <w:pPr>
              <w:pStyle w:val="P68B1DB1-Normal12"/>
              <w:jc w:val="center"/>
              <w:rPr>
                <w:noProof/>
              </w:rPr>
            </w:pPr>
            <w:r>
              <w:rPr>
                <w:noProof/>
              </w:rPr>
              <w:t>Mejnik</w:t>
            </w:r>
          </w:p>
        </w:tc>
        <w:tc>
          <w:tcPr>
            <w:tcW w:w="4166" w:type="dxa"/>
            <w:tcBorders>
              <w:top w:val="nil"/>
              <w:left w:val="nil"/>
              <w:bottom w:val="single" w:sz="4" w:space="0" w:color="auto"/>
              <w:right w:val="single" w:sz="4" w:space="0" w:color="auto"/>
            </w:tcBorders>
            <w:shd w:val="clear" w:color="auto" w:fill="C6EFCE"/>
            <w:noWrap/>
            <w:vAlign w:val="center"/>
          </w:tcPr>
          <w:p w14:paraId="579C684A" w14:textId="77777777" w:rsidR="00154E32" w:rsidRDefault="00A43E04">
            <w:pPr>
              <w:pStyle w:val="P68B1DB1-Normal12"/>
              <w:jc w:val="center"/>
              <w:rPr>
                <w:noProof/>
              </w:rPr>
            </w:pPr>
            <w:r>
              <w:rPr>
                <w:noProof/>
              </w:rPr>
              <w:t>Ministrstvo je prerazporedilo skupni znesek sredstev</w:t>
            </w:r>
          </w:p>
        </w:tc>
      </w:tr>
      <w:tr w:rsidR="00154E32" w14:paraId="57120D7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E29BF2F" w14:textId="77777777" w:rsidR="00154E32" w:rsidRDefault="00A43E04">
            <w:pPr>
              <w:pStyle w:val="P68B1DB1-Normal12"/>
              <w:jc w:val="center"/>
              <w:rPr>
                <w:noProof/>
              </w:rPr>
            </w:pPr>
            <w:r>
              <w:rPr>
                <w:noProof/>
              </w:rPr>
              <w:t>M2C2–9</w:t>
            </w:r>
          </w:p>
        </w:tc>
        <w:tc>
          <w:tcPr>
            <w:tcW w:w="3195" w:type="dxa"/>
            <w:tcBorders>
              <w:top w:val="nil"/>
              <w:left w:val="nil"/>
              <w:bottom w:val="single" w:sz="4" w:space="0" w:color="auto"/>
              <w:right w:val="single" w:sz="4" w:space="0" w:color="auto"/>
            </w:tcBorders>
            <w:shd w:val="clear" w:color="auto" w:fill="C6EFCE"/>
            <w:noWrap/>
            <w:vAlign w:val="center"/>
          </w:tcPr>
          <w:p w14:paraId="029854F4" w14:textId="77777777" w:rsidR="00154E32" w:rsidRDefault="00A43E04">
            <w:pPr>
              <w:pStyle w:val="P68B1DB1-Normal12"/>
              <w:jc w:val="center"/>
              <w:rPr>
                <w:noProof/>
              </w:rPr>
            </w:pPr>
            <w:r>
              <w:rPr>
                <w:noProof/>
              </w:rPr>
              <w:t>Naložba 2.1 Krepitev pametnih omrežij</w:t>
            </w:r>
          </w:p>
        </w:tc>
        <w:tc>
          <w:tcPr>
            <w:tcW w:w="1378" w:type="dxa"/>
            <w:tcBorders>
              <w:top w:val="nil"/>
              <w:left w:val="nil"/>
              <w:bottom w:val="single" w:sz="4" w:space="0" w:color="auto"/>
              <w:right w:val="single" w:sz="4" w:space="0" w:color="auto"/>
            </w:tcBorders>
            <w:shd w:val="clear" w:color="auto" w:fill="C6EFCE"/>
            <w:noWrap/>
            <w:vAlign w:val="center"/>
          </w:tcPr>
          <w:p w14:paraId="28FFD72E" w14:textId="77777777" w:rsidR="00154E32" w:rsidRDefault="00A43E04">
            <w:pPr>
              <w:pStyle w:val="P68B1DB1-Normal12"/>
              <w:jc w:val="center"/>
              <w:rPr>
                <w:noProof/>
              </w:rPr>
            </w:pPr>
            <w:r>
              <w:rPr>
                <w:noProof/>
              </w:rPr>
              <w:t>Tarča</w:t>
            </w:r>
          </w:p>
        </w:tc>
        <w:tc>
          <w:tcPr>
            <w:tcW w:w="4166" w:type="dxa"/>
            <w:tcBorders>
              <w:top w:val="nil"/>
              <w:left w:val="nil"/>
              <w:bottom w:val="single" w:sz="4" w:space="0" w:color="auto"/>
              <w:right w:val="single" w:sz="4" w:space="0" w:color="auto"/>
            </w:tcBorders>
            <w:shd w:val="clear" w:color="auto" w:fill="C6EFCE"/>
            <w:noWrap/>
            <w:vAlign w:val="center"/>
          </w:tcPr>
          <w:p w14:paraId="79EEBE93" w14:textId="77777777" w:rsidR="00154E32" w:rsidRDefault="00A43E04">
            <w:pPr>
              <w:pStyle w:val="P68B1DB1-Normal12"/>
              <w:jc w:val="center"/>
              <w:rPr>
                <w:noProof/>
              </w:rPr>
            </w:pPr>
            <w:r>
              <w:rPr>
                <w:noProof/>
              </w:rPr>
              <w:t>Pametna omrežja – povečanje zmogljivosti omrežja za distribucijo energije iz obnovljivih virov</w:t>
            </w:r>
          </w:p>
        </w:tc>
      </w:tr>
      <w:tr w:rsidR="00154E32" w14:paraId="4B3EB30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A9B0550" w14:textId="77777777" w:rsidR="00154E32" w:rsidRDefault="00A43E04">
            <w:pPr>
              <w:pStyle w:val="P68B1DB1-Normal12"/>
              <w:jc w:val="center"/>
              <w:rPr>
                <w:noProof/>
              </w:rPr>
            </w:pPr>
            <w:r>
              <w:rPr>
                <w:noProof/>
              </w:rPr>
              <w:t>M2C2–34</w:t>
            </w:r>
          </w:p>
        </w:tc>
        <w:tc>
          <w:tcPr>
            <w:tcW w:w="3195" w:type="dxa"/>
            <w:tcBorders>
              <w:top w:val="nil"/>
              <w:left w:val="nil"/>
              <w:bottom w:val="single" w:sz="4" w:space="0" w:color="auto"/>
              <w:right w:val="single" w:sz="4" w:space="0" w:color="auto"/>
            </w:tcBorders>
            <w:shd w:val="clear" w:color="auto" w:fill="C6EFCE"/>
            <w:noWrap/>
            <w:vAlign w:val="center"/>
          </w:tcPr>
          <w:p w14:paraId="5827B6A9" w14:textId="77777777" w:rsidR="00154E32" w:rsidRDefault="00A43E04">
            <w:pPr>
              <w:pStyle w:val="P68B1DB1-Normal12"/>
              <w:jc w:val="center"/>
              <w:rPr>
                <w:noProof/>
              </w:rPr>
            </w:pPr>
            <w:r>
              <w:rPr>
                <w:noProof/>
              </w:rPr>
              <w:t>Naložba 4.4.1: Krepitev voznega parka avtobusov v regionalnem javnem prometu z brezemisijskimi nizkopodnimi avtobusi</w:t>
            </w:r>
          </w:p>
        </w:tc>
        <w:tc>
          <w:tcPr>
            <w:tcW w:w="1378" w:type="dxa"/>
            <w:tcBorders>
              <w:top w:val="nil"/>
              <w:left w:val="nil"/>
              <w:bottom w:val="single" w:sz="4" w:space="0" w:color="auto"/>
              <w:right w:val="single" w:sz="4" w:space="0" w:color="auto"/>
            </w:tcBorders>
            <w:shd w:val="clear" w:color="auto" w:fill="C6EFCE"/>
            <w:noWrap/>
            <w:vAlign w:val="center"/>
          </w:tcPr>
          <w:p w14:paraId="0697611E" w14:textId="77777777" w:rsidR="00154E32" w:rsidRDefault="00A43E04">
            <w:pPr>
              <w:pStyle w:val="P68B1DB1-Normal12"/>
              <w:jc w:val="center"/>
              <w:rPr>
                <w:noProof/>
              </w:rPr>
            </w:pPr>
            <w:r>
              <w:rPr>
                <w:noProof/>
              </w:rPr>
              <w:t>Tarča</w:t>
            </w:r>
          </w:p>
        </w:tc>
        <w:tc>
          <w:tcPr>
            <w:tcW w:w="4166" w:type="dxa"/>
            <w:tcBorders>
              <w:top w:val="nil"/>
              <w:left w:val="nil"/>
              <w:bottom w:val="single" w:sz="4" w:space="0" w:color="auto"/>
              <w:right w:val="single" w:sz="4" w:space="0" w:color="auto"/>
            </w:tcBorders>
            <w:shd w:val="clear" w:color="auto" w:fill="C6EFCE"/>
            <w:noWrap/>
            <w:vAlign w:val="center"/>
          </w:tcPr>
          <w:p w14:paraId="787568B4" w14:textId="77777777" w:rsidR="00154E32" w:rsidRDefault="00A43E04">
            <w:pPr>
              <w:pStyle w:val="P68B1DB1-Normal12"/>
              <w:jc w:val="center"/>
              <w:rPr>
                <w:noProof/>
              </w:rPr>
            </w:pPr>
            <w:r>
              <w:rPr>
                <w:noProof/>
              </w:rPr>
              <w:t>Število brezemisijskih nizkopodnih avtobusov, kupljenih T1</w:t>
            </w:r>
          </w:p>
        </w:tc>
      </w:tr>
      <w:tr w:rsidR="00154E32" w14:paraId="7312F26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F680F0E" w14:textId="77777777" w:rsidR="00154E32" w:rsidRDefault="00A43E04">
            <w:pPr>
              <w:pStyle w:val="P68B1DB1-Normal12"/>
              <w:jc w:val="center"/>
              <w:rPr>
                <w:noProof/>
              </w:rPr>
            </w:pPr>
            <w:r>
              <w:rPr>
                <w:noProof/>
              </w:rPr>
              <w:t>M2C2–34 Bis</w:t>
            </w:r>
          </w:p>
        </w:tc>
        <w:tc>
          <w:tcPr>
            <w:tcW w:w="3195" w:type="dxa"/>
            <w:tcBorders>
              <w:top w:val="nil"/>
              <w:left w:val="nil"/>
              <w:bottom w:val="single" w:sz="4" w:space="0" w:color="auto"/>
              <w:right w:val="single" w:sz="4" w:space="0" w:color="auto"/>
            </w:tcBorders>
            <w:shd w:val="clear" w:color="auto" w:fill="C6EFCE"/>
            <w:noWrap/>
            <w:vAlign w:val="center"/>
          </w:tcPr>
          <w:p w14:paraId="1616664D" w14:textId="77777777" w:rsidR="00154E32" w:rsidRDefault="00A43E04">
            <w:pPr>
              <w:pStyle w:val="P68B1DB1-Normal12"/>
              <w:jc w:val="center"/>
              <w:rPr>
                <w:noProof/>
              </w:rPr>
            </w:pPr>
            <w:r>
              <w:rPr>
                <w:noProof/>
              </w:rPr>
              <w:t>Naložba 4.4.2:  Krepitev regionalnega javnega železniškega voznega parka z brezemisijskimi vlaki in univerzalnimi storitvami</w:t>
            </w:r>
          </w:p>
        </w:tc>
        <w:tc>
          <w:tcPr>
            <w:tcW w:w="1378" w:type="dxa"/>
            <w:tcBorders>
              <w:top w:val="nil"/>
              <w:left w:val="nil"/>
              <w:bottom w:val="single" w:sz="4" w:space="0" w:color="auto"/>
              <w:right w:val="single" w:sz="4" w:space="0" w:color="auto"/>
            </w:tcBorders>
            <w:shd w:val="clear" w:color="auto" w:fill="C6EFCE"/>
            <w:noWrap/>
            <w:vAlign w:val="center"/>
          </w:tcPr>
          <w:p w14:paraId="745F661F" w14:textId="77777777" w:rsidR="00154E32" w:rsidRDefault="00A43E04">
            <w:pPr>
              <w:pStyle w:val="P68B1DB1-Normal12"/>
              <w:jc w:val="center"/>
              <w:rPr>
                <w:noProof/>
              </w:rPr>
            </w:pPr>
            <w:r>
              <w:rPr>
                <w:noProof/>
              </w:rPr>
              <w:t>Tarča</w:t>
            </w:r>
          </w:p>
        </w:tc>
        <w:tc>
          <w:tcPr>
            <w:tcW w:w="4166" w:type="dxa"/>
            <w:tcBorders>
              <w:top w:val="nil"/>
              <w:left w:val="nil"/>
              <w:bottom w:val="single" w:sz="4" w:space="0" w:color="auto"/>
              <w:right w:val="single" w:sz="4" w:space="0" w:color="auto"/>
            </w:tcBorders>
            <w:shd w:val="clear" w:color="auto" w:fill="C6EFCE"/>
            <w:noWrap/>
            <w:vAlign w:val="center"/>
          </w:tcPr>
          <w:p w14:paraId="0ADD9E6A" w14:textId="77777777" w:rsidR="00154E32" w:rsidRDefault="00A43E04">
            <w:pPr>
              <w:pStyle w:val="P68B1DB1-Normal12"/>
              <w:jc w:val="center"/>
              <w:rPr>
                <w:noProof/>
              </w:rPr>
            </w:pPr>
            <w:r>
              <w:rPr>
                <w:noProof/>
              </w:rPr>
              <w:t>Število vlakov z ničelnimi emisijami T1</w:t>
            </w:r>
          </w:p>
        </w:tc>
      </w:tr>
      <w:tr w:rsidR="00154E32" w14:paraId="6BC1396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8E9D4C6" w14:textId="77777777" w:rsidR="00154E32" w:rsidRDefault="00A43E04">
            <w:pPr>
              <w:pStyle w:val="P68B1DB1-Normal12"/>
              <w:jc w:val="center"/>
              <w:rPr>
                <w:noProof/>
              </w:rPr>
            </w:pPr>
            <w:r>
              <w:rPr>
                <w:noProof/>
              </w:rPr>
              <w:t>M2C2–38a</w:t>
            </w:r>
          </w:p>
        </w:tc>
        <w:tc>
          <w:tcPr>
            <w:tcW w:w="3195" w:type="dxa"/>
            <w:tcBorders>
              <w:top w:val="nil"/>
              <w:left w:val="nil"/>
              <w:bottom w:val="single" w:sz="4" w:space="0" w:color="auto"/>
              <w:right w:val="single" w:sz="4" w:space="0" w:color="auto"/>
            </w:tcBorders>
            <w:shd w:val="clear" w:color="auto" w:fill="C6EFCE"/>
            <w:noWrap/>
            <w:vAlign w:val="center"/>
          </w:tcPr>
          <w:p w14:paraId="7D947FE0" w14:textId="77777777" w:rsidR="00154E32" w:rsidRDefault="00A43E04">
            <w:pPr>
              <w:pStyle w:val="P68B1DB1-Normal12"/>
              <w:jc w:val="center"/>
              <w:rPr>
                <w:noProof/>
              </w:rPr>
            </w:pPr>
            <w:r>
              <w:rPr>
                <w:noProof/>
              </w:rPr>
              <w:t>Naložba 5.1: Obnovljivi viri energije in baterije</w:t>
            </w:r>
          </w:p>
        </w:tc>
        <w:tc>
          <w:tcPr>
            <w:tcW w:w="1378" w:type="dxa"/>
            <w:tcBorders>
              <w:top w:val="nil"/>
              <w:left w:val="nil"/>
              <w:bottom w:val="single" w:sz="4" w:space="0" w:color="auto"/>
              <w:right w:val="single" w:sz="4" w:space="0" w:color="auto"/>
            </w:tcBorders>
            <w:shd w:val="clear" w:color="auto" w:fill="C6EFCE"/>
            <w:noWrap/>
            <w:vAlign w:val="center"/>
          </w:tcPr>
          <w:p w14:paraId="44FAAD4F" w14:textId="77777777" w:rsidR="00154E32" w:rsidRDefault="00A43E04">
            <w:pPr>
              <w:pStyle w:val="P68B1DB1-Normal12"/>
              <w:jc w:val="center"/>
              <w:rPr>
                <w:noProof/>
              </w:rPr>
            </w:pPr>
            <w:r>
              <w:rPr>
                <w:noProof/>
              </w:rPr>
              <w:t>Mejnik</w:t>
            </w:r>
          </w:p>
        </w:tc>
        <w:tc>
          <w:tcPr>
            <w:tcW w:w="4166" w:type="dxa"/>
            <w:tcBorders>
              <w:top w:val="nil"/>
              <w:left w:val="nil"/>
              <w:bottom w:val="single" w:sz="4" w:space="0" w:color="auto"/>
              <w:right w:val="single" w:sz="4" w:space="0" w:color="auto"/>
            </w:tcBorders>
            <w:shd w:val="clear" w:color="auto" w:fill="C6EFCE"/>
            <w:noWrap/>
            <w:vAlign w:val="center"/>
          </w:tcPr>
          <w:p w14:paraId="5FD79021" w14:textId="77777777" w:rsidR="00154E32" w:rsidRDefault="00A43E04">
            <w:pPr>
              <w:pStyle w:val="P68B1DB1-Normal12"/>
              <w:jc w:val="center"/>
              <w:rPr>
                <w:noProof/>
              </w:rPr>
            </w:pPr>
            <w:r>
              <w:rPr>
                <w:noProof/>
              </w:rPr>
              <w:t>Izvedbeni sporazum</w:t>
            </w:r>
          </w:p>
        </w:tc>
      </w:tr>
      <w:tr w:rsidR="00154E32" w14:paraId="55065E6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EC4D29A" w14:textId="77777777" w:rsidR="00154E32" w:rsidRDefault="00A43E04">
            <w:pPr>
              <w:pStyle w:val="P68B1DB1-Normal12"/>
              <w:jc w:val="center"/>
              <w:rPr>
                <w:noProof/>
              </w:rPr>
            </w:pPr>
            <w:r>
              <w:rPr>
                <w:noProof/>
              </w:rPr>
              <w:t>M2C2–39</w:t>
            </w:r>
          </w:p>
        </w:tc>
        <w:tc>
          <w:tcPr>
            <w:tcW w:w="3195" w:type="dxa"/>
            <w:tcBorders>
              <w:top w:val="nil"/>
              <w:left w:val="nil"/>
              <w:bottom w:val="single" w:sz="4" w:space="0" w:color="auto"/>
              <w:right w:val="single" w:sz="4" w:space="0" w:color="auto"/>
            </w:tcBorders>
            <w:shd w:val="clear" w:color="auto" w:fill="C6EFCE"/>
            <w:noWrap/>
            <w:vAlign w:val="center"/>
          </w:tcPr>
          <w:p w14:paraId="0FD04D38" w14:textId="77777777" w:rsidR="00154E32" w:rsidRDefault="00A43E04">
            <w:pPr>
              <w:pStyle w:val="P68B1DB1-Normal12"/>
              <w:jc w:val="center"/>
              <w:rPr>
                <w:noProof/>
              </w:rPr>
            </w:pPr>
            <w:r>
              <w:rPr>
                <w:noProof/>
              </w:rPr>
              <w:t>Naložba 5.1.Obnovljivi viri in baterije</w:t>
            </w:r>
          </w:p>
        </w:tc>
        <w:tc>
          <w:tcPr>
            <w:tcW w:w="1378" w:type="dxa"/>
            <w:tcBorders>
              <w:top w:val="nil"/>
              <w:left w:val="nil"/>
              <w:bottom w:val="single" w:sz="4" w:space="0" w:color="auto"/>
              <w:right w:val="single" w:sz="4" w:space="0" w:color="auto"/>
            </w:tcBorders>
            <w:shd w:val="clear" w:color="auto" w:fill="C6EFCE"/>
            <w:noWrap/>
            <w:vAlign w:val="center"/>
          </w:tcPr>
          <w:p w14:paraId="452F06C7" w14:textId="77777777" w:rsidR="00154E32" w:rsidRDefault="00A43E04">
            <w:pPr>
              <w:pStyle w:val="P68B1DB1-Normal12"/>
              <w:jc w:val="center"/>
              <w:rPr>
                <w:noProof/>
              </w:rPr>
            </w:pPr>
            <w:r>
              <w:rPr>
                <w:noProof/>
              </w:rPr>
              <w:t>Mejnik</w:t>
            </w:r>
          </w:p>
        </w:tc>
        <w:tc>
          <w:tcPr>
            <w:tcW w:w="4166" w:type="dxa"/>
            <w:tcBorders>
              <w:top w:val="nil"/>
              <w:left w:val="nil"/>
              <w:bottom w:val="single" w:sz="4" w:space="0" w:color="auto"/>
              <w:right w:val="single" w:sz="4" w:space="0" w:color="auto"/>
            </w:tcBorders>
            <w:shd w:val="clear" w:color="auto" w:fill="C6EFCE"/>
            <w:noWrap/>
            <w:vAlign w:val="center"/>
          </w:tcPr>
          <w:p w14:paraId="3823EB4B" w14:textId="77777777" w:rsidR="00154E32" w:rsidRDefault="00A43E04">
            <w:pPr>
              <w:pStyle w:val="P68B1DB1-Normal12"/>
              <w:jc w:val="center"/>
              <w:rPr>
                <w:noProof/>
              </w:rPr>
            </w:pPr>
            <w:r>
              <w:rPr>
                <w:noProof/>
              </w:rPr>
              <w:t>Italijansko ministrstvo za podjetja in Made je zaključilo prenos sredstev na Invitalia S.p.A.</w:t>
            </w:r>
          </w:p>
        </w:tc>
      </w:tr>
      <w:tr w:rsidR="00154E32" w14:paraId="3C0F42D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060A487" w14:textId="77777777" w:rsidR="00154E32" w:rsidRDefault="00A43E04">
            <w:pPr>
              <w:pStyle w:val="P68B1DB1-Normal12"/>
              <w:jc w:val="center"/>
              <w:rPr>
                <w:noProof/>
              </w:rPr>
            </w:pPr>
            <w:r>
              <w:rPr>
                <w:noProof/>
              </w:rPr>
              <w:t xml:space="preserve">M2C2–42 BIS </w:t>
            </w:r>
          </w:p>
        </w:tc>
        <w:tc>
          <w:tcPr>
            <w:tcW w:w="3195" w:type="dxa"/>
            <w:tcBorders>
              <w:top w:val="nil"/>
              <w:left w:val="nil"/>
              <w:bottom w:val="single" w:sz="4" w:space="0" w:color="auto"/>
              <w:right w:val="single" w:sz="4" w:space="0" w:color="auto"/>
            </w:tcBorders>
            <w:shd w:val="clear" w:color="auto" w:fill="C6EFCE"/>
            <w:noWrap/>
            <w:vAlign w:val="center"/>
          </w:tcPr>
          <w:p w14:paraId="4694CCB3" w14:textId="77777777" w:rsidR="00154E32" w:rsidRDefault="00A43E04">
            <w:pPr>
              <w:pStyle w:val="P68B1DB1-Normal12"/>
              <w:jc w:val="center"/>
              <w:rPr>
                <w:noProof/>
              </w:rPr>
            </w:pPr>
            <w:r>
              <w:rPr>
                <w:noProof/>
              </w:rPr>
              <w:t xml:space="preserve">Naložba 5.4 – Podpora zagonskim podjetjem in tveganemu kapitalu, dejavnemu v ekološkem prehodu.  </w:t>
            </w:r>
          </w:p>
        </w:tc>
        <w:tc>
          <w:tcPr>
            <w:tcW w:w="1378" w:type="dxa"/>
            <w:tcBorders>
              <w:top w:val="nil"/>
              <w:left w:val="nil"/>
              <w:bottom w:val="single" w:sz="4" w:space="0" w:color="auto"/>
              <w:right w:val="single" w:sz="4" w:space="0" w:color="auto"/>
            </w:tcBorders>
            <w:shd w:val="clear" w:color="auto" w:fill="C6EFCE"/>
            <w:noWrap/>
            <w:vAlign w:val="center"/>
          </w:tcPr>
          <w:p w14:paraId="557DBA08" w14:textId="77777777" w:rsidR="00154E32" w:rsidRDefault="00A43E04">
            <w:pPr>
              <w:pStyle w:val="P68B1DB1-Normal12"/>
              <w:jc w:val="center"/>
              <w:rPr>
                <w:noProof/>
              </w:rPr>
            </w:pPr>
            <w:r>
              <w:rPr>
                <w:noProof/>
              </w:rPr>
              <w:t xml:space="preserve">Mejnik </w:t>
            </w:r>
          </w:p>
        </w:tc>
        <w:tc>
          <w:tcPr>
            <w:tcW w:w="4166" w:type="dxa"/>
            <w:tcBorders>
              <w:top w:val="nil"/>
              <w:left w:val="nil"/>
              <w:bottom w:val="single" w:sz="4" w:space="0" w:color="auto"/>
              <w:right w:val="single" w:sz="4" w:space="0" w:color="auto"/>
            </w:tcBorders>
            <w:shd w:val="clear" w:color="auto" w:fill="C6EFCE"/>
            <w:noWrap/>
            <w:vAlign w:val="center"/>
          </w:tcPr>
          <w:p w14:paraId="535697ED" w14:textId="77777777" w:rsidR="00154E32" w:rsidRDefault="00A43E04">
            <w:pPr>
              <w:pStyle w:val="P68B1DB1-Normal12"/>
              <w:jc w:val="center"/>
              <w:rPr>
                <w:noProof/>
              </w:rPr>
            </w:pPr>
            <w:r>
              <w:rPr>
                <w:noProof/>
              </w:rPr>
              <w:t xml:space="preserve">Ministrstvo je zaključilo prenos sredstev na CDP Venture Capital SGR. </w:t>
            </w:r>
          </w:p>
        </w:tc>
      </w:tr>
      <w:tr w:rsidR="00154E32" w14:paraId="1D1E6AD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0838FCA" w14:textId="77777777" w:rsidR="00154E32" w:rsidRDefault="00A43E04">
            <w:pPr>
              <w:pStyle w:val="P68B1DB1-Normal12"/>
              <w:jc w:val="center"/>
              <w:rPr>
                <w:noProof/>
              </w:rPr>
            </w:pPr>
            <w:r>
              <w:rPr>
                <w:noProof/>
              </w:rPr>
              <w:t>M2C2–44</w:t>
            </w:r>
          </w:p>
        </w:tc>
        <w:tc>
          <w:tcPr>
            <w:tcW w:w="3195" w:type="dxa"/>
            <w:tcBorders>
              <w:top w:val="nil"/>
              <w:left w:val="nil"/>
              <w:bottom w:val="single" w:sz="4" w:space="0" w:color="auto"/>
              <w:right w:val="single" w:sz="4" w:space="0" w:color="auto"/>
            </w:tcBorders>
            <w:shd w:val="clear" w:color="auto" w:fill="C6EFCE"/>
            <w:noWrap/>
            <w:vAlign w:val="center"/>
          </w:tcPr>
          <w:p w14:paraId="42300AE1" w14:textId="77777777" w:rsidR="00154E32" w:rsidRDefault="00A43E04">
            <w:pPr>
              <w:pStyle w:val="P68B1DB1-Normal12"/>
              <w:jc w:val="center"/>
              <w:rPr>
                <w:noProof/>
              </w:rPr>
            </w:pPr>
            <w:r>
              <w:rPr>
                <w:noProof/>
              </w:rPr>
              <w:t>Naložba 1.1 Razvoj kmetijsko-voltaičnih sistemov</w:t>
            </w:r>
          </w:p>
        </w:tc>
        <w:tc>
          <w:tcPr>
            <w:tcW w:w="1378" w:type="dxa"/>
            <w:tcBorders>
              <w:top w:val="nil"/>
              <w:left w:val="nil"/>
              <w:bottom w:val="single" w:sz="4" w:space="0" w:color="auto"/>
              <w:right w:val="single" w:sz="4" w:space="0" w:color="auto"/>
            </w:tcBorders>
            <w:shd w:val="clear" w:color="auto" w:fill="C6EFCE"/>
            <w:noWrap/>
            <w:vAlign w:val="center"/>
          </w:tcPr>
          <w:p w14:paraId="481E330D" w14:textId="77777777" w:rsidR="00154E32" w:rsidRDefault="00A43E04">
            <w:pPr>
              <w:pStyle w:val="P68B1DB1-Normal12"/>
              <w:jc w:val="center"/>
              <w:rPr>
                <w:noProof/>
              </w:rPr>
            </w:pPr>
            <w:r>
              <w:rPr>
                <w:noProof/>
              </w:rPr>
              <w:t>Mejnik</w:t>
            </w:r>
          </w:p>
        </w:tc>
        <w:tc>
          <w:tcPr>
            <w:tcW w:w="4166" w:type="dxa"/>
            <w:tcBorders>
              <w:top w:val="nil"/>
              <w:left w:val="nil"/>
              <w:bottom w:val="single" w:sz="4" w:space="0" w:color="auto"/>
              <w:right w:val="single" w:sz="4" w:space="0" w:color="auto"/>
            </w:tcBorders>
            <w:shd w:val="clear" w:color="auto" w:fill="C6EFCE"/>
            <w:noWrap/>
            <w:vAlign w:val="center"/>
          </w:tcPr>
          <w:p w14:paraId="49996758" w14:textId="77777777" w:rsidR="00154E32" w:rsidRDefault="00A43E04">
            <w:pPr>
              <w:pStyle w:val="P68B1DB1-Normal12"/>
              <w:jc w:val="center"/>
              <w:rPr>
                <w:noProof/>
              </w:rPr>
            </w:pPr>
            <w:r>
              <w:rPr>
                <w:noProof/>
              </w:rPr>
              <w:t>Oddaja vseh javnih naročil za namestitev fotovoltaičnih sončnih panelov v kmetijsko-voltaičnih sistemih</w:t>
            </w:r>
          </w:p>
        </w:tc>
      </w:tr>
      <w:tr w:rsidR="00154E32" w14:paraId="06E75A3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2F5AC13" w14:textId="77777777" w:rsidR="00154E32" w:rsidRDefault="00A43E04">
            <w:pPr>
              <w:pStyle w:val="P68B1DB1-Normal12"/>
              <w:jc w:val="center"/>
              <w:rPr>
                <w:noProof/>
              </w:rPr>
            </w:pPr>
            <w:r>
              <w:rPr>
                <w:noProof/>
              </w:rPr>
              <w:t>M2C4–22</w:t>
            </w:r>
          </w:p>
        </w:tc>
        <w:tc>
          <w:tcPr>
            <w:tcW w:w="3195" w:type="dxa"/>
            <w:tcBorders>
              <w:top w:val="nil"/>
              <w:left w:val="nil"/>
              <w:bottom w:val="single" w:sz="4" w:space="0" w:color="auto"/>
              <w:right w:val="single" w:sz="4" w:space="0" w:color="auto"/>
            </w:tcBorders>
            <w:shd w:val="clear" w:color="auto" w:fill="C6EFCE"/>
            <w:noWrap/>
            <w:vAlign w:val="center"/>
          </w:tcPr>
          <w:p w14:paraId="15D712F2" w14:textId="77777777" w:rsidR="00154E32" w:rsidRDefault="00A43E04">
            <w:pPr>
              <w:pStyle w:val="P68B1DB1-Normal12"/>
              <w:jc w:val="center"/>
              <w:rPr>
                <w:noProof/>
              </w:rPr>
            </w:pPr>
            <w:r>
              <w:rPr>
                <w:noProof/>
              </w:rPr>
              <w:t>Naložba 3.3 Renaturifikacija območja Po</w:t>
            </w:r>
          </w:p>
        </w:tc>
        <w:tc>
          <w:tcPr>
            <w:tcW w:w="1378" w:type="dxa"/>
            <w:tcBorders>
              <w:top w:val="nil"/>
              <w:left w:val="nil"/>
              <w:bottom w:val="single" w:sz="4" w:space="0" w:color="auto"/>
              <w:right w:val="single" w:sz="4" w:space="0" w:color="auto"/>
            </w:tcBorders>
            <w:shd w:val="clear" w:color="auto" w:fill="C6EFCE"/>
            <w:noWrap/>
            <w:vAlign w:val="center"/>
          </w:tcPr>
          <w:p w14:paraId="76FE90AC" w14:textId="77777777" w:rsidR="00154E32" w:rsidRDefault="00A43E04">
            <w:pPr>
              <w:pStyle w:val="P68B1DB1-Normal12"/>
              <w:jc w:val="center"/>
              <w:rPr>
                <w:noProof/>
              </w:rPr>
            </w:pPr>
            <w:r>
              <w:rPr>
                <w:noProof/>
              </w:rPr>
              <w:t>Tarča</w:t>
            </w:r>
          </w:p>
        </w:tc>
        <w:tc>
          <w:tcPr>
            <w:tcW w:w="4166" w:type="dxa"/>
            <w:tcBorders>
              <w:top w:val="nil"/>
              <w:left w:val="nil"/>
              <w:bottom w:val="single" w:sz="4" w:space="0" w:color="auto"/>
              <w:right w:val="single" w:sz="4" w:space="0" w:color="auto"/>
            </w:tcBorders>
            <w:shd w:val="clear" w:color="auto" w:fill="C6EFCE"/>
            <w:noWrap/>
            <w:vAlign w:val="center"/>
          </w:tcPr>
          <w:p w14:paraId="1F01109F" w14:textId="77777777" w:rsidR="00154E32" w:rsidRDefault="00A43E04">
            <w:pPr>
              <w:pStyle w:val="P68B1DB1-Normal12"/>
              <w:jc w:val="center"/>
              <w:rPr>
                <w:noProof/>
              </w:rPr>
            </w:pPr>
            <w:r>
              <w:rPr>
                <w:noProof/>
              </w:rPr>
              <w:t xml:space="preserve">Zmanjšanje umetnega rečnega dna za ponovno naturifikacijo območja Pad T1 </w:t>
            </w:r>
          </w:p>
        </w:tc>
      </w:tr>
      <w:tr w:rsidR="00154E32" w14:paraId="2C4F62A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47D8BA8" w14:textId="77777777" w:rsidR="00154E32" w:rsidRDefault="00A43E04">
            <w:pPr>
              <w:pStyle w:val="P68B1DB1-Normal12"/>
              <w:jc w:val="center"/>
              <w:rPr>
                <w:noProof/>
              </w:rPr>
            </w:pPr>
            <w:r>
              <w:rPr>
                <w:noProof/>
              </w:rPr>
              <w:t>M2C4–28a</w:t>
            </w:r>
          </w:p>
        </w:tc>
        <w:tc>
          <w:tcPr>
            <w:tcW w:w="3195" w:type="dxa"/>
            <w:tcBorders>
              <w:top w:val="nil"/>
              <w:left w:val="nil"/>
              <w:bottom w:val="single" w:sz="4" w:space="0" w:color="auto"/>
              <w:right w:val="single" w:sz="4" w:space="0" w:color="auto"/>
            </w:tcBorders>
            <w:shd w:val="clear" w:color="auto" w:fill="C6EFCE"/>
            <w:noWrap/>
            <w:vAlign w:val="center"/>
          </w:tcPr>
          <w:p w14:paraId="0F63A066" w14:textId="77777777" w:rsidR="00154E32" w:rsidRDefault="00A43E04">
            <w:pPr>
              <w:pStyle w:val="P68B1DB1-Normal12"/>
              <w:jc w:val="center"/>
              <w:rPr>
                <w:noProof/>
              </w:rPr>
            </w:pPr>
            <w:r>
              <w:rPr>
                <w:noProof/>
              </w:rPr>
              <w:t>Naložba 4.1. Naložbe v primarno vodno infrastrukturo za zanesljivost oskrbe z vodo</w:t>
            </w:r>
          </w:p>
        </w:tc>
        <w:tc>
          <w:tcPr>
            <w:tcW w:w="1378" w:type="dxa"/>
            <w:tcBorders>
              <w:top w:val="nil"/>
              <w:left w:val="nil"/>
              <w:bottom w:val="single" w:sz="4" w:space="0" w:color="auto"/>
              <w:right w:val="single" w:sz="4" w:space="0" w:color="auto"/>
            </w:tcBorders>
            <w:shd w:val="clear" w:color="auto" w:fill="C6EFCE"/>
            <w:noWrap/>
            <w:vAlign w:val="center"/>
          </w:tcPr>
          <w:p w14:paraId="7C0D1FF9" w14:textId="77777777" w:rsidR="00154E32" w:rsidRDefault="00A43E04">
            <w:pPr>
              <w:pStyle w:val="P68B1DB1-Normal12"/>
              <w:jc w:val="center"/>
              <w:rPr>
                <w:noProof/>
              </w:rPr>
            </w:pPr>
            <w:r>
              <w:rPr>
                <w:noProof/>
              </w:rPr>
              <w:t>Mejnik</w:t>
            </w:r>
          </w:p>
        </w:tc>
        <w:tc>
          <w:tcPr>
            <w:tcW w:w="4166" w:type="dxa"/>
            <w:tcBorders>
              <w:top w:val="nil"/>
              <w:left w:val="nil"/>
              <w:bottom w:val="single" w:sz="4" w:space="0" w:color="auto"/>
              <w:right w:val="single" w:sz="4" w:space="0" w:color="auto"/>
            </w:tcBorders>
            <w:shd w:val="clear" w:color="auto" w:fill="C6EFCE"/>
            <w:noWrap/>
            <w:vAlign w:val="center"/>
          </w:tcPr>
          <w:p w14:paraId="1E909922" w14:textId="77777777" w:rsidR="00154E32" w:rsidRDefault="00A43E04">
            <w:pPr>
              <w:pStyle w:val="P68B1DB1-Normal12"/>
              <w:jc w:val="center"/>
              <w:rPr>
                <w:noProof/>
              </w:rPr>
            </w:pPr>
            <w:r>
              <w:rPr>
                <w:noProof/>
              </w:rPr>
              <w:t xml:space="preserve">Oddaja (vseh) javnih naročil za naložbe v primarno vodno infrastrukturo in za zanesljivost oskrbe z vodo </w:t>
            </w:r>
          </w:p>
        </w:tc>
      </w:tr>
      <w:tr w:rsidR="00154E32" w14:paraId="09EBD8C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C877395" w14:textId="77777777" w:rsidR="00154E32" w:rsidRDefault="00A43E04">
            <w:pPr>
              <w:pStyle w:val="P68B1DB1-Normal12"/>
              <w:jc w:val="center"/>
              <w:rPr>
                <w:noProof/>
              </w:rPr>
            </w:pPr>
            <w:r>
              <w:rPr>
                <w:noProof/>
              </w:rPr>
              <w:t>M2C4–31</w:t>
            </w:r>
          </w:p>
        </w:tc>
        <w:tc>
          <w:tcPr>
            <w:tcW w:w="3195" w:type="dxa"/>
            <w:tcBorders>
              <w:top w:val="nil"/>
              <w:left w:val="nil"/>
              <w:bottom w:val="single" w:sz="4" w:space="0" w:color="auto"/>
              <w:right w:val="single" w:sz="4" w:space="0" w:color="auto"/>
            </w:tcBorders>
            <w:shd w:val="clear" w:color="auto" w:fill="C6EFCE"/>
            <w:noWrap/>
            <w:vAlign w:val="center"/>
          </w:tcPr>
          <w:p w14:paraId="736A04B3" w14:textId="77777777" w:rsidR="00154E32" w:rsidRDefault="00A43E04">
            <w:pPr>
              <w:pStyle w:val="P68B1DB1-Normal12"/>
              <w:jc w:val="center"/>
              <w:rPr>
                <w:noProof/>
              </w:rPr>
            </w:pPr>
            <w:r>
              <w:rPr>
                <w:noProof/>
              </w:rPr>
              <w:t>Naložba 4.2. Zmanjšanje izgub v vodovodnih omrežjih, vključno z digitalizacijo in spremljanjem omrežij</w:t>
            </w:r>
          </w:p>
        </w:tc>
        <w:tc>
          <w:tcPr>
            <w:tcW w:w="1378" w:type="dxa"/>
            <w:tcBorders>
              <w:top w:val="nil"/>
              <w:left w:val="nil"/>
              <w:bottom w:val="single" w:sz="4" w:space="0" w:color="auto"/>
              <w:right w:val="single" w:sz="4" w:space="0" w:color="auto"/>
            </w:tcBorders>
            <w:shd w:val="clear" w:color="auto" w:fill="C6EFCE"/>
            <w:noWrap/>
            <w:vAlign w:val="center"/>
          </w:tcPr>
          <w:p w14:paraId="454344AF" w14:textId="77777777" w:rsidR="00154E32" w:rsidRDefault="00A43E04">
            <w:pPr>
              <w:pStyle w:val="P68B1DB1-Normal12"/>
              <w:jc w:val="center"/>
              <w:rPr>
                <w:noProof/>
              </w:rPr>
            </w:pPr>
            <w:r>
              <w:rPr>
                <w:noProof/>
              </w:rPr>
              <w:t>Tarča</w:t>
            </w:r>
          </w:p>
        </w:tc>
        <w:tc>
          <w:tcPr>
            <w:tcW w:w="4166" w:type="dxa"/>
            <w:tcBorders>
              <w:top w:val="nil"/>
              <w:left w:val="nil"/>
              <w:bottom w:val="single" w:sz="4" w:space="0" w:color="auto"/>
              <w:right w:val="single" w:sz="4" w:space="0" w:color="auto"/>
            </w:tcBorders>
            <w:shd w:val="clear" w:color="auto" w:fill="C6EFCE"/>
            <w:noWrap/>
            <w:vAlign w:val="center"/>
          </w:tcPr>
          <w:p w14:paraId="40AEB894" w14:textId="77777777" w:rsidR="00154E32" w:rsidRDefault="00A43E04">
            <w:pPr>
              <w:pStyle w:val="P68B1DB1-Normal12"/>
              <w:jc w:val="center"/>
              <w:rPr>
                <w:noProof/>
              </w:rPr>
            </w:pPr>
            <w:r>
              <w:rPr>
                <w:noProof/>
              </w:rPr>
              <w:t>Posegi v vodovodnih omrežjih, vključno z digitalizacijo in spremljanjem omrežij T1</w:t>
            </w:r>
          </w:p>
        </w:tc>
      </w:tr>
      <w:tr w:rsidR="00154E32" w14:paraId="5EF2E2E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7E87AC0" w14:textId="77777777" w:rsidR="00154E32" w:rsidRDefault="00A43E04">
            <w:pPr>
              <w:pStyle w:val="P68B1DB1-Normal12"/>
              <w:jc w:val="center"/>
              <w:rPr>
                <w:noProof/>
              </w:rPr>
            </w:pPr>
            <w:r>
              <w:rPr>
                <w:noProof/>
              </w:rPr>
              <w:t>M2C4–34</w:t>
            </w:r>
          </w:p>
        </w:tc>
        <w:tc>
          <w:tcPr>
            <w:tcW w:w="3195" w:type="dxa"/>
            <w:tcBorders>
              <w:top w:val="nil"/>
              <w:left w:val="nil"/>
              <w:bottom w:val="single" w:sz="4" w:space="0" w:color="auto"/>
              <w:right w:val="single" w:sz="4" w:space="0" w:color="auto"/>
            </w:tcBorders>
            <w:shd w:val="clear" w:color="auto" w:fill="C6EFCE"/>
            <w:noWrap/>
            <w:vAlign w:val="center"/>
          </w:tcPr>
          <w:p w14:paraId="6CB9E885" w14:textId="77777777" w:rsidR="00154E32" w:rsidRDefault="00A43E04">
            <w:pPr>
              <w:pStyle w:val="P68B1DB1-Normal12"/>
              <w:jc w:val="center"/>
              <w:rPr>
                <w:noProof/>
              </w:rPr>
            </w:pPr>
            <w:r>
              <w:rPr>
                <w:noProof/>
              </w:rPr>
              <w:t>Naložba 4.3 Naložbe v odpornost namakalnega kmetijskega sistema za boljše upravljanje vodnih virov</w:t>
            </w:r>
          </w:p>
        </w:tc>
        <w:tc>
          <w:tcPr>
            <w:tcW w:w="1378" w:type="dxa"/>
            <w:tcBorders>
              <w:top w:val="nil"/>
              <w:left w:val="nil"/>
              <w:bottom w:val="single" w:sz="4" w:space="0" w:color="auto"/>
              <w:right w:val="single" w:sz="4" w:space="0" w:color="auto"/>
            </w:tcBorders>
            <w:shd w:val="clear" w:color="auto" w:fill="C6EFCE"/>
            <w:noWrap/>
            <w:vAlign w:val="center"/>
          </w:tcPr>
          <w:p w14:paraId="331A2F2D" w14:textId="77777777" w:rsidR="00154E32" w:rsidRDefault="00A43E04">
            <w:pPr>
              <w:pStyle w:val="P68B1DB1-Normal12"/>
              <w:jc w:val="center"/>
              <w:rPr>
                <w:noProof/>
              </w:rPr>
            </w:pPr>
            <w:r>
              <w:rPr>
                <w:noProof/>
              </w:rPr>
              <w:t>Tarča</w:t>
            </w:r>
          </w:p>
        </w:tc>
        <w:tc>
          <w:tcPr>
            <w:tcW w:w="4166" w:type="dxa"/>
            <w:tcBorders>
              <w:top w:val="nil"/>
              <w:left w:val="nil"/>
              <w:bottom w:val="single" w:sz="4" w:space="0" w:color="auto"/>
              <w:right w:val="single" w:sz="4" w:space="0" w:color="auto"/>
            </w:tcBorders>
            <w:shd w:val="clear" w:color="auto" w:fill="C6EFCE"/>
            <w:noWrap/>
            <w:vAlign w:val="center"/>
          </w:tcPr>
          <w:p w14:paraId="0E90AABE" w14:textId="77777777" w:rsidR="00154E32" w:rsidRDefault="00A43E04">
            <w:pPr>
              <w:pStyle w:val="P68B1DB1-Normal12"/>
              <w:jc w:val="center"/>
              <w:rPr>
                <w:noProof/>
              </w:rPr>
            </w:pPr>
            <w:r>
              <w:rPr>
                <w:noProof/>
              </w:rPr>
              <w:t>Intervencije za odpornost namakalnega kmetijskega sistema za boljše upravljanje vodnih virov T1</w:t>
            </w:r>
          </w:p>
        </w:tc>
      </w:tr>
      <w:tr w:rsidR="00154E32" w14:paraId="707E3F0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6F6EA38" w14:textId="77777777" w:rsidR="00154E32" w:rsidRDefault="00A43E04">
            <w:pPr>
              <w:pStyle w:val="P68B1DB1-Normal12"/>
              <w:jc w:val="center"/>
              <w:rPr>
                <w:noProof/>
              </w:rPr>
            </w:pPr>
            <w:r>
              <w:rPr>
                <w:noProof/>
              </w:rPr>
              <w:t>M2C4–35</w:t>
            </w:r>
          </w:p>
        </w:tc>
        <w:tc>
          <w:tcPr>
            <w:tcW w:w="3195" w:type="dxa"/>
            <w:tcBorders>
              <w:top w:val="nil"/>
              <w:left w:val="nil"/>
              <w:bottom w:val="single" w:sz="4" w:space="0" w:color="auto"/>
              <w:right w:val="single" w:sz="4" w:space="0" w:color="auto"/>
            </w:tcBorders>
            <w:shd w:val="clear" w:color="auto" w:fill="C6EFCE"/>
            <w:noWrap/>
            <w:vAlign w:val="center"/>
          </w:tcPr>
          <w:p w14:paraId="69843252" w14:textId="77777777" w:rsidR="00154E32" w:rsidRDefault="00A43E04">
            <w:pPr>
              <w:pStyle w:val="P68B1DB1-Normal12"/>
              <w:jc w:val="center"/>
              <w:rPr>
                <w:noProof/>
              </w:rPr>
            </w:pPr>
            <w:r>
              <w:rPr>
                <w:noProof/>
              </w:rPr>
              <w:t>Naložba 4.3 Naložbe v odpornost namakalnega kmetijskega sistema za boljše upravljanje vodnih virov</w:t>
            </w:r>
          </w:p>
        </w:tc>
        <w:tc>
          <w:tcPr>
            <w:tcW w:w="1378" w:type="dxa"/>
            <w:tcBorders>
              <w:top w:val="nil"/>
              <w:left w:val="nil"/>
              <w:bottom w:val="single" w:sz="4" w:space="0" w:color="auto"/>
              <w:right w:val="single" w:sz="4" w:space="0" w:color="auto"/>
            </w:tcBorders>
            <w:shd w:val="clear" w:color="auto" w:fill="C6EFCE"/>
            <w:noWrap/>
            <w:vAlign w:val="center"/>
          </w:tcPr>
          <w:p w14:paraId="0F8B54AD" w14:textId="77777777" w:rsidR="00154E32" w:rsidRDefault="00A43E04">
            <w:pPr>
              <w:pStyle w:val="P68B1DB1-Normal12"/>
              <w:jc w:val="center"/>
              <w:rPr>
                <w:noProof/>
              </w:rPr>
            </w:pPr>
            <w:r>
              <w:rPr>
                <w:noProof/>
              </w:rPr>
              <w:t>Tarča</w:t>
            </w:r>
          </w:p>
        </w:tc>
        <w:tc>
          <w:tcPr>
            <w:tcW w:w="4166" w:type="dxa"/>
            <w:tcBorders>
              <w:top w:val="nil"/>
              <w:left w:val="nil"/>
              <w:bottom w:val="single" w:sz="4" w:space="0" w:color="auto"/>
              <w:right w:val="single" w:sz="4" w:space="0" w:color="auto"/>
            </w:tcBorders>
            <w:shd w:val="clear" w:color="auto" w:fill="C6EFCE"/>
            <w:noWrap/>
            <w:vAlign w:val="center"/>
          </w:tcPr>
          <w:p w14:paraId="6F3C1F00" w14:textId="77777777" w:rsidR="00154E32" w:rsidRDefault="00A43E04">
            <w:pPr>
              <w:pStyle w:val="P68B1DB1-Normal12"/>
              <w:jc w:val="center"/>
              <w:rPr>
                <w:noProof/>
              </w:rPr>
            </w:pPr>
            <w:r>
              <w:rPr>
                <w:noProof/>
              </w:rPr>
              <w:t>Intervencije za odpornost namakalnega kmetijskega sistema za boljše upravljanje vodnih virov T1</w:t>
            </w:r>
          </w:p>
        </w:tc>
      </w:tr>
      <w:tr w:rsidR="00154E32" w14:paraId="5080E0F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643FAE1" w14:textId="77777777" w:rsidR="00154E32" w:rsidRDefault="00A43E04">
            <w:pPr>
              <w:pStyle w:val="P68B1DB1-Normal12"/>
              <w:jc w:val="center"/>
              <w:rPr>
                <w:noProof/>
              </w:rPr>
            </w:pPr>
            <w:r>
              <w:rPr>
                <w:noProof/>
              </w:rPr>
              <w:t>M2C4–37</w:t>
            </w:r>
          </w:p>
        </w:tc>
        <w:tc>
          <w:tcPr>
            <w:tcW w:w="3195" w:type="dxa"/>
            <w:tcBorders>
              <w:top w:val="nil"/>
              <w:left w:val="nil"/>
              <w:bottom w:val="single" w:sz="4" w:space="0" w:color="auto"/>
              <w:right w:val="single" w:sz="4" w:space="0" w:color="auto"/>
            </w:tcBorders>
            <w:shd w:val="clear" w:color="auto" w:fill="C6EFCE"/>
            <w:noWrap/>
            <w:vAlign w:val="center"/>
          </w:tcPr>
          <w:p w14:paraId="68FC6AC5" w14:textId="77777777" w:rsidR="00154E32" w:rsidRDefault="00A43E04">
            <w:pPr>
              <w:pStyle w:val="P68B1DB1-Normal12"/>
              <w:jc w:val="center"/>
              <w:rPr>
                <w:noProof/>
              </w:rPr>
            </w:pPr>
            <w:r>
              <w:rPr>
                <w:noProof/>
              </w:rPr>
              <w:t>Naložba 4.4 Naložbe v kanalizacijo in čiščenje odpadnih voda</w:t>
            </w:r>
          </w:p>
        </w:tc>
        <w:tc>
          <w:tcPr>
            <w:tcW w:w="1378" w:type="dxa"/>
            <w:tcBorders>
              <w:top w:val="nil"/>
              <w:left w:val="nil"/>
              <w:bottom w:val="single" w:sz="4" w:space="0" w:color="auto"/>
              <w:right w:val="single" w:sz="4" w:space="0" w:color="auto"/>
            </w:tcBorders>
            <w:shd w:val="clear" w:color="auto" w:fill="C6EFCE"/>
            <w:noWrap/>
            <w:vAlign w:val="center"/>
          </w:tcPr>
          <w:p w14:paraId="3698EA06" w14:textId="77777777" w:rsidR="00154E32" w:rsidRDefault="00A43E04">
            <w:pPr>
              <w:pStyle w:val="P68B1DB1-Normal12"/>
              <w:jc w:val="center"/>
              <w:rPr>
                <w:noProof/>
              </w:rPr>
            </w:pPr>
            <w:r>
              <w:rPr>
                <w:noProof/>
              </w:rPr>
              <w:t>Tarča</w:t>
            </w:r>
          </w:p>
        </w:tc>
        <w:tc>
          <w:tcPr>
            <w:tcW w:w="4166" w:type="dxa"/>
            <w:tcBorders>
              <w:top w:val="nil"/>
              <w:left w:val="nil"/>
              <w:bottom w:val="single" w:sz="4" w:space="0" w:color="auto"/>
              <w:right w:val="single" w:sz="4" w:space="0" w:color="auto"/>
            </w:tcBorders>
            <w:shd w:val="clear" w:color="auto" w:fill="C6EFCE"/>
            <w:noWrap/>
            <w:vAlign w:val="center"/>
          </w:tcPr>
          <w:p w14:paraId="2356B595" w14:textId="77777777" w:rsidR="00154E32" w:rsidRDefault="00A43E04">
            <w:pPr>
              <w:pStyle w:val="P68B1DB1-Normal12"/>
              <w:jc w:val="center"/>
              <w:rPr>
                <w:noProof/>
              </w:rPr>
            </w:pPr>
            <w:r>
              <w:rPr>
                <w:noProof/>
              </w:rPr>
              <w:t>Posegi v kanalizacijo in čiščenje T1</w:t>
            </w:r>
          </w:p>
        </w:tc>
      </w:tr>
      <w:tr w:rsidR="00154E32" w14:paraId="72A144D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B42E9F2" w14:textId="77777777" w:rsidR="00154E32" w:rsidRDefault="00A43E04">
            <w:pPr>
              <w:pStyle w:val="P68B1DB1-Normal12"/>
              <w:jc w:val="center"/>
              <w:rPr>
                <w:noProof/>
              </w:rPr>
            </w:pPr>
            <w:r>
              <w:rPr>
                <w:noProof/>
              </w:rPr>
              <w:t>M3C1–15</w:t>
            </w:r>
          </w:p>
        </w:tc>
        <w:tc>
          <w:tcPr>
            <w:tcW w:w="3195" w:type="dxa"/>
            <w:tcBorders>
              <w:top w:val="nil"/>
              <w:left w:val="nil"/>
              <w:bottom w:val="single" w:sz="4" w:space="0" w:color="auto"/>
              <w:right w:val="single" w:sz="4" w:space="0" w:color="auto"/>
            </w:tcBorders>
            <w:shd w:val="clear" w:color="auto" w:fill="C6EFCE"/>
            <w:noWrap/>
            <w:vAlign w:val="center"/>
          </w:tcPr>
          <w:p w14:paraId="5115EC0A" w14:textId="77777777" w:rsidR="00154E32" w:rsidRDefault="00A43E04">
            <w:pPr>
              <w:pStyle w:val="P68B1DB1-Normal12"/>
              <w:jc w:val="center"/>
              <w:rPr>
                <w:noProof/>
              </w:rPr>
            </w:pPr>
            <w:r>
              <w:rPr>
                <w:noProof/>
              </w:rPr>
              <w:t>Naložba 1.5 – Krepitev metropolitanskih vozlišč in ključnih nacionalnih povezav</w:t>
            </w:r>
          </w:p>
        </w:tc>
        <w:tc>
          <w:tcPr>
            <w:tcW w:w="1378" w:type="dxa"/>
            <w:tcBorders>
              <w:top w:val="nil"/>
              <w:left w:val="nil"/>
              <w:bottom w:val="single" w:sz="4" w:space="0" w:color="auto"/>
              <w:right w:val="single" w:sz="4" w:space="0" w:color="auto"/>
            </w:tcBorders>
            <w:shd w:val="clear" w:color="auto" w:fill="C6EFCE"/>
            <w:noWrap/>
            <w:vAlign w:val="center"/>
          </w:tcPr>
          <w:p w14:paraId="510D10AD" w14:textId="77777777" w:rsidR="00154E32" w:rsidRDefault="00A43E04">
            <w:pPr>
              <w:pStyle w:val="P68B1DB1-Normal12"/>
              <w:jc w:val="center"/>
              <w:rPr>
                <w:noProof/>
              </w:rPr>
            </w:pPr>
            <w:r>
              <w:rPr>
                <w:noProof/>
              </w:rPr>
              <w:t>Tarča</w:t>
            </w:r>
          </w:p>
        </w:tc>
        <w:tc>
          <w:tcPr>
            <w:tcW w:w="4166" w:type="dxa"/>
            <w:tcBorders>
              <w:top w:val="nil"/>
              <w:left w:val="nil"/>
              <w:bottom w:val="single" w:sz="4" w:space="0" w:color="auto"/>
              <w:right w:val="single" w:sz="4" w:space="0" w:color="auto"/>
            </w:tcBorders>
            <w:shd w:val="clear" w:color="auto" w:fill="C6EFCE"/>
            <w:noWrap/>
            <w:vAlign w:val="center"/>
          </w:tcPr>
          <w:p w14:paraId="7D459CE7" w14:textId="77777777" w:rsidR="00154E32" w:rsidRDefault="00A43E04">
            <w:pPr>
              <w:pStyle w:val="P68B1DB1-Normal12"/>
              <w:jc w:val="center"/>
              <w:rPr>
                <w:noProof/>
              </w:rPr>
            </w:pPr>
            <w:r>
              <w:rPr>
                <w:noProof/>
              </w:rPr>
              <w:t>700 km nadgrajenih odsekov prog, zgrajenih na metropolitanskih vozliščih in ključnih nacionalnih povezavah</w:t>
            </w:r>
          </w:p>
        </w:tc>
      </w:tr>
      <w:tr w:rsidR="00154E32" w14:paraId="6D2533D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FDC2210" w14:textId="77777777" w:rsidR="00154E32" w:rsidRDefault="00A43E04">
            <w:pPr>
              <w:pStyle w:val="P68B1DB1-Normal12"/>
              <w:jc w:val="center"/>
              <w:rPr>
                <w:noProof/>
              </w:rPr>
            </w:pPr>
            <w:r>
              <w:rPr>
                <w:noProof/>
              </w:rPr>
              <w:t>M3C1–19</w:t>
            </w:r>
          </w:p>
        </w:tc>
        <w:tc>
          <w:tcPr>
            <w:tcW w:w="3195" w:type="dxa"/>
            <w:tcBorders>
              <w:top w:val="nil"/>
              <w:left w:val="nil"/>
              <w:bottom w:val="single" w:sz="4" w:space="0" w:color="auto"/>
              <w:right w:val="single" w:sz="4" w:space="0" w:color="auto"/>
            </w:tcBorders>
            <w:shd w:val="clear" w:color="auto" w:fill="C6EFCE"/>
            <w:noWrap/>
            <w:vAlign w:val="center"/>
          </w:tcPr>
          <w:p w14:paraId="2B138DD1" w14:textId="77777777" w:rsidR="00154E32" w:rsidRDefault="00A43E04">
            <w:pPr>
              <w:pStyle w:val="P68B1DB1-Normal12"/>
              <w:jc w:val="center"/>
              <w:rPr>
                <w:noProof/>
              </w:rPr>
            </w:pPr>
            <w:r>
              <w:rPr>
                <w:noProof/>
              </w:rPr>
              <w:t>Naložba 1.8 – Posodobitev železniških postaj (upravljanje RFI; na jugu)</w:t>
            </w:r>
          </w:p>
        </w:tc>
        <w:tc>
          <w:tcPr>
            <w:tcW w:w="1378" w:type="dxa"/>
            <w:tcBorders>
              <w:top w:val="nil"/>
              <w:left w:val="nil"/>
              <w:bottom w:val="single" w:sz="4" w:space="0" w:color="auto"/>
              <w:right w:val="single" w:sz="4" w:space="0" w:color="auto"/>
            </w:tcBorders>
            <w:shd w:val="clear" w:color="auto" w:fill="C6EFCE"/>
            <w:noWrap/>
            <w:vAlign w:val="center"/>
          </w:tcPr>
          <w:p w14:paraId="283441C6" w14:textId="77777777" w:rsidR="00154E32" w:rsidRDefault="00A43E04">
            <w:pPr>
              <w:pStyle w:val="P68B1DB1-Normal12"/>
              <w:jc w:val="center"/>
              <w:rPr>
                <w:noProof/>
              </w:rPr>
            </w:pPr>
            <w:r>
              <w:rPr>
                <w:noProof/>
              </w:rPr>
              <w:t>Tarča</w:t>
            </w:r>
          </w:p>
        </w:tc>
        <w:tc>
          <w:tcPr>
            <w:tcW w:w="4166" w:type="dxa"/>
            <w:tcBorders>
              <w:top w:val="nil"/>
              <w:left w:val="nil"/>
              <w:bottom w:val="single" w:sz="4" w:space="0" w:color="auto"/>
              <w:right w:val="single" w:sz="4" w:space="0" w:color="auto"/>
            </w:tcBorders>
            <w:shd w:val="clear" w:color="auto" w:fill="C6EFCE"/>
            <w:noWrap/>
            <w:vAlign w:val="center"/>
          </w:tcPr>
          <w:p w14:paraId="77CC2144" w14:textId="77777777" w:rsidR="00154E32" w:rsidRDefault="00A43E04">
            <w:pPr>
              <w:pStyle w:val="P68B1DB1-Normal12"/>
              <w:jc w:val="center"/>
              <w:rPr>
                <w:noProof/>
              </w:rPr>
            </w:pPr>
            <w:r>
              <w:rPr>
                <w:noProof/>
              </w:rPr>
              <w:t>Nadgrajene in dostopne železniške postaje</w:t>
            </w:r>
          </w:p>
        </w:tc>
      </w:tr>
      <w:tr w:rsidR="00154E32" w14:paraId="3A4A795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74204E3" w14:textId="77777777" w:rsidR="00154E32" w:rsidRDefault="00A43E04">
            <w:pPr>
              <w:pStyle w:val="P68B1DB1-Normal12"/>
              <w:jc w:val="center"/>
              <w:rPr>
                <w:noProof/>
              </w:rPr>
            </w:pPr>
            <w:r>
              <w:rPr>
                <w:noProof/>
              </w:rPr>
              <w:t>M4C2–21bis</w:t>
            </w:r>
          </w:p>
        </w:tc>
        <w:tc>
          <w:tcPr>
            <w:tcW w:w="3195" w:type="dxa"/>
            <w:tcBorders>
              <w:top w:val="nil"/>
              <w:left w:val="nil"/>
              <w:bottom w:val="single" w:sz="4" w:space="0" w:color="auto"/>
              <w:right w:val="single" w:sz="4" w:space="0" w:color="auto"/>
            </w:tcBorders>
            <w:shd w:val="clear" w:color="auto" w:fill="C6EFCE"/>
            <w:noWrap/>
            <w:vAlign w:val="center"/>
          </w:tcPr>
          <w:p w14:paraId="4AC24D35" w14:textId="77777777" w:rsidR="00154E32" w:rsidRDefault="00A43E04">
            <w:pPr>
              <w:pStyle w:val="P68B1DB1-Normal12"/>
              <w:jc w:val="center"/>
              <w:rPr>
                <w:noProof/>
              </w:rPr>
            </w:pPr>
            <w:r>
              <w:rPr>
                <w:noProof/>
              </w:rPr>
              <w:t xml:space="preserve">Naložba 5.4 – Financiranje zagonskih podjetij </w:t>
            </w:r>
          </w:p>
        </w:tc>
        <w:tc>
          <w:tcPr>
            <w:tcW w:w="1378" w:type="dxa"/>
            <w:tcBorders>
              <w:top w:val="nil"/>
              <w:left w:val="nil"/>
              <w:bottom w:val="single" w:sz="4" w:space="0" w:color="auto"/>
              <w:right w:val="single" w:sz="4" w:space="0" w:color="auto"/>
            </w:tcBorders>
            <w:shd w:val="clear" w:color="auto" w:fill="C6EFCE"/>
            <w:noWrap/>
            <w:vAlign w:val="center"/>
          </w:tcPr>
          <w:p w14:paraId="1B18D4CE" w14:textId="1C59416A" w:rsidR="00154E32" w:rsidRDefault="00A43E04">
            <w:pPr>
              <w:pStyle w:val="P68B1DB1-Normal12"/>
              <w:jc w:val="center"/>
              <w:rPr>
                <w:noProof/>
              </w:rPr>
            </w:pPr>
            <w:r>
              <w:rPr>
                <w:noProof/>
              </w:rPr>
              <w:t>Mejnik</w:t>
            </w:r>
          </w:p>
        </w:tc>
        <w:tc>
          <w:tcPr>
            <w:tcW w:w="4166" w:type="dxa"/>
            <w:tcBorders>
              <w:top w:val="nil"/>
              <w:left w:val="nil"/>
              <w:bottom w:val="single" w:sz="4" w:space="0" w:color="auto"/>
              <w:right w:val="single" w:sz="4" w:space="0" w:color="auto"/>
            </w:tcBorders>
            <w:shd w:val="clear" w:color="auto" w:fill="C6EFCE"/>
            <w:noWrap/>
            <w:vAlign w:val="center"/>
          </w:tcPr>
          <w:p w14:paraId="22A8A18E" w14:textId="77777777" w:rsidR="00154E32" w:rsidRDefault="00A43E04">
            <w:pPr>
              <w:pStyle w:val="P68B1DB1-Normal12"/>
              <w:jc w:val="center"/>
              <w:rPr>
                <w:noProof/>
              </w:rPr>
            </w:pPr>
            <w:r>
              <w:rPr>
                <w:noProof/>
              </w:rPr>
              <w:t>Ministrstvo je zaključilo prenos sredstev na CDP Venture Capital SGR.</w:t>
            </w:r>
          </w:p>
        </w:tc>
      </w:tr>
      <w:tr w:rsidR="00154E32" w14:paraId="7E234D3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61DAD49" w14:textId="77777777" w:rsidR="00154E32" w:rsidRDefault="00A43E04">
            <w:pPr>
              <w:pStyle w:val="P68B1DB1-Normal12"/>
              <w:jc w:val="center"/>
              <w:rPr>
                <w:noProof/>
              </w:rPr>
            </w:pPr>
            <w:r>
              <w:rPr>
                <w:noProof/>
              </w:rPr>
              <w:t>M6C1–7</w:t>
            </w:r>
          </w:p>
        </w:tc>
        <w:tc>
          <w:tcPr>
            <w:tcW w:w="3195" w:type="dxa"/>
            <w:tcBorders>
              <w:top w:val="nil"/>
              <w:left w:val="nil"/>
              <w:bottom w:val="single" w:sz="4" w:space="0" w:color="auto"/>
              <w:right w:val="single" w:sz="4" w:space="0" w:color="auto"/>
            </w:tcBorders>
            <w:shd w:val="clear" w:color="auto" w:fill="C6EFCE"/>
            <w:noWrap/>
            <w:vAlign w:val="center"/>
          </w:tcPr>
          <w:p w14:paraId="4B8DA994" w14:textId="77777777" w:rsidR="00154E32" w:rsidRDefault="00A43E04">
            <w:pPr>
              <w:pStyle w:val="P68B1DB1-Normal12"/>
              <w:jc w:val="center"/>
              <w:rPr>
                <w:noProof/>
              </w:rPr>
            </w:pPr>
            <w:r>
              <w:rPr>
                <w:noProof/>
              </w:rPr>
              <w:t>Naložba 1.2: Dom kot prvi kraj oskrbe in telemedicine</w:t>
            </w:r>
          </w:p>
        </w:tc>
        <w:tc>
          <w:tcPr>
            <w:tcW w:w="1378" w:type="dxa"/>
            <w:tcBorders>
              <w:top w:val="nil"/>
              <w:left w:val="nil"/>
              <w:bottom w:val="single" w:sz="4" w:space="0" w:color="auto"/>
              <w:right w:val="single" w:sz="4" w:space="0" w:color="auto"/>
            </w:tcBorders>
            <w:shd w:val="clear" w:color="auto" w:fill="C6EFCE"/>
            <w:noWrap/>
            <w:vAlign w:val="center"/>
          </w:tcPr>
          <w:p w14:paraId="14AF675D" w14:textId="77777777" w:rsidR="00154E32" w:rsidRDefault="00A43E04">
            <w:pPr>
              <w:pStyle w:val="P68B1DB1-Normal12"/>
              <w:jc w:val="center"/>
              <w:rPr>
                <w:noProof/>
              </w:rPr>
            </w:pPr>
            <w:r>
              <w:rPr>
                <w:noProof/>
              </w:rPr>
              <w:t>Tarča</w:t>
            </w:r>
          </w:p>
        </w:tc>
        <w:tc>
          <w:tcPr>
            <w:tcW w:w="4166" w:type="dxa"/>
            <w:tcBorders>
              <w:top w:val="nil"/>
              <w:left w:val="nil"/>
              <w:bottom w:val="single" w:sz="4" w:space="0" w:color="auto"/>
              <w:right w:val="single" w:sz="4" w:space="0" w:color="auto"/>
            </w:tcBorders>
            <w:shd w:val="clear" w:color="auto" w:fill="C6EFCE"/>
            <w:noWrap/>
            <w:vAlign w:val="center"/>
          </w:tcPr>
          <w:p w14:paraId="281D1109" w14:textId="77777777" w:rsidR="00154E32" w:rsidRDefault="00A43E04">
            <w:pPr>
              <w:pStyle w:val="P68B1DB1-Normal12"/>
              <w:jc w:val="center"/>
              <w:rPr>
                <w:noProof/>
              </w:rPr>
            </w:pPr>
            <w:r>
              <w:rPr>
                <w:noProof/>
              </w:rPr>
              <w:t>Centri za usklajevanje v celoti delujejo (druga serija)</w:t>
            </w:r>
          </w:p>
        </w:tc>
      </w:tr>
      <w:tr w:rsidR="00154E32" w14:paraId="4FA742E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B56846F" w14:textId="77777777" w:rsidR="00154E32" w:rsidRDefault="00A43E04">
            <w:pPr>
              <w:pStyle w:val="P68B1DB1-Normal12"/>
              <w:jc w:val="center"/>
              <w:rPr>
                <w:noProof/>
              </w:rPr>
            </w:pPr>
            <w:r>
              <w:rPr>
                <w:noProof/>
              </w:rPr>
              <w:t>M7–43</w:t>
            </w:r>
          </w:p>
        </w:tc>
        <w:tc>
          <w:tcPr>
            <w:tcW w:w="3195" w:type="dxa"/>
            <w:tcBorders>
              <w:top w:val="nil"/>
              <w:left w:val="nil"/>
              <w:bottom w:val="single" w:sz="4" w:space="0" w:color="auto"/>
              <w:right w:val="single" w:sz="4" w:space="0" w:color="auto"/>
            </w:tcBorders>
            <w:shd w:val="clear" w:color="auto" w:fill="C6EFCE"/>
            <w:noWrap/>
            <w:vAlign w:val="center"/>
          </w:tcPr>
          <w:p w14:paraId="31237290" w14:textId="77777777" w:rsidR="00154E32" w:rsidRDefault="00A43E04">
            <w:pPr>
              <w:pStyle w:val="P68B1DB1-Normal12"/>
              <w:jc w:val="center"/>
              <w:rPr>
                <w:noProof/>
              </w:rPr>
            </w:pPr>
            <w:r>
              <w:rPr>
                <w:noProof/>
              </w:rPr>
              <w:t>Naložba 16: Podpora MSP za lastno proizvodnjo iz obnovljivih virov energije</w:t>
            </w:r>
          </w:p>
        </w:tc>
        <w:tc>
          <w:tcPr>
            <w:tcW w:w="1378" w:type="dxa"/>
            <w:tcBorders>
              <w:top w:val="nil"/>
              <w:left w:val="nil"/>
              <w:bottom w:val="single" w:sz="4" w:space="0" w:color="auto"/>
              <w:right w:val="single" w:sz="4" w:space="0" w:color="auto"/>
            </w:tcBorders>
            <w:shd w:val="clear" w:color="auto" w:fill="C6EFCE"/>
            <w:noWrap/>
            <w:vAlign w:val="center"/>
          </w:tcPr>
          <w:p w14:paraId="37EEC8CB" w14:textId="77777777" w:rsidR="00154E32" w:rsidRDefault="00A43E04">
            <w:pPr>
              <w:pStyle w:val="P68B1DB1-Normal12"/>
              <w:jc w:val="center"/>
              <w:rPr>
                <w:noProof/>
              </w:rPr>
            </w:pPr>
            <w:r>
              <w:rPr>
                <w:noProof/>
              </w:rPr>
              <w:t>Mejnik</w:t>
            </w:r>
          </w:p>
        </w:tc>
        <w:tc>
          <w:tcPr>
            <w:tcW w:w="4166" w:type="dxa"/>
            <w:tcBorders>
              <w:top w:val="nil"/>
              <w:left w:val="nil"/>
              <w:bottom w:val="single" w:sz="4" w:space="0" w:color="auto"/>
              <w:right w:val="single" w:sz="4" w:space="0" w:color="auto"/>
            </w:tcBorders>
            <w:shd w:val="clear" w:color="auto" w:fill="C6EFCE"/>
            <w:noWrap/>
            <w:vAlign w:val="center"/>
          </w:tcPr>
          <w:p w14:paraId="5E99DC5A" w14:textId="77777777" w:rsidR="00154E32" w:rsidRDefault="00A43E04">
            <w:pPr>
              <w:pStyle w:val="P68B1DB1-Normal12"/>
              <w:jc w:val="center"/>
              <w:rPr>
                <w:noProof/>
              </w:rPr>
            </w:pPr>
            <w:r>
              <w:rPr>
                <w:noProof/>
              </w:rPr>
              <w:t>Izvedbeni sporazum</w:t>
            </w:r>
          </w:p>
        </w:tc>
      </w:tr>
      <w:tr w:rsidR="00154E32" w14:paraId="5C2E785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EBEB2CB" w14:textId="77777777" w:rsidR="00154E32" w:rsidRDefault="00A43E04">
            <w:pPr>
              <w:pStyle w:val="P68B1DB1-Normal12"/>
              <w:jc w:val="center"/>
              <w:rPr>
                <w:noProof/>
              </w:rPr>
            </w:pPr>
            <w:r>
              <w:rPr>
                <w:noProof/>
              </w:rPr>
              <w:t>M7–44</w:t>
            </w:r>
          </w:p>
        </w:tc>
        <w:tc>
          <w:tcPr>
            <w:tcW w:w="3195" w:type="dxa"/>
            <w:tcBorders>
              <w:top w:val="nil"/>
              <w:left w:val="nil"/>
              <w:bottom w:val="single" w:sz="4" w:space="0" w:color="auto"/>
              <w:right w:val="single" w:sz="4" w:space="0" w:color="auto"/>
            </w:tcBorders>
            <w:shd w:val="clear" w:color="auto" w:fill="C6EFCE"/>
            <w:noWrap/>
            <w:vAlign w:val="center"/>
          </w:tcPr>
          <w:p w14:paraId="54DE00E5" w14:textId="77777777" w:rsidR="00154E32" w:rsidRDefault="00A43E04">
            <w:pPr>
              <w:pStyle w:val="P68B1DB1-Normal12"/>
              <w:jc w:val="center"/>
              <w:rPr>
                <w:noProof/>
              </w:rPr>
            </w:pPr>
            <w:r>
              <w:rPr>
                <w:noProof/>
              </w:rPr>
              <w:t>Naložba 16: Podpora MSP za lastno proizvodnjo iz obnovljivih virov energije</w:t>
            </w:r>
          </w:p>
        </w:tc>
        <w:tc>
          <w:tcPr>
            <w:tcW w:w="1378" w:type="dxa"/>
            <w:tcBorders>
              <w:top w:val="nil"/>
              <w:left w:val="nil"/>
              <w:bottom w:val="single" w:sz="4" w:space="0" w:color="auto"/>
              <w:right w:val="single" w:sz="4" w:space="0" w:color="auto"/>
            </w:tcBorders>
            <w:shd w:val="clear" w:color="auto" w:fill="C6EFCE"/>
            <w:noWrap/>
            <w:vAlign w:val="center"/>
          </w:tcPr>
          <w:p w14:paraId="63D5214A" w14:textId="77777777" w:rsidR="00154E32" w:rsidRDefault="00A43E04">
            <w:pPr>
              <w:pStyle w:val="P68B1DB1-Normal12"/>
              <w:jc w:val="center"/>
              <w:rPr>
                <w:noProof/>
              </w:rPr>
            </w:pPr>
            <w:r>
              <w:rPr>
                <w:noProof/>
              </w:rPr>
              <w:t>Mejnik</w:t>
            </w:r>
          </w:p>
        </w:tc>
        <w:tc>
          <w:tcPr>
            <w:tcW w:w="4166" w:type="dxa"/>
            <w:tcBorders>
              <w:top w:val="nil"/>
              <w:left w:val="nil"/>
              <w:bottom w:val="single" w:sz="4" w:space="0" w:color="auto"/>
              <w:right w:val="single" w:sz="4" w:space="0" w:color="auto"/>
            </w:tcBorders>
            <w:shd w:val="clear" w:color="auto" w:fill="C6EFCE"/>
            <w:noWrap/>
            <w:vAlign w:val="center"/>
          </w:tcPr>
          <w:p w14:paraId="026AF465" w14:textId="77777777" w:rsidR="00154E32" w:rsidRDefault="00A43E04">
            <w:pPr>
              <w:pStyle w:val="P68B1DB1-Normal12"/>
              <w:jc w:val="center"/>
              <w:rPr>
                <w:noProof/>
              </w:rPr>
            </w:pPr>
            <w:r>
              <w:rPr>
                <w:noProof/>
              </w:rPr>
              <w:t>Italijansko ministrstvo za podjetja in Made je zaključilo prenos sredstev na Invitalijo</w:t>
            </w:r>
          </w:p>
        </w:tc>
      </w:tr>
      <w:tr w:rsidR="00154E32" w14:paraId="75428B4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DCC9865" w14:textId="77777777" w:rsidR="00154E32" w:rsidRDefault="00A43E04">
            <w:pPr>
              <w:pStyle w:val="P68B1DB1-Normal12"/>
              <w:jc w:val="center"/>
              <w:rPr>
                <w:noProof/>
              </w:rPr>
            </w:pPr>
            <w:r>
              <w:rPr>
                <w:noProof/>
              </w:rPr>
              <w:t>M7–48</w:t>
            </w:r>
          </w:p>
        </w:tc>
        <w:tc>
          <w:tcPr>
            <w:tcW w:w="3195" w:type="dxa"/>
            <w:tcBorders>
              <w:top w:val="nil"/>
              <w:left w:val="nil"/>
              <w:bottom w:val="single" w:sz="4" w:space="0" w:color="auto"/>
              <w:right w:val="single" w:sz="4" w:space="0" w:color="auto"/>
            </w:tcBorders>
            <w:shd w:val="clear" w:color="auto" w:fill="C6EFCE"/>
            <w:noWrap/>
            <w:vAlign w:val="center"/>
          </w:tcPr>
          <w:p w14:paraId="2CFF6144" w14:textId="77777777" w:rsidR="00154E32" w:rsidRDefault="00A43E04">
            <w:pPr>
              <w:pStyle w:val="P68B1DB1-Normal12"/>
              <w:jc w:val="center"/>
              <w:rPr>
                <w:noProof/>
              </w:rPr>
            </w:pPr>
            <w:r>
              <w:rPr>
                <w:noProof/>
              </w:rPr>
              <w:t>Naložba 17: Finančni instrument za energetsko prenovo javnih in socialnih stanovanj</w:t>
            </w:r>
          </w:p>
        </w:tc>
        <w:tc>
          <w:tcPr>
            <w:tcW w:w="1378" w:type="dxa"/>
            <w:tcBorders>
              <w:top w:val="nil"/>
              <w:left w:val="nil"/>
              <w:bottom w:val="single" w:sz="4" w:space="0" w:color="auto"/>
              <w:right w:val="single" w:sz="4" w:space="0" w:color="auto"/>
            </w:tcBorders>
            <w:shd w:val="clear" w:color="auto" w:fill="C6EFCE"/>
            <w:noWrap/>
            <w:vAlign w:val="center"/>
          </w:tcPr>
          <w:p w14:paraId="5C4329DF" w14:textId="77777777" w:rsidR="00154E32" w:rsidRDefault="00A43E04">
            <w:pPr>
              <w:pStyle w:val="P68B1DB1-Normal12"/>
              <w:jc w:val="center"/>
              <w:rPr>
                <w:noProof/>
              </w:rPr>
            </w:pPr>
            <w:r>
              <w:rPr>
                <w:noProof/>
              </w:rPr>
              <w:t>Mejnik</w:t>
            </w:r>
          </w:p>
        </w:tc>
        <w:tc>
          <w:tcPr>
            <w:tcW w:w="4166" w:type="dxa"/>
            <w:tcBorders>
              <w:top w:val="nil"/>
              <w:left w:val="nil"/>
              <w:bottom w:val="single" w:sz="4" w:space="0" w:color="auto"/>
              <w:right w:val="single" w:sz="4" w:space="0" w:color="auto"/>
            </w:tcBorders>
            <w:shd w:val="clear" w:color="auto" w:fill="C6EFCE"/>
            <w:noWrap/>
            <w:vAlign w:val="center"/>
          </w:tcPr>
          <w:p w14:paraId="17AA2462" w14:textId="77777777" w:rsidR="00154E32" w:rsidRDefault="00A43E04">
            <w:pPr>
              <w:pStyle w:val="P68B1DB1-Normal12"/>
              <w:jc w:val="center"/>
              <w:rPr>
                <w:noProof/>
              </w:rPr>
            </w:pPr>
            <w:r>
              <w:rPr>
                <w:noProof/>
              </w:rPr>
              <w:t>Ministrstvo je zaključilo naložbo</w:t>
            </w:r>
          </w:p>
        </w:tc>
      </w:tr>
      <w:tr w:rsidR="00154E32" w14:paraId="1AC98A44"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14E72906" w14:textId="77777777" w:rsidR="00154E32" w:rsidRDefault="00154E32">
            <w:pPr>
              <w:jc w:val="center"/>
              <w:rPr>
                <w:noProof/>
                <w:color w:val="006100"/>
                <w:sz w:val="20"/>
              </w:rPr>
            </w:pPr>
          </w:p>
        </w:tc>
        <w:tc>
          <w:tcPr>
            <w:tcW w:w="3195" w:type="dxa"/>
            <w:tcBorders>
              <w:top w:val="single" w:sz="4" w:space="0" w:color="auto"/>
              <w:left w:val="nil"/>
              <w:bottom w:val="single" w:sz="4" w:space="0" w:color="auto"/>
              <w:right w:val="single" w:sz="4" w:space="0" w:color="auto"/>
            </w:tcBorders>
            <w:shd w:val="clear" w:color="auto" w:fill="C6EFCE"/>
            <w:noWrap/>
            <w:vAlign w:val="bottom"/>
          </w:tcPr>
          <w:p w14:paraId="031D7E0F" w14:textId="77777777" w:rsidR="00154E32" w:rsidRDefault="00154E32">
            <w:pPr>
              <w:rPr>
                <w:noProof/>
                <w:color w:val="006100"/>
                <w:sz w:val="20"/>
              </w:rPr>
            </w:pPr>
          </w:p>
        </w:tc>
        <w:tc>
          <w:tcPr>
            <w:tcW w:w="1378" w:type="dxa"/>
            <w:tcBorders>
              <w:top w:val="single" w:sz="4" w:space="0" w:color="auto"/>
              <w:left w:val="nil"/>
              <w:bottom w:val="single" w:sz="4" w:space="0" w:color="auto"/>
              <w:right w:val="single" w:sz="4" w:space="0" w:color="auto"/>
            </w:tcBorders>
            <w:shd w:val="clear" w:color="auto" w:fill="C6EFCE"/>
            <w:noWrap/>
            <w:vAlign w:val="bottom"/>
          </w:tcPr>
          <w:p w14:paraId="1D79C5BD" w14:textId="77777777" w:rsidR="00154E32" w:rsidRDefault="00A43E04">
            <w:pPr>
              <w:pStyle w:val="P68B1DB1-Normal12"/>
              <w:rPr>
                <w:noProof/>
              </w:rPr>
            </w:pPr>
            <w:r>
              <w:rPr>
                <w:noProof/>
              </w:rPr>
              <w:t>Znesek obroka</w:t>
            </w:r>
          </w:p>
        </w:tc>
        <w:tc>
          <w:tcPr>
            <w:tcW w:w="4166" w:type="dxa"/>
            <w:tcBorders>
              <w:top w:val="single" w:sz="4" w:space="0" w:color="auto"/>
              <w:left w:val="nil"/>
              <w:bottom w:val="single" w:sz="4" w:space="0" w:color="auto"/>
              <w:right w:val="single" w:sz="4" w:space="0" w:color="auto"/>
            </w:tcBorders>
            <w:shd w:val="clear" w:color="auto" w:fill="C6EFCE"/>
            <w:noWrap/>
            <w:vAlign w:val="bottom"/>
          </w:tcPr>
          <w:p w14:paraId="63A3B7A8" w14:textId="0CA23C06" w:rsidR="00154E32" w:rsidRDefault="00A43E04">
            <w:pPr>
              <w:pStyle w:val="P68B1DB1-Normal12"/>
              <w:rPr>
                <w:noProof/>
              </w:rPr>
            </w:pPr>
            <w:r>
              <w:rPr>
                <w:noProof/>
              </w:rPr>
              <w:t>16 555 710 452 EUR</w:t>
            </w:r>
          </w:p>
        </w:tc>
      </w:tr>
    </w:tbl>
    <w:p w14:paraId="46822EE2" w14:textId="261BB3FE" w:rsidR="00154E32" w:rsidRDefault="00A43E04">
      <w:pPr>
        <w:pStyle w:val="P68B1DB1-Normal44"/>
        <w:numPr>
          <w:ilvl w:val="1"/>
          <w:numId w:val="6"/>
        </w:numPr>
        <w:spacing w:before="120" w:after="120"/>
        <w:jc w:val="both"/>
        <w:rPr>
          <w:noProof/>
        </w:rPr>
      </w:pPr>
      <w:r>
        <w:rPr>
          <w:noProof/>
        </w:rPr>
        <w:t>Osma namestitev (podpora za posojila):</w:t>
      </w:r>
    </w:p>
    <w:tbl>
      <w:tblPr>
        <w:tblW w:w="10015" w:type="dxa"/>
        <w:tblInd w:w="113" w:type="dxa"/>
        <w:tblLook w:val="04A0" w:firstRow="1" w:lastRow="0" w:firstColumn="1" w:lastColumn="0" w:noHBand="0" w:noVBand="1"/>
      </w:tblPr>
      <w:tblGrid>
        <w:gridCol w:w="1413"/>
        <w:gridCol w:w="3105"/>
        <w:gridCol w:w="1423"/>
        <w:gridCol w:w="4074"/>
      </w:tblGrid>
      <w:tr w:rsidR="00154E32" w14:paraId="20CB8746" w14:textId="77777777">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6F8CB0B2" w14:textId="77777777" w:rsidR="00154E32" w:rsidRDefault="00A43E04">
            <w:pPr>
              <w:pStyle w:val="P68B1DB1-Normal45"/>
              <w:jc w:val="center"/>
              <w:rPr>
                <w:noProof/>
              </w:rPr>
            </w:pPr>
            <w:r>
              <w:rPr>
                <w:noProof/>
              </w:rPr>
              <w:t>Zaporedna številka</w:t>
            </w:r>
          </w:p>
        </w:tc>
        <w:tc>
          <w:tcPr>
            <w:tcW w:w="310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3639B26" w14:textId="77777777" w:rsidR="00154E32" w:rsidRDefault="00A43E04">
            <w:pPr>
              <w:pStyle w:val="P68B1DB1-Normal45"/>
              <w:jc w:val="center"/>
              <w:rPr>
                <w:noProof/>
              </w:rPr>
            </w:pPr>
            <w:r>
              <w:rPr>
                <w:noProof/>
              </w:rPr>
              <w:t>Povezani ukrep (reforma ali naložba)</w:t>
            </w:r>
          </w:p>
        </w:tc>
        <w:tc>
          <w:tcPr>
            <w:tcW w:w="142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1F43A54C" w14:textId="77777777" w:rsidR="00154E32" w:rsidRDefault="00A43E04">
            <w:pPr>
              <w:pStyle w:val="P68B1DB1-Normal45"/>
              <w:jc w:val="center"/>
              <w:rPr>
                <w:noProof/>
              </w:rPr>
            </w:pPr>
            <w:r>
              <w:rPr>
                <w:noProof/>
              </w:rPr>
              <w:t>Mejnik/cilj</w:t>
            </w:r>
          </w:p>
        </w:tc>
        <w:tc>
          <w:tcPr>
            <w:tcW w:w="4074" w:type="dxa"/>
            <w:vMerge w:val="restart"/>
            <w:tcBorders>
              <w:top w:val="single" w:sz="4" w:space="0" w:color="auto"/>
              <w:left w:val="nil"/>
              <w:bottom w:val="single" w:sz="4" w:space="0" w:color="auto"/>
              <w:right w:val="single" w:sz="4" w:space="0" w:color="auto"/>
            </w:tcBorders>
            <w:shd w:val="clear" w:color="auto" w:fill="BDD7EE"/>
            <w:vAlign w:val="center"/>
            <w:hideMark/>
          </w:tcPr>
          <w:p w14:paraId="012919B3" w14:textId="77777777" w:rsidR="00154E32" w:rsidRDefault="00A43E04">
            <w:pPr>
              <w:pStyle w:val="P68B1DB1-Normal45"/>
              <w:jc w:val="center"/>
              <w:rPr>
                <w:noProof/>
              </w:rPr>
            </w:pPr>
            <w:r>
              <w:rPr>
                <w:noProof/>
              </w:rPr>
              <w:t>Ime</w:t>
            </w:r>
          </w:p>
        </w:tc>
      </w:tr>
      <w:tr w:rsidR="00154E32" w14:paraId="484662C3" w14:textId="77777777">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B115874" w14:textId="77777777" w:rsidR="00154E32" w:rsidRDefault="00154E32">
            <w:pPr>
              <w:rPr>
                <w:b/>
                <w:noProof/>
              </w:rPr>
            </w:pPr>
          </w:p>
        </w:tc>
        <w:tc>
          <w:tcPr>
            <w:tcW w:w="3105" w:type="dxa"/>
            <w:vMerge/>
            <w:tcBorders>
              <w:top w:val="single" w:sz="4" w:space="0" w:color="auto"/>
              <w:left w:val="single" w:sz="4" w:space="0" w:color="auto"/>
              <w:bottom w:val="single" w:sz="4" w:space="0" w:color="auto"/>
              <w:right w:val="single" w:sz="4" w:space="0" w:color="auto"/>
            </w:tcBorders>
            <w:vAlign w:val="center"/>
            <w:hideMark/>
          </w:tcPr>
          <w:p w14:paraId="237B3F2F" w14:textId="77777777" w:rsidR="00154E32" w:rsidRDefault="00154E32">
            <w:pPr>
              <w:rPr>
                <w:b/>
                <w:noProof/>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4A33B28F" w14:textId="77777777" w:rsidR="00154E32" w:rsidRDefault="00154E32">
            <w:pPr>
              <w:rPr>
                <w:b/>
                <w:noProof/>
              </w:rPr>
            </w:pPr>
          </w:p>
        </w:tc>
        <w:tc>
          <w:tcPr>
            <w:tcW w:w="4074" w:type="dxa"/>
            <w:vMerge/>
            <w:tcBorders>
              <w:top w:val="single" w:sz="4" w:space="0" w:color="auto"/>
              <w:left w:val="single" w:sz="4" w:space="0" w:color="auto"/>
              <w:bottom w:val="single" w:sz="4" w:space="0" w:color="auto"/>
              <w:right w:val="single" w:sz="4" w:space="0" w:color="auto"/>
            </w:tcBorders>
            <w:vAlign w:val="center"/>
            <w:hideMark/>
          </w:tcPr>
          <w:p w14:paraId="3C55F28A" w14:textId="77777777" w:rsidR="00154E32" w:rsidRDefault="00154E32">
            <w:pPr>
              <w:rPr>
                <w:b/>
                <w:noProof/>
              </w:rPr>
            </w:pPr>
          </w:p>
        </w:tc>
      </w:tr>
      <w:tr w:rsidR="00154E32" w14:paraId="496D4684"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F47A962" w14:textId="77777777" w:rsidR="00154E32" w:rsidRDefault="00A43E04">
            <w:pPr>
              <w:pStyle w:val="P68B1DB1-Normal12"/>
              <w:jc w:val="center"/>
              <w:rPr>
                <w:noProof/>
              </w:rPr>
            </w:pPr>
            <w:r>
              <w:rPr>
                <w:noProof/>
              </w:rPr>
              <w:t>M5C2–16</w:t>
            </w:r>
          </w:p>
        </w:tc>
        <w:tc>
          <w:tcPr>
            <w:tcW w:w="3105" w:type="dxa"/>
            <w:tcBorders>
              <w:top w:val="single" w:sz="4" w:space="0" w:color="auto"/>
              <w:left w:val="nil"/>
              <w:bottom w:val="single" w:sz="4" w:space="0" w:color="auto"/>
              <w:right w:val="single" w:sz="4" w:space="0" w:color="auto"/>
            </w:tcBorders>
            <w:shd w:val="clear" w:color="auto" w:fill="C6EFCE"/>
            <w:noWrap/>
            <w:vAlign w:val="center"/>
          </w:tcPr>
          <w:p w14:paraId="0B39E694" w14:textId="77777777" w:rsidR="00154E32" w:rsidRDefault="00A43E04">
            <w:pPr>
              <w:pStyle w:val="P68B1DB1-Normal12"/>
              <w:jc w:val="center"/>
              <w:rPr>
                <w:noProof/>
              </w:rPr>
            </w:pPr>
            <w:r>
              <w:rPr>
                <w:noProof/>
              </w:rPr>
              <w:t>Naložba 5 – Celostni urbani načrti – Premagovanje nezakonitih naselbin za boj proti izkoriščanju delovne sile v kmetijstvu</w:t>
            </w:r>
          </w:p>
        </w:tc>
        <w:tc>
          <w:tcPr>
            <w:tcW w:w="1423" w:type="dxa"/>
            <w:tcBorders>
              <w:top w:val="single" w:sz="4" w:space="0" w:color="auto"/>
              <w:left w:val="nil"/>
              <w:bottom w:val="single" w:sz="4" w:space="0" w:color="auto"/>
              <w:right w:val="single" w:sz="4" w:space="0" w:color="auto"/>
            </w:tcBorders>
            <w:shd w:val="clear" w:color="auto" w:fill="C6EFCE"/>
            <w:noWrap/>
            <w:vAlign w:val="center"/>
          </w:tcPr>
          <w:p w14:paraId="474F644D" w14:textId="77777777" w:rsidR="00154E32" w:rsidRDefault="00A43E04">
            <w:pPr>
              <w:pStyle w:val="P68B1DB1-Normal12"/>
              <w:jc w:val="center"/>
              <w:rPr>
                <w:noProof/>
              </w:rPr>
            </w:pPr>
            <w:r>
              <w:rPr>
                <w:noProof/>
              </w:rPr>
              <w:t>Tarča</w:t>
            </w:r>
          </w:p>
        </w:tc>
        <w:tc>
          <w:tcPr>
            <w:tcW w:w="4074" w:type="dxa"/>
            <w:tcBorders>
              <w:top w:val="single" w:sz="4" w:space="0" w:color="auto"/>
              <w:left w:val="nil"/>
              <w:bottom w:val="single" w:sz="4" w:space="0" w:color="auto"/>
              <w:right w:val="single" w:sz="4" w:space="0" w:color="auto"/>
            </w:tcBorders>
            <w:shd w:val="clear" w:color="auto" w:fill="C6EFCE"/>
            <w:noWrap/>
            <w:vAlign w:val="center"/>
          </w:tcPr>
          <w:p w14:paraId="4BC7C214" w14:textId="77777777" w:rsidR="00154E32" w:rsidRDefault="00A43E04">
            <w:pPr>
              <w:pStyle w:val="P68B1DB1-Normal12"/>
              <w:jc w:val="center"/>
              <w:rPr>
                <w:noProof/>
              </w:rPr>
            </w:pPr>
            <w:r>
              <w:rPr>
                <w:noProof/>
              </w:rPr>
              <w:t>Projektne dejavnosti se zaključijo na območjih, ki so v lokalnih načrtih opredeljena kot nezakonita naselbina.</w:t>
            </w:r>
          </w:p>
        </w:tc>
      </w:tr>
      <w:tr w:rsidR="00154E32" w14:paraId="76FFB7E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0371A36" w14:textId="77777777" w:rsidR="00154E32" w:rsidRDefault="00A43E04">
            <w:pPr>
              <w:pStyle w:val="P68B1DB1-Normal12"/>
              <w:jc w:val="center"/>
              <w:rPr>
                <w:noProof/>
              </w:rPr>
            </w:pPr>
            <w:r>
              <w:rPr>
                <w:noProof/>
              </w:rPr>
              <w:t>M7–47</w:t>
            </w:r>
          </w:p>
        </w:tc>
        <w:tc>
          <w:tcPr>
            <w:tcW w:w="3105" w:type="dxa"/>
            <w:tcBorders>
              <w:top w:val="nil"/>
              <w:left w:val="nil"/>
              <w:bottom w:val="single" w:sz="4" w:space="0" w:color="auto"/>
              <w:right w:val="single" w:sz="4" w:space="0" w:color="auto"/>
            </w:tcBorders>
            <w:shd w:val="clear" w:color="auto" w:fill="C6EFCE"/>
            <w:noWrap/>
            <w:vAlign w:val="center"/>
          </w:tcPr>
          <w:p w14:paraId="5CF53E71" w14:textId="77777777" w:rsidR="00154E32" w:rsidRDefault="00A43E04">
            <w:pPr>
              <w:pStyle w:val="P68B1DB1-Normal12"/>
              <w:jc w:val="center"/>
              <w:rPr>
                <w:noProof/>
              </w:rPr>
            </w:pPr>
            <w:r>
              <w:rPr>
                <w:noProof/>
              </w:rPr>
              <w:t>Naložba 17: Finančni instrument za energetsko prenovo javnih in socialnih stanovanj</w:t>
            </w:r>
          </w:p>
        </w:tc>
        <w:tc>
          <w:tcPr>
            <w:tcW w:w="1423" w:type="dxa"/>
            <w:tcBorders>
              <w:top w:val="nil"/>
              <w:left w:val="nil"/>
              <w:bottom w:val="single" w:sz="4" w:space="0" w:color="auto"/>
              <w:right w:val="single" w:sz="4" w:space="0" w:color="auto"/>
            </w:tcBorders>
            <w:shd w:val="clear" w:color="auto" w:fill="C6EFCE"/>
            <w:noWrap/>
            <w:vAlign w:val="center"/>
          </w:tcPr>
          <w:p w14:paraId="47695110" w14:textId="77777777" w:rsidR="00154E32" w:rsidRDefault="00A43E04">
            <w:pPr>
              <w:pStyle w:val="P68B1DB1-Normal12"/>
              <w:jc w:val="center"/>
              <w:rPr>
                <w:noProof/>
              </w:rPr>
            </w:pPr>
            <w:r>
              <w:rPr>
                <w:noProof/>
              </w:rPr>
              <w:t>Mejnik</w:t>
            </w:r>
          </w:p>
        </w:tc>
        <w:tc>
          <w:tcPr>
            <w:tcW w:w="4074" w:type="dxa"/>
            <w:tcBorders>
              <w:top w:val="nil"/>
              <w:left w:val="nil"/>
              <w:bottom w:val="single" w:sz="4" w:space="0" w:color="auto"/>
              <w:right w:val="single" w:sz="4" w:space="0" w:color="auto"/>
            </w:tcBorders>
            <w:shd w:val="clear" w:color="auto" w:fill="C6EFCE"/>
            <w:noWrap/>
            <w:vAlign w:val="center"/>
          </w:tcPr>
          <w:p w14:paraId="2E57BD23" w14:textId="77777777" w:rsidR="00154E32" w:rsidRDefault="00A43E04">
            <w:pPr>
              <w:pStyle w:val="P68B1DB1-Normal12"/>
              <w:jc w:val="center"/>
              <w:rPr>
                <w:noProof/>
              </w:rPr>
            </w:pPr>
            <w:r>
              <w:rPr>
                <w:noProof/>
              </w:rPr>
              <w:t>Izvedbeni sporazum</w:t>
            </w:r>
          </w:p>
        </w:tc>
      </w:tr>
      <w:tr w:rsidR="00154E32" w14:paraId="7E8F06C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B3E66F1" w14:textId="77777777" w:rsidR="00154E32" w:rsidRDefault="00A43E04">
            <w:pPr>
              <w:pStyle w:val="P68B1DB1-Normal12"/>
              <w:jc w:val="center"/>
              <w:rPr>
                <w:noProof/>
              </w:rPr>
            </w:pPr>
            <w:r>
              <w:rPr>
                <w:noProof/>
              </w:rPr>
              <w:t>M1C1–144</w:t>
            </w:r>
          </w:p>
        </w:tc>
        <w:tc>
          <w:tcPr>
            <w:tcW w:w="3105" w:type="dxa"/>
            <w:tcBorders>
              <w:top w:val="nil"/>
              <w:left w:val="nil"/>
              <w:bottom w:val="single" w:sz="4" w:space="0" w:color="auto"/>
              <w:right w:val="single" w:sz="4" w:space="0" w:color="auto"/>
            </w:tcBorders>
            <w:shd w:val="clear" w:color="auto" w:fill="C6EFCE"/>
            <w:noWrap/>
            <w:vAlign w:val="center"/>
          </w:tcPr>
          <w:p w14:paraId="33FFFF8C" w14:textId="77777777" w:rsidR="00154E32" w:rsidRDefault="00A43E04">
            <w:pPr>
              <w:pStyle w:val="P68B1DB1-Normal12"/>
              <w:jc w:val="center"/>
              <w:rPr>
                <w:noProof/>
              </w:rPr>
            </w:pPr>
            <w:r>
              <w:rPr>
                <w:noProof/>
              </w:rPr>
              <w:t>Naložba 1.4.2 – Vključevanje državljanov – izboljšanje dostopnosti digitalnih javnih storitev</w:t>
            </w:r>
          </w:p>
        </w:tc>
        <w:tc>
          <w:tcPr>
            <w:tcW w:w="1423" w:type="dxa"/>
            <w:tcBorders>
              <w:top w:val="nil"/>
              <w:left w:val="nil"/>
              <w:bottom w:val="single" w:sz="4" w:space="0" w:color="auto"/>
              <w:right w:val="single" w:sz="4" w:space="0" w:color="auto"/>
            </w:tcBorders>
            <w:shd w:val="clear" w:color="auto" w:fill="C6EFCE"/>
            <w:noWrap/>
            <w:vAlign w:val="center"/>
          </w:tcPr>
          <w:p w14:paraId="7EFB6915" w14:textId="77777777" w:rsidR="00154E32" w:rsidRDefault="00A43E04">
            <w:pPr>
              <w:pStyle w:val="P68B1DB1-Normal12"/>
              <w:jc w:val="center"/>
              <w:rPr>
                <w:noProof/>
              </w:rPr>
            </w:pPr>
            <w:r>
              <w:rPr>
                <w:noProof/>
              </w:rPr>
              <w:t>Tarča</w:t>
            </w:r>
          </w:p>
        </w:tc>
        <w:tc>
          <w:tcPr>
            <w:tcW w:w="4074" w:type="dxa"/>
            <w:tcBorders>
              <w:top w:val="nil"/>
              <w:left w:val="nil"/>
              <w:bottom w:val="single" w:sz="4" w:space="0" w:color="auto"/>
              <w:right w:val="single" w:sz="4" w:space="0" w:color="auto"/>
            </w:tcBorders>
            <w:shd w:val="clear" w:color="auto" w:fill="C6EFCE"/>
            <w:noWrap/>
            <w:vAlign w:val="center"/>
          </w:tcPr>
          <w:p w14:paraId="0DFB58EC" w14:textId="77777777" w:rsidR="00154E32" w:rsidRDefault="00A43E04">
            <w:pPr>
              <w:pStyle w:val="P68B1DB1-Normal12"/>
              <w:jc w:val="center"/>
              <w:rPr>
                <w:noProof/>
              </w:rPr>
            </w:pPr>
            <w:r>
              <w:rPr>
                <w:noProof/>
              </w:rPr>
              <w:t>Izboljšanje dostopnosti digitalnih javnih storitev</w:t>
            </w:r>
          </w:p>
        </w:tc>
      </w:tr>
      <w:tr w:rsidR="00154E32" w14:paraId="0515272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005326D" w14:textId="77777777" w:rsidR="00154E32" w:rsidRDefault="00A43E04">
            <w:pPr>
              <w:pStyle w:val="P68B1DB1-Normal12"/>
              <w:jc w:val="center"/>
              <w:rPr>
                <w:noProof/>
              </w:rPr>
            </w:pPr>
            <w:r>
              <w:rPr>
                <w:noProof/>
              </w:rPr>
              <w:t>M1C3–16</w:t>
            </w:r>
          </w:p>
        </w:tc>
        <w:tc>
          <w:tcPr>
            <w:tcW w:w="3105" w:type="dxa"/>
            <w:tcBorders>
              <w:top w:val="nil"/>
              <w:left w:val="nil"/>
              <w:bottom w:val="single" w:sz="4" w:space="0" w:color="auto"/>
              <w:right w:val="single" w:sz="4" w:space="0" w:color="auto"/>
            </w:tcBorders>
            <w:shd w:val="clear" w:color="auto" w:fill="C6EFCE"/>
            <w:noWrap/>
            <w:vAlign w:val="center"/>
          </w:tcPr>
          <w:p w14:paraId="726C69EB" w14:textId="77777777" w:rsidR="00154E32" w:rsidRDefault="00A43E04">
            <w:pPr>
              <w:pStyle w:val="P68B1DB1-Normal12"/>
              <w:jc w:val="center"/>
              <w:rPr>
                <w:noProof/>
              </w:rPr>
            </w:pPr>
            <w:r>
              <w:rPr>
                <w:noProof/>
              </w:rPr>
              <w:t>Naložbe – 2.1 Privlačnost majhnih zgodovinskih mest</w:t>
            </w:r>
          </w:p>
        </w:tc>
        <w:tc>
          <w:tcPr>
            <w:tcW w:w="1423" w:type="dxa"/>
            <w:tcBorders>
              <w:top w:val="nil"/>
              <w:left w:val="nil"/>
              <w:bottom w:val="single" w:sz="4" w:space="0" w:color="auto"/>
              <w:right w:val="single" w:sz="4" w:space="0" w:color="auto"/>
            </w:tcBorders>
            <w:shd w:val="clear" w:color="auto" w:fill="C6EFCE"/>
            <w:noWrap/>
            <w:vAlign w:val="center"/>
          </w:tcPr>
          <w:p w14:paraId="442852E8" w14:textId="77777777" w:rsidR="00154E32" w:rsidRDefault="00A43E04">
            <w:pPr>
              <w:pStyle w:val="P68B1DB1-Normal12"/>
              <w:jc w:val="center"/>
              <w:rPr>
                <w:noProof/>
              </w:rPr>
            </w:pPr>
            <w:r>
              <w:rPr>
                <w:noProof/>
              </w:rPr>
              <w:t>Tarča</w:t>
            </w:r>
          </w:p>
        </w:tc>
        <w:tc>
          <w:tcPr>
            <w:tcW w:w="4074" w:type="dxa"/>
            <w:tcBorders>
              <w:top w:val="nil"/>
              <w:left w:val="nil"/>
              <w:bottom w:val="single" w:sz="4" w:space="0" w:color="auto"/>
              <w:right w:val="single" w:sz="4" w:space="0" w:color="auto"/>
            </w:tcBorders>
            <w:shd w:val="clear" w:color="auto" w:fill="C6EFCE"/>
            <w:noWrap/>
            <w:vAlign w:val="center"/>
          </w:tcPr>
          <w:p w14:paraId="5A0175E8" w14:textId="77777777" w:rsidR="00154E32" w:rsidRDefault="00A43E04">
            <w:pPr>
              <w:pStyle w:val="P68B1DB1-Normal12"/>
              <w:jc w:val="center"/>
              <w:rPr>
                <w:noProof/>
              </w:rPr>
            </w:pPr>
            <w:r>
              <w:rPr>
                <w:noProof/>
              </w:rPr>
              <w:t>Zaključene intervencije za izboljšanje kulturnih ali turističnih znamenitosti</w:t>
            </w:r>
          </w:p>
        </w:tc>
      </w:tr>
      <w:tr w:rsidR="00154E32" w14:paraId="5D947FD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78B4C19" w14:textId="77777777" w:rsidR="00154E32" w:rsidRDefault="00A43E04">
            <w:pPr>
              <w:pStyle w:val="P68B1DB1-Normal12"/>
              <w:jc w:val="center"/>
              <w:rPr>
                <w:noProof/>
              </w:rPr>
            </w:pPr>
            <w:r>
              <w:rPr>
                <w:noProof/>
              </w:rPr>
              <w:t>M2C1–23</w:t>
            </w:r>
          </w:p>
        </w:tc>
        <w:tc>
          <w:tcPr>
            <w:tcW w:w="3105" w:type="dxa"/>
            <w:tcBorders>
              <w:top w:val="nil"/>
              <w:left w:val="nil"/>
              <w:bottom w:val="single" w:sz="4" w:space="0" w:color="auto"/>
              <w:right w:val="single" w:sz="4" w:space="0" w:color="auto"/>
            </w:tcBorders>
            <w:shd w:val="clear" w:color="auto" w:fill="C6EFCE"/>
            <w:noWrap/>
            <w:vAlign w:val="center"/>
          </w:tcPr>
          <w:p w14:paraId="55F32183" w14:textId="77777777" w:rsidR="00154E32" w:rsidRDefault="00A43E04">
            <w:pPr>
              <w:pStyle w:val="P68B1DB1-Normal12"/>
              <w:jc w:val="center"/>
              <w:rPr>
                <w:noProof/>
              </w:rPr>
            </w:pPr>
            <w:r>
              <w:rPr>
                <w:noProof/>
              </w:rPr>
              <w:t>Naložba 3.4: Fondo Contratti di Filiera (FCF) za podporo pogodb o dobavnih verigah za agroživilski, ribiški in akvakulturni sektor, gozdarstvo, cvetličarstvo in odraščanje rastlin</w:t>
            </w:r>
          </w:p>
        </w:tc>
        <w:tc>
          <w:tcPr>
            <w:tcW w:w="1423" w:type="dxa"/>
            <w:tcBorders>
              <w:top w:val="nil"/>
              <w:left w:val="nil"/>
              <w:bottom w:val="single" w:sz="4" w:space="0" w:color="auto"/>
              <w:right w:val="single" w:sz="4" w:space="0" w:color="auto"/>
            </w:tcBorders>
            <w:shd w:val="clear" w:color="auto" w:fill="C6EFCE"/>
            <w:noWrap/>
            <w:vAlign w:val="center"/>
          </w:tcPr>
          <w:p w14:paraId="6B5994E6" w14:textId="4BD4D90E" w:rsidR="00154E32" w:rsidRDefault="00A43E04">
            <w:pPr>
              <w:pStyle w:val="P68B1DB1-Normal12"/>
              <w:jc w:val="center"/>
              <w:rPr>
                <w:noProof/>
              </w:rPr>
            </w:pPr>
            <w:r>
              <w:rPr>
                <w:noProof/>
              </w:rPr>
              <w:t>Tarča</w:t>
            </w:r>
          </w:p>
        </w:tc>
        <w:tc>
          <w:tcPr>
            <w:tcW w:w="4074" w:type="dxa"/>
            <w:tcBorders>
              <w:top w:val="nil"/>
              <w:left w:val="nil"/>
              <w:bottom w:val="single" w:sz="4" w:space="0" w:color="auto"/>
              <w:right w:val="single" w:sz="4" w:space="0" w:color="auto"/>
            </w:tcBorders>
            <w:shd w:val="clear" w:color="auto" w:fill="C6EFCE"/>
            <w:noWrap/>
            <w:vAlign w:val="center"/>
          </w:tcPr>
          <w:p w14:paraId="66B2347D" w14:textId="77777777" w:rsidR="00154E32" w:rsidRDefault="00A43E04">
            <w:pPr>
              <w:pStyle w:val="P68B1DB1-Normal12"/>
              <w:jc w:val="center"/>
              <w:rPr>
                <w:noProof/>
              </w:rPr>
            </w:pPr>
            <w:r>
              <w:rPr>
                <w:noProof/>
              </w:rPr>
              <w:t>Pravni sporazumi, podpisani s končnimi upravičenci</w:t>
            </w:r>
          </w:p>
        </w:tc>
      </w:tr>
      <w:tr w:rsidR="00154E32" w14:paraId="1582350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4F9528B" w14:textId="77777777" w:rsidR="00154E32" w:rsidRDefault="00A43E04">
            <w:pPr>
              <w:pStyle w:val="P68B1DB1-Normal12"/>
              <w:jc w:val="center"/>
              <w:rPr>
                <w:noProof/>
              </w:rPr>
            </w:pPr>
            <w:r>
              <w:rPr>
                <w:noProof/>
              </w:rPr>
              <w:t>M2C2–4</w:t>
            </w:r>
          </w:p>
        </w:tc>
        <w:tc>
          <w:tcPr>
            <w:tcW w:w="3105" w:type="dxa"/>
            <w:tcBorders>
              <w:top w:val="nil"/>
              <w:left w:val="nil"/>
              <w:bottom w:val="single" w:sz="4" w:space="0" w:color="auto"/>
              <w:right w:val="single" w:sz="4" w:space="0" w:color="auto"/>
            </w:tcBorders>
            <w:shd w:val="clear" w:color="auto" w:fill="C6EFCE"/>
            <w:noWrap/>
            <w:vAlign w:val="center"/>
          </w:tcPr>
          <w:p w14:paraId="0BE06681" w14:textId="77777777" w:rsidR="00154E32" w:rsidRDefault="00A43E04">
            <w:pPr>
              <w:pStyle w:val="P68B1DB1-Normal12"/>
              <w:jc w:val="center"/>
              <w:rPr>
                <w:noProof/>
              </w:rPr>
            </w:pPr>
            <w:r>
              <w:rPr>
                <w:noProof/>
              </w:rPr>
              <w:t>Naložba 1.4 Razvoj biometana v skladu z merili za spodbujanje krožnega gospodarstva</w:t>
            </w:r>
          </w:p>
        </w:tc>
        <w:tc>
          <w:tcPr>
            <w:tcW w:w="1423" w:type="dxa"/>
            <w:tcBorders>
              <w:top w:val="nil"/>
              <w:left w:val="nil"/>
              <w:bottom w:val="single" w:sz="4" w:space="0" w:color="auto"/>
              <w:right w:val="single" w:sz="4" w:space="0" w:color="auto"/>
            </w:tcBorders>
            <w:shd w:val="clear" w:color="auto" w:fill="C6EFCE"/>
            <w:noWrap/>
            <w:vAlign w:val="center"/>
          </w:tcPr>
          <w:p w14:paraId="3AC92BB2" w14:textId="77777777" w:rsidR="00154E32" w:rsidRDefault="00A43E04">
            <w:pPr>
              <w:pStyle w:val="P68B1DB1-Normal12"/>
              <w:jc w:val="center"/>
              <w:rPr>
                <w:noProof/>
              </w:rPr>
            </w:pPr>
            <w:r>
              <w:rPr>
                <w:noProof/>
              </w:rPr>
              <w:t>Tarča</w:t>
            </w:r>
          </w:p>
        </w:tc>
        <w:tc>
          <w:tcPr>
            <w:tcW w:w="4074" w:type="dxa"/>
            <w:tcBorders>
              <w:top w:val="nil"/>
              <w:left w:val="nil"/>
              <w:bottom w:val="single" w:sz="4" w:space="0" w:color="auto"/>
              <w:right w:val="single" w:sz="4" w:space="0" w:color="auto"/>
            </w:tcBorders>
            <w:shd w:val="clear" w:color="auto" w:fill="C6EFCE"/>
            <w:noWrap/>
            <w:vAlign w:val="center"/>
          </w:tcPr>
          <w:p w14:paraId="529E146B" w14:textId="77777777" w:rsidR="00154E32" w:rsidRDefault="00A43E04">
            <w:pPr>
              <w:pStyle w:val="P68B1DB1-Normal12"/>
              <w:jc w:val="center"/>
              <w:rPr>
                <w:noProof/>
              </w:rPr>
            </w:pPr>
            <w:r>
              <w:rPr>
                <w:noProof/>
              </w:rPr>
              <w:t>Dodatna proizvodna zmogljivost za biometan</w:t>
            </w:r>
          </w:p>
        </w:tc>
      </w:tr>
      <w:tr w:rsidR="00154E32" w14:paraId="65475EA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F38ED17" w14:textId="77777777" w:rsidR="00154E32" w:rsidRDefault="00A43E04">
            <w:pPr>
              <w:pStyle w:val="P68B1DB1-Normal12"/>
              <w:jc w:val="center"/>
              <w:rPr>
                <w:noProof/>
              </w:rPr>
            </w:pPr>
            <w:r>
              <w:rPr>
                <w:noProof/>
              </w:rPr>
              <w:t>M2C4–9</w:t>
            </w:r>
          </w:p>
        </w:tc>
        <w:tc>
          <w:tcPr>
            <w:tcW w:w="3105" w:type="dxa"/>
            <w:tcBorders>
              <w:top w:val="nil"/>
              <w:left w:val="nil"/>
              <w:bottom w:val="single" w:sz="4" w:space="0" w:color="auto"/>
              <w:right w:val="single" w:sz="4" w:space="0" w:color="auto"/>
            </w:tcBorders>
            <w:shd w:val="clear" w:color="auto" w:fill="C6EFCE"/>
            <w:noWrap/>
            <w:vAlign w:val="center"/>
          </w:tcPr>
          <w:p w14:paraId="05EC50E5" w14:textId="77777777" w:rsidR="00154E32" w:rsidRDefault="00A43E04">
            <w:pPr>
              <w:pStyle w:val="P68B1DB1-Normal12"/>
              <w:jc w:val="center"/>
              <w:rPr>
                <w:noProof/>
              </w:rPr>
            </w:pPr>
            <w:r>
              <w:rPr>
                <w:noProof/>
              </w:rPr>
              <w:t>Naložba 1.1. Izvajanje naprednega in integriranega sistema spremljanja in napovedovanja</w:t>
            </w:r>
          </w:p>
        </w:tc>
        <w:tc>
          <w:tcPr>
            <w:tcW w:w="1423" w:type="dxa"/>
            <w:tcBorders>
              <w:top w:val="nil"/>
              <w:left w:val="nil"/>
              <w:bottom w:val="single" w:sz="4" w:space="0" w:color="auto"/>
              <w:right w:val="single" w:sz="4" w:space="0" w:color="auto"/>
            </w:tcBorders>
            <w:shd w:val="clear" w:color="auto" w:fill="C6EFCE"/>
            <w:noWrap/>
            <w:vAlign w:val="center"/>
          </w:tcPr>
          <w:p w14:paraId="55E803E2" w14:textId="77777777" w:rsidR="00154E32" w:rsidRDefault="00A43E04">
            <w:pPr>
              <w:pStyle w:val="P68B1DB1-Normal12"/>
              <w:jc w:val="center"/>
              <w:rPr>
                <w:noProof/>
              </w:rPr>
            </w:pPr>
            <w:r>
              <w:rPr>
                <w:noProof/>
              </w:rPr>
              <w:t>Tarča</w:t>
            </w:r>
          </w:p>
        </w:tc>
        <w:tc>
          <w:tcPr>
            <w:tcW w:w="4074" w:type="dxa"/>
            <w:tcBorders>
              <w:top w:val="nil"/>
              <w:left w:val="nil"/>
              <w:bottom w:val="single" w:sz="4" w:space="0" w:color="auto"/>
              <w:right w:val="single" w:sz="4" w:space="0" w:color="auto"/>
            </w:tcBorders>
            <w:shd w:val="clear" w:color="auto" w:fill="C6EFCE"/>
            <w:noWrap/>
            <w:vAlign w:val="center"/>
          </w:tcPr>
          <w:p w14:paraId="40E9D2C3" w14:textId="77777777" w:rsidR="00154E32" w:rsidRDefault="00A43E04">
            <w:pPr>
              <w:pStyle w:val="P68B1DB1-Normal12"/>
              <w:jc w:val="center"/>
              <w:rPr>
                <w:noProof/>
              </w:rPr>
            </w:pPr>
            <w:r>
              <w:rPr>
                <w:noProof/>
              </w:rPr>
              <w:t xml:space="preserve">Uvedba naprednega in integriranega sistema spremljanja in napovedovanja za opredelitev hidroloških tveganj </w:t>
            </w:r>
          </w:p>
        </w:tc>
      </w:tr>
      <w:tr w:rsidR="00154E32" w14:paraId="7D69BFB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E060D84" w14:textId="77777777" w:rsidR="00154E32" w:rsidRDefault="00A43E04">
            <w:pPr>
              <w:pStyle w:val="P68B1DB1-Normal12"/>
              <w:jc w:val="center"/>
              <w:rPr>
                <w:noProof/>
              </w:rPr>
            </w:pPr>
            <w:r>
              <w:rPr>
                <w:noProof/>
              </w:rPr>
              <w:t>M2C4–11a</w:t>
            </w:r>
          </w:p>
        </w:tc>
        <w:tc>
          <w:tcPr>
            <w:tcW w:w="3105" w:type="dxa"/>
            <w:tcBorders>
              <w:top w:val="nil"/>
              <w:left w:val="nil"/>
              <w:bottom w:val="single" w:sz="4" w:space="0" w:color="auto"/>
              <w:right w:val="single" w:sz="4" w:space="0" w:color="auto"/>
            </w:tcBorders>
            <w:shd w:val="clear" w:color="auto" w:fill="C6EFCE"/>
            <w:noWrap/>
            <w:vAlign w:val="center"/>
          </w:tcPr>
          <w:p w14:paraId="494188A6" w14:textId="77777777" w:rsidR="00154E32" w:rsidRDefault="00A43E04">
            <w:pPr>
              <w:pStyle w:val="P68B1DB1-Normal12"/>
              <w:jc w:val="center"/>
              <w:rPr>
                <w:noProof/>
              </w:rPr>
            </w:pPr>
            <w:r>
              <w:rPr>
                <w:noProof/>
              </w:rPr>
              <w:t>Naložba 2.1.a Ukrepi za zmanjšanje tveganja poplav in hidrogeološkega tveganja – intervencije v Emiliji-Romanja, Toskani in Marke</w:t>
            </w:r>
          </w:p>
        </w:tc>
        <w:tc>
          <w:tcPr>
            <w:tcW w:w="1423" w:type="dxa"/>
            <w:tcBorders>
              <w:top w:val="nil"/>
              <w:left w:val="nil"/>
              <w:bottom w:val="single" w:sz="4" w:space="0" w:color="auto"/>
              <w:right w:val="single" w:sz="4" w:space="0" w:color="auto"/>
            </w:tcBorders>
            <w:shd w:val="clear" w:color="auto" w:fill="C6EFCE"/>
            <w:noWrap/>
            <w:vAlign w:val="center"/>
          </w:tcPr>
          <w:p w14:paraId="72242058" w14:textId="77777777" w:rsidR="00154E32" w:rsidRDefault="00A43E04">
            <w:pPr>
              <w:pStyle w:val="P68B1DB1-Normal12"/>
              <w:jc w:val="center"/>
              <w:rPr>
                <w:noProof/>
              </w:rPr>
            </w:pPr>
            <w:r>
              <w:rPr>
                <w:noProof/>
              </w:rPr>
              <w:t>Mejnik</w:t>
            </w:r>
          </w:p>
        </w:tc>
        <w:tc>
          <w:tcPr>
            <w:tcW w:w="4074" w:type="dxa"/>
            <w:tcBorders>
              <w:top w:val="nil"/>
              <w:left w:val="nil"/>
              <w:bottom w:val="single" w:sz="4" w:space="0" w:color="auto"/>
              <w:right w:val="single" w:sz="4" w:space="0" w:color="auto"/>
            </w:tcBorders>
            <w:shd w:val="clear" w:color="auto" w:fill="C6EFCE"/>
            <w:noWrap/>
            <w:vAlign w:val="center"/>
          </w:tcPr>
          <w:p w14:paraId="6EF9BA37" w14:textId="77777777" w:rsidR="00154E32" w:rsidRDefault="00A43E04">
            <w:pPr>
              <w:pStyle w:val="P68B1DB1-Normal12"/>
              <w:jc w:val="center"/>
              <w:rPr>
                <w:noProof/>
              </w:rPr>
            </w:pPr>
            <w:r>
              <w:rPr>
                <w:noProof/>
              </w:rPr>
              <w:t>Oddaja vseh javnih naročil za intervencije v Emiliji-Romanja, Toskani in Markeju</w:t>
            </w:r>
          </w:p>
        </w:tc>
      </w:tr>
      <w:tr w:rsidR="00154E32" w14:paraId="6E31DCA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CEC0945" w14:textId="77777777" w:rsidR="00154E32" w:rsidRDefault="00A43E04">
            <w:pPr>
              <w:pStyle w:val="P68B1DB1-Normal12"/>
              <w:jc w:val="center"/>
              <w:rPr>
                <w:noProof/>
              </w:rPr>
            </w:pPr>
            <w:r>
              <w:rPr>
                <w:noProof/>
              </w:rPr>
              <w:t>M2C4–26</w:t>
            </w:r>
          </w:p>
        </w:tc>
        <w:tc>
          <w:tcPr>
            <w:tcW w:w="3105" w:type="dxa"/>
            <w:tcBorders>
              <w:top w:val="nil"/>
              <w:left w:val="nil"/>
              <w:bottom w:val="single" w:sz="4" w:space="0" w:color="auto"/>
              <w:right w:val="single" w:sz="4" w:space="0" w:color="auto"/>
            </w:tcBorders>
            <w:shd w:val="clear" w:color="auto" w:fill="C6EFCE"/>
            <w:noWrap/>
            <w:vAlign w:val="center"/>
          </w:tcPr>
          <w:p w14:paraId="662C94C6" w14:textId="77777777" w:rsidR="00154E32" w:rsidRDefault="00A43E04">
            <w:pPr>
              <w:pStyle w:val="P68B1DB1-Normal12"/>
              <w:jc w:val="center"/>
              <w:rPr>
                <w:noProof/>
              </w:rPr>
            </w:pPr>
            <w:r>
              <w:rPr>
                <w:noProof/>
              </w:rPr>
              <w:t>Naložba 3.5. Obnova in varstvo morskega dna in morskih habitatov</w:t>
            </w:r>
          </w:p>
        </w:tc>
        <w:tc>
          <w:tcPr>
            <w:tcW w:w="1423" w:type="dxa"/>
            <w:tcBorders>
              <w:top w:val="nil"/>
              <w:left w:val="nil"/>
              <w:bottom w:val="single" w:sz="4" w:space="0" w:color="auto"/>
              <w:right w:val="single" w:sz="4" w:space="0" w:color="auto"/>
            </w:tcBorders>
            <w:shd w:val="clear" w:color="auto" w:fill="C6EFCE"/>
            <w:noWrap/>
            <w:vAlign w:val="center"/>
          </w:tcPr>
          <w:p w14:paraId="575461AB" w14:textId="77777777" w:rsidR="00154E32" w:rsidRDefault="00A43E04">
            <w:pPr>
              <w:pStyle w:val="P68B1DB1-Normal12"/>
              <w:jc w:val="center"/>
              <w:rPr>
                <w:noProof/>
              </w:rPr>
            </w:pPr>
            <w:r>
              <w:rPr>
                <w:noProof/>
              </w:rPr>
              <w:t>Tarča</w:t>
            </w:r>
          </w:p>
        </w:tc>
        <w:tc>
          <w:tcPr>
            <w:tcW w:w="4074" w:type="dxa"/>
            <w:tcBorders>
              <w:top w:val="nil"/>
              <w:left w:val="nil"/>
              <w:bottom w:val="single" w:sz="4" w:space="0" w:color="auto"/>
              <w:right w:val="single" w:sz="4" w:space="0" w:color="auto"/>
            </w:tcBorders>
            <w:shd w:val="clear" w:color="auto" w:fill="C6EFCE"/>
            <w:noWrap/>
            <w:vAlign w:val="center"/>
          </w:tcPr>
          <w:p w14:paraId="5B33D2FB" w14:textId="77777777" w:rsidR="00154E32" w:rsidRDefault="00A43E04">
            <w:pPr>
              <w:pStyle w:val="P68B1DB1-Normal12"/>
              <w:jc w:val="center"/>
              <w:rPr>
                <w:noProof/>
              </w:rPr>
            </w:pPr>
            <w:r>
              <w:rPr>
                <w:noProof/>
              </w:rPr>
              <w:t xml:space="preserve">Obnova in varstvo morskega dna in morskih habitatov </w:t>
            </w:r>
          </w:p>
        </w:tc>
      </w:tr>
      <w:tr w:rsidR="00154E32" w14:paraId="01F2D05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9EB8522" w14:textId="77777777" w:rsidR="00154E32" w:rsidRDefault="00A43E04">
            <w:pPr>
              <w:pStyle w:val="P68B1DB1-Normal12"/>
              <w:jc w:val="center"/>
              <w:rPr>
                <w:noProof/>
              </w:rPr>
            </w:pPr>
            <w:r>
              <w:rPr>
                <w:noProof/>
              </w:rPr>
              <w:t>M3C1–13</w:t>
            </w:r>
          </w:p>
        </w:tc>
        <w:tc>
          <w:tcPr>
            <w:tcW w:w="3105" w:type="dxa"/>
            <w:tcBorders>
              <w:top w:val="nil"/>
              <w:left w:val="nil"/>
              <w:bottom w:val="single" w:sz="4" w:space="0" w:color="auto"/>
              <w:right w:val="single" w:sz="4" w:space="0" w:color="auto"/>
            </w:tcBorders>
            <w:shd w:val="clear" w:color="auto" w:fill="C6EFCE"/>
            <w:noWrap/>
            <w:vAlign w:val="center"/>
          </w:tcPr>
          <w:p w14:paraId="2B5F2A51" w14:textId="77777777" w:rsidR="00154E32" w:rsidRDefault="00A43E04">
            <w:pPr>
              <w:pStyle w:val="P68B1DB1-Normal12"/>
              <w:jc w:val="center"/>
              <w:rPr>
                <w:noProof/>
              </w:rPr>
            </w:pPr>
            <w:r>
              <w:rPr>
                <w:noProof/>
              </w:rPr>
              <w:t>Naložba 1.4 – Vzpostavitev evropskega sistema za upravljanje železniškega prometa (ERTMS)</w:t>
            </w:r>
          </w:p>
        </w:tc>
        <w:tc>
          <w:tcPr>
            <w:tcW w:w="1423" w:type="dxa"/>
            <w:tcBorders>
              <w:top w:val="nil"/>
              <w:left w:val="nil"/>
              <w:bottom w:val="single" w:sz="4" w:space="0" w:color="auto"/>
              <w:right w:val="single" w:sz="4" w:space="0" w:color="auto"/>
            </w:tcBorders>
            <w:shd w:val="clear" w:color="auto" w:fill="C6EFCE"/>
            <w:noWrap/>
            <w:vAlign w:val="center"/>
          </w:tcPr>
          <w:p w14:paraId="7CE72B68" w14:textId="77777777" w:rsidR="00154E32" w:rsidRDefault="00A43E04">
            <w:pPr>
              <w:pStyle w:val="P68B1DB1-Normal12"/>
              <w:jc w:val="center"/>
              <w:rPr>
                <w:noProof/>
              </w:rPr>
            </w:pPr>
            <w:r>
              <w:rPr>
                <w:noProof/>
              </w:rPr>
              <w:t>Tarča</w:t>
            </w:r>
          </w:p>
        </w:tc>
        <w:tc>
          <w:tcPr>
            <w:tcW w:w="4074" w:type="dxa"/>
            <w:tcBorders>
              <w:top w:val="nil"/>
              <w:left w:val="nil"/>
              <w:bottom w:val="single" w:sz="4" w:space="0" w:color="auto"/>
              <w:right w:val="single" w:sz="4" w:space="0" w:color="auto"/>
            </w:tcBorders>
            <w:shd w:val="clear" w:color="auto" w:fill="C6EFCE"/>
            <w:noWrap/>
            <w:vAlign w:val="center"/>
          </w:tcPr>
          <w:p w14:paraId="4B7927A5" w14:textId="77777777" w:rsidR="00154E32" w:rsidRDefault="00A43E04">
            <w:pPr>
              <w:pStyle w:val="P68B1DB1-Normal12"/>
              <w:jc w:val="center"/>
              <w:rPr>
                <w:noProof/>
              </w:rPr>
            </w:pPr>
            <w:r>
              <w:rPr>
                <w:noProof/>
              </w:rPr>
              <w:t>1 400 km železniških prog, opremljenih z evropskim sistemom za upravljanje železniškega prometa</w:t>
            </w:r>
          </w:p>
        </w:tc>
      </w:tr>
      <w:tr w:rsidR="00154E32" w14:paraId="4F0B98B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B2E7211" w14:textId="77777777" w:rsidR="00154E32" w:rsidRDefault="00A43E04">
            <w:pPr>
              <w:pStyle w:val="P68B1DB1-Normal12"/>
              <w:jc w:val="center"/>
              <w:rPr>
                <w:noProof/>
              </w:rPr>
            </w:pPr>
            <w:r>
              <w:rPr>
                <w:noProof/>
              </w:rPr>
              <w:t>M4C2–6</w:t>
            </w:r>
          </w:p>
        </w:tc>
        <w:tc>
          <w:tcPr>
            <w:tcW w:w="3105" w:type="dxa"/>
            <w:tcBorders>
              <w:top w:val="nil"/>
              <w:left w:val="nil"/>
              <w:bottom w:val="single" w:sz="4" w:space="0" w:color="auto"/>
              <w:right w:val="single" w:sz="4" w:space="0" w:color="auto"/>
            </w:tcBorders>
            <w:shd w:val="clear" w:color="auto" w:fill="C6EFCE"/>
            <w:noWrap/>
            <w:vAlign w:val="center"/>
          </w:tcPr>
          <w:p w14:paraId="1FDACA53" w14:textId="77777777" w:rsidR="00154E32" w:rsidRDefault="00A43E04">
            <w:pPr>
              <w:pStyle w:val="P68B1DB1-Normal12"/>
              <w:jc w:val="center"/>
              <w:rPr>
                <w:noProof/>
              </w:rPr>
            </w:pPr>
            <w:r>
              <w:rPr>
                <w:noProof/>
              </w:rPr>
              <w:t>Naložba 1.1: Raziskovalni projekti pomembnega nacionalnega interesa (PRIN)</w:t>
            </w:r>
          </w:p>
        </w:tc>
        <w:tc>
          <w:tcPr>
            <w:tcW w:w="1423" w:type="dxa"/>
            <w:tcBorders>
              <w:top w:val="nil"/>
              <w:left w:val="nil"/>
              <w:bottom w:val="single" w:sz="4" w:space="0" w:color="auto"/>
              <w:right w:val="single" w:sz="4" w:space="0" w:color="auto"/>
            </w:tcBorders>
            <w:shd w:val="clear" w:color="auto" w:fill="C6EFCE"/>
            <w:noWrap/>
            <w:vAlign w:val="center"/>
          </w:tcPr>
          <w:p w14:paraId="27909BF5" w14:textId="77777777" w:rsidR="00154E32" w:rsidRDefault="00A43E04">
            <w:pPr>
              <w:pStyle w:val="P68B1DB1-Normal12"/>
              <w:jc w:val="center"/>
              <w:rPr>
                <w:noProof/>
              </w:rPr>
            </w:pPr>
            <w:r>
              <w:rPr>
                <w:noProof/>
              </w:rPr>
              <w:t>Tarča</w:t>
            </w:r>
          </w:p>
        </w:tc>
        <w:tc>
          <w:tcPr>
            <w:tcW w:w="4074" w:type="dxa"/>
            <w:tcBorders>
              <w:top w:val="nil"/>
              <w:left w:val="nil"/>
              <w:bottom w:val="single" w:sz="4" w:space="0" w:color="auto"/>
              <w:right w:val="single" w:sz="4" w:space="0" w:color="auto"/>
            </w:tcBorders>
            <w:shd w:val="clear" w:color="auto" w:fill="C6EFCE"/>
            <w:noWrap/>
            <w:vAlign w:val="center"/>
          </w:tcPr>
          <w:p w14:paraId="71BBDC9E" w14:textId="77777777" w:rsidR="00154E32" w:rsidRDefault="00A43E04">
            <w:pPr>
              <w:pStyle w:val="P68B1DB1-Normal12"/>
              <w:jc w:val="center"/>
              <w:rPr>
                <w:noProof/>
              </w:rPr>
            </w:pPr>
            <w:r>
              <w:rPr>
                <w:noProof/>
              </w:rPr>
              <w:t>Število dodeljenih raziskovalnih projektov</w:t>
            </w:r>
          </w:p>
        </w:tc>
      </w:tr>
      <w:tr w:rsidR="00154E32" w14:paraId="3267F51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AEDFC3F" w14:textId="77777777" w:rsidR="00154E32" w:rsidRDefault="00A43E04">
            <w:pPr>
              <w:pStyle w:val="P68B1DB1-Normal12"/>
              <w:jc w:val="center"/>
              <w:rPr>
                <w:noProof/>
              </w:rPr>
            </w:pPr>
            <w:r>
              <w:rPr>
                <w:noProof/>
              </w:rPr>
              <w:t>M4C2–7</w:t>
            </w:r>
          </w:p>
        </w:tc>
        <w:tc>
          <w:tcPr>
            <w:tcW w:w="3105" w:type="dxa"/>
            <w:tcBorders>
              <w:top w:val="nil"/>
              <w:left w:val="nil"/>
              <w:bottom w:val="single" w:sz="4" w:space="0" w:color="auto"/>
              <w:right w:val="single" w:sz="4" w:space="0" w:color="auto"/>
            </w:tcBorders>
            <w:shd w:val="clear" w:color="auto" w:fill="C6EFCE"/>
            <w:noWrap/>
            <w:vAlign w:val="center"/>
          </w:tcPr>
          <w:p w14:paraId="66F2C1F8" w14:textId="77777777" w:rsidR="00154E32" w:rsidRDefault="00A43E04">
            <w:pPr>
              <w:pStyle w:val="P68B1DB1-Normal12"/>
              <w:jc w:val="center"/>
              <w:rPr>
                <w:noProof/>
              </w:rPr>
            </w:pPr>
            <w:r>
              <w:rPr>
                <w:noProof/>
              </w:rPr>
              <w:t>Naložba 1.1: Raziskovalni projekti pomembnega nacionalnega interesa (PRIN)</w:t>
            </w:r>
          </w:p>
        </w:tc>
        <w:tc>
          <w:tcPr>
            <w:tcW w:w="1423" w:type="dxa"/>
            <w:tcBorders>
              <w:top w:val="nil"/>
              <w:left w:val="nil"/>
              <w:bottom w:val="single" w:sz="4" w:space="0" w:color="auto"/>
              <w:right w:val="single" w:sz="4" w:space="0" w:color="auto"/>
            </w:tcBorders>
            <w:shd w:val="clear" w:color="auto" w:fill="C6EFCE"/>
            <w:noWrap/>
            <w:vAlign w:val="center"/>
          </w:tcPr>
          <w:p w14:paraId="0A083312" w14:textId="77777777" w:rsidR="00154E32" w:rsidRDefault="00A43E04">
            <w:pPr>
              <w:pStyle w:val="P68B1DB1-Normal12"/>
              <w:jc w:val="center"/>
              <w:rPr>
                <w:noProof/>
              </w:rPr>
            </w:pPr>
            <w:r>
              <w:rPr>
                <w:noProof/>
              </w:rPr>
              <w:t>Tarča</w:t>
            </w:r>
          </w:p>
        </w:tc>
        <w:tc>
          <w:tcPr>
            <w:tcW w:w="4074" w:type="dxa"/>
            <w:tcBorders>
              <w:top w:val="nil"/>
              <w:left w:val="nil"/>
              <w:bottom w:val="single" w:sz="4" w:space="0" w:color="auto"/>
              <w:right w:val="single" w:sz="4" w:space="0" w:color="auto"/>
            </w:tcBorders>
            <w:shd w:val="clear" w:color="auto" w:fill="C6EFCE"/>
            <w:noWrap/>
            <w:vAlign w:val="center"/>
          </w:tcPr>
          <w:p w14:paraId="779BE332" w14:textId="77777777" w:rsidR="00154E32" w:rsidRDefault="00A43E04">
            <w:pPr>
              <w:pStyle w:val="P68B1DB1-Normal12"/>
              <w:jc w:val="center"/>
              <w:rPr>
                <w:noProof/>
              </w:rPr>
            </w:pPr>
            <w:r>
              <w:rPr>
                <w:noProof/>
              </w:rPr>
              <w:t>Število najetih raziskovalcev za določen čas</w:t>
            </w:r>
          </w:p>
        </w:tc>
      </w:tr>
      <w:tr w:rsidR="00154E32" w14:paraId="68B6F0C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9316969" w14:textId="77777777" w:rsidR="00154E32" w:rsidRDefault="00A43E04">
            <w:pPr>
              <w:pStyle w:val="P68B1DB1-Normal12"/>
              <w:jc w:val="center"/>
              <w:rPr>
                <w:noProof/>
              </w:rPr>
            </w:pPr>
            <w:r>
              <w:rPr>
                <w:noProof/>
              </w:rPr>
              <w:t>M4C2–8</w:t>
            </w:r>
          </w:p>
        </w:tc>
        <w:tc>
          <w:tcPr>
            <w:tcW w:w="3105" w:type="dxa"/>
            <w:tcBorders>
              <w:top w:val="nil"/>
              <w:left w:val="nil"/>
              <w:bottom w:val="single" w:sz="4" w:space="0" w:color="auto"/>
              <w:right w:val="single" w:sz="4" w:space="0" w:color="auto"/>
            </w:tcBorders>
            <w:shd w:val="clear" w:color="auto" w:fill="C6EFCE"/>
            <w:noWrap/>
            <w:vAlign w:val="center"/>
          </w:tcPr>
          <w:p w14:paraId="57A5D1FC" w14:textId="77777777" w:rsidR="00154E32" w:rsidRDefault="00A43E04">
            <w:pPr>
              <w:pStyle w:val="P68B1DB1-Normal12"/>
              <w:jc w:val="center"/>
              <w:rPr>
                <w:noProof/>
              </w:rPr>
            </w:pPr>
            <w:r>
              <w:rPr>
                <w:noProof/>
              </w:rPr>
              <w:t>Naložba 1.3: Partnerstva, razširjena na univerze, raziskovalna središča, podjetja in financiranje temeljnih raziskovalnih projektov</w:t>
            </w:r>
          </w:p>
        </w:tc>
        <w:tc>
          <w:tcPr>
            <w:tcW w:w="1423" w:type="dxa"/>
            <w:tcBorders>
              <w:top w:val="nil"/>
              <w:left w:val="nil"/>
              <w:bottom w:val="single" w:sz="4" w:space="0" w:color="auto"/>
              <w:right w:val="single" w:sz="4" w:space="0" w:color="auto"/>
            </w:tcBorders>
            <w:shd w:val="clear" w:color="auto" w:fill="C6EFCE"/>
            <w:noWrap/>
            <w:vAlign w:val="center"/>
          </w:tcPr>
          <w:p w14:paraId="0F759F85" w14:textId="77777777" w:rsidR="00154E32" w:rsidRDefault="00A43E04">
            <w:pPr>
              <w:pStyle w:val="P68B1DB1-Normal12"/>
              <w:jc w:val="center"/>
              <w:rPr>
                <w:noProof/>
              </w:rPr>
            </w:pPr>
            <w:r>
              <w:rPr>
                <w:noProof/>
              </w:rPr>
              <w:t>Tarča</w:t>
            </w:r>
          </w:p>
        </w:tc>
        <w:tc>
          <w:tcPr>
            <w:tcW w:w="4074" w:type="dxa"/>
            <w:tcBorders>
              <w:top w:val="nil"/>
              <w:left w:val="nil"/>
              <w:bottom w:val="single" w:sz="4" w:space="0" w:color="auto"/>
              <w:right w:val="single" w:sz="4" w:space="0" w:color="auto"/>
            </w:tcBorders>
            <w:shd w:val="clear" w:color="auto" w:fill="C6EFCE"/>
            <w:noWrap/>
            <w:vAlign w:val="center"/>
          </w:tcPr>
          <w:p w14:paraId="2E75652B" w14:textId="77777777" w:rsidR="00154E32" w:rsidRDefault="00A43E04">
            <w:pPr>
              <w:pStyle w:val="P68B1DB1-Normal12"/>
              <w:jc w:val="center"/>
              <w:rPr>
                <w:noProof/>
              </w:rPr>
            </w:pPr>
            <w:r>
              <w:rPr>
                <w:noProof/>
              </w:rPr>
              <w:t>Število raziskovalcev za določen čas, ki so bili najeti za vsako od predvidenih temeljnih raziskovalnih partnerstev, podpisanih med raziskovalnimi inštituti in zasebnimi podjetji</w:t>
            </w:r>
          </w:p>
        </w:tc>
      </w:tr>
      <w:tr w:rsidR="00154E32" w14:paraId="200D90E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D3FA0B7" w14:textId="77777777" w:rsidR="00154E32" w:rsidRDefault="00A43E04">
            <w:pPr>
              <w:pStyle w:val="P68B1DB1-Normal12"/>
              <w:jc w:val="center"/>
              <w:rPr>
                <w:noProof/>
              </w:rPr>
            </w:pPr>
            <w:r>
              <w:rPr>
                <w:noProof/>
              </w:rPr>
              <w:t>M4C2–22</w:t>
            </w:r>
          </w:p>
        </w:tc>
        <w:tc>
          <w:tcPr>
            <w:tcW w:w="3105" w:type="dxa"/>
            <w:tcBorders>
              <w:top w:val="nil"/>
              <w:left w:val="nil"/>
              <w:bottom w:val="single" w:sz="4" w:space="0" w:color="auto"/>
              <w:right w:val="single" w:sz="4" w:space="0" w:color="auto"/>
            </w:tcBorders>
            <w:shd w:val="clear" w:color="auto" w:fill="C6EFCE"/>
            <w:noWrap/>
            <w:vAlign w:val="center"/>
          </w:tcPr>
          <w:p w14:paraId="1D055C95" w14:textId="77777777" w:rsidR="00154E32" w:rsidRDefault="00A43E04">
            <w:pPr>
              <w:pStyle w:val="P68B1DB1-Normal12"/>
              <w:jc w:val="center"/>
              <w:rPr>
                <w:noProof/>
              </w:rPr>
            </w:pPr>
            <w:r>
              <w:rPr>
                <w:noProof/>
              </w:rPr>
              <w:t>Naložba 2.1: POMEMBNI PROJEKTI SKUPNEGA EVROPSKEGA INTERESA</w:t>
            </w:r>
          </w:p>
        </w:tc>
        <w:tc>
          <w:tcPr>
            <w:tcW w:w="1423" w:type="dxa"/>
            <w:tcBorders>
              <w:top w:val="nil"/>
              <w:left w:val="nil"/>
              <w:bottom w:val="single" w:sz="4" w:space="0" w:color="auto"/>
              <w:right w:val="single" w:sz="4" w:space="0" w:color="auto"/>
            </w:tcBorders>
            <w:shd w:val="clear" w:color="auto" w:fill="C6EFCE"/>
            <w:noWrap/>
            <w:vAlign w:val="center"/>
          </w:tcPr>
          <w:p w14:paraId="71BD7A45" w14:textId="77777777" w:rsidR="00154E32" w:rsidRDefault="00A43E04">
            <w:pPr>
              <w:pStyle w:val="P68B1DB1-Normal12"/>
              <w:jc w:val="center"/>
              <w:rPr>
                <w:noProof/>
              </w:rPr>
            </w:pPr>
            <w:r>
              <w:rPr>
                <w:noProof/>
              </w:rPr>
              <w:t>Tarča</w:t>
            </w:r>
          </w:p>
        </w:tc>
        <w:tc>
          <w:tcPr>
            <w:tcW w:w="4074" w:type="dxa"/>
            <w:tcBorders>
              <w:top w:val="nil"/>
              <w:left w:val="nil"/>
              <w:bottom w:val="single" w:sz="4" w:space="0" w:color="auto"/>
              <w:right w:val="single" w:sz="4" w:space="0" w:color="auto"/>
            </w:tcBorders>
            <w:shd w:val="clear" w:color="auto" w:fill="C6EFCE"/>
            <w:noWrap/>
            <w:vAlign w:val="center"/>
          </w:tcPr>
          <w:p w14:paraId="0D08A779" w14:textId="77777777" w:rsidR="00154E32" w:rsidRDefault="00A43E04">
            <w:pPr>
              <w:pStyle w:val="P68B1DB1-Normal12"/>
              <w:jc w:val="center"/>
              <w:rPr>
                <w:noProof/>
              </w:rPr>
            </w:pPr>
            <w:r>
              <w:rPr>
                <w:noProof/>
              </w:rPr>
              <w:t>Število projektov, ki so prejeli podporo</w:t>
            </w:r>
          </w:p>
        </w:tc>
      </w:tr>
      <w:tr w:rsidR="00154E32" w14:paraId="2680DF2F"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437D578B" w14:textId="77777777" w:rsidR="00154E32" w:rsidRDefault="00154E32">
            <w:pPr>
              <w:jc w:val="center"/>
              <w:rPr>
                <w:noProof/>
                <w:color w:val="006100"/>
                <w:sz w:val="20"/>
              </w:rPr>
            </w:pPr>
          </w:p>
        </w:tc>
        <w:tc>
          <w:tcPr>
            <w:tcW w:w="3105" w:type="dxa"/>
            <w:tcBorders>
              <w:top w:val="single" w:sz="4" w:space="0" w:color="auto"/>
              <w:left w:val="nil"/>
              <w:bottom w:val="single" w:sz="4" w:space="0" w:color="auto"/>
              <w:right w:val="single" w:sz="4" w:space="0" w:color="auto"/>
            </w:tcBorders>
            <w:shd w:val="clear" w:color="auto" w:fill="C6EFCE"/>
            <w:noWrap/>
            <w:vAlign w:val="bottom"/>
          </w:tcPr>
          <w:p w14:paraId="3A9456F9" w14:textId="77777777" w:rsidR="00154E32" w:rsidRDefault="00154E32">
            <w:pPr>
              <w:rPr>
                <w:noProof/>
                <w:color w:val="006100"/>
                <w:sz w:val="20"/>
              </w:rPr>
            </w:pPr>
          </w:p>
        </w:tc>
        <w:tc>
          <w:tcPr>
            <w:tcW w:w="1423" w:type="dxa"/>
            <w:tcBorders>
              <w:top w:val="single" w:sz="4" w:space="0" w:color="auto"/>
              <w:left w:val="nil"/>
              <w:bottom w:val="single" w:sz="4" w:space="0" w:color="auto"/>
              <w:right w:val="single" w:sz="4" w:space="0" w:color="auto"/>
            </w:tcBorders>
            <w:shd w:val="clear" w:color="auto" w:fill="C6EFCE"/>
            <w:noWrap/>
            <w:vAlign w:val="bottom"/>
          </w:tcPr>
          <w:p w14:paraId="67D96260" w14:textId="77777777" w:rsidR="00154E32" w:rsidRDefault="00A43E04">
            <w:pPr>
              <w:pStyle w:val="P68B1DB1-Normal12"/>
              <w:rPr>
                <w:noProof/>
              </w:rPr>
            </w:pPr>
            <w:r>
              <w:rPr>
                <w:noProof/>
              </w:rPr>
              <w:t>Znesek obroka</w:t>
            </w:r>
          </w:p>
        </w:tc>
        <w:tc>
          <w:tcPr>
            <w:tcW w:w="4074" w:type="dxa"/>
            <w:tcBorders>
              <w:top w:val="single" w:sz="4" w:space="0" w:color="auto"/>
              <w:left w:val="nil"/>
              <w:bottom w:val="single" w:sz="4" w:space="0" w:color="auto"/>
              <w:right w:val="single" w:sz="4" w:space="0" w:color="auto"/>
            </w:tcBorders>
            <w:shd w:val="clear" w:color="auto" w:fill="C6EFCE"/>
            <w:noWrap/>
            <w:vAlign w:val="bottom"/>
          </w:tcPr>
          <w:p w14:paraId="199FE780" w14:textId="6E770BC9" w:rsidR="00154E32" w:rsidRDefault="00A43E04">
            <w:pPr>
              <w:pStyle w:val="P68B1DB1-Normal12"/>
              <w:rPr>
                <w:noProof/>
              </w:rPr>
            </w:pPr>
            <w:r>
              <w:rPr>
                <w:noProof/>
              </w:rPr>
              <w:t>10 344 827 586 EUR</w:t>
            </w:r>
          </w:p>
        </w:tc>
      </w:tr>
    </w:tbl>
    <w:p w14:paraId="0B4D5CB6" w14:textId="73BD5F09" w:rsidR="00154E32" w:rsidRDefault="00A43E04">
      <w:pPr>
        <w:pStyle w:val="P68B1DB1-Normal44"/>
        <w:numPr>
          <w:ilvl w:val="1"/>
          <w:numId w:val="6"/>
        </w:numPr>
        <w:spacing w:before="120" w:after="120"/>
        <w:jc w:val="both"/>
        <w:rPr>
          <w:noProof/>
        </w:rPr>
      </w:pPr>
      <w:r>
        <w:rPr>
          <w:noProof/>
        </w:rPr>
        <w:t>Deveta namestitev (podpora za posojila):</w:t>
      </w:r>
    </w:p>
    <w:tbl>
      <w:tblPr>
        <w:tblW w:w="10072" w:type="dxa"/>
        <w:tblInd w:w="113" w:type="dxa"/>
        <w:tblLook w:val="04A0" w:firstRow="1" w:lastRow="0" w:firstColumn="1" w:lastColumn="0" w:noHBand="0" w:noVBand="1"/>
      </w:tblPr>
      <w:tblGrid>
        <w:gridCol w:w="1413"/>
        <w:gridCol w:w="3075"/>
        <w:gridCol w:w="1528"/>
        <w:gridCol w:w="4056"/>
      </w:tblGrid>
      <w:tr w:rsidR="00154E32" w14:paraId="020DF1DC" w14:textId="77777777">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0DBC9FD" w14:textId="77777777" w:rsidR="00154E32" w:rsidRDefault="00A43E04">
            <w:pPr>
              <w:pStyle w:val="P68B1DB1-Normal45"/>
              <w:jc w:val="center"/>
              <w:rPr>
                <w:noProof/>
              </w:rPr>
            </w:pPr>
            <w:r>
              <w:rPr>
                <w:noProof/>
              </w:rPr>
              <w:t>Zaporedna številka</w:t>
            </w:r>
          </w:p>
        </w:tc>
        <w:tc>
          <w:tcPr>
            <w:tcW w:w="3075"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AE0C0CE" w14:textId="77777777" w:rsidR="00154E32" w:rsidRDefault="00A43E04">
            <w:pPr>
              <w:pStyle w:val="P68B1DB1-Normal45"/>
              <w:jc w:val="center"/>
              <w:rPr>
                <w:noProof/>
              </w:rPr>
            </w:pPr>
            <w:r>
              <w:rPr>
                <w:noProof/>
              </w:rPr>
              <w:t>Povezani ukrep (reforma ali naložba)</w:t>
            </w:r>
          </w:p>
        </w:tc>
        <w:tc>
          <w:tcPr>
            <w:tcW w:w="152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2B518D22" w14:textId="77777777" w:rsidR="00154E32" w:rsidRDefault="00A43E04">
            <w:pPr>
              <w:pStyle w:val="P68B1DB1-Normal45"/>
              <w:jc w:val="center"/>
              <w:rPr>
                <w:noProof/>
              </w:rPr>
            </w:pPr>
            <w:r>
              <w:rPr>
                <w:noProof/>
              </w:rPr>
              <w:t>Mejnik/cilj</w:t>
            </w:r>
          </w:p>
        </w:tc>
        <w:tc>
          <w:tcPr>
            <w:tcW w:w="4056"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2A01336" w14:textId="77777777" w:rsidR="00154E32" w:rsidRDefault="00A43E04">
            <w:pPr>
              <w:pStyle w:val="P68B1DB1-Normal45"/>
              <w:jc w:val="center"/>
              <w:rPr>
                <w:noProof/>
              </w:rPr>
            </w:pPr>
            <w:r>
              <w:rPr>
                <w:noProof/>
              </w:rPr>
              <w:t>Ime</w:t>
            </w:r>
          </w:p>
        </w:tc>
      </w:tr>
      <w:tr w:rsidR="00154E32" w14:paraId="5D0FD389" w14:textId="77777777">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C04467B" w14:textId="77777777" w:rsidR="00154E32" w:rsidRDefault="00154E32">
            <w:pPr>
              <w:rPr>
                <w:b/>
                <w:noProof/>
              </w:rPr>
            </w:pPr>
          </w:p>
        </w:tc>
        <w:tc>
          <w:tcPr>
            <w:tcW w:w="3075" w:type="dxa"/>
            <w:vMerge/>
            <w:tcBorders>
              <w:top w:val="single" w:sz="4" w:space="0" w:color="auto"/>
              <w:left w:val="single" w:sz="4" w:space="0" w:color="auto"/>
              <w:bottom w:val="single" w:sz="4" w:space="0" w:color="auto"/>
              <w:right w:val="single" w:sz="4" w:space="0" w:color="auto"/>
            </w:tcBorders>
            <w:vAlign w:val="center"/>
            <w:hideMark/>
          </w:tcPr>
          <w:p w14:paraId="7B10DA6A" w14:textId="77777777" w:rsidR="00154E32" w:rsidRDefault="00154E32">
            <w:pPr>
              <w:rPr>
                <w:b/>
                <w:noProof/>
              </w:rPr>
            </w:pPr>
          </w:p>
        </w:tc>
        <w:tc>
          <w:tcPr>
            <w:tcW w:w="1528" w:type="dxa"/>
            <w:vMerge/>
            <w:tcBorders>
              <w:top w:val="single" w:sz="4" w:space="0" w:color="auto"/>
              <w:left w:val="single" w:sz="4" w:space="0" w:color="auto"/>
              <w:bottom w:val="single" w:sz="4" w:space="0" w:color="auto"/>
              <w:right w:val="single" w:sz="4" w:space="0" w:color="auto"/>
            </w:tcBorders>
            <w:vAlign w:val="center"/>
            <w:hideMark/>
          </w:tcPr>
          <w:p w14:paraId="5097FD7B" w14:textId="77777777" w:rsidR="00154E32" w:rsidRDefault="00154E32">
            <w:pPr>
              <w:rPr>
                <w:b/>
                <w:noProof/>
              </w:rPr>
            </w:pPr>
          </w:p>
        </w:tc>
        <w:tc>
          <w:tcPr>
            <w:tcW w:w="4056" w:type="dxa"/>
            <w:vMerge/>
            <w:tcBorders>
              <w:top w:val="single" w:sz="4" w:space="0" w:color="auto"/>
              <w:left w:val="single" w:sz="4" w:space="0" w:color="auto"/>
              <w:bottom w:val="single" w:sz="4" w:space="0" w:color="auto"/>
              <w:right w:val="single" w:sz="4" w:space="0" w:color="auto"/>
            </w:tcBorders>
            <w:vAlign w:val="center"/>
            <w:hideMark/>
          </w:tcPr>
          <w:p w14:paraId="71E443F4" w14:textId="77777777" w:rsidR="00154E32" w:rsidRDefault="00154E32">
            <w:pPr>
              <w:rPr>
                <w:b/>
                <w:noProof/>
              </w:rPr>
            </w:pPr>
          </w:p>
        </w:tc>
      </w:tr>
      <w:tr w:rsidR="00154E32" w14:paraId="7BE76453"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43331E30" w14:textId="77777777" w:rsidR="00154E32" w:rsidRDefault="00A43E04">
            <w:pPr>
              <w:pStyle w:val="P68B1DB1-Normal12"/>
              <w:jc w:val="center"/>
              <w:rPr>
                <w:noProof/>
              </w:rPr>
            </w:pPr>
            <w:r>
              <w:rPr>
                <w:noProof/>
              </w:rPr>
              <w:t>M1C1–145</w:t>
            </w:r>
          </w:p>
        </w:tc>
        <w:tc>
          <w:tcPr>
            <w:tcW w:w="3075" w:type="dxa"/>
            <w:tcBorders>
              <w:top w:val="single" w:sz="4" w:space="0" w:color="auto"/>
              <w:left w:val="nil"/>
              <w:bottom w:val="single" w:sz="4" w:space="0" w:color="auto"/>
              <w:right w:val="single" w:sz="4" w:space="0" w:color="auto"/>
            </w:tcBorders>
            <w:shd w:val="clear" w:color="auto" w:fill="C6EFCE"/>
            <w:noWrap/>
            <w:vAlign w:val="center"/>
          </w:tcPr>
          <w:p w14:paraId="1B19F51A" w14:textId="77777777" w:rsidR="00154E32" w:rsidRDefault="00A43E04">
            <w:pPr>
              <w:pStyle w:val="P68B1DB1-Normal12"/>
              <w:jc w:val="center"/>
              <w:rPr>
                <w:noProof/>
              </w:rPr>
            </w:pPr>
            <w:r>
              <w:rPr>
                <w:noProof/>
              </w:rPr>
              <w:t>Naložba 1.4.4 – možnost razširitve nacionalnih platform za digitalno identiteto (SPID, CIE) in nacionalnega registra (ANPR)</w:t>
            </w:r>
          </w:p>
        </w:tc>
        <w:tc>
          <w:tcPr>
            <w:tcW w:w="1528" w:type="dxa"/>
            <w:tcBorders>
              <w:top w:val="single" w:sz="4" w:space="0" w:color="auto"/>
              <w:left w:val="nil"/>
              <w:bottom w:val="single" w:sz="4" w:space="0" w:color="auto"/>
              <w:right w:val="single" w:sz="4" w:space="0" w:color="auto"/>
            </w:tcBorders>
            <w:shd w:val="clear" w:color="auto" w:fill="C6EFCE"/>
            <w:noWrap/>
            <w:vAlign w:val="center"/>
          </w:tcPr>
          <w:p w14:paraId="4DDC9BDE" w14:textId="77777777" w:rsidR="00154E32" w:rsidRDefault="00A43E04">
            <w:pPr>
              <w:pStyle w:val="P68B1DB1-Normal12"/>
              <w:jc w:val="center"/>
              <w:rPr>
                <w:noProof/>
              </w:rPr>
            </w:pPr>
            <w:r>
              <w:rPr>
                <w:noProof/>
              </w:rPr>
              <w:t>Tarča</w:t>
            </w:r>
          </w:p>
        </w:tc>
        <w:tc>
          <w:tcPr>
            <w:tcW w:w="4056" w:type="dxa"/>
            <w:tcBorders>
              <w:top w:val="single" w:sz="4" w:space="0" w:color="auto"/>
              <w:left w:val="nil"/>
              <w:bottom w:val="single" w:sz="4" w:space="0" w:color="auto"/>
              <w:right w:val="single" w:sz="4" w:space="0" w:color="auto"/>
            </w:tcBorders>
            <w:shd w:val="clear" w:color="auto" w:fill="C6EFCE"/>
            <w:noWrap/>
            <w:vAlign w:val="center"/>
          </w:tcPr>
          <w:p w14:paraId="2354810C" w14:textId="77777777" w:rsidR="00154E32" w:rsidRDefault="00A43E04">
            <w:pPr>
              <w:pStyle w:val="P68B1DB1-Normal12"/>
              <w:jc w:val="center"/>
              <w:rPr>
                <w:noProof/>
              </w:rPr>
            </w:pPr>
            <w:r>
              <w:rPr>
                <w:noProof/>
              </w:rPr>
              <w:t>Nacionalne platforme za digitalno identiteto (SPID, CIE) in nacionalni register (ANPR)</w:t>
            </w:r>
          </w:p>
        </w:tc>
      </w:tr>
      <w:tr w:rsidR="00154E32" w14:paraId="27021BE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700C27A" w14:textId="77777777" w:rsidR="00154E32" w:rsidRDefault="00A43E04">
            <w:pPr>
              <w:pStyle w:val="P68B1DB1-Normal12"/>
              <w:jc w:val="center"/>
              <w:rPr>
                <w:noProof/>
              </w:rPr>
            </w:pPr>
            <w:r>
              <w:rPr>
                <w:noProof/>
              </w:rPr>
              <w:t>M1C3–17</w:t>
            </w:r>
          </w:p>
        </w:tc>
        <w:tc>
          <w:tcPr>
            <w:tcW w:w="3075" w:type="dxa"/>
            <w:tcBorders>
              <w:top w:val="nil"/>
              <w:left w:val="nil"/>
              <w:bottom w:val="single" w:sz="4" w:space="0" w:color="auto"/>
              <w:right w:val="single" w:sz="4" w:space="0" w:color="auto"/>
            </w:tcBorders>
            <w:shd w:val="clear" w:color="auto" w:fill="C6EFCE"/>
            <w:noWrap/>
            <w:vAlign w:val="center"/>
          </w:tcPr>
          <w:p w14:paraId="7331CC1C" w14:textId="77777777" w:rsidR="00154E32" w:rsidRDefault="00A43E04">
            <w:pPr>
              <w:pStyle w:val="P68B1DB1-Normal12"/>
              <w:jc w:val="center"/>
              <w:rPr>
                <w:noProof/>
              </w:rPr>
            </w:pPr>
            <w:r>
              <w:rPr>
                <w:noProof/>
              </w:rPr>
              <w:t>Naložbe – 2.2 Zaščita in izboljšanje podeželske arhitekture in krajine</w:t>
            </w:r>
          </w:p>
        </w:tc>
        <w:tc>
          <w:tcPr>
            <w:tcW w:w="1528" w:type="dxa"/>
            <w:tcBorders>
              <w:top w:val="nil"/>
              <w:left w:val="nil"/>
              <w:bottom w:val="single" w:sz="4" w:space="0" w:color="auto"/>
              <w:right w:val="single" w:sz="4" w:space="0" w:color="auto"/>
            </w:tcBorders>
            <w:shd w:val="clear" w:color="auto" w:fill="C6EFCE"/>
            <w:noWrap/>
            <w:vAlign w:val="center"/>
          </w:tcPr>
          <w:p w14:paraId="58704FDF" w14:textId="77777777" w:rsidR="00154E32" w:rsidRDefault="00A43E04">
            <w:pPr>
              <w:pStyle w:val="P68B1DB1-Normal12"/>
              <w:jc w:val="center"/>
              <w:rPr>
                <w:noProof/>
              </w:rPr>
            </w:pPr>
            <w:r>
              <w:rPr>
                <w:noProof/>
              </w:rPr>
              <w:t>Tarča</w:t>
            </w:r>
          </w:p>
        </w:tc>
        <w:tc>
          <w:tcPr>
            <w:tcW w:w="4056" w:type="dxa"/>
            <w:tcBorders>
              <w:top w:val="nil"/>
              <w:left w:val="nil"/>
              <w:bottom w:val="single" w:sz="4" w:space="0" w:color="auto"/>
              <w:right w:val="single" w:sz="4" w:space="0" w:color="auto"/>
            </w:tcBorders>
            <w:shd w:val="clear" w:color="auto" w:fill="C6EFCE"/>
            <w:noWrap/>
            <w:vAlign w:val="center"/>
          </w:tcPr>
          <w:p w14:paraId="67B50808" w14:textId="77777777" w:rsidR="00154E32" w:rsidRDefault="00A43E04">
            <w:pPr>
              <w:pStyle w:val="P68B1DB1-Normal12"/>
              <w:jc w:val="center"/>
              <w:rPr>
                <w:noProof/>
              </w:rPr>
            </w:pPr>
            <w:r>
              <w:rPr>
                <w:noProof/>
              </w:rPr>
              <w:t>Zaključene intervencije za zaščito in izboljšanje podeželske arhitekture in krajine</w:t>
            </w:r>
          </w:p>
        </w:tc>
      </w:tr>
      <w:tr w:rsidR="00154E32" w14:paraId="2BA47DE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6F6716D" w14:textId="77777777" w:rsidR="00154E32" w:rsidRDefault="00A43E04">
            <w:pPr>
              <w:pStyle w:val="P68B1DB1-Normal12"/>
              <w:jc w:val="center"/>
              <w:rPr>
                <w:noProof/>
              </w:rPr>
            </w:pPr>
            <w:r>
              <w:rPr>
                <w:noProof/>
              </w:rPr>
              <w:t>M1C3–18</w:t>
            </w:r>
          </w:p>
        </w:tc>
        <w:tc>
          <w:tcPr>
            <w:tcW w:w="3075" w:type="dxa"/>
            <w:tcBorders>
              <w:top w:val="nil"/>
              <w:left w:val="nil"/>
              <w:bottom w:val="single" w:sz="4" w:space="0" w:color="auto"/>
              <w:right w:val="single" w:sz="4" w:space="0" w:color="auto"/>
            </w:tcBorders>
            <w:shd w:val="clear" w:color="auto" w:fill="C6EFCE"/>
            <w:noWrap/>
            <w:vAlign w:val="center"/>
          </w:tcPr>
          <w:p w14:paraId="076A0EA9" w14:textId="77777777" w:rsidR="00154E32" w:rsidRDefault="00A43E04">
            <w:pPr>
              <w:pStyle w:val="P68B1DB1-Normal12"/>
              <w:jc w:val="center"/>
              <w:rPr>
                <w:noProof/>
              </w:rPr>
            </w:pPr>
            <w:r>
              <w:rPr>
                <w:noProof/>
              </w:rPr>
              <w:t>Naložbe 2.3 Programi za krepitev identitete krajev: parki in zgodovinski vrtovi</w:t>
            </w:r>
          </w:p>
        </w:tc>
        <w:tc>
          <w:tcPr>
            <w:tcW w:w="1528" w:type="dxa"/>
            <w:tcBorders>
              <w:top w:val="nil"/>
              <w:left w:val="nil"/>
              <w:bottom w:val="single" w:sz="4" w:space="0" w:color="auto"/>
              <w:right w:val="single" w:sz="4" w:space="0" w:color="auto"/>
            </w:tcBorders>
            <w:shd w:val="clear" w:color="auto" w:fill="C6EFCE"/>
            <w:noWrap/>
            <w:vAlign w:val="center"/>
          </w:tcPr>
          <w:p w14:paraId="0AC11562" w14:textId="77777777" w:rsidR="00154E32" w:rsidRDefault="00A43E04">
            <w:pPr>
              <w:pStyle w:val="P68B1DB1-Normal12"/>
              <w:jc w:val="center"/>
              <w:rPr>
                <w:noProof/>
              </w:rPr>
            </w:pPr>
            <w:r>
              <w:rPr>
                <w:noProof/>
              </w:rPr>
              <w:t>Tarča</w:t>
            </w:r>
          </w:p>
        </w:tc>
        <w:tc>
          <w:tcPr>
            <w:tcW w:w="4056" w:type="dxa"/>
            <w:tcBorders>
              <w:top w:val="nil"/>
              <w:left w:val="nil"/>
              <w:bottom w:val="single" w:sz="4" w:space="0" w:color="auto"/>
              <w:right w:val="single" w:sz="4" w:space="0" w:color="auto"/>
            </w:tcBorders>
            <w:shd w:val="clear" w:color="auto" w:fill="C6EFCE"/>
            <w:noWrap/>
            <w:vAlign w:val="center"/>
          </w:tcPr>
          <w:p w14:paraId="2C5DF59E" w14:textId="77777777" w:rsidR="00154E32" w:rsidRDefault="00A43E04">
            <w:pPr>
              <w:pStyle w:val="P68B1DB1-Normal12"/>
              <w:jc w:val="center"/>
              <w:rPr>
                <w:noProof/>
              </w:rPr>
            </w:pPr>
            <w:r>
              <w:rPr>
                <w:noProof/>
              </w:rPr>
              <w:t>Število prekvalificiranih parkov in zgodovinskih vrtov</w:t>
            </w:r>
          </w:p>
        </w:tc>
      </w:tr>
      <w:tr w:rsidR="00154E32" w14:paraId="2816902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07EAFAD" w14:textId="77777777" w:rsidR="00154E32" w:rsidRDefault="00A43E04">
            <w:pPr>
              <w:pStyle w:val="P68B1DB1-Normal12"/>
              <w:jc w:val="center"/>
              <w:rPr>
                <w:noProof/>
              </w:rPr>
            </w:pPr>
            <w:r>
              <w:rPr>
                <w:noProof/>
              </w:rPr>
              <w:t>M1C3–19</w:t>
            </w:r>
          </w:p>
        </w:tc>
        <w:tc>
          <w:tcPr>
            <w:tcW w:w="3075" w:type="dxa"/>
            <w:tcBorders>
              <w:top w:val="nil"/>
              <w:left w:val="nil"/>
              <w:bottom w:val="single" w:sz="4" w:space="0" w:color="auto"/>
              <w:right w:val="single" w:sz="4" w:space="0" w:color="auto"/>
            </w:tcBorders>
            <w:shd w:val="clear" w:color="auto" w:fill="C6EFCE"/>
            <w:noWrap/>
            <w:vAlign w:val="center"/>
          </w:tcPr>
          <w:p w14:paraId="772678DB" w14:textId="77777777" w:rsidR="00154E32" w:rsidRDefault="00A43E04">
            <w:pPr>
              <w:pStyle w:val="P68B1DB1-Normal12"/>
              <w:jc w:val="center"/>
              <w:rPr>
                <w:noProof/>
              </w:rPr>
            </w:pPr>
            <w:r>
              <w:rPr>
                <w:noProof/>
              </w:rPr>
              <w:t>Naložba – 2.4 Seizmična varnost verskih objektov, obnova dediščine Fondo Edifici di Culto (Fondo Edifici di Culto) in zavetja za umetniška dela (Recovery Art)</w:t>
            </w:r>
          </w:p>
        </w:tc>
        <w:tc>
          <w:tcPr>
            <w:tcW w:w="1528" w:type="dxa"/>
            <w:tcBorders>
              <w:top w:val="nil"/>
              <w:left w:val="nil"/>
              <w:bottom w:val="single" w:sz="4" w:space="0" w:color="auto"/>
              <w:right w:val="single" w:sz="4" w:space="0" w:color="auto"/>
            </w:tcBorders>
            <w:shd w:val="clear" w:color="auto" w:fill="C6EFCE"/>
            <w:noWrap/>
            <w:vAlign w:val="center"/>
          </w:tcPr>
          <w:p w14:paraId="19F750D0" w14:textId="77777777" w:rsidR="00154E32" w:rsidRDefault="00A43E04">
            <w:pPr>
              <w:pStyle w:val="P68B1DB1-Normal12"/>
              <w:jc w:val="center"/>
              <w:rPr>
                <w:noProof/>
              </w:rPr>
            </w:pPr>
            <w:r>
              <w:rPr>
                <w:noProof/>
              </w:rPr>
              <w:t>Tarča</w:t>
            </w:r>
          </w:p>
        </w:tc>
        <w:tc>
          <w:tcPr>
            <w:tcW w:w="4056" w:type="dxa"/>
            <w:tcBorders>
              <w:top w:val="nil"/>
              <w:left w:val="nil"/>
              <w:bottom w:val="single" w:sz="4" w:space="0" w:color="auto"/>
              <w:right w:val="single" w:sz="4" w:space="0" w:color="auto"/>
            </w:tcBorders>
            <w:shd w:val="clear" w:color="auto" w:fill="C6EFCE"/>
            <w:noWrap/>
            <w:vAlign w:val="center"/>
          </w:tcPr>
          <w:p w14:paraId="3FE3FABA" w14:textId="77777777" w:rsidR="00154E32" w:rsidRDefault="00A43E04">
            <w:pPr>
              <w:pStyle w:val="P68B1DB1-Normal12"/>
              <w:jc w:val="center"/>
              <w:rPr>
                <w:noProof/>
              </w:rPr>
            </w:pPr>
            <w:r>
              <w:rPr>
                <w:noProof/>
              </w:rPr>
              <w:t>Ukrepi za potresno varnost v verskih objektih, obnovo dediščine Fondo Edifici di Culto (Fondo Edifici di Culto) in dokončanih zavetišč za umetniška dela</w:t>
            </w:r>
          </w:p>
        </w:tc>
      </w:tr>
      <w:tr w:rsidR="00154E32" w14:paraId="4424985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4A424AC" w14:textId="77777777" w:rsidR="00154E32" w:rsidRDefault="00A43E04">
            <w:pPr>
              <w:pStyle w:val="P68B1DB1-Normal12"/>
              <w:jc w:val="center"/>
              <w:rPr>
                <w:noProof/>
              </w:rPr>
            </w:pPr>
            <w:r>
              <w:rPr>
                <w:noProof/>
              </w:rPr>
              <w:t>M1C3–28</w:t>
            </w:r>
          </w:p>
        </w:tc>
        <w:tc>
          <w:tcPr>
            <w:tcW w:w="3075" w:type="dxa"/>
            <w:tcBorders>
              <w:top w:val="nil"/>
              <w:left w:val="nil"/>
              <w:bottom w:val="single" w:sz="4" w:space="0" w:color="auto"/>
              <w:right w:val="single" w:sz="4" w:space="0" w:color="auto"/>
            </w:tcBorders>
            <w:shd w:val="clear" w:color="auto" w:fill="C6EFCE"/>
            <w:noWrap/>
            <w:vAlign w:val="center"/>
          </w:tcPr>
          <w:p w14:paraId="281F966E" w14:textId="77777777" w:rsidR="00154E32" w:rsidRDefault="00A43E04">
            <w:pPr>
              <w:pStyle w:val="P68B1DB1-Normal12"/>
              <w:jc w:val="center"/>
              <w:rPr>
                <w:noProof/>
              </w:rPr>
            </w:pPr>
            <w:r>
              <w:rPr>
                <w:noProof/>
              </w:rPr>
              <w:t>Naložba 4.2:  Sredstva za konkurenčnost turističnih podjetij</w:t>
            </w:r>
          </w:p>
        </w:tc>
        <w:tc>
          <w:tcPr>
            <w:tcW w:w="1528" w:type="dxa"/>
            <w:tcBorders>
              <w:top w:val="nil"/>
              <w:left w:val="nil"/>
              <w:bottom w:val="single" w:sz="4" w:space="0" w:color="auto"/>
              <w:right w:val="single" w:sz="4" w:space="0" w:color="auto"/>
            </w:tcBorders>
            <w:shd w:val="clear" w:color="auto" w:fill="C6EFCE"/>
            <w:noWrap/>
            <w:vAlign w:val="center"/>
          </w:tcPr>
          <w:p w14:paraId="5EDAB96C" w14:textId="77777777" w:rsidR="00154E32" w:rsidRDefault="00A43E04">
            <w:pPr>
              <w:pStyle w:val="P68B1DB1-Normal12"/>
              <w:jc w:val="center"/>
              <w:rPr>
                <w:noProof/>
              </w:rPr>
            </w:pPr>
            <w:r>
              <w:rPr>
                <w:noProof/>
              </w:rPr>
              <w:t>Tarča</w:t>
            </w:r>
          </w:p>
        </w:tc>
        <w:tc>
          <w:tcPr>
            <w:tcW w:w="4056" w:type="dxa"/>
            <w:tcBorders>
              <w:top w:val="nil"/>
              <w:left w:val="nil"/>
              <w:bottom w:val="single" w:sz="4" w:space="0" w:color="auto"/>
              <w:right w:val="single" w:sz="4" w:space="0" w:color="auto"/>
            </w:tcBorders>
            <w:shd w:val="clear" w:color="auto" w:fill="C6EFCE"/>
            <w:noWrap/>
            <w:vAlign w:val="center"/>
          </w:tcPr>
          <w:p w14:paraId="08085EAC" w14:textId="77777777" w:rsidR="00154E32" w:rsidRDefault="00A43E04">
            <w:pPr>
              <w:pStyle w:val="P68B1DB1-Normal12"/>
              <w:jc w:val="center"/>
              <w:rPr>
                <w:noProof/>
              </w:rPr>
            </w:pPr>
            <w:r>
              <w:rPr>
                <w:noProof/>
              </w:rPr>
              <w:t xml:space="preserve">Število turističnih podjetij, podprtih z davčno olajšavo za infrastrukturo in/ali storitve; </w:t>
            </w:r>
          </w:p>
        </w:tc>
      </w:tr>
      <w:tr w:rsidR="00154E32" w14:paraId="2F320B4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AF43F3B" w14:textId="77777777" w:rsidR="00154E32" w:rsidRDefault="00A43E04">
            <w:pPr>
              <w:pStyle w:val="P68B1DB1-Normal12"/>
              <w:jc w:val="center"/>
              <w:rPr>
                <w:noProof/>
              </w:rPr>
            </w:pPr>
            <w:r>
              <w:rPr>
                <w:noProof/>
              </w:rPr>
              <w:t>M1C3–32</w:t>
            </w:r>
          </w:p>
        </w:tc>
        <w:tc>
          <w:tcPr>
            <w:tcW w:w="3075" w:type="dxa"/>
            <w:tcBorders>
              <w:top w:val="nil"/>
              <w:left w:val="nil"/>
              <w:bottom w:val="single" w:sz="4" w:space="0" w:color="auto"/>
              <w:right w:val="single" w:sz="4" w:space="0" w:color="auto"/>
            </w:tcBorders>
            <w:shd w:val="clear" w:color="auto" w:fill="C6EFCE"/>
            <w:noWrap/>
            <w:vAlign w:val="center"/>
          </w:tcPr>
          <w:p w14:paraId="172A922D" w14:textId="77777777" w:rsidR="00154E32" w:rsidRDefault="00A43E04">
            <w:pPr>
              <w:pStyle w:val="P68B1DB1-Normal12"/>
              <w:jc w:val="center"/>
              <w:rPr>
                <w:noProof/>
              </w:rPr>
            </w:pPr>
            <w:r>
              <w:rPr>
                <w:noProof/>
              </w:rPr>
              <w:t xml:space="preserve">Naložba 4.2:  Sredstva za konkurenčnost turističnih podjetij </w:t>
            </w:r>
          </w:p>
        </w:tc>
        <w:tc>
          <w:tcPr>
            <w:tcW w:w="1528" w:type="dxa"/>
            <w:tcBorders>
              <w:top w:val="nil"/>
              <w:left w:val="nil"/>
              <w:bottom w:val="single" w:sz="4" w:space="0" w:color="auto"/>
              <w:right w:val="single" w:sz="4" w:space="0" w:color="auto"/>
            </w:tcBorders>
            <w:shd w:val="clear" w:color="auto" w:fill="C6EFCE"/>
            <w:noWrap/>
            <w:vAlign w:val="center"/>
          </w:tcPr>
          <w:p w14:paraId="573696B9" w14:textId="77777777" w:rsidR="00154E32" w:rsidRDefault="00A43E04">
            <w:pPr>
              <w:pStyle w:val="P68B1DB1-Normal12"/>
              <w:jc w:val="center"/>
              <w:rPr>
                <w:noProof/>
              </w:rPr>
            </w:pPr>
            <w:r>
              <w:rPr>
                <w:noProof/>
              </w:rPr>
              <w:t xml:space="preserve">Tarča </w:t>
            </w:r>
          </w:p>
        </w:tc>
        <w:tc>
          <w:tcPr>
            <w:tcW w:w="4056" w:type="dxa"/>
            <w:tcBorders>
              <w:top w:val="nil"/>
              <w:left w:val="nil"/>
              <w:bottom w:val="single" w:sz="4" w:space="0" w:color="auto"/>
              <w:right w:val="single" w:sz="4" w:space="0" w:color="auto"/>
            </w:tcBorders>
            <w:shd w:val="clear" w:color="auto" w:fill="C6EFCE"/>
            <w:noWrap/>
            <w:vAlign w:val="center"/>
          </w:tcPr>
          <w:p w14:paraId="644110E5" w14:textId="77777777" w:rsidR="00154E32" w:rsidRDefault="00A43E04">
            <w:pPr>
              <w:pStyle w:val="P68B1DB1-Normal12"/>
              <w:jc w:val="center"/>
              <w:rPr>
                <w:noProof/>
              </w:rPr>
            </w:pPr>
            <w:r>
              <w:rPr>
                <w:noProof/>
              </w:rPr>
              <w:t xml:space="preserve"> Število turističnih podjetij, ki bodo prejela podporo iz Jamstvenega sklada za MSP </w:t>
            </w:r>
          </w:p>
        </w:tc>
      </w:tr>
      <w:tr w:rsidR="00154E32" w14:paraId="4919F21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E7F784" w14:textId="77777777" w:rsidR="00154E32" w:rsidRDefault="00A43E04">
            <w:pPr>
              <w:pStyle w:val="P68B1DB1-Normal12"/>
              <w:jc w:val="center"/>
              <w:rPr>
                <w:noProof/>
              </w:rPr>
            </w:pPr>
            <w:r>
              <w:rPr>
                <w:noProof/>
              </w:rPr>
              <w:t>M1C3–34</w:t>
            </w:r>
          </w:p>
        </w:tc>
        <w:tc>
          <w:tcPr>
            <w:tcW w:w="3075" w:type="dxa"/>
            <w:tcBorders>
              <w:top w:val="nil"/>
              <w:left w:val="nil"/>
              <w:bottom w:val="single" w:sz="4" w:space="0" w:color="auto"/>
              <w:right w:val="single" w:sz="4" w:space="0" w:color="auto"/>
            </w:tcBorders>
            <w:shd w:val="clear" w:color="auto" w:fill="C6EFCE"/>
            <w:noWrap/>
            <w:vAlign w:val="center"/>
          </w:tcPr>
          <w:p w14:paraId="370F506E" w14:textId="77777777" w:rsidR="00154E32" w:rsidRDefault="00A43E04">
            <w:pPr>
              <w:pStyle w:val="P68B1DB1-Normal12"/>
              <w:jc w:val="center"/>
              <w:rPr>
                <w:noProof/>
              </w:rPr>
            </w:pPr>
            <w:r>
              <w:rPr>
                <w:noProof/>
              </w:rPr>
              <w:t>Naložbe 4.2 Skladi za konkurenčnost turističnih podjetij</w:t>
            </w:r>
          </w:p>
        </w:tc>
        <w:tc>
          <w:tcPr>
            <w:tcW w:w="1528" w:type="dxa"/>
            <w:tcBorders>
              <w:top w:val="nil"/>
              <w:left w:val="nil"/>
              <w:bottom w:val="single" w:sz="4" w:space="0" w:color="auto"/>
              <w:right w:val="single" w:sz="4" w:space="0" w:color="auto"/>
            </w:tcBorders>
            <w:shd w:val="clear" w:color="auto" w:fill="C6EFCE"/>
            <w:noWrap/>
            <w:vAlign w:val="center"/>
          </w:tcPr>
          <w:p w14:paraId="618D5EC1" w14:textId="77777777" w:rsidR="00154E32" w:rsidRDefault="00A43E04">
            <w:pPr>
              <w:pStyle w:val="P68B1DB1-Normal12"/>
              <w:jc w:val="center"/>
              <w:rPr>
                <w:noProof/>
              </w:rPr>
            </w:pPr>
            <w:r>
              <w:rPr>
                <w:noProof/>
              </w:rPr>
              <w:t xml:space="preserve">Tarča </w:t>
            </w:r>
          </w:p>
        </w:tc>
        <w:tc>
          <w:tcPr>
            <w:tcW w:w="4056" w:type="dxa"/>
            <w:tcBorders>
              <w:top w:val="nil"/>
              <w:left w:val="nil"/>
              <w:bottom w:val="single" w:sz="4" w:space="0" w:color="auto"/>
              <w:right w:val="single" w:sz="4" w:space="0" w:color="auto"/>
            </w:tcBorders>
            <w:shd w:val="clear" w:color="auto" w:fill="C6EFCE"/>
            <w:noWrap/>
            <w:vAlign w:val="center"/>
          </w:tcPr>
          <w:p w14:paraId="0779074E" w14:textId="77777777" w:rsidR="00154E32" w:rsidRDefault="00A43E04">
            <w:pPr>
              <w:pStyle w:val="P68B1DB1-Normal12"/>
              <w:jc w:val="center"/>
              <w:rPr>
                <w:noProof/>
              </w:rPr>
            </w:pPr>
            <w:r>
              <w:rPr>
                <w:noProof/>
              </w:rPr>
              <w:t xml:space="preserve"> Število nepremičnin, preoblikovanih za turizem, s strani Nacionalnega sklada za turizem  </w:t>
            </w:r>
          </w:p>
        </w:tc>
      </w:tr>
      <w:tr w:rsidR="00154E32" w14:paraId="28B24B7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369ED8C" w14:textId="77777777" w:rsidR="00154E32" w:rsidRDefault="00A43E04">
            <w:pPr>
              <w:pStyle w:val="P68B1DB1-Normal12"/>
              <w:jc w:val="center"/>
              <w:rPr>
                <w:noProof/>
              </w:rPr>
            </w:pPr>
            <w:r>
              <w:rPr>
                <w:noProof/>
              </w:rPr>
              <w:t>M2C1–17</w:t>
            </w:r>
          </w:p>
        </w:tc>
        <w:tc>
          <w:tcPr>
            <w:tcW w:w="3075" w:type="dxa"/>
            <w:tcBorders>
              <w:top w:val="nil"/>
              <w:left w:val="nil"/>
              <w:bottom w:val="single" w:sz="4" w:space="0" w:color="auto"/>
              <w:right w:val="single" w:sz="4" w:space="0" w:color="auto"/>
            </w:tcBorders>
            <w:shd w:val="clear" w:color="auto" w:fill="C6EFCE"/>
            <w:noWrap/>
            <w:vAlign w:val="center"/>
          </w:tcPr>
          <w:p w14:paraId="11CAD161" w14:textId="77777777" w:rsidR="00154E32" w:rsidRDefault="00A43E04">
            <w:pPr>
              <w:pStyle w:val="P68B1DB1-Normal12"/>
              <w:jc w:val="center"/>
              <w:rPr>
                <w:noProof/>
              </w:rPr>
            </w:pPr>
            <w:r>
              <w:rPr>
                <w:noProof/>
              </w:rPr>
              <w:t>Naložba 1.2 – „vodilni“ projekti krožnega gospodarstva</w:t>
            </w:r>
          </w:p>
        </w:tc>
        <w:tc>
          <w:tcPr>
            <w:tcW w:w="1528" w:type="dxa"/>
            <w:tcBorders>
              <w:top w:val="nil"/>
              <w:left w:val="nil"/>
              <w:bottom w:val="single" w:sz="4" w:space="0" w:color="auto"/>
              <w:right w:val="single" w:sz="4" w:space="0" w:color="auto"/>
            </w:tcBorders>
            <w:shd w:val="clear" w:color="auto" w:fill="C6EFCE"/>
            <w:noWrap/>
            <w:vAlign w:val="center"/>
          </w:tcPr>
          <w:p w14:paraId="2CCF2E96" w14:textId="77777777" w:rsidR="00154E32" w:rsidRDefault="00A43E04">
            <w:pPr>
              <w:pStyle w:val="P68B1DB1-Normal12"/>
              <w:jc w:val="center"/>
              <w:rPr>
                <w:noProof/>
              </w:rPr>
            </w:pPr>
            <w:r>
              <w:rPr>
                <w:noProof/>
              </w:rPr>
              <w:t>Tarča</w:t>
            </w:r>
          </w:p>
        </w:tc>
        <w:tc>
          <w:tcPr>
            <w:tcW w:w="4056" w:type="dxa"/>
            <w:tcBorders>
              <w:top w:val="nil"/>
              <w:left w:val="nil"/>
              <w:bottom w:val="single" w:sz="4" w:space="0" w:color="auto"/>
              <w:right w:val="single" w:sz="4" w:space="0" w:color="auto"/>
            </w:tcBorders>
            <w:shd w:val="clear" w:color="auto" w:fill="C6EFCE"/>
            <w:noWrap/>
            <w:vAlign w:val="center"/>
          </w:tcPr>
          <w:p w14:paraId="233AFAC0" w14:textId="77777777" w:rsidR="00154E32" w:rsidRDefault="00A43E04">
            <w:pPr>
              <w:pStyle w:val="P68B1DB1-Normal12"/>
              <w:jc w:val="center"/>
              <w:rPr>
                <w:noProof/>
              </w:rPr>
            </w:pPr>
            <w:r>
              <w:rPr>
                <w:noProof/>
              </w:rPr>
              <w:t xml:space="preserve">Stopnje recikliranja komunalnih odpadkov v akcijskem načrtu za krožno gospodarstvo  </w:t>
            </w:r>
          </w:p>
        </w:tc>
      </w:tr>
      <w:tr w:rsidR="00154E32" w14:paraId="2E4BDA4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B05615A" w14:textId="77777777" w:rsidR="00154E32" w:rsidRDefault="00A43E04">
            <w:pPr>
              <w:pStyle w:val="P68B1DB1-Normal12"/>
              <w:jc w:val="center"/>
              <w:rPr>
                <w:noProof/>
              </w:rPr>
            </w:pPr>
            <w:r>
              <w:rPr>
                <w:noProof/>
              </w:rPr>
              <w:t>M2C1–17a</w:t>
            </w:r>
          </w:p>
        </w:tc>
        <w:tc>
          <w:tcPr>
            <w:tcW w:w="3075" w:type="dxa"/>
            <w:tcBorders>
              <w:top w:val="nil"/>
              <w:left w:val="nil"/>
              <w:bottom w:val="single" w:sz="4" w:space="0" w:color="auto"/>
              <w:right w:val="single" w:sz="4" w:space="0" w:color="auto"/>
            </w:tcBorders>
            <w:shd w:val="clear" w:color="auto" w:fill="C6EFCE"/>
            <w:noWrap/>
            <w:vAlign w:val="center"/>
          </w:tcPr>
          <w:p w14:paraId="7874AD15" w14:textId="77777777" w:rsidR="00154E32" w:rsidRDefault="00A43E04">
            <w:pPr>
              <w:pStyle w:val="P68B1DB1-Normal12"/>
              <w:jc w:val="center"/>
              <w:rPr>
                <w:noProof/>
              </w:rPr>
            </w:pPr>
            <w:r>
              <w:rPr>
                <w:noProof/>
              </w:rPr>
              <w:t>Naložba 1.2 – „vodilni“ projekti krožnega gospodarstva</w:t>
            </w:r>
          </w:p>
        </w:tc>
        <w:tc>
          <w:tcPr>
            <w:tcW w:w="1528" w:type="dxa"/>
            <w:tcBorders>
              <w:top w:val="nil"/>
              <w:left w:val="nil"/>
              <w:bottom w:val="single" w:sz="4" w:space="0" w:color="auto"/>
              <w:right w:val="single" w:sz="4" w:space="0" w:color="auto"/>
            </w:tcBorders>
            <w:shd w:val="clear" w:color="auto" w:fill="C6EFCE"/>
            <w:noWrap/>
            <w:vAlign w:val="center"/>
          </w:tcPr>
          <w:p w14:paraId="2F20F458" w14:textId="77777777" w:rsidR="00154E32" w:rsidRDefault="00A43E04">
            <w:pPr>
              <w:pStyle w:val="P68B1DB1-Normal12"/>
              <w:jc w:val="center"/>
              <w:rPr>
                <w:noProof/>
              </w:rPr>
            </w:pPr>
            <w:r>
              <w:rPr>
                <w:noProof/>
              </w:rPr>
              <w:t>Tarča</w:t>
            </w:r>
          </w:p>
        </w:tc>
        <w:tc>
          <w:tcPr>
            <w:tcW w:w="4056" w:type="dxa"/>
            <w:tcBorders>
              <w:top w:val="nil"/>
              <w:left w:val="nil"/>
              <w:bottom w:val="single" w:sz="4" w:space="0" w:color="auto"/>
              <w:right w:val="single" w:sz="4" w:space="0" w:color="auto"/>
            </w:tcBorders>
            <w:shd w:val="clear" w:color="auto" w:fill="C6EFCE"/>
            <w:noWrap/>
            <w:vAlign w:val="center"/>
          </w:tcPr>
          <w:p w14:paraId="1E4A953C" w14:textId="77777777" w:rsidR="00154E32" w:rsidRDefault="00A43E04">
            <w:pPr>
              <w:pStyle w:val="P68B1DB1-Normal12"/>
              <w:jc w:val="center"/>
              <w:rPr>
                <w:noProof/>
              </w:rPr>
            </w:pPr>
            <w:r>
              <w:rPr>
                <w:noProof/>
              </w:rPr>
              <w:t>Stopnje recikliranja odpadne embalaže v akcijskem načrtu za krožno gospodarstvo</w:t>
            </w:r>
          </w:p>
        </w:tc>
      </w:tr>
      <w:tr w:rsidR="00154E32" w14:paraId="5C4B0A5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F022B44" w14:textId="77777777" w:rsidR="00154E32" w:rsidRDefault="00A43E04">
            <w:pPr>
              <w:pStyle w:val="P68B1DB1-Normal12"/>
              <w:jc w:val="center"/>
              <w:rPr>
                <w:noProof/>
              </w:rPr>
            </w:pPr>
            <w:r>
              <w:rPr>
                <w:noProof/>
              </w:rPr>
              <w:t>M2C1–17b</w:t>
            </w:r>
          </w:p>
        </w:tc>
        <w:tc>
          <w:tcPr>
            <w:tcW w:w="3075" w:type="dxa"/>
            <w:tcBorders>
              <w:top w:val="nil"/>
              <w:left w:val="nil"/>
              <w:bottom w:val="single" w:sz="4" w:space="0" w:color="auto"/>
              <w:right w:val="single" w:sz="4" w:space="0" w:color="auto"/>
            </w:tcBorders>
            <w:shd w:val="clear" w:color="auto" w:fill="C6EFCE"/>
            <w:noWrap/>
            <w:vAlign w:val="center"/>
          </w:tcPr>
          <w:p w14:paraId="01429624" w14:textId="77777777" w:rsidR="00154E32" w:rsidRDefault="00A43E04">
            <w:pPr>
              <w:pStyle w:val="P68B1DB1-Normal12"/>
              <w:jc w:val="center"/>
              <w:rPr>
                <w:noProof/>
              </w:rPr>
            </w:pPr>
            <w:r>
              <w:rPr>
                <w:noProof/>
              </w:rPr>
              <w:t>Naložba 1.2 – „vodilni“ projekti krožnega gospodarstva</w:t>
            </w:r>
          </w:p>
        </w:tc>
        <w:tc>
          <w:tcPr>
            <w:tcW w:w="1528" w:type="dxa"/>
            <w:tcBorders>
              <w:top w:val="nil"/>
              <w:left w:val="nil"/>
              <w:bottom w:val="single" w:sz="4" w:space="0" w:color="auto"/>
              <w:right w:val="single" w:sz="4" w:space="0" w:color="auto"/>
            </w:tcBorders>
            <w:shd w:val="clear" w:color="auto" w:fill="C6EFCE"/>
            <w:noWrap/>
            <w:vAlign w:val="center"/>
          </w:tcPr>
          <w:p w14:paraId="72868CA9" w14:textId="77777777" w:rsidR="00154E32" w:rsidRDefault="00A43E04">
            <w:pPr>
              <w:pStyle w:val="P68B1DB1-Normal12"/>
              <w:jc w:val="center"/>
              <w:rPr>
                <w:noProof/>
              </w:rPr>
            </w:pPr>
            <w:r>
              <w:rPr>
                <w:noProof/>
              </w:rPr>
              <w:t>Tarča</w:t>
            </w:r>
          </w:p>
        </w:tc>
        <w:tc>
          <w:tcPr>
            <w:tcW w:w="4056" w:type="dxa"/>
            <w:tcBorders>
              <w:top w:val="nil"/>
              <w:left w:val="nil"/>
              <w:bottom w:val="single" w:sz="4" w:space="0" w:color="auto"/>
              <w:right w:val="single" w:sz="4" w:space="0" w:color="auto"/>
            </w:tcBorders>
            <w:shd w:val="clear" w:color="auto" w:fill="C6EFCE"/>
            <w:noWrap/>
            <w:vAlign w:val="center"/>
          </w:tcPr>
          <w:p w14:paraId="2ECF2855" w14:textId="77777777" w:rsidR="00154E32" w:rsidRDefault="00A43E04">
            <w:pPr>
              <w:pStyle w:val="P68B1DB1-Normal12"/>
              <w:jc w:val="center"/>
              <w:rPr>
                <w:noProof/>
              </w:rPr>
            </w:pPr>
            <w:r>
              <w:rPr>
                <w:noProof/>
              </w:rPr>
              <w:t>Stopnje recikliranja lesene embalaže v akcijskem načrtu za krožno gospodarstvo</w:t>
            </w:r>
          </w:p>
        </w:tc>
      </w:tr>
      <w:tr w:rsidR="00154E32" w14:paraId="25DF6EC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5D86DB1" w14:textId="77777777" w:rsidR="00154E32" w:rsidRDefault="00A43E04">
            <w:pPr>
              <w:pStyle w:val="P68B1DB1-Normal12"/>
              <w:jc w:val="center"/>
              <w:rPr>
                <w:noProof/>
              </w:rPr>
            </w:pPr>
            <w:r>
              <w:rPr>
                <w:noProof/>
              </w:rPr>
              <w:t>M2C1–17c</w:t>
            </w:r>
          </w:p>
        </w:tc>
        <w:tc>
          <w:tcPr>
            <w:tcW w:w="3075" w:type="dxa"/>
            <w:tcBorders>
              <w:top w:val="nil"/>
              <w:left w:val="nil"/>
              <w:bottom w:val="single" w:sz="4" w:space="0" w:color="auto"/>
              <w:right w:val="single" w:sz="4" w:space="0" w:color="auto"/>
            </w:tcBorders>
            <w:shd w:val="clear" w:color="auto" w:fill="C6EFCE"/>
            <w:noWrap/>
            <w:vAlign w:val="center"/>
          </w:tcPr>
          <w:p w14:paraId="1AF50116" w14:textId="77777777" w:rsidR="00154E32" w:rsidRDefault="00A43E04">
            <w:pPr>
              <w:pStyle w:val="P68B1DB1-Normal12"/>
              <w:jc w:val="center"/>
              <w:rPr>
                <w:noProof/>
              </w:rPr>
            </w:pPr>
            <w:r>
              <w:rPr>
                <w:noProof/>
              </w:rPr>
              <w:t>Naložba 1.2 – „vodilni“ projekti krožnega gospodarstva</w:t>
            </w:r>
          </w:p>
        </w:tc>
        <w:tc>
          <w:tcPr>
            <w:tcW w:w="1528" w:type="dxa"/>
            <w:tcBorders>
              <w:top w:val="nil"/>
              <w:left w:val="nil"/>
              <w:bottom w:val="single" w:sz="4" w:space="0" w:color="auto"/>
              <w:right w:val="single" w:sz="4" w:space="0" w:color="auto"/>
            </w:tcBorders>
            <w:shd w:val="clear" w:color="auto" w:fill="C6EFCE"/>
            <w:noWrap/>
            <w:vAlign w:val="center"/>
          </w:tcPr>
          <w:p w14:paraId="44375E0B" w14:textId="77777777" w:rsidR="00154E32" w:rsidRDefault="00A43E04">
            <w:pPr>
              <w:pStyle w:val="P68B1DB1-Normal12"/>
              <w:jc w:val="center"/>
              <w:rPr>
                <w:noProof/>
              </w:rPr>
            </w:pPr>
            <w:r>
              <w:rPr>
                <w:noProof/>
              </w:rPr>
              <w:t>Tarča</w:t>
            </w:r>
          </w:p>
        </w:tc>
        <w:tc>
          <w:tcPr>
            <w:tcW w:w="4056" w:type="dxa"/>
            <w:tcBorders>
              <w:top w:val="nil"/>
              <w:left w:val="nil"/>
              <w:bottom w:val="single" w:sz="4" w:space="0" w:color="auto"/>
              <w:right w:val="single" w:sz="4" w:space="0" w:color="auto"/>
            </w:tcBorders>
            <w:shd w:val="clear" w:color="auto" w:fill="C6EFCE"/>
            <w:noWrap/>
            <w:vAlign w:val="center"/>
          </w:tcPr>
          <w:p w14:paraId="1B1F968D" w14:textId="77777777" w:rsidR="00154E32" w:rsidRDefault="00A43E04">
            <w:pPr>
              <w:pStyle w:val="P68B1DB1-Normal12"/>
              <w:jc w:val="center"/>
              <w:rPr>
                <w:noProof/>
              </w:rPr>
            </w:pPr>
            <w:r>
              <w:rPr>
                <w:noProof/>
              </w:rPr>
              <w:t>Stopnje recikliranja embalaže železnih kovin v akcijskem načrtu za krožno gospodarstvo</w:t>
            </w:r>
          </w:p>
        </w:tc>
      </w:tr>
      <w:tr w:rsidR="00154E32" w14:paraId="244CFAC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7AA5E35" w14:textId="77777777" w:rsidR="00154E32" w:rsidRDefault="00A43E04">
            <w:pPr>
              <w:pStyle w:val="P68B1DB1-Normal12"/>
              <w:jc w:val="center"/>
              <w:rPr>
                <w:noProof/>
              </w:rPr>
            </w:pPr>
            <w:r>
              <w:rPr>
                <w:noProof/>
              </w:rPr>
              <w:t>M2C1–17 kvinti</w:t>
            </w:r>
          </w:p>
        </w:tc>
        <w:tc>
          <w:tcPr>
            <w:tcW w:w="3075" w:type="dxa"/>
            <w:tcBorders>
              <w:top w:val="nil"/>
              <w:left w:val="nil"/>
              <w:bottom w:val="single" w:sz="4" w:space="0" w:color="auto"/>
              <w:right w:val="single" w:sz="4" w:space="0" w:color="auto"/>
            </w:tcBorders>
            <w:shd w:val="clear" w:color="auto" w:fill="C6EFCE"/>
            <w:noWrap/>
            <w:vAlign w:val="center"/>
          </w:tcPr>
          <w:p w14:paraId="2DECBF6B" w14:textId="77777777" w:rsidR="00154E32" w:rsidRDefault="00A43E04">
            <w:pPr>
              <w:pStyle w:val="P68B1DB1-Normal12"/>
              <w:jc w:val="center"/>
              <w:rPr>
                <w:noProof/>
              </w:rPr>
            </w:pPr>
            <w:r>
              <w:rPr>
                <w:noProof/>
              </w:rPr>
              <w:t>Naložba 1.2 – „vodilni“ projekti krožnega gospodarstva</w:t>
            </w:r>
          </w:p>
        </w:tc>
        <w:tc>
          <w:tcPr>
            <w:tcW w:w="1528" w:type="dxa"/>
            <w:tcBorders>
              <w:top w:val="nil"/>
              <w:left w:val="nil"/>
              <w:bottom w:val="single" w:sz="4" w:space="0" w:color="auto"/>
              <w:right w:val="single" w:sz="4" w:space="0" w:color="auto"/>
            </w:tcBorders>
            <w:shd w:val="clear" w:color="auto" w:fill="C6EFCE"/>
            <w:noWrap/>
            <w:vAlign w:val="center"/>
          </w:tcPr>
          <w:p w14:paraId="6E782D22" w14:textId="77777777" w:rsidR="00154E32" w:rsidRDefault="00A43E04">
            <w:pPr>
              <w:pStyle w:val="P68B1DB1-Normal12"/>
              <w:jc w:val="center"/>
              <w:rPr>
                <w:noProof/>
              </w:rPr>
            </w:pPr>
            <w:r>
              <w:rPr>
                <w:noProof/>
              </w:rPr>
              <w:t>Tarča</w:t>
            </w:r>
          </w:p>
        </w:tc>
        <w:tc>
          <w:tcPr>
            <w:tcW w:w="4056" w:type="dxa"/>
            <w:tcBorders>
              <w:top w:val="nil"/>
              <w:left w:val="nil"/>
              <w:bottom w:val="single" w:sz="4" w:space="0" w:color="auto"/>
              <w:right w:val="single" w:sz="4" w:space="0" w:color="auto"/>
            </w:tcBorders>
            <w:shd w:val="clear" w:color="auto" w:fill="C6EFCE"/>
            <w:noWrap/>
            <w:vAlign w:val="center"/>
          </w:tcPr>
          <w:p w14:paraId="13685336" w14:textId="77777777" w:rsidR="00154E32" w:rsidRDefault="00A43E04">
            <w:pPr>
              <w:pStyle w:val="P68B1DB1-Normal12"/>
              <w:jc w:val="center"/>
              <w:rPr>
                <w:noProof/>
              </w:rPr>
            </w:pPr>
            <w:r>
              <w:rPr>
                <w:noProof/>
              </w:rPr>
              <w:t>Stopnje recikliranja embalaže aluminija v akcijskem načrtu za krožno gospodarstvo</w:t>
            </w:r>
          </w:p>
        </w:tc>
      </w:tr>
      <w:tr w:rsidR="00154E32" w14:paraId="6D08065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83DC564" w14:textId="77777777" w:rsidR="00154E32" w:rsidRDefault="00A43E04">
            <w:pPr>
              <w:pStyle w:val="P68B1DB1-Normal12"/>
              <w:jc w:val="center"/>
              <w:rPr>
                <w:noProof/>
              </w:rPr>
            </w:pPr>
            <w:r>
              <w:rPr>
                <w:noProof/>
              </w:rPr>
              <w:t>M2C1–17-spolnija</w:t>
            </w:r>
          </w:p>
        </w:tc>
        <w:tc>
          <w:tcPr>
            <w:tcW w:w="3075" w:type="dxa"/>
            <w:tcBorders>
              <w:top w:val="nil"/>
              <w:left w:val="nil"/>
              <w:bottom w:val="single" w:sz="4" w:space="0" w:color="auto"/>
              <w:right w:val="single" w:sz="4" w:space="0" w:color="auto"/>
            </w:tcBorders>
            <w:shd w:val="clear" w:color="auto" w:fill="C6EFCE"/>
            <w:noWrap/>
            <w:vAlign w:val="center"/>
          </w:tcPr>
          <w:p w14:paraId="34CA5509" w14:textId="77777777" w:rsidR="00154E32" w:rsidRDefault="00A43E04">
            <w:pPr>
              <w:pStyle w:val="P68B1DB1-Normal12"/>
              <w:jc w:val="center"/>
              <w:rPr>
                <w:noProof/>
              </w:rPr>
            </w:pPr>
            <w:r>
              <w:rPr>
                <w:noProof/>
              </w:rPr>
              <w:t>Naložba 1.2 – „vodilni“ projekti krožnega gospodarstva</w:t>
            </w:r>
          </w:p>
        </w:tc>
        <w:tc>
          <w:tcPr>
            <w:tcW w:w="1528" w:type="dxa"/>
            <w:tcBorders>
              <w:top w:val="nil"/>
              <w:left w:val="nil"/>
              <w:bottom w:val="single" w:sz="4" w:space="0" w:color="auto"/>
              <w:right w:val="single" w:sz="4" w:space="0" w:color="auto"/>
            </w:tcBorders>
            <w:shd w:val="clear" w:color="auto" w:fill="C6EFCE"/>
            <w:noWrap/>
            <w:vAlign w:val="center"/>
          </w:tcPr>
          <w:p w14:paraId="512D0D97" w14:textId="77777777" w:rsidR="00154E32" w:rsidRDefault="00A43E04">
            <w:pPr>
              <w:pStyle w:val="P68B1DB1-Normal12"/>
              <w:jc w:val="center"/>
              <w:rPr>
                <w:noProof/>
              </w:rPr>
            </w:pPr>
            <w:r>
              <w:rPr>
                <w:noProof/>
              </w:rPr>
              <w:t>Tarča</w:t>
            </w:r>
          </w:p>
        </w:tc>
        <w:tc>
          <w:tcPr>
            <w:tcW w:w="4056" w:type="dxa"/>
            <w:tcBorders>
              <w:top w:val="nil"/>
              <w:left w:val="nil"/>
              <w:bottom w:val="single" w:sz="4" w:space="0" w:color="auto"/>
              <w:right w:val="single" w:sz="4" w:space="0" w:color="auto"/>
            </w:tcBorders>
            <w:shd w:val="clear" w:color="auto" w:fill="C6EFCE"/>
            <w:noWrap/>
            <w:vAlign w:val="center"/>
          </w:tcPr>
          <w:p w14:paraId="486F3318" w14:textId="77777777" w:rsidR="00154E32" w:rsidRDefault="00A43E04">
            <w:pPr>
              <w:pStyle w:val="P68B1DB1-Normal12"/>
              <w:jc w:val="center"/>
              <w:rPr>
                <w:noProof/>
              </w:rPr>
            </w:pPr>
            <w:r>
              <w:rPr>
                <w:noProof/>
              </w:rPr>
              <w:t>Stopnje recikliranja steklene embalaže v akcijskem načrtu za krožno gospodarstvo</w:t>
            </w:r>
          </w:p>
        </w:tc>
      </w:tr>
      <w:tr w:rsidR="00154E32" w14:paraId="76D0039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7E93E81" w14:textId="77777777" w:rsidR="00154E32" w:rsidRDefault="00A43E04">
            <w:pPr>
              <w:pStyle w:val="P68B1DB1-Normal12"/>
              <w:jc w:val="center"/>
              <w:rPr>
                <w:noProof/>
              </w:rPr>
            </w:pPr>
            <w:r>
              <w:rPr>
                <w:noProof/>
              </w:rPr>
              <w:t>M2C1–17 septov</w:t>
            </w:r>
          </w:p>
        </w:tc>
        <w:tc>
          <w:tcPr>
            <w:tcW w:w="3075" w:type="dxa"/>
            <w:tcBorders>
              <w:top w:val="nil"/>
              <w:left w:val="nil"/>
              <w:bottom w:val="single" w:sz="4" w:space="0" w:color="auto"/>
              <w:right w:val="single" w:sz="4" w:space="0" w:color="auto"/>
            </w:tcBorders>
            <w:shd w:val="clear" w:color="auto" w:fill="C6EFCE"/>
            <w:noWrap/>
            <w:vAlign w:val="center"/>
          </w:tcPr>
          <w:p w14:paraId="7A0FCC87" w14:textId="77777777" w:rsidR="00154E32" w:rsidRDefault="00A43E04">
            <w:pPr>
              <w:pStyle w:val="P68B1DB1-Normal12"/>
              <w:jc w:val="center"/>
              <w:rPr>
                <w:noProof/>
              </w:rPr>
            </w:pPr>
            <w:r>
              <w:rPr>
                <w:noProof/>
              </w:rPr>
              <w:t>Naložba 1.2 – „vodilni“ projekti krožnega gospodarstva</w:t>
            </w:r>
          </w:p>
        </w:tc>
        <w:tc>
          <w:tcPr>
            <w:tcW w:w="1528" w:type="dxa"/>
            <w:tcBorders>
              <w:top w:val="nil"/>
              <w:left w:val="nil"/>
              <w:bottom w:val="single" w:sz="4" w:space="0" w:color="auto"/>
              <w:right w:val="single" w:sz="4" w:space="0" w:color="auto"/>
            </w:tcBorders>
            <w:shd w:val="clear" w:color="auto" w:fill="C6EFCE"/>
            <w:noWrap/>
            <w:vAlign w:val="center"/>
          </w:tcPr>
          <w:p w14:paraId="4B2645F0" w14:textId="77777777" w:rsidR="00154E32" w:rsidRDefault="00A43E04">
            <w:pPr>
              <w:pStyle w:val="P68B1DB1-Normal12"/>
              <w:jc w:val="center"/>
              <w:rPr>
                <w:noProof/>
              </w:rPr>
            </w:pPr>
            <w:r>
              <w:rPr>
                <w:noProof/>
              </w:rPr>
              <w:t>Tarča</w:t>
            </w:r>
          </w:p>
        </w:tc>
        <w:tc>
          <w:tcPr>
            <w:tcW w:w="4056" w:type="dxa"/>
            <w:tcBorders>
              <w:top w:val="nil"/>
              <w:left w:val="nil"/>
              <w:bottom w:val="single" w:sz="4" w:space="0" w:color="auto"/>
              <w:right w:val="single" w:sz="4" w:space="0" w:color="auto"/>
            </w:tcBorders>
            <w:shd w:val="clear" w:color="auto" w:fill="C6EFCE"/>
            <w:noWrap/>
            <w:vAlign w:val="center"/>
          </w:tcPr>
          <w:p w14:paraId="1655DB70" w14:textId="77777777" w:rsidR="00154E32" w:rsidRDefault="00A43E04">
            <w:pPr>
              <w:pStyle w:val="P68B1DB1-Normal12"/>
              <w:jc w:val="center"/>
              <w:rPr>
                <w:noProof/>
              </w:rPr>
            </w:pPr>
            <w:r>
              <w:rPr>
                <w:noProof/>
              </w:rPr>
              <w:t>Stopnje recikliranja papirja in kartona v akcijskem načrtu za krožno gospodarstvo</w:t>
            </w:r>
          </w:p>
        </w:tc>
      </w:tr>
      <w:tr w:rsidR="00154E32" w14:paraId="57A90D8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526C8FE" w14:textId="77777777" w:rsidR="00154E32" w:rsidRDefault="00A43E04">
            <w:pPr>
              <w:pStyle w:val="P68B1DB1-Normal12"/>
              <w:jc w:val="center"/>
              <w:rPr>
                <w:noProof/>
              </w:rPr>
            </w:pPr>
            <w:r>
              <w:rPr>
                <w:noProof/>
              </w:rPr>
              <w:t>M2C1–17 oktov</w:t>
            </w:r>
          </w:p>
        </w:tc>
        <w:tc>
          <w:tcPr>
            <w:tcW w:w="3075" w:type="dxa"/>
            <w:tcBorders>
              <w:top w:val="nil"/>
              <w:left w:val="nil"/>
              <w:bottom w:val="single" w:sz="4" w:space="0" w:color="auto"/>
              <w:right w:val="single" w:sz="4" w:space="0" w:color="auto"/>
            </w:tcBorders>
            <w:shd w:val="clear" w:color="auto" w:fill="C6EFCE"/>
            <w:noWrap/>
            <w:vAlign w:val="center"/>
          </w:tcPr>
          <w:p w14:paraId="5BF98BF8" w14:textId="77777777" w:rsidR="00154E32" w:rsidRDefault="00A43E04">
            <w:pPr>
              <w:pStyle w:val="P68B1DB1-Normal12"/>
              <w:jc w:val="center"/>
              <w:rPr>
                <w:noProof/>
              </w:rPr>
            </w:pPr>
            <w:r>
              <w:rPr>
                <w:noProof/>
              </w:rPr>
              <w:t>Naložba 1.2 – „vodilni“ projekti krožnega gospodarstva</w:t>
            </w:r>
          </w:p>
        </w:tc>
        <w:tc>
          <w:tcPr>
            <w:tcW w:w="1528" w:type="dxa"/>
            <w:tcBorders>
              <w:top w:val="nil"/>
              <w:left w:val="nil"/>
              <w:bottom w:val="single" w:sz="4" w:space="0" w:color="auto"/>
              <w:right w:val="single" w:sz="4" w:space="0" w:color="auto"/>
            </w:tcBorders>
            <w:shd w:val="clear" w:color="auto" w:fill="C6EFCE"/>
            <w:noWrap/>
            <w:vAlign w:val="center"/>
          </w:tcPr>
          <w:p w14:paraId="0F7B7ED1" w14:textId="77777777" w:rsidR="00154E32" w:rsidRDefault="00A43E04">
            <w:pPr>
              <w:pStyle w:val="P68B1DB1-Normal12"/>
              <w:jc w:val="center"/>
              <w:rPr>
                <w:noProof/>
              </w:rPr>
            </w:pPr>
            <w:r>
              <w:rPr>
                <w:noProof/>
              </w:rPr>
              <w:t>Tarča</w:t>
            </w:r>
          </w:p>
        </w:tc>
        <w:tc>
          <w:tcPr>
            <w:tcW w:w="4056" w:type="dxa"/>
            <w:tcBorders>
              <w:top w:val="nil"/>
              <w:left w:val="nil"/>
              <w:bottom w:val="single" w:sz="4" w:space="0" w:color="auto"/>
              <w:right w:val="single" w:sz="4" w:space="0" w:color="auto"/>
            </w:tcBorders>
            <w:shd w:val="clear" w:color="auto" w:fill="C6EFCE"/>
            <w:noWrap/>
            <w:vAlign w:val="center"/>
          </w:tcPr>
          <w:p w14:paraId="0FBCC39D" w14:textId="77777777" w:rsidR="00154E32" w:rsidRDefault="00A43E04">
            <w:pPr>
              <w:pStyle w:val="P68B1DB1-Normal12"/>
              <w:jc w:val="center"/>
              <w:rPr>
                <w:noProof/>
              </w:rPr>
            </w:pPr>
            <w:r>
              <w:rPr>
                <w:noProof/>
              </w:rPr>
              <w:t>Stopnje recikliranja plastične embalaže v akcijskem načrtu za krožno gospodarstvo</w:t>
            </w:r>
          </w:p>
        </w:tc>
      </w:tr>
      <w:tr w:rsidR="00154E32" w14:paraId="5A9B853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B79471F" w14:textId="77777777" w:rsidR="00154E32" w:rsidRDefault="00A43E04">
            <w:pPr>
              <w:pStyle w:val="P68B1DB1-Normal12"/>
              <w:jc w:val="center"/>
              <w:rPr>
                <w:noProof/>
              </w:rPr>
            </w:pPr>
            <w:r>
              <w:rPr>
                <w:noProof/>
              </w:rPr>
              <w:t>Kategorije M2C1–17</w:t>
            </w:r>
          </w:p>
        </w:tc>
        <w:tc>
          <w:tcPr>
            <w:tcW w:w="3075" w:type="dxa"/>
            <w:tcBorders>
              <w:top w:val="nil"/>
              <w:left w:val="nil"/>
              <w:bottom w:val="single" w:sz="4" w:space="0" w:color="auto"/>
              <w:right w:val="single" w:sz="4" w:space="0" w:color="auto"/>
            </w:tcBorders>
            <w:shd w:val="clear" w:color="auto" w:fill="C6EFCE"/>
            <w:noWrap/>
            <w:vAlign w:val="center"/>
          </w:tcPr>
          <w:p w14:paraId="46AA1786" w14:textId="77777777" w:rsidR="00154E32" w:rsidRDefault="00A43E04">
            <w:pPr>
              <w:pStyle w:val="P68B1DB1-Normal12"/>
              <w:jc w:val="center"/>
              <w:rPr>
                <w:noProof/>
              </w:rPr>
            </w:pPr>
            <w:r>
              <w:rPr>
                <w:noProof/>
              </w:rPr>
              <w:t>Reforma 1.1 Nacionalni program za krožno gospodarstvo; Naložba 1.2 – „vodilni“ projekti krožnega gospodarstva</w:t>
            </w:r>
          </w:p>
        </w:tc>
        <w:tc>
          <w:tcPr>
            <w:tcW w:w="1528" w:type="dxa"/>
            <w:tcBorders>
              <w:top w:val="nil"/>
              <w:left w:val="nil"/>
              <w:bottom w:val="single" w:sz="4" w:space="0" w:color="auto"/>
              <w:right w:val="single" w:sz="4" w:space="0" w:color="auto"/>
            </w:tcBorders>
            <w:shd w:val="clear" w:color="auto" w:fill="C6EFCE"/>
            <w:noWrap/>
            <w:vAlign w:val="center"/>
          </w:tcPr>
          <w:p w14:paraId="0655506A" w14:textId="77777777" w:rsidR="00154E32" w:rsidRDefault="00A43E04">
            <w:pPr>
              <w:pStyle w:val="P68B1DB1-Normal12"/>
              <w:jc w:val="center"/>
              <w:rPr>
                <w:noProof/>
              </w:rPr>
            </w:pPr>
            <w:r>
              <w:rPr>
                <w:noProof/>
              </w:rPr>
              <w:t>Mejnik</w:t>
            </w:r>
          </w:p>
        </w:tc>
        <w:tc>
          <w:tcPr>
            <w:tcW w:w="4056" w:type="dxa"/>
            <w:tcBorders>
              <w:top w:val="nil"/>
              <w:left w:val="nil"/>
              <w:bottom w:val="single" w:sz="4" w:space="0" w:color="auto"/>
              <w:right w:val="single" w:sz="4" w:space="0" w:color="auto"/>
            </w:tcBorders>
            <w:shd w:val="clear" w:color="auto" w:fill="C6EFCE"/>
            <w:noWrap/>
            <w:vAlign w:val="center"/>
          </w:tcPr>
          <w:p w14:paraId="11FAB918" w14:textId="77777777" w:rsidR="00154E32" w:rsidRDefault="00A43E04">
            <w:pPr>
              <w:pStyle w:val="P68B1DB1-Normal12"/>
              <w:jc w:val="center"/>
              <w:rPr>
                <w:noProof/>
              </w:rPr>
            </w:pPr>
            <w:r>
              <w:rPr>
                <w:noProof/>
              </w:rPr>
              <w:t>Začetek veljavnosti ločenega zbiranja nevarnih frakcij odpadkov, ki jih proizvedejo gospodinjstva in tekstil</w:t>
            </w:r>
          </w:p>
        </w:tc>
      </w:tr>
      <w:tr w:rsidR="00154E32" w14:paraId="39C1653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B5365DB" w14:textId="77777777" w:rsidR="00154E32" w:rsidRDefault="00A43E04">
            <w:pPr>
              <w:pStyle w:val="P68B1DB1-Normal12"/>
              <w:jc w:val="center"/>
              <w:rPr>
                <w:noProof/>
              </w:rPr>
            </w:pPr>
            <w:r>
              <w:rPr>
                <w:noProof/>
              </w:rPr>
              <w:t>M2C2–40</w:t>
            </w:r>
          </w:p>
        </w:tc>
        <w:tc>
          <w:tcPr>
            <w:tcW w:w="3075" w:type="dxa"/>
            <w:tcBorders>
              <w:top w:val="nil"/>
              <w:left w:val="nil"/>
              <w:bottom w:val="single" w:sz="4" w:space="0" w:color="auto"/>
              <w:right w:val="single" w:sz="4" w:space="0" w:color="auto"/>
            </w:tcBorders>
            <w:shd w:val="clear" w:color="auto" w:fill="C6EFCE"/>
            <w:noWrap/>
            <w:vAlign w:val="center"/>
          </w:tcPr>
          <w:p w14:paraId="69773D3A" w14:textId="77777777" w:rsidR="00154E32" w:rsidRDefault="00A43E04">
            <w:pPr>
              <w:pStyle w:val="P68B1DB1-Normal12"/>
              <w:jc w:val="center"/>
              <w:rPr>
                <w:noProof/>
              </w:rPr>
            </w:pPr>
            <w:r>
              <w:rPr>
                <w:noProof/>
              </w:rPr>
              <w:t>Naložba 5.1.1:  Obnovljivi viri energije in baterije</w:t>
            </w:r>
          </w:p>
        </w:tc>
        <w:tc>
          <w:tcPr>
            <w:tcW w:w="1528" w:type="dxa"/>
            <w:tcBorders>
              <w:top w:val="nil"/>
              <w:left w:val="nil"/>
              <w:bottom w:val="single" w:sz="4" w:space="0" w:color="auto"/>
              <w:right w:val="single" w:sz="4" w:space="0" w:color="auto"/>
            </w:tcBorders>
            <w:shd w:val="clear" w:color="auto" w:fill="C6EFCE"/>
            <w:noWrap/>
            <w:vAlign w:val="center"/>
          </w:tcPr>
          <w:p w14:paraId="1E74BC87" w14:textId="77777777" w:rsidR="00154E32" w:rsidRDefault="00A43E04">
            <w:pPr>
              <w:pStyle w:val="P68B1DB1-Normal12"/>
              <w:jc w:val="center"/>
              <w:rPr>
                <w:noProof/>
              </w:rPr>
            </w:pPr>
            <w:r>
              <w:rPr>
                <w:noProof/>
              </w:rPr>
              <w:t>Tarča</w:t>
            </w:r>
          </w:p>
        </w:tc>
        <w:tc>
          <w:tcPr>
            <w:tcW w:w="4056" w:type="dxa"/>
            <w:tcBorders>
              <w:top w:val="nil"/>
              <w:left w:val="nil"/>
              <w:bottom w:val="single" w:sz="4" w:space="0" w:color="auto"/>
              <w:right w:val="single" w:sz="4" w:space="0" w:color="auto"/>
            </w:tcBorders>
            <w:shd w:val="clear" w:color="auto" w:fill="C6EFCE"/>
            <w:noWrap/>
            <w:vAlign w:val="center"/>
          </w:tcPr>
          <w:p w14:paraId="7F715471" w14:textId="77777777" w:rsidR="00154E32" w:rsidRDefault="00A43E04">
            <w:pPr>
              <w:pStyle w:val="P68B1DB1-Normal12"/>
              <w:jc w:val="center"/>
              <w:rPr>
                <w:noProof/>
              </w:rPr>
            </w:pPr>
            <w:r>
              <w:rPr>
                <w:noProof/>
              </w:rPr>
              <w:t>Pravni sporazumi, podpisani s končnimi upravičenci, ki ustrezajo proizvodnim zmogljivostim fotovoltaičnih ali vetrnih tehnologij</w:t>
            </w:r>
          </w:p>
        </w:tc>
      </w:tr>
      <w:tr w:rsidR="00154E32" w14:paraId="5A9284A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B55CE78" w14:textId="77777777" w:rsidR="00154E32" w:rsidRDefault="00A43E04">
            <w:pPr>
              <w:pStyle w:val="P68B1DB1-Normal12"/>
              <w:jc w:val="center"/>
              <w:rPr>
                <w:noProof/>
              </w:rPr>
            </w:pPr>
            <w:r>
              <w:rPr>
                <w:noProof/>
              </w:rPr>
              <w:t>M2C2–46</w:t>
            </w:r>
          </w:p>
        </w:tc>
        <w:tc>
          <w:tcPr>
            <w:tcW w:w="3075" w:type="dxa"/>
            <w:tcBorders>
              <w:top w:val="nil"/>
              <w:left w:val="nil"/>
              <w:bottom w:val="single" w:sz="4" w:space="0" w:color="auto"/>
              <w:right w:val="single" w:sz="4" w:space="0" w:color="auto"/>
            </w:tcBorders>
            <w:shd w:val="clear" w:color="auto" w:fill="C6EFCE"/>
            <w:noWrap/>
            <w:vAlign w:val="center"/>
          </w:tcPr>
          <w:p w14:paraId="35DEAE5B" w14:textId="77777777" w:rsidR="00154E32" w:rsidRDefault="00A43E04">
            <w:pPr>
              <w:pStyle w:val="P68B1DB1-Normal12"/>
              <w:jc w:val="center"/>
              <w:rPr>
                <w:noProof/>
              </w:rPr>
            </w:pPr>
            <w:r>
              <w:rPr>
                <w:noProof/>
              </w:rPr>
              <w:t>Naložba 1.2 Spodbujanje obnovljivih virov energije za energetske skupnosti in skupno delujoče samooskrbovalce z energijo iz obnovljivih virov</w:t>
            </w:r>
          </w:p>
        </w:tc>
        <w:tc>
          <w:tcPr>
            <w:tcW w:w="1528" w:type="dxa"/>
            <w:tcBorders>
              <w:top w:val="nil"/>
              <w:left w:val="nil"/>
              <w:bottom w:val="single" w:sz="4" w:space="0" w:color="auto"/>
              <w:right w:val="single" w:sz="4" w:space="0" w:color="auto"/>
            </w:tcBorders>
            <w:shd w:val="clear" w:color="auto" w:fill="C6EFCE"/>
            <w:noWrap/>
            <w:vAlign w:val="center"/>
          </w:tcPr>
          <w:p w14:paraId="3AD3ADF4" w14:textId="77777777" w:rsidR="00154E32" w:rsidRDefault="00A43E04">
            <w:pPr>
              <w:pStyle w:val="P68B1DB1-Normal12"/>
              <w:jc w:val="center"/>
              <w:rPr>
                <w:noProof/>
              </w:rPr>
            </w:pPr>
            <w:r>
              <w:rPr>
                <w:noProof/>
              </w:rPr>
              <w:t>Mejnik</w:t>
            </w:r>
          </w:p>
        </w:tc>
        <w:tc>
          <w:tcPr>
            <w:tcW w:w="4056" w:type="dxa"/>
            <w:tcBorders>
              <w:top w:val="nil"/>
              <w:left w:val="nil"/>
              <w:bottom w:val="single" w:sz="4" w:space="0" w:color="auto"/>
              <w:right w:val="single" w:sz="4" w:space="0" w:color="auto"/>
            </w:tcBorders>
            <w:shd w:val="clear" w:color="auto" w:fill="C6EFCE"/>
            <w:noWrap/>
            <w:vAlign w:val="center"/>
          </w:tcPr>
          <w:p w14:paraId="65C53BC3" w14:textId="77777777" w:rsidR="00154E32" w:rsidRDefault="00A43E04">
            <w:pPr>
              <w:pStyle w:val="P68B1DB1-Normal12"/>
              <w:jc w:val="center"/>
              <w:rPr>
                <w:noProof/>
              </w:rPr>
            </w:pPr>
            <w:r>
              <w:rPr>
                <w:noProof/>
              </w:rPr>
              <w:t>Dodelitev vseh javnih naročil za dodelitev nepovratnih sredstev za izvajanje intervencij za energetske skupnosti</w:t>
            </w:r>
          </w:p>
        </w:tc>
      </w:tr>
      <w:tr w:rsidR="00154E32" w14:paraId="70783F5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1F8BCB6" w14:textId="77777777" w:rsidR="00154E32" w:rsidRDefault="00A43E04">
            <w:pPr>
              <w:pStyle w:val="P68B1DB1-Normal12"/>
              <w:jc w:val="center"/>
              <w:rPr>
                <w:noProof/>
              </w:rPr>
            </w:pPr>
            <w:r>
              <w:rPr>
                <w:noProof/>
              </w:rPr>
              <w:t>M3C1–23</w:t>
            </w:r>
          </w:p>
        </w:tc>
        <w:tc>
          <w:tcPr>
            <w:tcW w:w="3075" w:type="dxa"/>
            <w:tcBorders>
              <w:top w:val="nil"/>
              <w:left w:val="nil"/>
              <w:bottom w:val="single" w:sz="4" w:space="0" w:color="auto"/>
              <w:right w:val="single" w:sz="4" w:space="0" w:color="auto"/>
            </w:tcBorders>
            <w:shd w:val="clear" w:color="auto" w:fill="C6EFCE"/>
            <w:noWrap/>
            <w:vAlign w:val="center"/>
          </w:tcPr>
          <w:p w14:paraId="7E6C601D" w14:textId="77777777" w:rsidR="00154E32" w:rsidRDefault="00A43E04">
            <w:pPr>
              <w:pStyle w:val="P68B1DB1-Normal12"/>
              <w:jc w:val="center"/>
              <w:rPr>
                <w:noProof/>
              </w:rPr>
            </w:pPr>
            <w:r>
              <w:rPr>
                <w:noProof/>
              </w:rPr>
              <w:t>Naložba 1.9 Medregionalne povezave</w:t>
            </w:r>
          </w:p>
        </w:tc>
        <w:tc>
          <w:tcPr>
            <w:tcW w:w="1528" w:type="dxa"/>
            <w:tcBorders>
              <w:top w:val="nil"/>
              <w:left w:val="nil"/>
              <w:bottom w:val="single" w:sz="4" w:space="0" w:color="auto"/>
              <w:right w:val="single" w:sz="4" w:space="0" w:color="auto"/>
            </w:tcBorders>
            <w:shd w:val="clear" w:color="auto" w:fill="C6EFCE"/>
            <w:noWrap/>
            <w:vAlign w:val="center"/>
          </w:tcPr>
          <w:p w14:paraId="1EB03C1D" w14:textId="77777777" w:rsidR="00154E32" w:rsidRDefault="00A43E04">
            <w:pPr>
              <w:pStyle w:val="P68B1DB1-Normal12"/>
              <w:jc w:val="center"/>
              <w:rPr>
                <w:noProof/>
              </w:rPr>
            </w:pPr>
            <w:r>
              <w:rPr>
                <w:noProof/>
              </w:rPr>
              <w:t>Tarča</w:t>
            </w:r>
          </w:p>
        </w:tc>
        <w:tc>
          <w:tcPr>
            <w:tcW w:w="4056" w:type="dxa"/>
            <w:tcBorders>
              <w:top w:val="nil"/>
              <w:left w:val="nil"/>
              <w:bottom w:val="single" w:sz="4" w:space="0" w:color="auto"/>
              <w:right w:val="single" w:sz="4" w:space="0" w:color="auto"/>
            </w:tcBorders>
            <w:shd w:val="clear" w:color="auto" w:fill="C6EFCE"/>
            <w:noWrap/>
            <w:vAlign w:val="center"/>
          </w:tcPr>
          <w:p w14:paraId="69FED683" w14:textId="77777777" w:rsidR="00154E32" w:rsidRDefault="00A43E04">
            <w:pPr>
              <w:pStyle w:val="P68B1DB1-Normal12"/>
              <w:jc w:val="center"/>
              <w:rPr>
                <w:noProof/>
              </w:rPr>
            </w:pPr>
            <w:r>
              <w:rPr>
                <w:noProof/>
              </w:rPr>
              <w:t>Naložba 1.9 Medregionalne povezave</w:t>
            </w:r>
          </w:p>
        </w:tc>
      </w:tr>
      <w:tr w:rsidR="00154E32" w14:paraId="1874DDB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023186A" w14:textId="77777777" w:rsidR="00154E32" w:rsidRDefault="00A43E04">
            <w:pPr>
              <w:pStyle w:val="P68B1DB1-Normal12"/>
              <w:jc w:val="center"/>
              <w:rPr>
                <w:noProof/>
              </w:rPr>
            </w:pPr>
            <w:r>
              <w:rPr>
                <w:noProof/>
              </w:rPr>
              <w:t>M4C2–13</w:t>
            </w:r>
          </w:p>
        </w:tc>
        <w:tc>
          <w:tcPr>
            <w:tcW w:w="3075" w:type="dxa"/>
            <w:tcBorders>
              <w:top w:val="nil"/>
              <w:left w:val="nil"/>
              <w:bottom w:val="single" w:sz="4" w:space="0" w:color="auto"/>
              <w:right w:val="single" w:sz="4" w:space="0" w:color="auto"/>
            </w:tcBorders>
            <w:shd w:val="clear" w:color="auto" w:fill="C6EFCE"/>
            <w:noWrap/>
            <w:vAlign w:val="center"/>
          </w:tcPr>
          <w:p w14:paraId="6D6C87AD" w14:textId="77777777" w:rsidR="00154E32" w:rsidRDefault="00A43E04">
            <w:pPr>
              <w:pStyle w:val="P68B1DB1-Normal12"/>
              <w:jc w:val="center"/>
              <w:rPr>
                <w:noProof/>
              </w:rPr>
            </w:pPr>
            <w:r>
              <w:rPr>
                <w:noProof/>
              </w:rPr>
              <w:t>Naložba 2.3: Krepitev in sektorska/ozemeljska razširitev centrov za prenos tehnologije po industrijskih segmentih</w:t>
            </w:r>
          </w:p>
        </w:tc>
        <w:tc>
          <w:tcPr>
            <w:tcW w:w="1528" w:type="dxa"/>
            <w:tcBorders>
              <w:top w:val="nil"/>
              <w:left w:val="nil"/>
              <w:bottom w:val="single" w:sz="4" w:space="0" w:color="auto"/>
              <w:right w:val="single" w:sz="4" w:space="0" w:color="auto"/>
            </w:tcBorders>
            <w:shd w:val="clear" w:color="auto" w:fill="C6EFCE"/>
            <w:noWrap/>
            <w:vAlign w:val="center"/>
          </w:tcPr>
          <w:p w14:paraId="779DEAA2" w14:textId="77777777" w:rsidR="00154E32" w:rsidRDefault="00A43E04">
            <w:pPr>
              <w:pStyle w:val="P68B1DB1-Normal12"/>
              <w:jc w:val="center"/>
              <w:rPr>
                <w:noProof/>
              </w:rPr>
            </w:pPr>
            <w:r>
              <w:rPr>
                <w:noProof/>
              </w:rPr>
              <w:t>Tarča</w:t>
            </w:r>
          </w:p>
        </w:tc>
        <w:tc>
          <w:tcPr>
            <w:tcW w:w="4056" w:type="dxa"/>
            <w:tcBorders>
              <w:top w:val="nil"/>
              <w:left w:val="nil"/>
              <w:bottom w:val="single" w:sz="4" w:space="0" w:color="auto"/>
              <w:right w:val="single" w:sz="4" w:space="0" w:color="auto"/>
            </w:tcBorders>
            <w:shd w:val="clear" w:color="auto" w:fill="C6EFCE"/>
            <w:noWrap/>
            <w:vAlign w:val="center"/>
          </w:tcPr>
          <w:p w14:paraId="003F538C" w14:textId="77777777" w:rsidR="00154E32" w:rsidRDefault="00A43E04">
            <w:pPr>
              <w:pStyle w:val="P68B1DB1-Normal12"/>
              <w:jc w:val="center"/>
              <w:rPr>
                <w:noProof/>
              </w:rPr>
            </w:pPr>
            <w:r>
              <w:rPr>
                <w:noProof/>
              </w:rPr>
              <w:t>Število novih vozlišč, ki jih je treba ustvariti</w:t>
            </w:r>
          </w:p>
        </w:tc>
      </w:tr>
      <w:tr w:rsidR="00154E32" w14:paraId="455C907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66B076E" w14:textId="77777777" w:rsidR="00154E32" w:rsidRDefault="00A43E04">
            <w:pPr>
              <w:pStyle w:val="P68B1DB1-Normal12"/>
              <w:jc w:val="center"/>
              <w:rPr>
                <w:noProof/>
              </w:rPr>
            </w:pPr>
            <w:r>
              <w:rPr>
                <w:noProof/>
              </w:rPr>
              <w:t>M6C1–9</w:t>
            </w:r>
          </w:p>
        </w:tc>
        <w:tc>
          <w:tcPr>
            <w:tcW w:w="3075" w:type="dxa"/>
            <w:tcBorders>
              <w:top w:val="nil"/>
              <w:left w:val="nil"/>
              <w:bottom w:val="single" w:sz="4" w:space="0" w:color="auto"/>
              <w:right w:val="single" w:sz="4" w:space="0" w:color="auto"/>
            </w:tcBorders>
            <w:shd w:val="clear" w:color="auto" w:fill="C6EFCE"/>
            <w:noWrap/>
            <w:vAlign w:val="center"/>
          </w:tcPr>
          <w:p w14:paraId="6308ED84" w14:textId="77777777" w:rsidR="00154E32" w:rsidRDefault="00A43E04">
            <w:pPr>
              <w:pStyle w:val="P68B1DB1-Normal12"/>
              <w:jc w:val="center"/>
              <w:rPr>
                <w:noProof/>
              </w:rPr>
            </w:pPr>
            <w:r>
              <w:rPr>
                <w:noProof/>
              </w:rPr>
              <w:t>Naložba 1.2: Dom kot prvi kraj oskrbe in telemedicine</w:t>
            </w:r>
          </w:p>
        </w:tc>
        <w:tc>
          <w:tcPr>
            <w:tcW w:w="1528" w:type="dxa"/>
            <w:tcBorders>
              <w:top w:val="nil"/>
              <w:left w:val="nil"/>
              <w:bottom w:val="single" w:sz="4" w:space="0" w:color="auto"/>
              <w:right w:val="single" w:sz="4" w:space="0" w:color="auto"/>
            </w:tcBorders>
            <w:shd w:val="clear" w:color="auto" w:fill="C6EFCE"/>
            <w:noWrap/>
            <w:vAlign w:val="center"/>
          </w:tcPr>
          <w:p w14:paraId="688CDC35" w14:textId="77777777" w:rsidR="00154E32" w:rsidRDefault="00A43E04">
            <w:pPr>
              <w:pStyle w:val="P68B1DB1-Normal12"/>
              <w:jc w:val="center"/>
              <w:rPr>
                <w:noProof/>
              </w:rPr>
            </w:pPr>
            <w:r>
              <w:rPr>
                <w:noProof/>
              </w:rPr>
              <w:t>Tarča</w:t>
            </w:r>
          </w:p>
        </w:tc>
        <w:tc>
          <w:tcPr>
            <w:tcW w:w="4056" w:type="dxa"/>
            <w:tcBorders>
              <w:top w:val="nil"/>
              <w:left w:val="nil"/>
              <w:bottom w:val="single" w:sz="4" w:space="0" w:color="auto"/>
              <w:right w:val="single" w:sz="4" w:space="0" w:color="auto"/>
            </w:tcBorders>
            <w:shd w:val="clear" w:color="auto" w:fill="C6EFCE"/>
            <w:noWrap/>
            <w:vAlign w:val="center"/>
          </w:tcPr>
          <w:p w14:paraId="7EE8D5BC" w14:textId="77777777" w:rsidR="00154E32" w:rsidRDefault="00A43E04">
            <w:pPr>
              <w:pStyle w:val="P68B1DB1-Normal12"/>
              <w:jc w:val="center"/>
              <w:rPr>
                <w:noProof/>
              </w:rPr>
            </w:pPr>
            <w:r>
              <w:rPr>
                <w:noProof/>
              </w:rPr>
              <w:t>Število ljudi, ki jim pomagajo telemedicinska orodja (tretji sveženj)</w:t>
            </w:r>
          </w:p>
        </w:tc>
      </w:tr>
      <w:tr w:rsidR="00154E32" w14:paraId="0F93200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B203414" w14:textId="77777777" w:rsidR="00154E32" w:rsidRDefault="00A43E04">
            <w:pPr>
              <w:pStyle w:val="P68B1DB1-Normal12"/>
              <w:jc w:val="center"/>
              <w:rPr>
                <w:noProof/>
              </w:rPr>
            </w:pPr>
            <w:r>
              <w:rPr>
                <w:noProof/>
              </w:rPr>
              <w:t>M6C2–8</w:t>
            </w:r>
          </w:p>
        </w:tc>
        <w:tc>
          <w:tcPr>
            <w:tcW w:w="3075" w:type="dxa"/>
            <w:tcBorders>
              <w:top w:val="nil"/>
              <w:left w:val="nil"/>
              <w:bottom w:val="single" w:sz="4" w:space="0" w:color="auto"/>
              <w:right w:val="single" w:sz="4" w:space="0" w:color="auto"/>
            </w:tcBorders>
            <w:shd w:val="clear" w:color="auto" w:fill="C6EFCE"/>
            <w:noWrap/>
            <w:vAlign w:val="center"/>
          </w:tcPr>
          <w:p w14:paraId="6D7A91DE" w14:textId="77777777" w:rsidR="00154E32" w:rsidRDefault="00A43E04">
            <w:pPr>
              <w:pStyle w:val="P68B1DB1-Normal48"/>
              <w:jc w:val="center"/>
              <w:rPr>
                <w:noProof/>
              </w:rPr>
            </w:pPr>
            <w:r>
              <w:rPr>
                <w:noProof/>
              </w:rPr>
              <w:t>Naložba 1.1: Digitalna posodobitev tehnološke opreme bolnišnic</w:t>
            </w:r>
          </w:p>
        </w:tc>
        <w:tc>
          <w:tcPr>
            <w:tcW w:w="1528" w:type="dxa"/>
            <w:tcBorders>
              <w:top w:val="nil"/>
              <w:left w:val="nil"/>
              <w:bottom w:val="single" w:sz="4" w:space="0" w:color="auto"/>
              <w:right w:val="single" w:sz="4" w:space="0" w:color="auto"/>
            </w:tcBorders>
            <w:shd w:val="clear" w:color="auto" w:fill="C6EFCE"/>
            <w:noWrap/>
            <w:vAlign w:val="center"/>
          </w:tcPr>
          <w:p w14:paraId="123AF11B" w14:textId="77777777" w:rsidR="00154E32" w:rsidRDefault="00A43E04">
            <w:pPr>
              <w:pStyle w:val="P68B1DB1-Normal48"/>
              <w:jc w:val="center"/>
              <w:rPr>
                <w:noProof/>
              </w:rPr>
            </w:pPr>
            <w:r>
              <w:rPr>
                <w:noProof/>
              </w:rPr>
              <w:t>Tarča</w:t>
            </w:r>
          </w:p>
        </w:tc>
        <w:tc>
          <w:tcPr>
            <w:tcW w:w="4056" w:type="dxa"/>
            <w:tcBorders>
              <w:top w:val="nil"/>
              <w:left w:val="nil"/>
              <w:bottom w:val="single" w:sz="4" w:space="0" w:color="auto"/>
              <w:right w:val="single" w:sz="4" w:space="0" w:color="auto"/>
            </w:tcBorders>
            <w:shd w:val="clear" w:color="auto" w:fill="C6EFCE"/>
            <w:noWrap/>
            <w:vAlign w:val="center"/>
          </w:tcPr>
          <w:p w14:paraId="7A404B3B" w14:textId="77777777" w:rsidR="00154E32" w:rsidRDefault="00A43E04">
            <w:pPr>
              <w:pStyle w:val="P68B1DB1-Normal48"/>
              <w:jc w:val="center"/>
              <w:rPr>
                <w:noProof/>
              </w:rPr>
            </w:pPr>
            <w:r>
              <w:rPr>
                <w:noProof/>
              </w:rPr>
              <w:t>Bolnišnice so digitalizirane (DEA – Oddelki za nujne primere in sprejem – I. in II. stopnja)</w:t>
            </w:r>
          </w:p>
        </w:tc>
      </w:tr>
      <w:tr w:rsidR="00154E32" w14:paraId="6CE0493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A3F8CB9" w14:textId="77777777" w:rsidR="00154E32" w:rsidRDefault="00A43E04">
            <w:pPr>
              <w:pStyle w:val="P68B1DB1-Normal12"/>
              <w:jc w:val="center"/>
              <w:rPr>
                <w:noProof/>
              </w:rPr>
            </w:pPr>
            <w:r>
              <w:rPr>
                <w:noProof/>
              </w:rPr>
              <w:t>M6C2–11</w:t>
            </w:r>
          </w:p>
        </w:tc>
        <w:tc>
          <w:tcPr>
            <w:tcW w:w="3075" w:type="dxa"/>
            <w:tcBorders>
              <w:top w:val="nil"/>
              <w:left w:val="nil"/>
              <w:bottom w:val="single" w:sz="4" w:space="0" w:color="auto"/>
              <w:right w:val="single" w:sz="4" w:space="0" w:color="auto"/>
            </w:tcBorders>
            <w:shd w:val="clear" w:color="auto" w:fill="C6EFCE"/>
            <w:noWrap/>
            <w:vAlign w:val="center"/>
          </w:tcPr>
          <w:p w14:paraId="13065E31" w14:textId="77777777" w:rsidR="00154E32" w:rsidRDefault="00A43E04">
            <w:pPr>
              <w:pStyle w:val="P68B1DB1-Normal48"/>
              <w:jc w:val="center"/>
              <w:rPr>
                <w:noProof/>
              </w:rPr>
            </w:pPr>
            <w:r>
              <w:rPr>
                <w:noProof/>
              </w:rPr>
              <w:t>Naložba 1.3: Krepitev tehnološke infrastrukture in orodij za zbiranje, obdelavo, analizo in simulacijo podatkov</w:t>
            </w:r>
          </w:p>
        </w:tc>
        <w:tc>
          <w:tcPr>
            <w:tcW w:w="1528" w:type="dxa"/>
            <w:tcBorders>
              <w:top w:val="nil"/>
              <w:left w:val="nil"/>
              <w:bottom w:val="single" w:sz="4" w:space="0" w:color="auto"/>
              <w:right w:val="single" w:sz="4" w:space="0" w:color="auto"/>
            </w:tcBorders>
            <w:shd w:val="clear" w:color="auto" w:fill="C6EFCE"/>
            <w:noWrap/>
            <w:vAlign w:val="center"/>
          </w:tcPr>
          <w:p w14:paraId="76582E20" w14:textId="77777777" w:rsidR="00154E32" w:rsidRDefault="00A43E04">
            <w:pPr>
              <w:pStyle w:val="P68B1DB1-Normal48"/>
              <w:jc w:val="center"/>
              <w:rPr>
                <w:noProof/>
              </w:rPr>
            </w:pPr>
            <w:r>
              <w:rPr>
                <w:noProof/>
              </w:rPr>
              <w:t>Tarča</w:t>
            </w:r>
          </w:p>
        </w:tc>
        <w:tc>
          <w:tcPr>
            <w:tcW w:w="4056" w:type="dxa"/>
            <w:tcBorders>
              <w:top w:val="nil"/>
              <w:left w:val="nil"/>
              <w:bottom w:val="single" w:sz="4" w:space="0" w:color="auto"/>
              <w:right w:val="single" w:sz="4" w:space="0" w:color="auto"/>
            </w:tcBorders>
            <w:shd w:val="clear" w:color="auto" w:fill="C6EFCE"/>
            <w:noWrap/>
            <w:vAlign w:val="center"/>
          </w:tcPr>
          <w:p w14:paraId="2FEE87E6" w14:textId="77777777" w:rsidR="00154E32" w:rsidRDefault="00A43E04">
            <w:pPr>
              <w:pStyle w:val="P68B1DB1-Normal48"/>
              <w:jc w:val="center"/>
              <w:rPr>
                <w:noProof/>
              </w:rPr>
            </w:pPr>
            <w:r>
              <w:rPr>
                <w:noProof/>
              </w:rPr>
              <w:t>Splošni zdravniki, ki vnašajo elektronsko zdravstveno evidenco.</w:t>
            </w:r>
          </w:p>
        </w:tc>
      </w:tr>
      <w:tr w:rsidR="00154E32" w14:paraId="6D2DCCC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3658178" w14:textId="77777777" w:rsidR="00154E32" w:rsidRDefault="00A43E04">
            <w:pPr>
              <w:pStyle w:val="P68B1DB1-Normal12"/>
              <w:jc w:val="center"/>
              <w:rPr>
                <w:noProof/>
              </w:rPr>
            </w:pPr>
            <w:r>
              <w:rPr>
                <w:noProof/>
              </w:rPr>
              <w:t>M1C3–33</w:t>
            </w:r>
          </w:p>
        </w:tc>
        <w:tc>
          <w:tcPr>
            <w:tcW w:w="3075" w:type="dxa"/>
            <w:tcBorders>
              <w:top w:val="nil"/>
              <w:left w:val="nil"/>
              <w:bottom w:val="single" w:sz="4" w:space="0" w:color="auto"/>
              <w:right w:val="single" w:sz="4" w:space="0" w:color="auto"/>
            </w:tcBorders>
            <w:shd w:val="clear" w:color="auto" w:fill="C6EFCE"/>
            <w:noWrap/>
            <w:vAlign w:val="center"/>
          </w:tcPr>
          <w:p w14:paraId="1824C551" w14:textId="77777777" w:rsidR="00154E32" w:rsidRDefault="00A43E04">
            <w:pPr>
              <w:pStyle w:val="P68B1DB1-Normal12"/>
              <w:jc w:val="center"/>
              <w:rPr>
                <w:noProof/>
              </w:rPr>
            </w:pPr>
            <w:r>
              <w:rPr>
                <w:noProof/>
              </w:rPr>
              <w:t>Naložbe 4.2 Skladi za konkurenčnost turističnih podjetij</w:t>
            </w:r>
          </w:p>
        </w:tc>
        <w:tc>
          <w:tcPr>
            <w:tcW w:w="1528" w:type="dxa"/>
            <w:tcBorders>
              <w:top w:val="nil"/>
              <w:left w:val="nil"/>
              <w:bottom w:val="single" w:sz="4" w:space="0" w:color="auto"/>
              <w:right w:val="single" w:sz="4" w:space="0" w:color="auto"/>
            </w:tcBorders>
            <w:shd w:val="clear" w:color="auto" w:fill="C6EFCE"/>
            <w:noWrap/>
            <w:vAlign w:val="center"/>
          </w:tcPr>
          <w:p w14:paraId="55B27D7B" w14:textId="77777777" w:rsidR="00154E32" w:rsidRDefault="00A43E04">
            <w:pPr>
              <w:pStyle w:val="P68B1DB1-Normal12"/>
              <w:jc w:val="center"/>
              <w:rPr>
                <w:noProof/>
              </w:rPr>
            </w:pPr>
            <w:r>
              <w:rPr>
                <w:noProof/>
              </w:rPr>
              <w:t>Tarča</w:t>
            </w:r>
          </w:p>
        </w:tc>
        <w:tc>
          <w:tcPr>
            <w:tcW w:w="4056" w:type="dxa"/>
            <w:tcBorders>
              <w:top w:val="nil"/>
              <w:left w:val="nil"/>
              <w:bottom w:val="single" w:sz="4" w:space="0" w:color="auto"/>
              <w:right w:val="single" w:sz="4" w:space="0" w:color="auto"/>
            </w:tcBorders>
            <w:shd w:val="clear" w:color="auto" w:fill="C6EFCE"/>
            <w:noWrap/>
            <w:vAlign w:val="center"/>
          </w:tcPr>
          <w:p w14:paraId="3B84B558" w14:textId="77777777" w:rsidR="00154E32" w:rsidRDefault="00A43E04">
            <w:pPr>
              <w:pStyle w:val="P68B1DB1-Normal12"/>
              <w:jc w:val="center"/>
              <w:rPr>
                <w:noProof/>
              </w:rPr>
            </w:pPr>
            <w:r>
              <w:rPr>
                <w:noProof/>
              </w:rPr>
              <w:t xml:space="preserve">Število podjetij, ki bodo prejela podporo prek Fondo rotative(prva serija)  </w:t>
            </w:r>
          </w:p>
        </w:tc>
      </w:tr>
      <w:tr w:rsidR="00154E32" w14:paraId="53CB4606"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1114F583" w14:textId="77777777" w:rsidR="00154E32" w:rsidRDefault="00154E32">
            <w:pPr>
              <w:jc w:val="center"/>
              <w:rPr>
                <w:noProof/>
                <w:color w:val="006100"/>
                <w:sz w:val="20"/>
              </w:rPr>
            </w:pPr>
          </w:p>
        </w:tc>
        <w:tc>
          <w:tcPr>
            <w:tcW w:w="3075" w:type="dxa"/>
            <w:tcBorders>
              <w:top w:val="single" w:sz="4" w:space="0" w:color="auto"/>
              <w:left w:val="nil"/>
              <w:bottom w:val="single" w:sz="4" w:space="0" w:color="auto"/>
              <w:right w:val="single" w:sz="4" w:space="0" w:color="auto"/>
            </w:tcBorders>
            <w:shd w:val="clear" w:color="auto" w:fill="C6EFCE"/>
            <w:noWrap/>
            <w:vAlign w:val="bottom"/>
          </w:tcPr>
          <w:p w14:paraId="6C1B5D8E" w14:textId="77777777" w:rsidR="00154E32" w:rsidRDefault="00154E32">
            <w:pPr>
              <w:rPr>
                <w:noProof/>
                <w:color w:val="006100"/>
                <w:sz w:val="20"/>
              </w:rPr>
            </w:pPr>
          </w:p>
        </w:tc>
        <w:tc>
          <w:tcPr>
            <w:tcW w:w="1528" w:type="dxa"/>
            <w:tcBorders>
              <w:top w:val="single" w:sz="4" w:space="0" w:color="auto"/>
              <w:left w:val="nil"/>
              <w:bottom w:val="single" w:sz="4" w:space="0" w:color="auto"/>
              <w:right w:val="single" w:sz="4" w:space="0" w:color="auto"/>
            </w:tcBorders>
            <w:shd w:val="clear" w:color="auto" w:fill="C6EFCE"/>
            <w:noWrap/>
            <w:vAlign w:val="bottom"/>
          </w:tcPr>
          <w:p w14:paraId="70E10EEA" w14:textId="77777777" w:rsidR="00154E32" w:rsidRDefault="00A43E04">
            <w:pPr>
              <w:pStyle w:val="P68B1DB1-Normal12"/>
              <w:rPr>
                <w:noProof/>
              </w:rPr>
            </w:pPr>
            <w:r>
              <w:rPr>
                <w:noProof/>
              </w:rPr>
              <w:t>Znesek obroka</w:t>
            </w:r>
          </w:p>
        </w:tc>
        <w:tc>
          <w:tcPr>
            <w:tcW w:w="4056" w:type="dxa"/>
            <w:tcBorders>
              <w:top w:val="single" w:sz="4" w:space="0" w:color="auto"/>
              <w:left w:val="nil"/>
              <w:bottom w:val="single" w:sz="4" w:space="0" w:color="auto"/>
              <w:right w:val="single" w:sz="4" w:space="0" w:color="auto"/>
            </w:tcBorders>
            <w:shd w:val="clear" w:color="auto" w:fill="C6EFCE"/>
            <w:noWrap/>
            <w:vAlign w:val="bottom"/>
          </w:tcPr>
          <w:p w14:paraId="05060A71" w14:textId="369D54EE" w:rsidR="00154E32" w:rsidRDefault="00A43E04">
            <w:pPr>
              <w:pStyle w:val="P68B1DB1-Normal12"/>
              <w:rPr>
                <w:noProof/>
              </w:rPr>
            </w:pPr>
            <w:r>
              <w:rPr>
                <w:noProof/>
              </w:rPr>
              <w:t>7 118 464 154 EUR</w:t>
            </w:r>
          </w:p>
        </w:tc>
      </w:tr>
    </w:tbl>
    <w:p w14:paraId="559A5619" w14:textId="20CB1ACB" w:rsidR="00154E32" w:rsidRDefault="00A43E04">
      <w:pPr>
        <w:pStyle w:val="P68B1DB1-Normal44"/>
        <w:numPr>
          <w:ilvl w:val="1"/>
          <w:numId w:val="6"/>
        </w:numPr>
        <w:spacing w:before="120" w:after="120"/>
        <w:jc w:val="both"/>
        <w:rPr>
          <w:noProof/>
        </w:rPr>
      </w:pPr>
      <w:r>
        <w:rPr>
          <w:noProof/>
        </w:rPr>
        <w:t>Deseta namestitev (podpora za posojila):</w:t>
      </w:r>
    </w:p>
    <w:tbl>
      <w:tblPr>
        <w:tblW w:w="10092" w:type="dxa"/>
        <w:tblInd w:w="113" w:type="dxa"/>
        <w:tblLook w:val="04A0" w:firstRow="1" w:lastRow="0" w:firstColumn="1" w:lastColumn="0" w:noHBand="0" w:noVBand="1"/>
      </w:tblPr>
      <w:tblGrid>
        <w:gridCol w:w="1413"/>
        <w:gridCol w:w="3090"/>
        <w:gridCol w:w="1498"/>
        <w:gridCol w:w="4091"/>
      </w:tblGrid>
      <w:tr w:rsidR="00154E32" w14:paraId="07C6B696" w14:textId="77777777">
        <w:trPr>
          <w:trHeight w:val="906"/>
          <w:tblHeader/>
        </w:trPr>
        <w:tc>
          <w:tcPr>
            <w:tcW w:w="1413"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C00CAC8" w14:textId="77777777" w:rsidR="00154E32" w:rsidRDefault="00A43E04">
            <w:pPr>
              <w:pStyle w:val="P68B1DB1-Normal45"/>
              <w:jc w:val="center"/>
              <w:rPr>
                <w:noProof/>
              </w:rPr>
            </w:pPr>
            <w:r>
              <w:rPr>
                <w:noProof/>
              </w:rPr>
              <w:t>Zaporedna številka</w:t>
            </w:r>
          </w:p>
        </w:tc>
        <w:tc>
          <w:tcPr>
            <w:tcW w:w="3090"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45704966" w14:textId="77777777" w:rsidR="00154E32" w:rsidRDefault="00A43E04">
            <w:pPr>
              <w:pStyle w:val="P68B1DB1-Normal45"/>
              <w:jc w:val="center"/>
              <w:rPr>
                <w:noProof/>
              </w:rPr>
            </w:pPr>
            <w:r>
              <w:rPr>
                <w:noProof/>
              </w:rPr>
              <w:t>Povezani ukrep (reforma ali naložba)</w:t>
            </w:r>
          </w:p>
        </w:tc>
        <w:tc>
          <w:tcPr>
            <w:tcW w:w="1498"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7FBCB9DF" w14:textId="77777777" w:rsidR="00154E32" w:rsidRDefault="00A43E04">
            <w:pPr>
              <w:pStyle w:val="P68B1DB1-Normal45"/>
              <w:jc w:val="center"/>
              <w:rPr>
                <w:noProof/>
              </w:rPr>
            </w:pPr>
            <w:r>
              <w:rPr>
                <w:noProof/>
              </w:rPr>
              <w:t>Mejnik/cilj</w:t>
            </w:r>
          </w:p>
        </w:tc>
        <w:tc>
          <w:tcPr>
            <w:tcW w:w="4091" w:type="dxa"/>
            <w:vMerge w:val="restart"/>
            <w:tcBorders>
              <w:top w:val="single" w:sz="4" w:space="0" w:color="auto"/>
              <w:left w:val="single" w:sz="4" w:space="0" w:color="auto"/>
              <w:bottom w:val="single" w:sz="4" w:space="0" w:color="auto"/>
              <w:right w:val="single" w:sz="4" w:space="0" w:color="auto"/>
            </w:tcBorders>
            <w:shd w:val="clear" w:color="auto" w:fill="BDD7EE"/>
            <w:vAlign w:val="center"/>
            <w:hideMark/>
          </w:tcPr>
          <w:p w14:paraId="0633AED4" w14:textId="77777777" w:rsidR="00154E32" w:rsidRDefault="00A43E04">
            <w:pPr>
              <w:pStyle w:val="P68B1DB1-Normal45"/>
              <w:jc w:val="center"/>
              <w:rPr>
                <w:noProof/>
              </w:rPr>
            </w:pPr>
            <w:r>
              <w:rPr>
                <w:noProof/>
              </w:rPr>
              <w:t>Ime</w:t>
            </w:r>
          </w:p>
        </w:tc>
      </w:tr>
      <w:tr w:rsidR="00154E32" w14:paraId="097EAB71" w14:textId="77777777">
        <w:trPr>
          <w:trHeight w:val="517"/>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6D575B7A" w14:textId="77777777" w:rsidR="00154E32" w:rsidRDefault="00154E32">
            <w:pPr>
              <w:rPr>
                <w:b/>
                <w:noProof/>
              </w:rPr>
            </w:pPr>
          </w:p>
        </w:tc>
        <w:tc>
          <w:tcPr>
            <w:tcW w:w="3090" w:type="dxa"/>
            <w:vMerge/>
            <w:tcBorders>
              <w:top w:val="single" w:sz="4" w:space="0" w:color="auto"/>
              <w:left w:val="single" w:sz="4" w:space="0" w:color="auto"/>
              <w:bottom w:val="single" w:sz="4" w:space="0" w:color="auto"/>
              <w:right w:val="single" w:sz="4" w:space="0" w:color="auto"/>
            </w:tcBorders>
            <w:vAlign w:val="center"/>
            <w:hideMark/>
          </w:tcPr>
          <w:p w14:paraId="4B5D3FFF" w14:textId="77777777" w:rsidR="00154E32" w:rsidRDefault="00154E32">
            <w:pPr>
              <w:rPr>
                <w:b/>
                <w:noProof/>
              </w:rPr>
            </w:pPr>
          </w:p>
        </w:tc>
        <w:tc>
          <w:tcPr>
            <w:tcW w:w="1498" w:type="dxa"/>
            <w:vMerge/>
            <w:tcBorders>
              <w:top w:val="single" w:sz="4" w:space="0" w:color="auto"/>
              <w:left w:val="single" w:sz="4" w:space="0" w:color="auto"/>
              <w:bottom w:val="single" w:sz="4" w:space="0" w:color="auto"/>
              <w:right w:val="single" w:sz="4" w:space="0" w:color="auto"/>
            </w:tcBorders>
            <w:vAlign w:val="center"/>
            <w:hideMark/>
          </w:tcPr>
          <w:p w14:paraId="536CEA09" w14:textId="77777777" w:rsidR="00154E32" w:rsidRDefault="00154E32">
            <w:pPr>
              <w:rPr>
                <w:b/>
                <w:noProof/>
              </w:rPr>
            </w:pPr>
          </w:p>
        </w:tc>
        <w:tc>
          <w:tcPr>
            <w:tcW w:w="4091" w:type="dxa"/>
            <w:vMerge/>
            <w:tcBorders>
              <w:top w:val="single" w:sz="4" w:space="0" w:color="auto"/>
              <w:left w:val="single" w:sz="4" w:space="0" w:color="auto"/>
              <w:bottom w:val="single" w:sz="4" w:space="0" w:color="auto"/>
              <w:right w:val="single" w:sz="4" w:space="0" w:color="auto"/>
            </w:tcBorders>
            <w:vAlign w:val="center"/>
            <w:hideMark/>
          </w:tcPr>
          <w:p w14:paraId="145B314A" w14:textId="77777777" w:rsidR="00154E32" w:rsidRDefault="00154E32">
            <w:pPr>
              <w:rPr>
                <w:b/>
                <w:noProof/>
              </w:rPr>
            </w:pPr>
          </w:p>
        </w:tc>
      </w:tr>
      <w:tr w:rsidR="00154E32" w14:paraId="264BB02E"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center"/>
          </w:tcPr>
          <w:p w14:paraId="5B83D36F" w14:textId="77777777" w:rsidR="00154E32" w:rsidRDefault="00A43E04">
            <w:pPr>
              <w:pStyle w:val="P68B1DB1-Normal12"/>
              <w:jc w:val="center"/>
              <w:rPr>
                <w:noProof/>
              </w:rPr>
            </w:pPr>
            <w:r>
              <w:rPr>
                <w:noProof/>
              </w:rPr>
              <w:t>M1C1–146</w:t>
            </w:r>
          </w:p>
        </w:tc>
        <w:tc>
          <w:tcPr>
            <w:tcW w:w="3090" w:type="dxa"/>
            <w:tcBorders>
              <w:top w:val="single" w:sz="4" w:space="0" w:color="auto"/>
              <w:left w:val="nil"/>
              <w:bottom w:val="single" w:sz="4" w:space="0" w:color="auto"/>
              <w:right w:val="single" w:sz="4" w:space="0" w:color="auto"/>
            </w:tcBorders>
            <w:shd w:val="clear" w:color="auto" w:fill="C6EFCE"/>
            <w:noWrap/>
            <w:vAlign w:val="center"/>
          </w:tcPr>
          <w:p w14:paraId="6B532ACE" w14:textId="77777777" w:rsidR="00154E32" w:rsidRDefault="00A43E04">
            <w:pPr>
              <w:pStyle w:val="P68B1DB1-Normal12"/>
              <w:jc w:val="center"/>
              <w:rPr>
                <w:noProof/>
              </w:rPr>
            </w:pPr>
            <w:r>
              <w:rPr>
                <w:noProof/>
              </w:rPr>
              <w:t>Naložba 1.4.4 – sprejetje razširitve nacionalnih platform za digitalno identiteto (SPID, CIE) in nacionalnega registra (ANPR)</w:t>
            </w:r>
          </w:p>
        </w:tc>
        <w:tc>
          <w:tcPr>
            <w:tcW w:w="1498" w:type="dxa"/>
            <w:tcBorders>
              <w:top w:val="single" w:sz="4" w:space="0" w:color="auto"/>
              <w:left w:val="nil"/>
              <w:bottom w:val="single" w:sz="4" w:space="0" w:color="auto"/>
              <w:right w:val="single" w:sz="4" w:space="0" w:color="auto"/>
            </w:tcBorders>
            <w:shd w:val="clear" w:color="auto" w:fill="C6EFCE"/>
            <w:noWrap/>
            <w:vAlign w:val="center"/>
          </w:tcPr>
          <w:p w14:paraId="709E06BC" w14:textId="77777777" w:rsidR="00154E32" w:rsidRDefault="00A43E04">
            <w:pPr>
              <w:pStyle w:val="P68B1DB1-Normal12"/>
              <w:jc w:val="center"/>
              <w:rPr>
                <w:noProof/>
              </w:rPr>
            </w:pPr>
            <w:r>
              <w:rPr>
                <w:noProof/>
              </w:rPr>
              <w:t>Tarča</w:t>
            </w:r>
          </w:p>
        </w:tc>
        <w:tc>
          <w:tcPr>
            <w:tcW w:w="4091" w:type="dxa"/>
            <w:tcBorders>
              <w:top w:val="single" w:sz="4" w:space="0" w:color="auto"/>
              <w:left w:val="nil"/>
              <w:bottom w:val="single" w:sz="4" w:space="0" w:color="auto"/>
              <w:right w:val="single" w:sz="4" w:space="0" w:color="auto"/>
            </w:tcBorders>
            <w:shd w:val="clear" w:color="auto" w:fill="C6EFCE"/>
            <w:noWrap/>
            <w:vAlign w:val="center"/>
          </w:tcPr>
          <w:p w14:paraId="79755BB2" w14:textId="77777777" w:rsidR="00154E32" w:rsidRDefault="00A43E04">
            <w:pPr>
              <w:pStyle w:val="P68B1DB1-Normal12"/>
              <w:jc w:val="center"/>
              <w:rPr>
                <w:noProof/>
              </w:rPr>
            </w:pPr>
            <w:r>
              <w:rPr>
                <w:noProof/>
              </w:rPr>
              <w:t>Nacionalne platforme za digitalno identiteto (SPID, CIE) in nacionalni register (ANPR)</w:t>
            </w:r>
          </w:p>
        </w:tc>
      </w:tr>
      <w:tr w:rsidR="00154E32" w14:paraId="66A3FB7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0B29992" w14:textId="77777777" w:rsidR="00154E32" w:rsidRDefault="00A43E04">
            <w:pPr>
              <w:pStyle w:val="P68B1DB1-Normal12"/>
              <w:jc w:val="center"/>
              <w:rPr>
                <w:noProof/>
              </w:rPr>
            </w:pPr>
            <w:r>
              <w:rPr>
                <w:noProof/>
              </w:rPr>
              <w:t>M2C3–6</w:t>
            </w:r>
          </w:p>
        </w:tc>
        <w:tc>
          <w:tcPr>
            <w:tcW w:w="3090" w:type="dxa"/>
            <w:tcBorders>
              <w:top w:val="nil"/>
              <w:left w:val="nil"/>
              <w:bottom w:val="single" w:sz="4" w:space="0" w:color="auto"/>
              <w:right w:val="single" w:sz="4" w:space="0" w:color="auto"/>
            </w:tcBorders>
            <w:shd w:val="clear" w:color="auto" w:fill="C6EFCE"/>
            <w:noWrap/>
            <w:vAlign w:val="center"/>
          </w:tcPr>
          <w:p w14:paraId="1EBA4D1C" w14:textId="77777777" w:rsidR="00154E32" w:rsidRDefault="00A43E04">
            <w:pPr>
              <w:pStyle w:val="P68B1DB1-Normal12"/>
              <w:jc w:val="center"/>
              <w:rPr>
                <w:noProof/>
              </w:rPr>
            </w:pPr>
            <w:r>
              <w:rPr>
                <w:noProof/>
              </w:rPr>
              <w:t>Naložba 1.1: Gradnja novih šol z zamenjavo stavb</w:t>
            </w:r>
          </w:p>
        </w:tc>
        <w:tc>
          <w:tcPr>
            <w:tcW w:w="1498" w:type="dxa"/>
            <w:tcBorders>
              <w:top w:val="nil"/>
              <w:left w:val="nil"/>
              <w:bottom w:val="single" w:sz="4" w:space="0" w:color="auto"/>
              <w:right w:val="single" w:sz="4" w:space="0" w:color="auto"/>
            </w:tcBorders>
            <w:shd w:val="clear" w:color="auto" w:fill="C6EFCE"/>
            <w:noWrap/>
            <w:vAlign w:val="center"/>
          </w:tcPr>
          <w:p w14:paraId="6C2CE131"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10C81395" w14:textId="77777777" w:rsidR="00154E32" w:rsidRDefault="00A43E04">
            <w:pPr>
              <w:pStyle w:val="P68B1DB1-Normal12"/>
              <w:jc w:val="center"/>
              <w:rPr>
                <w:noProof/>
              </w:rPr>
            </w:pPr>
            <w:r>
              <w:rPr>
                <w:noProof/>
              </w:rPr>
              <w:t>Z zamenjavo stavb se zgradi vsaj 400 000 m² novih šol.</w:t>
            </w:r>
          </w:p>
        </w:tc>
      </w:tr>
      <w:tr w:rsidR="00154E32" w14:paraId="7368A26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BF3EBBD" w14:textId="77777777" w:rsidR="00154E32" w:rsidRDefault="00A43E04">
            <w:pPr>
              <w:pStyle w:val="P68B1DB1-Normal12"/>
              <w:jc w:val="center"/>
              <w:rPr>
                <w:noProof/>
              </w:rPr>
            </w:pPr>
            <w:r>
              <w:rPr>
                <w:noProof/>
              </w:rPr>
              <w:t>M2C3–8</w:t>
            </w:r>
          </w:p>
        </w:tc>
        <w:tc>
          <w:tcPr>
            <w:tcW w:w="3090" w:type="dxa"/>
            <w:tcBorders>
              <w:top w:val="nil"/>
              <w:left w:val="nil"/>
              <w:bottom w:val="single" w:sz="4" w:space="0" w:color="auto"/>
              <w:right w:val="single" w:sz="4" w:space="0" w:color="auto"/>
            </w:tcBorders>
            <w:shd w:val="clear" w:color="auto" w:fill="C6EFCE"/>
            <w:noWrap/>
            <w:vAlign w:val="center"/>
          </w:tcPr>
          <w:p w14:paraId="17A778C5" w14:textId="77777777" w:rsidR="00154E32" w:rsidRDefault="00A43E04">
            <w:pPr>
              <w:pStyle w:val="P68B1DB1-Normal12"/>
              <w:jc w:val="center"/>
              <w:rPr>
                <w:noProof/>
              </w:rPr>
            </w:pPr>
            <w:r>
              <w:rPr>
                <w:noProof/>
              </w:rPr>
              <w:t>Naložba 1.2 – Gradnja stavb, prekvalifikacija in krepitev nepremičninskih sredstev pravosodja</w:t>
            </w:r>
          </w:p>
        </w:tc>
        <w:tc>
          <w:tcPr>
            <w:tcW w:w="1498" w:type="dxa"/>
            <w:tcBorders>
              <w:top w:val="nil"/>
              <w:left w:val="nil"/>
              <w:bottom w:val="single" w:sz="4" w:space="0" w:color="auto"/>
              <w:right w:val="single" w:sz="4" w:space="0" w:color="auto"/>
            </w:tcBorders>
            <w:shd w:val="clear" w:color="auto" w:fill="C6EFCE"/>
            <w:noWrap/>
            <w:vAlign w:val="center"/>
          </w:tcPr>
          <w:p w14:paraId="0ED0DF82"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7E1B2BB4" w14:textId="77777777" w:rsidR="00154E32" w:rsidRDefault="00A43E04">
            <w:pPr>
              <w:pStyle w:val="P68B1DB1-Normal12"/>
              <w:jc w:val="center"/>
              <w:rPr>
                <w:noProof/>
              </w:rPr>
            </w:pPr>
            <w:r>
              <w:rPr>
                <w:noProof/>
              </w:rPr>
              <w:t>Gradnja stavb, prekvalifikacija in krepitev nepremičninskih sredstev pravosodja</w:t>
            </w:r>
          </w:p>
        </w:tc>
      </w:tr>
      <w:tr w:rsidR="00154E32" w14:paraId="7178D52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02B601A" w14:textId="77777777" w:rsidR="00154E32" w:rsidRDefault="00A43E04">
            <w:pPr>
              <w:pStyle w:val="P68B1DB1-Normal12"/>
              <w:jc w:val="center"/>
              <w:rPr>
                <w:noProof/>
              </w:rPr>
            </w:pPr>
            <w:r>
              <w:rPr>
                <w:noProof/>
              </w:rPr>
              <w:t>M2C3–10</w:t>
            </w:r>
          </w:p>
        </w:tc>
        <w:tc>
          <w:tcPr>
            <w:tcW w:w="3090" w:type="dxa"/>
            <w:tcBorders>
              <w:top w:val="nil"/>
              <w:left w:val="nil"/>
              <w:bottom w:val="single" w:sz="4" w:space="0" w:color="auto"/>
              <w:right w:val="single" w:sz="4" w:space="0" w:color="auto"/>
            </w:tcBorders>
            <w:shd w:val="clear" w:color="auto" w:fill="C6EFCE"/>
            <w:noWrap/>
            <w:vAlign w:val="center"/>
          </w:tcPr>
          <w:p w14:paraId="6B1283B5" w14:textId="77777777" w:rsidR="00154E32" w:rsidRDefault="00A43E04">
            <w:pPr>
              <w:pStyle w:val="P68B1DB1-Normal12"/>
              <w:jc w:val="center"/>
              <w:rPr>
                <w:noProof/>
              </w:rPr>
            </w:pPr>
            <w:r>
              <w:rPr>
                <w:noProof/>
              </w:rPr>
              <w:t>Naložba 3.1: Spodbujanje učinkovitega daljinskega ogrevanja</w:t>
            </w:r>
          </w:p>
        </w:tc>
        <w:tc>
          <w:tcPr>
            <w:tcW w:w="1498" w:type="dxa"/>
            <w:tcBorders>
              <w:top w:val="nil"/>
              <w:left w:val="nil"/>
              <w:bottom w:val="single" w:sz="4" w:space="0" w:color="auto"/>
              <w:right w:val="single" w:sz="4" w:space="0" w:color="auto"/>
            </w:tcBorders>
            <w:shd w:val="clear" w:color="auto" w:fill="C6EFCE"/>
            <w:noWrap/>
            <w:vAlign w:val="center"/>
          </w:tcPr>
          <w:p w14:paraId="4053B4C9"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664B4A93" w14:textId="77777777" w:rsidR="00154E32" w:rsidRDefault="00A43E04">
            <w:pPr>
              <w:pStyle w:val="P68B1DB1-Normal12"/>
              <w:jc w:val="center"/>
              <w:rPr>
                <w:noProof/>
              </w:rPr>
            </w:pPr>
            <w:r>
              <w:rPr>
                <w:noProof/>
              </w:rPr>
              <w:t>Izgradnja ali razširitev omrežij za daljinsko ogrevanje</w:t>
            </w:r>
          </w:p>
        </w:tc>
      </w:tr>
      <w:tr w:rsidR="00154E32" w14:paraId="2673043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395F449" w14:textId="77777777" w:rsidR="00154E32" w:rsidRDefault="00A43E04">
            <w:pPr>
              <w:pStyle w:val="P68B1DB1-Normal12"/>
              <w:jc w:val="center"/>
              <w:rPr>
                <w:noProof/>
              </w:rPr>
            </w:pPr>
            <w:r>
              <w:rPr>
                <w:noProof/>
              </w:rPr>
              <w:t>M2C4–23</w:t>
            </w:r>
          </w:p>
        </w:tc>
        <w:tc>
          <w:tcPr>
            <w:tcW w:w="3090" w:type="dxa"/>
            <w:tcBorders>
              <w:top w:val="nil"/>
              <w:left w:val="nil"/>
              <w:bottom w:val="single" w:sz="4" w:space="0" w:color="auto"/>
              <w:right w:val="single" w:sz="4" w:space="0" w:color="auto"/>
            </w:tcBorders>
            <w:shd w:val="clear" w:color="auto" w:fill="C6EFCE"/>
            <w:noWrap/>
            <w:vAlign w:val="center"/>
          </w:tcPr>
          <w:p w14:paraId="6AC97A7F" w14:textId="77777777" w:rsidR="00154E32" w:rsidRDefault="00A43E04">
            <w:pPr>
              <w:pStyle w:val="P68B1DB1-Normal12"/>
              <w:jc w:val="center"/>
              <w:rPr>
                <w:noProof/>
              </w:rPr>
            </w:pPr>
            <w:r>
              <w:rPr>
                <w:noProof/>
              </w:rPr>
              <w:t>Naložba 3.3 Renaturifikacija območja Po</w:t>
            </w:r>
          </w:p>
        </w:tc>
        <w:tc>
          <w:tcPr>
            <w:tcW w:w="1498" w:type="dxa"/>
            <w:tcBorders>
              <w:top w:val="nil"/>
              <w:left w:val="nil"/>
              <w:bottom w:val="single" w:sz="4" w:space="0" w:color="auto"/>
              <w:right w:val="single" w:sz="4" w:space="0" w:color="auto"/>
            </w:tcBorders>
            <w:shd w:val="clear" w:color="auto" w:fill="C6EFCE"/>
            <w:noWrap/>
            <w:vAlign w:val="center"/>
          </w:tcPr>
          <w:p w14:paraId="4E6D3C24"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4FA92165" w14:textId="77777777" w:rsidR="00154E32" w:rsidRDefault="00A43E04">
            <w:pPr>
              <w:pStyle w:val="P68B1DB1-Normal12"/>
              <w:jc w:val="center"/>
              <w:rPr>
                <w:noProof/>
              </w:rPr>
            </w:pPr>
            <w:r>
              <w:rPr>
                <w:noProof/>
              </w:rPr>
              <w:t>Zmanjšanje umetnega rečnega dna za ponovno naturifikacijo območja Pad T2</w:t>
            </w:r>
          </w:p>
        </w:tc>
      </w:tr>
      <w:tr w:rsidR="00154E32" w14:paraId="789C378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576B596" w14:textId="77777777" w:rsidR="00154E32" w:rsidRDefault="00A43E04">
            <w:pPr>
              <w:pStyle w:val="P68B1DB1-Normal12"/>
              <w:jc w:val="center"/>
              <w:rPr>
                <w:noProof/>
              </w:rPr>
            </w:pPr>
            <w:r>
              <w:rPr>
                <w:noProof/>
              </w:rPr>
              <w:t>M2C4–25</w:t>
            </w:r>
          </w:p>
        </w:tc>
        <w:tc>
          <w:tcPr>
            <w:tcW w:w="3090" w:type="dxa"/>
            <w:tcBorders>
              <w:top w:val="nil"/>
              <w:left w:val="nil"/>
              <w:bottom w:val="single" w:sz="4" w:space="0" w:color="auto"/>
              <w:right w:val="single" w:sz="4" w:space="0" w:color="auto"/>
            </w:tcBorders>
            <w:shd w:val="clear" w:color="auto" w:fill="C6EFCE"/>
            <w:noWrap/>
            <w:vAlign w:val="center"/>
          </w:tcPr>
          <w:p w14:paraId="56210705" w14:textId="77777777" w:rsidR="00154E32" w:rsidRDefault="00A43E04">
            <w:pPr>
              <w:pStyle w:val="P68B1DB1-Normal12"/>
              <w:jc w:val="center"/>
              <w:rPr>
                <w:noProof/>
              </w:rPr>
            </w:pPr>
            <w:r>
              <w:rPr>
                <w:noProof/>
              </w:rPr>
              <w:t>Naložba 3.4. Sanacija tal na območjih sirote</w:t>
            </w:r>
          </w:p>
        </w:tc>
        <w:tc>
          <w:tcPr>
            <w:tcW w:w="1498" w:type="dxa"/>
            <w:tcBorders>
              <w:top w:val="nil"/>
              <w:left w:val="nil"/>
              <w:bottom w:val="single" w:sz="4" w:space="0" w:color="auto"/>
              <w:right w:val="single" w:sz="4" w:space="0" w:color="auto"/>
            </w:tcBorders>
            <w:shd w:val="clear" w:color="auto" w:fill="C6EFCE"/>
            <w:noWrap/>
            <w:vAlign w:val="center"/>
          </w:tcPr>
          <w:p w14:paraId="4C172840"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2F700C7F" w14:textId="77777777" w:rsidR="00154E32" w:rsidRDefault="00A43E04">
            <w:pPr>
              <w:pStyle w:val="P68B1DB1-Normal12"/>
              <w:jc w:val="center"/>
              <w:rPr>
                <w:noProof/>
              </w:rPr>
            </w:pPr>
            <w:r>
              <w:rPr>
                <w:noProof/>
              </w:rPr>
              <w:t xml:space="preserve">Oživitev območij sirot </w:t>
            </w:r>
          </w:p>
        </w:tc>
      </w:tr>
      <w:tr w:rsidR="00154E32" w14:paraId="0B1C335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C0B3C9E" w14:textId="77777777" w:rsidR="00154E32" w:rsidRDefault="00A43E04">
            <w:pPr>
              <w:pStyle w:val="P68B1DB1-Normal12"/>
              <w:jc w:val="center"/>
              <w:rPr>
                <w:noProof/>
              </w:rPr>
            </w:pPr>
            <w:r>
              <w:rPr>
                <w:noProof/>
              </w:rPr>
              <w:t>M2C4–29</w:t>
            </w:r>
          </w:p>
        </w:tc>
        <w:tc>
          <w:tcPr>
            <w:tcW w:w="3090" w:type="dxa"/>
            <w:tcBorders>
              <w:top w:val="nil"/>
              <w:left w:val="nil"/>
              <w:bottom w:val="single" w:sz="4" w:space="0" w:color="auto"/>
              <w:right w:val="single" w:sz="4" w:space="0" w:color="auto"/>
            </w:tcBorders>
            <w:shd w:val="clear" w:color="auto" w:fill="C6EFCE"/>
            <w:noWrap/>
            <w:vAlign w:val="center"/>
          </w:tcPr>
          <w:p w14:paraId="76213590" w14:textId="77777777" w:rsidR="00154E32" w:rsidRDefault="00A43E04">
            <w:pPr>
              <w:pStyle w:val="P68B1DB1-Normal12"/>
              <w:jc w:val="center"/>
              <w:rPr>
                <w:noProof/>
              </w:rPr>
            </w:pPr>
            <w:r>
              <w:rPr>
                <w:noProof/>
              </w:rPr>
              <w:t>Naložba 4.1. Naložbe v primarno vodno infrastrukturo za zanesljivost oskrbe z vodo</w:t>
            </w:r>
          </w:p>
        </w:tc>
        <w:tc>
          <w:tcPr>
            <w:tcW w:w="1498" w:type="dxa"/>
            <w:tcBorders>
              <w:top w:val="nil"/>
              <w:left w:val="nil"/>
              <w:bottom w:val="single" w:sz="4" w:space="0" w:color="auto"/>
              <w:right w:val="single" w:sz="4" w:space="0" w:color="auto"/>
            </w:tcBorders>
            <w:shd w:val="clear" w:color="auto" w:fill="C6EFCE"/>
            <w:noWrap/>
            <w:vAlign w:val="center"/>
          </w:tcPr>
          <w:p w14:paraId="7310D00B"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670A2437" w14:textId="77777777" w:rsidR="00154E32" w:rsidRDefault="00A43E04">
            <w:pPr>
              <w:pStyle w:val="P68B1DB1-Normal12"/>
              <w:jc w:val="center"/>
              <w:rPr>
                <w:noProof/>
              </w:rPr>
            </w:pPr>
            <w:r>
              <w:rPr>
                <w:noProof/>
              </w:rPr>
              <w:t xml:space="preserve">Naložbe v primarno vodno infrastrukturo za zanesljivost oskrbe z vodo </w:t>
            </w:r>
          </w:p>
        </w:tc>
      </w:tr>
      <w:tr w:rsidR="00154E32" w14:paraId="394CE11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3E95C07" w14:textId="77777777" w:rsidR="00154E32" w:rsidRDefault="00A43E04">
            <w:pPr>
              <w:pStyle w:val="P68B1DB1-Normal12"/>
              <w:jc w:val="center"/>
              <w:rPr>
                <w:noProof/>
              </w:rPr>
            </w:pPr>
            <w:r>
              <w:rPr>
                <w:noProof/>
              </w:rPr>
              <w:t>M2C4–32</w:t>
            </w:r>
          </w:p>
        </w:tc>
        <w:tc>
          <w:tcPr>
            <w:tcW w:w="3090" w:type="dxa"/>
            <w:tcBorders>
              <w:top w:val="nil"/>
              <w:left w:val="nil"/>
              <w:bottom w:val="single" w:sz="4" w:space="0" w:color="auto"/>
              <w:right w:val="single" w:sz="4" w:space="0" w:color="auto"/>
            </w:tcBorders>
            <w:shd w:val="clear" w:color="auto" w:fill="C6EFCE"/>
            <w:noWrap/>
            <w:vAlign w:val="center"/>
          </w:tcPr>
          <w:p w14:paraId="3A7C5BD3" w14:textId="77777777" w:rsidR="00154E32" w:rsidRDefault="00A43E04">
            <w:pPr>
              <w:pStyle w:val="P68B1DB1-Normal12"/>
              <w:jc w:val="center"/>
              <w:rPr>
                <w:noProof/>
              </w:rPr>
            </w:pPr>
            <w:r>
              <w:rPr>
                <w:noProof/>
              </w:rPr>
              <w:t>Naložba 4.2. Zmanjšanje izgub v vodovodnih omrežjih, vključno z digitalizacijo in spremljanjem omrežij</w:t>
            </w:r>
          </w:p>
        </w:tc>
        <w:tc>
          <w:tcPr>
            <w:tcW w:w="1498" w:type="dxa"/>
            <w:tcBorders>
              <w:top w:val="nil"/>
              <w:left w:val="nil"/>
              <w:bottom w:val="single" w:sz="4" w:space="0" w:color="auto"/>
              <w:right w:val="single" w:sz="4" w:space="0" w:color="auto"/>
            </w:tcBorders>
            <w:shd w:val="clear" w:color="auto" w:fill="C6EFCE"/>
            <w:noWrap/>
            <w:vAlign w:val="center"/>
          </w:tcPr>
          <w:p w14:paraId="4FDB7AFA"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3209B40B" w14:textId="77777777" w:rsidR="00154E32" w:rsidRDefault="00A43E04">
            <w:pPr>
              <w:pStyle w:val="P68B1DB1-Normal12"/>
              <w:jc w:val="center"/>
              <w:rPr>
                <w:noProof/>
              </w:rPr>
            </w:pPr>
            <w:r>
              <w:rPr>
                <w:noProof/>
              </w:rPr>
              <w:t>Posegi v vodovodnih omrežjih, vključno z digitalizacijo in spremljanjem omrežij T2</w:t>
            </w:r>
          </w:p>
        </w:tc>
      </w:tr>
      <w:tr w:rsidR="00154E32" w14:paraId="1B885E9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562FF33" w14:textId="77777777" w:rsidR="00154E32" w:rsidRDefault="00A43E04">
            <w:pPr>
              <w:pStyle w:val="P68B1DB1-Normal12"/>
              <w:jc w:val="center"/>
              <w:rPr>
                <w:noProof/>
              </w:rPr>
            </w:pPr>
            <w:r>
              <w:rPr>
                <w:noProof/>
              </w:rPr>
              <w:t>M2C4–35a</w:t>
            </w:r>
          </w:p>
        </w:tc>
        <w:tc>
          <w:tcPr>
            <w:tcW w:w="3090" w:type="dxa"/>
            <w:tcBorders>
              <w:top w:val="nil"/>
              <w:left w:val="nil"/>
              <w:bottom w:val="single" w:sz="4" w:space="0" w:color="auto"/>
              <w:right w:val="single" w:sz="4" w:space="0" w:color="auto"/>
            </w:tcBorders>
            <w:shd w:val="clear" w:color="auto" w:fill="C6EFCE"/>
            <w:noWrap/>
            <w:vAlign w:val="center"/>
          </w:tcPr>
          <w:p w14:paraId="51E51FF1" w14:textId="77777777" w:rsidR="00154E32" w:rsidRDefault="00A43E04">
            <w:pPr>
              <w:pStyle w:val="P68B1DB1-Normal12"/>
              <w:jc w:val="center"/>
              <w:rPr>
                <w:noProof/>
              </w:rPr>
            </w:pPr>
            <w:r>
              <w:rPr>
                <w:noProof/>
              </w:rPr>
              <w:t>Naložba 4.3 Naložbe v odpornost namakalnega kmetijskega sistema za boljše upravljanje vodnih virov</w:t>
            </w:r>
          </w:p>
        </w:tc>
        <w:tc>
          <w:tcPr>
            <w:tcW w:w="1498" w:type="dxa"/>
            <w:tcBorders>
              <w:top w:val="nil"/>
              <w:left w:val="nil"/>
              <w:bottom w:val="single" w:sz="4" w:space="0" w:color="auto"/>
              <w:right w:val="single" w:sz="4" w:space="0" w:color="auto"/>
            </w:tcBorders>
            <w:shd w:val="clear" w:color="auto" w:fill="C6EFCE"/>
            <w:noWrap/>
            <w:vAlign w:val="center"/>
          </w:tcPr>
          <w:p w14:paraId="5E074747"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584649C1" w14:textId="77777777" w:rsidR="00154E32" w:rsidRDefault="00A43E04">
            <w:pPr>
              <w:pStyle w:val="P68B1DB1-Normal12"/>
              <w:jc w:val="center"/>
              <w:rPr>
                <w:noProof/>
              </w:rPr>
            </w:pPr>
            <w:r>
              <w:rPr>
                <w:noProof/>
              </w:rPr>
              <w:t>Intervencije za odpornost namakalnega kmetijskega sistema za boljše upravljanje vodnih virov T2</w:t>
            </w:r>
          </w:p>
        </w:tc>
      </w:tr>
      <w:tr w:rsidR="00154E32" w14:paraId="7015027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9A1626E" w14:textId="77777777" w:rsidR="00154E32" w:rsidRDefault="00A43E04">
            <w:pPr>
              <w:pStyle w:val="P68B1DB1-Normal12"/>
              <w:jc w:val="center"/>
              <w:rPr>
                <w:noProof/>
              </w:rPr>
            </w:pPr>
            <w:r>
              <w:rPr>
                <w:noProof/>
              </w:rPr>
              <w:t>M2C4–38</w:t>
            </w:r>
          </w:p>
        </w:tc>
        <w:tc>
          <w:tcPr>
            <w:tcW w:w="3090" w:type="dxa"/>
            <w:tcBorders>
              <w:top w:val="nil"/>
              <w:left w:val="nil"/>
              <w:bottom w:val="single" w:sz="4" w:space="0" w:color="auto"/>
              <w:right w:val="single" w:sz="4" w:space="0" w:color="auto"/>
            </w:tcBorders>
            <w:shd w:val="clear" w:color="auto" w:fill="C6EFCE"/>
            <w:noWrap/>
            <w:vAlign w:val="center"/>
          </w:tcPr>
          <w:p w14:paraId="1F49E9CF" w14:textId="77777777" w:rsidR="00154E32" w:rsidRDefault="00A43E04">
            <w:pPr>
              <w:pStyle w:val="P68B1DB1-Normal12"/>
              <w:jc w:val="center"/>
              <w:rPr>
                <w:noProof/>
              </w:rPr>
            </w:pPr>
            <w:r>
              <w:rPr>
                <w:noProof/>
              </w:rPr>
              <w:t>Naložba 4.4 Naložbe v kanalizacijo in čiščenje odpadnih voda</w:t>
            </w:r>
          </w:p>
        </w:tc>
        <w:tc>
          <w:tcPr>
            <w:tcW w:w="1498" w:type="dxa"/>
            <w:tcBorders>
              <w:top w:val="nil"/>
              <w:left w:val="nil"/>
              <w:bottom w:val="single" w:sz="4" w:space="0" w:color="auto"/>
              <w:right w:val="single" w:sz="4" w:space="0" w:color="auto"/>
            </w:tcBorders>
            <w:shd w:val="clear" w:color="auto" w:fill="C6EFCE"/>
            <w:noWrap/>
            <w:vAlign w:val="center"/>
          </w:tcPr>
          <w:p w14:paraId="719B677D"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71DE1693" w14:textId="77777777" w:rsidR="00154E32" w:rsidRDefault="00A43E04">
            <w:pPr>
              <w:pStyle w:val="P68B1DB1-Normal12"/>
              <w:jc w:val="center"/>
              <w:rPr>
                <w:noProof/>
              </w:rPr>
            </w:pPr>
            <w:r>
              <w:rPr>
                <w:noProof/>
              </w:rPr>
              <w:t>Posegi v kanalizacijo in čiščenje T2</w:t>
            </w:r>
          </w:p>
        </w:tc>
      </w:tr>
      <w:tr w:rsidR="00154E32" w14:paraId="52B970C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10C227C" w14:textId="77777777" w:rsidR="00154E32" w:rsidRDefault="00A43E04">
            <w:pPr>
              <w:pStyle w:val="P68B1DB1-Normal12"/>
              <w:jc w:val="center"/>
              <w:rPr>
                <w:noProof/>
              </w:rPr>
            </w:pPr>
            <w:r>
              <w:rPr>
                <w:noProof/>
              </w:rPr>
              <w:t>M5C2–20</w:t>
            </w:r>
          </w:p>
        </w:tc>
        <w:tc>
          <w:tcPr>
            <w:tcW w:w="3090" w:type="dxa"/>
            <w:tcBorders>
              <w:top w:val="nil"/>
              <w:left w:val="nil"/>
              <w:bottom w:val="single" w:sz="4" w:space="0" w:color="auto"/>
              <w:right w:val="single" w:sz="4" w:space="0" w:color="auto"/>
            </w:tcBorders>
            <w:shd w:val="clear" w:color="auto" w:fill="C6EFCE"/>
            <w:noWrap/>
            <w:vAlign w:val="center"/>
          </w:tcPr>
          <w:p w14:paraId="7993E31C" w14:textId="77777777" w:rsidR="00154E32" w:rsidRDefault="00A43E04">
            <w:pPr>
              <w:pStyle w:val="P68B1DB1-Normal12"/>
              <w:jc w:val="center"/>
              <w:rPr>
                <w:noProof/>
              </w:rPr>
            </w:pPr>
            <w:r>
              <w:rPr>
                <w:noProof/>
              </w:rPr>
              <w:t>Naložba 6 – Inovacijski program za kakovost stanovanj</w:t>
            </w:r>
          </w:p>
        </w:tc>
        <w:tc>
          <w:tcPr>
            <w:tcW w:w="1498" w:type="dxa"/>
            <w:tcBorders>
              <w:top w:val="nil"/>
              <w:left w:val="nil"/>
              <w:bottom w:val="single" w:sz="4" w:space="0" w:color="auto"/>
              <w:right w:val="single" w:sz="4" w:space="0" w:color="auto"/>
            </w:tcBorders>
            <w:shd w:val="clear" w:color="auto" w:fill="C6EFCE"/>
            <w:noWrap/>
            <w:vAlign w:val="center"/>
          </w:tcPr>
          <w:p w14:paraId="397C90F3"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7AD183C7" w14:textId="77777777" w:rsidR="00154E32" w:rsidRDefault="00A43E04">
            <w:pPr>
              <w:pStyle w:val="P68B1DB1-Normal12"/>
              <w:jc w:val="center"/>
              <w:rPr>
                <w:noProof/>
              </w:rPr>
            </w:pPr>
            <w:r>
              <w:rPr>
                <w:noProof/>
              </w:rPr>
              <w:t>Število podprtih stanovanjskih enot (v smislu gradnje in sanacije) in kvadratnih metrov podprtih javnih prostorov</w:t>
            </w:r>
          </w:p>
        </w:tc>
      </w:tr>
      <w:tr w:rsidR="00154E32" w14:paraId="7E8D3D8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F27D244" w14:textId="77777777" w:rsidR="00154E32" w:rsidRDefault="00A43E04">
            <w:pPr>
              <w:pStyle w:val="P68B1DB1-Normal12"/>
              <w:jc w:val="center"/>
              <w:rPr>
                <w:noProof/>
              </w:rPr>
            </w:pPr>
            <w:r>
              <w:rPr>
                <w:noProof/>
              </w:rPr>
              <w:t>M1C1–147</w:t>
            </w:r>
          </w:p>
        </w:tc>
        <w:tc>
          <w:tcPr>
            <w:tcW w:w="3090" w:type="dxa"/>
            <w:tcBorders>
              <w:top w:val="nil"/>
              <w:left w:val="nil"/>
              <w:bottom w:val="single" w:sz="4" w:space="0" w:color="auto"/>
              <w:right w:val="single" w:sz="4" w:space="0" w:color="auto"/>
            </w:tcBorders>
            <w:shd w:val="clear" w:color="auto" w:fill="C6EFCE"/>
            <w:noWrap/>
            <w:vAlign w:val="center"/>
          </w:tcPr>
          <w:p w14:paraId="25BA43FC" w14:textId="77777777" w:rsidR="00154E32" w:rsidRDefault="00A43E04">
            <w:pPr>
              <w:pStyle w:val="P68B1DB1-Normal12"/>
              <w:jc w:val="center"/>
              <w:rPr>
                <w:noProof/>
              </w:rPr>
            </w:pPr>
            <w:r>
              <w:rPr>
                <w:noProof/>
              </w:rPr>
              <w:t>Naložba 1.2 – Omogočanje oblaka za lokalne pripravljalne ukrepe</w:t>
            </w:r>
          </w:p>
        </w:tc>
        <w:tc>
          <w:tcPr>
            <w:tcW w:w="1498" w:type="dxa"/>
            <w:tcBorders>
              <w:top w:val="nil"/>
              <w:left w:val="nil"/>
              <w:bottom w:val="single" w:sz="4" w:space="0" w:color="auto"/>
              <w:right w:val="single" w:sz="4" w:space="0" w:color="auto"/>
            </w:tcBorders>
            <w:shd w:val="clear" w:color="auto" w:fill="C6EFCE"/>
            <w:noWrap/>
            <w:vAlign w:val="center"/>
          </w:tcPr>
          <w:p w14:paraId="75CEE6BF"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1D77232D" w14:textId="77777777" w:rsidR="00154E32" w:rsidRDefault="00A43E04">
            <w:pPr>
              <w:pStyle w:val="P68B1DB1-Normal12"/>
              <w:jc w:val="center"/>
              <w:rPr>
                <w:noProof/>
              </w:rPr>
            </w:pPr>
            <w:r>
              <w:rPr>
                <w:noProof/>
              </w:rPr>
              <w:t>Omogočanje oblaka za lokalno javno upravo T2</w:t>
            </w:r>
          </w:p>
        </w:tc>
      </w:tr>
      <w:tr w:rsidR="00154E32" w14:paraId="174876E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B7D54A2" w14:textId="77777777" w:rsidR="00154E32" w:rsidRDefault="00A43E04">
            <w:pPr>
              <w:pStyle w:val="P68B1DB1-Normal12"/>
              <w:jc w:val="center"/>
              <w:rPr>
                <w:noProof/>
              </w:rPr>
            </w:pPr>
            <w:r>
              <w:rPr>
                <w:noProof/>
              </w:rPr>
              <w:t>M1C1–148</w:t>
            </w:r>
          </w:p>
        </w:tc>
        <w:tc>
          <w:tcPr>
            <w:tcW w:w="3090" w:type="dxa"/>
            <w:tcBorders>
              <w:top w:val="nil"/>
              <w:left w:val="nil"/>
              <w:bottom w:val="single" w:sz="4" w:space="0" w:color="auto"/>
              <w:right w:val="single" w:sz="4" w:space="0" w:color="auto"/>
            </w:tcBorders>
            <w:shd w:val="clear" w:color="auto" w:fill="C6EFCE"/>
            <w:noWrap/>
            <w:vAlign w:val="center"/>
          </w:tcPr>
          <w:p w14:paraId="62248B83" w14:textId="77777777" w:rsidR="00154E32" w:rsidRDefault="00A43E04">
            <w:pPr>
              <w:pStyle w:val="P68B1DB1-Normal12"/>
              <w:jc w:val="center"/>
              <w:rPr>
                <w:noProof/>
              </w:rPr>
            </w:pPr>
            <w:r>
              <w:rPr>
                <w:noProof/>
              </w:rPr>
              <w:t>Naložba 1.4.1 – Izkušnje državljanov – Izboljšanje kakovosti in uporabnosti digitalnih javnih storitev</w:t>
            </w:r>
          </w:p>
        </w:tc>
        <w:tc>
          <w:tcPr>
            <w:tcW w:w="1498" w:type="dxa"/>
            <w:tcBorders>
              <w:top w:val="nil"/>
              <w:left w:val="nil"/>
              <w:bottom w:val="single" w:sz="4" w:space="0" w:color="auto"/>
              <w:right w:val="single" w:sz="4" w:space="0" w:color="auto"/>
            </w:tcBorders>
            <w:shd w:val="clear" w:color="auto" w:fill="C6EFCE"/>
            <w:noWrap/>
            <w:vAlign w:val="center"/>
          </w:tcPr>
          <w:p w14:paraId="2F09176D"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0AD48D96" w14:textId="77777777" w:rsidR="00154E32" w:rsidRDefault="00A43E04">
            <w:pPr>
              <w:pStyle w:val="P68B1DB1-Normal12"/>
              <w:jc w:val="center"/>
              <w:rPr>
                <w:noProof/>
              </w:rPr>
            </w:pPr>
            <w:r>
              <w:rPr>
                <w:noProof/>
              </w:rPr>
              <w:t>Izboljšanje kakovosti in uporabnosti digitalnih javnih storitev T2</w:t>
            </w:r>
          </w:p>
        </w:tc>
      </w:tr>
      <w:tr w:rsidR="00154E32" w14:paraId="48A9F38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2074E38" w14:textId="77777777" w:rsidR="00154E32" w:rsidRDefault="00A43E04">
            <w:pPr>
              <w:pStyle w:val="P68B1DB1-Normal12"/>
              <w:jc w:val="center"/>
              <w:rPr>
                <w:noProof/>
              </w:rPr>
            </w:pPr>
            <w:r>
              <w:rPr>
                <w:noProof/>
              </w:rPr>
              <w:t>M1C1–149</w:t>
            </w:r>
          </w:p>
        </w:tc>
        <w:tc>
          <w:tcPr>
            <w:tcW w:w="3090" w:type="dxa"/>
            <w:tcBorders>
              <w:top w:val="nil"/>
              <w:left w:val="nil"/>
              <w:bottom w:val="single" w:sz="4" w:space="0" w:color="auto"/>
              <w:right w:val="single" w:sz="4" w:space="0" w:color="auto"/>
            </w:tcBorders>
            <w:shd w:val="clear" w:color="auto" w:fill="C6EFCE"/>
            <w:noWrap/>
            <w:vAlign w:val="center"/>
          </w:tcPr>
          <w:p w14:paraId="7D50984D" w14:textId="77777777" w:rsidR="00154E32" w:rsidRDefault="00A43E04">
            <w:pPr>
              <w:pStyle w:val="P68B1DB1-Normal12"/>
              <w:jc w:val="center"/>
              <w:rPr>
                <w:noProof/>
              </w:rPr>
            </w:pPr>
            <w:r>
              <w:rPr>
                <w:noProof/>
              </w:rPr>
              <w:t>Naložba 1.4.3 – sprejetje razširitve storitev platforme PagoPA in aplikacije „IO“</w:t>
            </w:r>
          </w:p>
        </w:tc>
        <w:tc>
          <w:tcPr>
            <w:tcW w:w="1498" w:type="dxa"/>
            <w:tcBorders>
              <w:top w:val="nil"/>
              <w:left w:val="nil"/>
              <w:bottom w:val="single" w:sz="4" w:space="0" w:color="auto"/>
              <w:right w:val="single" w:sz="4" w:space="0" w:color="auto"/>
            </w:tcBorders>
            <w:shd w:val="clear" w:color="auto" w:fill="C6EFCE"/>
            <w:noWrap/>
            <w:vAlign w:val="center"/>
          </w:tcPr>
          <w:p w14:paraId="17EFB9A3"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62B158D6" w14:textId="77777777" w:rsidR="00154E32" w:rsidRDefault="00A43E04">
            <w:pPr>
              <w:pStyle w:val="P68B1DB1-Normal12"/>
              <w:jc w:val="center"/>
              <w:rPr>
                <w:noProof/>
              </w:rPr>
            </w:pPr>
            <w:r>
              <w:rPr>
                <w:noProof/>
              </w:rPr>
              <w:t>Razširitev sprejetja storitev platforme PagoPA T2</w:t>
            </w:r>
          </w:p>
        </w:tc>
      </w:tr>
      <w:tr w:rsidR="00154E32" w14:paraId="2720BD0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AF0E141" w14:textId="77777777" w:rsidR="00154E32" w:rsidRDefault="00A43E04">
            <w:pPr>
              <w:pStyle w:val="P68B1DB1-Normal12"/>
              <w:jc w:val="center"/>
              <w:rPr>
                <w:noProof/>
              </w:rPr>
            </w:pPr>
            <w:r>
              <w:rPr>
                <w:noProof/>
              </w:rPr>
              <w:t>M1C1–150</w:t>
            </w:r>
          </w:p>
        </w:tc>
        <w:tc>
          <w:tcPr>
            <w:tcW w:w="3090" w:type="dxa"/>
            <w:tcBorders>
              <w:top w:val="nil"/>
              <w:left w:val="nil"/>
              <w:bottom w:val="single" w:sz="4" w:space="0" w:color="auto"/>
              <w:right w:val="single" w:sz="4" w:space="0" w:color="auto"/>
            </w:tcBorders>
            <w:shd w:val="clear" w:color="auto" w:fill="C6EFCE"/>
            <w:noWrap/>
            <w:vAlign w:val="center"/>
          </w:tcPr>
          <w:p w14:paraId="45FE5893" w14:textId="77777777" w:rsidR="00154E32" w:rsidRDefault="00A43E04">
            <w:pPr>
              <w:pStyle w:val="P68B1DB1-Normal12"/>
              <w:jc w:val="center"/>
              <w:rPr>
                <w:noProof/>
              </w:rPr>
            </w:pPr>
            <w:r>
              <w:rPr>
                <w:noProof/>
              </w:rPr>
              <w:t>Naložba 1.4.3 – sprejetje razširitve storitev platforme PagoPA in aplikacije „IO“</w:t>
            </w:r>
          </w:p>
        </w:tc>
        <w:tc>
          <w:tcPr>
            <w:tcW w:w="1498" w:type="dxa"/>
            <w:tcBorders>
              <w:top w:val="nil"/>
              <w:left w:val="nil"/>
              <w:bottom w:val="single" w:sz="4" w:space="0" w:color="auto"/>
              <w:right w:val="single" w:sz="4" w:space="0" w:color="auto"/>
            </w:tcBorders>
            <w:shd w:val="clear" w:color="auto" w:fill="C6EFCE"/>
            <w:noWrap/>
            <w:vAlign w:val="center"/>
          </w:tcPr>
          <w:p w14:paraId="4998D0B3"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068B3FF1" w14:textId="77777777" w:rsidR="00154E32" w:rsidRDefault="00A43E04">
            <w:pPr>
              <w:pStyle w:val="P68B1DB1-Normal12"/>
              <w:jc w:val="center"/>
              <w:rPr>
                <w:noProof/>
              </w:rPr>
            </w:pPr>
            <w:r>
              <w:rPr>
                <w:noProof/>
              </w:rPr>
              <w:t>Povečanje sprejetja aplikacije T2 „IO“</w:t>
            </w:r>
          </w:p>
        </w:tc>
      </w:tr>
      <w:tr w:rsidR="00154E32" w14:paraId="2E89204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E0032B2" w14:textId="77777777" w:rsidR="00154E32" w:rsidRDefault="00A43E04">
            <w:pPr>
              <w:pStyle w:val="P68B1DB1-Normal12"/>
              <w:jc w:val="center"/>
              <w:rPr>
                <w:noProof/>
              </w:rPr>
            </w:pPr>
            <w:r>
              <w:rPr>
                <w:noProof/>
              </w:rPr>
              <w:t>M1C1–151</w:t>
            </w:r>
          </w:p>
        </w:tc>
        <w:tc>
          <w:tcPr>
            <w:tcW w:w="3090" w:type="dxa"/>
            <w:tcBorders>
              <w:top w:val="nil"/>
              <w:left w:val="nil"/>
              <w:bottom w:val="single" w:sz="4" w:space="0" w:color="auto"/>
              <w:right w:val="single" w:sz="4" w:space="0" w:color="auto"/>
            </w:tcBorders>
            <w:shd w:val="clear" w:color="auto" w:fill="C6EFCE"/>
            <w:noWrap/>
            <w:vAlign w:val="center"/>
          </w:tcPr>
          <w:p w14:paraId="58A5B440" w14:textId="77777777" w:rsidR="00154E32" w:rsidRDefault="00A43E04">
            <w:pPr>
              <w:pStyle w:val="P68B1DB1-Normal12"/>
              <w:jc w:val="center"/>
              <w:rPr>
                <w:noProof/>
              </w:rPr>
            </w:pPr>
            <w:r>
              <w:rPr>
                <w:noProof/>
              </w:rPr>
              <w:t>Naložba 1.4.5 – Digitalizacija javnih obvestil</w:t>
            </w:r>
          </w:p>
        </w:tc>
        <w:tc>
          <w:tcPr>
            <w:tcW w:w="1498" w:type="dxa"/>
            <w:tcBorders>
              <w:top w:val="nil"/>
              <w:left w:val="nil"/>
              <w:bottom w:val="single" w:sz="4" w:space="0" w:color="auto"/>
              <w:right w:val="single" w:sz="4" w:space="0" w:color="auto"/>
            </w:tcBorders>
            <w:shd w:val="clear" w:color="auto" w:fill="C6EFCE"/>
            <w:noWrap/>
            <w:vAlign w:val="center"/>
          </w:tcPr>
          <w:p w14:paraId="6800D011"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023B0DB2" w14:textId="77777777" w:rsidR="00154E32" w:rsidRDefault="00A43E04">
            <w:pPr>
              <w:pStyle w:val="P68B1DB1-Normal12"/>
              <w:jc w:val="center"/>
              <w:rPr>
                <w:noProof/>
              </w:rPr>
            </w:pPr>
            <w:r>
              <w:rPr>
                <w:noProof/>
              </w:rPr>
              <w:t>Povečanje sprejetja digitalnih javnih obvestil T2</w:t>
            </w:r>
          </w:p>
        </w:tc>
      </w:tr>
      <w:tr w:rsidR="00154E32" w14:paraId="2DB36D8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DA75F77" w14:textId="77777777" w:rsidR="00154E32" w:rsidRDefault="00A43E04">
            <w:pPr>
              <w:pStyle w:val="P68B1DB1-Normal12"/>
              <w:jc w:val="center"/>
              <w:rPr>
                <w:noProof/>
              </w:rPr>
            </w:pPr>
            <w:r>
              <w:rPr>
                <w:noProof/>
              </w:rPr>
              <w:t>M1C1–152</w:t>
            </w:r>
          </w:p>
        </w:tc>
        <w:tc>
          <w:tcPr>
            <w:tcW w:w="3090" w:type="dxa"/>
            <w:tcBorders>
              <w:top w:val="nil"/>
              <w:left w:val="nil"/>
              <w:bottom w:val="single" w:sz="4" w:space="0" w:color="auto"/>
              <w:right w:val="single" w:sz="4" w:space="0" w:color="auto"/>
            </w:tcBorders>
            <w:shd w:val="clear" w:color="auto" w:fill="C6EFCE"/>
            <w:noWrap/>
            <w:vAlign w:val="center"/>
          </w:tcPr>
          <w:p w14:paraId="790640C1" w14:textId="77777777" w:rsidR="00154E32" w:rsidRDefault="00A43E04">
            <w:pPr>
              <w:pStyle w:val="P68B1DB1-Normal12"/>
              <w:jc w:val="center"/>
              <w:rPr>
                <w:noProof/>
              </w:rPr>
            </w:pPr>
            <w:r>
              <w:rPr>
                <w:noProof/>
              </w:rPr>
              <w:t>Naložba 1.6.1 – Digitalizacija ministrstva za notranje zadeve</w:t>
            </w:r>
          </w:p>
        </w:tc>
        <w:tc>
          <w:tcPr>
            <w:tcW w:w="1498" w:type="dxa"/>
            <w:tcBorders>
              <w:top w:val="nil"/>
              <w:left w:val="nil"/>
              <w:bottom w:val="single" w:sz="4" w:space="0" w:color="auto"/>
              <w:right w:val="single" w:sz="4" w:space="0" w:color="auto"/>
            </w:tcBorders>
            <w:shd w:val="clear" w:color="auto" w:fill="C6EFCE"/>
            <w:noWrap/>
            <w:vAlign w:val="center"/>
          </w:tcPr>
          <w:p w14:paraId="7FEF14DC"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120039BB" w14:textId="77777777" w:rsidR="00154E32" w:rsidRDefault="00A43E04">
            <w:pPr>
              <w:pStyle w:val="P68B1DB1-Normal12"/>
              <w:jc w:val="center"/>
              <w:rPr>
                <w:noProof/>
              </w:rPr>
            </w:pPr>
            <w:r>
              <w:rPr>
                <w:noProof/>
              </w:rPr>
              <w:t>Ministrstvo za notranje zadeve – popolnoma preoblikovani in digitalizirani postopki T2</w:t>
            </w:r>
          </w:p>
        </w:tc>
      </w:tr>
      <w:tr w:rsidR="00154E32" w14:paraId="4121255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77D055E" w14:textId="77777777" w:rsidR="00154E32" w:rsidRDefault="00A43E04">
            <w:pPr>
              <w:pStyle w:val="P68B1DB1-Normal12"/>
              <w:jc w:val="center"/>
              <w:rPr>
                <w:noProof/>
              </w:rPr>
            </w:pPr>
            <w:r>
              <w:rPr>
                <w:noProof/>
              </w:rPr>
              <w:t>M1C1–153</w:t>
            </w:r>
          </w:p>
        </w:tc>
        <w:tc>
          <w:tcPr>
            <w:tcW w:w="3090" w:type="dxa"/>
            <w:tcBorders>
              <w:top w:val="nil"/>
              <w:left w:val="nil"/>
              <w:bottom w:val="single" w:sz="4" w:space="0" w:color="auto"/>
              <w:right w:val="single" w:sz="4" w:space="0" w:color="auto"/>
            </w:tcBorders>
            <w:shd w:val="clear" w:color="auto" w:fill="C6EFCE"/>
            <w:noWrap/>
            <w:vAlign w:val="center"/>
          </w:tcPr>
          <w:p w14:paraId="7243CBA0" w14:textId="77777777" w:rsidR="00154E32" w:rsidRDefault="00A43E04">
            <w:pPr>
              <w:pStyle w:val="P68B1DB1-Normal12"/>
              <w:jc w:val="center"/>
              <w:rPr>
                <w:noProof/>
              </w:rPr>
            </w:pPr>
            <w:r>
              <w:rPr>
                <w:noProof/>
              </w:rPr>
              <w:t>Naložba 1.6.2 – Digitizacija ministrstva za pravosodje</w:t>
            </w:r>
          </w:p>
        </w:tc>
        <w:tc>
          <w:tcPr>
            <w:tcW w:w="1498" w:type="dxa"/>
            <w:tcBorders>
              <w:top w:val="nil"/>
              <w:left w:val="nil"/>
              <w:bottom w:val="single" w:sz="4" w:space="0" w:color="auto"/>
              <w:right w:val="single" w:sz="4" w:space="0" w:color="auto"/>
            </w:tcBorders>
            <w:shd w:val="clear" w:color="auto" w:fill="C6EFCE"/>
            <w:noWrap/>
            <w:vAlign w:val="center"/>
          </w:tcPr>
          <w:p w14:paraId="2DE7A938"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2B5398FE" w14:textId="77777777" w:rsidR="00154E32" w:rsidRDefault="00A43E04">
            <w:pPr>
              <w:pStyle w:val="P68B1DB1-Normal12"/>
              <w:jc w:val="center"/>
              <w:rPr>
                <w:noProof/>
              </w:rPr>
            </w:pPr>
            <w:r>
              <w:rPr>
                <w:noProof/>
              </w:rPr>
              <w:t>Digitalizirani sodni spisi T2</w:t>
            </w:r>
          </w:p>
        </w:tc>
      </w:tr>
      <w:tr w:rsidR="00154E32" w14:paraId="33FBF2B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FA21EA6" w14:textId="77777777" w:rsidR="00154E32" w:rsidRDefault="00A43E04">
            <w:pPr>
              <w:pStyle w:val="P68B1DB1-Normal12"/>
              <w:jc w:val="center"/>
              <w:rPr>
                <w:noProof/>
              </w:rPr>
            </w:pPr>
            <w:r>
              <w:rPr>
                <w:noProof/>
              </w:rPr>
              <w:t>M1C1–154</w:t>
            </w:r>
          </w:p>
        </w:tc>
        <w:tc>
          <w:tcPr>
            <w:tcW w:w="3090" w:type="dxa"/>
            <w:tcBorders>
              <w:top w:val="nil"/>
              <w:left w:val="nil"/>
              <w:bottom w:val="single" w:sz="4" w:space="0" w:color="auto"/>
              <w:right w:val="single" w:sz="4" w:space="0" w:color="auto"/>
            </w:tcBorders>
            <w:shd w:val="clear" w:color="auto" w:fill="C6EFCE"/>
            <w:noWrap/>
            <w:vAlign w:val="center"/>
          </w:tcPr>
          <w:p w14:paraId="797E87F0" w14:textId="77777777" w:rsidR="00154E32" w:rsidRDefault="00A43E04">
            <w:pPr>
              <w:pStyle w:val="P68B1DB1-Normal12"/>
              <w:jc w:val="center"/>
              <w:rPr>
                <w:noProof/>
              </w:rPr>
            </w:pPr>
            <w:r>
              <w:rPr>
                <w:noProof/>
              </w:rPr>
              <w:t>Naložba 1.6.2 – Digitizacija ministrstva za pravosodje</w:t>
            </w:r>
          </w:p>
        </w:tc>
        <w:tc>
          <w:tcPr>
            <w:tcW w:w="1498" w:type="dxa"/>
            <w:tcBorders>
              <w:top w:val="nil"/>
              <w:left w:val="nil"/>
              <w:bottom w:val="single" w:sz="4" w:space="0" w:color="auto"/>
              <w:right w:val="single" w:sz="4" w:space="0" w:color="auto"/>
            </w:tcBorders>
            <w:shd w:val="clear" w:color="auto" w:fill="C6EFCE"/>
            <w:noWrap/>
            <w:vAlign w:val="center"/>
          </w:tcPr>
          <w:p w14:paraId="063206E4"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483F0051" w14:textId="77777777" w:rsidR="00154E32" w:rsidRDefault="00A43E04">
            <w:pPr>
              <w:pStyle w:val="P68B1DB1-Normal12"/>
              <w:jc w:val="center"/>
              <w:rPr>
                <w:noProof/>
              </w:rPr>
            </w:pPr>
            <w:r>
              <w:rPr>
                <w:noProof/>
              </w:rPr>
              <w:t>Sistemi znanja o pravosodnem jezeru T2</w:t>
            </w:r>
          </w:p>
        </w:tc>
      </w:tr>
      <w:tr w:rsidR="00154E32" w14:paraId="1388832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39A9D9C" w14:textId="77777777" w:rsidR="00154E32" w:rsidRDefault="00A43E04">
            <w:pPr>
              <w:pStyle w:val="P68B1DB1-Normal12"/>
              <w:jc w:val="center"/>
              <w:rPr>
                <w:noProof/>
              </w:rPr>
            </w:pPr>
            <w:r>
              <w:rPr>
                <w:noProof/>
              </w:rPr>
              <w:t>M1C1–155</w:t>
            </w:r>
          </w:p>
        </w:tc>
        <w:tc>
          <w:tcPr>
            <w:tcW w:w="3090" w:type="dxa"/>
            <w:tcBorders>
              <w:top w:val="nil"/>
              <w:left w:val="nil"/>
              <w:bottom w:val="single" w:sz="4" w:space="0" w:color="auto"/>
              <w:right w:val="single" w:sz="4" w:space="0" w:color="auto"/>
            </w:tcBorders>
            <w:shd w:val="clear" w:color="auto" w:fill="C6EFCE"/>
            <w:noWrap/>
            <w:vAlign w:val="center"/>
          </w:tcPr>
          <w:p w14:paraId="3D9D48AE" w14:textId="77777777" w:rsidR="00154E32" w:rsidRDefault="00A43E04">
            <w:pPr>
              <w:pStyle w:val="P68B1DB1-Normal12"/>
              <w:jc w:val="center"/>
              <w:rPr>
                <w:noProof/>
              </w:rPr>
            </w:pPr>
            <w:r>
              <w:rPr>
                <w:noProof/>
              </w:rPr>
              <w:t>Naložba 1.6.3 – Digitizacija nacionalnega zavoda za socialno varnost (INPS) in Nacionalnega inštituta za zavarovanje pred nesrečami pri delu (INAIL)</w:t>
            </w:r>
          </w:p>
        </w:tc>
        <w:tc>
          <w:tcPr>
            <w:tcW w:w="1498" w:type="dxa"/>
            <w:tcBorders>
              <w:top w:val="nil"/>
              <w:left w:val="nil"/>
              <w:bottom w:val="single" w:sz="4" w:space="0" w:color="auto"/>
              <w:right w:val="single" w:sz="4" w:space="0" w:color="auto"/>
            </w:tcBorders>
            <w:shd w:val="clear" w:color="auto" w:fill="C6EFCE"/>
            <w:noWrap/>
            <w:vAlign w:val="center"/>
          </w:tcPr>
          <w:p w14:paraId="55FA2156"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77DDD02F" w14:textId="77777777" w:rsidR="00154E32" w:rsidRDefault="00A43E04">
            <w:pPr>
              <w:pStyle w:val="P68B1DB1-Normal12"/>
              <w:jc w:val="center"/>
              <w:rPr>
                <w:noProof/>
              </w:rPr>
            </w:pPr>
            <w:r>
              <w:rPr>
                <w:noProof/>
              </w:rPr>
              <w:t>INAIL – V celoti preoblikovani in digitalizirani postopki/storitve T2</w:t>
            </w:r>
          </w:p>
        </w:tc>
      </w:tr>
      <w:tr w:rsidR="00154E32" w14:paraId="4C1E893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71C2E2E" w14:textId="77777777" w:rsidR="00154E32" w:rsidRDefault="00A43E04">
            <w:pPr>
              <w:pStyle w:val="P68B1DB1-Normal12"/>
              <w:jc w:val="center"/>
              <w:rPr>
                <w:noProof/>
              </w:rPr>
            </w:pPr>
            <w:r>
              <w:rPr>
                <w:noProof/>
              </w:rPr>
              <w:t>M1C2–15</w:t>
            </w:r>
          </w:p>
        </w:tc>
        <w:tc>
          <w:tcPr>
            <w:tcW w:w="3090" w:type="dxa"/>
            <w:tcBorders>
              <w:top w:val="nil"/>
              <w:left w:val="nil"/>
              <w:bottom w:val="single" w:sz="4" w:space="0" w:color="auto"/>
              <w:right w:val="single" w:sz="4" w:space="0" w:color="auto"/>
            </w:tcBorders>
            <w:shd w:val="clear" w:color="auto" w:fill="C6EFCE"/>
            <w:noWrap/>
            <w:vAlign w:val="center"/>
          </w:tcPr>
          <w:p w14:paraId="0F2491B3" w14:textId="77777777" w:rsidR="00154E32" w:rsidRDefault="00A43E04">
            <w:pPr>
              <w:pStyle w:val="P68B1DB1-Normal12"/>
              <w:jc w:val="center"/>
              <w:rPr>
                <w:noProof/>
              </w:rPr>
            </w:pPr>
            <w:r>
              <w:rPr>
                <w:noProof/>
              </w:rPr>
              <w:t>Naložba 2: Inovacije in tehnologija mikroelektronike</w:t>
            </w:r>
          </w:p>
        </w:tc>
        <w:tc>
          <w:tcPr>
            <w:tcW w:w="1498" w:type="dxa"/>
            <w:tcBorders>
              <w:top w:val="nil"/>
              <w:left w:val="nil"/>
              <w:bottom w:val="single" w:sz="4" w:space="0" w:color="auto"/>
              <w:right w:val="single" w:sz="4" w:space="0" w:color="auto"/>
            </w:tcBorders>
            <w:shd w:val="clear" w:color="auto" w:fill="C6EFCE"/>
            <w:noWrap/>
            <w:vAlign w:val="center"/>
          </w:tcPr>
          <w:p w14:paraId="08F64497"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6AB2100C" w14:textId="77777777" w:rsidR="00154E32" w:rsidRDefault="00A43E04">
            <w:pPr>
              <w:pStyle w:val="P68B1DB1-Normal12"/>
              <w:jc w:val="center"/>
              <w:rPr>
                <w:noProof/>
              </w:rPr>
            </w:pPr>
            <w:r>
              <w:rPr>
                <w:noProof/>
              </w:rPr>
              <w:t>Proizvodna zmogljivost substratov iz silicijevega karbida</w:t>
            </w:r>
          </w:p>
        </w:tc>
      </w:tr>
      <w:tr w:rsidR="00154E32" w14:paraId="537D387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A83735A" w14:textId="77777777" w:rsidR="00154E32" w:rsidRDefault="00A43E04">
            <w:pPr>
              <w:pStyle w:val="P68B1DB1-Normal12"/>
              <w:jc w:val="center"/>
              <w:rPr>
                <w:noProof/>
              </w:rPr>
            </w:pPr>
            <w:r>
              <w:rPr>
                <w:noProof/>
              </w:rPr>
              <w:t>M1C2–17</w:t>
            </w:r>
          </w:p>
        </w:tc>
        <w:tc>
          <w:tcPr>
            <w:tcW w:w="3090" w:type="dxa"/>
            <w:tcBorders>
              <w:top w:val="nil"/>
              <w:left w:val="nil"/>
              <w:bottom w:val="single" w:sz="4" w:space="0" w:color="auto"/>
              <w:right w:val="single" w:sz="4" w:space="0" w:color="auto"/>
            </w:tcBorders>
            <w:shd w:val="clear" w:color="auto" w:fill="C6EFCE"/>
            <w:noWrap/>
            <w:vAlign w:val="center"/>
          </w:tcPr>
          <w:p w14:paraId="2FED1226" w14:textId="77777777" w:rsidR="00154E32" w:rsidRDefault="00A43E04">
            <w:pPr>
              <w:pStyle w:val="P68B1DB1-Normal12"/>
              <w:jc w:val="center"/>
              <w:rPr>
                <w:noProof/>
              </w:rPr>
            </w:pPr>
            <w:r>
              <w:rPr>
                <w:noProof/>
              </w:rPr>
              <w:t>Naložba 3: Hitre internetne povezave (Ultra-širokopasovne povezave in 5G)</w:t>
            </w:r>
          </w:p>
        </w:tc>
        <w:tc>
          <w:tcPr>
            <w:tcW w:w="1498" w:type="dxa"/>
            <w:tcBorders>
              <w:top w:val="nil"/>
              <w:left w:val="nil"/>
              <w:bottom w:val="single" w:sz="4" w:space="0" w:color="auto"/>
              <w:right w:val="single" w:sz="4" w:space="0" w:color="auto"/>
            </w:tcBorders>
            <w:shd w:val="clear" w:color="auto" w:fill="C6EFCE"/>
            <w:noWrap/>
            <w:vAlign w:val="center"/>
          </w:tcPr>
          <w:p w14:paraId="34DDF61A"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4237030F" w14:textId="77777777" w:rsidR="00154E32" w:rsidRDefault="00A43E04">
            <w:pPr>
              <w:pStyle w:val="P68B1DB1-Normal12"/>
              <w:jc w:val="center"/>
              <w:rPr>
                <w:noProof/>
              </w:rPr>
            </w:pPr>
            <w:r>
              <w:rPr>
                <w:noProof/>
              </w:rPr>
              <w:t>Hišne številke s povezljivostjo 1 Gb/s</w:t>
            </w:r>
          </w:p>
        </w:tc>
      </w:tr>
      <w:tr w:rsidR="00154E32" w14:paraId="078E7E5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5EBAA76" w14:textId="77777777" w:rsidR="00154E32" w:rsidRDefault="00A43E04">
            <w:pPr>
              <w:pStyle w:val="P68B1DB1-Normal12"/>
              <w:jc w:val="center"/>
              <w:rPr>
                <w:noProof/>
              </w:rPr>
            </w:pPr>
            <w:r>
              <w:rPr>
                <w:noProof/>
              </w:rPr>
              <w:t>M1C2–18</w:t>
            </w:r>
          </w:p>
        </w:tc>
        <w:tc>
          <w:tcPr>
            <w:tcW w:w="3090" w:type="dxa"/>
            <w:tcBorders>
              <w:top w:val="nil"/>
              <w:left w:val="nil"/>
              <w:bottom w:val="single" w:sz="4" w:space="0" w:color="auto"/>
              <w:right w:val="single" w:sz="4" w:space="0" w:color="auto"/>
            </w:tcBorders>
            <w:shd w:val="clear" w:color="auto" w:fill="C6EFCE"/>
            <w:noWrap/>
            <w:vAlign w:val="center"/>
          </w:tcPr>
          <w:p w14:paraId="3CF72F0F" w14:textId="77777777" w:rsidR="00154E32" w:rsidRDefault="00A43E04">
            <w:pPr>
              <w:pStyle w:val="P68B1DB1-Normal12"/>
              <w:jc w:val="center"/>
              <w:rPr>
                <w:noProof/>
              </w:rPr>
            </w:pPr>
            <w:r>
              <w:rPr>
                <w:noProof/>
              </w:rPr>
              <w:t>Naložba 3: Hitre internetne povezave (Ultra-širokopasovne povezave in 5G)</w:t>
            </w:r>
          </w:p>
        </w:tc>
        <w:tc>
          <w:tcPr>
            <w:tcW w:w="1498" w:type="dxa"/>
            <w:tcBorders>
              <w:top w:val="nil"/>
              <w:left w:val="nil"/>
              <w:bottom w:val="single" w:sz="4" w:space="0" w:color="auto"/>
              <w:right w:val="single" w:sz="4" w:space="0" w:color="auto"/>
            </w:tcBorders>
            <w:shd w:val="clear" w:color="auto" w:fill="C6EFCE"/>
            <w:noWrap/>
            <w:vAlign w:val="center"/>
          </w:tcPr>
          <w:p w14:paraId="71D52325"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18B23456" w14:textId="77777777" w:rsidR="00154E32" w:rsidRDefault="00A43E04">
            <w:pPr>
              <w:pStyle w:val="P68B1DB1-Normal12"/>
              <w:jc w:val="center"/>
              <w:rPr>
                <w:noProof/>
              </w:rPr>
            </w:pPr>
            <w:r>
              <w:rPr>
                <w:noProof/>
              </w:rPr>
              <w:t>Šolske stavbe in zdravstvene ustanove s povezljivostjo 1 Gb/s</w:t>
            </w:r>
          </w:p>
        </w:tc>
      </w:tr>
      <w:tr w:rsidR="00154E32" w14:paraId="3457091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090B050" w14:textId="77777777" w:rsidR="00154E32" w:rsidRDefault="00A43E04">
            <w:pPr>
              <w:pStyle w:val="P68B1DB1-Normal12"/>
              <w:jc w:val="center"/>
              <w:rPr>
                <w:noProof/>
              </w:rPr>
            </w:pPr>
            <w:r>
              <w:rPr>
                <w:noProof/>
              </w:rPr>
              <w:t>M1C2–20</w:t>
            </w:r>
          </w:p>
        </w:tc>
        <w:tc>
          <w:tcPr>
            <w:tcW w:w="3090" w:type="dxa"/>
            <w:tcBorders>
              <w:top w:val="nil"/>
              <w:left w:val="nil"/>
              <w:bottom w:val="single" w:sz="4" w:space="0" w:color="auto"/>
              <w:right w:val="single" w:sz="4" w:space="0" w:color="auto"/>
            </w:tcBorders>
            <w:shd w:val="clear" w:color="auto" w:fill="C6EFCE"/>
            <w:noWrap/>
            <w:vAlign w:val="center"/>
          </w:tcPr>
          <w:p w14:paraId="49C89A18" w14:textId="77777777" w:rsidR="00154E32" w:rsidRDefault="00A43E04">
            <w:pPr>
              <w:pStyle w:val="P68B1DB1-Normal12"/>
              <w:jc w:val="center"/>
              <w:rPr>
                <w:noProof/>
              </w:rPr>
            </w:pPr>
            <w:r>
              <w:rPr>
                <w:noProof/>
              </w:rPr>
              <w:t>Naložba 3: Hitre internetne povezave (Ultra-širokopasovne povezave in 5G)</w:t>
            </w:r>
          </w:p>
        </w:tc>
        <w:tc>
          <w:tcPr>
            <w:tcW w:w="1498" w:type="dxa"/>
            <w:tcBorders>
              <w:top w:val="nil"/>
              <w:left w:val="nil"/>
              <w:bottom w:val="single" w:sz="4" w:space="0" w:color="auto"/>
              <w:right w:val="single" w:sz="4" w:space="0" w:color="auto"/>
            </w:tcBorders>
            <w:shd w:val="clear" w:color="auto" w:fill="C6EFCE"/>
            <w:noWrap/>
            <w:vAlign w:val="center"/>
          </w:tcPr>
          <w:p w14:paraId="2FCC6AEE"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502EF417" w14:textId="77777777" w:rsidR="00154E32" w:rsidRDefault="00A43E04">
            <w:pPr>
              <w:pStyle w:val="P68B1DB1-Normal12"/>
              <w:jc w:val="center"/>
              <w:rPr>
                <w:noProof/>
              </w:rPr>
            </w:pPr>
            <w:r>
              <w:rPr>
                <w:noProof/>
              </w:rPr>
              <w:t>Zunajmestne ceste in koridorji, ki so omogočeni s pokritostjo 5G</w:t>
            </w:r>
          </w:p>
        </w:tc>
      </w:tr>
      <w:tr w:rsidR="00154E32" w14:paraId="02D7D03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A03D4E7" w14:textId="77777777" w:rsidR="00154E32" w:rsidRDefault="00A43E04">
            <w:pPr>
              <w:pStyle w:val="P68B1DB1-Normal12"/>
              <w:jc w:val="center"/>
              <w:rPr>
                <w:noProof/>
              </w:rPr>
            </w:pPr>
            <w:r>
              <w:rPr>
                <w:noProof/>
              </w:rPr>
              <w:t>M1C2–21</w:t>
            </w:r>
          </w:p>
        </w:tc>
        <w:tc>
          <w:tcPr>
            <w:tcW w:w="3090" w:type="dxa"/>
            <w:tcBorders>
              <w:top w:val="nil"/>
              <w:left w:val="nil"/>
              <w:bottom w:val="single" w:sz="4" w:space="0" w:color="auto"/>
              <w:right w:val="single" w:sz="4" w:space="0" w:color="auto"/>
            </w:tcBorders>
            <w:shd w:val="clear" w:color="auto" w:fill="C6EFCE"/>
            <w:noWrap/>
            <w:vAlign w:val="center"/>
          </w:tcPr>
          <w:p w14:paraId="500B61D5" w14:textId="77777777" w:rsidR="00154E32" w:rsidRDefault="00A43E04">
            <w:pPr>
              <w:pStyle w:val="P68B1DB1-Normal12"/>
              <w:jc w:val="center"/>
              <w:rPr>
                <w:noProof/>
              </w:rPr>
            </w:pPr>
            <w:r>
              <w:rPr>
                <w:noProof/>
              </w:rPr>
              <w:t>Naložba 3: Hitre internetne povezave (Ultra-širokopasovne povezave in 5G)</w:t>
            </w:r>
          </w:p>
        </w:tc>
        <w:tc>
          <w:tcPr>
            <w:tcW w:w="1498" w:type="dxa"/>
            <w:tcBorders>
              <w:top w:val="nil"/>
              <w:left w:val="nil"/>
              <w:bottom w:val="single" w:sz="4" w:space="0" w:color="auto"/>
              <w:right w:val="single" w:sz="4" w:space="0" w:color="auto"/>
            </w:tcBorders>
            <w:shd w:val="clear" w:color="auto" w:fill="C6EFCE"/>
            <w:noWrap/>
            <w:vAlign w:val="center"/>
          </w:tcPr>
          <w:p w14:paraId="5FB4FFE5"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3DC9D406" w14:textId="77777777" w:rsidR="00154E32" w:rsidRDefault="00A43E04">
            <w:pPr>
              <w:pStyle w:val="P68B1DB1-Normal12"/>
              <w:jc w:val="center"/>
              <w:rPr>
                <w:noProof/>
              </w:rPr>
            </w:pPr>
            <w:r>
              <w:rPr>
                <w:noProof/>
              </w:rPr>
              <w:t>Območja tržne nepopolnosti, omogočena s pokritostjo 5G</w:t>
            </w:r>
          </w:p>
        </w:tc>
      </w:tr>
      <w:tr w:rsidR="00154E32" w14:paraId="4B096F8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C5C5069" w14:textId="77777777" w:rsidR="00154E32" w:rsidRDefault="00A43E04">
            <w:pPr>
              <w:pStyle w:val="P68B1DB1-Normal12"/>
              <w:jc w:val="center"/>
              <w:rPr>
                <w:noProof/>
              </w:rPr>
            </w:pPr>
            <w:r>
              <w:rPr>
                <w:noProof/>
              </w:rPr>
              <w:t>M1C2–23</w:t>
            </w:r>
          </w:p>
        </w:tc>
        <w:tc>
          <w:tcPr>
            <w:tcW w:w="3090" w:type="dxa"/>
            <w:tcBorders>
              <w:top w:val="nil"/>
              <w:left w:val="nil"/>
              <w:bottom w:val="single" w:sz="4" w:space="0" w:color="auto"/>
              <w:right w:val="single" w:sz="4" w:space="0" w:color="auto"/>
            </w:tcBorders>
            <w:shd w:val="clear" w:color="auto" w:fill="C6EFCE"/>
            <w:noWrap/>
            <w:vAlign w:val="center"/>
          </w:tcPr>
          <w:p w14:paraId="6C8591FA" w14:textId="77777777" w:rsidR="00154E32" w:rsidRDefault="00A43E04">
            <w:pPr>
              <w:pStyle w:val="P68B1DB1-Normal12"/>
              <w:jc w:val="center"/>
              <w:rPr>
                <w:noProof/>
              </w:rPr>
            </w:pPr>
            <w:r>
              <w:rPr>
                <w:noProof/>
              </w:rPr>
              <w:t>Naložba 4: Satelitska tehnologija in vesoljsko gospodarstvo</w:t>
            </w:r>
          </w:p>
        </w:tc>
        <w:tc>
          <w:tcPr>
            <w:tcW w:w="1498" w:type="dxa"/>
            <w:tcBorders>
              <w:top w:val="nil"/>
              <w:left w:val="nil"/>
              <w:bottom w:val="single" w:sz="4" w:space="0" w:color="auto"/>
              <w:right w:val="single" w:sz="4" w:space="0" w:color="auto"/>
            </w:tcBorders>
            <w:shd w:val="clear" w:color="auto" w:fill="C6EFCE"/>
            <w:noWrap/>
            <w:vAlign w:val="center"/>
          </w:tcPr>
          <w:p w14:paraId="5B3E1FC0"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7954F35F" w14:textId="77777777" w:rsidR="00154E32" w:rsidRDefault="00A43E04">
            <w:pPr>
              <w:pStyle w:val="P68B1DB1-Normal12"/>
              <w:jc w:val="center"/>
              <w:rPr>
                <w:noProof/>
              </w:rPr>
            </w:pPr>
            <w:r>
              <w:rPr>
                <w:noProof/>
              </w:rPr>
              <w:t>Nameščeni zemeljski teleskopi, operativni center SST, vesoljski tovarniški in tekoči pogonski demonstrator</w:t>
            </w:r>
          </w:p>
        </w:tc>
      </w:tr>
      <w:tr w:rsidR="00154E32" w14:paraId="4914AA5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4099817" w14:textId="77777777" w:rsidR="00154E32" w:rsidRDefault="00A43E04">
            <w:pPr>
              <w:pStyle w:val="P68B1DB1-Normal12"/>
              <w:jc w:val="center"/>
              <w:rPr>
                <w:noProof/>
              </w:rPr>
            </w:pPr>
            <w:r>
              <w:rPr>
                <w:noProof/>
              </w:rPr>
              <w:t>M1C2–24</w:t>
            </w:r>
          </w:p>
        </w:tc>
        <w:tc>
          <w:tcPr>
            <w:tcW w:w="3090" w:type="dxa"/>
            <w:tcBorders>
              <w:top w:val="nil"/>
              <w:left w:val="nil"/>
              <w:bottom w:val="single" w:sz="4" w:space="0" w:color="auto"/>
              <w:right w:val="single" w:sz="4" w:space="0" w:color="auto"/>
            </w:tcBorders>
            <w:shd w:val="clear" w:color="auto" w:fill="C6EFCE"/>
            <w:noWrap/>
            <w:vAlign w:val="center"/>
          </w:tcPr>
          <w:p w14:paraId="3F1C8DB6" w14:textId="77777777" w:rsidR="00154E32" w:rsidRDefault="00A43E04">
            <w:pPr>
              <w:pStyle w:val="P68B1DB1-Normal12"/>
              <w:jc w:val="center"/>
              <w:rPr>
                <w:noProof/>
              </w:rPr>
            </w:pPr>
            <w:r>
              <w:rPr>
                <w:noProof/>
              </w:rPr>
              <w:t>Naložba 4: Satelitska tehnologija in vesoljsko gospodarstvo</w:t>
            </w:r>
          </w:p>
        </w:tc>
        <w:tc>
          <w:tcPr>
            <w:tcW w:w="1498" w:type="dxa"/>
            <w:tcBorders>
              <w:top w:val="nil"/>
              <w:left w:val="nil"/>
              <w:bottom w:val="single" w:sz="4" w:space="0" w:color="auto"/>
              <w:right w:val="single" w:sz="4" w:space="0" w:color="auto"/>
            </w:tcBorders>
            <w:shd w:val="clear" w:color="auto" w:fill="C6EFCE"/>
            <w:noWrap/>
            <w:vAlign w:val="center"/>
          </w:tcPr>
          <w:p w14:paraId="45755369"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410DCA3F" w14:textId="77777777" w:rsidR="00154E32" w:rsidRDefault="00A43E04">
            <w:pPr>
              <w:pStyle w:val="P68B1DB1-Normal12"/>
              <w:jc w:val="center"/>
              <w:rPr>
                <w:noProof/>
              </w:rPr>
            </w:pPr>
            <w:r>
              <w:rPr>
                <w:noProof/>
              </w:rPr>
              <w:t>Konstelacije ali potrditev koncepta uporabljenih konstelacij</w:t>
            </w:r>
          </w:p>
        </w:tc>
      </w:tr>
      <w:tr w:rsidR="00154E32" w14:paraId="47FC183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8D73162" w14:textId="77777777" w:rsidR="00154E32" w:rsidRDefault="00A43E04">
            <w:pPr>
              <w:pStyle w:val="P68B1DB1-Normal12"/>
              <w:jc w:val="center"/>
              <w:rPr>
                <w:noProof/>
              </w:rPr>
            </w:pPr>
            <w:r>
              <w:rPr>
                <w:noProof/>
              </w:rPr>
              <w:t>M1C2–25</w:t>
            </w:r>
          </w:p>
        </w:tc>
        <w:tc>
          <w:tcPr>
            <w:tcW w:w="3090" w:type="dxa"/>
            <w:tcBorders>
              <w:top w:val="nil"/>
              <w:left w:val="nil"/>
              <w:bottom w:val="single" w:sz="4" w:space="0" w:color="auto"/>
              <w:right w:val="single" w:sz="4" w:space="0" w:color="auto"/>
            </w:tcBorders>
            <w:shd w:val="clear" w:color="auto" w:fill="C6EFCE"/>
            <w:noWrap/>
            <w:vAlign w:val="center"/>
          </w:tcPr>
          <w:p w14:paraId="328E406A" w14:textId="77777777" w:rsidR="00154E32" w:rsidRDefault="00A43E04">
            <w:pPr>
              <w:pStyle w:val="P68B1DB1-Normal12"/>
              <w:jc w:val="center"/>
              <w:rPr>
                <w:noProof/>
              </w:rPr>
            </w:pPr>
            <w:r>
              <w:rPr>
                <w:noProof/>
              </w:rPr>
              <w:t>Naložba 4: Satelitska tehnologija in vesoljsko gospodarstvo</w:t>
            </w:r>
          </w:p>
        </w:tc>
        <w:tc>
          <w:tcPr>
            <w:tcW w:w="1498" w:type="dxa"/>
            <w:tcBorders>
              <w:top w:val="nil"/>
              <w:left w:val="nil"/>
              <w:bottom w:val="single" w:sz="4" w:space="0" w:color="auto"/>
              <w:right w:val="single" w:sz="4" w:space="0" w:color="auto"/>
            </w:tcBorders>
            <w:shd w:val="clear" w:color="auto" w:fill="C6EFCE"/>
            <w:noWrap/>
            <w:vAlign w:val="center"/>
          </w:tcPr>
          <w:p w14:paraId="1649E4BF"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2BD93CBE" w14:textId="77777777" w:rsidR="00154E32" w:rsidRDefault="00A43E04">
            <w:pPr>
              <w:pStyle w:val="P68B1DB1-Normal12"/>
              <w:jc w:val="center"/>
              <w:rPr>
                <w:noProof/>
              </w:rPr>
            </w:pPr>
            <w:r>
              <w:rPr>
                <w:noProof/>
              </w:rPr>
              <w:t>Storitve za javne uprave</w:t>
            </w:r>
          </w:p>
        </w:tc>
      </w:tr>
      <w:tr w:rsidR="00154E32" w14:paraId="141A70C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390178" w14:textId="77777777" w:rsidR="00154E32" w:rsidRDefault="00A43E04">
            <w:pPr>
              <w:pStyle w:val="P68B1DB1-Normal12"/>
              <w:jc w:val="center"/>
              <w:rPr>
                <w:noProof/>
              </w:rPr>
            </w:pPr>
            <w:r>
              <w:rPr>
                <w:noProof/>
              </w:rPr>
              <w:t>M1C2–32</w:t>
            </w:r>
          </w:p>
        </w:tc>
        <w:tc>
          <w:tcPr>
            <w:tcW w:w="3090" w:type="dxa"/>
            <w:tcBorders>
              <w:top w:val="nil"/>
              <w:left w:val="nil"/>
              <w:bottom w:val="single" w:sz="4" w:space="0" w:color="auto"/>
              <w:right w:val="single" w:sz="4" w:space="0" w:color="auto"/>
            </w:tcBorders>
            <w:shd w:val="clear" w:color="auto" w:fill="C6EFCE"/>
            <w:noWrap/>
            <w:vAlign w:val="center"/>
          </w:tcPr>
          <w:p w14:paraId="7EFA211F" w14:textId="77777777" w:rsidR="00154E32" w:rsidRDefault="00A43E04">
            <w:pPr>
              <w:pStyle w:val="P68B1DB1-Normal12"/>
              <w:jc w:val="center"/>
              <w:rPr>
                <w:noProof/>
              </w:rPr>
            </w:pPr>
            <w:r>
              <w:rPr>
                <w:noProof/>
              </w:rPr>
              <w:t>Naložba 7. Podpora proizvodnemu sistemu za ekološki prehod, neto ničelne tehnologije ter konkurenčnost in odpornost strateških dobavnih verig</w:t>
            </w:r>
          </w:p>
        </w:tc>
        <w:tc>
          <w:tcPr>
            <w:tcW w:w="1498" w:type="dxa"/>
            <w:tcBorders>
              <w:top w:val="nil"/>
              <w:left w:val="nil"/>
              <w:bottom w:val="single" w:sz="4" w:space="0" w:color="auto"/>
              <w:right w:val="single" w:sz="4" w:space="0" w:color="auto"/>
            </w:tcBorders>
            <w:shd w:val="clear" w:color="auto" w:fill="C6EFCE"/>
            <w:noWrap/>
            <w:vAlign w:val="center"/>
          </w:tcPr>
          <w:p w14:paraId="5CD59BDE" w14:textId="77777777" w:rsidR="00154E32" w:rsidRDefault="00A43E04">
            <w:pPr>
              <w:pStyle w:val="P68B1DB1-Normal12"/>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09C98C5D" w14:textId="77777777" w:rsidR="00154E32" w:rsidRDefault="00A43E04">
            <w:pPr>
              <w:pStyle w:val="P68B1DB1-Normal12"/>
              <w:rPr>
                <w:noProof/>
              </w:rPr>
            </w:pPr>
            <w:r>
              <w:rPr>
                <w:noProof/>
              </w:rPr>
              <w:t>Pravni sporazumi, podpisani s končnimi upravičenci</w:t>
            </w:r>
          </w:p>
        </w:tc>
      </w:tr>
      <w:tr w:rsidR="00154E32" w14:paraId="5CCA893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56637F8" w14:textId="77777777" w:rsidR="00154E32" w:rsidRDefault="00A43E04">
            <w:pPr>
              <w:pStyle w:val="P68B1DB1-Normal12"/>
              <w:jc w:val="center"/>
              <w:rPr>
                <w:noProof/>
              </w:rPr>
            </w:pPr>
            <w:r>
              <w:rPr>
                <w:noProof/>
              </w:rPr>
              <w:t>M1C3–21</w:t>
            </w:r>
          </w:p>
        </w:tc>
        <w:tc>
          <w:tcPr>
            <w:tcW w:w="3090" w:type="dxa"/>
            <w:tcBorders>
              <w:top w:val="nil"/>
              <w:left w:val="nil"/>
              <w:bottom w:val="single" w:sz="4" w:space="0" w:color="auto"/>
              <w:right w:val="single" w:sz="4" w:space="0" w:color="auto"/>
            </w:tcBorders>
            <w:shd w:val="clear" w:color="auto" w:fill="C6EFCE"/>
            <w:noWrap/>
            <w:vAlign w:val="center"/>
          </w:tcPr>
          <w:p w14:paraId="4D7E1A95" w14:textId="77777777" w:rsidR="00154E32" w:rsidRDefault="00A43E04">
            <w:pPr>
              <w:pStyle w:val="P68B1DB1-Normal12"/>
              <w:jc w:val="center"/>
              <w:rPr>
                <w:noProof/>
              </w:rPr>
            </w:pPr>
            <w:r>
              <w:rPr>
                <w:noProof/>
              </w:rPr>
              <w:t>Naložbe – 3.2 Razvoj filmske industrije (projekt Cinecittà)</w:t>
            </w:r>
          </w:p>
        </w:tc>
        <w:tc>
          <w:tcPr>
            <w:tcW w:w="1498" w:type="dxa"/>
            <w:tcBorders>
              <w:top w:val="nil"/>
              <w:left w:val="nil"/>
              <w:bottom w:val="single" w:sz="4" w:space="0" w:color="auto"/>
              <w:right w:val="single" w:sz="4" w:space="0" w:color="auto"/>
            </w:tcBorders>
            <w:shd w:val="clear" w:color="auto" w:fill="C6EFCE"/>
            <w:noWrap/>
            <w:vAlign w:val="center"/>
          </w:tcPr>
          <w:p w14:paraId="79CE98C6"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05C7CB2F" w14:textId="77777777" w:rsidR="00154E32" w:rsidRDefault="00A43E04">
            <w:pPr>
              <w:pStyle w:val="P68B1DB1-Normal12"/>
              <w:jc w:val="center"/>
              <w:rPr>
                <w:noProof/>
              </w:rPr>
            </w:pPr>
            <w:r>
              <w:rPr>
                <w:noProof/>
              </w:rPr>
              <w:t>Število studiev, katerih dela za prekvalifikacijo, posodobitev in gradnjo so končana</w:t>
            </w:r>
          </w:p>
        </w:tc>
      </w:tr>
      <w:tr w:rsidR="00154E32" w14:paraId="3A2C820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0FFC7B8" w14:textId="77777777" w:rsidR="00154E32" w:rsidRDefault="00A43E04">
            <w:pPr>
              <w:pStyle w:val="P68B1DB1-Normal12"/>
              <w:jc w:val="center"/>
              <w:rPr>
                <w:noProof/>
              </w:rPr>
            </w:pPr>
            <w:r>
              <w:rPr>
                <w:noProof/>
              </w:rPr>
              <w:t>M1C3–36</w:t>
            </w:r>
          </w:p>
        </w:tc>
        <w:tc>
          <w:tcPr>
            <w:tcW w:w="3090" w:type="dxa"/>
            <w:tcBorders>
              <w:top w:val="nil"/>
              <w:left w:val="nil"/>
              <w:bottom w:val="single" w:sz="4" w:space="0" w:color="auto"/>
              <w:right w:val="single" w:sz="4" w:space="0" w:color="auto"/>
            </w:tcBorders>
            <w:shd w:val="clear" w:color="auto" w:fill="C6EFCE"/>
            <w:noWrap/>
            <w:vAlign w:val="center"/>
          </w:tcPr>
          <w:p w14:paraId="4F9DC086" w14:textId="77777777" w:rsidR="00154E32" w:rsidRDefault="00A43E04">
            <w:pPr>
              <w:pStyle w:val="P68B1DB1-Normal12"/>
              <w:jc w:val="center"/>
              <w:rPr>
                <w:noProof/>
              </w:rPr>
            </w:pPr>
            <w:r>
              <w:rPr>
                <w:noProof/>
              </w:rPr>
              <w:t>Naložbe – 4.3 Caput Mundi-Next Generation EU za turistične odlične dogodke</w:t>
            </w:r>
          </w:p>
        </w:tc>
        <w:tc>
          <w:tcPr>
            <w:tcW w:w="1498" w:type="dxa"/>
            <w:tcBorders>
              <w:top w:val="nil"/>
              <w:left w:val="nil"/>
              <w:bottom w:val="single" w:sz="4" w:space="0" w:color="auto"/>
              <w:right w:val="single" w:sz="4" w:space="0" w:color="auto"/>
            </w:tcBorders>
            <w:shd w:val="clear" w:color="auto" w:fill="C6EFCE"/>
            <w:noWrap/>
            <w:vAlign w:val="center"/>
          </w:tcPr>
          <w:p w14:paraId="71EFB6FC"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144BC761" w14:textId="77777777" w:rsidR="00154E32" w:rsidRDefault="00A43E04">
            <w:pPr>
              <w:pStyle w:val="P68B1DB1-Normal12"/>
              <w:jc w:val="center"/>
              <w:rPr>
                <w:noProof/>
              </w:rPr>
            </w:pPr>
            <w:r>
              <w:rPr>
                <w:noProof/>
              </w:rPr>
              <w:t xml:space="preserve">Število kulturnih in turističnih znamenitosti, katerih prekvalifikacija je zaključena </w:t>
            </w:r>
          </w:p>
        </w:tc>
      </w:tr>
      <w:tr w:rsidR="00154E32" w14:paraId="2346208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884D2FB" w14:textId="77777777" w:rsidR="00154E32" w:rsidRDefault="00A43E04">
            <w:pPr>
              <w:pStyle w:val="P68B1DB1-Normal12"/>
              <w:jc w:val="center"/>
              <w:rPr>
                <w:noProof/>
              </w:rPr>
            </w:pPr>
            <w:r>
              <w:rPr>
                <w:noProof/>
              </w:rPr>
              <w:t>M2C1–16</w:t>
            </w:r>
          </w:p>
        </w:tc>
        <w:tc>
          <w:tcPr>
            <w:tcW w:w="3090" w:type="dxa"/>
            <w:tcBorders>
              <w:top w:val="nil"/>
              <w:left w:val="nil"/>
              <w:bottom w:val="single" w:sz="4" w:space="0" w:color="auto"/>
              <w:right w:val="single" w:sz="4" w:space="0" w:color="auto"/>
            </w:tcBorders>
            <w:shd w:val="clear" w:color="auto" w:fill="C6EFCE"/>
            <w:noWrap/>
            <w:vAlign w:val="center"/>
          </w:tcPr>
          <w:p w14:paraId="7A9EC6DD" w14:textId="77777777" w:rsidR="00154E32" w:rsidRDefault="00A43E04">
            <w:pPr>
              <w:pStyle w:val="P68B1DB1-Normal12"/>
              <w:jc w:val="center"/>
              <w:rPr>
                <w:noProof/>
              </w:rPr>
            </w:pPr>
            <w:r>
              <w:rPr>
                <w:noProof/>
              </w:rPr>
              <w:t xml:space="preserve">  Naložba 1.1 – Izvajanje novih obratov za ravnanje z odpadki in posodobitev obstoječih obratov</w:t>
            </w:r>
          </w:p>
        </w:tc>
        <w:tc>
          <w:tcPr>
            <w:tcW w:w="1498" w:type="dxa"/>
            <w:tcBorders>
              <w:top w:val="nil"/>
              <w:left w:val="nil"/>
              <w:bottom w:val="single" w:sz="4" w:space="0" w:color="auto"/>
              <w:right w:val="single" w:sz="4" w:space="0" w:color="auto"/>
            </w:tcBorders>
            <w:shd w:val="clear" w:color="auto" w:fill="C6EFCE"/>
            <w:noWrap/>
            <w:vAlign w:val="center"/>
          </w:tcPr>
          <w:p w14:paraId="38400AC4"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0BE9CC0F" w14:textId="77777777" w:rsidR="00154E32" w:rsidRDefault="00A43E04">
            <w:pPr>
              <w:pStyle w:val="P68B1DB1-Normal12"/>
              <w:jc w:val="center"/>
              <w:rPr>
                <w:noProof/>
              </w:rPr>
            </w:pPr>
            <w:r>
              <w:rPr>
                <w:noProof/>
              </w:rPr>
              <w:t xml:space="preserve">  Neregularna odlagališča</w:t>
            </w:r>
          </w:p>
        </w:tc>
      </w:tr>
      <w:tr w:rsidR="00154E32" w14:paraId="40233D6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45AED61" w14:textId="77777777" w:rsidR="00154E32" w:rsidRDefault="00A43E04">
            <w:pPr>
              <w:pStyle w:val="P68B1DB1-Normal12"/>
              <w:jc w:val="center"/>
              <w:rPr>
                <w:noProof/>
              </w:rPr>
            </w:pPr>
            <w:r>
              <w:rPr>
                <w:noProof/>
              </w:rPr>
              <w:t>M2C1–19</w:t>
            </w:r>
          </w:p>
        </w:tc>
        <w:tc>
          <w:tcPr>
            <w:tcW w:w="3090" w:type="dxa"/>
            <w:tcBorders>
              <w:top w:val="nil"/>
              <w:left w:val="nil"/>
              <w:bottom w:val="single" w:sz="4" w:space="0" w:color="auto"/>
              <w:right w:val="single" w:sz="4" w:space="0" w:color="auto"/>
            </w:tcBorders>
            <w:shd w:val="clear" w:color="auto" w:fill="C6EFCE"/>
            <w:noWrap/>
            <w:vAlign w:val="center"/>
          </w:tcPr>
          <w:p w14:paraId="3F517243" w14:textId="77777777" w:rsidR="00154E32" w:rsidRDefault="00A43E04">
            <w:pPr>
              <w:pStyle w:val="P68B1DB1-Normal12"/>
              <w:jc w:val="center"/>
              <w:rPr>
                <w:noProof/>
              </w:rPr>
            </w:pPr>
            <w:r>
              <w:rPr>
                <w:noProof/>
              </w:rPr>
              <w:t>Naložba 3.1: Zeleni otoki</w:t>
            </w:r>
          </w:p>
        </w:tc>
        <w:tc>
          <w:tcPr>
            <w:tcW w:w="1498" w:type="dxa"/>
            <w:tcBorders>
              <w:top w:val="nil"/>
              <w:left w:val="nil"/>
              <w:bottom w:val="single" w:sz="4" w:space="0" w:color="auto"/>
              <w:right w:val="single" w:sz="4" w:space="0" w:color="auto"/>
            </w:tcBorders>
            <w:shd w:val="clear" w:color="auto" w:fill="C6EFCE"/>
            <w:noWrap/>
            <w:vAlign w:val="center"/>
          </w:tcPr>
          <w:p w14:paraId="32994DE1"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3E4D8CE7" w14:textId="77777777" w:rsidR="00154E32" w:rsidRDefault="00A43E04">
            <w:pPr>
              <w:pStyle w:val="P68B1DB1-Normal12"/>
              <w:jc w:val="center"/>
              <w:rPr>
                <w:noProof/>
              </w:rPr>
            </w:pPr>
            <w:r>
              <w:rPr>
                <w:noProof/>
              </w:rPr>
              <w:t>Izvajanje integriranih projektov na majhnih otokih</w:t>
            </w:r>
          </w:p>
        </w:tc>
      </w:tr>
      <w:tr w:rsidR="00154E32" w14:paraId="1865159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2F871B1" w14:textId="77777777" w:rsidR="00154E32" w:rsidRDefault="00A43E04">
            <w:pPr>
              <w:pStyle w:val="P68B1DB1-Normal12"/>
              <w:jc w:val="center"/>
              <w:rPr>
                <w:noProof/>
              </w:rPr>
            </w:pPr>
            <w:r>
              <w:rPr>
                <w:noProof/>
              </w:rPr>
              <w:t>M2C1–21</w:t>
            </w:r>
          </w:p>
        </w:tc>
        <w:tc>
          <w:tcPr>
            <w:tcW w:w="3090" w:type="dxa"/>
            <w:tcBorders>
              <w:top w:val="nil"/>
              <w:left w:val="nil"/>
              <w:bottom w:val="single" w:sz="4" w:space="0" w:color="auto"/>
              <w:right w:val="single" w:sz="4" w:space="0" w:color="auto"/>
            </w:tcBorders>
            <w:shd w:val="clear" w:color="auto" w:fill="C6EFCE"/>
            <w:noWrap/>
            <w:vAlign w:val="center"/>
          </w:tcPr>
          <w:p w14:paraId="302E46C7" w14:textId="77777777" w:rsidR="00154E32" w:rsidRDefault="00A43E04">
            <w:pPr>
              <w:pStyle w:val="P68B1DB1-Normal12"/>
              <w:jc w:val="center"/>
              <w:rPr>
                <w:noProof/>
              </w:rPr>
            </w:pPr>
            <w:r>
              <w:rPr>
                <w:noProof/>
              </w:rPr>
              <w:t>Naložba 3.2: Zelene skupnosti</w:t>
            </w:r>
          </w:p>
        </w:tc>
        <w:tc>
          <w:tcPr>
            <w:tcW w:w="1498" w:type="dxa"/>
            <w:tcBorders>
              <w:top w:val="nil"/>
              <w:left w:val="nil"/>
              <w:bottom w:val="single" w:sz="4" w:space="0" w:color="auto"/>
              <w:right w:val="single" w:sz="4" w:space="0" w:color="auto"/>
            </w:tcBorders>
            <w:shd w:val="clear" w:color="auto" w:fill="C6EFCE"/>
            <w:noWrap/>
            <w:vAlign w:val="center"/>
          </w:tcPr>
          <w:p w14:paraId="7A5E11F6"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05E40A20" w14:textId="77777777" w:rsidR="00154E32" w:rsidRDefault="00A43E04">
            <w:pPr>
              <w:pStyle w:val="P68B1DB1-Normal12"/>
              <w:jc w:val="center"/>
              <w:rPr>
                <w:noProof/>
              </w:rPr>
            </w:pPr>
            <w:r>
              <w:rPr>
                <w:noProof/>
              </w:rPr>
              <w:t>Izvajanje intervencij, predstavljenih v načrtih zelenih skupnosti</w:t>
            </w:r>
          </w:p>
        </w:tc>
      </w:tr>
      <w:tr w:rsidR="00154E32" w14:paraId="31B8DC6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8F90808" w14:textId="77777777" w:rsidR="00154E32" w:rsidRDefault="00A43E04">
            <w:pPr>
              <w:pStyle w:val="P68B1DB1-Normal12"/>
              <w:jc w:val="center"/>
              <w:rPr>
                <w:noProof/>
              </w:rPr>
            </w:pPr>
            <w:r>
              <w:rPr>
                <w:noProof/>
              </w:rPr>
              <w:t>M2C1–24</w:t>
            </w:r>
          </w:p>
        </w:tc>
        <w:tc>
          <w:tcPr>
            <w:tcW w:w="3090" w:type="dxa"/>
            <w:tcBorders>
              <w:top w:val="nil"/>
              <w:left w:val="nil"/>
              <w:bottom w:val="single" w:sz="4" w:space="0" w:color="auto"/>
              <w:right w:val="single" w:sz="4" w:space="0" w:color="auto"/>
            </w:tcBorders>
            <w:shd w:val="clear" w:color="auto" w:fill="C6EFCE"/>
            <w:noWrap/>
            <w:vAlign w:val="center"/>
          </w:tcPr>
          <w:p w14:paraId="04B60921" w14:textId="77777777" w:rsidR="00154E32" w:rsidRDefault="00A43E04">
            <w:pPr>
              <w:pStyle w:val="P68B1DB1-Normal12"/>
              <w:jc w:val="center"/>
              <w:rPr>
                <w:noProof/>
              </w:rPr>
            </w:pPr>
            <w:r>
              <w:rPr>
                <w:noProof/>
              </w:rPr>
              <w:t>Naložba 3.4: Fondo Contratti di Filiera (FCF) za podporo pogodb o dobavnih verigah za agroživilski, ribiški in akvakulturni sektor, gozdarstvo, cvetličarstvo in odraščanje rastlin</w:t>
            </w:r>
          </w:p>
        </w:tc>
        <w:tc>
          <w:tcPr>
            <w:tcW w:w="1498" w:type="dxa"/>
            <w:tcBorders>
              <w:top w:val="nil"/>
              <w:left w:val="nil"/>
              <w:bottom w:val="single" w:sz="4" w:space="0" w:color="auto"/>
              <w:right w:val="single" w:sz="4" w:space="0" w:color="auto"/>
            </w:tcBorders>
            <w:shd w:val="clear" w:color="auto" w:fill="C6EFCE"/>
            <w:noWrap/>
            <w:vAlign w:val="center"/>
          </w:tcPr>
          <w:p w14:paraId="5688F1F5" w14:textId="767723FB"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5EB71BF8" w14:textId="77777777" w:rsidR="00154E32" w:rsidRDefault="00A43E04">
            <w:pPr>
              <w:pStyle w:val="P68B1DB1-Normal12"/>
              <w:jc w:val="center"/>
              <w:rPr>
                <w:noProof/>
              </w:rPr>
            </w:pPr>
            <w:r>
              <w:rPr>
                <w:noProof/>
              </w:rPr>
              <w:t>Pravni sporazumi, podpisani s končnimi upravičenci</w:t>
            </w:r>
          </w:p>
        </w:tc>
      </w:tr>
      <w:tr w:rsidR="00154E32" w14:paraId="5025AE7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BEB1C34" w14:textId="77777777" w:rsidR="00154E32" w:rsidRDefault="00A43E04">
            <w:pPr>
              <w:pStyle w:val="P68B1DB1-Normal12"/>
              <w:jc w:val="center"/>
              <w:rPr>
                <w:noProof/>
              </w:rPr>
            </w:pPr>
            <w:r>
              <w:rPr>
                <w:noProof/>
              </w:rPr>
              <w:t>M2C2–3</w:t>
            </w:r>
          </w:p>
        </w:tc>
        <w:tc>
          <w:tcPr>
            <w:tcW w:w="3090" w:type="dxa"/>
            <w:tcBorders>
              <w:top w:val="nil"/>
              <w:left w:val="nil"/>
              <w:bottom w:val="single" w:sz="4" w:space="0" w:color="auto"/>
              <w:right w:val="single" w:sz="4" w:space="0" w:color="auto"/>
            </w:tcBorders>
            <w:shd w:val="clear" w:color="auto" w:fill="C6EFCE"/>
            <w:noWrap/>
            <w:vAlign w:val="center"/>
          </w:tcPr>
          <w:p w14:paraId="25A5BBC0" w14:textId="77777777" w:rsidR="00154E32" w:rsidRDefault="00A43E04">
            <w:pPr>
              <w:pStyle w:val="P68B1DB1-Normal12"/>
              <w:jc w:val="center"/>
              <w:rPr>
                <w:noProof/>
              </w:rPr>
            </w:pPr>
            <w:r>
              <w:rPr>
                <w:noProof/>
              </w:rPr>
              <w:t>Naložba 1.4 Razvoj biometana v skladu z merili za spodbujanje krožnega gospodarstva</w:t>
            </w:r>
          </w:p>
        </w:tc>
        <w:tc>
          <w:tcPr>
            <w:tcW w:w="1498" w:type="dxa"/>
            <w:tcBorders>
              <w:top w:val="nil"/>
              <w:left w:val="nil"/>
              <w:bottom w:val="single" w:sz="4" w:space="0" w:color="auto"/>
              <w:right w:val="single" w:sz="4" w:space="0" w:color="auto"/>
            </w:tcBorders>
            <w:shd w:val="clear" w:color="auto" w:fill="C6EFCE"/>
            <w:noWrap/>
            <w:vAlign w:val="center"/>
          </w:tcPr>
          <w:p w14:paraId="62208BD1"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15A0AD51" w14:textId="77777777" w:rsidR="00154E32" w:rsidRDefault="00A43E04">
            <w:pPr>
              <w:pStyle w:val="P68B1DB1-Normal12"/>
              <w:jc w:val="center"/>
              <w:rPr>
                <w:noProof/>
              </w:rPr>
            </w:pPr>
            <w:r>
              <w:rPr>
                <w:noProof/>
              </w:rPr>
              <w:t>Zamenjava kmetijskih traktorjev</w:t>
            </w:r>
          </w:p>
        </w:tc>
      </w:tr>
      <w:tr w:rsidR="00154E32" w14:paraId="13D87AA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0A3650C" w14:textId="77777777" w:rsidR="00154E32" w:rsidRDefault="00A43E04">
            <w:pPr>
              <w:pStyle w:val="P68B1DB1-Normal12"/>
              <w:jc w:val="center"/>
              <w:rPr>
                <w:noProof/>
              </w:rPr>
            </w:pPr>
            <w:r>
              <w:rPr>
                <w:noProof/>
              </w:rPr>
              <w:t>M2C2–5</w:t>
            </w:r>
          </w:p>
        </w:tc>
        <w:tc>
          <w:tcPr>
            <w:tcW w:w="3090" w:type="dxa"/>
            <w:tcBorders>
              <w:top w:val="nil"/>
              <w:left w:val="nil"/>
              <w:bottom w:val="single" w:sz="4" w:space="0" w:color="auto"/>
              <w:right w:val="single" w:sz="4" w:space="0" w:color="auto"/>
            </w:tcBorders>
            <w:shd w:val="clear" w:color="auto" w:fill="C6EFCE"/>
            <w:noWrap/>
            <w:vAlign w:val="center"/>
          </w:tcPr>
          <w:p w14:paraId="27685853" w14:textId="77777777" w:rsidR="00154E32" w:rsidRDefault="00A43E04">
            <w:pPr>
              <w:pStyle w:val="P68B1DB1-Normal12"/>
              <w:jc w:val="center"/>
              <w:rPr>
                <w:noProof/>
              </w:rPr>
            </w:pPr>
            <w:r>
              <w:rPr>
                <w:noProof/>
              </w:rPr>
              <w:t>Naložba 1.4 Razvoj biometana v skladu z merili za spodbujanje krožnega gospodarstva</w:t>
            </w:r>
          </w:p>
        </w:tc>
        <w:tc>
          <w:tcPr>
            <w:tcW w:w="1498" w:type="dxa"/>
            <w:tcBorders>
              <w:top w:val="nil"/>
              <w:left w:val="nil"/>
              <w:bottom w:val="single" w:sz="4" w:space="0" w:color="auto"/>
              <w:right w:val="single" w:sz="4" w:space="0" w:color="auto"/>
            </w:tcBorders>
            <w:shd w:val="clear" w:color="auto" w:fill="C6EFCE"/>
            <w:noWrap/>
            <w:vAlign w:val="center"/>
          </w:tcPr>
          <w:p w14:paraId="69112F42"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534EDF47" w14:textId="77777777" w:rsidR="00154E32" w:rsidRDefault="00A43E04">
            <w:pPr>
              <w:pStyle w:val="P68B1DB1-Normal12"/>
              <w:jc w:val="center"/>
              <w:rPr>
                <w:noProof/>
              </w:rPr>
            </w:pPr>
            <w:r>
              <w:rPr>
                <w:noProof/>
              </w:rPr>
              <w:t>Dodatna proizvodnja biometana</w:t>
            </w:r>
          </w:p>
        </w:tc>
      </w:tr>
      <w:tr w:rsidR="00154E32" w14:paraId="19B2644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2E5A2DE" w14:textId="77777777" w:rsidR="00154E32" w:rsidRDefault="00A43E04">
            <w:pPr>
              <w:pStyle w:val="P68B1DB1-Normal12"/>
              <w:jc w:val="center"/>
              <w:rPr>
                <w:noProof/>
              </w:rPr>
            </w:pPr>
            <w:r>
              <w:rPr>
                <w:noProof/>
              </w:rPr>
              <w:t>M2C2–10</w:t>
            </w:r>
          </w:p>
        </w:tc>
        <w:tc>
          <w:tcPr>
            <w:tcW w:w="3090" w:type="dxa"/>
            <w:tcBorders>
              <w:top w:val="nil"/>
              <w:left w:val="nil"/>
              <w:bottom w:val="single" w:sz="4" w:space="0" w:color="auto"/>
              <w:right w:val="single" w:sz="4" w:space="0" w:color="auto"/>
            </w:tcBorders>
            <w:shd w:val="clear" w:color="auto" w:fill="C6EFCE"/>
            <w:noWrap/>
            <w:vAlign w:val="center"/>
          </w:tcPr>
          <w:p w14:paraId="6EA60ED0" w14:textId="77777777" w:rsidR="00154E32" w:rsidRDefault="00A43E04">
            <w:pPr>
              <w:pStyle w:val="P68B1DB1-Normal12"/>
              <w:jc w:val="center"/>
              <w:rPr>
                <w:noProof/>
              </w:rPr>
            </w:pPr>
            <w:r>
              <w:rPr>
                <w:noProof/>
              </w:rPr>
              <w:t>Naložba 2.1 Krepitev pametnih omrežij</w:t>
            </w:r>
          </w:p>
        </w:tc>
        <w:tc>
          <w:tcPr>
            <w:tcW w:w="1498" w:type="dxa"/>
            <w:tcBorders>
              <w:top w:val="nil"/>
              <w:left w:val="nil"/>
              <w:bottom w:val="single" w:sz="4" w:space="0" w:color="auto"/>
              <w:right w:val="single" w:sz="4" w:space="0" w:color="auto"/>
            </w:tcBorders>
            <w:shd w:val="clear" w:color="auto" w:fill="C6EFCE"/>
            <w:noWrap/>
            <w:vAlign w:val="center"/>
          </w:tcPr>
          <w:p w14:paraId="73933E9D"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72D61361" w14:textId="77777777" w:rsidR="00154E32" w:rsidRDefault="00A43E04">
            <w:pPr>
              <w:pStyle w:val="P68B1DB1-Normal12"/>
              <w:jc w:val="center"/>
              <w:rPr>
                <w:noProof/>
              </w:rPr>
            </w:pPr>
            <w:r>
              <w:rPr>
                <w:noProof/>
              </w:rPr>
              <w:t>Pametna omrežja – povečanje zmogljivosti omrežja za distribucijo energije iz obnovljivih virov</w:t>
            </w:r>
          </w:p>
        </w:tc>
      </w:tr>
      <w:tr w:rsidR="00154E32" w14:paraId="05D98A2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BBEC5BF" w14:textId="77777777" w:rsidR="00154E32" w:rsidRDefault="00A43E04">
            <w:pPr>
              <w:pStyle w:val="P68B1DB1-Normal12"/>
              <w:jc w:val="center"/>
              <w:rPr>
                <w:noProof/>
              </w:rPr>
            </w:pPr>
            <w:r>
              <w:rPr>
                <w:noProof/>
              </w:rPr>
              <w:t>M2C2–11</w:t>
            </w:r>
          </w:p>
        </w:tc>
        <w:tc>
          <w:tcPr>
            <w:tcW w:w="3090" w:type="dxa"/>
            <w:tcBorders>
              <w:top w:val="nil"/>
              <w:left w:val="nil"/>
              <w:bottom w:val="single" w:sz="4" w:space="0" w:color="auto"/>
              <w:right w:val="single" w:sz="4" w:space="0" w:color="auto"/>
            </w:tcBorders>
            <w:shd w:val="clear" w:color="auto" w:fill="C6EFCE"/>
            <w:noWrap/>
            <w:vAlign w:val="center"/>
          </w:tcPr>
          <w:p w14:paraId="10B5202F" w14:textId="77777777" w:rsidR="00154E32" w:rsidRDefault="00A43E04">
            <w:pPr>
              <w:pStyle w:val="P68B1DB1-Normal12"/>
              <w:jc w:val="center"/>
              <w:rPr>
                <w:noProof/>
              </w:rPr>
            </w:pPr>
            <w:r>
              <w:rPr>
                <w:noProof/>
              </w:rPr>
              <w:t>Naložba 2.1 Krepitev pametnih omrežij</w:t>
            </w:r>
          </w:p>
        </w:tc>
        <w:tc>
          <w:tcPr>
            <w:tcW w:w="1498" w:type="dxa"/>
            <w:tcBorders>
              <w:top w:val="nil"/>
              <w:left w:val="nil"/>
              <w:bottom w:val="single" w:sz="4" w:space="0" w:color="auto"/>
              <w:right w:val="single" w:sz="4" w:space="0" w:color="auto"/>
            </w:tcBorders>
            <w:shd w:val="clear" w:color="auto" w:fill="C6EFCE"/>
            <w:noWrap/>
            <w:vAlign w:val="center"/>
          </w:tcPr>
          <w:p w14:paraId="0FA05EDA"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16639861" w14:textId="77777777" w:rsidR="00154E32" w:rsidRDefault="00A43E04">
            <w:pPr>
              <w:pStyle w:val="P68B1DB1-Normal12"/>
              <w:jc w:val="center"/>
              <w:rPr>
                <w:noProof/>
              </w:rPr>
            </w:pPr>
            <w:r>
              <w:rPr>
                <w:noProof/>
              </w:rPr>
              <w:t>Pametna omrežja – elektrifikacija porabe energije</w:t>
            </w:r>
          </w:p>
        </w:tc>
      </w:tr>
      <w:tr w:rsidR="00154E32" w14:paraId="270425A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5957D2B" w14:textId="77777777" w:rsidR="00154E32" w:rsidRDefault="00A43E04">
            <w:pPr>
              <w:pStyle w:val="P68B1DB1-Normal12"/>
              <w:jc w:val="center"/>
              <w:rPr>
                <w:noProof/>
              </w:rPr>
            </w:pPr>
            <w:r>
              <w:rPr>
                <w:noProof/>
              </w:rPr>
              <w:t>M2C2–13</w:t>
            </w:r>
          </w:p>
        </w:tc>
        <w:tc>
          <w:tcPr>
            <w:tcW w:w="3090" w:type="dxa"/>
            <w:tcBorders>
              <w:top w:val="nil"/>
              <w:left w:val="nil"/>
              <w:bottom w:val="single" w:sz="4" w:space="0" w:color="auto"/>
              <w:right w:val="single" w:sz="4" w:space="0" w:color="auto"/>
            </w:tcBorders>
            <w:shd w:val="clear" w:color="auto" w:fill="C6EFCE"/>
            <w:noWrap/>
            <w:vAlign w:val="center"/>
          </w:tcPr>
          <w:p w14:paraId="52EF9849" w14:textId="77777777" w:rsidR="00154E32" w:rsidRDefault="00A43E04">
            <w:pPr>
              <w:pStyle w:val="P68B1DB1-Normal12"/>
              <w:jc w:val="center"/>
              <w:rPr>
                <w:noProof/>
              </w:rPr>
            </w:pPr>
            <w:r>
              <w:rPr>
                <w:noProof/>
              </w:rPr>
              <w:t>Naložba 2.2 Intervencije za povečanje odpornosti električnega omrežja</w:t>
            </w:r>
          </w:p>
        </w:tc>
        <w:tc>
          <w:tcPr>
            <w:tcW w:w="1498" w:type="dxa"/>
            <w:tcBorders>
              <w:top w:val="nil"/>
              <w:left w:val="nil"/>
              <w:bottom w:val="single" w:sz="4" w:space="0" w:color="auto"/>
              <w:right w:val="single" w:sz="4" w:space="0" w:color="auto"/>
            </w:tcBorders>
            <w:shd w:val="clear" w:color="auto" w:fill="C6EFCE"/>
            <w:noWrap/>
            <w:vAlign w:val="center"/>
          </w:tcPr>
          <w:p w14:paraId="4CB2152A"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66E2D4A2" w14:textId="77777777" w:rsidR="00154E32" w:rsidRDefault="00A43E04">
            <w:pPr>
              <w:pStyle w:val="P68B1DB1-Normal12"/>
              <w:jc w:val="center"/>
              <w:rPr>
                <w:noProof/>
              </w:rPr>
            </w:pPr>
            <w:r>
              <w:rPr>
                <w:noProof/>
              </w:rPr>
              <w:t>Povečanje odpornosti omrežja elektroenergetskega sistema</w:t>
            </w:r>
          </w:p>
        </w:tc>
      </w:tr>
      <w:tr w:rsidR="00154E32" w14:paraId="15A62E8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525CA4A" w14:textId="77777777" w:rsidR="00154E32" w:rsidRDefault="00A43E04">
            <w:pPr>
              <w:pStyle w:val="P68B1DB1-Normal12"/>
              <w:jc w:val="center"/>
              <w:rPr>
                <w:noProof/>
              </w:rPr>
            </w:pPr>
            <w:r>
              <w:rPr>
                <w:noProof/>
              </w:rPr>
              <w:t>M2C2–15</w:t>
            </w:r>
          </w:p>
        </w:tc>
        <w:tc>
          <w:tcPr>
            <w:tcW w:w="3090" w:type="dxa"/>
            <w:tcBorders>
              <w:top w:val="nil"/>
              <w:left w:val="nil"/>
              <w:bottom w:val="single" w:sz="4" w:space="0" w:color="auto"/>
              <w:right w:val="single" w:sz="4" w:space="0" w:color="auto"/>
            </w:tcBorders>
            <w:shd w:val="clear" w:color="auto" w:fill="C6EFCE"/>
            <w:noWrap/>
            <w:vAlign w:val="center"/>
          </w:tcPr>
          <w:p w14:paraId="75CE696C" w14:textId="77777777" w:rsidR="00154E32" w:rsidRDefault="00A43E04">
            <w:pPr>
              <w:pStyle w:val="P68B1DB1-Normal12"/>
              <w:jc w:val="center"/>
              <w:rPr>
                <w:noProof/>
              </w:rPr>
            </w:pPr>
            <w:r>
              <w:rPr>
                <w:noProof/>
              </w:rPr>
              <w:t>Naložba 3.3 Preizkus vodika za cestni promet</w:t>
            </w:r>
          </w:p>
        </w:tc>
        <w:tc>
          <w:tcPr>
            <w:tcW w:w="1498" w:type="dxa"/>
            <w:tcBorders>
              <w:top w:val="nil"/>
              <w:left w:val="nil"/>
              <w:bottom w:val="single" w:sz="4" w:space="0" w:color="auto"/>
              <w:right w:val="single" w:sz="4" w:space="0" w:color="auto"/>
            </w:tcBorders>
            <w:shd w:val="clear" w:color="auto" w:fill="C6EFCE"/>
            <w:noWrap/>
            <w:vAlign w:val="center"/>
          </w:tcPr>
          <w:p w14:paraId="0AAF4DB2"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02446A14" w14:textId="77777777" w:rsidR="00154E32" w:rsidRDefault="00A43E04">
            <w:pPr>
              <w:pStyle w:val="P68B1DB1-Normal12"/>
              <w:jc w:val="center"/>
              <w:rPr>
                <w:noProof/>
              </w:rPr>
            </w:pPr>
            <w:r>
              <w:rPr>
                <w:noProof/>
              </w:rPr>
              <w:t>Razvoj polnilnih postaj na osnovi vodika</w:t>
            </w:r>
          </w:p>
        </w:tc>
      </w:tr>
      <w:tr w:rsidR="00154E32" w14:paraId="0976CDF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353996F" w14:textId="77777777" w:rsidR="00154E32" w:rsidRDefault="00A43E04">
            <w:pPr>
              <w:pStyle w:val="P68B1DB1-Normal12"/>
              <w:jc w:val="center"/>
              <w:rPr>
                <w:noProof/>
              </w:rPr>
            </w:pPr>
            <w:r>
              <w:rPr>
                <w:noProof/>
              </w:rPr>
              <w:t>M2C2–17</w:t>
            </w:r>
          </w:p>
        </w:tc>
        <w:tc>
          <w:tcPr>
            <w:tcW w:w="3090" w:type="dxa"/>
            <w:tcBorders>
              <w:top w:val="nil"/>
              <w:left w:val="nil"/>
              <w:bottom w:val="single" w:sz="4" w:space="0" w:color="auto"/>
              <w:right w:val="single" w:sz="4" w:space="0" w:color="auto"/>
            </w:tcBorders>
            <w:shd w:val="clear" w:color="auto" w:fill="C6EFCE"/>
            <w:noWrap/>
            <w:vAlign w:val="center"/>
          </w:tcPr>
          <w:p w14:paraId="5931FE21" w14:textId="77777777" w:rsidR="00154E32" w:rsidRDefault="00A43E04">
            <w:pPr>
              <w:pStyle w:val="P68B1DB1-Normal12"/>
              <w:jc w:val="center"/>
              <w:rPr>
                <w:noProof/>
              </w:rPr>
            </w:pPr>
            <w:r>
              <w:rPr>
                <w:noProof/>
              </w:rPr>
              <w:t>Naložba 3.4 Preizkus vodika za mobilnost v železniškem prometu</w:t>
            </w:r>
          </w:p>
        </w:tc>
        <w:tc>
          <w:tcPr>
            <w:tcW w:w="1498" w:type="dxa"/>
            <w:tcBorders>
              <w:top w:val="nil"/>
              <w:left w:val="nil"/>
              <w:bottom w:val="single" w:sz="4" w:space="0" w:color="auto"/>
              <w:right w:val="single" w:sz="4" w:space="0" w:color="auto"/>
            </w:tcBorders>
            <w:shd w:val="clear" w:color="auto" w:fill="C6EFCE"/>
            <w:noWrap/>
            <w:vAlign w:val="center"/>
          </w:tcPr>
          <w:p w14:paraId="6DEF2AC7"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0B48F8A0" w14:textId="77777777" w:rsidR="00154E32" w:rsidRDefault="00A43E04">
            <w:pPr>
              <w:pStyle w:val="P68B1DB1-Normal12"/>
              <w:jc w:val="center"/>
              <w:rPr>
                <w:noProof/>
              </w:rPr>
            </w:pPr>
            <w:r>
              <w:rPr>
                <w:noProof/>
              </w:rPr>
              <w:t>Število oskrbovalnih postaj za vodik</w:t>
            </w:r>
          </w:p>
        </w:tc>
      </w:tr>
      <w:tr w:rsidR="00154E32" w14:paraId="6ED7421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DC96822" w14:textId="77777777" w:rsidR="00154E32" w:rsidRDefault="00A43E04">
            <w:pPr>
              <w:pStyle w:val="P68B1DB1-Normal12"/>
              <w:jc w:val="center"/>
              <w:rPr>
                <w:noProof/>
              </w:rPr>
            </w:pPr>
            <w:r>
              <w:rPr>
                <w:noProof/>
              </w:rPr>
              <w:t>M2C2–19</w:t>
            </w:r>
          </w:p>
        </w:tc>
        <w:tc>
          <w:tcPr>
            <w:tcW w:w="3090" w:type="dxa"/>
            <w:tcBorders>
              <w:top w:val="nil"/>
              <w:left w:val="nil"/>
              <w:bottom w:val="single" w:sz="4" w:space="0" w:color="auto"/>
              <w:right w:val="single" w:sz="4" w:space="0" w:color="auto"/>
            </w:tcBorders>
            <w:shd w:val="clear" w:color="auto" w:fill="C6EFCE"/>
            <w:noWrap/>
            <w:vAlign w:val="center"/>
          </w:tcPr>
          <w:p w14:paraId="22ACB88B" w14:textId="77777777" w:rsidR="00154E32" w:rsidRDefault="00A43E04">
            <w:pPr>
              <w:pStyle w:val="P68B1DB1-Normal12"/>
              <w:jc w:val="center"/>
              <w:rPr>
                <w:noProof/>
              </w:rPr>
            </w:pPr>
            <w:r>
              <w:rPr>
                <w:noProof/>
              </w:rPr>
              <w:t>Naložba 3.5 Raziskave in razvoj na področju vodika</w:t>
            </w:r>
          </w:p>
        </w:tc>
        <w:tc>
          <w:tcPr>
            <w:tcW w:w="1498" w:type="dxa"/>
            <w:tcBorders>
              <w:top w:val="nil"/>
              <w:left w:val="nil"/>
              <w:bottom w:val="single" w:sz="4" w:space="0" w:color="auto"/>
              <w:right w:val="single" w:sz="4" w:space="0" w:color="auto"/>
            </w:tcBorders>
            <w:shd w:val="clear" w:color="auto" w:fill="C6EFCE"/>
            <w:noWrap/>
            <w:vAlign w:val="center"/>
          </w:tcPr>
          <w:p w14:paraId="57307E51"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7A6AD0C0" w14:textId="77777777" w:rsidR="00154E32" w:rsidRDefault="00A43E04">
            <w:pPr>
              <w:pStyle w:val="P68B1DB1-Normal12"/>
              <w:jc w:val="center"/>
              <w:rPr>
                <w:noProof/>
              </w:rPr>
            </w:pPr>
            <w:r>
              <w:rPr>
                <w:noProof/>
              </w:rPr>
              <w:t>Število projektov za raziskave in razvoj na področju vodika</w:t>
            </w:r>
          </w:p>
        </w:tc>
      </w:tr>
      <w:tr w:rsidR="00154E32" w14:paraId="1C6074B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30F85BC" w14:textId="77777777" w:rsidR="00154E32" w:rsidRDefault="00A43E04">
            <w:pPr>
              <w:pStyle w:val="P68B1DB1-Normal12"/>
              <w:jc w:val="center"/>
              <w:rPr>
                <w:noProof/>
              </w:rPr>
            </w:pPr>
            <w:r>
              <w:rPr>
                <w:noProof/>
              </w:rPr>
              <w:t>M2C2–25a</w:t>
            </w:r>
          </w:p>
        </w:tc>
        <w:tc>
          <w:tcPr>
            <w:tcW w:w="3090" w:type="dxa"/>
            <w:tcBorders>
              <w:top w:val="nil"/>
              <w:left w:val="nil"/>
              <w:bottom w:val="single" w:sz="4" w:space="0" w:color="auto"/>
              <w:right w:val="single" w:sz="4" w:space="0" w:color="auto"/>
            </w:tcBorders>
            <w:shd w:val="clear" w:color="auto" w:fill="C6EFCE"/>
            <w:noWrap/>
            <w:vAlign w:val="center"/>
          </w:tcPr>
          <w:p w14:paraId="158A503F" w14:textId="77777777" w:rsidR="00154E32" w:rsidRDefault="00A43E04">
            <w:pPr>
              <w:pStyle w:val="P68B1DB1-Normal12"/>
              <w:jc w:val="center"/>
              <w:rPr>
                <w:noProof/>
              </w:rPr>
            </w:pPr>
            <w:r>
              <w:rPr>
                <w:noProof/>
              </w:rPr>
              <w:t>Naložba 4.2 Razvoj sistemov hitrega množičnega prevoza (metro, ulična motorna vozila, BRT)</w:t>
            </w:r>
          </w:p>
        </w:tc>
        <w:tc>
          <w:tcPr>
            <w:tcW w:w="1498" w:type="dxa"/>
            <w:tcBorders>
              <w:top w:val="nil"/>
              <w:left w:val="nil"/>
              <w:bottom w:val="single" w:sz="4" w:space="0" w:color="auto"/>
              <w:right w:val="single" w:sz="4" w:space="0" w:color="auto"/>
            </w:tcBorders>
            <w:shd w:val="clear" w:color="auto" w:fill="C6EFCE"/>
            <w:noWrap/>
            <w:vAlign w:val="center"/>
          </w:tcPr>
          <w:p w14:paraId="76353748"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7296C069" w14:textId="77777777" w:rsidR="00154E32" w:rsidRDefault="00A43E04">
            <w:pPr>
              <w:pStyle w:val="P68B1DB1-Normal12"/>
              <w:jc w:val="center"/>
              <w:rPr>
                <w:noProof/>
              </w:rPr>
            </w:pPr>
            <w:r>
              <w:rPr>
                <w:noProof/>
              </w:rPr>
              <w:t>Vsaj pet posredovanj za nadgradnjo infrastrukture hitrih sistemov masovnega prometa</w:t>
            </w:r>
          </w:p>
        </w:tc>
      </w:tr>
      <w:tr w:rsidR="00154E32" w14:paraId="49637E2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B6A0145" w14:textId="77777777" w:rsidR="00154E32" w:rsidRDefault="00A43E04">
            <w:pPr>
              <w:pStyle w:val="P68B1DB1-Normal12"/>
              <w:jc w:val="center"/>
              <w:rPr>
                <w:noProof/>
              </w:rPr>
            </w:pPr>
            <w:r>
              <w:rPr>
                <w:noProof/>
              </w:rPr>
              <w:t>M2C2–25b</w:t>
            </w:r>
          </w:p>
        </w:tc>
        <w:tc>
          <w:tcPr>
            <w:tcW w:w="3090" w:type="dxa"/>
            <w:tcBorders>
              <w:top w:val="nil"/>
              <w:left w:val="nil"/>
              <w:bottom w:val="single" w:sz="4" w:space="0" w:color="auto"/>
              <w:right w:val="single" w:sz="4" w:space="0" w:color="auto"/>
            </w:tcBorders>
            <w:shd w:val="clear" w:color="auto" w:fill="C6EFCE"/>
            <w:noWrap/>
            <w:vAlign w:val="center"/>
          </w:tcPr>
          <w:p w14:paraId="6CBF92C6" w14:textId="77777777" w:rsidR="00154E32" w:rsidRDefault="00A43E04">
            <w:pPr>
              <w:pStyle w:val="P68B1DB1-Normal12"/>
              <w:jc w:val="center"/>
              <w:rPr>
                <w:noProof/>
              </w:rPr>
            </w:pPr>
            <w:r>
              <w:rPr>
                <w:noProof/>
              </w:rPr>
              <w:t>Naložba 4.2 Razvoj sistemov hitrega množičnega prevoza (metro, ulična motorna vozila, BRT)</w:t>
            </w:r>
          </w:p>
        </w:tc>
        <w:tc>
          <w:tcPr>
            <w:tcW w:w="1498" w:type="dxa"/>
            <w:tcBorders>
              <w:top w:val="nil"/>
              <w:left w:val="nil"/>
              <w:bottom w:val="single" w:sz="4" w:space="0" w:color="auto"/>
              <w:right w:val="single" w:sz="4" w:space="0" w:color="auto"/>
            </w:tcBorders>
            <w:shd w:val="clear" w:color="auto" w:fill="C6EFCE"/>
            <w:noWrap/>
            <w:vAlign w:val="center"/>
          </w:tcPr>
          <w:p w14:paraId="0C6EA68D"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0BF82300" w14:textId="77777777" w:rsidR="00154E32" w:rsidRDefault="00A43E04">
            <w:pPr>
              <w:pStyle w:val="P68B1DB1-Normal12"/>
              <w:jc w:val="center"/>
              <w:rPr>
                <w:noProof/>
              </w:rPr>
            </w:pPr>
            <w:r>
              <w:rPr>
                <w:noProof/>
              </w:rPr>
              <w:t>Nakup najmanj 85 enot železniškega voznega parka za množični hitri prevoz</w:t>
            </w:r>
          </w:p>
        </w:tc>
      </w:tr>
      <w:tr w:rsidR="00154E32" w14:paraId="0A94BC3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8EC99FC" w14:textId="77777777" w:rsidR="00154E32" w:rsidRDefault="00A43E04">
            <w:pPr>
              <w:pStyle w:val="P68B1DB1-Normal12"/>
              <w:jc w:val="center"/>
              <w:rPr>
                <w:noProof/>
              </w:rPr>
            </w:pPr>
            <w:r>
              <w:rPr>
                <w:noProof/>
              </w:rPr>
              <w:t>M2C2–26</w:t>
            </w:r>
          </w:p>
        </w:tc>
        <w:tc>
          <w:tcPr>
            <w:tcW w:w="3090" w:type="dxa"/>
            <w:tcBorders>
              <w:top w:val="nil"/>
              <w:left w:val="nil"/>
              <w:bottom w:val="single" w:sz="4" w:space="0" w:color="auto"/>
              <w:right w:val="single" w:sz="4" w:space="0" w:color="auto"/>
            </w:tcBorders>
            <w:shd w:val="clear" w:color="auto" w:fill="C6EFCE"/>
            <w:noWrap/>
            <w:vAlign w:val="center"/>
          </w:tcPr>
          <w:p w14:paraId="77DC01E7" w14:textId="77777777" w:rsidR="00154E32" w:rsidRDefault="00A43E04">
            <w:pPr>
              <w:pStyle w:val="P68B1DB1-Normal12"/>
              <w:jc w:val="center"/>
              <w:rPr>
                <w:noProof/>
              </w:rPr>
            </w:pPr>
            <w:r>
              <w:rPr>
                <w:noProof/>
              </w:rPr>
              <w:t>Naložba 4.2 Razvoj sistemov hitrega množičnega prevoza (metro, ulični avtomobil, avtobusni prevoz)</w:t>
            </w:r>
          </w:p>
        </w:tc>
        <w:tc>
          <w:tcPr>
            <w:tcW w:w="1498" w:type="dxa"/>
            <w:tcBorders>
              <w:top w:val="nil"/>
              <w:left w:val="nil"/>
              <w:bottom w:val="single" w:sz="4" w:space="0" w:color="auto"/>
              <w:right w:val="single" w:sz="4" w:space="0" w:color="auto"/>
            </w:tcBorders>
            <w:shd w:val="clear" w:color="auto" w:fill="C6EFCE"/>
            <w:noWrap/>
            <w:vAlign w:val="center"/>
          </w:tcPr>
          <w:p w14:paraId="4E42054F"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55D2946B" w14:textId="77777777" w:rsidR="00154E32" w:rsidRDefault="00A43E04">
            <w:pPr>
              <w:pStyle w:val="P68B1DB1-Normal12"/>
              <w:jc w:val="center"/>
              <w:rPr>
                <w:noProof/>
              </w:rPr>
            </w:pPr>
            <w:r>
              <w:rPr>
                <w:noProof/>
              </w:rPr>
              <w:t>Število km infrastrukture javnega prevoza</w:t>
            </w:r>
          </w:p>
        </w:tc>
      </w:tr>
      <w:tr w:rsidR="00154E32" w14:paraId="03C3D58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70560AD" w14:textId="77777777" w:rsidR="00154E32" w:rsidRDefault="00A43E04">
            <w:pPr>
              <w:pStyle w:val="P68B1DB1-Normal12"/>
              <w:jc w:val="center"/>
              <w:rPr>
                <w:noProof/>
              </w:rPr>
            </w:pPr>
            <w:r>
              <w:rPr>
                <w:noProof/>
              </w:rPr>
              <w:t>M2C2–35</w:t>
            </w:r>
          </w:p>
        </w:tc>
        <w:tc>
          <w:tcPr>
            <w:tcW w:w="3090" w:type="dxa"/>
            <w:tcBorders>
              <w:top w:val="nil"/>
              <w:left w:val="nil"/>
              <w:bottom w:val="single" w:sz="4" w:space="0" w:color="auto"/>
              <w:right w:val="single" w:sz="4" w:space="0" w:color="auto"/>
            </w:tcBorders>
            <w:shd w:val="clear" w:color="auto" w:fill="C6EFCE"/>
            <w:noWrap/>
            <w:vAlign w:val="center"/>
          </w:tcPr>
          <w:p w14:paraId="745A8664" w14:textId="77777777" w:rsidR="00154E32" w:rsidRDefault="00A43E04">
            <w:pPr>
              <w:pStyle w:val="P68B1DB1-Normal26"/>
              <w:jc w:val="center"/>
              <w:rPr>
                <w:noProof/>
                <w:color w:val="006100"/>
              </w:rPr>
            </w:pPr>
            <w:r>
              <w:rPr>
                <w:noProof/>
                <w:color w:val="006100"/>
              </w:rPr>
              <w:t>Naložba 4.4.1: Krepitev voznega parka avtobusov v regionalnem javnem prometu z</w:t>
            </w:r>
            <w:r>
              <w:rPr>
                <w:noProof/>
                <w:color w:val="000000" w:themeColor="text1"/>
              </w:rPr>
              <w:t xml:space="preserve"> </w:t>
            </w:r>
            <w:r>
              <w:rPr>
                <w:noProof/>
                <w:color w:val="006100"/>
              </w:rPr>
              <w:t>brezemisijskimi nizkopodnimi avtobusi —</w:t>
            </w:r>
          </w:p>
        </w:tc>
        <w:tc>
          <w:tcPr>
            <w:tcW w:w="1498" w:type="dxa"/>
            <w:tcBorders>
              <w:top w:val="nil"/>
              <w:left w:val="nil"/>
              <w:bottom w:val="single" w:sz="4" w:space="0" w:color="auto"/>
              <w:right w:val="single" w:sz="4" w:space="0" w:color="auto"/>
            </w:tcBorders>
            <w:shd w:val="clear" w:color="auto" w:fill="C6EFCE"/>
            <w:noWrap/>
            <w:vAlign w:val="center"/>
          </w:tcPr>
          <w:p w14:paraId="4FE29759"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42D51643" w14:textId="77777777" w:rsidR="00154E32" w:rsidRDefault="00A43E04">
            <w:pPr>
              <w:pStyle w:val="P68B1DB1-Normal12"/>
              <w:jc w:val="center"/>
              <w:rPr>
                <w:noProof/>
              </w:rPr>
            </w:pPr>
            <w:r>
              <w:rPr>
                <w:noProof/>
              </w:rPr>
              <w:t>Število brezemisijskih nizkopodnih avtobusov, ki so začeli veljati T2</w:t>
            </w:r>
          </w:p>
        </w:tc>
      </w:tr>
      <w:tr w:rsidR="00154E32" w14:paraId="518FF66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AE3063E" w14:textId="77777777" w:rsidR="00154E32" w:rsidRDefault="00A43E04">
            <w:pPr>
              <w:pStyle w:val="P68B1DB1-Normal12"/>
              <w:jc w:val="center"/>
              <w:rPr>
                <w:noProof/>
              </w:rPr>
            </w:pPr>
            <w:r>
              <w:rPr>
                <w:noProof/>
              </w:rPr>
              <w:t>M2C2–35 ter</w:t>
            </w:r>
          </w:p>
        </w:tc>
        <w:tc>
          <w:tcPr>
            <w:tcW w:w="3090" w:type="dxa"/>
            <w:tcBorders>
              <w:top w:val="nil"/>
              <w:left w:val="nil"/>
              <w:bottom w:val="single" w:sz="4" w:space="0" w:color="auto"/>
              <w:right w:val="single" w:sz="4" w:space="0" w:color="auto"/>
            </w:tcBorders>
            <w:shd w:val="clear" w:color="auto" w:fill="C6EFCE"/>
            <w:noWrap/>
            <w:vAlign w:val="center"/>
          </w:tcPr>
          <w:p w14:paraId="42733178" w14:textId="77777777" w:rsidR="00154E32" w:rsidRDefault="00A43E04">
            <w:pPr>
              <w:pStyle w:val="P68B1DB1-Normal12"/>
              <w:jc w:val="center"/>
              <w:rPr>
                <w:noProof/>
              </w:rPr>
            </w:pPr>
            <w:r>
              <w:rPr>
                <w:noProof/>
              </w:rPr>
              <w:t>Naložba 4.4.1: Krepitev voznega parka avtobusnega prevoza v regionalnem javnem prometu z vozili na čista goriva</w:t>
            </w:r>
          </w:p>
        </w:tc>
        <w:tc>
          <w:tcPr>
            <w:tcW w:w="1498" w:type="dxa"/>
            <w:tcBorders>
              <w:top w:val="nil"/>
              <w:left w:val="nil"/>
              <w:bottom w:val="single" w:sz="4" w:space="0" w:color="auto"/>
              <w:right w:val="single" w:sz="4" w:space="0" w:color="auto"/>
            </w:tcBorders>
            <w:shd w:val="clear" w:color="auto" w:fill="C6EFCE"/>
            <w:noWrap/>
            <w:vAlign w:val="center"/>
          </w:tcPr>
          <w:p w14:paraId="583DA43B"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4FD24AE4" w14:textId="77777777" w:rsidR="00154E32" w:rsidRDefault="00A43E04">
            <w:pPr>
              <w:pStyle w:val="P68B1DB1-Normal12"/>
              <w:jc w:val="center"/>
              <w:rPr>
                <w:noProof/>
              </w:rPr>
            </w:pPr>
            <w:r>
              <w:rPr>
                <w:noProof/>
              </w:rPr>
              <w:t>Število polnilnih postaj za brezemisijske in nizkoemisijske nizkopodne avtobuse</w:t>
            </w:r>
          </w:p>
        </w:tc>
      </w:tr>
      <w:tr w:rsidR="00154E32" w14:paraId="2416F7A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AECA4A3" w14:textId="77777777" w:rsidR="00154E32" w:rsidRDefault="00A43E04">
            <w:pPr>
              <w:pStyle w:val="P68B1DB1-Normal12"/>
              <w:jc w:val="center"/>
              <w:rPr>
                <w:noProof/>
              </w:rPr>
            </w:pPr>
            <w:r>
              <w:rPr>
                <w:noProof/>
              </w:rPr>
              <w:t xml:space="preserve">M2C2–35 bis </w:t>
            </w:r>
          </w:p>
        </w:tc>
        <w:tc>
          <w:tcPr>
            <w:tcW w:w="3090" w:type="dxa"/>
            <w:tcBorders>
              <w:top w:val="nil"/>
              <w:left w:val="nil"/>
              <w:bottom w:val="single" w:sz="4" w:space="0" w:color="auto"/>
              <w:right w:val="single" w:sz="4" w:space="0" w:color="auto"/>
            </w:tcBorders>
            <w:shd w:val="clear" w:color="auto" w:fill="C6EFCE"/>
            <w:noWrap/>
            <w:vAlign w:val="center"/>
          </w:tcPr>
          <w:p w14:paraId="0374C52E" w14:textId="77777777" w:rsidR="00154E32" w:rsidRDefault="00A43E04">
            <w:pPr>
              <w:pStyle w:val="P68B1DB1-Normal12"/>
              <w:jc w:val="center"/>
              <w:rPr>
                <w:noProof/>
              </w:rPr>
            </w:pPr>
            <w:r>
              <w:rPr>
                <w:noProof/>
              </w:rPr>
              <w:t>Naložba 4.4.2:  Krepitev regionalnega javnega železniškega voznega parka z brezemisijskimi vlaki in univerzalnimi storitvami</w:t>
            </w:r>
          </w:p>
        </w:tc>
        <w:tc>
          <w:tcPr>
            <w:tcW w:w="1498" w:type="dxa"/>
            <w:tcBorders>
              <w:top w:val="nil"/>
              <w:left w:val="nil"/>
              <w:bottom w:val="single" w:sz="4" w:space="0" w:color="auto"/>
              <w:right w:val="single" w:sz="4" w:space="0" w:color="auto"/>
            </w:tcBorders>
            <w:shd w:val="clear" w:color="auto" w:fill="C6EFCE"/>
            <w:noWrap/>
            <w:vAlign w:val="center"/>
          </w:tcPr>
          <w:p w14:paraId="31BD1F86"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3F6F18CB" w14:textId="77777777" w:rsidR="00154E32" w:rsidRDefault="00A43E04">
            <w:pPr>
              <w:pStyle w:val="P68B1DB1-Normal12"/>
              <w:jc w:val="center"/>
              <w:rPr>
                <w:noProof/>
              </w:rPr>
            </w:pPr>
            <w:r>
              <w:rPr>
                <w:noProof/>
              </w:rPr>
              <w:t xml:space="preserve">Število vlakov brez emisij in število prevoznih sredstev za univerzalno storitev </w:t>
            </w:r>
          </w:p>
        </w:tc>
      </w:tr>
      <w:tr w:rsidR="00154E32" w14:paraId="43443B4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0281F62" w14:textId="77777777" w:rsidR="00154E32" w:rsidRDefault="00A43E04">
            <w:pPr>
              <w:pStyle w:val="P68B1DB1-Normal12"/>
              <w:jc w:val="center"/>
              <w:rPr>
                <w:noProof/>
              </w:rPr>
            </w:pPr>
            <w:r>
              <w:rPr>
                <w:noProof/>
              </w:rPr>
              <w:t>M2C2–36</w:t>
            </w:r>
          </w:p>
        </w:tc>
        <w:tc>
          <w:tcPr>
            <w:tcW w:w="3090" w:type="dxa"/>
            <w:tcBorders>
              <w:top w:val="nil"/>
              <w:left w:val="nil"/>
              <w:bottom w:val="single" w:sz="4" w:space="0" w:color="auto"/>
              <w:right w:val="single" w:sz="4" w:space="0" w:color="auto"/>
            </w:tcBorders>
            <w:shd w:val="clear" w:color="auto" w:fill="C6EFCE"/>
            <w:noWrap/>
            <w:vAlign w:val="center"/>
          </w:tcPr>
          <w:p w14:paraId="3E48B849" w14:textId="77777777" w:rsidR="00154E32" w:rsidRDefault="00A43E04">
            <w:pPr>
              <w:pStyle w:val="P68B1DB1-Normal12"/>
              <w:jc w:val="center"/>
              <w:rPr>
                <w:noProof/>
              </w:rPr>
            </w:pPr>
            <w:r>
              <w:rPr>
                <w:noProof/>
              </w:rPr>
              <w:t>Naložba 4.4.3: Flota za obnovo nacionalnega poveljstva gasilske službe</w:t>
            </w:r>
          </w:p>
        </w:tc>
        <w:tc>
          <w:tcPr>
            <w:tcW w:w="1498" w:type="dxa"/>
            <w:tcBorders>
              <w:top w:val="nil"/>
              <w:left w:val="nil"/>
              <w:bottom w:val="single" w:sz="4" w:space="0" w:color="auto"/>
              <w:right w:val="single" w:sz="4" w:space="0" w:color="auto"/>
            </w:tcBorders>
            <w:shd w:val="clear" w:color="auto" w:fill="C6EFCE"/>
            <w:noWrap/>
            <w:vAlign w:val="center"/>
          </w:tcPr>
          <w:p w14:paraId="06D29F84"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593E3A02" w14:textId="77777777" w:rsidR="00154E32" w:rsidRDefault="00A43E04">
            <w:pPr>
              <w:pStyle w:val="P68B1DB1-Normal12"/>
              <w:jc w:val="center"/>
              <w:rPr>
                <w:noProof/>
              </w:rPr>
            </w:pPr>
            <w:r>
              <w:rPr>
                <w:noProof/>
              </w:rPr>
              <w:t>Število čistih vozil za obnovo voznega parka za poveljstvo nacionalne gasilske službe</w:t>
            </w:r>
          </w:p>
        </w:tc>
      </w:tr>
      <w:tr w:rsidR="00154E32" w14:paraId="2EFE37E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BA25FB2" w14:textId="77777777" w:rsidR="00154E32" w:rsidRDefault="00A43E04">
            <w:pPr>
              <w:pStyle w:val="P68B1DB1-Normal12"/>
              <w:jc w:val="center"/>
              <w:rPr>
                <w:noProof/>
              </w:rPr>
            </w:pPr>
            <w:r>
              <w:rPr>
                <w:noProof/>
              </w:rPr>
              <w:t>M2C2–43</w:t>
            </w:r>
          </w:p>
        </w:tc>
        <w:tc>
          <w:tcPr>
            <w:tcW w:w="3090" w:type="dxa"/>
            <w:tcBorders>
              <w:top w:val="nil"/>
              <w:left w:val="nil"/>
              <w:bottom w:val="single" w:sz="4" w:space="0" w:color="auto"/>
              <w:right w:val="single" w:sz="4" w:space="0" w:color="auto"/>
            </w:tcBorders>
            <w:shd w:val="clear" w:color="auto" w:fill="C6EFCE"/>
            <w:noWrap/>
            <w:vAlign w:val="center"/>
          </w:tcPr>
          <w:p w14:paraId="0F3DE7CA" w14:textId="77777777" w:rsidR="00154E32" w:rsidRDefault="00A43E04">
            <w:pPr>
              <w:pStyle w:val="P68B1DB1-Normal12"/>
              <w:jc w:val="center"/>
              <w:rPr>
                <w:noProof/>
              </w:rPr>
            </w:pPr>
            <w:r>
              <w:rPr>
                <w:noProof/>
              </w:rPr>
              <w:t xml:space="preserve">Naložba 5.4 – Podpora zagonskim podjetjem in tveganemu kapitalu, dejavnemu v ekološkem prehodu. </w:t>
            </w:r>
          </w:p>
        </w:tc>
        <w:tc>
          <w:tcPr>
            <w:tcW w:w="1498" w:type="dxa"/>
            <w:tcBorders>
              <w:top w:val="nil"/>
              <w:left w:val="nil"/>
              <w:bottom w:val="single" w:sz="4" w:space="0" w:color="auto"/>
              <w:right w:val="single" w:sz="4" w:space="0" w:color="auto"/>
            </w:tcBorders>
            <w:shd w:val="clear" w:color="auto" w:fill="C6EFCE"/>
            <w:noWrap/>
            <w:vAlign w:val="center"/>
          </w:tcPr>
          <w:p w14:paraId="54F1E5BB"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5F071D5C" w14:textId="77777777" w:rsidR="00154E32" w:rsidRDefault="00A43E04">
            <w:pPr>
              <w:pStyle w:val="P68B1DB1-Normal12"/>
              <w:jc w:val="center"/>
              <w:rPr>
                <w:noProof/>
              </w:rPr>
            </w:pPr>
            <w:r>
              <w:rPr>
                <w:noProof/>
              </w:rPr>
              <w:t>Pravni sporazumi, podpisani s skladi tveganega kapitala in zagonskimi podjetji</w:t>
            </w:r>
          </w:p>
        </w:tc>
      </w:tr>
      <w:tr w:rsidR="00154E32" w14:paraId="75A3857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9B263F7" w14:textId="77777777" w:rsidR="00154E32" w:rsidRDefault="00A43E04">
            <w:pPr>
              <w:pStyle w:val="P68B1DB1-Normal12"/>
              <w:jc w:val="center"/>
              <w:rPr>
                <w:noProof/>
              </w:rPr>
            </w:pPr>
            <w:r>
              <w:rPr>
                <w:noProof/>
              </w:rPr>
              <w:t>M2C2–45</w:t>
            </w:r>
          </w:p>
        </w:tc>
        <w:tc>
          <w:tcPr>
            <w:tcW w:w="3090" w:type="dxa"/>
            <w:tcBorders>
              <w:top w:val="nil"/>
              <w:left w:val="nil"/>
              <w:bottom w:val="single" w:sz="4" w:space="0" w:color="auto"/>
              <w:right w:val="single" w:sz="4" w:space="0" w:color="auto"/>
            </w:tcBorders>
            <w:shd w:val="clear" w:color="auto" w:fill="C6EFCE"/>
            <w:noWrap/>
            <w:vAlign w:val="center"/>
          </w:tcPr>
          <w:p w14:paraId="7BB1E187" w14:textId="77777777" w:rsidR="00154E32" w:rsidRDefault="00A43E04">
            <w:pPr>
              <w:pStyle w:val="P68B1DB1-Normal12"/>
              <w:jc w:val="center"/>
              <w:rPr>
                <w:noProof/>
              </w:rPr>
            </w:pPr>
            <w:r>
              <w:rPr>
                <w:noProof/>
              </w:rPr>
              <w:t>Naložba 1.1 Razvoj kmetijsko-voltaičnih sistemov</w:t>
            </w:r>
          </w:p>
        </w:tc>
        <w:tc>
          <w:tcPr>
            <w:tcW w:w="1498" w:type="dxa"/>
            <w:tcBorders>
              <w:top w:val="nil"/>
              <w:left w:val="nil"/>
              <w:bottom w:val="single" w:sz="4" w:space="0" w:color="auto"/>
              <w:right w:val="single" w:sz="4" w:space="0" w:color="auto"/>
            </w:tcBorders>
            <w:shd w:val="clear" w:color="auto" w:fill="C6EFCE"/>
            <w:noWrap/>
            <w:vAlign w:val="center"/>
          </w:tcPr>
          <w:p w14:paraId="72260056"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36E7CCAB" w14:textId="77777777" w:rsidR="00154E32" w:rsidRDefault="00A43E04">
            <w:pPr>
              <w:pStyle w:val="P68B1DB1-Normal12"/>
              <w:jc w:val="center"/>
              <w:rPr>
                <w:noProof/>
              </w:rPr>
            </w:pPr>
            <w:r>
              <w:rPr>
                <w:noProof/>
              </w:rPr>
              <w:t xml:space="preserve">Namestitev fotovoltaičnih sončnih panelov v kmetijsko-voltaične sisteme </w:t>
            </w:r>
          </w:p>
        </w:tc>
      </w:tr>
      <w:tr w:rsidR="00154E32" w14:paraId="19D992B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D446C7E" w14:textId="77777777" w:rsidR="00154E32" w:rsidRDefault="00A43E04">
            <w:pPr>
              <w:pStyle w:val="P68B1DB1-Normal12"/>
              <w:jc w:val="center"/>
              <w:rPr>
                <w:noProof/>
              </w:rPr>
            </w:pPr>
            <w:r>
              <w:rPr>
                <w:noProof/>
              </w:rPr>
              <w:t>M2C2–47</w:t>
            </w:r>
          </w:p>
        </w:tc>
        <w:tc>
          <w:tcPr>
            <w:tcW w:w="3090" w:type="dxa"/>
            <w:tcBorders>
              <w:top w:val="nil"/>
              <w:left w:val="nil"/>
              <w:bottom w:val="single" w:sz="4" w:space="0" w:color="auto"/>
              <w:right w:val="single" w:sz="4" w:space="0" w:color="auto"/>
            </w:tcBorders>
            <w:shd w:val="clear" w:color="auto" w:fill="C6EFCE"/>
            <w:noWrap/>
            <w:vAlign w:val="center"/>
          </w:tcPr>
          <w:p w14:paraId="6502E939" w14:textId="77777777" w:rsidR="00154E32" w:rsidRDefault="00A43E04">
            <w:pPr>
              <w:pStyle w:val="P68B1DB1-Normal12"/>
              <w:jc w:val="center"/>
              <w:rPr>
                <w:noProof/>
              </w:rPr>
            </w:pPr>
            <w:r>
              <w:rPr>
                <w:noProof/>
              </w:rPr>
              <w:t>Naložba 1.2 Spodbujanje obnovljivih virov energije za energetske skupnosti in skupno delujoče samooskrbovalce z energijo iz obnovljivih virov</w:t>
            </w:r>
          </w:p>
        </w:tc>
        <w:tc>
          <w:tcPr>
            <w:tcW w:w="1498" w:type="dxa"/>
            <w:tcBorders>
              <w:top w:val="nil"/>
              <w:left w:val="nil"/>
              <w:bottom w:val="single" w:sz="4" w:space="0" w:color="auto"/>
              <w:right w:val="single" w:sz="4" w:space="0" w:color="auto"/>
            </w:tcBorders>
            <w:shd w:val="clear" w:color="auto" w:fill="C6EFCE"/>
            <w:noWrap/>
            <w:vAlign w:val="center"/>
          </w:tcPr>
          <w:p w14:paraId="3BBA2C8A"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704B7522" w14:textId="77777777" w:rsidR="00154E32" w:rsidRDefault="00A43E04">
            <w:pPr>
              <w:pStyle w:val="P68B1DB1-Normal12"/>
              <w:jc w:val="center"/>
              <w:rPr>
                <w:noProof/>
              </w:rPr>
            </w:pPr>
            <w:r>
              <w:rPr>
                <w:noProof/>
              </w:rPr>
              <w:t>Proizvodnja energije iz obnovljivih virov v energetskih skupnostih in skupno delujočih samooskrbovalcev z energijo iz obnovljivih virov</w:t>
            </w:r>
          </w:p>
        </w:tc>
      </w:tr>
      <w:tr w:rsidR="00154E32" w14:paraId="48C07CD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ADF1A07" w14:textId="77777777" w:rsidR="00154E32" w:rsidRDefault="00A43E04">
            <w:pPr>
              <w:pStyle w:val="P68B1DB1-Normal12"/>
              <w:jc w:val="center"/>
              <w:rPr>
                <w:noProof/>
              </w:rPr>
            </w:pPr>
            <w:r>
              <w:rPr>
                <w:noProof/>
              </w:rPr>
              <w:t>M2C2–49</w:t>
            </w:r>
          </w:p>
        </w:tc>
        <w:tc>
          <w:tcPr>
            <w:tcW w:w="3090" w:type="dxa"/>
            <w:tcBorders>
              <w:top w:val="nil"/>
              <w:left w:val="nil"/>
              <w:bottom w:val="single" w:sz="4" w:space="0" w:color="auto"/>
              <w:right w:val="single" w:sz="4" w:space="0" w:color="auto"/>
            </w:tcBorders>
            <w:shd w:val="clear" w:color="auto" w:fill="C6EFCE"/>
            <w:noWrap/>
            <w:vAlign w:val="center"/>
          </w:tcPr>
          <w:p w14:paraId="6BF64F50" w14:textId="77777777" w:rsidR="00154E32" w:rsidRDefault="00A43E04">
            <w:pPr>
              <w:pStyle w:val="P68B1DB1-Normal12"/>
              <w:jc w:val="center"/>
              <w:rPr>
                <w:noProof/>
              </w:rPr>
            </w:pPr>
            <w:r>
              <w:rPr>
                <w:noProof/>
              </w:rPr>
              <w:t>Naložba 3.1 Proizvodnja vodika na degradiranih območjih (hidrogenska dolina)</w:t>
            </w:r>
          </w:p>
        </w:tc>
        <w:tc>
          <w:tcPr>
            <w:tcW w:w="1498" w:type="dxa"/>
            <w:tcBorders>
              <w:top w:val="nil"/>
              <w:left w:val="nil"/>
              <w:bottom w:val="single" w:sz="4" w:space="0" w:color="auto"/>
              <w:right w:val="single" w:sz="4" w:space="0" w:color="auto"/>
            </w:tcBorders>
            <w:shd w:val="clear" w:color="auto" w:fill="C6EFCE"/>
            <w:noWrap/>
            <w:vAlign w:val="center"/>
          </w:tcPr>
          <w:p w14:paraId="634DA8EC"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35563F20" w14:textId="77777777" w:rsidR="00154E32" w:rsidRDefault="00A43E04">
            <w:pPr>
              <w:pStyle w:val="P68B1DB1-Normal12"/>
              <w:jc w:val="center"/>
              <w:rPr>
                <w:noProof/>
              </w:rPr>
            </w:pPr>
            <w:r>
              <w:rPr>
                <w:noProof/>
              </w:rPr>
              <w:t>Zaključek projekta v zvezi s proizvodnjo vodika na industrijskih območjih</w:t>
            </w:r>
          </w:p>
        </w:tc>
      </w:tr>
      <w:tr w:rsidR="00154E32" w14:paraId="3DCC0C8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B8282F3" w14:textId="77777777" w:rsidR="00154E32" w:rsidRDefault="00A43E04">
            <w:pPr>
              <w:pStyle w:val="P68B1DB1-Normal12"/>
              <w:jc w:val="center"/>
              <w:rPr>
                <w:noProof/>
              </w:rPr>
            </w:pPr>
            <w:r>
              <w:rPr>
                <w:noProof/>
              </w:rPr>
              <w:t>M2C2–51</w:t>
            </w:r>
          </w:p>
        </w:tc>
        <w:tc>
          <w:tcPr>
            <w:tcW w:w="3090" w:type="dxa"/>
            <w:tcBorders>
              <w:top w:val="nil"/>
              <w:left w:val="nil"/>
              <w:bottom w:val="single" w:sz="4" w:space="0" w:color="auto"/>
              <w:right w:val="single" w:sz="4" w:space="0" w:color="auto"/>
            </w:tcBorders>
            <w:shd w:val="clear" w:color="auto" w:fill="C6EFCE"/>
            <w:noWrap/>
            <w:vAlign w:val="center"/>
          </w:tcPr>
          <w:p w14:paraId="78E67040" w14:textId="77777777" w:rsidR="00154E32" w:rsidRDefault="00A43E04">
            <w:pPr>
              <w:pStyle w:val="P68B1DB1-Normal12"/>
              <w:jc w:val="center"/>
              <w:rPr>
                <w:noProof/>
              </w:rPr>
            </w:pPr>
            <w:r>
              <w:rPr>
                <w:noProof/>
              </w:rPr>
              <w:t>Naložba 3.2 Uporaba vodika v industriji, v kateri je težko zmanjšati emisije</w:t>
            </w:r>
          </w:p>
        </w:tc>
        <w:tc>
          <w:tcPr>
            <w:tcW w:w="1498" w:type="dxa"/>
            <w:tcBorders>
              <w:top w:val="nil"/>
              <w:left w:val="nil"/>
              <w:bottom w:val="single" w:sz="4" w:space="0" w:color="auto"/>
              <w:right w:val="single" w:sz="4" w:space="0" w:color="auto"/>
            </w:tcBorders>
            <w:shd w:val="clear" w:color="auto" w:fill="C6EFCE"/>
            <w:noWrap/>
            <w:vAlign w:val="center"/>
          </w:tcPr>
          <w:p w14:paraId="3B6D4E7F"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6B6932BA" w14:textId="77777777" w:rsidR="00154E32" w:rsidRDefault="00A43E04">
            <w:pPr>
              <w:pStyle w:val="P68B1DB1-Normal12"/>
              <w:jc w:val="center"/>
              <w:rPr>
                <w:noProof/>
              </w:rPr>
            </w:pPr>
            <w:r>
              <w:rPr>
                <w:noProof/>
              </w:rPr>
              <w:t>Uvedba vodika v industrijskem procesu</w:t>
            </w:r>
          </w:p>
        </w:tc>
      </w:tr>
      <w:tr w:rsidR="00154E32" w14:paraId="4BCA14D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80A1DD1" w14:textId="77777777" w:rsidR="00154E32" w:rsidRDefault="00A43E04">
            <w:pPr>
              <w:pStyle w:val="P68B1DB1-Normal12"/>
              <w:jc w:val="center"/>
              <w:rPr>
                <w:noProof/>
              </w:rPr>
            </w:pPr>
            <w:r>
              <w:rPr>
                <w:noProof/>
              </w:rPr>
              <w:t>M2C2–53</w:t>
            </w:r>
          </w:p>
        </w:tc>
        <w:tc>
          <w:tcPr>
            <w:tcW w:w="3090" w:type="dxa"/>
            <w:tcBorders>
              <w:top w:val="nil"/>
              <w:left w:val="nil"/>
              <w:bottom w:val="single" w:sz="4" w:space="0" w:color="auto"/>
              <w:right w:val="single" w:sz="4" w:space="0" w:color="auto"/>
            </w:tcBorders>
            <w:shd w:val="clear" w:color="auto" w:fill="C6EFCE"/>
            <w:noWrap/>
            <w:vAlign w:val="center"/>
          </w:tcPr>
          <w:p w14:paraId="1726B54B" w14:textId="77777777" w:rsidR="00154E32" w:rsidRDefault="00A43E04">
            <w:pPr>
              <w:pStyle w:val="P68B1DB1-Normal12"/>
              <w:jc w:val="center"/>
              <w:rPr>
                <w:noProof/>
              </w:rPr>
            </w:pPr>
            <w:r>
              <w:rPr>
                <w:noProof/>
              </w:rPr>
              <w:t>Naložba 5.2 Vodenje</w:t>
            </w:r>
          </w:p>
        </w:tc>
        <w:tc>
          <w:tcPr>
            <w:tcW w:w="1498" w:type="dxa"/>
            <w:tcBorders>
              <w:top w:val="nil"/>
              <w:left w:val="nil"/>
              <w:bottom w:val="single" w:sz="4" w:space="0" w:color="auto"/>
              <w:right w:val="single" w:sz="4" w:space="0" w:color="auto"/>
            </w:tcBorders>
            <w:shd w:val="clear" w:color="auto" w:fill="C6EFCE"/>
            <w:noWrap/>
            <w:vAlign w:val="center"/>
          </w:tcPr>
          <w:p w14:paraId="4305B3F8"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4CD61400" w14:textId="77777777" w:rsidR="00154E32" w:rsidRDefault="00A43E04">
            <w:pPr>
              <w:pStyle w:val="P68B1DB1-Normal12"/>
              <w:jc w:val="center"/>
              <w:rPr>
                <w:noProof/>
              </w:rPr>
            </w:pPr>
            <w:r>
              <w:rPr>
                <w:noProof/>
              </w:rPr>
              <w:t xml:space="preserve">Oddaja vseh javnih naročil za dokončanje industrijskega obrata za proizvodnjo elektrolizatorjev </w:t>
            </w:r>
          </w:p>
        </w:tc>
      </w:tr>
      <w:tr w:rsidR="00154E32" w14:paraId="64961C4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28EA24C" w14:textId="77777777" w:rsidR="00154E32" w:rsidRDefault="00A43E04">
            <w:pPr>
              <w:pStyle w:val="P68B1DB1-Normal12"/>
              <w:jc w:val="center"/>
              <w:rPr>
                <w:noProof/>
              </w:rPr>
            </w:pPr>
            <w:r>
              <w:rPr>
                <w:noProof/>
              </w:rPr>
              <w:t>M2C4–11b</w:t>
            </w:r>
          </w:p>
        </w:tc>
        <w:tc>
          <w:tcPr>
            <w:tcW w:w="3090" w:type="dxa"/>
            <w:tcBorders>
              <w:top w:val="nil"/>
              <w:left w:val="nil"/>
              <w:bottom w:val="single" w:sz="4" w:space="0" w:color="auto"/>
              <w:right w:val="single" w:sz="4" w:space="0" w:color="auto"/>
            </w:tcBorders>
            <w:shd w:val="clear" w:color="auto" w:fill="C6EFCE"/>
            <w:noWrap/>
            <w:vAlign w:val="center"/>
          </w:tcPr>
          <w:p w14:paraId="54F512CD" w14:textId="77777777" w:rsidR="00154E32" w:rsidRDefault="00A43E04">
            <w:pPr>
              <w:pStyle w:val="P68B1DB1-Normal12"/>
              <w:jc w:val="center"/>
              <w:rPr>
                <w:noProof/>
              </w:rPr>
            </w:pPr>
            <w:r>
              <w:rPr>
                <w:noProof/>
              </w:rPr>
              <w:t>Naložba 2.1.a Ukrepi za zmanjšanje tveganja poplav in hidrogeološkega tveganja – intervencije v Emiliji-Romanja, Toskani in Marke</w:t>
            </w:r>
          </w:p>
        </w:tc>
        <w:tc>
          <w:tcPr>
            <w:tcW w:w="1498" w:type="dxa"/>
            <w:tcBorders>
              <w:top w:val="nil"/>
              <w:left w:val="nil"/>
              <w:bottom w:val="single" w:sz="4" w:space="0" w:color="auto"/>
              <w:right w:val="single" w:sz="4" w:space="0" w:color="auto"/>
            </w:tcBorders>
            <w:shd w:val="clear" w:color="auto" w:fill="C6EFCE"/>
            <w:noWrap/>
            <w:vAlign w:val="center"/>
          </w:tcPr>
          <w:p w14:paraId="58DF3077" w14:textId="77777777" w:rsidR="00154E32" w:rsidRDefault="00A43E04">
            <w:pPr>
              <w:pStyle w:val="P68B1DB1-Normal12"/>
              <w:jc w:val="center"/>
              <w:rPr>
                <w:noProof/>
              </w:rPr>
            </w:pPr>
            <w:r>
              <w:rPr>
                <w:noProof/>
              </w:rPr>
              <w:t>Mejnik</w:t>
            </w:r>
          </w:p>
        </w:tc>
        <w:tc>
          <w:tcPr>
            <w:tcW w:w="4091" w:type="dxa"/>
            <w:tcBorders>
              <w:top w:val="nil"/>
              <w:left w:val="nil"/>
              <w:bottom w:val="single" w:sz="4" w:space="0" w:color="auto"/>
              <w:right w:val="single" w:sz="4" w:space="0" w:color="auto"/>
            </w:tcBorders>
            <w:shd w:val="clear" w:color="auto" w:fill="C6EFCE"/>
            <w:noWrap/>
            <w:vAlign w:val="center"/>
          </w:tcPr>
          <w:p w14:paraId="055337F3" w14:textId="77777777" w:rsidR="00154E32" w:rsidRDefault="00A43E04">
            <w:pPr>
              <w:pStyle w:val="P68B1DB1-Normal12"/>
              <w:jc w:val="center"/>
              <w:rPr>
                <w:noProof/>
              </w:rPr>
            </w:pPr>
            <w:r>
              <w:rPr>
                <w:noProof/>
              </w:rPr>
              <w:t>Zaključek projektov</w:t>
            </w:r>
          </w:p>
        </w:tc>
      </w:tr>
      <w:tr w:rsidR="00154E32" w14:paraId="5572E44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DC78FB4" w14:textId="77777777" w:rsidR="00154E32" w:rsidRDefault="00A43E04">
            <w:pPr>
              <w:pStyle w:val="P68B1DB1-Normal12"/>
              <w:jc w:val="center"/>
              <w:rPr>
                <w:noProof/>
              </w:rPr>
            </w:pPr>
            <w:r>
              <w:rPr>
                <w:noProof/>
              </w:rPr>
              <w:t>M2C4–13</w:t>
            </w:r>
          </w:p>
        </w:tc>
        <w:tc>
          <w:tcPr>
            <w:tcW w:w="3090" w:type="dxa"/>
            <w:tcBorders>
              <w:top w:val="nil"/>
              <w:left w:val="nil"/>
              <w:bottom w:val="single" w:sz="4" w:space="0" w:color="auto"/>
              <w:right w:val="single" w:sz="4" w:space="0" w:color="auto"/>
            </w:tcBorders>
            <w:shd w:val="clear" w:color="auto" w:fill="C6EFCE"/>
            <w:noWrap/>
            <w:vAlign w:val="center"/>
          </w:tcPr>
          <w:p w14:paraId="1BE0EA46" w14:textId="77777777" w:rsidR="00154E32" w:rsidRDefault="00A43E04">
            <w:pPr>
              <w:pStyle w:val="P68B1DB1-Normal12"/>
              <w:jc w:val="center"/>
              <w:rPr>
                <w:noProof/>
              </w:rPr>
            </w:pPr>
            <w:r>
              <w:rPr>
                <w:noProof/>
              </w:rPr>
              <w:t>Naložba 2.1b – Ukrepi za zmanjšanje tveganja poplav in hidrogeološkega tveganja</w:t>
            </w:r>
          </w:p>
        </w:tc>
        <w:tc>
          <w:tcPr>
            <w:tcW w:w="1498" w:type="dxa"/>
            <w:tcBorders>
              <w:top w:val="nil"/>
              <w:left w:val="nil"/>
              <w:bottom w:val="single" w:sz="4" w:space="0" w:color="auto"/>
              <w:right w:val="single" w:sz="4" w:space="0" w:color="auto"/>
            </w:tcBorders>
            <w:shd w:val="clear" w:color="auto" w:fill="C6EFCE"/>
            <w:noWrap/>
            <w:vAlign w:val="center"/>
          </w:tcPr>
          <w:p w14:paraId="1E8838E7"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6AFBB59B" w14:textId="77777777" w:rsidR="00154E32" w:rsidRDefault="00A43E04">
            <w:pPr>
              <w:pStyle w:val="P68B1DB1-Normal12"/>
              <w:jc w:val="center"/>
              <w:rPr>
                <w:noProof/>
              </w:rPr>
            </w:pPr>
            <w:r>
              <w:rPr>
                <w:noProof/>
              </w:rPr>
              <w:t>Zaključek intervencij tipa D in vrste E</w:t>
            </w:r>
          </w:p>
        </w:tc>
      </w:tr>
      <w:tr w:rsidR="00154E32" w14:paraId="7A5BB38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3AC8A6E" w14:textId="77777777" w:rsidR="00154E32" w:rsidRDefault="00A43E04">
            <w:pPr>
              <w:pStyle w:val="P68B1DB1-Normal12"/>
              <w:jc w:val="center"/>
              <w:rPr>
                <w:noProof/>
              </w:rPr>
            </w:pPr>
            <w:r>
              <w:rPr>
                <w:noProof/>
              </w:rPr>
              <w:t>M2C4–20a</w:t>
            </w:r>
          </w:p>
        </w:tc>
        <w:tc>
          <w:tcPr>
            <w:tcW w:w="3090" w:type="dxa"/>
            <w:tcBorders>
              <w:top w:val="nil"/>
              <w:left w:val="nil"/>
              <w:bottom w:val="single" w:sz="4" w:space="0" w:color="auto"/>
              <w:right w:val="single" w:sz="4" w:space="0" w:color="auto"/>
            </w:tcBorders>
            <w:shd w:val="clear" w:color="auto" w:fill="C6EFCE"/>
            <w:noWrap/>
            <w:vAlign w:val="center"/>
          </w:tcPr>
          <w:p w14:paraId="7D47637E" w14:textId="77777777" w:rsidR="00154E32" w:rsidRDefault="00A43E04">
            <w:pPr>
              <w:pStyle w:val="P68B1DB1-Normal12"/>
              <w:jc w:val="center"/>
              <w:rPr>
                <w:noProof/>
              </w:rPr>
            </w:pPr>
            <w:r>
              <w:rPr>
                <w:noProof/>
              </w:rPr>
              <w:t>Naložbe. 3.1: Varstvo in krepitev mestnih in primestnih gozdov</w:t>
            </w:r>
          </w:p>
        </w:tc>
        <w:tc>
          <w:tcPr>
            <w:tcW w:w="1498" w:type="dxa"/>
            <w:tcBorders>
              <w:top w:val="nil"/>
              <w:left w:val="nil"/>
              <w:bottom w:val="single" w:sz="4" w:space="0" w:color="auto"/>
              <w:right w:val="single" w:sz="4" w:space="0" w:color="auto"/>
            </w:tcBorders>
            <w:shd w:val="clear" w:color="auto" w:fill="C6EFCE"/>
            <w:noWrap/>
            <w:vAlign w:val="center"/>
          </w:tcPr>
          <w:p w14:paraId="36C0C831"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1CCCDD8A" w14:textId="77777777" w:rsidR="00154E32" w:rsidRDefault="00A43E04">
            <w:pPr>
              <w:pStyle w:val="P68B1DB1-Normal12"/>
              <w:jc w:val="center"/>
              <w:rPr>
                <w:noProof/>
              </w:rPr>
            </w:pPr>
            <w:r>
              <w:rPr>
                <w:noProof/>
              </w:rPr>
              <w:t xml:space="preserve">Rastlinska drevesa za varstvo in valorizacijo mestnih in primestnih zelenih površin T3 </w:t>
            </w:r>
          </w:p>
        </w:tc>
      </w:tr>
      <w:tr w:rsidR="00154E32" w14:paraId="3260E17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B0304F5" w14:textId="77777777" w:rsidR="00154E32" w:rsidRDefault="00A43E04">
            <w:pPr>
              <w:pStyle w:val="P68B1DB1-Normal12"/>
              <w:jc w:val="center"/>
              <w:rPr>
                <w:noProof/>
              </w:rPr>
            </w:pPr>
            <w:r>
              <w:rPr>
                <w:noProof/>
              </w:rPr>
              <w:t>M2C4–34a</w:t>
            </w:r>
          </w:p>
        </w:tc>
        <w:tc>
          <w:tcPr>
            <w:tcW w:w="3090" w:type="dxa"/>
            <w:tcBorders>
              <w:top w:val="nil"/>
              <w:left w:val="nil"/>
              <w:bottom w:val="single" w:sz="4" w:space="0" w:color="auto"/>
              <w:right w:val="single" w:sz="4" w:space="0" w:color="auto"/>
            </w:tcBorders>
            <w:shd w:val="clear" w:color="auto" w:fill="C6EFCE"/>
            <w:noWrap/>
            <w:vAlign w:val="center"/>
          </w:tcPr>
          <w:p w14:paraId="2DE1E66C" w14:textId="77777777" w:rsidR="00154E32" w:rsidRDefault="00A43E04">
            <w:pPr>
              <w:pStyle w:val="P68B1DB1-Normal12"/>
              <w:jc w:val="center"/>
              <w:rPr>
                <w:noProof/>
              </w:rPr>
            </w:pPr>
            <w:r>
              <w:rPr>
                <w:noProof/>
              </w:rPr>
              <w:t>Naložba 4.3 Naložbe v odpornost namakalnega kmetijskega sistema za boljše upravljanje vodnih virov</w:t>
            </w:r>
          </w:p>
        </w:tc>
        <w:tc>
          <w:tcPr>
            <w:tcW w:w="1498" w:type="dxa"/>
            <w:tcBorders>
              <w:top w:val="nil"/>
              <w:left w:val="nil"/>
              <w:bottom w:val="single" w:sz="4" w:space="0" w:color="auto"/>
              <w:right w:val="single" w:sz="4" w:space="0" w:color="auto"/>
            </w:tcBorders>
            <w:shd w:val="clear" w:color="auto" w:fill="C6EFCE"/>
            <w:noWrap/>
            <w:vAlign w:val="center"/>
          </w:tcPr>
          <w:p w14:paraId="4E5198A5"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2B59E2DC" w14:textId="77777777" w:rsidR="00154E32" w:rsidRDefault="00A43E04">
            <w:pPr>
              <w:pStyle w:val="P68B1DB1-Normal12"/>
              <w:jc w:val="center"/>
              <w:rPr>
                <w:noProof/>
              </w:rPr>
            </w:pPr>
            <w:r>
              <w:rPr>
                <w:noProof/>
              </w:rPr>
              <w:t>Intervencije za odpornost namakalnega kmetijskega sistema za boljše upravljanje vodnih virov T1</w:t>
            </w:r>
          </w:p>
        </w:tc>
      </w:tr>
      <w:tr w:rsidR="00154E32" w14:paraId="31099E5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9B79B3B" w14:textId="77777777" w:rsidR="00154E32" w:rsidRDefault="00A43E04">
            <w:pPr>
              <w:pStyle w:val="P68B1DB1-Normal12"/>
              <w:jc w:val="center"/>
              <w:rPr>
                <w:noProof/>
              </w:rPr>
            </w:pPr>
            <w:r>
              <w:rPr>
                <w:noProof/>
              </w:rPr>
              <w:t>M3C1–6</w:t>
            </w:r>
          </w:p>
        </w:tc>
        <w:tc>
          <w:tcPr>
            <w:tcW w:w="3090" w:type="dxa"/>
            <w:tcBorders>
              <w:top w:val="nil"/>
              <w:left w:val="nil"/>
              <w:bottom w:val="single" w:sz="4" w:space="0" w:color="auto"/>
              <w:right w:val="single" w:sz="4" w:space="0" w:color="auto"/>
            </w:tcBorders>
            <w:shd w:val="clear" w:color="auto" w:fill="C6EFCE"/>
            <w:noWrap/>
            <w:vAlign w:val="center"/>
          </w:tcPr>
          <w:p w14:paraId="23CAF4F6" w14:textId="77777777" w:rsidR="00154E32" w:rsidRDefault="00A43E04">
            <w:pPr>
              <w:pStyle w:val="P68B1DB1-Normal12"/>
              <w:jc w:val="center"/>
              <w:rPr>
                <w:noProof/>
              </w:rPr>
            </w:pPr>
            <w:r>
              <w:rPr>
                <w:noProof/>
              </w:rPr>
              <w:t>Naložba 1.1 – Železniške povezave z jugom za potnike in tovor</w:t>
            </w:r>
          </w:p>
        </w:tc>
        <w:tc>
          <w:tcPr>
            <w:tcW w:w="1498" w:type="dxa"/>
            <w:tcBorders>
              <w:top w:val="nil"/>
              <w:left w:val="nil"/>
              <w:bottom w:val="single" w:sz="4" w:space="0" w:color="auto"/>
              <w:right w:val="single" w:sz="4" w:space="0" w:color="auto"/>
            </w:tcBorders>
            <w:shd w:val="clear" w:color="auto" w:fill="C6EFCE"/>
            <w:noWrap/>
            <w:vAlign w:val="center"/>
          </w:tcPr>
          <w:p w14:paraId="3C2442A1"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561CFC58" w14:textId="77777777" w:rsidR="00154E32" w:rsidRDefault="00A43E04">
            <w:pPr>
              <w:pStyle w:val="P68B1DB1-Normal12"/>
              <w:jc w:val="center"/>
              <w:rPr>
                <w:noProof/>
              </w:rPr>
            </w:pPr>
            <w:r>
              <w:rPr>
                <w:noProof/>
              </w:rPr>
              <w:t>Železnica za visoke hitrosti za potniški in tovorni promet na progah Napoli-Bari, Salerno-Reggio Calabria, Palermo-Catania</w:t>
            </w:r>
          </w:p>
        </w:tc>
      </w:tr>
      <w:tr w:rsidR="00154E32" w14:paraId="6C7B750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90CA920" w14:textId="77777777" w:rsidR="00154E32" w:rsidRDefault="00A43E04">
            <w:pPr>
              <w:pStyle w:val="P68B1DB1-Normal12"/>
              <w:jc w:val="center"/>
              <w:rPr>
                <w:noProof/>
              </w:rPr>
            </w:pPr>
            <w:r>
              <w:rPr>
                <w:noProof/>
              </w:rPr>
              <w:t>M3C1–24</w:t>
            </w:r>
          </w:p>
        </w:tc>
        <w:tc>
          <w:tcPr>
            <w:tcW w:w="3090" w:type="dxa"/>
            <w:tcBorders>
              <w:top w:val="nil"/>
              <w:left w:val="nil"/>
              <w:bottom w:val="single" w:sz="4" w:space="0" w:color="auto"/>
              <w:right w:val="single" w:sz="4" w:space="0" w:color="auto"/>
            </w:tcBorders>
            <w:shd w:val="clear" w:color="auto" w:fill="C6EFCE"/>
            <w:noWrap/>
            <w:vAlign w:val="center"/>
          </w:tcPr>
          <w:p w14:paraId="55C126F0" w14:textId="77777777" w:rsidR="00154E32" w:rsidRDefault="00A43E04">
            <w:pPr>
              <w:pStyle w:val="P68B1DB1-Normal12"/>
              <w:jc w:val="center"/>
              <w:rPr>
                <w:noProof/>
              </w:rPr>
            </w:pPr>
            <w:r>
              <w:rPr>
                <w:noProof/>
              </w:rPr>
              <w:t>Naložba 1.9 Medregionalne povezave</w:t>
            </w:r>
          </w:p>
        </w:tc>
        <w:tc>
          <w:tcPr>
            <w:tcW w:w="1498" w:type="dxa"/>
            <w:tcBorders>
              <w:top w:val="nil"/>
              <w:left w:val="nil"/>
              <w:bottom w:val="single" w:sz="4" w:space="0" w:color="auto"/>
              <w:right w:val="single" w:sz="4" w:space="0" w:color="auto"/>
            </w:tcBorders>
            <w:shd w:val="clear" w:color="auto" w:fill="C6EFCE"/>
            <w:noWrap/>
            <w:vAlign w:val="center"/>
          </w:tcPr>
          <w:p w14:paraId="6DFF97C2"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016DCDC3" w14:textId="77777777" w:rsidR="00154E32" w:rsidRDefault="00A43E04">
            <w:pPr>
              <w:pStyle w:val="P68B1DB1-Normal12"/>
              <w:jc w:val="center"/>
              <w:rPr>
                <w:noProof/>
              </w:rPr>
            </w:pPr>
            <w:r>
              <w:rPr>
                <w:noProof/>
              </w:rPr>
              <w:t>Naložba 1.9 Medregionalne povezave</w:t>
            </w:r>
          </w:p>
        </w:tc>
      </w:tr>
      <w:tr w:rsidR="00154E32" w14:paraId="37D95E9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7464AF0" w14:textId="77777777" w:rsidR="00154E32" w:rsidRDefault="00A43E04">
            <w:pPr>
              <w:pStyle w:val="P68B1DB1-Normal12"/>
              <w:jc w:val="center"/>
              <w:rPr>
                <w:noProof/>
              </w:rPr>
            </w:pPr>
            <w:r>
              <w:rPr>
                <w:noProof/>
              </w:rPr>
              <w:t>M3C1–9</w:t>
            </w:r>
          </w:p>
        </w:tc>
        <w:tc>
          <w:tcPr>
            <w:tcW w:w="3090" w:type="dxa"/>
            <w:tcBorders>
              <w:top w:val="nil"/>
              <w:left w:val="nil"/>
              <w:bottom w:val="single" w:sz="4" w:space="0" w:color="auto"/>
              <w:right w:val="single" w:sz="4" w:space="0" w:color="auto"/>
            </w:tcBorders>
            <w:shd w:val="clear" w:color="auto" w:fill="C6EFCE"/>
            <w:noWrap/>
            <w:vAlign w:val="center"/>
          </w:tcPr>
          <w:p w14:paraId="3EB5CF0D" w14:textId="77777777" w:rsidR="00154E32" w:rsidRDefault="00A43E04">
            <w:pPr>
              <w:pStyle w:val="P68B1DB1-Normal12"/>
              <w:jc w:val="center"/>
              <w:rPr>
                <w:noProof/>
              </w:rPr>
            </w:pPr>
            <w:r>
              <w:rPr>
                <w:noProof/>
              </w:rPr>
              <w:t>Naložba 1.2 – proge za visoke hitrosti na severu, ki povezujejo s preostalo Evropo</w:t>
            </w:r>
          </w:p>
        </w:tc>
        <w:tc>
          <w:tcPr>
            <w:tcW w:w="1498" w:type="dxa"/>
            <w:tcBorders>
              <w:top w:val="nil"/>
              <w:left w:val="nil"/>
              <w:bottom w:val="single" w:sz="4" w:space="0" w:color="auto"/>
              <w:right w:val="single" w:sz="4" w:space="0" w:color="auto"/>
            </w:tcBorders>
            <w:shd w:val="clear" w:color="auto" w:fill="C6EFCE"/>
            <w:noWrap/>
            <w:vAlign w:val="center"/>
          </w:tcPr>
          <w:p w14:paraId="5FD4F4D8"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07C1FB7B" w14:textId="77777777" w:rsidR="00154E32" w:rsidRDefault="00A43E04">
            <w:pPr>
              <w:pStyle w:val="P68B1DB1-Normal12"/>
              <w:jc w:val="center"/>
              <w:rPr>
                <w:noProof/>
              </w:rPr>
            </w:pPr>
            <w:r>
              <w:rPr>
                <w:noProof/>
              </w:rPr>
              <w:t>Železnica za visoke hitrosti za potnike in tovorni promet na progah Brescia-Verona-Vicenza-Padova; Liguria-Alpi.</w:t>
            </w:r>
          </w:p>
        </w:tc>
      </w:tr>
      <w:tr w:rsidR="00154E32" w14:paraId="5B84FC37"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90DEC6B" w14:textId="77777777" w:rsidR="00154E32" w:rsidRDefault="00A43E04">
            <w:pPr>
              <w:pStyle w:val="P68B1DB1-Normal12"/>
              <w:jc w:val="center"/>
              <w:rPr>
                <w:noProof/>
              </w:rPr>
            </w:pPr>
            <w:r>
              <w:rPr>
                <w:noProof/>
              </w:rPr>
              <w:t>M3C1–11</w:t>
            </w:r>
          </w:p>
        </w:tc>
        <w:tc>
          <w:tcPr>
            <w:tcW w:w="3090" w:type="dxa"/>
            <w:tcBorders>
              <w:top w:val="nil"/>
              <w:left w:val="nil"/>
              <w:bottom w:val="single" w:sz="4" w:space="0" w:color="auto"/>
              <w:right w:val="single" w:sz="4" w:space="0" w:color="auto"/>
            </w:tcBorders>
            <w:shd w:val="clear" w:color="auto" w:fill="C6EFCE"/>
            <w:noWrap/>
            <w:vAlign w:val="center"/>
          </w:tcPr>
          <w:p w14:paraId="1633957F" w14:textId="77777777" w:rsidR="00154E32" w:rsidRDefault="00A43E04">
            <w:pPr>
              <w:pStyle w:val="P68B1DB1-Normal12"/>
              <w:jc w:val="center"/>
              <w:rPr>
                <w:noProof/>
              </w:rPr>
            </w:pPr>
            <w:r>
              <w:rPr>
                <w:noProof/>
              </w:rPr>
              <w:t>Naložba 1.3 – Diagonalne povezave</w:t>
            </w:r>
          </w:p>
        </w:tc>
        <w:tc>
          <w:tcPr>
            <w:tcW w:w="1498" w:type="dxa"/>
            <w:tcBorders>
              <w:top w:val="nil"/>
              <w:left w:val="nil"/>
              <w:bottom w:val="single" w:sz="4" w:space="0" w:color="auto"/>
              <w:right w:val="single" w:sz="4" w:space="0" w:color="auto"/>
            </w:tcBorders>
            <w:shd w:val="clear" w:color="auto" w:fill="C6EFCE"/>
            <w:noWrap/>
            <w:vAlign w:val="center"/>
          </w:tcPr>
          <w:p w14:paraId="53FAEDB2"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5C7DA738" w14:textId="77777777" w:rsidR="00154E32" w:rsidRDefault="00A43E04">
            <w:pPr>
              <w:pStyle w:val="P68B1DB1-Normal12"/>
              <w:jc w:val="center"/>
              <w:rPr>
                <w:noProof/>
              </w:rPr>
            </w:pPr>
            <w:r>
              <w:rPr>
                <w:noProof/>
              </w:rPr>
              <w:t>Železnica za visoke hitrosti za potnike in tovor na progi Orte-Falconara in Taranto -Metaponto-Potenza-Battipaglia</w:t>
            </w:r>
          </w:p>
        </w:tc>
      </w:tr>
      <w:tr w:rsidR="00154E32" w14:paraId="750EBBC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7CCA0E6" w14:textId="77777777" w:rsidR="00154E32" w:rsidRDefault="00A43E04">
            <w:pPr>
              <w:pStyle w:val="P68B1DB1-Normal12"/>
              <w:jc w:val="center"/>
              <w:rPr>
                <w:noProof/>
              </w:rPr>
            </w:pPr>
            <w:r>
              <w:rPr>
                <w:noProof/>
              </w:rPr>
              <w:t>M3C1–14</w:t>
            </w:r>
          </w:p>
        </w:tc>
        <w:tc>
          <w:tcPr>
            <w:tcW w:w="3090" w:type="dxa"/>
            <w:tcBorders>
              <w:top w:val="nil"/>
              <w:left w:val="nil"/>
              <w:bottom w:val="single" w:sz="4" w:space="0" w:color="auto"/>
              <w:right w:val="single" w:sz="4" w:space="0" w:color="auto"/>
            </w:tcBorders>
            <w:shd w:val="clear" w:color="auto" w:fill="C6EFCE"/>
            <w:noWrap/>
            <w:vAlign w:val="center"/>
          </w:tcPr>
          <w:p w14:paraId="20456602" w14:textId="77777777" w:rsidR="00154E32" w:rsidRDefault="00A43E04">
            <w:pPr>
              <w:pStyle w:val="P68B1DB1-Normal12"/>
              <w:jc w:val="center"/>
              <w:rPr>
                <w:noProof/>
              </w:rPr>
            </w:pPr>
            <w:r>
              <w:rPr>
                <w:noProof/>
              </w:rPr>
              <w:t>Naložba 1.4 – Vzpostavitev evropskega sistema za upravljanje železniškega prometa (ERTMS)</w:t>
            </w:r>
          </w:p>
        </w:tc>
        <w:tc>
          <w:tcPr>
            <w:tcW w:w="1498" w:type="dxa"/>
            <w:tcBorders>
              <w:top w:val="nil"/>
              <w:left w:val="nil"/>
              <w:bottom w:val="single" w:sz="4" w:space="0" w:color="auto"/>
              <w:right w:val="single" w:sz="4" w:space="0" w:color="auto"/>
            </w:tcBorders>
            <w:shd w:val="clear" w:color="auto" w:fill="C6EFCE"/>
            <w:noWrap/>
            <w:vAlign w:val="center"/>
          </w:tcPr>
          <w:p w14:paraId="21671506"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0A9E46CC" w14:textId="77777777" w:rsidR="00154E32" w:rsidRDefault="00A43E04">
            <w:pPr>
              <w:pStyle w:val="P68B1DB1-Normal12"/>
              <w:jc w:val="center"/>
              <w:rPr>
                <w:noProof/>
              </w:rPr>
            </w:pPr>
            <w:r>
              <w:rPr>
                <w:noProof/>
              </w:rPr>
              <w:t>2 785 km železniških prog, opremljenih z evropskim sistemom za upravljanje železniškega prometa</w:t>
            </w:r>
          </w:p>
        </w:tc>
      </w:tr>
      <w:tr w:rsidR="00154E32" w14:paraId="04AAEB9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145A511" w14:textId="77777777" w:rsidR="00154E32" w:rsidRDefault="00A43E04">
            <w:pPr>
              <w:pStyle w:val="P68B1DB1-Normal12"/>
              <w:jc w:val="center"/>
              <w:rPr>
                <w:noProof/>
              </w:rPr>
            </w:pPr>
            <w:r>
              <w:rPr>
                <w:noProof/>
              </w:rPr>
              <w:t>M3C1–16</w:t>
            </w:r>
          </w:p>
        </w:tc>
        <w:tc>
          <w:tcPr>
            <w:tcW w:w="3090" w:type="dxa"/>
            <w:tcBorders>
              <w:top w:val="nil"/>
              <w:left w:val="nil"/>
              <w:bottom w:val="single" w:sz="4" w:space="0" w:color="auto"/>
              <w:right w:val="single" w:sz="4" w:space="0" w:color="auto"/>
            </w:tcBorders>
            <w:shd w:val="clear" w:color="auto" w:fill="C6EFCE"/>
            <w:noWrap/>
            <w:vAlign w:val="center"/>
          </w:tcPr>
          <w:p w14:paraId="77DA61CD" w14:textId="77777777" w:rsidR="00154E32" w:rsidRDefault="00A43E04">
            <w:pPr>
              <w:pStyle w:val="P68B1DB1-Normal12"/>
              <w:jc w:val="center"/>
              <w:rPr>
                <w:noProof/>
              </w:rPr>
            </w:pPr>
            <w:r>
              <w:rPr>
                <w:noProof/>
              </w:rPr>
              <w:t>Naložba 1.5 – Krepitev metropolitanskih vozlišč in ključnih nacionalnih povezav</w:t>
            </w:r>
          </w:p>
        </w:tc>
        <w:tc>
          <w:tcPr>
            <w:tcW w:w="1498" w:type="dxa"/>
            <w:tcBorders>
              <w:top w:val="nil"/>
              <w:left w:val="nil"/>
              <w:bottom w:val="single" w:sz="4" w:space="0" w:color="auto"/>
              <w:right w:val="single" w:sz="4" w:space="0" w:color="auto"/>
            </w:tcBorders>
            <w:shd w:val="clear" w:color="auto" w:fill="C6EFCE"/>
            <w:noWrap/>
            <w:vAlign w:val="center"/>
          </w:tcPr>
          <w:p w14:paraId="0FE6F381"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2A18636C" w14:textId="77777777" w:rsidR="00154E32" w:rsidRDefault="00A43E04">
            <w:pPr>
              <w:pStyle w:val="P68B1DB1-Normal12"/>
              <w:jc w:val="center"/>
              <w:rPr>
                <w:noProof/>
              </w:rPr>
            </w:pPr>
            <w:r>
              <w:rPr>
                <w:noProof/>
              </w:rPr>
              <w:t>1 280 km nadgrajenih odsekov prog, zgrajenih na metropolitanskih vozliščih in ključnih nacionalnih povezavah</w:t>
            </w:r>
          </w:p>
        </w:tc>
      </w:tr>
      <w:tr w:rsidR="00154E32" w14:paraId="6E95A14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C1DEDE2" w14:textId="77777777" w:rsidR="00154E32" w:rsidRDefault="00A43E04">
            <w:pPr>
              <w:pStyle w:val="P68B1DB1-Normal12"/>
              <w:jc w:val="center"/>
              <w:rPr>
                <w:noProof/>
              </w:rPr>
            </w:pPr>
            <w:r>
              <w:rPr>
                <w:noProof/>
              </w:rPr>
              <w:t>M3C1–17a</w:t>
            </w:r>
          </w:p>
        </w:tc>
        <w:tc>
          <w:tcPr>
            <w:tcW w:w="3090" w:type="dxa"/>
            <w:tcBorders>
              <w:top w:val="nil"/>
              <w:left w:val="nil"/>
              <w:bottom w:val="single" w:sz="4" w:space="0" w:color="auto"/>
              <w:right w:val="single" w:sz="4" w:space="0" w:color="auto"/>
            </w:tcBorders>
            <w:shd w:val="clear" w:color="auto" w:fill="C6EFCE"/>
            <w:noWrap/>
            <w:vAlign w:val="center"/>
          </w:tcPr>
          <w:p w14:paraId="133BB6A5" w14:textId="77777777" w:rsidR="00154E32" w:rsidRDefault="00A43E04">
            <w:pPr>
              <w:pStyle w:val="P68B1DB1-Normal12"/>
              <w:jc w:val="center"/>
              <w:rPr>
                <w:noProof/>
              </w:rPr>
            </w:pPr>
            <w:r>
              <w:rPr>
                <w:noProof/>
              </w:rPr>
              <w:t>Naložba 1.7 – Izpopolnitev, elektrifikacija in odpornost železnic na jugu</w:t>
            </w:r>
          </w:p>
        </w:tc>
        <w:tc>
          <w:tcPr>
            <w:tcW w:w="1498" w:type="dxa"/>
            <w:tcBorders>
              <w:top w:val="nil"/>
              <w:left w:val="nil"/>
              <w:bottom w:val="single" w:sz="4" w:space="0" w:color="auto"/>
              <w:right w:val="single" w:sz="4" w:space="0" w:color="auto"/>
            </w:tcBorders>
            <w:shd w:val="clear" w:color="auto" w:fill="C6EFCE"/>
            <w:noWrap/>
            <w:vAlign w:val="center"/>
          </w:tcPr>
          <w:p w14:paraId="74DA8C9D"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7F515778" w14:textId="77777777" w:rsidR="00154E32" w:rsidRDefault="00A43E04">
            <w:pPr>
              <w:pStyle w:val="P68B1DB1-Normal12"/>
              <w:jc w:val="center"/>
              <w:rPr>
                <w:noProof/>
              </w:rPr>
            </w:pPr>
            <w:r>
              <w:rPr>
                <w:noProof/>
              </w:rPr>
              <w:t>650 km končanih del v zvezi z nadgradnjo, elektrifikacijo in odpornostjo železnic na jugu, pripravljenih za faze odobritve in obratovanja.</w:t>
            </w:r>
          </w:p>
        </w:tc>
      </w:tr>
      <w:tr w:rsidR="00154E32" w14:paraId="735E886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D594FBF" w14:textId="77777777" w:rsidR="00154E32" w:rsidRDefault="00A43E04">
            <w:pPr>
              <w:pStyle w:val="P68B1DB1-Normal12"/>
              <w:jc w:val="center"/>
              <w:rPr>
                <w:noProof/>
              </w:rPr>
            </w:pPr>
            <w:r>
              <w:rPr>
                <w:noProof/>
              </w:rPr>
              <w:t>M3C1–18</w:t>
            </w:r>
          </w:p>
        </w:tc>
        <w:tc>
          <w:tcPr>
            <w:tcW w:w="3090" w:type="dxa"/>
            <w:tcBorders>
              <w:top w:val="nil"/>
              <w:left w:val="nil"/>
              <w:bottom w:val="single" w:sz="4" w:space="0" w:color="auto"/>
              <w:right w:val="single" w:sz="4" w:space="0" w:color="auto"/>
            </w:tcBorders>
            <w:shd w:val="clear" w:color="auto" w:fill="C6EFCE"/>
            <w:noWrap/>
            <w:vAlign w:val="center"/>
          </w:tcPr>
          <w:p w14:paraId="665557AF" w14:textId="77777777" w:rsidR="00154E32" w:rsidRDefault="00A43E04">
            <w:pPr>
              <w:pStyle w:val="P68B1DB1-Normal12"/>
              <w:jc w:val="center"/>
              <w:rPr>
                <w:noProof/>
              </w:rPr>
            </w:pPr>
            <w:r>
              <w:rPr>
                <w:noProof/>
              </w:rPr>
              <w:t>Naložba 1.6 – Krepitev regionalnih prog – nadgradnja regionalnih železnic (upravljanje RFI)</w:t>
            </w:r>
          </w:p>
        </w:tc>
        <w:tc>
          <w:tcPr>
            <w:tcW w:w="1498" w:type="dxa"/>
            <w:tcBorders>
              <w:top w:val="nil"/>
              <w:left w:val="nil"/>
              <w:bottom w:val="single" w:sz="4" w:space="0" w:color="auto"/>
              <w:right w:val="single" w:sz="4" w:space="0" w:color="auto"/>
            </w:tcBorders>
            <w:shd w:val="clear" w:color="auto" w:fill="C6EFCE"/>
            <w:noWrap/>
            <w:vAlign w:val="center"/>
          </w:tcPr>
          <w:p w14:paraId="7311B3CE"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092BE0DF" w14:textId="77777777" w:rsidR="00154E32" w:rsidRDefault="00A43E04">
            <w:pPr>
              <w:pStyle w:val="P68B1DB1-Normal12"/>
              <w:jc w:val="center"/>
              <w:rPr>
                <w:noProof/>
              </w:rPr>
            </w:pPr>
            <w:r>
              <w:rPr>
                <w:noProof/>
              </w:rPr>
              <w:t>Nadgrajene regionalne proge, pripravljene za odobritev in operativne faze</w:t>
            </w:r>
          </w:p>
        </w:tc>
      </w:tr>
      <w:tr w:rsidR="00154E32" w14:paraId="2203FAC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CA2C204" w14:textId="77777777" w:rsidR="00154E32" w:rsidRDefault="00A43E04">
            <w:pPr>
              <w:pStyle w:val="P68B1DB1-Normal12"/>
              <w:jc w:val="center"/>
              <w:rPr>
                <w:noProof/>
              </w:rPr>
            </w:pPr>
            <w:r>
              <w:rPr>
                <w:noProof/>
              </w:rPr>
              <w:t>M3C1–20</w:t>
            </w:r>
          </w:p>
        </w:tc>
        <w:tc>
          <w:tcPr>
            <w:tcW w:w="3090" w:type="dxa"/>
            <w:tcBorders>
              <w:top w:val="nil"/>
              <w:left w:val="nil"/>
              <w:bottom w:val="single" w:sz="4" w:space="0" w:color="auto"/>
              <w:right w:val="single" w:sz="4" w:space="0" w:color="auto"/>
            </w:tcBorders>
            <w:shd w:val="clear" w:color="auto" w:fill="C6EFCE"/>
            <w:noWrap/>
            <w:vAlign w:val="center"/>
          </w:tcPr>
          <w:p w14:paraId="5AF9BFBC" w14:textId="77777777" w:rsidR="00154E32" w:rsidRDefault="00A43E04">
            <w:pPr>
              <w:pStyle w:val="P68B1DB1-Normal12"/>
              <w:jc w:val="center"/>
              <w:rPr>
                <w:noProof/>
              </w:rPr>
            </w:pPr>
            <w:r>
              <w:rPr>
                <w:noProof/>
              </w:rPr>
              <w:t>Naložba 1.8 – Posodobitev železniških postaj (upravljanje RFI; na jugu)</w:t>
            </w:r>
          </w:p>
        </w:tc>
        <w:tc>
          <w:tcPr>
            <w:tcW w:w="1498" w:type="dxa"/>
            <w:tcBorders>
              <w:top w:val="nil"/>
              <w:left w:val="nil"/>
              <w:bottom w:val="single" w:sz="4" w:space="0" w:color="auto"/>
              <w:right w:val="single" w:sz="4" w:space="0" w:color="auto"/>
            </w:tcBorders>
            <w:shd w:val="clear" w:color="auto" w:fill="C6EFCE"/>
            <w:noWrap/>
            <w:vAlign w:val="center"/>
          </w:tcPr>
          <w:p w14:paraId="3A3D768C"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62F9BE3C" w14:textId="77777777" w:rsidR="00154E32" w:rsidRDefault="00A43E04">
            <w:pPr>
              <w:pStyle w:val="P68B1DB1-Normal12"/>
              <w:jc w:val="center"/>
              <w:rPr>
                <w:noProof/>
              </w:rPr>
            </w:pPr>
            <w:r>
              <w:rPr>
                <w:noProof/>
              </w:rPr>
              <w:t>Nadgrajene in dostopne železniške postaje</w:t>
            </w:r>
          </w:p>
        </w:tc>
      </w:tr>
      <w:tr w:rsidR="00154E32" w14:paraId="3CE19A8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DB8B595" w14:textId="77777777" w:rsidR="00154E32" w:rsidRDefault="00A43E04">
            <w:pPr>
              <w:pStyle w:val="P68B1DB1-Normal12"/>
              <w:jc w:val="center"/>
              <w:rPr>
                <w:noProof/>
              </w:rPr>
            </w:pPr>
            <w:r>
              <w:rPr>
                <w:noProof/>
              </w:rPr>
              <w:t>M4C1–30</w:t>
            </w:r>
          </w:p>
        </w:tc>
        <w:tc>
          <w:tcPr>
            <w:tcW w:w="3090" w:type="dxa"/>
            <w:tcBorders>
              <w:top w:val="nil"/>
              <w:left w:val="nil"/>
              <w:bottom w:val="single" w:sz="4" w:space="0" w:color="auto"/>
              <w:right w:val="single" w:sz="4" w:space="0" w:color="auto"/>
            </w:tcBorders>
            <w:shd w:val="clear" w:color="auto" w:fill="C6EFCE"/>
            <w:noWrap/>
            <w:vAlign w:val="center"/>
          </w:tcPr>
          <w:p w14:paraId="021AD054" w14:textId="77777777" w:rsidR="00154E32" w:rsidRDefault="00A43E04">
            <w:pPr>
              <w:pStyle w:val="P68B1DB1-Normal12"/>
              <w:jc w:val="center"/>
              <w:rPr>
                <w:noProof/>
              </w:rPr>
            </w:pPr>
            <w:r>
              <w:rPr>
                <w:noProof/>
              </w:rPr>
              <w:t>Reforma 1.7: Reforma ureditve študentskih stanovanj in naložbe v študentska stanovanja</w:t>
            </w:r>
          </w:p>
        </w:tc>
        <w:tc>
          <w:tcPr>
            <w:tcW w:w="1498" w:type="dxa"/>
            <w:tcBorders>
              <w:top w:val="nil"/>
              <w:left w:val="nil"/>
              <w:bottom w:val="single" w:sz="4" w:space="0" w:color="auto"/>
              <w:right w:val="single" w:sz="4" w:space="0" w:color="auto"/>
            </w:tcBorders>
            <w:shd w:val="clear" w:color="auto" w:fill="C6EFCE"/>
            <w:noWrap/>
            <w:vAlign w:val="center"/>
          </w:tcPr>
          <w:p w14:paraId="59B6C6A9"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53F01850" w14:textId="77777777" w:rsidR="00154E32" w:rsidRDefault="00A43E04">
            <w:pPr>
              <w:pStyle w:val="P68B1DB1-Normal12"/>
              <w:jc w:val="center"/>
              <w:rPr>
                <w:noProof/>
              </w:rPr>
            </w:pPr>
            <w:r>
              <w:rPr>
                <w:noProof/>
              </w:rPr>
              <w:t>Študentske spalne nastanitvene enote, ustvarjene v skladu z ustrezno zakonodajo</w:t>
            </w:r>
          </w:p>
        </w:tc>
      </w:tr>
      <w:tr w:rsidR="00154E32" w14:paraId="7D0B675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5F1918C" w14:textId="77777777" w:rsidR="00154E32" w:rsidRDefault="00A43E04">
            <w:pPr>
              <w:pStyle w:val="P68B1DB1-Normal12"/>
              <w:jc w:val="center"/>
              <w:rPr>
                <w:noProof/>
              </w:rPr>
            </w:pPr>
            <w:r>
              <w:rPr>
                <w:noProof/>
              </w:rPr>
              <w:t>M4C2–9</w:t>
            </w:r>
          </w:p>
        </w:tc>
        <w:tc>
          <w:tcPr>
            <w:tcW w:w="3090" w:type="dxa"/>
            <w:tcBorders>
              <w:top w:val="nil"/>
              <w:left w:val="nil"/>
              <w:bottom w:val="single" w:sz="4" w:space="0" w:color="auto"/>
              <w:right w:val="single" w:sz="4" w:space="0" w:color="auto"/>
            </w:tcBorders>
            <w:shd w:val="clear" w:color="auto" w:fill="C6EFCE"/>
            <w:noWrap/>
            <w:vAlign w:val="center"/>
          </w:tcPr>
          <w:p w14:paraId="0F69684D" w14:textId="77777777" w:rsidR="00154E32" w:rsidRDefault="00A43E04">
            <w:pPr>
              <w:pStyle w:val="P68B1DB1-Normal12"/>
              <w:jc w:val="center"/>
              <w:rPr>
                <w:noProof/>
              </w:rPr>
            </w:pPr>
            <w:r>
              <w:rPr>
                <w:noProof/>
              </w:rPr>
              <w:t>Naložba 1.4: Krepitev raziskovalnih struktur in podpiranje oblikovanja „nacionalnih voditeljev na področju raziskav in razvoja“ na področju nekaterih ključnih omogočitvenih tehnologij</w:t>
            </w:r>
          </w:p>
        </w:tc>
        <w:tc>
          <w:tcPr>
            <w:tcW w:w="1498" w:type="dxa"/>
            <w:tcBorders>
              <w:top w:val="nil"/>
              <w:left w:val="nil"/>
              <w:bottom w:val="single" w:sz="4" w:space="0" w:color="auto"/>
              <w:right w:val="single" w:sz="4" w:space="0" w:color="auto"/>
            </w:tcBorders>
            <w:shd w:val="clear" w:color="auto" w:fill="C6EFCE"/>
            <w:noWrap/>
            <w:vAlign w:val="center"/>
          </w:tcPr>
          <w:p w14:paraId="59D30D8A"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10BB507C" w14:textId="77777777" w:rsidR="00154E32" w:rsidRDefault="00A43E04">
            <w:pPr>
              <w:pStyle w:val="P68B1DB1-Normal12"/>
              <w:jc w:val="center"/>
              <w:rPr>
                <w:noProof/>
              </w:rPr>
            </w:pPr>
            <w:r>
              <w:rPr>
                <w:noProof/>
              </w:rPr>
              <w:t xml:space="preserve">Nacionalni centri delujejo in izvajajo dejavnosti nacionalnih centrov na področju ključnih omogočitvenih tehnologij. </w:t>
            </w:r>
          </w:p>
        </w:tc>
      </w:tr>
      <w:tr w:rsidR="00154E32" w14:paraId="260B109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98904BF" w14:textId="77777777" w:rsidR="00154E32" w:rsidRDefault="00A43E04">
            <w:pPr>
              <w:pStyle w:val="P68B1DB1-Normal12"/>
              <w:jc w:val="center"/>
              <w:rPr>
                <w:noProof/>
              </w:rPr>
            </w:pPr>
            <w:r>
              <w:rPr>
                <w:noProof/>
              </w:rPr>
              <w:t>M4C2–14</w:t>
            </w:r>
          </w:p>
        </w:tc>
        <w:tc>
          <w:tcPr>
            <w:tcW w:w="3090" w:type="dxa"/>
            <w:tcBorders>
              <w:top w:val="nil"/>
              <w:left w:val="nil"/>
              <w:bottom w:val="single" w:sz="4" w:space="0" w:color="auto"/>
              <w:right w:val="single" w:sz="4" w:space="0" w:color="auto"/>
            </w:tcBorders>
            <w:shd w:val="clear" w:color="auto" w:fill="C6EFCE"/>
            <w:noWrap/>
            <w:vAlign w:val="center"/>
          </w:tcPr>
          <w:p w14:paraId="5887E26F" w14:textId="77777777" w:rsidR="00154E32" w:rsidRDefault="00A43E04">
            <w:pPr>
              <w:pStyle w:val="P68B1DB1-Normal12"/>
              <w:jc w:val="center"/>
              <w:rPr>
                <w:noProof/>
              </w:rPr>
            </w:pPr>
            <w:r>
              <w:rPr>
                <w:noProof/>
              </w:rPr>
              <w:t>Naložba 2.3: Krepitev in sektorska/ozemeljska razširitev centrov za prenos tehnologije po industrijskih segmentih</w:t>
            </w:r>
          </w:p>
        </w:tc>
        <w:tc>
          <w:tcPr>
            <w:tcW w:w="1498" w:type="dxa"/>
            <w:tcBorders>
              <w:top w:val="nil"/>
              <w:left w:val="nil"/>
              <w:bottom w:val="single" w:sz="4" w:space="0" w:color="auto"/>
              <w:right w:val="single" w:sz="4" w:space="0" w:color="auto"/>
            </w:tcBorders>
            <w:shd w:val="clear" w:color="auto" w:fill="C6EFCE"/>
            <w:noWrap/>
            <w:vAlign w:val="center"/>
          </w:tcPr>
          <w:p w14:paraId="7006AE5D"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4B5C1128" w14:textId="77777777" w:rsidR="00154E32" w:rsidRDefault="00A43E04">
            <w:pPr>
              <w:pStyle w:val="P68B1DB1-Normal12"/>
              <w:jc w:val="center"/>
              <w:rPr>
                <w:noProof/>
              </w:rPr>
            </w:pPr>
            <w:r>
              <w:rPr>
                <w:noProof/>
              </w:rPr>
              <w:t xml:space="preserve">Izplačilo finančne vrednosti 307 000 000 EUR. </w:t>
            </w:r>
          </w:p>
        </w:tc>
      </w:tr>
      <w:tr w:rsidR="00154E32" w14:paraId="5EFEE5E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1890BCA" w14:textId="77777777" w:rsidR="00154E32" w:rsidRDefault="00A43E04">
            <w:pPr>
              <w:pStyle w:val="P68B1DB1-Normal12"/>
              <w:jc w:val="center"/>
              <w:rPr>
                <w:noProof/>
              </w:rPr>
            </w:pPr>
            <w:r>
              <w:rPr>
                <w:noProof/>
              </w:rPr>
              <w:t>M4C2–15</w:t>
            </w:r>
          </w:p>
        </w:tc>
        <w:tc>
          <w:tcPr>
            <w:tcW w:w="3090" w:type="dxa"/>
            <w:tcBorders>
              <w:top w:val="nil"/>
              <w:left w:val="nil"/>
              <w:bottom w:val="single" w:sz="4" w:space="0" w:color="auto"/>
              <w:right w:val="single" w:sz="4" w:space="0" w:color="auto"/>
            </w:tcBorders>
            <w:shd w:val="clear" w:color="auto" w:fill="C6EFCE"/>
            <w:noWrap/>
            <w:vAlign w:val="center"/>
          </w:tcPr>
          <w:p w14:paraId="5195F310" w14:textId="77777777" w:rsidR="00154E32" w:rsidRDefault="00A43E04">
            <w:pPr>
              <w:pStyle w:val="P68B1DB1-Normal12"/>
              <w:jc w:val="center"/>
              <w:rPr>
                <w:noProof/>
              </w:rPr>
            </w:pPr>
            <w:r>
              <w:rPr>
                <w:noProof/>
              </w:rPr>
              <w:t>Naložba 2.3: Krepitev in sektorska/ozemeljska razširitev centrov za prenos tehnologije po industrijskih segmentih</w:t>
            </w:r>
          </w:p>
        </w:tc>
        <w:tc>
          <w:tcPr>
            <w:tcW w:w="1498" w:type="dxa"/>
            <w:tcBorders>
              <w:top w:val="nil"/>
              <w:left w:val="nil"/>
              <w:bottom w:val="single" w:sz="4" w:space="0" w:color="auto"/>
              <w:right w:val="single" w:sz="4" w:space="0" w:color="auto"/>
            </w:tcBorders>
            <w:shd w:val="clear" w:color="auto" w:fill="C6EFCE"/>
            <w:noWrap/>
            <w:vAlign w:val="center"/>
          </w:tcPr>
          <w:p w14:paraId="009A8CE0"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441B1B9B" w14:textId="77777777" w:rsidR="00154E32" w:rsidRDefault="00A43E04">
            <w:pPr>
              <w:pStyle w:val="P68B1DB1-Normal12"/>
              <w:jc w:val="center"/>
              <w:rPr>
                <w:noProof/>
              </w:rPr>
            </w:pPr>
            <w:r>
              <w:rPr>
                <w:noProof/>
              </w:rPr>
              <w:t>Število podprtih MSP</w:t>
            </w:r>
          </w:p>
        </w:tc>
      </w:tr>
      <w:tr w:rsidR="00154E32" w14:paraId="6326F41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3C76127" w14:textId="77777777" w:rsidR="00154E32" w:rsidRDefault="00A43E04">
            <w:pPr>
              <w:pStyle w:val="P68B1DB1-Normal12"/>
              <w:jc w:val="center"/>
              <w:rPr>
                <w:noProof/>
              </w:rPr>
            </w:pPr>
            <w:r>
              <w:rPr>
                <w:noProof/>
              </w:rPr>
              <w:t>M4C2–15a</w:t>
            </w:r>
          </w:p>
        </w:tc>
        <w:tc>
          <w:tcPr>
            <w:tcW w:w="3090" w:type="dxa"/>
            <w:tcBorders>
              <w:top w:val="nil"/>
              <w:left w:val="nil"/>
              <w:bottom w:val="single" w:sz="4" w:space="0" w:color="auto"/>
              <w:right w:val="single" w:sz="4" w:space="0" w:color="auto"/>
            </w:tcBorders>
            <w:shd w:val="clear" w:color="auto" w:fill="C6EFCE"/>
            <w:noWrap/>
            <w:vAlign w:val="center"/>
          </w:tcPr>
          <w:p w14:paraId="42E70DE1" w14:textId="77777777" w:rsidR="00154E32" w:rsidRDefault="00A43E04">
            <w:pPr>
              <w:pStyle w:val="P68B1DB1-Normal12"/>
              <w:jc w:val="center"/>
              <w:rPr>
                <w:noProof/>
              </w:rPr>
            </w:pPr>
            <w:r>
              <w:rPr>
                <w:noProof/>
              </w:rPr>
              <w:t>Naložba 2.3: Krepitev in sektorska/ozemeljska razširitev centrov za prenos tehnologije po industrijskih segmentih</w:t>
            </w:r>
          </w:p>
        </w:tc>
        <w:tc>
          <w:tcPr>
            <w:tcW w:w="1498" w:type="dxa"/>
            <w:tcBorders>
              <w:top w:val="nil"/>
              <w:left w:val="nil"/>
              <w:bottom w:val="single" w:sz="4" w:space="0" w:color="auto"/>
              <w:right w:val="single" w:sz="4" w:space="0" w:color="auto"/>
            </w:tcBorders>
            <w:shd w:val="clear" w:color="auto" w:fill="C6EFCE"/>
            <w:noWrap/>
            <w:vAlign w:val="center"/>
          </w:tcPr>
          <w:p w14:paraId="350C3C31" w14:textId="77777777" w:rsidR="00154E32" w:rsidRDefault="00A43E04">
            <w:pPr>
              <w:pStyle w:val="P68B1DB1-Normal12"/>
              <w:jc w:val="center"/>
              <w:rPr>
                <w:noProof/>
              </w:rPr>
            </w:pPr>
            <w:r>
              <w:rPr>
                <w:noProof/>
              </w:rPr>
              <w:t>Mejnik</w:t>
            </w:r>
          </w:p>
        </w:tc>
        <w:tc>
          <w:tcPr>
            <w:tcW w:w="4091" w:type="dxa"/>
            <w:tcBorders>
              <w:top w:val="nil"/>
              <w:left w:val="nil"/>
              <w:bottom w:val="single" w:sz="4" w:space="0" w:color="auto"/>
              <w:right w:val="single" w:sz="4" w:space="0" w:color="auto"/>
            </w:tcBorders>
            <w:shd w:val="clear" w:color="auto" w:fill="C6EFCE"/>
            <w:noWrap/>
            <w:vAlign w:val="center"/>
          </w:tcPr>
          <w:p w14:paraId="316DFA45" w14:textId="77777777" w:rsidR="00154E32" w:rsidRDefault="00A43E04">
            <w:pPr>
              <w:pStyle w:val="P68B1DB1-Normal12"/>
              <w:jc w:val="center"/>
              <w:rPr>
                <w:noProof/>
              </w:rPr>
            </w:pPr>
            <w:r>
              <w:rPr>
                <w:noProof/>
              </w:rPr>
              <w:t>Zaključek delovnih sklopov EDIH in TEF</w:t>
            </w:r>
          </w:p>
        </w:tc>
      </w:tr>
      <w:tr w:rsidR="00154E32" w14:paraId="31344663"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86E298F" w14:textId="77777777" w:rsidR="00154E32" w:rsidRDefault="00A43E04">
            <w:pPr>
              <w:pStyle w:val="P68B1DB1-Normal12"/>
              <w:jc w:val="center"/>
              <w:rPr>
                <w:noProof/>
              </w:rPr>
            </w:pPr>
            <w:r>
              <w:rPr>
                <w:noProof/>
              </w:rPr>
              <w:t xml:space="preserve">M4C2–16 bis </w:t>
            </w:r>
          </w:p>
        </w:tc>
        <w:tc>
          <w:tcPr>
            <w:tcW w:w="3090" w:type="dxa"/>
            <w:tcBorders>
              <w:top w:val="nil"/>
              <w:left w:val="nil"/>
              <w:bottom w:val="single" w:sz="4" w:space="0" w:color="auto"/>
              <w:right w:val="single" w:sz="4" w:space="0" w:color="auto"/>
            </w:tcBorders>
            <w:shd w:val="clear" w:color="auto" w:fill="C6EFCE"/>
            <w:noWrap/>
            <w:vAlign w:val="center"/>
          </w:tcPr>
          <w:p w14:paraId="653D36AD" w14:textId="77777777" w:rsidR="00154E32" w:rsidRDefault="00A43E04">
            <w:pPr>
              <w:pStyle w:val="P68B1DB1-Normal12"/>
              <w:jc w:val="center"/>
              <w:rPr>
                <w:noProof/>
              </w:rPr>
            </w:pPr>
            <w:r>
              <w:rPr>
                <w:noProof/>
              </w:rPr>
              <w:t>Naložba 3.1: Sklad za izgradnjo integriranega sistema raziskovalnih in inovacijskih infrastruktur</w:t>
            </w:r>
          </w:p>
        </w:tc>
        <w:tc>
          <w:tcPr>
            <w:tcW w:w="1498" w:type="dxa"/>
            <w:tcBorders>
              <w:top w:val="nil"/>
              <w:left w:val="nil"/>
              <w:bottom w:val="single" w:sz="4" w:space="0" w:color="auto"/>
              <w:right w:val="single" w:sz="4" w:space="0" w:color="auto"/>
            </w:tcBorders>
            <w:shd w:val="clear" w:color="auto" w:fill="C6EFCE"/>
            <w:noWrap/>
            <w:vAlign w:val="center"/>
          </w:tcPr>
          <w:p w14:paraId="786781FB"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35F2730B" w14:textId="77777777" w:rsidR="00154E32" w:rsidRDefault="00A43E04">
            <w:pPr>
              <w:pStyle w:val="P68B1DB1-Normal12"/>
              <w:jc w:val="center"/>
              <w:rPr>
                <w:noProof/>
              </w:rPr>
            </w:pPr>
            <w:r>
              <w:rPr>
                <w:noProof/>
              </w:rPr>
              <w:t xml:space="preserve">Število raziskovalnih in inovacijskih infrastruktur, ki so bile vzpostavljene ali ki so zaključile svoje dejavnosti </w:t>
            </w:r>
          </w:p>
        </w:tc>
      </w:tr>
      <w:tr w:rsidR="00154E32" w14:paraId="17D536B0"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D7D1231" w14:textId="77777777" w:rsidR="00154E32" w:rsidRDefault="00A43E04">
            <w:pPr>
              <w:pStyle w:val="P68B1DB1-Normal12"/>
              <w:jc w:val="center"/>
              <w:rPr>
                <w:noProof/>
              </w:rPr>
            </w:pPr>
            <w:r>
              <w:rPr>
                <w:noProof/>
              </w:rPr>
              <w:t>M4C2–18 Bis</w:t>
            </w:r>
          </w:p>
        </w:tc>
        <w:tc>
          <w:tcPr>
            <w:tcW w:w="3090" w:type="dxa"/>
            <w:tcBorders>
              <w:top w:val="nil"/>
              <w:left w:val="nil"/>
              <w:bottom w:val="single" w:sz="4" w:space="0" w:color="auto"/>
              <w:right w:val="single" w:sz="4" w:space="0" w:color="auto"/>
            </w:tcBorders>
            <w:shd w:val="clear" w:color="auto" w:fill="C6EFCE"/>
            <w:noWrap/>
            <w:vAlign w:val="center"/>
          </w:tcPr>
          <w:p w14:paraId="022FAD8F" w14:textId="77777777" w:rsidR="00154E32" w:rsidRDefault="00A43E04">
            <w:pPr>
              <w:pStyle w:val="P68B1DB1-Normal12"/>
              <w:jc w:val="center"/>
              <w:rPr>
                <w:noProof/>
              </w:rPr>
            </w:pPr>
            <w:r>
              <w:rPr>
                <w:noProof/>
              </w:rPr>
              <w:t>Invesment1.5: Vzpostavitev in krepitev „inovacijskih ekosistemov za trajnostnost“ z oblikovanjem „ozemeljskih voditeljev raziskav in razvoja“</w:t>
            </w:r>
          </w:p>
        </w:tc>
        <w:tc>
          <w:tcPr>
            <w:tcW w:w="1498" w:type="dxa"/>
            <w:tcBorders>
              <w:top w:val="nil"/>
              <w:left w:val="nil"/>
              <w:bottom w:val="single" w:sz="4" w:space="0" w:color="auto"/>
              <w:right w:val="single" w:sz="4" w:space="0" w:color="auto"/>
            </w:tcBorders>
            <w:shd w:val="clear" w:color="auto" w:fill="C6EFCE"/>
            <w:noWrap/>
            <w:vAlign w:val="center"/>
          </w:tcPr>
          <w:p w14:paraId="7A21EC8F"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027D3134" w14:textId="77777777" w:rsidR="00154E32" w:rsidRDefault="00A43E04">
            <w:pPr>
              <w:pStyle w:val="P68B1DB1-Normal12"/>
              <w:jc w:val="center"/>
              <w:rPr>
                <w:noProof/>
              </w:rPr>
            </w:pPr>
            <w:r>
              <w:rPr>
                <w:noProof/>
              </w:rPr>
              <w:t>Dejavnosti, ki jih izvajajo inovacijski ekosistemi</w:t>
            </w:r>
          </w:p>
        </w:tc>
      </w:tr>
      <w:tr w:rsidR="00154E32" w14:paraId="0F53CF4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99FCA84" w14:textId="77777777" w:rsidR="00154E32" w:rsidRDefault="00A43E04">
            <w:pPr>
              <w:pStyle w:val="P68B1DB1-Normal12"/>
              <w:jc w:val="center"/>
              <w:rPr>
                <w:noProof/>
              </w:rPr>
            </w:pPr>
            <w:r>
              <w:rPr>
                <w:noProof/>
              </w:rPr>
              <w:t>M4C2–21</w:t>
            </w:r>
          </w:p>
        </w:tc>
        <w:tc>
          <w:tcPr>
            <w:tcW w:w="3090" w:type="dxa"/>
            <w:tcBorders>
              <w:top w:val="nil"/>
              <w:left w:val="nil"/>
              <w:bottom w:val="single" w:sz="4" w:space="0" w:color="auto"/>
              <w:right w:val="single" w:sz="4" w:space="0" w:color="auto"/>
            </w:tcBorders>
            <w:shd w:val="clear" w:color="auto" w:fill="C6EFCE"/>
            <w:noWrap/>
            <w:vAlign w:val="center"/>
          </w:tcPr>
          <w:p w14:paraId="32290CDC" w14:textId="77777777" w:rsidR="00154E32" w:rsidRDefault="00A43E04">
            <w:pPr>
              <w:pStyle w:val="P68B1DB1-Normal12"/>
              <w:jc w:val="center"/>
              <w:rPr>
                <w:noProof/>
              </w:rPr>
            </w:pPr>
            <w:r>
              <w:rPr>
                <w:noProof/>
              </w:rPr>
              <w:t xml:space="preserve">Naložba 5.4 – Financiranje zagonskih podjetij.  </w:t>
            </w:r>
          </w:p>
        </w:tc>
        <w:tc>
          <w:tcPr>
            <w:tcW w:w="1498" w:type="dxa"/>
            <w:tcBorders>
              <w:top w:val="nil"/>
              <w:left w:val="nil"/>
              <w:bottom w:val="single" w:sz="4" w:space="0" w:color="auto"/>
              <w:right w:val="single" w:sz="4" w:space="0" w:color="auto"/>
            </w:tcBorders>
            <w:shd w:val="clear" w:color="auto" w:fill="C6EFCE"/>
            <w:noWrap/>
            <w:vAlign w:val="center"/>
          </w:tcPr>
          <w:p w14:paraId="6BDF24C4" w14:textId="41E7266B"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6A927307" w14:textId="77777777" w:rsidR="00154E32" w:rsidRDefault="00A43E04">
            <w:pPr>
              <w:pStyle w:val="P68B1DB1-Normal12"/>
              <w:jc w:val="center"/>
              <w:rPr>
                <w:noProof/>
              </w:rPr>
            </w:pPr>
            <w:r>
              <w:rPr>
                <w:noProof/>
              </w:rPr>
              <w:t xml:space="preserve">Podpisani pravni sporazumi z zagonskimi podjetji ali skladi tveganega kapitala </w:t>
            </w:r>
          </w:p>
        </w:tc>
      </w:tr>
      <w:tr w:rsidR="00154E32" w14:paraId="1051927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D429FD2" w14:textId="77777777" w:rsidR="00154E32" w:rsidRDefault="00A43E04">
            <w:pPr>
              <w:pStyle w:val="P68B1DB1-Normal12"/>
              <w:jc w:val="center"/>
              <w:rPr>
                <w:noProof/>
              </w:rPr>
            </w:pPr>
            <w:r>
              <w:rPr>
                <w:noProof/>
              </w:rPr>
              <w:t>M5C1–19</w:t>
            </w:r>
          </w:p>
        </w:tc>
        <w:tc>
          <w:tcPr>
            <w:tcW w:w="3090" w:type="dxa"/>
            <w:tcBorders>
              <w:top w:val="nil"/>
              <w:left w:val="nil"/>
              <w:bottom w:val="single" w:sz="4" w:space="0" w:color="auto"/>
              <w:right w:val="single" w:sz="4" w:space="0" w:color="auto"/>
            </w:tcBorders>
            <w:shd w:val="clear" w:color="auto" w:fill="C6EFCE"/>
            <w:noWrap/>
            <w:vAlign w:val="center"/>
          </w:tcPr>
          <w:p w14:paraId="1FF9FF67" w14:textId="77777777" w:rsidR="00154E32" w:rsidRDefault="00A43E04">
            <w:pPr>
              <w:pStyle w:val="P68B1DB1-Normal12"/>
              <w:jc w:val="center"/>
              <w:rPr>
                <w:noProof/>
              </w:rPr>
            </w:pPr>
            <w:r>
              <w:rPr>
                <w:noProof/>
              </w:rPr>
              <w:t>Naložba 5 – Ustanovitev ženskih podjetij</w:t>
            </w:r>
          </w:p>
        </w:tc>
        <w:tc>
          <w:tcPr>
            <w:tcW w:w="1498" w:type="dxa"/>
            <w:tcBorders>
              <w:top w:val="nil"/>
              <w:left w:val="nil"/>
              <w:bottom w:val="single" w:sz="4" w:space="0" w:color="auto"/>
              <w:right w:val="single" w:sz="4" w:space="0" w:color="auto"/>
            </w:tcBorders>
            <w:shd w:val="clear" w:color="auto" w:fill="C6EFCE"/>
            <w:noWrap/>
            <w:vAlign w:val="center"/>
          </w:tcPr>
          <w:p w14:paraId="54C7CA2A"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0FA38C7F" w14:textId="77777777" w:rsidR="00154E32" w:rsidRDefault="00A43E04">
            <w:pPr>
              <w:pStyle w:val="P68B1DB1-Normal12"/>
              <w:jc w:val="center"/>
              <w:rPr>
                <w:noProof/>
              </w:rPr>
            </w:pPr>
            <w:r>
              <w:rPr>
                <w:noProof/>
              </w:rPr>
              <w:t>Podjetja, kot so opredeljena v ustrezni naložbeni politiki, so prejela finančno podporo</w:t>
            </w:r>
          </w:p>
        </w:tc>
      </w:tr>
      <w:tr w:rsidR="00154E32" w14:paraId="4A6294CF"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46BDCA2" w14:textId="77777777" w:rsidR="00154E32" w:rsidRDefault="00A43E04">
            <w:pPr>
              <w:pStyle w:val="P68B1DB1-Normal12"/>
              <w:jc w:val="center"/>
              <w:rPr>
                <w:noProof/>
              </w:rPr>
            </w:pPr>
            <w:r>
              <w:rPr>
                <w:noProof/>
              </w:rPr>
              <w:t>M5C2–12</w:t>
            </w:r>
          </w:p>
        </w:tc>
        <w:tc>
          <w:tcPr>
            <w:tcW w:w="3090" w:type="dxa"/>
            <w:tcBorders>
              <w:top w:val="nil"/>
              <w:left w:val="nil"/>
              <w:bottom w:val="single" w:sz="4" w:space="0" w:color="auto"/>
              <w:right w:val="single" w:sz="4" w:space="0" w:color="auto"/>
            </w:tcBorders>
            <w:shd w:val="clear" w:color="auto" w:fill="C6EFCE"/>
            <w:noWrap/>
            <w:vAlign w:val="center"/>
          </w:tcPr>
          <w:p w14:paraId="58FBF5B0" w14:textId="77777777" w:rsidR="00154E32" w:rsidRDefault="00A43E04">
            <w:pPr>
              <w:pStyle w:val="P68B1DB1-Normal12"/>
              <w:jc w:val="center"/>
              <w:rPr>
                <w:noProof/>
              </w:rPr>
            </w:pPr>
            <w:r>
              <w:rPr>
                <w:noProof/>
              </w:rPr>
              <w:t>Naložba 4 – Naložbe v projekte oživljanja mest, katerih cilj je zmanjšati marginalizacijo in družbeno degradacijo</w:t>
            </w:r>
          </w:p>
        </w:tc>
        <w:tc>
          <w:tcPr>
            <w:tcW w:w="1498" w:type="dxa"/>
            <w:tcBorders>
              <w:top w:val="nil"/>
              <w:left w:val="nil"/>
              <w:bottom w:val="single" w:sz="4" w:space="0" w:color="auto"/>
              <w:right w:val="single" w:sz="4" w:space="0" w:color="auto"/>
            </w:tcBorders>
            <w:shd w:val="clear" w:color="auto" w:fill="C6EFCE"/>
            <w:noWrap/>
            <w:vAlign w:val="center"/>
          </w:tcPr>
          <w:p w14:paraId="550D3BAD"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77B73469" w14:textId="77777777" w:rsidR="00154E32" w:rsidRDefault="00A43E04">
            <w:pPr>
              <w:pStyle w:val="P68B1DB1-Normal12"/>
              <w:jc w:val="center"/>
              <w:rPr>
                <w:noProof/>
              </w:rPr>
            </w:pPr>
            <w:r>
              <w:rPr>
                <w:noProof/>
              </w:rPr>
              <w:t>Projekti za ukrepe oživljanja mest, ki zajemajo občine</w:t>
            </w:r>
          </w:p>
        </w:tc>
      </w:tr>
      <w:tr w:rsidR="00154E32" w14:paraId="37065B2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2F39BFF" w14:textId="77777777" w:rsidR="00154E32" w:rsidRDefault="00A43E04">
            <w:pPr>
              <w:pStyle w:val="P68B1DB1-Normal12"/>
              <w:jc w:val="center"/>
              <w:rPr>
                <w:noProof/>
              </w:rPr>
            </w:pPr>
            <w:r>
              <w:rPr>
                <w:noProof/>
              </w:rPr>
              <w:t>M5C2–14</w:t>
            </w:r>
          </w:p>
        </w:tc>
        <w:tc>
          <w:tcPr>
            <w:tcW w:w="3090" w:type="dxa"/>
            <w:tcBorders>
              <w:top w:val="nil"/>
              <w:left w:val="nil"/>
              <w:bottom w:val="single" w:sz="4" w:space="0" w:color="auto"/>
              <w:right w:val="single" w:sz="4" w:space="0" w:color="auto"/>
            </w:tcBorders>
            <w:shd w:val="clear" w:color="auto" w:fill="C6EFCE"/>
            <w:noWrap/>
            <w:vAlign w:val="center"/>
          </w:tcPr>
          <w:p w14:paraId="16B45477" w14:textId="77777777" w:rsidR="00154E32" w:rsidRDefault="00A43E04">
            <w:pPr>
              <w:pStyle w:val="P68B1DB1-Normal12"/>
              <w:jc w:val="center"/>
              <w:rPr>
                <w:noProof/>
              </w:rPr>
            </w:pPr>
            <w:r>
              <w:rPr>
                <w:noProof/>
              </w:rPr>
              <w:t>Naložba 5 – Celostni urbanistični načrti – splošni projekti</w:t>
            </w:r>
          </w:p>
        </w:tc>
        <w:tc>
          <w:tcPr>
            <w:tcW w:w="1498" w:type="dxa"/>
            <w:tcBorders>
              <w:top w:val="nil"/>
              <w:left w:val="nil"/>
              <w:bottom w:val="single" w:sz="4" w:space="0" w:color="auto"/>
              <w:right w:val="single" w:sz="4" w:space="0" w:color="auto"/>
            </w:tcBorders>
            <w:shd w:val="clear" w:color="auto" w:fill="C6EFCE"/>
            <w:noWrap/>
            <w:vAlign w:val="center"/>
          </w:tcPr>
          <w:p w14:paraId="1F191001"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1F87C7BD" w14:textId="77777777" w:rsidR="00154E32" w:rsidRDefault="00A43E04">
            <w:pPr>
              <w:pStyle w:val="P68B1DB1-Normal12"/>
              <w:jc w:val="center"/>
              <w:rPr>
                <w:noProof/>
              </w:rPr>
            </w:pPr>
            <w:r>
              <w:rPr>
                <w:noProof/>
              </w:rPr>
              <w:t>Dokončanje projektov integriranega načrtovanja v metropolitanskih mestih</w:t>
            </w:r>
          </w:p>
        </w:tc>
      </w:tr>
      <w:tr w:rsidR="00154E32" w14:paraId="601BCBD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9E4AC10" w14:textId="77777777" w:rsidR="00154E32" w:rsidRDefault="00A43E04">
            <w:pPr>
              <w:pStyle w:val="P68B1DB1-Normal12"/>
              <w:jc w:val="center"/>
              <w:rPr>
                <w:noProof/>
              </w:rPr>
            </w:pPr>
            <w:r>
              <w:rPr>
                <w:noProof/>
              </w:rPr>
              <w:t>M5C2–18</w:t>
            </w:r>
          </w:p>
        </w:tc>
        <w:tc>
          <w:tcPr>
            <w:tcW w:w="3090" w:type="dxa"/>
            <w:tcBorders>
              <w:top w:val="nil"/>
              <w:left w:val="nil"/>
              <w:bottom w:val="single" w:sz="4" w:space="0" w:color="auto"/>
              <w:right w:val="single" w:sz="4" w:space="0" w:color="auto"/>
            </w:tcBorders>
            <w:shd w:val="clear" w:color="auto" w:fill="C6EFCE"/>
            <w:noWrap/>
            <w:vAlign w:val="center"/>
          </w:tcPr>
          <w:p w14:paraId="24A985B5" w14:textId="77777777" w:rsidR="00154E32" w:rsidRDefault="00A43E04">
            <w:pPr>
              <w:pStyle w:val="P68B1DB1-Normal12"/>
              <w:jc w:val="center"/>
              <w:rPr>
                <w:noProof/>
              </w:rPr>
            </w:pPr>
            <w:r>
              <w:rPr>
                <w:noProof/>
              </w:rPr>
              <w:t>Naložba 5 – Celostni urbanistični načrti – sklad EIB – Sklad</w:t>
            </w:r>
          </w:p>
        </w:tc>
        <w:tc>
          <w:tcPr>
            <w:tcW w:w="1498" w:type="dxa"/>
            <w:tcBorders>
              <w:top w:val="nil"/>
              <w:left w:val="nil"/>
              <w:bottom w:val="single" w:sz="4" w:space="0" w:color="auto"/>
              <w:right w:val="single" w:sz="4" w:space="0" w:color="auto"/>
            </w:tcBorders>
            <w:shd w:val="clear" w:color="auto" w:fill="C6EFCE"/>
            <w:noWrap/>
            <w:vAlign w:val="center"/>
          </w:tcPr>
          <w:p w14:paraId="167B2475"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0D325CB9" w14:textId="77777777" w:rsidR="00154E32" w:rsidRDefault="00A43E04">
            <w:pPr>
              <w:pStyle w:val="P68B1DB1-Normal12"/>
              <w:jc w:val="center"/>
              <w:rPr>
                <w:noProof/>
              </w:rPr>
            </w:pPr>
            <w:r>
              <w:rPr>
                <w:noProof/>
              </w:rPr>
              <w:t>Denarna vrednost prispevka v tematski sklad in podpora urbanim projektom</w:t>
            </w:r>
          </w:p>
        </w:tc>
      </w:tr>
      <w:tr w:rsidR="00154E32" w14:paraId="23E7620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568F95D" w14:textId="77777777" w:rsidR="00154E32" w:rsidRDefault="00A43E04">
            <w:pPr>
              <w:pStyle w:val="P68B1DB1-Normal12"/>
              <w:jc w:val="center"/>
              <w:rPr>
                <w:noProof/>
              </w:rPr>
            </w:pPr>
            <w:r>
              <w:rPr>
                <w:noProof/>
              </w:rPr>
              <w:t>M5C2–22</w:t>
            </w:r>
          </w:p>
        </w:tc>
        <w:tc>
          <w:tcPr>
            <w:tcW w:w="3090" w:type="dxa"/>
            <w:tcBorders>
              <w:top w:val="nil"/>
              <w:left w:val="nil"/>
              <w:bottom w:val="single" w:sz="4" w:space="0" w:color="auto"/>
              <w:right w:val="single" w:sz="4" w:space="0" w:color="auto"/>
            </w:tcBorders>
            <w:shd w:val="clear" w:color="auto" w:fill="C6EFCE"/>
            <w:noWrap/>
            <w:vAlign w:val="center"/>
          </w:tcPr>
          <w:p w14:paraId="473325F9" w14:textId="77777777" w:rsidR="00154E32" w:rsidRDefault="00A43E04">
            <w:pPr>
              <w:pStyle w:val="P68B1DB1-Normal12"/>
              <w:jc w:val="center"/>
              <w:rPr>
                <w:noProof/>
              </w:rPr>
            </w:pPr>
            <w:r>
              <w:rPr>
                <w:noProof/>
              </w:rPr>
              <w:t>Naložba 7 – Projekt za šport in socialno vključenost</w:t>
            </w:r>
          </w:p>
        </w:tc>
        <w:tc>
          <w:tcPr>
            <w:tcW w:w="1498" w:type="dxa"/>
            <w:tcBorders>
              <w:top w:val="nil"/>
              <w:left w:val="nil"/>
              <w:bottom w:val="single" w:sz="4" w:space="0" w:color="auto"/>
              <w:right w:val="single" w:sz="4" w:space="0" w:color="auto"/>
            </w:tcBorders>
            <w:shd w:val="clear" w:color="auto" w:fill="C6EFCE"/>
            <w:noWrap/>
            <w:vAlign w:val="center"/>
          </w:tcPr>
          <w:p w14:paraId="10449C59"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332EC279" w14:textId="77777777" w:rsidR="00154E32" w:rsidRDefault="00A43E04">
            <w:pPr>
              <w:pStyle w:val="P68B1DB1-Normal12"/>
              <w:jc w:val="center"/>
              <w:rPr>
                <w:noProof/>
              </w:rPr>
            </w:pPr>
            <w:r>
              <w:rPr>
                <w:noProof/>
              </w:rPr>
              <w:t>Intervencije v zvezi s pogodbami v zvezi s športnimi objekti</w:t>
            </w:r>
          </w:p>
        </w:tc>
      </w:tr>
      <w:tr w:rsidR="00154E32" w14:paraId="369F3D7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EA806EB" w14:textId="77777777" w:rsidR="00154E32" w:rsidRDefault="00A43E04">
            <w:pPr>
              <w:pStyle w:val="P68B1DB1-Normal12"/>
              <w:jc w:val="center"/>
              <w:rPr>
                <w:noProof/>
              </w:rPr>
            </w:pPr>
            <w:r>
              <w:rPr>
                <w:noProof/>
              </w:rPr>
              <w:t>M5C3–13</w:t>
            </w:r>
          </w:p>
        </w:tc>
        <w:tc>
          <w:tcPr>
            <w:tcW w:w="3090" w:type="dxa"/>
            <w:tcBorders>
              <w:top w:val="nil"/>
              <w:left w:val="nil"/>
              <w:bottom w:val="single" w:sz="4" w:space="0" w:color="auto"/>
              <w:right w:val="single" w:sz="4" w:space="0" w:color="auto"/>
            </w:tcBorders>
            <w:shd w:val="clear" w:color="auto" w:fill="C6EFCE"/>
            <w:noWrap/>
            <w:vAlign w:val="center"/>
          </w:tcPr>
          <w:p w14:paraId="0F1E72EA" w14:textId="77777777" w:rsidR="00154E32" w:rsidRDefault="00A43E04">
            <w:pPr>
              <w:pStyle w:val="P68B1DB1-Normal12"/>
              <w:jc w:val="center"/>
              <w:rPr>
                <w:noProof/>
              </w:rPr>
            </w:pPr>
            <w:r>
              <w:rPr>
                <w:noProof/>
              </w:rPr>
              <w:t>Naložba 1.4: Infrastrukturne naložbe za posebno ekonomsko cono</w:t>
            </w:r>
          </w:p>
        </w:tc>
        <w:tc>
          <w:tcPr>
            <w:tcW w:w="1498" w:type="dxa"/>
            <w:tcBorders>
              <w:top w:val="nil"/>
              <w:left w:val="nil"/>
              <w:bottom w:val="single" w:sz="4" w:space="0" w:color="auto"/>
              <w:right w:val="single" w:sz="4" w:space="0" w:color="auto"/>
            </w:tcBorders>
            <w:shd w:val="clear" w:color="auto" w:fill="C6EFCE"/>
            <w:noWrap/>
            <w:vAlign w:val="center"/>
          </w:tcPr>
          <w:p w14:paraId="1E2B3322"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7A5554B3" w14:textId="77777777" w:rsidR="00154E32" w:rsidRDefault="00A43E04">
            <w:pPr>
              <w:pStyle w:val="P68B1DB1-Normal12"/>
              <w:jc w:val="center"/>
              <w:rPr>
                <w:noProof/>
              </w:rPr>
            </w:pPr>
            <w:r>
              <w:rPr>
                <w:noProof/>
              </w:rPr>
              <w:t>Zaključek infrastrukturnih intervencij v posebnih ekonomskih conah.</w:t>
            </w:r>
          </w:p>
        </w:tc>
      </w:tr>
      <w:tr w:rsidR="00154E32" w14:paraId="753FFA2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60570AC" w14:textId="77777777" w:rsidR="00154E32" w:rsidRDefault="00A43E04">
            <w:pPr>
              <w:pStyle w:val="P68B1DB1-Normal12"/>
              <w:jc w:val="center"/>
              <w:rPr>
                <w:noProof/>
              </w:rPr>
            </w:pPr>
            <w:r>
              <w:rPr>
                <w:noProof/>
              </w:rPr>
              <w:t>M6C1–3</w:t>
            </w:r>
          </w:p>
        </w:tc>
        <w:tc>
          <w:tcPr>
            <w:tcW w:w="3090" w:type="dxa"/>
            <w:tcBorders>
              <w:top w:val="nil"/>
              <w:left w:val="nil"/>
              <w:bottom w:val="single" w:sz="4" w:space="0" w:color="auto"/>
              <w:right w:val="single" w:sz="4" w:space="0" w:color="auto"/>
            </w:tcBorders>
            <w:shd w:val="clear" w:color="auto" w:fill="C6EFCE"/>
            <w:noWrap/>
            <w:vAlign w:val="center"/>
          </w:tcPr>
          <w:p w14:paraId="69C02EAE" w14:textId="77777777" w:rsidR="00154E32" w:rsidRDefault="00A43E04">
            <w:pPr>
              <w:pStyle w:val="P68B1DB1-Normal12"/>
              <w:jc w:val="center"/>
              <w:rPr>
                <w:noProof/>
              </w:rPr>
            </w:pPr>
            <w:r>
              <w:rPr>
                <w:noProof/>
              </w:rPr>
              <w:t>Naložba 1.1: Zdravstvene hiše skupnosti za izboljšanje ozemeljske zdravstvene pomoči</w:t>
            </w:r>
          </w:p>
        </w:tc>
        <w:tc>
          <w:tcPr>
            <w:tcW w:w="1498" w:type="dxa"/>
            <w:tcBorders>
              <w:top w:val="nil"/>
              <w:left w:val="nil"/>
              <w:bottom w:val="single" w:sz="4" w:space="0" w:color="auto"/>
              <w:right w:val="single" w:sz="4" w:space="0" w:color="auto"/>
            </w:tcBorders>
            <w:shd w:val="clear" w:color="auto" w:fill="C6EFCE"/>
            <w:noWrap/>
            <w:vAlign w:val="center"/>
          </w:tcPr>
          <w:p w14:paraId="0CCBABE5"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7C8E2C21" w14:textId="77777777" w:rsidR="00154E32" w:rsidRDefault="00A43E04">
            <w:pPr>
              <w:pStyle w:val="P68B1DB1-Normal12"/>
              <w:jc w:val="center"/>
              <w:rPr>
                <w:noProof/>
              </w:rPr>
            </w:pPr>
            <w:r>
              <w:rPr>
                <w:noProof/>
              </w:rPr>
              <w:t>Zdravstvene hiše skupnosti, ki so na voljo in tehnološko opremljene (prva serija)</w:t>
            </w:r>
          </w:p>
        </w:tc>
      </w:tr>
      <w:tr w:rsidR="00154E32" w14:paraId="7C9C6CF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26D8ADB" w14:textId="77777777" w:rsidR="00154E32" w:rsidRDefault="00A43E04">
            <w:pPr>
              <w:pStyle w:val="P68B1DB1-Normal12"/>
              <w:jc w:val="center"/>
              <w:rPr>
                <w:noProof/>
              </w:rPr>
            </w:pPr>
            <w:r>
              <w:rPr>
                <w:noProof/>
              </w:rPr>
              <w:t>M6C1–6</w:t>
            </w:r>
          </w:p>
        </w:tc>
        <w:tc>
          <w:tcPr>
            <w:tcW w:w="3090" w:type="dxa"/>
            <w:tcBorders>
              <w:top w:val="nil"/>
              <w:left w:val="nil"/>
              <w:bottom w:val="single" w:sz="4" w:space="0" w:color="auto"/>
              <w:right w:val="single" w:sz="4" w:space="0" w:color="auto"/>
            </w:tcBorders>
            <w:shd w:val="clear" w:color="auto" w:fill="C6EFCE"/>
            <w:noWrap/>
            <w:vAlign w:val="center"/>
          </w:tcPr>
          <w:p w14:paraId="2F74CCCD" w14:textId="77777777" w:rsidR="00154E32" w:rsidRDefault="00A43E04">
            <w:pPr>
              <w:pStyle w:val="P68B1DB1-Normal12"/>
              <w:jc w:val="center"/>
              <w:rPr>
                <w:noProof/>
              </w:rPr>
            </w:pPr>
            <w:r>
              <w:rPr>
                <w:noProof/>
              </w:rPr>
              <w:t>Naložba 1.2: Dom kot prvi kraj oskrbe in telemedicine</w:t>
            </w:r>
          </w:p>
        </w:tc>
        <w:tc>
          <w:tcPr>
            <w:tcW w:w="1498" w:type="dxa"/>
            <w:tcBorders>
              <w:top w:val="nil"/>
              <w:left w:val="nil"/>
              <w:bottom w:val="single" w:sz="4" w:space="0" w:color="auto"/>
              <w:right w:val="single" w:sz="4" w:space="0" w:color="auto"/>
            </w:tcBorders>
            <w:shd w:val="clear" w:color="auto" w:fill="C6EFCE"/>
            <w:noWrap/>
            <w:vAlign w:val="center"/>
          </w:tcPr>
          <w:p w14:paraId="2EE194C3"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1F14D0D6" w14:textId="77777777" w:rsidR="00154E32" w:rsidRDefault="00A43E04">
            <w:pPr>
              <w:pStyle w:val="P68B1DB1-Normal12"/>
              <w:jc w:val="center"/>
              <w:rPr>
                <w:noProof/>
              </w:rPr>
            </w:pPr>
            <w:r>
              <w:rPr>
                <w:noProof/>
              </w:rPr>
              <w:t>Dodatne osebe, zdravljene v oskrbi na domu (prvi sveženj)</w:t>
            </w:r>
          </w:p>
        </w:tc>
      </w:tr>
      <w:tr w:rsidR="00154E32" w14:paraId="56A92364"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80D4E06" w14:textId="77777777" w:rsidR="00154E32" w:rsidRDefault="00A43E04">
            <w:pPr>
              <w:pStyle w:val="P68B1DB1-Normal12"/>
              <w:jc w:val="center"/>
              <w:rPr>
                <w:noProof/>
              </w:rPr>
            </w:pPr>
            <w:r>
              <w:rPr>
                <w:noProof/>
              </w:rPr>
              <w:t>M6C1–11</w:t>
            </w:r>
          </w:p>
        </w:tc>
        <w:tc>
          <w:tcPr>
            <w:tcW w:w="3090" w:type="dxa"/>
            <w:tcBorders>
              <w:top w:val="nil"/>
              <w:left w:val="nil"/>
              <w:bottom w:val="single" w:sz="4" w:space="0" w:color="auto"/>
              <w:right w:val="single" w:sz="4" w:space="0" w:color="auto"/>
            </w:tcBorders>
            <w:shd w:val="clear" w:color="auto" w:fill="C6EFCE"/>
            <w:noWrap/>
            <w:vAlign w:val="center"/>
          </w:tcPr>
          <w:p w14:paraId="5176ED42" w14:textId="77777777" w:rsidR="00154E32" w:rsidRDefault="00A43E04">
            <w:pPr>
              <w:pStyle w:val="P68B1DB1-Normal12"/>
              <w:jc w:val="center"/>
              <w:rPr>
                <w:noProof/>
              </w:rPr>
            </w:pPr>
            <w:r>
              <w:rPr>
                <w:noProof/>
              </w:rPr>
              <w:t>Naložba 1.3: Krepitev srednjega zdravstvenega varstva in njegovih zmogljivosti (bolnišnice Skupnosti)</w:t>
            </w:r>
          </w:p>
        </w:tc>
        <w:tc>
          <w:tcPr>
            <w:tcW w:w="1498" w:type="dxa"/>
            <w:tcBorders>
              <w:top w:val="nil"/>
              <w:left w:val="nil"/>
              <w:bottom w:val="single" w:sz="4" w:space="0" w:color="auto"/>
              <w:right w:val="single" w:sz="4" w:space="0" w:color="auto"/>
            </w:tcBorders>
            <w:shd w:val="clear" w:color="auto" w:fill="C6EFCE"/>
            <w:noWrap/>
            <w:vAlign w:val="center"/>
          </w:tcPr>
          <w:p w14:paraId="5A78D5D7"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68B08347" w14:textId="77777777" w:rsidR="00154E32" w:rsidRDefault="00A43E04">
            <w:pPr>
              <w:pStyle w:val="P68B1DB1-Normal12"/>
              <w:jc w:val="center"/>
              <w:rPr>
                <w:noProof/>
              </w:rPr>
            </w:pPr>
            <w:r>
              <w:rPr>
                <w:noProof/>
              </w:rPr>
              <w:t>Skupnostne bolnišnice so obnovljene, medsebojno povezane in tehnološko opremljene (prva serija)</w:t>
            </w:r>
          </w:p>
        </w:tc>
      </w:tr>
      <w:tr w:rsidR="00154E32" w14:paraId="21D8838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31BFA30C" w14:textId="77777777" w:rsidR="00154E32" w:rsidRDefault="00A43E04">
            <w:pPr>
              <w:pStyle w:val="P68B1DB1-Normal12"/>
              <w:jc w:val="center"/>
              <w:rPr>
                <w:noProof/>
              </w:rPr>
            </w:pPr>
            <w:r>
              <w:rPr>
                <w:noProof/>
              </w:rPr>
              <w:t>M6C2–6</w:t>
            </w:r>
          </w:p>
        </w:tc>
        <w:tc>
          <w:tcPr>
            <w:tcW w:w="3090" w:type="dxa"/>
            <w:tcBorders>
              <w:top w:val="nil"/>
              <w:left w:val="nil"/>
              <w:bottom w:val="single" w:sz="4" w:space="0" w:color="auto"/>
              <w:right w:val="single" w:sz="4" w:space="0" w:color="auto"/>
            </w:tcBorders>
            <w:shd w:val="clear" w:color="auto" w:fill="C6EFCE"/>
            <w:noWrap/>
            <w:vAlign w:val="center"/>
          </w:tcPr>
          <w:p w14:paraId="1FDED688" w14:textId="77777777" w:rsidR="00154E32" w:rsidRDefault="00A43E04">
            <w:pPr>
              <w:pStyle w:val="P68B1DB1-Normal48"/>
              <w:jc w:val="center"/>
              <w:rPr>
                <w:noProof/>
              </w:rPr>
            </w:pPr>
            <w:r>
              <w:rPr>
                <w:noProof/>
              </w:rPr>
              <w:t>Naložba 1.1: Digitalna posodobitev tehnološke opreme bolnišnic</w:t>
            </w:r>
          </w:p>
        </w:tc>
        <w:tc>
          <w:tcPr>
            <w:tcW w:w="1498" w:type="dxa"/>
            <w:tcBorders>
              <w:top w:val="nil"/>
              <w:left w:val="nil"/>
              <w:bottom w:val="single" w:sz="4" w:space="0" w:color="auto"/>
              <w:right w:val="single" w:sz="4" w:space="0" w:color="auto"/>
            </w:tcBorders>
            <w:shd w:val="clear" w:color="auto" w:fill="C6EFCE"/>
            <w:noWrap/>
            <w:vAlign w:val="center"/>
          </w:tcPr>
          <w:p w14:paraId="42D8EAB6" w14:textId="77777777" w:rsidR="00154E32" w:rsidRDefault="00A43E04">
            <w:pPr>
              <w:pStyle w:val="P68B1DB1-Normal48"/>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16B110A7" w14:textId="77777777" w:rsidR="00154E32" w:rsidRDefault="00A43E04">
            <w:pPr>
              <w:pStyle w:val="P68B1DB1-Normal48"/>
              <w:jc w:val="center"/>
              <w:rPr>
                <w:noProof/>
              </w:rPr>
            </w:pPr>
            <w:r>
              <w:rPr>
                <w:noProof/>
              </w:rPr>
              <w:t>Velika sanitarna oprema, ki deluje</w:t>
            </w:r>
          </w:p>
        </w:tc>
      </w:tr>
      <w:tr w:rsidR="00154E32" w14:paraId="1F46057E"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A3B8A7F" w14:textId="77777777" w:rsidR="00154E32" w:rsidRDefault="00A43E04">
            <w:pPr>
              <w:pStyle w:val="P68B1DB1-Normal12"/>
              <w:jc w:val="center"/>
              <w:rPr>
                <w:noProof/>
              </w:rPr>
            </w:pPr>
            <w:r>
              <w:rPr>
                <w:noProof/>
              </w:rPr>
              <w:t>M6C2–9</w:t>
            </w:r>
          </w:p>
        </w:tc>
        <w:tc>
          <w:tcPr>
            <w:tcW w:w="3090" w:type="dxa"/>
            <w:tcBorders>
              <w:top w:val="nil"/>
              <w:left w:val="nil"/>
              <w:bottom w:val="single" w:sz="4" w:space="0" w:color="auto"/>
              <w:right w:val="single" w:sz="4" w:space="0" w:color="auto"/>
            </w:tcBorders>
            <w:shd w:val="clear" w:color="auto" w:fill="C6EFCE"/>
            <w:noWrap/>
            <w:vAlign w:val="center"/>
          </w:tcPr>
          <w:p w14:paraId="293CEE8C" w14:textId="77777777" w:rsidR="00154E32" w:rsidRDefault="00A43E04">
            <w:pPr>
              <w:pStyle w:val="P68B1DB1-Normal48"/>
              <w:jc w:val="center"/>
              <w:rPr>
                <w:noProof/>
              </w:rPr>
            </w:pPr>
            <w:r>
              <w:rPr>
                <w:noProof/>
              </w:rPr>
              <w:t>Naložba 1.1: Digitalna posodobitev tehnološke opreme bolnišnic</w:t>
            </w:r>
          </w:p>
        </w:tc>
        <w:tc>
          <w:tcPr>
            <w:tcW w:w="1498" w:type="dxa"/>
            <w:tcBorders>
              <w:top w:val="nil"/>
              <w:left w:val="nil"/>
              <w:bottom w:val="single" w:sz="4" w:space="0" w:color="auto"/>
              <w:right w:val="single" w:sz="4" w:space="0" w:color="auto"/>
            </w:tcBorders>
            <w:shd w:val="clear" w:color="auto" w:fill="C6EFCE"/>
            <w:noWrap/>
            <w:vAlign w:val="center"/>
          </w:tcPr>
          <w:p w14:paraId="2198447B" w14:textId="77777777" w:rsidR="00154E32" w:rsidRDefault="00A43E04">
            <w:pPr>
              <w:pStyle w:val="P68B1DB1-Normal48"/>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6987F16E" w14:textId="77777777" w:rsidR="00154E32" w:rsidRDefault="00A43E04">
            <w:pPr>
              <w:pStyle w:val="P68B1DB1-Normal48"/>
              <w:jc w:val="center"/>
              <w:rPr>
                <w:noProof/>
              </w:rPr>
            </w:pPr>
            <w:r>
              <w:rPr>
                <w:noProof/>
              </w:rPr>
              <w:t>Dodatne postelje, zagotovljene v enotah za intenzivno nego in podintenzivni oskrbi</w:t>
            </w:r>
          </w:p>
        </w:tc>
      </w:tr>
      <w:tr w:rsidR="00154E32" w14:paraId="48E67A7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C4D8844" w14:textId="77777777" w:rsidR="00154E32" w:rsidRDefault="00A43E04">
            <w:pPr>
              <w:pStyle w:val="P68B1DB1-Normal12"/>
              <w:jc w:val="center"/>
              <w:rPr>
                <w:noProof/>
              </w:rPr>
            </w:pPr>
            <w:r>
              <w:rPr>
                <w:noProof/>
              </w:rPr>
              <w:t>M6C2–10</w:t>
            </w:r>
          </w:p>
        </w:tc>
        <w:tc>
          <w:tcPr>
            <w:tcW w:w="3090" w:type="dxa"/>
            <w:tcBorders>
              <w:top w:val="nil"/>
              <w:left w:val="nil"/>
              <w:bottom w:val="single" w:sz="4" w:space="0" w:color="auto"/>
              <w:right w:val="single" w:sz="4" w:space="0" w:color="auto"/>
            </w:tcBorders>
            <w:shd w:val="clear" w:color="auto" w:fill="C6EFCE"/>
            <w:noWrap/>
            <w:vAlign w:val="center"/>
          </w:tcPr>
          <w:p w14:paraId="25717C36" w14:textId="77777777" w:rsidR="00154E32" w:rsidRDefault="00A43E04">
            <w:pPr>
              <w:pStyle w:val="P68B1DB1-Normal48"/>
              <w:jc w:val="center"/>
              <w:rPr>
                <w:noProof/>
              </w:rPr>
            </w:pPr>
            <w:r>
              <w:rPr>
                <w:noProof/>
              </w:rPr>
              <w:t>Naložba 1.2: Za varno in trajnostno bolnišnico</w:t>
            </w:r>
          </w:p>
        </w:tc>
        <w:tc>
          <w:tcPr>
            <w:tcW w:w="1498" w:type="dxa"/>
            <w:tcBorders>
              <w:top w:val="nil"/>
              <w:left w:val="nil"/>
              <w:bottom w:val="single" w:sz="4" w:space="0" w:color="auto"/>
              <w:right w:val="single" w:sz="4" w:space="0" w:color="auto"/>
            </w:tcBorders>
            <w:shd w:val="clear" w:color="auto" w:fill="C6EFCE"/>
            <w:noWrap/>
            <w:vAlign w:val="center"/>
          </w:tcPr>
          <w:p w14:paraId="0DB6DF7D" w14:textId="77777777" w:rsidR="00154E32" w:rsidRDefault="00A43E04">
            <w:pPr>
              <w:pStyle w:val="P68B1DB1-Normal48"/>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3BA876E8" w14:textId="77777777" w:rsidR="00154E32" w:rsidRDefault="00A43E04">
            <w:pPr>
              <w:pStyle w:val="P68B1DB1-Normal48"/>
              <w:jc w:val="center"/>
              <w:rPr>
                <w:noProof/>
              </w:rPr>
            </w:pPr>
            <w:r>
              <w:rPr>
                <w:noProof/>
              </w:rPr>
              <w:t>Protipotresno posredovanje v bolnišnicah je zaključeno</w:t>
            </w:r>
          </w:p>
        </w:tc>
      </w:tr>
      <w:tr w:rsidR="00154E32" w14:paraId="2131A181"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4CF545C7" w14:textId="77777777" w:rsidR="00154E32" w:rsidRDefault="00A43E04">
            <w:pPr>
              <w:pStyle w:val="P68B1DB1-Normal12"/>
              <w:jc w:val="center"/>
              <w:rPr>
                <w:noProof/>
              </w:rPr>
            </w:pPr>
            <w:r>
              <w:rPr>
                <w:noProof/>
              </w:rPr>
              <w:t>M6C2–10 bis</w:t>
            </w:r>
          </w:p>
        </w:tc>
        <w:tc>
          <w:tcPr>
            <w:tcW w:w="3090" w:type="dxa"/>
            <w:tcBorders>
              <w:top w:val="nil"/>
              <w:left w:val="nil"/>
              <w:bottom w:val="single" w:sz="4" w:space="0" w:color="auto"/>
              <w:right w:val="single" w:sz="4" w:space="0" w:color="auto"/>
            </w:tcBorders>
            <w:shd w:val="clear" w:color="auto" w:fill="C6EFCE"/>
            <w:noWrap/>
            <w:vAlign w:val="center"/>
          </w:tcPr>
          <w:p w14:paraId="7882CA9E" w14:textId="77777777" w:rsidR="00154E32" w:rsidRDefault="00A43E04">
            <w:pPr>
              <w:pStyle w:val="P68B1DB1-Normal48"/>
              <w:jc w:val="center"/>
              <w:rPr>
                <w:noProof/>
              </w:rPr>
            </w:pPr>
            <w:r>
              <w:rPr>
                <w:noProof/>
              </w:rPr>
              <w:t>Naložba 1.2: Za varno in trajnostno bolnišnico</w:t>
            </w:r>
          </w:p>
        </w:tc>
        <w:tc>
          <w:tcPr>
            <w:tcW w:w="1498" w:type="dxa"/>
            <w:tcBorders>
              <w:top w:val="nil"/>
              <w:left w:val="nil"/>
              <w:bottom w:val="single" w:sz="4" w:space="0" w:color="auto"/>
              <w:right w:val="single" w:sz="4" w:space="0" w:color="auto"/>
            </w:tcBorders>
            <w:shd w:val="clear" w:color="auto" w:fill="C6EFCE"/>
            <w:noWrap/>
            <w:vAlign w:val="center"/>
          </w:tcPr>
          <w:p w14:paraId="4CA3FBBF" w14:textId="77777777" w:rsidR="00154E32" w:rsidRDefault="00A43E04">
            <w:pPr>
              <w:pStyle w:val="P68B1DB1-Normal48"/>
              <w:jc w:val="center"/>
              <w:rPr>
                <w:noProof/>
              </w:rPr>
            </w:pPr>
            <w:r>
              <w:rPr>
                <w:noProof/>
              </w:rPr>
              <w:t xml:space="preserve">Tarča </w:t>
            </w:r>
          </w:p>
        </w:tc>
        <w:tc>
          <w:tcPr>
            <w:tcW w:w="4091" w:type="dxa"/>
            <w:tcBorders>
              <w:top w:val="nil"/>
              <w:left w:val="nil"/>
              <w:bottom w:val="single" w:sz="4" w:space="0" w:color="auto"/>
              <w:right w:val="single" w:sz="4" w:space="0" w:color="auto"/>
            </w:tcBorders>
            <w:shd w:val="clear" w:color="auto" w:fill="C6EFCE"/>
            <w:noWrap/>
            <w:vAlign w:val="center"/>
          </w:tcPr>
          <w:p w14:paraId="49FD9B0A" w14:textId="77777777" w:rsidR="00154E32" w:rsidRDefault="00A43E04">
            <w:pPr>
              <w:pStyle w:val="P68B1DB1-Normal48"/>
              <w:jc w:val="center"/>
              <w:rPr>
                <w:noProof/>
              </w:rPr>
            </w:pPr>
            <w:r>
              <w:rPr>
                <w:noProof/>
              </w:rPr>
              <w:t>Izplačilo sredstev iz mehanizma za okrevanje in odpornost za projekte v skladu s členom 20 finančnega zakona 67/88 Zdravstveno varstvo</w:t>
            </w:r>
          </w:p>
        </w:tc>
      </w:tr>
      <w:tr w:rsidR="00154E32" w14:paraId="7E257AB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80DA7A9" w14:textId="77777777" w:rsidR="00154E32" w:rsidRDefault="00A43E04">
            <w:pPr>
              <w:pStyle w:val="P68B1DB1-Normal12"/>
              <w:jc w:val="center"/>
              <w:rPr>
                <w:noProof/>
              </w:rPr>
            </w:pPr>
            <w:r>
              <w:rPr>
                <w:noProof/>
              </w:rPr>
              <w:t>M6C2–12</w:t>
            </w:r>
          </w:p>
        </w:tc>
        <w:tc>
          <w:tcPr>
            <w:tcW w:w="3090" w:type="dxa"/>
            <w:tcBorders>
              <w:top w:val="nil"/>
              <w:left w:val="nil"/>
              <w:bottom w:val="single" w:sz="4" w:space="0" w:color="auto"/>
              <w:right w:val="single" w:sz="4" w:space="0" w:color="auto"/>
            </w:tcBorders>
            <w:shd w:val="clear" w:color="auto" w:fill="C6EFCE"/>
            <w:noWrap/>
            <w:vAlign w:val="center"/>
          </w:tcPr>
          <w:p w14:paraId="0EE5B10D" w14:textId="77777777" w:rsidR="00154E32" w:rsidRDefault="00A43E04">
            <w:pPr>
              <w:pStyle w:val="P68B1DB1-Normal48"/>
              <w:jc w:val="center"/>
              <w:rPr>
                <w:noProof/>
              </w:rPr>
            </w:pPr>
            <w:r>
              <w:rPr>
                <w:noProof/>
              </w:rPr>
              <w:t>Naložba 1.3: Krepitev tehnološke infrastrukture in orodij za zbiranje, obdelavo, analizo in simulacijo podatkov</w:t>
            </w:r>
          </w:p>
        </w:tc>
        <w:tc>
          <w:tcPr>
            <w:tcW w:w="1498" w:type="dxa"/>
            <w:tcBorders>
              <w:top w:val="nil"/>
              <w:left w:val="nil"/>
              <w:bottom w:val="single" w:sz="4" w:space="0" w:color="auto"/>
              <w:right w:val="single" w:sz="4" w:space="0" w:color="auto"/>
            </w:tcBorders>
            <w:shd w:val="clear" w:color="auto" w:fill="C6EFCE"/>
            <w:noWrap/>
            <w:vAlign w:val="center"/>
          </w:tcPr>
          <w:p w14:paraId="1CC5EB1C" w14:textId="77777777" w:rsidR="00154E32" w:rsidRDefault="00A43E04">
            <w:pPr>
              <w:pStyle w:val="P68B1DB1-Normal48"/>
              <w:jc w:val="center"/>
              <w:rPr>
                <w:noProof/>
              </w:rPr>
            </w:pPr>
            <w:r>
              <w:rPr>
                <w:noProof/>
              </w:rPr>
              <w:t>Mejnik</w:t>
            </w:r>
          </w:p>
        </w:tc>
        <w:tc>
          <w:tcPr>
            <w:tcW w:w="4091" w:type="dxa"/>
            <w:tcBorders>
              <w:top w:val="nil"/>
              <w:left w:val="nil"/>
              <w:bottom w:val="single" w:sz="4" w:space="0" w:color="auto"/>
              <w:right w:val="single" w:sz="4" w:space="0" w:color="auto"/>
            </w:tcBorders>
            <w:shd w:val="clear" w:color="auto" w:fill="C6EFCE"/>
            <w:noWrap/>
            <w:vAlign w:val="center"/>
          </w:tcPr>
          <w:p w14:paraId="6FD94B2A" w14:textId="77777777" w:rsidR="00154E32" w:rsidRDefault="00A43E04">
            <w:pPr>
              <w:pStyle w:val="P68B1DB1-Normal48"/>
              <w:jc w:val="center"/>
              <w:rPr>
                <w:noProof/>
              </w:rPr>
            </w:pPr>
            <w:r>
              <w:rPr>
                <w:noProof/>
              </w:rPr>
              <w:t>Sistem kartice zdravstvenega zavarovanja in infrastruktura za interoperabilnost elektronskih zdravstvenih zapisov v celoti delujeta.</w:t>
            </w:r>
          </w:p>
        </w:tc>
      </w:tr>
      <w:tr w:rsidR="00154E32" w14:paraId="5E507B5C"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EE1FDC5" w14:textId="77777777" w:rsidR="00154E32" w:rsidRDefault="00A43E04">
            <w:pPr>
              <w:pStyle w:val="P68B1DB1-Normal12"/>
              <w:jc w:val="center"/>
              <w:rPr>
                <w:noProof/>
              </w:rPr>
            </w:pPr>
            <w:r>
              <w:rPr>
                <w:noProof/>
              </w:rPr>
              <w:t>M6C2–13</w:t>
            </w:r>
          </w:p>
        </w:tc>
        <w:tc>
          <w:tcPr>
            <w:tcW w:w="3090" w:type="dxa"/>
            <w:tcBorders>
              <w:top w:val="nil"/>
              <w:left w:val="nil"/>
              <w:bottom w:val="single" w:sz="4" w:space="0" w:color="auto"/>
              <w:right w:val="single" w:sz="4" w:space="0" w:color="auto"/>
            </w:tcBorders>
            <w:shd w:val="clear" w:color="auto" w:fill="C6EFCE"/>
            <w:noWrap/>
            <w:vAlign w:val="center"/>
          </w:tcPr>
          <w:p w14:paraId="3ED1646E" w14:textId="77777777" w:rsidR="00154E32" w:rsidRDefault="00A43E04">
            <w:pPr>
              <w:pStyle w:val="P68B1DB1-Normal48"/>
              <w:jc w:val="center"/>
              <w:rPr>
                <w:noProof/>
              </w:rPr>
            </w:pPr>
            <w:r>
              <w:rPr>
                <w:noProof/>
              </w:rPr>
              <w:t>Naložba 1.3: Krepitev tehnološke infrastrukture in orodij za zbiranje, obdelavo, analizo in simulacijo podatkov</w:t>
            </w:r>
          </w:p>
        </w:tc>
        <w:tc>
          <w:tcPr>
            <w:tcW w:w="1498" w:type="dxa"/>
            <w:tcBorders>
              <w:top w:val="nil"/>
              <w:left w:val="nil"/>
              <w:bottom w:val="single" w:sz="4" w:space="0" w:color="auto"/>
              <w:right w:val="single" w:sz="4" w:space="0" w:color="auto"/>
            </w:tcBorders>
            <w:shd w:val="clear" w:color="auto" w:fill="C6EFCE"/>
            <w:noWrap/>
            <w:vAlign w:val="center"/>
          </w:tcPr>
          <w:p w14:paraId="02069F2A" w14:textId="77777777" w:rsidR="00154E32" w:rsidRDefault="00A43E04">
            <w:pPr>
              <w:pStyle w:val="P68B1DB1-Normal48"/>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5314C182" w14:textId="77777777" w:rsidR="00154E32" w:rsidRDefault="00A43E04">
            <w:pPr>
              <w:pStyle w:val="P68B1DB1-Normal48"/>
              <w:jc w:val="center"/>
              <w:rPr>
                <w:noProof/>
              </w:rPr>
            </w:pPr>
            <w:r>
              <w:rPr>
                <w:noProof/>
              </w:rPr>
              <w:t>Vse regije so sprejele in uporabljajo EHR</w:t>
            </w:r>
          </w:p>
        </w:tc>
      </w:tr>
      <w:tr w:rsidR="00154E32" w14:paraId="1E92B96D"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50994ED0" w14:textId="77777777" w:rsidR="00154E32" w:rsidRDefault="00A43E04">
            <w:pPr>
              <w:pStyle w:val="P68B1DB1-Normal12"/>
              <w:jc w:val="center"/>
              <w:rPr>
                <w:noProof/>
              </w:rPr>
            </w:pPr>
            <w:r>
              <w:rPr>
                <w:noProof/>
              </w:rPr>
              <w:t>M6C2–16</w:t>
            </w:r>
          </w:p>
        </w:tc>
        <w:tc>
          <w:tcPr>
            <w:tcW w:w="3090" w:type="dxa"/>
            <w:tcBorders>
              <w:top w:val="nil"/>
              <w:left w:val="nil"/>
              <w:bottom w:val="single" w:sz="4" w:space="0" w:color="auto"/>
              <w:right w:val="single" w:sz="4" w:space="0" w:color="auto"/>
            </w:tcBorders>
            <w:shd w:val="clear" w:color="auto" w:fill="C6EFCE"/>
            <w:noWrap/>
            <w:vAlign w:val="center"/>
          </w:tcPr>
          <w:p w14:paraId="24716BF6" w14:textId="77777777" w:rsidR="00154E32" w:rsidRDefault="00A43E04">
            <w:pPr>
              <w:pStyle w:val="P68B1DB1-Normal48"/>
              <w:jc w:val="center"/>
              <w:rPr>
                <w:noProof/>
              </w:rPr>
            </w:pPr>
            <w:r>
              <w:rPr>
                <w:noProof/>
              </w:rPr>
              <w:t>Naložba 2.2: Razvoj tehnično-strokovnih, digitalnih in vodstvenih znanj in spretnosti strokovnjakov v zdravstvenem sistemu</w:t>
            </w:r>
          </w:p>
        </w:tc>
        <w:tc>
          <w:tcPr>
            <w:tcW w:w="1498" w:type="dxa"/>
            <w:tcBorders>
              <w:top w:val="nil"/>
              <w:left w:val="nil"/>
              <w:bottom w:val="single" w:sz="4" w:space="0" w:color="auto"/>
              <w:right w:val="single" w:sz="4" w:space="0" w:color="auto"/>
            </w:tcBorders>
            <w:shd w:val="clear" w:color="auto" w:fill="C6EFCE"/>
            <w:noWrap/>
            <w:vAlign w:val="center"/>
          </w:tcPr>
          <w:p w14:paraId="2E479383" w14:textId="77777777" w:rsidR="00154E32" w:rsidRDefault="00A43E04">
            <w:pPr>
              <w:pStyle w:val="P68B1DB1-Normal48"/>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0AF2C596" w14:textId="77777777" w:rsidR="00154E32" w:rsidRDefault="00A43E04">
            <w:pPr>
              <w:pStyle w:val="P68B1DB1-Normal48"/>
              <w:jc w:val="center"/>
              <w:rPr>
                <w:noProof/>
              </w:rPr>
            </w:pPr>
            <w:r>
              <w:rPr>
                <w:noProof/>
              </w:rPr>
              <w:t>Usposabljanje o vodstvenih in digitalnih znanjih in spretnostih za zaposlene v nacionalni zdravstveni službi</w:t>
            </w:r>
          </w:p>
        </w:tc>
      </w:tr>
      <w:tr w:rsidR="00154E32" w14:paraId="34BBF36A"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DE04B55" w14:textId="77777777" w:rsidR="00154E32" w:rsidRDefault="00A43E04">
            <w:pPr>
              <w:pStyle w:val="P68B1DB1-Normal48"/>
              <w:jc w:val="center"/>
              <w:rPr>
                <w:noProof/>
              </w:rPr>
            </w:pPr>
            <w:r>
              <w:rPr>
                <w:noProof/>
              </w:rPr>
              <w:t>M6C2–17</w:t>
            </w:r>
          </w:p>
        </w:tc>
        <w:tc>
          <w:tcPr>
            <w:tcW w:w="3090" w:type="dxa"/>
            <w:tcBorders>
              <w:top w:val="nil"/>
              <w:left w:val="nil"/>
              <w:bottom w:val="single" w:sz="4" w:space="0" w:color="auto"/>
              <w:right w:val="single" w:sz="4" w:space="0" w:color="auto"/>
            </w:tcBorders>
            <w:shd w:val="clear" w:color="auto" w:fill="C6EFCE"/>
            <w:noWrap/>
            <w:vAlign w:val="center"/>
          </w:tcPr>
          <w:p w14:paraId="20B6F9B0" w14:textId="77777777" w:rsidR="00154E32" w:rsidRDefault="00A43E04">
            <w:pPr>
              <w:pStyle w:val="P68B1DB1-Normal48"/>
              <w:jc w:val="center"/>
              <w:rPr>
                <w:noProof/>
              </w:rPr>
            </w:pPr>
            <w:r>
              <w:rPr>
                <w:noProof/>
              </w:rPr>
              <w:t>Naložba 2.2: Razvoj tehnično-strokovnih, digitalnih in vodstvenih znanj in spretnosti strokovnjakov v zdravstvenem sistemu</w:t>
            </w:r>
          </w:p>
        </w:tc>
        <w:tc>
          <w:tcPr>
            <w:tcW w:w="1498" w:type="dxa"/>
            <w:tcBorders>
              <w:top w:val="nil"/>
              <w:left w:val="nil"/>
              <w:bottom w:val="single" w:sz="4" w:space="0" w:color="auto"/>
              <w:right w:val="single" w:sz="4" w:space="0" w:color="auto"/>
            </w:tcBorders>
            <w:shd w:val="clear" w:color="auto" w:fill="C6EFCE"/>
            <w:noWrap/>
            <w:vAlign w:val="center"/>
          </w:tcPr>
          <w:p w14:paraId="26958784" w14:textId="77777777" w:rsidR="00154E32" w:rsidRDefault="00A43E04">
            <w:pPr>
              <w:pStyle w:val="P68B1DB1-Normal48"/>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517C9DBB" w14:textId="77777777" w:rsidR="00154E32" w:rsidRDefault="00A43E04">
            <w:pPr>
              <w:pStyle w:val="P68B1DB1-Normal48"/>
              <w:jc w:val="center"/>
              <w:rPr>
                <w:noProof/>
              </w:rPr>
            </w:pPr>
            <w:r>
              <w:rPr>
                <w:noProof/>
              </w:rPr>
              <w:t>Število financiranih pogodb o specialističnem usposabljanju</w:t>
            </w:r>
          </w:p>
        </w:tc>
      </w:tr>
      <w:tr w:rsidR="00154E32" w14:paraId="5390F90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2975F33D" w14:textId="77777777" w:rsidR="00154E32" w:rsidRDefault="00A43E04">
            <w:pPr>
              <w:pStyle w:val="P68B1DB1-Normal12"/>
              <w:jc w:val="center"/>
              <w:rPr>
                <w:noProof/>
              </w:rPr>
            </w:pPr>
            <w:r>
              <w:rPr>
                <w:noProof/>
              </w:rPr>
              <w:t>M7–37</w:t>
            </w:r>
          </w:p>
        </w:tc>
        <w:tc>
          <w:tcPr>
            <w:tcW w:w="3090" w:type="dxa"/>
            <w:tcBorders>
              <w:top w:val="nil"/>
              <w:left w:val="nil"/>
              <w:bottom w:val="single" w:sz="4" w:space="0" w:color="auto"/>
              <w:right w:val="single" w:sz="4" w:space="0" w:color="auto"/>
            </w:tcBorders>
            <w:shd w:val="clear" w:color="auto" w:fill="C6EFCE"/>
            <w:noWrap/>
            <w:vAlign w:val="center"/>
          </w:tcPr>
          <w:p w14:paraId="2D013ACF" w14:textId="77777777" w:rsidR="00154E32" w:rsidRDefault="00A43E04">
            <w:pPr>
              <w:pStyle w:val="P68B1DB1-Normal12"/>
              <w:jc w:val="center"/>
              <w:rPr>
                <w:noProof/>
              </w:rPr>
            </w:pPr>
            <w:r>
              <w:rPr>
                <w:noProof/>
              </w:rPr>
              <w:t>Naložba 13: Faza 1 Jadranske črte (kompresorska postaja Sulmona in plinovod Sestino-Minerbio)</w:t>
            </w:r>
          </w:p>
        </w:tc>
        <w:tc>
          <w:tcPr>
            <w:tcW w:w="1498" w:type="dxa"/>
            <w:tcBorders>
              <w:top w:val="nil"/>
              <w:left w:val="nil"/>
              <w:bottom w:val="single" w:sz="4" w:space="0" w:color="auto"/>
              <w:right w:val="single" w:sz="4" w:space="0" w:color="auto"/>
            </w:tcBorders>
            <w:shd w:val="clear" w:color="auto" w:fill="C6EFCE"/>
            <w:noWrap/>
            <w:vAlign w:val="center"/>
          </w:tcPr>
          <w:p w14:paraId="2339F443" w14:textId="77777777" w:rsidR="00154E32" w:rsidRDefault="00A43E04">
            <w:pPr>
              <w:pStyle w:val="P68B1DB1-Normal12"/>
              <w:jc w:val="center"/>
              <w:rPr>
                <w:noProof/>
              </w:rPr>
            </w:pPr>
            <w:r>
              <w:rPr>
                <w:noProof/>
              </w:rPr>
              <w:t>Mejnik</w:t>
            </w:r>
          </w:p>
        </w:tc>
        <w:tc>
          <w:tcPr>
            <w:tcW w:w="4091" w:type="dxa"/>
            <w:tcBorders>
              <w:top w:val="nil"/>
              <w:left w:val="nil"/>
              <w:bottom w:val="single" w:sz="4" w:space="0" w:color="auto"/>
              <w:right w:val="single" w:sz="4" w:space="0" w:color="auto"/>
            </w:tcBorders>
            <w:shd w:val="clear" w:color="auto" w:fill="C6EFCE"/>
            <w:noWrap/>
            <w:vAlign w:val="center"/>
          </w:tcPr>
          <w:p w14:paraId="015C78BF" w14:textId="77777777" w:rsidR="00154E32" w:rsidRDefault="00A43E04">
            <w:pPr>
              <w:pStyle w:val="P68B1DB1-Normal12"/>
              <w:jc w:val="center"/>
              <w:rPr>
                <w:noProof/>
              </w:rPr>
            </w:pPr>
            <w:r>
              <w:rPr>
                <w:noProof/>
              </w:rPr>
              <w:t>Dokončanje del</w:t>
            </w:r>
          </w:p>
        </w:tc>
      </w:tr>
      <w:tr w:rsidR="00154E32" w14:paraId="40976DD5"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7BAE3983" w14:textId="77777777" w:rsidR="00154E32" w:rsidRDefault="00A43E04">
            <w:pPr>
              <w:pStyle w:val="P68B1DB1-Normal12"/>
              <w:jc w:val="center"/>
              <w:rPr>
                <w:noProof/>
              </w:rPr>
            </w:pPr>
            <w:r>
              <w:rPr>
                <w:noProof/>
              </w:rPr>
              <w:t>M7–39</w:t>
            </w:r>
          </w:p>
        </w:tc>
        <w:tc>
          <w:tcPr>
            <w:tcW w:w="3090" w:type="dxa"/>
            <w:tcBorders>
              <w:top w:val="nil"/>
              <w:left w:val="nil"/>
              <w:bottom w:val="single" w:sz="4" w:space="0" w:color="auto"/>
              <w:right w:val="single" w:sz="4" w:space="0" w:color="auto"/>
            </w:tcBorders>
            <w:shd w:val="clear" w:color="auto" w:fill="C6EFCE"/>
            <w:noWrap/>
            <w:vAlign w:val="center"/>
          </w:tcPr>
          <w:p w14:paraId="65E15631" w14:textId="77777777" w:rsidR="00154E32" w:rsidRDefault="00A43E04">
            <w:pPr>
              <w:pStyle w:val="P68B1DB1-Normal12"/>
              <w:jc w:val="center"/>
              <w:rPr>
                <w:noProof/>
              </w:rPr>
            </w:pPr>
            <w:r>
              <w:rPr>
                <w:noProof/>
              </w:rPr>
              <w:t>Naložba 14: Infrastruktura za čezmejni izvoz plina</w:t>
            </w:r>
          </w:p>
        </w:tc>
        <w:tc>
          <w:tcPr>
            <w:tcW w:w="1498" w:type="dxa"/>
            <w:tcBorders>
              <w:top w:val="nil"/>
              <w:left w:val="nil"/>
              <w:bottom w:val="single" w:sz="4" w:space="0" w:color="auto"/>
              <w:right w:val="single" w:sz="4" w:space="0" w:color="auto"/>
            </w:tcBorders>
            <w:shd w:val="clear" w:color="auto" w:fill="C6EFCE"/>
            <w:noWrap/>
            <w:vAlign w:val="center"/>
          </w:tcPr>
          <w:p w14:paraId="10B47C88" w14:textId="77777777" w:rsidR="00154E32" w:rsidRDefault="00A43E04">
            <w:pPr>
              <w:pStyle w:val="P68B1DB1-Normal12"/>
              <w:jc w:val="center"/>
              <w:rPr>
                <w:noProof/>
              </w:rPr>
            </w:pPr>
            <w:r>
              <w:rPr>
                <w:noProof/>
              </w:rPr>
              <w:t>Mejnik</w:t>
            </w:r>
          </w:p>
        </w:tc>
        <w:tc>
          <w:tcPr>
            <w:tcW w:w="4091" w:type="dxa"/>
            <w:tcBorders>
              <w:top w:val="nil"/>
              <w:left w:val="nil"/>
              <w:bottom w:val="single" w:sz="4" w:space="0" w:color="auto"/>
              <w:right w:val="single" w:sz="4" w:space="0" w:color="auto"/>
            </w:tcBorders>
            <w:shd w:val="clear" w:color="auto" w:fill="C6EFCE"/>
            <w:noWrap/>
            <w:vAlign w:val="center"/>
          </w:tcPr>
          <w:p w14:paraId="771A2201" w14:textId="77777777" w:rsidR="00154E32" w:rsidRDefault="00A43E04">
            <w:pPr>
              <w:pStyle w:val="P68B1DB1-Normal12"/>
              <w:jc w:val="center"/>
              <w:rPr>
                <w:noProof/>
              </w:rPr>
            </w:pPr>
            <w:r>
              <w:rPr>
                <w:noProof/>
              </w:rPr>
              <w:t>Dokončanje del</w:t>
            </w:r>
          </w:p>
        </w:tc>
      </w:tr>
      <w:tr w:rsidR="00154E32" w14:paraId="725CD7F2"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C5D6CC2" w14:textId="77777777" w:rsidR="00154E32" w:rsidRDefault="00A43E04">
            <w:pPr>
              <w:pStyle w:val="P68B1DB1-Normal12"/>
              <w:jc w:val="center"/>
              <w:rPr>
                <w:noProof/>
              </w:rPr>
            </w:pPr>
            <w:r>
              <w:rPr>
                <w:noProof/>
              </w:rPr>
              <w:t>M7–41</w:t>
            </w:r>
          </w:p>
        </w:tc>
        <w:tc>
          <w:tcPr>
            <w:tcW w:w="3090" w:type="dxa"/>
            <w:tcBorders>
              <w:top w:val="nil"/>
              <w:left w:val="nil"/>
              <w:bottom w:val="single" w:sz="4" w:space="0" w:color="auto"/>
              <w:right w:val="single" w:sz="4" w:space="0" w:color="auto"/>
            </w:tcBorders>
            <w:shd w:val="clear" w:color="auto" w:fill="C6EFCE"/>
            <w:noWrap/>
            <w:vAlign w:val="center"/>
          </w:tcPr>
          <w:p w14:paraId="772202EC" w14:textId="77777777" w:rsidR="00154E32" w:rsidRDefault="00A43E04">
            <w:pPr>
              <w:pStyle w:val="P68B1DB1-Normal12"/>
              <w:jc w:val="center"/>
              <w:rPr>
                <w:noProof/>
              </w:rPr>
            </w:pPr>
            <w:r>
              <w:rPr>
                <w:noProof/>
              </w:rPr>
              <w:t>Naložba 15: Transizione 5.0 Zeleni</w:t>
            </w:r>
          </w:p>
        </w:tc>
        <w:tc>
          <w:tcPr>
            <w:tcW w:w="1498" w:type="dxa"/>
            <w:tcBorders>
              <w:top w:val="nil"/>
              <w:left w:val="nil"/>
              <w:bottom w:val="single" w:sz="4" w:space="0" w:color="auto"/>
              <w:right w:val="single" w:sz="4" w:space="0" w:color="auto"/>
            </w:tcBorders>
            <w:shd w:val="clear" w:color="auto" w:fill="C6EFCE"/>
            <w:noWrap/>
            <w:vAlign w:val="center"/>
          </w:tcPr>
          <w:p w14:paraId="6ED71DA1"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4D989A1B" w14:textId="77777777" w:rsidR="00154E32" w:rsidRDefault="00A43E04">
            <w:pPr>
              <w:pStyle w:val="P68B1DB1-Normal12"/>
              <w:jc w:val="center"/>
              <w:rPr>
                <w:noProof/>
              </w:rPr>
            </w:pPr>
            <w:r>
              <w:rPr>
                <w:noProof/>
              </w:rPr>
              <w:t>Dodeljevanje sredstev iz mehanizma za okrevanje in odpornost</w:t>
            </w:r>
          </w:p>
        </w:tc>
      </w:tr>
      <w:tr w:rsidR="00154E32" w14:paraId="3AF9979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ED54C75" w14:textId="77777777" w:rsidR="00154E32" w:rsidRDefault="00A43E04">
            <w:pPr>
              <w:pStyle w:val="P68B1DB1-Normal12"/>
              <w:jc w:val="center"/>
              <w:rPr>
                <w:noProof/>
              </w:rPr>
            </w:pPr>
            <w:r>
              <w:rPr>
                <w:noProof/>
              </w:rPr>
              <w:t>M7–42</w:t>
            </w:r>
          </w:p>
        </w:tc>
        <w:tc>
          <w:tcPr>
            <w:tcW w:w="3090" w:type="dxa"/>
            <w:tcBorders>
              <w:top w:val="nil"/>
              <w:left w:val="nil"/>
              <w:bottom w:val="single" w:sz="4" w:space="0" w:color="auto"/>
              <w:right w:val="single" w:sz="4" w:space="0" w:color="auto"/>
            </w:tcBorders>
            <w:shd w:val="clear" w:color="auto" w:fill="C6EFCE"/>
            <w:noWrap/>
            <w:vAlign w:val="center"/>
          </w:tcPr>
          <w:p w14:paraId="07E313ED" w14:textId="77777777" w:rsidR="00154E32" w:rsidRDefault="00A43E04">
            <w:pPr>
              <w:pStyle w:val="P68B1DB1-Normal12"/>
              <w:jc w:val="center"/>
              <w:rPr>
                <w:noProof/>
              </w:rPr>
            </w:pPr>
            <w:r>
              <w:rPr>
                <w:noProof/>
              </w:rPr>
              <w:t>Naložba 15: Transizione 5.0 Zeleni</w:t>
            </w:r>
          </w:p>
        </w:tc>
        <w:tc>
          <w:tcPr>
            <w:tcW w:w="1498" w:type="dxa"/>
            <w:tcBorders>
              <w:top w:val="nil"/>
              <w:left w:val="nil"/>
              <w:bottom w:val="single" w:sz="4" w:space="0" w:color="auto"/>
              <w:right w:val="single" w:sz="4" w:space="0" w:color="auto"/>
            </w:tcBorders>
            <w:shd w:val="clear" w:color="auto" w:fill="C6EFCE"/>
            <w:noWrap/>
            <w:vAlign w:val="center"/>
          </w:tcPr>
          <w:p w14:paraId="2D802279"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27B7385A" w14:textId="77777777" w:rsidR="00154E32" w:rsidRDefault="00A43E04">
            <w:pPr>
              <w:pStyle w:val="P68B1DB1-Normal12"/>
              <w:jc w:val="center"/>
              <w:rPr>
                <w:noProof/>
              </w:rPr>
            </w:pPr>
            <w:r>
              <w:rPr>
                <w:noProof/>
              </w:rPr>
              <w:t>0,4 Mtoe prihrankov energije pri porabi končne energije v obdobju 2024–2026</w:t>
            </w:r>
          </w:p>
        </w:tc>
      </w:tr>
      <w:tr w:rsidR="00154E32" w14:paraId="32912C78"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1439F705" w14:textId="77777777" w:rsidR="00154E32" w:rsidRDefault="00A43E04">
            <w:pPr>
              <w:pStyle w:val="P68B1DB1-Normal12"/>
              <w:jc w:val="center"/>
              <w:rPr>
                <w:noProof/>
              </w:rPr>
            </w:pPr>
            <w:r>
              <w:rPr>
                <w:noProof/>
              </w:rPr>
              <w:t>M7–45</w:t>
            </w:r>
          </w:p>
        </w:tc>
        <w:tc>
          <w:tcPr>
            <w:tcW w:w="3090" w:type="dxa"/>
            <w:tcBorders>
              <w:top w:val="nil"/>
              <w:left w:val="nil"/>
              <w:bottom w:val="single" w:sz="4" w:space="0" w:color="auto"/>
              <w:right w:val="single" w:sz="4" w:space="0" w:color="auto"/>
            </w:tcBorders>
            <w:shd w:val="clear" w:color="auto" w:fill="C6EFCE"/>
            <w:noWrap/>
            <w:vAlign w:val="center"/>
          </w:tcPr>
          <w:p w14:paraId="0EC628E7" w14:textId="77777777" w:rsidR="00154E32" w:rsidRDefault="00A43E04">
            <w:pPr>
              <w:pStyle w:val="P68B1DB1-Normal12"/>
              <w:jc w:val="center"/>
              <w:rPr>
                <w:noProof/>
              </w:rPr>
            </w:pPr>
            <w:r>
              <w:rPr>
                <w:noProof/>
              </w:rPr>
              <w:t>Naložba 16: Podpora MSP za lastno proizvodnjo iz obnovljivih virov energije</w:t>
            </w:r>
          </w:p>
        </w:tc>
        <w:tc>
          <w:tcPr>
            <w:tcW w:w="1498" w:type="dxa"/>
            <w:tcBorders>
              <w:top w:val="nil"/>
              <w:left w:val="nil"/>
              <w:bottom w:val="single" w:sz="4" w:space="0" w:color="auto"/>
              <w:right w:val="single" w:sz="4" w:space="0" w:color="auto"/>
            </w:tcBorders>
            <w:shd w:val="clear" w:color="auto" w:fill="C6EFCE"/>
            <w:noWrap/>
            <w:vAlign w:val="center"/>
          </w:tcPr>
          <w:p w14:paraId="631BCE3A"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3CC37CA2" w14:textId="77777777" w:rsidR="00154E32" w:rsidRDefault="00A43E04">
            <w:pPr>
              <w:pStyle w:val="P68B1DB1-Normal12"/>
              <w:jc w:val="center"/>
              <w:rPr>
                <w:noProof/>
              </w:rPr>
            </w:pPr>
            <w:r>
              <w:rPr>
                <w:noProof/>
              </w:rPr>
              <w:t>Pravni sporazumi s končnimi upravičenci</w:t>
            </w:r>
          </w:p>
        </w:tc>
      </w:tr>
      <w:tr w:rsidR="00154E32" w14:paraId="42AF8826"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663B45D" w14:textId="77777777" w:rsidR="00154E32" w:rsidRDefault="00A43E04">
            <w:pPr>
              <w:pStyle w:val="P68B1DB1-Normal12"/>
              <w:jc w:val="center"/>
              <w:rPr>
                <w:noProof/>
              </w:rPr>
            </w:pPr>
            <w:r>
              <w:rPr>
                <w:noProof/>
              </w:rPr>
              <w:t>M7–49</w:t>
            </w:r>
          </w:p>
        </w:tc>
        <w:tc>
          <w:tcPr>
            <w:tcW w:w="3090" w:type="dxa"/>
            <w:tcBorders>
              <w:top w:val="nil"/>
              <w:left w:val="nil"/>
              <w:bottom w:val="single" w:sz="4" w:space="0" w:color="auto"/>
              <w:right w:val="single" w:sz="4" w:space="0" w:color="auto"/>
            </w:tcBorders>
            <w:shd w:val="clear" w:color="auto" w:fill="C6EFCE"/>
            <w:noWrap/>
            <w:vAlign w:val="center"/>
          </w:tcPr>
          <w:p w14:paraId="3A0B132D" w14:textId="77777777" w:rsidR="00154E32" w:rsidRDefault="00A43E04">
            <w:pPr>
              <w:pStyle w:val="P68B1DB1-Normal12"/>
              <w:jc w:val="center"/>
              <w:rPr>
                <w:noProof/>
              </w:rPr>
            </w:pPr>
            <w:r>
              <w:rPr>
                <w:noProof/>
              </w:rPr>
              <w:t>Naložba 17: Finančni instrument za energetsko prenovo javnih in socialnih stanovanj</w:t>
            </w:r>
          </w:p>
        </w:tc>
        <w:tc>
          <w:tcPr>
            <w:tcW w:w="1498" w:type="dxa"/>
            <w:tcBorders>
              <w:top w:val="nil"/>
              <w:left w:val="nil"/>
              <w:bottom w:val="single" w:sz="4" w:space="0" w:color="auto"/>
              <w:right w:val="single" w:sz="4" w:space="0" w:color="auto"/>
            </w:tcBorders>
            <w:shd w:val="clear" w:color="auto" w:fill="C6EFCE"/>
            <w:noWrap/>
            <w:vAlign w:val="center"/>
          </w:tcPr>
          <w:p w14:paraId="55EB7273"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44927C18" w14:textId="77777777" w:rsidR="00154E32" w:rsidRDefault="00A43E04">
            <w:pPr>
              <w:pStyle w:val="P68B1DB1-Normal12"/>
              <w:jc w:val="center"/>
              <w:rPr>
                <w:noProof/>
              </w:rPr>
            </w:pPr>
            <w:r>
              <w:rPr>
                <w:noProof/>
              </w:rPr>
              <w:t>Pravni sporazumi, podpisani s končnimi upravičenci</w:t>
            </w:r>
          </w:p>
        </w:tc>
      </w:tr>
      <w:tr w:rsidR="00154E32" w14:paraId="0218976B"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6306F511" w14:textId="77777777" w:rsidR="00154E32" w:rsidRDefault="00A43E04">
            <w:pPr>
              <w:pStyle w:val="P68B1DB1-Normal12"/>
              <w:jc w:val="center"/>
              <w:rPr>
                <w:noProof/>
              </w:rPr>
            </w:pPr>
            <w:r>
              <w:rPr>
                <w:noProof/>
              </w:rPr>
              <w:t>M1C3–29</w:t>
            </w:r>
          </w:p>
        </w:tc>
        <w:tc>
          <w:tcPr>
            <w:tcW w:w="3090" w:type="dxa"/>
            <w:tcBorders>
              <w:top w:val="nil"/>
              <w:left w:val="nil"/>
              <w:bottom w:val="single" w:sz="4" w:space="0" w:color="auto"/>
              <w:right w:val="single" w:sz="4" w:space="0" w:color="auto"/>
            </w:tcBorders>
            <w:shd w:val="clear" w:color="auto" w:fill="C6EFCE"/>
            <w:noWrap/>
            <w:vAlign w:val="center"/>
          </w:tcPr>
          <w:p w14:paraId="1CF47029" w14:textId="77777777" w:rsidR="00154E32" w:rsidRDefault="00A43E04">
            <w:pPr>
              <w:pStyle w:val="P68B1DB1-Normal12"/>
              <w:jc w:val="center"/>
              <w:rPr>
                <w:noProof/>
              </w:rPr>
            </w:pPr>
            <w:r>
              <w:rPr>
                <w:noProof/>
              </w:rPr>
              <w:t>Naložba 4.2:  Sredstva za konkurenčnost turističnih podjetij</w:t>
            </w:r>
          </w:p>
        </w:tc>
        <w:tc>
          <w:tcPr>
            <w:tcW w:w="1498" w:type="dxa"/>
            <w:tcBorders>
              <w:top w:val="nil"/>
              <w:left w:val="nil"/>
              <w:bottom w:val="single" w:sz="4" w:space="0" w:color="auto"/>
              <w:right w:val="single" w:sz="4" w:space="0" w:color="auto"/>
            </w:tcBorders>
            <w:shd w:val="clear" w:color="auto" w:fill="C6EFCE"/>
            <w:noWrap/>
            <w:vAlign w:val="center"/>
          </w:tcPr>
          <w:p w14:paraId="687F8658" w14:textId="77777777" w:rsidR="00154E32" w:rsidRDefault="00A43E04">
            <w:pPr>
              <w:pStyle w:val="P68B1DB1-Normal12"/>
              <w:jc w:val="center"/>
              <w:rPr>
                <w:noProof/>
              </w:rPr>
            </w:pPr>
            <w:r>
              <w:rPr>
                <w:noProof/>
              </w:rPr>
              <w:t>Tarča</w:t>
            </w:r>
          </w:p>
        </w:tc>
        <w:tc>
          <w:tcPr>
            <w:tcW w:w="4091" w:type="dxa"/>
            <w:tcBorders>
              <w:top w:val="nil"/>
              <w:left w:val="nil"/>
              <w:bottom w:val="single" w:sz="4" w:space="0" w:color="auto"/>
              <w:right w:val="single" w:sz="4" w:space="0" w:color="auto"/>
            </w:tcBorders>
            <w:shd w:val="clear" w:color="auto" w:fill="C6EFCE"/>
            <w:noWrap/>
            <w:vAlign w:val="center"/>
          </w:tcPr>
          <w:p w14:paraId="7F51D9AC" w14:textId="77777777" w:rsidR="00154E32" w:rsidRDefault="00A43E04">
            <w:pPr>
              <w:pStyle w:val="P68B1DB1-Normal12"/>
              <w:jc w:val="center"/>
              <w:rPr>
                <w:noProof/>
              </w:rPr>
            </w:pPr>
            <w:r>
              <w:rPr>
                <w:noProof/>
              </w:rPr>
              <w:t xml:space="preserve">Število turističnih projektov, ki bodo prejeli podporo iz tematskih skladov Evropske investicijske banke </w:t>
            </w:r>
          </w:p>
        </w:tc>
      </w:tr>
      <w:tr w:rsidR="00154E32" w14:paraId="013EAB29" w14:textId="77777777">
        <w:trPr>
          <w:trHeight w:val="302"/>
        </w:trPr>
        <w:tc>
          <w:tcPr>
            <w:tcW w:w="1413" w:type="dxa"/>
            <w:tcBorders>
              <w:top w:val="nil"/>
              <w:left w:val="single" w:sz="4" w:space="0" w:color="auto"/>
              <w:bottom w:val="single" w:sz="4" w:space="0" w:color="auto"/>
              <w:right w:val="single" w:sz="4" w:space="0" w:color="auto"/>
            </w:tcBorders>
            <w:shd w:val="clear" w:color="auto" w:fill="C6EFCE"/>
            <w:noWrap/>
            <w:vAlign w:val="center"/>
          </w:tcPr>
          <w:p w14:paraId="0475A822" w14:textId="77777777" w:rsidR="00154E32" w:rsidRDefault="00A43E04">
            <w:pPr>
              <w:pStyle w:val="P68B1DB1-Normal12"/>
              <w:jc w:val="center"/>
              <w:rPr>
                <w:noProof/>
              </w:rPr>
            </w:pPr>
            <w:r>
              <w:rPr>
                <w:noProof/>
              </w:rPr>
              <w:t xml:space="preserve">M3C2–9 </w:t>
            </w:r>
          </w:p>
        </w:tc>
        <w:tc>
          <w:tcPr>
            <w:tcW w:w="3090" w:type="dxa"/>
            <w:tcBorders>
              <w:top w:val="nil"/>
              <w:left w:val="nil"/>
              <w:bottom w:val="single" w:sz="4" w:space="0" w:color="auto"/>
              <w:right w:val="single" w:sz="4" w:space="0" w:color="auto"/>
            </w:tcBorders>
            <w:shd w:val="clear" w:color="auto" w:fill="C6EFCE"/>
            <w:noWrap/>
            <w:vAlign w:val="center"/>
          </w:tcPr>
          <w:p w14:paraId="30BFE60A" w14:textId="77777777" w:rsidR="00154E32" w:rsidRDefault="00A43E04">
            <w:pPr>
              <w:pStyle w:val="P68B1DB1-Normal12"/>
              <w:jc w:val="center"/>
              <w:rPr>
                <w:noProof/>
              </w:rPr>
            </w:pPr>
            <w:r>
              <w:rPr>
                <w:noProof/>
              </w:rPr>
              <w:t xml:space="preserve">Naložba 1.1: Zelena pristanišča: ukrepi na področju energije iz obnovljivih virov in energetske učinkovitosti v pristaniščih </w:t>
            </w:r>
          </w:p>
        </w:tc>
        <w:tc>
          <w:tcPr>
            <w:tcW w:w="1498" w:type="dxa"/>
            <w:tcBorders>
              <w:top w:val="nil"/>
              <w:left w:val="nil"/>
              <w:bottom w:val="single" w:sz="4" w:space="0" w:color="auto"/>
              <w:right w:val="single" w:sz="4" w:space="0" w:color="auto"/>
            </w:tcBorders>
            <w:shd w:val="clear" w:color="auto" w:fill="C6EFCE"/>
            <w:noWrap/>
            <w:vAlign w:val="center"/>
          </w:tcPr>
          <w:p w14:paraId="4CE8D541" w14:textId="77777777" w:rsidR="00154E32" w:rsidRDefault="00A43E04">
            <w:pPr>
              <w:pStyle w:val="P68B1DB1-Normal12"/>
              <w:jc w:val="center"/>
              <w:rPr>
                <w:noProof/>
              </w:rPr>
            </w:pPr>
            <w:r>
              <w:rPr>
                <w:noProof/>
              </w:rPr>
              <w:t xml:space="preserve">Tarča </w:t>
            </w:r>
          </w:p>
        </w:tc>
        <w:tc>
          <w:tcPr>
            <w:tcW w:w="4091" w:type="dxa"/>
            <w:tcBorders>
              <w:top w:val="nil"/>
              <w:left w:val="nil"/>
              <w:bottom w:val="single" w:sz="4" w:space="0" w:color="auto"/>
              <w:right w:val="single" w:sz="4" w:space="0" w:color="auto"/>
            </w:tcBorders>
            <w:shd w:val="clear" w:color="auto" w:fill="C6EFCE"/>
            <w:noWrap/>
            <w:vAlign w:val="center"/>
          </w:tcPr>
          <w:p w14:paraId="1B4A0215" w14:textId="77777777" w:rsidR="00154E32" w:rsidRDefault="00A43E04">
            <w:pPr>
              <w:pStyle w:val="P68B1DB1-Normal12"/>
              <w:jc w:val="center"/>
              <w:rPr>
                <w:noProof/>
              </w:rPr>
            </w:pPr>
            <w:r>
              <w:rPr>
                <w:noProof/>
              </w:rPr>
              <w:t>Zelena pristanišča: dokončanje del</w:t>
            </w:r>
          </w:p>
        </w:tc>
      </w:tr>
      <w:tr w:rsidR="00154E32" w14:paraId="7FFB273C" w14:textId="77777777">
        <w:trPr>
          <w:trHeight w:val="302"/>
        </w:trPr>
        <w:tc>
          <w:tcPr>
            <w:tcW w:w="1413" w:type="dxa"/>
            <w:tcBorders>
              <w:top w:val="single" w:sz="4" w:space="0" w:color="auto"/>
              <w:left w:val="single" w:sz="4" w:space="0" w:color="auto"/>
              <w:bottom w:val="single" w:sz="4" w:space="0" w:color="auto"/>
              <w:right w:val="single" w:sz="4" w:space="0" w:color="auto"/>
            </w:tcBorders>
            <w:shd w:val="clear" w:color="auto" w:fill="C6EFCE"/>
            <w:noWrap/>
            <w:vAlign w:val="bottom"/>
          </w:tcPr>
          <w:p w14:paraId="5C38FAF7" w14:textId="77777777" w:rsidR="00154E32" w:rsidRDefault="00154E32">
            <w:pPr>
              <w:jc w:val="center"/>
              <w:rPr>
                <w:noProof/>
                <w:color w:val="006100"/>
                <w:sz w:val="20"/>
              </w:rPr>
            </w:pPr>
          </w:p>
        </w:tc>
        <w:tc>
          <w:tcPr>
            <w:tcW w:w="3090" w:type="dxa"/>
            <w:tcBorders>
              <w:top w:val="single" w:sz="4" w:space="0" w:color="auto"/>
              <w:left w:val="nil"/>
              <w:bottom w:val="single" w:sz="4" w:space="0" w:color="auto"/>
              <w:right w:val="single" w:sz="4" w:space="0" w:color="auto"/>
            </w:tcBorders>
            <w:shd w:val="clear" w:color="auto" w:fill="C6EFCE"/>
            <w:noWrap/>
            <w:vAlign w:val="bottom"/>
          </w:tcPr>
          <w:p w14:paraId="1100C2FB" w14:textId="77777777" w:rsidR="00154E32" w:rsidRDefault="00154E32">
            <w:pPr>
              <w:rPr>
                <w:noProof/>
                <w:color w:val="006100"/>
                <w:sz w:val="20"/>
              </w:rPr>
            </w:pPr>
          </w:p>
        </w:tc>
        <w:tc>
          <w:tcPr>
            <w:tcW w:w="1498" w:type="dxa"/>
            <w:tcBorders>
              <w:top w:val="single" w:sz="4" w:space="0" w:color="auto"/>
              <w:left w:val="nil"/>
              <w:bottom w:val="single" w:sz="4" w:space="0" w:color="auto"/>
              <w:right w:val="single" w:sz="4" w:space="0" w:color="auto"/>
            </w:tcBorders>
            <w:shd w:val="clear" w:color="auto" w:fill="C6EFCE"/>
            <w:noWrap/>
            <w:vAlign w:val="bottom"/>
          </w:tcPr>
          <w:p w14:paraId="6544CFAD" w14:textId="77777777" w:rsidR="00154E32" w:rsidRDefault="00A43E04">
            <w:pPr>
              <w:pStyle w:val="P68B1DB1-Normal12"/>
              <w:rPr>
                <w:noProof/>
              </w:rPr>
            </w:pPr>
            <w:r>
              <w:rPr>
                <w:noProof/>
              </w:rPr>
              <w:t>Znesek obroka</w:t>
            </w:r>
          </w:p>
        </w:tc>
        <w:tc>
          <w:tcPr>
            <w:tcW w:w="4091" w:type="dxa"/>
            <w:tcBorders>
              <w:top w:val="single" w:sz="4" w:space="0" w:color="auto"/>
              <w:left w:val="nil"/>
              <w:bottom w:val="single" w:sz="4" w:space="0" w:color="auto"/>
              <w:right w:val="single" w:sz="4" w:space="0" w:color="auto"/>
            </w:tcBorders>
            <w:shd w:val="clear" w:color="auto" w:fill="C6EFCE"/>
            <w:noWrap/>
            <w:vAlign w:val="bottom"/>
          </w:tcPr>
          <w:p w14:paraId="1BE01E67" w14:textId="3C36C142" w:rsidR="00154E32" w:rsidRDefault="00A43E04">
            <w:pPr>
              <w:pStyle w:val="P68B1DB1-Normal12"/>
              <w:rPr>
                <w:noProof/>
              </w:rPr>
            </w:pPr>
            <w:r>
              <w:rPr>
                <w:noProof/>
              </w:rPr>
              <w:t>19 919 595 964 EUR</w:t>
            </w:r>
          </w:p>
        </w:tc>
      </w:tr>
    </w:tbl>
    <w:p w14:paraId="4971E94A" w14:textId="77777777" w:rsidR="00154E32" w:rsidRDefault="00154E32">
      <w:pPr>
        <w:spacing w:before="120" w:after="120"/>
        <w:jc w:val="both"/>
        <w:rPr>
          <w:rFonts w:eastAsia="Calibri"/>
          <w:noProof/>
        </w:rPr>
      </w:pPr>
    </w:p>
    <w:p w14:paraId="51BB2FEF" w14:textId="02CDBE01" w:rsidR="00154E32" w:rsidRDefault="00154E32">
      <w:pPr>
        <w:spacing w:before="120" w:after="120"/>
        <w:jc w:val="both"/>
        <w:rPr>
          <w:rFonts w:eastAsia="Calibri"/>
          <w:noProof/>
        </w:rPr>
      </w:pPr>
    </w:p>
    <w:p w14:paraId="0B4FF748" w14:textId="77777777" w:rsidR="00154E32" w:rsidRDefault="00A43E04">
      <w:pPr>
        <w:pStyle w:val="P68B1DB1-Normal42"/>
        <w:spacing w:after="200" w:line="276" w:lineRule="auto"/>
        <w:rPr>
          <w:noProof/>
        </w:rPr>
      </w:pPr>
      <w:r>
        <w:rPr>
          <w:noProof/>
        </w:rPr>
        <w:br w:type="page"/>
      </w:r>
    </w:p>
    <w:p w14:paraId="29076BA1" w14:textId="6327DCD6" w:rsidR="00154E32" w:rsidRDefault="00A43E04">
      <w:pPr>
        <w:pStyle w:val="P68B1DB1-Normal42"/>
        <w:spacing w:after="200" w:line="276" w:lineRule="auto"/>
        <w:rPr>
          <w:noProof/>
        </w:rPr>
      </w:pPr>
      <w:r>
        <w:rPr>
          <w:noProof/>
        </w:rPr>
        <w:t xml:space="preserve">ODDELEK 3: DODATNA UREDITEV </w:t>
      </w:r>
    </w:p>
    <w:p w14:paraId="05299F08" w14:textId="58149A5B" w:rsidR="00154E32" w:rsidRDefault="00A43E04">
      <w:pPr>
        <w:pStyle w:val="P68B1DB1-NumPar149"/>
        <w:numPr>
          <w:ilvl w:val="0"/>
          <w:numId w:val="140"/>
        </w:numPr>
        <w:rPr>
          <w:noProof/>
        </w:rPr>
      </w:pPr>
      <w:r>
        <w:rPr>
          <w:noProof/>
        </w:rPr>
        <w:t>Ureditve za spremljanje in izvajanje načrta za okrevanje in odpornost</w:t>
      </w:r>
    </w:p>
    <w:p w14:paraId="7817B879" w14:textId="1B097E0C" w:rsidR="00154E32" w:rsidRDefault="00A43E04">
      <w:pPr>
        <w:pStyle w:val="P68B1DB1-Normal44"/>
        <w:spacing w:before="120" w:after="120"/>
        <w:jc w:val="both"/>
        <w:rPr>
          <w:noProof/>
        </w:rPr>
      </w:pPr>
      <w:r>
        <w:rPr>
          <w:noProof/>
        </w:rPr>
        <w:t>Spremljanje in izvajanje načrta Italije za okrevanje in odpornost potekata v skladu z naslednjimi ureditvami.</w:t>
      </w:r>
    </w:p>
    <w:p w14:paraId="3210515C" w14:textId="1AD07786" w:rsidR="00154E32" w:rsidRDefault="00A43E04">
      <w:pPr>
        <w:pStyle w:val="P68B1DB1-Normal44"/>
        <w:spacing w:before="120" w:after="120"/>
        <w:jc w:val="both"/>
        <w:rPr>
          <w:noProof/>
        </w:rPr>
      </w:pPr>
      <w:r>
        <w:rPr>
          <w:noProof/>
        </w:rPr>
        <w:t>Kot je določeno v uredbi-zakonu št. 77 z dne 31. maja 2021, kakor je bila spremenjena z uredbo-zakonom št. 13 z dne 24. februarja 2023, je bilo vzpostavljenih več usklajevalnih struktur za spremljanje in izvajanje načrta. Ti vključujejo zlasti: (I) usmerjevalni odbor na visoki ravni („cabina di regia“), ustanovljen v okviru predsedstva Sveta ministrov, katerega glavna naloga je usmerjanje in usklajevanje izvajanja načrta; (II) strukturo misij, vzpostavljeno pri predsedstvu Sveta ministrov, vsaj za čas trajanja načrta, ki je pooblaščena, da deluje kot osrednja usklajevalna struktura za izvajanje in spremljanje načrta; (III) tehnična struktura na Ministrstvu za gospodarstvo in finance, ki izvaja operativno spremljanje izvajanja načrta, kontrolo pravilnosti postopkov in izdatkov ter poročanje ter tehnično in operativno podporo izvedbeni fazi. Struktura misij v okviru predsedstva Sveta ministrov deluje kot enotna kontaktna točka na nacionalni ravni za Evropsko komisijo. Ministrstvo za gospodarstvo in finance zagotavlja vrednotenje rezultatov načrta. Socialni partnerji in drugi deležniki sodelujejo na namenskih srečanjih „cabina di regia“, da se zagotovi njihovo sodelovanje pri izvajanju načrta. Poleg tega so na ravni vsake osrednje uprave, odgovorne za ukrepe, vključene v načrt, opredeljene strukture usklajevanja, katerih naloga je upravljanje, spremljanje, poročanje in kontrola ustreznih intervencij, tudi v zvezi z nadzorom izvajanja in napredka pri doseganju mejnikov in ciljev. Nazadnje, v primeru težav pri izvajanju so predvideni mehanizmi izvrševanja, vključno z aktivacijo pooblastil za nadomeščanje v odnosu do uprav, odgovornih za ukrepe iz načrta, da se zagotovi pravočasna in učinkovita izvedba projektov, vzpostavljeni pa so tudi predhodni mehanizmi za reševanje sporov.</w:t>
      </w:r>
    </w:p>
    <w:p w14:paraId="1F2C9135" w14:textId="77777777" w:rsidR="00154E32" w:rsidRDefault="00A43E04">
      <w:pPr>
        <w:pStyle w:val="P68B1DB1-Normal44"/>
        <w:spacing w:before="120" w:after="120"/>
        <w:jc w:val="both"/>
        <w:rPr>
          <w:noProof/>
        </w:rPr>
      </w:pPr>
      <w:r>
        <w:rPr>
          <w:noProof/>
        </w:rPr>
        <w:t xml:space="preserve">Za okrepitev upravne zmogljivosti za spremljanje in izvajanje je predvideno zaposlovanje začasnega osebja, tudi v zvezi s centralnimi upravami, odgovornimi za posredovanje načrta, ter ministrstvom za gospodarstvo in finance (vključno v zvezi z osrednjo usklajevalno strukturo in državnim oddelkom za računovodstvo), kot je določeno v zakonskem odloku z dne 9. junija 2021, št. 80, ter v zvezi z upravami južne Italije, ki naj bi okrepile človeški kapital, vključen v načrtovanje in porabo sredstev EU, kot je določeno zlasti v zakonu št. 178 iz leta 2020. Poleg tega so sredstva dodeljena strukturi misij, vzpostavljeni med predsedovanjem Svetu ministrov, da se zagotovi njeno učinkovito delovanje, kot je določeno v zakonskem odloku št. 13 z dne 24. februarja 2023. Pri izvajanju projektov je predvidena tudi tehnična in operativna podpora centralnim in lokalnim upravam, vključno z uporabo javnih kapitalskih družb, naborom strokovnjakov za tehnično pomoč in možnostjo uporabe zunanjega strokovnega znanja. Te ukrepe spremlja izvajanje ukrepov za zmanjšanje birokracije in poenostavitev upravnih postopkov, kot je določeno v zakonskem odloku št. 77 z dne 31. maja 2021 in zakonskem odloku št. 13 z dne 24. februarja 2023. </w:t>
      </w:r>
    </w:p>
    <w:p w14:paraId="27E8FF9C" w14:textId="0BCB52C8" w:rsidR="00154E32" w:rsidRDefault="00A43E04">
      <w:pPr>
        <w:pStyle w:val="P68B1DB1-Normal44"/>
        <w:spacing w:before="120" w:after="120"/>
        <w:jc w:val="both"/>
        <w:rPr>
          <w:noProof/>
        </w:rPr>
      </w:pPr>
      <w:r>
        <w:rPr>
          <w:noProof/>
        </w:rPr>
        <w:t>Ureditve določajo tudi uporabo integriranega informacijskega sistema („ReGiS“). Naloga obstoječe revizijske službe Generalnega inšpektorata za finančne odnose z Evropsko unijo (IGRUE) v okviru Ministrstva za gospodarstvo in finance je usklajevanje revizijskih sistemov in izvajanje kontrol s podporo Državnega urada za teritorialne račune (RTS). Okrepljene ureditve z Guardia di Finanza in ustreznimi neodvisnimi organi, kot je nacionalna protikorupcijska agencija ANAC, bodo še naprej vzpostavljene, s čimer se bo okrepila vloga, ki jo italijanski pravni sistem tem organom že pripisuje v zvezi z zaščito javnih financ, vključno s tistimi iz EU.</w:t>
      </w:r>
    </w:p>
    <w:p w14:paraId="30A2C529" w14:textId="77777777" w:rsidR="00154E32" w:rsidRDefault="00A43E04">
      <w:pPr>
        <w:pStyle w:val="P68B1DB1-NumPar143"/>
        <w:numPr>
          <w:ilvl w:val="0"/>
          <w:numId w:val="140"/>
        </w:numPr>
        <w:rPr>
          <w:noProof/>
        </w:rPr>
      </w:pPr>
      <w:r>
        <w:rPr>
          <w:noProof/>
        </w:rPr>
        <w:t>Ureditve za zagotavljanje popolnega dostopa Komisije do osnovnih podatkov</w:t>
      </w:r>
    </w:p>
    <w:p w14:paraId="0DF28859" w14:textId="77777777" w:rsidR="00154E32" w:rsidRDefault="00A43E04">
      <w:pPr>
        <w:pStyle w:val="P68B1DB1-Normal44"/>
        <w:spacing w:before="120" w:after="120"/>
        <w:jc w:val="both"/>
        <w:rPr>
          <w:noProof/>
        </w:rPr>
      </w:pPr>
      <w:r>
        <w:rPr>
          <w:noProof/>
        </w:rPr>
        <w:t>Da se Komisiji zagotovi popoln dostop do ustreznih osnovnih podatkov, ima Italija naslednje ureditve.</w:t>
      </w:r>
    </w:p>
    <w:p w14:paraId="58293D3C" w14:textId="170264B4" w:rsidR="00154E32" w:rsidRDefault="00A43E04">
      <w:pPr>
        <w:pStyle w:val="P68B1DB1-Normal44"/>
        <w:spacing w:before="120" w:after="120"/>
        <w:jc w:val="both"/>
        <w:rPr>
          <w:noProof/>
        </w:rPr>
      </w:pPr>
      <w:r>
        <w:rPr>
          <w:noProof/>
        </w:rPr>
        <w:t>Ministrstvo za gospodarstvo in finance deluje kot tehnična struktura za spremljanje, vključno z napredkom pri mejnikih in ciljih, ter po potrebi izvajanje kontrolnih in revizijskih dejavnosti, ter za zagotavljanje poročanja in zahtevkov za plačila. Usklajuje poročanje o mejnikih in ciljih, ustreznih kazalnikih, pa tudi kvalitativnih finančnih informacijah in drugih podatkih, na primer o končnih prejemnikih. Kodiranje podatkov poteka na ravni osrednjih uprav, pristojnih za ukrepe načrta, ki zahtevane podatke sporočijo ministrstvu za gospodarstvo in finance. V skladu s členom 24(2) Uredbe (EU) 2021/241 Italija po izpolnitvi ustreznih dogovorjenih mejnikov in ciljev iz oddelka 2.1 te priloge Komisiji predloži ustrezno utemeljen zahtevek za plačilo finančnega prispevka in po potrebi posojila. Italija zagotovi, da ima Komisija na zahtevo popoln dostop do ustreznih osnovnih podatkov, ki podpirajo ustrezno utemeljitev zahtevka za plačilo, tako za oceno zahtevka za plačilo v skladu s členom 24(3) Uredbe (EU) 2021/241 kot za namene revizije in kontrole.</w:t>
      </w:r>
    </w:p>
    <w:sectPr w:rsidR="00154E32">
      <w:headerReference w:type="even" r:id="rId411"/>
      <w:headerReference w:type="default" r:id="rId412"/>
      <w:footerReference w:type="even" r:id="rId413"/>
      <w:footerReference w:type="default" r:id="rId414"/>
      <w:headerReference w:type="first" r:id="rId415"/>
      <w:footerReference w:type="first" r:id="rId416"/>
      <w:pgSz w:w="11906" w:h="16838" w:code="12"/>
      <w:pgMar w:top="1440" w:right="1440" w:bottom="144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CB218" w14:textId="77777777" w:rsidR="00154E32" w:rsidRDefault="00A43E04">
      <w:r>
        <w:separator/>
      </w:r>
    </w:p>
  </w:endnote>
  <w:endnote w:type="continuationSeparator" w:id="0">
    <w:p w14:paraId="3C8E8FC7" w14:textId="77777777" w:rsidR="00154E32" w:rsidRDefault="00A43E04">
      <w:r>
        <w:continuationSeparator/>
      </w:r>
    </w:p>
  </w:endnote>
  <w:endnote w:type="continuationNotice" w:id="1">
    <w:p w14:paraId="494E6789" w14:textId="77777777" w:rsidR="00154E32" w:rsidRDefault="00154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Noto Sans Symbols">
    <w:altName w:val="Calibri"/>
    <w:charset w:val="00"/>
    <w:family w:val="auto"/>
    <w:pitch w:val="default"/>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EC Square Sans Pro">
    <w:charset w:val="00"/>
    <w:family w:val="swiss"/>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82D49" w14:textId="21380A94" w:rsidR="00A43E04" w:rsidRPr="00DE606B" w:rsidRDefault="00A43E04" w:rsidP="00DE606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2A5A9" w14:textId="77777777" w:rsidR="00154E32" w:rsidRDefault="00154E32">
    <w:pPr>
      <w:pStyle w:val="Footer"/>
    </w:pPr>
  </w:p>
</w:ftr>
</file>

<file path=word/footer1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1F145" w14:textId="77777777" w:rsidR="00154E32" w:rsidRDefault="00154E32">
    <w:pPr>
      <w:pStyle w:val="Footer"/>
    </w:pPr>
  </w:p>
</w:ftr>
</file>

<file path=word/footer1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455929"/>
      <w:docPartObj>
        <w:docPartGallery w:val="Page Numbers (Bottom of Page)"/>
        <w:docPartUnique/>
      </w:docPartObj>
    </w:sdtPr>
    <w:sdtEndPr>
      <w:rPr>
        <w:noProof/>
      </w:rPr>
    </w:sdtEndPr>
    <w:sdtContent>
      <w:p w14:paraId="1E8E03AA" w14:textId="0FBFDC8B"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790E9627" w14:textId="77777777" w:rsidR="00154E32" w:rsidRDefault="00154E32">
    <w:pPr>
      <w:pStyle w:val="FooterCouncil"/>
    </w:pPr>
  </w:p>
</w:ftr>
</file>

<file path=word/footer10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82C3F" w14:textId="77777777" w:rsidR="00154E32" w:rsidRDefault="00154E32">
    <w:pPr>
      <w:pStyle w:val="Footer"/>
    </w:pPr>
  </w:p>
</w:ftr>
</file>

<file path=word/footer10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0A167" w14:textId="77777777" w:rsidR="00154E32" w:rsidRDefault="00154E32">
    <w:pPr>
      <w:pStyle w:val="Footer"/>
    </w:pPr>
  </w:p>
</w:ftr>
</file>

<file path=word/footer10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761838"/>
      <w:docPartObj>
        <w:docPartGallery w:val="Page Numbers (Bottom of Page)"/>
        <w:docPartUnique/>
      </w:docPartObj>
    </w:sdtPr>
    <w:sdtEndPr>
      <w:rPr>
        <w:noProof/>
      </w:rPr>
    </w:sdtEndPr>
    <w:sdtContent>
      <w:p w14:paraId="06AAACBF" w14:textId="6DEE8F2F"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4F5B7083" w14:textId="77777777" w:rsidR="00154E32" w:rsidRDefault="00154E32">
    <w:pPr>
      <w:pStyle w:val="FooterCouncil"/>
    </w:pPr>
  </w:p>
</w:ftr>
</file>

<file path=word/footer10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E9A34" w14:textId="77777777" w:rsidR="00154E32" w:rsidRDefault="00154E32">
    <w:pPr>
      <w:pStyle w:val="Footer"/>
    </w:pPr>
  </w:p>
</w:ftr>
</file>

<file path=word/footer10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8A012" w14:textId="77777777" w:rsidR="00154E32" w:rsidRDefault="00154E32">
    <w:pPr>
      <w:pStyle w:val="Footer"/>
    </w:pPr>
  </w:p>
</w:ftr>
</file>

<file path=word/footer10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002621"/>
      <w:docPartObj>
        <w:docPartGallery w:val="Page Numbers (Bottom of Page)"/>
        <w:docPartUnique/>
      </w:docPartObj>
    </w:sdtPr>
    <w:sdtEndPr>
      <w:rPr>
        <w:noProof/>
      </w:rPr>
    </w:sdtEndPr>
    <w:sdtContent>
      <w:p w14:paraId="302314E7" w14:textId="6D31053D"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344A9CD3" w14:textId="77777777" w:rsidR="00154E32" w:rsidRDefault="00154E32">
    <w:pPr>
      <w:pStyle w:val="FooterCouncil"/>
    </w:pPr>
  </w:p>
</w:ftr>
</file>

<file path=word/footer10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49511" w14:textId="77777777" w:rsidR="00154E32" w:rsidRDefault="00154E32">
    <w:pPr>
      <w:pStyle w:val="Footer"/>
    </w:pPr>
  </w:p>
</w:ftr>
</file>

<file path=word/footer10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2C153" w14:textId="77777777" w:rsidR="00154E32" w:rsidRDefault="00154E3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41270"/>
      <w:docPartObj>
        <w:docPartGallery w:val="Page Numbers (Bottom of Page)"/>
        <w:docPartUnique/>
      </w:docPartObj>
    </w:sdtPr>
    <w:sdtEndPr>
      <w:rPr>
        <w:noProof/>
      </w:rPr>
    </w:sdtEndPr>
    <w:sdtContent>
      <w:p w14:paraId="1B5C284C" w14:textId="09FAE9A2"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27A3E9C4" w14:textId="77777777" w:rsidR="00154E32" w:rsidRDefault="00154E32">
    <w:pPr>
      <w:pStyle w:val="FooterCouncil"/>
    </w:pPr>
  </w:p>
</w:ftr>
</file>

<file path=word/footer1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554378"/>
      <w:docPartObj>
        <w:docPartGallery w:val="Page Numbers (Bottom of Page)"/>
        <w:docPartUnique/>
      </w:docPartObj>
    </w:sdtPr>
    <w:sdtEndPr>
      <w:rPr>
        <w:noProof/>
      </w:rPr>
    </w:sdtEndPr>
    <w:sdtContent>
      <w:p w14:paraId="56DB56FE" w14:textId="35205C55"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7ED044CB" w14:textId="77777777" w:rsidR="00154E32" w:rsidRDefault="00154E32">
    <w:pPr>
      <w:pStyle w:val="FooterCouncil"/>
    </w:pPr>
  </w:p>
</w:ftr>
</file>

<file path=word/footer1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24B07" w14:textId="77777777" w:rsidR="00154E32" w:rsidRDefault="00154E32">
    <w:pPr>
      <w:pStyle w:val="Footer"/>
    </w:pPr>
  </w:p>
</w:ftr>
</file>

<file path=word/footer1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0BE37" w14:textId="77777777" w:rsidR="00154E32" w:rsidRDefault="00154E32">
    <w:pPr>
      <w:pStyle w:val="Footer"/>
    </w:pPr>
  </w:p>
</w:ftr>
</file>

<file path=word/footer1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072772"/>
      <w:docPartObj>
        <w:docPartGallery w:val="Page Numbers (Bottom of Page)"/>
        <w:docPartUnique/>
      </w:docPartObj>
    </w:sdtPr>
    <w:sdtEndPr>
      <w:rPr>
        <w:noProof/>
      </w:rPr>
    </w:sdtEndPr>
    <w:sdtContent>
      <w:p w14:paraId="1275405D" w14:textId="0A42554A"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2FF29663" w14:textId="77777777" w:rsidR="00154E32" w:rsidRDefault="00154E32">
    <w:pPr>
      <w:pStyle w:val="FooterCouncil"/>
    </w:pPr>
  </w:p>
</w:ftr>
</file>

<file path=word/footer1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CA677" w14:textId="77777777" w:rsidR="00154E32" w:rsidRDefault="00154E32">
    <w:pPr>
      <w:pStyle w:val="Footer"/>
    </w:pPr>
  </w:p>
</w:ftr>
</file>

<file path=word/footer1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EF8F0" w14:textId="77777777" w:rsidR="00154E32" w:rsidRDefault="00154E32">
    <w:pPr>
      <w:pStyle w:val="Footer"/>
    </w:pPr>
  </w:p>
</w:ftr>
</file>

<file path=word/footer1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776444"/>
      <w:docPartObj>
        <w:docPartGallery w:val="Page Numbers (Bottom of Page)"/>
        <w:docPartUnique/>
      </w:docPartObj>
    </w:sdtPr>
    <w:sdtEndPr>
      <w:rPr>
        <w:noProof/>
      </w:rPr>
    </w:sdtEndPr>
    <w:sdtContent>
      <w:p w14:paraId="7F47593E" w14:textId="5EBE8E50"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54F71BD2" w14:textId="77777777" w:rsidR="00154E32" w:rsidRDefault="00154E32">
    <w:pPr>
      <w:pStyle w:val="FooterCouncil"/>
    </w:pPr>
  </w:p>
</w:ftr>
</file>

<file path=word/footer1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98B4B" w14:textId="77777777" w:rsidR="00154E32" w:rsidRDefault="00154E32">
    <w:pPr>
      <w:pStyle w:val="Footer"/>
    </w:pPr>
  </w:p>
</w:ftr>
</file>

<file path=word/footer1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6301A" w14:textId="77777777" w:rsidR="00154E32" w:rsidRDefault="00154E32">
    <w:pPr>
      <w:pStyle w:val="Footer"/>
    </w:pPr>
  </w:p>
</w:ftr>
</file>

<file path=word/footer1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905090"/>
      <w:docPartObj>
        <w:docPartGallery w:val="Page Numbers (Bottom of Page)"/>
        <w:docPartUnique/>
      </w:docPartObj>
    </w:sdtPr>
    <w:sdtEndPr>
      <w:rPr>
        <w:noProof/>
      </w:rPr>
    </w:sdtEndPr>
    <w:sdtContent>
      <w:p w14:paraId="2835A281" w14:textId="502CB129"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0C4E19EC" w14:textId="77777777" w:rsidR="00154E32" w:rsidRDefault="00154E32">
    <w:pPr>
      <w:pStyle w:val="FooterCouncil"/>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EB9ED" w14:textId="77777777" w:rsidR="00154E32" w:rsidRDefault="00154E32">
    <w:pPr>
      <w:pStyle w:val="Footer"/>
    </w:pPr>
  </w:p>
</w:ftr>
</file>

<file path=word/footer1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FEEAC" w14:textId="77777777" w:rsidR="00154E32" w:rsidRDefault="00154E32">
    <w:pPr>
      <w:pStyle w:val="Footer"/>
    </w:pPr>
  </w:p>
</w:ftr>
</file>

<file path=word/footer1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BABB2" w14:textId="77777777" w:rsidR="00154E32" w:rsidRDefault="00154E32">
    <w:pPr>
      <w:pStyle w:val="Footer"/>
    </w:pPr>
  </w:p>
</w:ftr>
</file>

<file path=word/footer1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625283"/>
      <w:docPartObj>
        <w:docPartGallery w:val="Page Numbers (Bottom of Page)"/>
        <w:docPartUnique/>
      </w:docPartObj>
    </w:sdtPr>
    <w:sdtEndPr>
      <w:rPr>
        <w:noProof/>
      </w:rPr>
    </w:sdtEndPr>
    <w:sdtContent>
      <w:p w14:paraId="6F024400" w14:textId="13AE0DFA"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4A4DF9E3" w14:textId="77777777" w:rsidR="00154E32" w:rsidRDefault="00154E32">
    <w:pPr>
      <w:pStyle w:val="FooterCouncil"/>
    </w:pPr>
  </w:p>
</w:ftr>
</file>

<file path=word/footer1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6378B" w14:textId="77777777" w:rsidR="00154E32" w:rsidRDefault="00154E32">
    <w:pPr>
      <w:pStyle w:val="Footer"/>
    </w:pPr>
  </w:p>
</w:ftr>
</file>

<file path=word/footer1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89F20" w14:textId="77777777" w:rsidR="00154E32" w:rsidRDefault="00154E32">
    <w:pPr>
      <w:pStyle w:val="Footer"/>
    </w:pPr>
  </w:p>
</w:ftr>
</file>

<file path=word/footer1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506053"/>
      <w:docPartObj>
        <w:docPartGallery w:val="Page Numbers (Bottom of Page)"/>
        <w:docPartUnique/>
      </w:docPartObj>
    </w:sdtPr>
    <w:sdtEndPr>
      <w:rPr>
        <w:noProof/>
      </w:rPr>
    </w:sdtEndPr>
    <w:sdtContent>
      <w:p w14:paraId="2C28EEA5" w14:textId="2D5B53C1"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4D3B12B8" w14:textId="77777777" w:rsidR="00154E32" w:rsidRDefault="00154E32">
    <w:pPr>
      <w:pStyle w:val="FooterCouncil"/>
    </w:pPr>
  </w:p>
</w:ftr>
</file>

<file path=word/footer1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B56C" w14:textId="77777777" w:rsidR="00154E32" w:rsidRDefault="00154E32">
    <w:pPr>
      <w:pStyle w:val="Footer"/>
    </w:pPr>
  </w:p>
</w:ftr>
</file>

<file path=word/footer1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8636" w14:textId="77777777" w:rsidR="00154E32" w:rsidRDefault="00154E32">
    <w:pPr>
      <w:pStyle w:val="Footer"/>
    </w:pPr>
  </w:p>
</w:ftr>
</file>

<file path=word/footer1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864134"/>
      <w:docPartObj>
        <w:docPartGallery w:val="Page Numbers (Bottom of Page)"/>
        <w:docPartUnique/>
      </w:docPartObj>
    </w:sdtPr>
    <w:sdtEndPr>
      <w:rPr>
        <w:noProof/>
      </w:rPr>
    </w:sdtEndPr>
    <w:sdtContent>
      <w:p w14:paraId="1EE79B98" w14:textId="5AFFF60C"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3E65F3BA" w14:textId="77777777" w:rsidR="00154E32" w:rsidRDefault="00154E32">
    <w:pPr>
      <w:pStyle w:val="FooterCouncil"/>
    </w:pPr>
  </w:p>
</w:ftr>
</file>

<file path=word/footer1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6E60E" w14:textId="77777777" w:rsidR="00154E32" w:rsidRDefault="00154E3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6547A" w14:textId="77777777" w:rsidR="00154E32" w:rsidRDefault="00154E32">
    <w:pPr>
      <w:pStyle w:val="Footer"/>
    </w:pPr>
  </w:p>
</w:ftr>
</file>

<file path=word/footer1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9C4ED" w14:textId="77777777" w:rsidR="00154E32" w:rsidRDefault="00154E32">
    <w:pPr>
      <w:pStyle w:val="Footer"/>
    </w:pPr>
  </w:p>
</w:ftr>
</file>

<file path=word/footer1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000603"/>
      <w:docPartObj>
        <w:docPartGallery w:val="Page Numbers (Bottom of Page)"/>
        <w:docPartUnique/>
      </w:docPartObj>
    </w:sdtPr>
    <w:sdtEndPr>
      <w:rPr>
        <w:noProof/>
      </w:rPr>
    </w:sdtEndPr>
    <w:sdtContent>
      <w:p w14:paraId="1092769C" w14:textId="6CD657DB"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0ADE765A" w14:textId="77777777" w:rsidR="00154E32" w:rsidRDefault="00154E32">
    <w:pPr>
      <w:pStyle w:val="FooterCouncil"/>
    </w:pPr>
  </w:p>
</w:ftr>
</file>

<file path=word/footer1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DB449" w14:textId="77777777" w:rsidR="00154E32" w:rsidRDefault="00154E32">
    <w:pPr>
      <w:pStyle w:val="Footer"/>
    </w:pPr>
  </w:p>
</w:ftr>
</file>

<file path=word/footer1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63625" w14:textId="77777777" w:rsidR="00154E32" w:rsidRDefault="00154E32">
    <w:pPr>
      <w:pStyle w:val="Footer"/>
    </w:pPr>
  </w:p>
</w:ftr>
</file>

<file path=word/footer1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97633"/>
      <w:docPartObj>
        <w:docPartGallery w:val="Page Numbers (Bottom of Page)"/>
        <w:docPartUnique/>
      </w:docPartObj>
    </w:sdtPr>
    <w:sdtEndPr>
      <w:rPr>
        <w:noProof/>
      </w:rPr>
    </w:sdtEndPr>
    <w:sdtContent>
      <w:p w14:paraId="079666A6" w14:textId="4ACF07C4"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7AD46F90" w14:textId="77777777" w:rsidR="00154E32" w:rsidRDefault="00154E32">
    <w:pPr>
      <w:pStyle w:val="FooterCouncil"/>
    </w:pPr>
  </w:p>
</w:ftr>
</file>

<file path=word/footer1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21EE2" w14:textId="77777777" w:rsidR="00154E32" w:rsidRDefault="00154E32">
    <w:pPr>
      <w:pStyle w:val="Footer"/>
    </w:pPr>
  </w:p>
</w:ftr>
</file>

<file path=word/footer1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09070" w14:textId="77777777" w:rsidR="00154E32" w:rsidRDefault="00154E32">
    <w:pPr>
      <w:pStyle w:val="Footer"/>
    </w:pPr>
  </w:p>
</w:ftr>
</file>

<file path=word/footer1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4422175"/>
      <w:docPartObj>
        <w:docPartGallery w:val="Page Numbers (Bottom of Page)"/>
        <w:docPartUnique/>
      </w:docPartObj>
    </w:sdtPr>
    <w:sdtEndPr>
      <w:rPr>
        <w:noProof/>
      </w:rPr>
    </w:sdtEndPr>
    <w:sdtContent>
      <w:p w14:paraId="45F1587F" w14:textId="68A613FF"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2A7D9256" w14:textId="77777777" w:rsidR="00154E32" w:rsidRDefault="00154E32">
    <w:pPr>
      <w:pStyle w:val="FooterCouncil"/>
    </w:pPr>
  </w:p>
</w:ftr>
</file>

<file path=word/footer1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1917F" w14:textId="77777777" w:rsidR="00154E32" w:rsidRDefault="00154E32">
    <w:pPr>
      <w:pStyle w:val="Footer"/>
    </w:pPr>
  </w:p>
</w:ftr>
</file>

<file path=word/footer1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E1DDA" w14:textId="77777777" w:rsidR="00154E32" w:rsidRDefault="00154E3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846756"/>
      <w:docPartObj>
        <w:docPartGallery w:val="Page Numbers (Bottom of Page)"/>
        <w:docPartUnique/>
      </w:docPartObj>
    </w:sdtPr>
    <w:sdtEndPr>
      <w:rPr>
        <w:noProof/>
      </w:rPr>
    </w:sdtEndPr>
    <w:sdtContent>
      <w:p w14:paraId="3DED0DEB" w14:textId="4606E768"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05E3ECB6" w14:textId="77777777" w:rsidR="00154E32" w:rsidRDefault="00154E32">
    <w:pPr>
      <w:pStyle w:val="FooterCouncil"/>
    </w:pPr>
  </w:p>
</w:ftr>
</file>

<file path=word/footer1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701415"/>
      <w:docPartObj>
        <w:docPartGallery w:val="Page Numbers (Bottom of Page)"/>
        <w:docPartUnique/>
      </w:docPartObj>
    </w:sdtPr>
    <w:sdtEndPr>
      <w:rPr>
        <w:noProof/>
      </w:rPr>
    </w:sdtEndPr>
    <w:sdtContent>
      <w:p w14:paraId="594F92BB" w14:textId="6851F11F"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27D47400" w14:textId="77777777" w:rsidR="00154E32" w:rsidRDefault="00154E32">
    <w:pPr>
      <w:pStyle w:val="FooterCouncil"/>
    </w:pPr>
  </w:p>
</w:ftr>
</file>

<file path=word/footer1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D4765" w14:textId="77777777" w:rsidR="00154E32" w:rsidRDefault="00154E32">
    <w:pPr>
      <w:pStyle w:val="Footer"/>
    </w:pPr>
  </w:p>
</w:ftr>
</file>

<file path=word/footer1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63C54" w14:textId="77777777" w:rsidR="00154E32" w:rsidRDefault="00154E32">
    <w:pPr>
      <w:pStyle w:val="Footer"/>
    </w:pPr>
  </w:p>
</w:ftr>
</file>

<file path=word/footer1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310983"/>
      <w:docPartObj>
        <w:docPartGallery w:val="Page Numbers (Bottom of Page)"/>
        <w:docPartUnique/>
      </w:docPartObj>
    </w:sdtPr>
    <w:sdtEndPr>
      <w:rPr>
        <w:noProof/>
      </w:rPr>
    </w:sdtEndPr>
    <w:sdtContent>
      <w:p w14:paraId="6EBE8763" w14:textId="6053C287"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5D3F56BD" w14:textId="77777777" w:rsidR="00154E32" w:rsidRDefault="00154E32">
    <w:pPr>
      <w:pStyle w:val="FooterCouncil"/>
    </w:pPr>
  </w:p>
</w:ftr>
</file>

<file path=word/footer1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90CF2" w14:textId="77777777" w:rsidR="00154E32" w:rsidRDefault="00154E32">
    <w:pPr>
      <w:pStyle w:val="Footer"/>
    </w:pPr>
  </w:p>
</w:ftr>
</file>

<file path=word/footer1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64A6F" w14:textId="77777777" w:rsidR="00154E32" w:rsidRDefault="00154E32">
    <w:pPr>
      <w:pStyle w:val="Footer"/>
    </w:pPr>
  </w:p>
</w:ftr>
</file>

<file path=word/footer1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9068358"/>
      <w:docPartObj>
        <w:docPartGallery w:val="Page Numbers (Bottom of Page)"/>
        <w:docPartUnique/>
      </w:docPartObj>
    </w:sdtPr>
    <w:sdtEndPr>
      <w:rPr>
        <w:noProof/>
      </w:rPr>
    </w:sdtEndPr>
    <w:sdtContent>
      <w:p w14:paraId="0B4494CE" w14:textId="0FC818AB"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5D99B123" w14:textId="77777777" w:rsidR="00154E32" w:rsidRDefault="00154E32">
    <w:pPr>
      <w:pStyle w:val="FooterCouncil"/>
    </w:pPr>
  </w:p>
</w:ftr>
</file>

<file path=word/footer1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19730" w14:textId="77777777" w:rsidR="00154E32" w:rsidRDefault="00154E32">
    <w:pPr>
      <w:pStyle w:val="Footer"/>
    </w:pPr>
  </w:p>
</w:ftr>
</file>

<file path=word/footer1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50A57" w14:textId="77777777" w:rsidR="00154E32" w:rsidRDefault="00154E32">
    <w:pPr>
      <w:pStyle w:val="Footer"/>
    </w:pPr>
  </w:p>
</w:ftr>
</file>

<file path=word/footer1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942668"/>
      <w:docPartObj>
        <w:docPartGallery w:val="Page Numbers (Bottom of Page)"/>
        <w:docPartUnique/>
      </w:docPartObj>
    </w:sdtPr>
    <w:sdtEndPr>
      <w:rPr>
        <w:noProof/>
      </w:rPr>
    </w:sdtEndPr>
    <w:sdtContent>
      <w:p w14:paraId="22CD21A9" w14:textId="25FD997D"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633451A6" w14:textId="77777777" w:rsidR="00154E32" w:rsidRDefault="00154E32">
    <w:pPr>
      <w:pStyle w:val="FooterCouncil"/>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02650" w14:textId="77777777" w:rsidR="00154E32" w:rsidRDefault="00154E32">
    <w:pPr>
      <w:pStyle w:val="Footer"/>
    </w:pPr>
  </w:p>
</w:ftr>
</file>

<file path=word/footer1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CDB2C" w14:textId="77777777" w:rsidR="00154E32" w:rsidRDefault="00154E32">
    <w:pPr>
      <w:pStyle w:val="Footer"/>
    </w:pPr>
  </w:p>
</w:ftr>
</file>

<file path=word/footer1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F96ED" w14:textId="77777777" w:rsidR="00154E32" w:rsidRDefault="00154E32">
    <w:pPr>
      <w:pStyle w:val="Footer"/>
    </w:pPr>
  </w:p>
</w:ftr>
</file>

<file path=word/footer1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843319"/>
      <w:docPartObj>
        <w:docPartGallery w:val="Page Numbers (Bottom of Page)"/>
        <w:docPartUnique/>
      </w:docPartObj>
    </w:sdtPr>
    <w:sdtEndPr>
      <w:rPr>
        <w:noProof/>
      </w:rPr>
    </w:sdtEndPr>
    <w:sdtContent>
      <w:p w14:paraId="45B54252" w14:textId="72FEA2F1"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2962D9E9" w14:textId="77777777" w:rsidR="00154E32" w:rsidRDefault="00154E32">
    <w:pPr>
      <w:pStyle w:val="FooterCouncil"/>
    </w:pPr>
  </w:p>
</w:ftr>
</file>

<file path=word/footer1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A8D41" w14:textId="77777777" w:rsidR="00154E32" w:rsidRDefault="00154E32">
    <w:pPr>
      <w:pStyle w:val="Footer"/>
    </w:pPr>
  </w:p>
</w:ftr>
</file>

<file path=word/footer1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6AF73" w14:textId="77777777" w:rsidR="00154E32" w:rsidRDefault="00154E32">
    <w:pPr>
      <w:pStyle w:val="Footer"/>
    </w:pPr>
  </w:p>
</w:ftr>
</file>

<file path=word/footer1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311618"/>
      <w:docPartObj>
        <w:docPartGallery w:val="Page Numbers (Bottom of Page)"/>
        <w:docPartUnique/>
      </w:docPartObj>
    </w:sdtPr>
    <w:sdtEndPr>
      <w:rPr>
        <w:noProof/>
      </w:rPr>
    </w:sdtEndPr>
    <w:sdtContent>
      <w:p w14:paraId="50F1F433" w14:textId="324820A3"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09E6BF17" w14:textId="77777777" w:rsidR="00154E32" w:rsidRDefault="00154E32">
    <w:pPr>
      <w:pStyle w:val="FooterCouncil"/>
    </w:pPr>
  </w:p>
</w:ftr>
</file>

<file path=word/footer1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5EFB9" w14:textId="77777777" w:rsidR="00154E32" w:rsidRDefault="00154E32">
    <w:pPr>
      <w:pStyle w:val="Footer"/>
    </w:pPr>
  </w:p>
</w:ftr>
</file>

<file path=word/footer1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D3A10" w14:textId="77777777" w:rsidR="00154E32" w:rsidRDefault="00154E32">
    <w:pPr>
      <w:pStyle w:val="Footer"/>
    </w:pPr>
  </w:p>
</w:ftr>
</file>

<file path=word/footer1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634477"/>
      <w:docPartObj>
        <w:docPartGallery w:val="Page Numbers (Bottom of Page)"/>
        <w:docPartUnique/>
      </w:docPartObj>
    </w:sdtPr>
    <w:sdtEndPr>
      <w:rPr>
        <w:noProof/>
      </w:rPr>
    </w:sdtEndPr>
    <w:sdtContent>
      <w:p w14:paraId="043C1866" w14:textId="5D234ACE"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0A036C4E" w14:textId="77777777" w:rsidR="00154E32" w:rsidRDefault="00154E32">
    <w:pPr>
      <w:pStyle w:val="FooterCouncil"/>
    </w:pPr>
  </w:p>
</w:ftr>
</file>

<file path=word/footer1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F7495" w14:textId="77777777" w:rsidR="00154E32" w:rsidRDefault="00154E3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3CCA5" w14:textId="77777777" w:rsidR="00154E32" w:rsidRDefault="00154E32">
    <w:pPr>
      <w:pStyle w:val="Footer"/>
    </w:pPr>
  </w:p>
</w:ftr>
</file>

<file path=word/footer1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3E6FA" w14:textId="77777777" w:rsidR="00154E32" w:rsidRDefault="00154E32">
    <w:pPr>
      <w:pStyle w:val="Footer"/>
    </w:pPr>
  </w:p>
</w:ftr>
</file>

<file path=word/footer1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569420"/>
      <w:docPartObj>
        <w:docPartGallery w:val="Page Numbers (Bottom of Page)"/>
        <w:docPartUnique/>
      </w:docPartObj>
    </w:sdtPr>
    <w:sdtEndPr>
      <w:rPr>
        <w:noProof/>
      </w:rPr>
    </w:sdtEndPr>
    <w:sdtContent>
      <w:p w14:paraId="6FE9AF82" w14:textId="5A6425D7"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3E9CAF78" w14:textId="77777777" w:rsidR="00154E32" w:rsidRDefault="00154E32">
    <w:pPr>
      <w:pStyle w:val="FooterCouncil"/>
    </w:pPr>
  </w:p>
</w:ftr>
</file>

<file path=word/footer1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FD63C" w14:textId="77777777" w:rsidR="00154E32" w:rsidRDefault="00154E32">
    <w:pPr>
      <w:pStyle w:val="Footer"/>
    </w:pPr>
  </w:p>
</w:ftr>
</file>

<file path=word/footer1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9C426" w14:textId="77777777" w:rsidR="00154E32" w:rsidRDefault="00154E32">
    <w:pPr>
      <w:pStyle w:val="Footer"/>
    </w:pPr>
  </w:p>
</w:ftr>
</file>

<file path=word/footer1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00870"/>
      <w:docPartObj>
        <w:docPartGallery w:val="Page Numbers (Bottom of Page)"/>
        <w:docPartUnique/>
      </w:docPartObj>
    </w:sdtPr>
    <w:sdtEndPr>
      <w:rPr>
        <w:noProof/>
      </w:rPr>
    </w:sdtEndPr>
    <w:sdtContent>
      <w:p w14:paraId="6CF26EFF" w14:textId="5BF91008"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1075F14D" w14:textId="77777777" w:rsidR="00154E32" w:rsidRDefault="00154E32">
    <w:pPr>
      <w:pStyle w:val="FooterCouncil"/>
    </w:pPr>
  </w:p>
</w:ftr>
</file>

<file path=word/footer1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7EABA" w14:textId="77777777" w:rsidR="00154E32" w:rsidRDefault="00154E32">
    <w:pPr>
      <w:pStyle w:val="Footer"/>
    </w:pPr>
  </w:p>
</w:ftr>
</file>

<file path=word/footer1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5D604" w14:textId="77777777" w:rsidR="00154E32" w:rsidRDefault="00154E32">
    <w:pPr>
      <w:pStyle w:val="Footer"/>
    </w:pPr>
  </w:p>
</w:ftr>
</file>

<file path=word/footer1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839456"/>
      <w:docPartObj>
        <w:docPartGallery w:val="Page Numbers (Bottom of Page)"/>
        <w:docPartUnique/>
      </w:docPartObj>
    </w:sdtPr>
    <w:sdtEndPr>
      <w:rPr>
        <w:noProof/>
      </w:rPr>
    </w:sdtEndPr>
    <w:sdtContent>
      <w:p w14:paraId="15652E0F" w14:textId="7AC348B0"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4205C484" w14:textId="77777777" w:rsidR="00154E32" w:rsidRDefault="00154E32">
    <w:pPr>
      <w:pStyle w:val="FooterCouncil"/>
    </w:pPr>
  </w:p>
</w:ftr>
</file>

<file path=word/footer1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024CF" w14:textId="77777777" w:rsidR="00154E32" w:rsidRDefault="00154E32">
    <w:pPr>
      <w:pStyle w:val="Footer"/>
    </w:pPr>
  </w:p>
</w:ftr>
</file>

<file path=word/footer1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61484" w14:textId="77777777" w:rsidR="00154E32" w:rsidRDefault="00154E3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024959"/>
      <w:docPartObj>
        <w:docPartGallery w:val="Page Numbers (Bottom of Page)"/>
        <w:docPartUnique/>
      </w:docPartObj>
    </w:sdtPr>
    <w:sdtEndPr>
      <w:rPr>
        <w:noProof/>
      </w:rPr>
    </w:sdtEndPr>
    <w:sdtContent>
      <w:p w14:paraId="5F1DF751" w14:textId="661F45DB"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2A96A7FF" w14:textId="77777777" w:rsidR="00154E32" w:rsidRDefault="00154E32">
    <w:pPr>
      <w:pStyle w:val="FooterCouncil"/>
    </w:pPr>
  </w:p>
</w:ftr>
</file>

<file path=word/footer1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696771"/>
      <w:docPartObj>
        <w:docPartGallery w:val="Page Numbers (Bottom of Page)"/>
        <w:docPartUnique/>
      </w:docPartObj>
    </w:sdtPr>
    <w:sdtEndPr>
      <w:rPr>
        <w:noProof/>
      </w:rPr>
    </w:sdtEndPr>
    <w:sdtContent>
      <w:p w14:paraId="6EAB4DD1" w14:textId="74DF355E"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227A5C50" w14:textId="77777777" w:rsidR="00154E32" w:rsidRDefault="00154E32">
    <w:pPr>
      <w:pStyle w:val="FooterCouncil"/>
    </w:pPr>
  </w:p>
</w:ftr>
</file>

<file path=word/footer1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089FC" w14:textId="77777777" w:rsidR="00154E32" w:rsidRDefault="00154E32">
    <w:pPr>
      <w:pStyle w:val="Footer"/>
    </w:pPr>
  </w:p>
</w:ftr>
</file>

<file path=word/footer1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301CC" w14:textId="77777777" w:rsidR="00154E32" w:rsidRDefault="00154E32">
    <w:pPr>
      <w:pStyle w:val="Footer"/>
    </w:pPr>
  </w:p>
</w:ftr>
</file>

<file path=word/footer1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177671"/>
      <w:docPartObj>
        <w:docPartGallery w:val="Page Numbers (Bottom of Page)"/>
        <w:docPartUnique/>
      </w:docPartObj>
    </w:sdtPr>
    <w:sdtEndPr>
      <w:rPr>
        <w:noProof/>
      </w:rPr>
    </w:sdtEndPr>
    <w:sdtContent>
      <w:p w14:paraId="5BA988A3" w14:textId="03505C8F"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621C87AB" w14:textId="77777777" w:rsidR="00154E32" w:rsidRDefault="00154E32">
    <w:pPr>
      <w:pStyle w:val="FooterCouncil"/>
    </w:pPr>
  </w:p>
</w:ftr>
</file>

<file path=word/footer1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6A1A4" w14:textId="77777777" w:rsidR="00154E32" w:rsidRDefault="00154E32">
    <w:pPr>
      <w:pStyle w:val="Footer"/>
    </w:pPr>
  </w:p>
</w:ftr>
</file>

<file path=word/footer1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0DD37" w14:textId="77777777" w:rsidR="00154E32" w:rsidRDefault="00154E32">
    <w:pPr>
      <w:pStyle w:val="Footer"/>
    </w:pPr>
  </w:p>
</w:ftr>
</file>

<file path=word/footer1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216714"/>
      <w:docPartObj>
        <w:docPartGallery w:val="Page Numbers (Bottom of Page)"/>
        <w:docPartUnique/>
      </w:docPartObj>
    </w:sdtPr>
    <w:sdtEndPr>
      <w:rPr>
        <w:noProof/>
      </w:rPr>
    </w:sdtEndPr>
    <w:sdtContent>
      <w:p w14:paraId="29D8BFE9" w14:textId="11971F93"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41349BE8" w14:textId="77777777" w:rsidR="00154E32" w:rsidRDefault="00154E32">
    <w:pPr>
      <w:pStyle w:val="FooterCouncil"/>
    </w:pPr>
  </w:p>
</w:ftr>
</file>

<file path=word/footer1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DCB7F" w14:textId="77777777" w:rsidR="00154E32" w:rsidRDefault="00154E32">
    <w:pPr>
      <w:pStyle w:val="Footer"/>
    </w:pPr>
  </w:p>
</w:ftr>
</file>

<file path=word/footer1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A9CCE" w14:textId="77777777" w:rsidR="00154E32" w:rsidRDefault="00154E32">
    <w:pPr>
      <w:pStyle w:val="Footer"/>
    </w:pPr>
  </w:p>
</w:ftr>
</file>

<file path=word/footer1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52613"/>
      <w:docPartObj>
        <w:docPartGallery w:val="Page Numbers (Bottom of Page)"/>
        <w:docPartUnique/>
      </w:docPartObj>
    </w:sdtPr>
    <w:sdtEndPr>
      <w:rPr>
        <w:noProof/>
      </w:rPr>
    </w:sdtEndPr>
    <w:sdtContent>
      <w:p w14:paraId="7065576C" w14:textId="5EF1C350"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79A6A6F0" w14:textId="77777777" w:rsidR="00154E32" w:rsidRDefault="00154E32">
    <w:pPr>
      <w:pStyle w:val="FooterCouncil"/>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3532D" w14:textId="77777777" w:rsidR="00154E32" w:rsidRDefault="00154E32">
    <w:pPr>
      <w:pStyle w:val="Footer"/>
    </w:pPr>
  </w:p>
</w:ftr>
</file>

<file path=word/footer1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174B9" w14:textId="77777777" w:rsidR="00154E32" w:rsidRDefault="00154E32">
    <w:pPr>
      <w:pStyle w:val="Footer"/>
    </w:pPr>
  </w:p>
</w:ftr>
</file>

<file path=word/footer1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7AC0C" w14:textId="77777777" w:rsidR="00154E32" w:rsidRDefault="00154E32">
    <w:pPr>
      <w:pStyle w:val="Footer"/>
    </w:pPr>
  </w:p>
</w:ftr>
</file>

<file path=word/footer1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51151"/>
      <w:docPartObj>
        <w:docPartGallery w:val="Page Numbers (Bottom of Page)"/>
        <w:docPartUnique/>
      </w:docPartObj>
    </w:sdtPr>
    <w:sdtEndPr>
      <w:rPr>
        <w:noProof/>
      </w:rPr>
    </w:sdtEndPr>
    <w:sdtContent>
      <w:p w14:paraId="5FAFAF17" w14:textId="13CC9D32"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671EB21C" w14:textId="77777777" w:rsidR="00154E32" w:rsidRDefault="00154E32">
    <w:pPr>
      <w:pStyle w:val="FooterCouncil"/>
    </w:pPr>
  </w:p>
</w:ftr>
</file>

<file path=word/footer1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B7ED6" w14:textId="77777777" w:rsidR="00154E32" w:rsidRDefault="00154E32">
    <w:pPr>
      <w:pStyle w:val="Footer"/>
    </w:pPr>
  </w:p>
</w:ftr>
</file>

<file path=word/footer1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9B174" w14:textId="77777777" w:rsidR="00154E32" w:rsidRDefault="00154E32">
    <w:pPr>
      <w:pStyle w:val="Footer"/>
    </w:pPr>
  </w:p>
</w:ftr>
</file>

<file path=word/footer1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5037246"/>
      <w:docPartObj>
        <w:docPartGallery w:val="Page Numbers (Bottom of Page)"/>
        <w:docPartUnique/>
      </w:docPartObj>
    </w:sdtPr>
    <w:sdtEndPr>
      <w:rPr>
        <w:noProof/>
      </w:rPr>
    </w:sdtEndPr>
    <w:sdtContent>
      <w:p w14:paraId="4F99145C" w14:textId="5E0CB007"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6C7D4CF8" w14:textId="77777777" w:rsidR="00154E32" w:rsidRDefault="00154E32">
    <w:pPr>
      <w:pStyle w:val="Footer"/>
    </w:pPr>
  </w:p>
</w:ftr>
</file>

<file path=word/footer1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ACEB2" w14:textId="77777777" w:rsidR="00154E32" w:rsidRDefault="00154E32">
    <w:pPr>
      <w:pStyle w:val="Footer"/>
    </w:pPr>
  </w:p>
</w:ftr>
</file>

<file path=word/footer1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1C444" w14:textId="77777777" w:rsidR="00154E32" w:rsidRDefault="00154E32">
    <w:pPr>
      <w:pStyle w:val="Footer"/>
    </w:pPr>
  </w:p>
</w:ftr>
</file>

<file path=word/footer1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407945"/>
      <w:docPartObj>
        <w:docPartGallery w:val="Page Numbers (Bottom of Page)"/>
        <w:docPartUnique/>
      </w:docPartObj>
    </w:sdtPr>
    <w:sdtEndPr>
      <w:rPr>
        <w:noProof/>
      </w:rPr>
    </w:sdtEndPr>
    <w:sdtContent>
      <w:p w14:paraId="48689A91" w14:textId="3998B483"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3D84F8B1" w14:textId="77777777" w:rsidR="00154E32" w:rsidRDefault="00154E32">
    <w:pPr>
      <w:pStyle w:val="Footer"/>
    </w:pPr>
  </w:p>
</w:ftr>
</file>

<file path=word/footer1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034C2" w14:textId="77777777" w:rsidR="00154E32" w:rsidRDefault="00154E32">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FA50B" w14:textId="77777777" w:rsidR="00154E32" w:rsidRDefault="00154E32">
    <w:pPr>
      <w:pStyle w:val="Footer"/>
    </w:pPr>
  </w:p>
</w:ftr>
</file>

<file path=word/footer1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9122B" w14:textId="77777777" w:rsidR="00154E32" w:rsidRDefault="00154E32">
    <w:pPr>
      <w:pStyle w:val="Footer"/>
    </w:pPr>
  </w:p>
</w:ftr>
</file>

<file path=word/footer1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558264"/>
      <w:docPartObj>
        <w:docPartGallery w:val="Page Numbers (Bottom of Page)"/>
        <w:docPartUnique/>
      </w:docPartObj>
    </w:sdtPr>
    <w:sdtEndPr>
      <w:rPr>
        <w:noProof/>
      </w:rPr>
    </w:sdtEndPr>
    <w:sdtContent>
      <w:p w14:paraId="0E4CEC8D" w14:textId="20856DE3"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2E9F25D4" w14:textId="77777777" w:rsidR="00154E32" w:rsidRDefault="00154E32">
    <w:pPr>
      <w:pStyle w:val="FooterCouncil"/>
    </w:pPr>
  </w:p>
</w:ftr>
</file>

<file path=word/footer1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3F22E" w14:textId="77777777" w:rsidR="00154E32" w:rsidRDefault="00154E32">
    <w:pPr>
      <w:pStyle w:val="Footer"/>
    </w:pPr>
  </w:p>
</w:ftr>
</file>

<file path=word/footer1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5AC95" w14:textId="77777777" w:rsidR="00154E32" w:rsidRDefault="00154E32">
    <w:pPr>
      <w:pStyle w:val="Footer"/>
    </w:pPr>
  </w:p>
</w:ftr>
</file>

<file path=word/footer1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832625"/>
      <w:docPartObj>
        <w:docPartGallery w:val="Page Numbers (Bottom of Page)"/>
        <w:docPartUnique/>
      </w:docPartObj>
    </w:sdtPr>
    <w:sdtEndPr>
      <w:rPr>
        <w:noProof/>
      </w:rPr>
    </w:sdtEndPr>
    <w:sdtContent>
      <w:p w14:paraId="4B55682C" w14:textId="4CC19AEB"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0E90B596" w14:textId="77777777" w:rsidR="00154E32" w:rsidRDefault="00154E32">
    <w:pPr>
      <w:pStyle w:val="FooterCouncil"/>
    </w:pPr>
  </w:p>
</w:ftr>
</file>

<file path=word/footer1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7D7F7" w14:textId="77777777" w:rsidR="00154E32" w:rsidRDefault="00154E32">
    <w:pPr>
      <w:pStyle w:val="Footer"/>
    </w:pPr>
  </w:p>
</w:ftr>
</file>

<file path=word/footer1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C220F" w14:textId="77777777" w:rsidR="00154E32" w:rsidRDefault="00154E32">
    <w:pPr>
      <w:pStyle w:val="Footer"/>
    </w:pPr>
  </w:p>
</w:ftr>
</file>

<file path=word/footer1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103585"/>
      <w:docPartObj>
        <w:docPartGallery w:val="Page Numbers (Bottom of Page)"/>
        <w:docPartUnique/>
      </w:docPartObj>
    </w:sdtPr>
    <w:sdtEndPr>
      <w:rPr>
        <w:noProof/>
      </w:rPr>
    </w:sdtEndPr>
    <w:sdtContent>
      <w:p w14:paraId="6F1C2A27" w14:textId="3ADC533B"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57AD207C" w14:textId="77777777" w:rsidR="00154E32" w:rsidRDefault="00154E32">
    <w:pPr>
      <w:pStyle w:val="FooterCouncil"/>
    </w:pPr>
  </w:p>
</w:ftr>
</file>

<file path=word/footer1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0AA81" w14:textId="77777777" w:rsidR="00154E32" w:rsidRDefault="00154E32">
    <w:pPr>
      <w:pStyle w:val="Footer"/>
    </w:pPr>
  </w:p>
</w:ftr>
</file>

<file path=word/footer1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575DC" w14:textId="77777777" w:rsidR="00154E32" w:rsidRDefault="00154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E9B8C" w14:textId="5640657B" w:rsidR="00A43E04" w:rsidRPr="00DE606B" w:rsidRDefault="00DE606B" w:rsidP="00DE606B">
    <w:pPr>
      <w:pStyle w:val="FooterCoverPage"/>
      <w:rPr>
        <w:rFonts w:ascii="Arial" w:hAnsi="Arial" w:cs="Arial"/>
        <w:b/>
        <w:sz w:val="48"/>
      </w:rPr>
    </w:pPr>
    <w:r w:rsidRPr="00DE606B">
      <w:rPr>
        <w:rFonts w:ascii="Arial" w:hAnsi="Arial" w:cs="Arial"/>
        <w:b/>
        <w:sz w:val="48"/>
      </w:rPr>
      <w:t>SL</w:t>
    </w:r>
    <w:r w:rsidRPr="00DE606B">
      <w:rPr>
        <w:rFonts w:ascii="Arial" w:hAnsi="Arial" w:cs="Arial"/>
        <w:b/>
        <w:sz w:val="48"/>
      </w:rPr>
      <w:tab/>
    </w:r>
    <w:r w:rsidRPr="00DE606B">
      <w:rPr>
        <w:rFonts w:ascii="Arial" w:hAnsi="Arial" w:cs="Arial"/>
        <w:b/>
        <w:sz w:val="48"/>
      </w:rPr>
      <w:tab/>
    </w:r>
    <w:r w:rsidRPr="00DE606B">
      <w:tab/>
    </w:r>
    <w:r w:rsidRPr="00DE606B">
      <w:rPr>
        <w:rFonts w:ascii="Arial" w:hAnsi="Arial" w:cs="Arial"/>
        <w:b/>
        <w:sz w:val="48"/>
      </w:rPr>
      <w:t>SL</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067995"/>
      <w:docPartObj>
        <w:docPartGallery w:val="Page Numbers (Bottom of Page)"/>
        <w:docPartUnique/>
      </w:docPartObj>
    </w:sdtPr>
    <w:sdtEndPr>
      <w:rPr>
        <w:noProof/>
      </w:rPr>
    </w:sdtEndPr>
    <w:sdtContent>
      <w:p w14:paraId="145FA333" w14:textId="489F96FD"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7E7E9D68" w14:textId="77777777" w:rsidR="00154E32" w:rsidRDefault="00154E32">
    <w:pPr>
      <w:pStyle w:val="FooterCouncil"/>
    </w:pPr>
  </w:p>
</w:ftr>
</file>

<file path=word/footer20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298421"/>
      <w:docPartObj>
        <w:docPartGallery w:val="Page Numbers (Bottom of Page)"/>
        <w:docPartUnique/>
      </w:docPartObj>
    </w:sdtPr>
    <w:sdtEndPr>
      <w:rPr>
        <w:noProof/>
      </w:rPr>
    </w:sdtEndPr>
    <w:sdtContent>
      <w:p w14:paraId="50133747" w14:textId="75FF39B7"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5926E2B9" w14:textId="77777777" w:rsidR="00154E32" w:rsidRDefault="00154E32">
    <w:pPr>
      <w:pStyle w:val="FooterCouncil"/>
    </w:pPr>
  </w:p>
</w:ftr>
</file>

<file path=word/footer20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653D3" w14:textId="77777777" w:rsidR="00154E32" w:rsidRDefault="00154E32">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F976" w14:textId="77777777" w:rsidR="00154E32" w:rsidRDefault="00154E32">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84BB2" w14:textId="77777777" w:rsidR="00154E32" w:rsidRDefault="00154E32">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5068056"/>
      <w:docPartObj>
        <w:docPartGallery w:val="Page Numbers (Bottom of Page)"/>
        <w:docPartUnique/>
      </w:docPartObj>
    </w:sdtPr>
    <w:sdtEndPr>
      <w:rPr>
        <w:noProof/>
      </w:rPr>
    </w:sdtEndPr>
    <w:sdtContent>
      <w:p w14:paraId="23A5768F" w14:textId="2AA1A498"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28F6BD7D" w14:textId="77777777" w:rsidR="00154E32" w:rsidRDefault="00154E32">
    <w:pPr>
      <w:pStyle w:val="FooterCouncil"/>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894E0" w14:textId="77777777" w:rsidR="00154E32" w:rsidRDefault="00154E32">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8658E" w14:textId="77777777" w:rsidR="00154E32" w:rsidRDefault="00154E32">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7970650"/>
      <w:docPartObj>
        <w:docPartGallery w:val="Page Numbers (Bottom of Page)"/>
        <w:docPartUnique/>
      </w:docPartObj>
    </w:sdtPr>
    <w:sdtEndPr>
      <w:rPr>
        <w:noProof/>
      </w:rPr>
    </w:sdtEndPr>
    <w:sdtContent>
      <w:p w14:paraId="628E42DA" w14:textId="7C083D5F"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4E3C0FA7" w14:textId="77777777" w:rsidR="00154E32" w:rsidRDefault="00154E32">
    <w:pPr>
      <w:pStyle w:val="FooterCouncil"/>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1562" w14:textId="77777777" w:rsidR="00154E32" w:rsidRDefault="00154E32">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283A3" w14:textId="77777777" w:rsidR="00154E32" w:rsidRDefault="00154E32">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575000"/>
      <w:docPartObj>
        <w:docPartGallery w:val="Page Numbers (Bottom of Page)"/>
        <w:docPartUnique/>
      </w:docPartObj>
    </w:sdtPr>
    <w:sdtEndPr>
      <w:rPr>
        <w:noProof/>
      </w:rPr>
    </w:sdtEndPr>
    <w:sdtContent>
      <w:p w14:paraId="3AA27D58" w14:textId="28262EC5"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04A6F2F7" w14:textId="77777777" w:rsidR="00154E32" w:rsidRDefault="00154E32">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119B1" w14:textId="77777777" w:rsidR="00DE606B" w:rsidRPr="00DE606B" w:rsidRDefault="00DE606B" w:rsidP="00DE606B">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E678D" w14:textId="77777777" w:rsidR="00154E32" w:rsidRDefault="00154E32">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6B51A" w14:textId="77777777" w:rsidR="00154E32" w:rsidRDefault="00154E32">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806931"/>
      <w:docPartObj>
        <w:docPartGallery w:val="Page Numbers (Bottom of Page)"/>
        <w:docPartUnique/>
      </w:docPartObj>
    </w:sdtPr>
    <w:sdtEndPr>
      <w:rPr>
        <w:noProof/>
      </w:rPr>
    </w:sdtEndPr>
    <w:sdtContent>
      <w:p w14:paraId="10A733DF" w14:textId="54F6CBDB"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52A32950" w14:textId="77777777" w:rsidR="00154E32" w:rsidRDefault="00154E32">
    <w:pPr>
      <w:pStyle w:val="FooterCouncil"/>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05601" w14:textId="77777777" w:rsidR="00154E32" w:rsidRDefault="00154E32">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8214E" w14:textId="77777777" w:rsidR="00154E32" w:rsidRDefault="00154E32">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443019"/>
      <w:docPartObj>
        <w:docPartGallery w:val="Page Numbers (Bottom of Page)"/>
        <w:docPartUnique/>
      </w:docPartObj>
    </w:sdtPr>
    <w:sdtEndPr>
      <w:rPr>
        <w:noProof/>
      </w:rPr>
    </w:sdtEndPr>
    <w:sdtContent>
      <w:p w14:paraId="1B71F9E7" w14:textId="5BFA7F60"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2C648EFB" w14:textId="77777777" w:rsidR="00154E32" w:rsidRDefault="00154E32">
    <w:pPr>
      <w:pStyle w:val="FooterCouncil"/>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B5395" w14:textId="77777777" w:rsidR="00154E32" w:rsidRDefault="00154E32">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456CF" w14:textId="77777777" w:rsidR="00154E32" w:rsidRDefault="00154E32">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644875"/>
      <w:docPartObj>
        <w:docPartGallery w:val="Page Numbers (Bottom of Page)"/>
        <w:docPartUnique/>
      </w:docPartObj>
    </w:sdtPr>
    <w:sdtEndPr>
      <w:rPr>
        <w:noProof/>
      </w:rPr>
    </w:sdtEndPr>
    <w:sdtContent>
      <w:p w14:paraId="4F1325C5" w14:textId="06EBB7AC"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30635581" w14:textId="77777777" w:rsidR="00154E32" w:rsidRDefault="00154E32">
    <w:pPr>
      <w:pStyle w:val="FooterCouncil"/>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09A5D" w14:textId="77777777" w:rsidR="00154E32" w:rsidRDefault="00154E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CCA53" w14:textId="77777777" w:rsidR="00154E32" w:rsidRDefault="00154E32">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4A4A8" w14:textId="77777777" w:rsidR="00154E32" w:rsidRDefault="00154E32">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63458"/>
      <w:docPartObj>
        <w:docPartGallery w:val="Page Numbers (Bottom of Page)"/>
        <w:docPartUnique/>
      </w:docPartObj>
    </w:sdtPr>
    <w:sdtEndPr>
      <w:rPr>
        <w:noProof/>
      </w:rPr>
    </w:sdtEndPr>
    <w:sdtContent>
      <w:p w14:paraId="0B6634F9" w14:textId="195212A3"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3B255385" w14:textId="77777777" w:rsidR="00154E32" w:rsidRDefault="00154E32">
    <w:pPr>
      <w:pStyle w:val="FooterCouncil"/>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93E17" w14:textId="77777777" w:rsidR="00154E32" w:rsidRDefault="00154E32">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227D3" w14:textId="77777777" w:rsidR="00154E32" w:rsidRDefault="00154E32">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1656"/>
      <w:docPartObj>
        <w:docPartGallery w:val="Page Numbers (Bottom of Page)"/>
        <w:docPartUnique/>
      </w:docPartObj>
    </w:sdtPr>
    <w:sdtEndPr>
      <w:rPr>
        <w:noProof/>
      </w:rPr>
    </w:sdtEndPr>
    <w:sdtContent>
      <w:p w14:paraId="53CE5A0B" w14:textId="279E50DF"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6D88276F" w14:textId="77777777" w:rsidR="00154E32" w:rsidRDefault="00154E32">
    <w:pPr>
      <w:pStyle w:val="FooterCouncil"/>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D7080" w14:textId="77777777" w:rsidR="00154E32" w:rsidRDefault="00154E32">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63E68" w14:textId="77777777" w:rsidR="00154E32" w:rsidRDefault="00154E32">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272904"/>
      <w:docPartObj>
        <w:docPartGallery w:val="Page Numbers (Bottom of Page)"/>
        <w:docPartUnique/>
      </w:docPartObj>
    </w:sdtPr>
    <w:sdtEndPr>
      <w:rPr>
        <w:noProof/>
      </w:rPr>
    </w:sdtEndPr>
    <w:sdtContent>
      <w:p w14:paraId="515B5279" w14:textId="030A30F8"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61BA791F" w14:textId="77777777" w:rsidR="00154E32" w:rsidRDefault="00154E32">
    <w:pPr>
      <w:pStyle w:val="FooterCouncil"/>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4CA14" w14:textId="77777777" w:rsidR="00154E32" w:rsidRDefault="00154E32">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74043" w14:textId="77777777" w:rsidR="00154E32" w:rsidRDefault="00154E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3748456"/>
      <w:docPartObj>
        <w:docPartGallery w:val="Page Numbers (Bottom of Page)"/>
        <w:docPartUnique/>
      </w:docPartObj>
    </w:sdtPr>
    <w:sdtEndPr>
      <w:rPr>
        <w:noProof/>
      </w:rPr>
    </w:sdtEndPr>
    <w:sdtContent>
      <w:p w14:paraId="7D3FDEBE" w14:textId="274B76A9" w:rsidR="00154E32" w:rsidRDefault="00A43E04">
        <w:pPr>
          <w:pStyle w:val="Footer"/>
          <w:jc w:val="center"/>
        </w:pPr>
        <w:r>
          <w:fldChar w:fldCharType="begin"/>
        </w:r>
        <w:r>
          <w:instrText xml:space="preserve"> PAGE   \* MERGEFORMAT </w:instrText>
        </w:r>
        <w:r>
          <w:fldChar w:fldCharType="separate"/>
        </w:r>
        <w:r w:rsidR="00DE606B">
          <w:rPr>
            <w:noProof/>
          </w:rPr>
          <w:t>4</w:t>
        </w:r>
        <w:r>
          <w:fldChar w:fldCharType="end"/>
        </w:r>
      </w:p>
    </w:sdtContent>
  </w:sdt>
  <w:p w14:paraId="3DB8397B" w14:textId="77777777" w:rsidR="00154E32" w:rsidRDefault="00154E32">
    <w:pPr>
      <w:pStyle w:val="FooterCouncil"/>
    </w:pPr>
  </w:p>
</w:ftr>
</file>

<file path=word/footer5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916510"/>
      <w:docPartObj>
        <w:docPartGallery w:val="Page Numbers (Bottom of Page)"/>
        <w:docPartUnique/>
      </w:docPartObj>
    </w:sdtPr>
    <w:sdtEndPr>
      <w:rPr>
        <w:noProof/>
      </w:rPr>
    </w:sdtEndPr>
    <w:sdtContent>
      <w:p w14:paraId="11A02371" w14:textId="25476AB7"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5058E1C3" w14:textId="77777777" w:rsidR="00154E32" w:rsidRDefault="00154E32">
    <w:pPr>
      <w:pStyle w:val="FooterCouncil"/>
    </w:pPr>
  </w:p>
</w:ftr>
</file>

<file path=word/footer5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D64A6" w14:textId="77777777" w:rsidR="00154E32" w:rsidRDefault="00154E32">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56287" w14:textId="77777777" w:rsidR="00154E32" w:rsidRDefault="00154E32">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397303"/>
      <w:docPartObj>
        <w:docPartGallery w:val="Page Numbers (Bottom of Page)"/>
        <w:docPartUnique/>
      </w:docPartObj>
    </w:sdtPr>
    <w:sdtEndPr>
      <w:rPr>
        <w:noProof/>
      </w:rPr>
    </w:sdtEndPr>
    <w:sdtContent>
      <w:p w14:paraId="027DA675" w14:textId="7DE7AC8C"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517921B2" w14:textId="77777777" w:rsidR="00154E32" w:rsidRDefault="00154E32">
    <w:pPr>
      <w:pStyle w:val="FooterCouncil"/>
    </w:pPr>
  </w:p>
</w:ftr>
</file>

<file path=word/footer5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50AAA" w14:textId="77777777" w:rsidR="00154E32" w:rsidRDefault="00154E32">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4C877" w14:textId="77777777" w:rsidR="00154E32" w:rsidRDefault="00154E32">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077335"/>
      <w:docPartObj>
        <w:docPartGallery w:val="Page Numbers (Bottom of Page)"/>
        <w:docPartUnique/>
      </w:docPartObj>
    </w:sdtPr>
    <w:sdtEndPr>
      <w:rPr>
        <w:noProof/>
      </w:rPr>
    </w:sdtEndPr>
    <w:sdtContent>
      <w:p w14:paraId="4BF25CD9" w14:textId="05E2C808"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19B69B2E" w14:textId="77777777" w:rsidR="00154E32" w:rsidRDefault="00154E32">
    <w:pPr>
      <w:pStyle w:val="FooterCouncil"/>
    </w:pPr>
  </w:p>
</w:ftr>
</file>

<file path=word/footer5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FBF94" w14:textId="77777777" w:rsidR="00154E32" w:rsidRDefault="00154E32">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7E77C" w14:textId="77777777" w:rsidR="00154E32" w:rsidRDefault="00154E32">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454727"/>
      <w:docPartObj>
        <w:docPartGallery w:val="Page Numbers (Bottom of Page)"/>
        <w:docPartUnique/>
      </w:docPartObj>
    </w:sdtPr>
    <w:sdtEndPr>
      <w:rPr>
        <w:noProof/>
      </w:rPr>
    </w:sdtEndPr>
    <w:sdtContent>
      <w:p w14:paraId="73DD249B" w14:textId="5B1C006E"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599BD63B" w14:textId="77777777" w:rsidR="00154E32" w:rsidRDefault="00154E32">
    <w:pPr>
      <w:pStyle w:val="FooterCouncil"/>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515BF" w14:textId="77777777" w:rsidR="00154E32" w:rsidRDefault="00154E32">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5BE1B" w14:textId="77777777" w:rsidR="00154E32" w:rsidRDefault="00154E32">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47CCB" w14:textId="77777777" w:rsidR="00154E32" w:rsidRDefault="00154E32">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599711"/>
      <w:docPartObj>
        <w:docPartGallery w:val="Page Numbers (Bottom of Page)"/>
        <w:docPartUnique/>
      </w:docPartObj>
    </w:sdtPr>
    <w:sdtEndPr>
      <w:rPr>
        <w:noProof/>
      </w:rPr>
    </w:sdtEndPr>
    <w:sdtContent>
      <w:p w14:paraId="6500AEE4" w14:textId="2B0D3758"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26092564" w14:textId="77777777" w:rsidR="00154E32" w:rsidRDefault="00154E32">
    <w:pPr>
      <w:pStyle w:val="FooterCouncil"/>
    </w:pPr>
  </w:p>
</w:ftr>
</file>

<file path=word/footer6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76E84" w14:textId="77777777" w:rsidR="00154E32" w:rsidRDefault="00154E32">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A405" w14:textId="77777777" w:rsidR="00154E32" w:rsidRDefault="00154E32">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068623"/>
      <w:docPartObj>
        <w:docPartGallery w:val="Page Numbers (Bottom of Page)"/>
        <w:docPartUnique/>
      </w:docPartObj>
    </w:sdtPr>
    <w:sdtEndPr>
      <w:rPr>
        <w:noProof/>
      </w:rPr>
    </w:sdtEndPr>
    <w:sdtContent>
      <w:p w14:paraId="0371BEE9" w14:textId="1248B5AE"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72ADBD04" w14:textId="77777777" w:rsidR="00154E32" w:rsidRDefault="00154E32">
    <w:pPr>
      <w:pStyle w:val="FooterCouncil"/>
    </w:pPr>
  </w:p>
</w:ftr>
</file>

<file path=word/footer6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14121" w14:textId="77777777" w:rsidR="00154E32" w:rsidRDefault="00154E32">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E9711" w14:textId="77777777" w:rsidR="00154E32" w:rsidRDefault="00154E32">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860024"/>
      <w:docPartObj>
        <w:docPartGallery w:val="Page Numbers (Bottom of Page)"/>
        <w:docPartUnique/>
      </w:docPartObj>
    </w:sdtPr>
    <w:sdtEndPr>
      <w:rPr>
        <w:noProof/>
      </w:rPr>
    </w:sdtEndPr>
    <w:sdtContent>
      <w:p w14:paraId="56AD7EBC" w14:textId="7407D9B2"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6FA81FF4" w14:textId="77777777" w:rsidR="00154E32" w:rsidRDefault="00154E32">
    <w:pPr>
      <w:pStyle w:val="FooterCouncil"/>
    </w:pPr>
  </w:p>
</w:ftr>
</file>

<file path=word/footer6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D1750" w14:textId="77777777" w:rsidR="00154E32" w:rsidRDefault="00154E3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0CB3D" w14:textId="77777777" w:rsidR="00154E32" w:rsidRDefault="00154E32">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A6D2C" w14:textId="77777777" w:rsidR="00154E32" w:rsidRDefault="00154E32">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119408"/>
      <w:docPartObj>
        <w:docPartGallery w:val="Page Numbers (Bottom of Page)"/>
        <w:docPartUnique/>
      </w:docPartObj>
    </w:sdtPr>
    <w:sdtEndPr>
      <w:rPr>
        <w:noProof/>
      </w:rPr>
    </w:sdtEndPr>
    <w:sdtContent>
      <w:p w14:paraId="757D10B2" w14:textId="14DA375C"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4CB09866" w14:textId="77777777" w:rsidR="00154E32" w:rsidRDefault="00154E32">
    <w:pPr>
      <w:pStyle w:val="FooterCouncil"/>
    </w:pPr>
  </w:p>
</w:ftr>
</file>

<file path=word/footer7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873D8" w14:textId="77777777" w:rsidR="00154E32" w:rsidRDefault="00154E32">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F386C" w14:textId="77777777" w:rsidR="00154E32" w:rsidRDefault="00154E32">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73972"/>
      <w:docPartObj>
        <w:docPartGallery w:val="Page Numbers (Bottom of Page)"/>
        <w:docPartUnique/>
      </w:docPartObj>
    </w:sdtPr>
    <w:sdtEndPr>
      <w:rPr>
        <w:noProof/>
      </w:rPr>
    </w:sdtEndPr>
    <w:sdtContent>
      <w:p w14:paraId="2D44E036" w14:textId="68AB0B95"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069F4A94" w14:textId="77777777" w:rsidR="00154E32" w:rsidRDefault="00154E32">
    <w:pPr>
      <w:pStyle w:val="FooterCouncil"/>
    </w:pPr>
  </w:p>
</w:ftr>
</file>

<file path=word/footer7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7E04F" w14:textId="77777777" w:rsidR="00154E32" w:rsidRDefault="00154E32">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66D0F" w14:textId="77777777" w:rsidR="00154E32" w:rsidRDefault="00154E32">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679270"/>
      <w:docPartObj>
        <w:docPartGallery w:val="Page Numbers (Bottom of Page)"/>
        <w:docPartUnique/>
      </w:docPartObj>
    </w:sdtPr>
    <w:sdtEndPr>
      <w:rPr>
        <w:noProof/>
      </w:rPr>
    </w:sdtEndPr>
    <w:sdtContent>
      <w:p w14:paraId="6E9062C6" w14:textId="6C032C76"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0911B324" w14:textId="77777777" w:rsidR="00154E32" w:rsidRDefault="00154E32">
    <w:pPr>
      <w:pStyle w:val="FooterCouncil"/>
    </w:pPr>
  </w:p>
</w:ftr>
</file>

<file path=word/footer7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DDAC" w14:textId="77777777" w:rsidR="00154E32" w:rsidRDefault="00154E32">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E061D" w14:textId="77777777" w:rsidR="00154E32" w:rsidRDefault="00154E3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592301"/>
      <w:docPartObj>
        <w:docPartGallery w:val="Page Numbers (Bottom of Page)"/>
        <w:docPartUnique/>
      </w:docPartObj>
    </w:sdtPr>
    <w:sdtEndPr>
      <w:rPr>
        <w:noProof/>
      </w:rPr>
    </w:sdtEndPr>
    <w:sdtContent>
      <w:p w14:paraId="419BD5A8" w14:textId="08CC07C1" w:rsidR="00154E32" w:rsidRDefault="00A43E04">
        <w:pPr>
          <w:pStyle w:val="Footer"/>
          <w:jc w:val="center"/>
        </w:pPr>
        <w:r>
          <w:fldChar w:fldCharType="begin"/>
        </w:r>
        <w:r>
          <w:instrText xml:space="preserve"> PAGE   \* MERGEFORMAT </w:instrText>
        </w:r>
        <w:r>
          <w:fldChar w:fldCharType="separate"/>
        </w:r>
        <w:r w:rsidR="00DE606B">
          <w:rPr>
            <w:noProof/>
          </w:rPr>
          <w:t>14</w:t>
        </w:r>
        <w:r>
          <w:fldChar w:fldCharType="end"/>
        </w:r>
      </w:p>
    </w:sdtContent>
  </w:sdt>
  <w:p w14:paraId="1A571AC5" w14:textId="77777777" w:rsidR="00154E32" w:rsidRDefault="00154E32">
    <w:pPr>
      <w:pStyle w:val="FooterCouncil"/>
    </w:pPr>
  </w:p>
</w:ftr>
</file>

<file path=word/footer8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095486"/>
      <w:docPartObj>
        <w:docPartGallery w:val="Page Numbers (Bottom of Page)"/>
        <w:docPartUnique/>
      </w:docPartObj>
    </w:sdtPr>
    <w:sdtEndPr>
      <w:rPr>
        <w:noProof/>
      </w:rPr>
    </w:sdtEndPr>
    <w:sdtContent>
      <w:p w14:paraId="1B2F04DC" w14:textId="0D6763A8"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5B510444" w14:textId="77777777" w:rsidR="00154E32" w:rsidRDefault="00154E32">
    <w:pPr>
      <w:pStyle w:val="FooterCouncil"/>
    </w:pPr>
  </w:p>
</w:ftr>
</file>

<file path=word/footer8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B8EC8" w14:textId="77777777" w:rsidR="00154E32" w:rsidRDefault="00154E32">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67AD4" w14:textId="77777777" w:rsidR="00154E32" w:rsidRDefault="00154E32">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78944"/>
      <w:docPartObj>
        <w:docPartGallery w:val="Page Numbers (Bottom of Page)"/>
        <w:docPartUnique/>
      </w:docPartObj>
    </w:sdtPr>
    <w:sdtEndPr>
      <w:rPr>
        <w:noProof/>
      </w:rPr>
    </w:sdtEndPr>
    <w:sdtContent>
      <w:p w14:paraId="727896BE" w14:textId="637E9081"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2B320250" w14:textId="77777777" w:rsidR="00154E32" w:rsidRDefault="00154E32">
    <w:pPr>
      <w:pStyle w:val="FooterCouncil"/>
    </w:pPr>
  </w:p>
</w:ftr>
</file>

<file path=word/footer8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02207" w14:textId="77777777" w:rsidR="00154E32" w:rsidRDefault="00154E32">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0A121" w14:textId="77777777" w:rsidR="00154E32" w:rsidRDefault="00154E32">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4868140"/>
      <w:docPartObj>
        <w:docPartGallery w:val="Page Numbers (Bottom of Page)"/>
        <w:docPartUnique/>
      </w:docPartObj>
    </w:sdtPr>
    <w:sdtEndPr>
      <w:rPr>
        <w:noProof/>
      </w:rPr>
    </w:sdtEndPr>
    <w:sdtContent>
      <w:p w14:paraId="0311AF99" w14:textId="07E657D1"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6B64C49F" w14:textId="77777777" w:rsidR="00154E32" w:rsidRDefault="00154E32">
    <w:pPr>
      <w:pStyle w:val="FooterCouncil"/>
    </w:pPr>
  </w:p>
</w:ftr>
</file>

<file path=word/footer8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494C7" w14:textId="77777777" w:rsidR="00154E32" w:rsidRDefault="00154E32">
    <w:pPr>
      <w:pStyle w:val="Footer"/>
    </w:pPr>
  </w:p>
</w:ftr>
</file>

<file path=word/footer8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F78EE" w14:textId="77777777" w:rsidR="00154E32" w:rsidRDefault="00154E32">
    <w:pPr>
      <w:pStyle w:val="Footer"/>
    </w:pPr>
  </w:p>
</w:ftr>
</file>

<file path=word/footer8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025245"/>
      <w:docPartObj>
        <w:docPartGallery w:val="Page Numbers (Bottom of Page)"/>
        <w:docPartUnique/>
      </w:docPartObj>
    </w:sdtPr>
    <w:sdtEndPr>
      <w:rPr>
        <w:noProof/>
      </w:rPr>
    </w:sdtEndPr>
    <w:sdtContent>
      <w:p w14:paraId="3E04695A" w14:textId="1CD07E86"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55E21FEA" w14:textId="77777777" w:rsidR="00154E32" w:rsidRDefault="00154E32">
    <w:pPr>
      <w:pStyle w:val="FooterCouncil"/>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57451" w14:textId="77777777" w:rsidR="00154E32" w:rsidRDefault="00154E32">
    <w:pPr>
      <w:pStyle w:val="Footer"/>
    </w:pPr>
  </w:p>
</w:ftr>
</file>

<file path=word/footer9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6B1BF" w14:textId="77777777" w:rsidR="00154E32" w:rsidRDefault="00154E32">
    <w:pPr>
      <w:pStyle w:val="Footer"/>
    </w:pPr>
  </w:p>
</w:ftr>
</file>

<file path=word/footer9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322C4" w14:textId="77777777" w:rsidR="00154E32" w:rsidRDefault="00154E32">
    <w:pPr>
      <w:pStyle w:val="Footer"/>
    </w:pPr>
  </w:p>
</w:ftr>
</file>

<file path=word/footer9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908734"/>
      <w:docPartObj>
        <w:docPartGallery w:val="Page Numbers (Bottom of Page)"/>
        <w:docPartUnique/>
      </w:docPartObj>
    </w:sdtPr>
    <w:sdtEndPr>
      <w:rPr>
        <w:noProof/>
      </w:rPr>
    </w:sdtEndPr>
    <w:sdtContent>
      <w:p w14:paraId="556E0FFA" w14:textId="24D940D8"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1E76B210" w14:textId="77777777" w:rsidR="00154E32" w:rsidRDefault="00154E32">
    <w:pPr>
      <w:pStyle w:val="FooterCouncil"/>
    </w:pPr>
  </w:p>
</w:ftr>
</file>

<file path=word/footer9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36383" w14:textId="77777777" w:rsidR="00154E32" w:rsidRDefault="00154E32">
    <w:pPr>
      <w:pStyle w:val="Footer"/>
    </w:pPr>
  </w:p>
</w:ftr>
</file>

<file path=word/footer9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E457F" w14:textId="77777777" w:rsidR="00154E32" w:rsidRDefault="00154E32">
    <w:pPr>
      <w:pStyle w:val="Footer"/>
    </w:pPr>
  </w:p>
</w:ftr>
</file>

<file path=word/footer9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4295293"/>
      <w:docPartObj>
        <w:docPartGallery w:val="Page Numbers (Bottom of Page)"/>
        <w:docPartUnique/>
      </w:docPartObj>
    </w:sdtPr>
    <w:sdtEndPr>
      <w:rPr>
        <w:noProof/>
      </w:rPr>
    </w:sdtEndPr>
    <w:sdtContent>
      <w:p w14:paraId="21E37B27" w14:textId="33F99097"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59CFA528" w14:textId="77777777" w:rsidR="00154E32" w:rsidRDefault="00154E32">
    <w:pPr>
      <w:pStyle w:val="FooterCouncil"/>
    </w:pPr>
  </w:p>
</w:ftr>
</file>

<file path=word/footer9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6F04D" w14:textId="77777777" w:rsidR="00154E32" w:rsidRDefault="00154E32">
    <w:pPr>
      <w:pStyle w:val="Footer"/>
    </w:pPr>
  </w:p>
</w:ftr>
</file>

<file path=word/footer9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7AD0F" w14:textId="77777777" w:rsidR="00154E32" w:rsidRDefault="00154E32">
    <w:pPr>
      <w:pStyle w:val="Footer"/>
    </w:pPr>
  </w:p>
</w:ftr>
</file>

<file path=word/footer9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284790"/>
      <w:docPartObj>
        <w:docPartGallery w:val="Page Numbers (Bottom of Page)"/>
        <w:docPartUnique/>
      </w:docPartObj>
    </w:sdtPr>
    <w:sdtEndPr>
      <w:rPr>
        <w:noProof/>
      </w:rPr>
    </w:sdtEndPr>
    <w:sdtContent>
      <w:p w14:paraId="6AE50132" w14:textId="07C7939B" w:rsidR="00154E32" w:rsidRDefault="00A43E04">
        <w:pPr>
          <w:pStyle w:val="Footer"/>
          <w:jc w:val="center"/>
        </w:pPr>
        <w:r>
          <w:fldChar w:fldCharType="begin"/>
        </w:r>
        <w:r>
          <w:instrText xml:space="preserve"> PAGE   \* MERGEFORMAT </w:instrText>
        </w:r>
        <w:r>
          <w:fldChar w:fldCharType="separate"/>
        </w:r>
        <w:r>
          <w:t>2</w:t>
        </w:r>
        <w:r>
          <w:fldChar w:fldCharType="end"/>
        </w:r>
      </w:p>
    </w:sdtContent>
  </w:sdt>
  <w:p w14:paraId="472F030E" w14:textId="77777777" w:rsidR="00154E32" w:rsidRDefault="00154E32">
    <w:pPr>
      <w:pStyle w:val="FooterCouncil"/>
    </w:pPr>
  </w:p>
</w:ftr>
</file>

<file path=word/footer9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2DE30" w14:textId="77777777" w:rsidR="00154E32" w:rsidRDefault="00154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E4847" w14:textId="77777777" w:rsidR="00154E32" w:rsidRDefault="00A43E04">
      <w:r>
        <w:separator/>
      </w:r>
    </w:p>
  </w:footnote>
  <w:footnote w:type="continuationSeparator" w:id="0">
    <w:p w14:paraId="026D1F50" w14:textId="77777777" w:rsidR="00154E32" w:rsidRDefault="00A43E04">
      <w:r>
        <w:continuationSeparator/>
      </w:r>
    </w:p>
  </w:footnote>
  <w:footnote w:type="continuationNotice" w:id="1">
    <w:p w14:paraId="32EFA7A8" w14:textId="77777777" w:rsidR="00154E32" w:rsidRDefault="00154E32"/>
  </w:footnote>
  <w:footnote w:id="2">
    <w:p w14:paraId="01660C3B" w14:textId="77777777" w:rsidR="00154E32" w:rsidRDefault="00A43E04">
      <w:pPr>
        <w:pStyle w:val="FootnoteText"/>
        <w:ind w:left="0" w:firstLine="0"/>
      </w:pPr>
      <w:r>
        <w:rPr>
          <w:rStyle w:val="FootnoteReference"/>
        </w:rPr>
        <w:footnoteRef/>
      </w:r>
      <w:r>
        <w:t xml:space="preserve"> Razen za (a) projekte v okviru tega ukrepa v zvezi s proizvodnjo električne energije in/ali toplote ter povezano infrastrukturo za prenos in distribucijo, pri katerih se uporablja zemeljski plin, ki so skladni s pogoji iz Priloge III k tehničnim smernicam „Ne škoduje bistveno“ (2021/C58/01) in (b) dejavnosti in sredstva iz točke (ii), za katere je uporaba fosilnih goriv začasna in tehnično neizogibna za pravočasen prehod na delovanje brez fosilnih goriv.</w:t>
      </w:r>
    </w:p>
  </w:footnote>
  <w:footnote w:id="3">
    <w:p w14:paraId="42EFD6CD" w14:textId="77777777" w:rsidR="00154E32" w:rsidRDefault="00A43E04">
      <w:pPr>
        <w:pStyle w:val="FootnoteText"/>
        <w:ind w:left="0" w:firstLine="0"/>
      </w:pPr>
      <w:r>
        <w:rPr>
          <w:rStyle w:val="FootnoteReference"/>
        </w:rPr>
        <w:footnoteRef/>
      </w:r>
      <w:r>
        <w:t xml:space="preserve"> 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4">
    <w:p w14:paraId="3E8B0584" w14:textId="7B6A07B9" w:rsidR="00154E32" w:rsidRDefault="00A43E04">
      <w:pPr>
        <w:pStyle w:val="FootnoteText"/>
        <w:ind w:left="0" w:firstLine="0"/>
      </w:pPr>
      <w:r>
        <w:rPr>
          <w:rStyle w:val="FootnoteReference"/>
        </w:rPr>
        <w:footnoteRef/>
      </w:r>
      <w: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5">
    <w:p w14:paraId="395EFBCA" w14:textId="77777777"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6">
    <w:p w14:paraId="22BCB45A" w14:textId="77777777" w:rsidR="00154E32" w:rsidRDefault="00A43E04">
      <w:pPr>
        <w:jc w:val="both"/>
      </w:pPr>
      <w:r>
        <w:footnoteRef/>
      </w:r>
      <w:r>
        <w:rPr>
          <w:sz w:val="20"/>
        </w:rPr>
        <w:t>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7">
    <w:p w14:paraId="3C5FA3D5" w14:textId="77777777" w:rsidR="00154E32" w:rsidRDefault="00A43E04">
      <w:pPr>
        <w:jc w:val="both"/>
        <w:rPr>
          <w:sz w:val="20"/>
        </w:rPr>
      </w:pPr>
      <w:r>
        <w:footnoteRef/>
      </w:r>
      <w:r>
        <w:rPr>
          <w:sz w:val="20"/>
        </w:rPr>
        <w:t>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8">
    <w:p w14:paraId="3C1CF2A1" w14:textId="77777777" w:rsidR="00154E32" w:rsidRDefault="00A43E04">
      <w:pPr>
        <w:jc w:val="both"/>
        <w:rPr>
          <w:sz w:val="20"/>
        </w:rPr>
      </w:pPr>
      <w:r>
        <w:footnoteRef/>
      </w:r>
      <w:r>
        <w:rPr>
          <w:sz w:val="20"/>
        </w:rPr>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9">
    <w:p w14:paraId="3D94D292" w14:textId="77777777" w:rsidR="00154E32" w:rsidRDefault="00A43E04">
      <w:pPr>
        <w:jc w:val="both"/>
        <w:rPr>
          <w:sz w:val="20"/>
        </w:rPr>
      </w:pPr>
      <w:r>
        <w:footnoteRef/>
      </w:r>
      <w:r>
        <w:rPr>
          <w:sz w:val="20"/>
        </w:rPr>
        <w:t>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10">
    <w:p w14:paraId="115EFAD7" w14:textId="77777777" w:rsidR="00154E32" w:rsidRDefault="00A43E04">
      <w:pPr>
        <w:pStyle w:val="FootnoteText"/>
        <w:ind w:left="0" w:firstLine="0"/>
      </w:pPr>
      <w:r>
        <w:rPr>
          <w:rStyle w:val="FootnoteReference"/>
        </w:rPr>
        <w:footnoteRef/>
      </w:r>
      <w:r>
        <w:t xml:space="preserve"> Razen za (a) sredstva in dejavnosti proizvodnje električne energije in/ali toplote ter z njimi povezano infrastrukturo za prenos in distribucijo, pri katerih se uporablja zemeljski plin, ki so skladni s pogoji iz Priloge III k tehničnim smernicam „Ne škoduje bistveno“ (2021/C58/01) ter (b) dejavnosti in sredstva iz točke (ii), za katere je uporaba fosilnih goriv začasna in tehnično neizogibna za pravočasen prehod na delovanje brez fosilnih goriv.</w:t>
      </w:r>
    </w:p>
  </w:footnote>
  <w:footnote w:id="11">
    <w:p w14:paraId="03C9CEBE" w14:textId="77777777" w:rsidR="00154E32" w:rsidRDefault="00A43E04">
      <w:pPr>
        <w:pStyle w:val="FootnoteText"/>
        <w:ind w:left="0" w:firstLine="0"/>
      </w:pPr>
      <w:r>
        <w:rPr>
          <w:rStyle w:val="FootnoteReference"/>
        </w:rPr>
        <w:footnoteRef/>
      </w:r>
      <w:r>
        <w:t xml:space="preserve"> Če podprta dejavnost dosega predvidene emisije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12">
    <w:p w14:paraId="700D112F" w14:textId="77777777" w:rsidR="00154E32" w:rsidRDefault="00A43E04">
      <w:pPr>
        <w:pStyle w:val="FootnoteText"/>
        <w:ind w:left="0" w:firstLine="0"/>
      </w:pPr>
      <w:r>
        <w:rPr>
          <w:rStyle w:val="FootnoteReference"/>
        </w:rPr>
        <w:footnoteRef/>
      </w:r>
      <w: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 </w:t>
      </w:r>
    </w:p>
  </w:footnote>
  <w:footnote w:id="13">
    <w:p w14:paraId="405920D3" w14:textId="77777777"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 </w:t>
      </w:r>
    </w:p>
  </w:footnote>
  <w:footnote w:id="14">
    <w:p w14:paraId="7E7F7679" w14:textId="6929D1A4" w:rsidR="00154E32" w:rsidRDefault="00A43E04">
      <w:pPr>
        <w:pStyle w:val="FootnoteText"/>
        <w:ind w:left="0" w:firstLine="0"/>
      </w:pPr>
      <w:r>
        <w:rPr>
          <w:rStyle w:val="FootnoteReference"/>
        </w:rPr>
        <w:footnoteRef/>
      </w:r>
      <w:r>
        <w:t xml:space="preserve"> Končni upravičenci, povezani s posebnimi projekti, morajo predložiti utemeljitev izbranega področja intervencije za vsak projekt, ki prejema podporo, skupaj z opisom projekta, za namen izračuna podnebnega prispevka.</w:t>
      </w:r>
    </w:p>
  </w:footnote>
  <w:footnote w:id="15">
    <w:p w14:paraId="7D366F45" w14:textId="0E8DF3A3" w:rsidR="00154E32" w:rsidRDefault="00A43E04">
      <w:pPr>
        <w:pStyle w:val="FootnoteText"/>
        <w:ind w:left="0" w:firstLine="0"/>
      </w:pPr>
      <w:r>
        <w:rPr>
          <w:rStyle w:val="FootnoteReference"/>
        </w:rPr>
        <w:footnoteRef/>
      </w:r>
      <w:r>
        <w:t xml:space="preserve"> Razen za (a) sredstva in dejavnosti proizvodnje električne energije in/ali toplote ter z njimi povezano infrastrukturo za prenos in distribucijo, pri katerih se uporablja zemeljski plin, ki so skladni s pogoji iz Priloge III k tehničnim smernicam „Ne škoduje bistveno“ (2021/C58/01) ter (b) dejavnosti in sredstva iz točke (ii), za katere je uporaba fosilnih goriv začasna in tehnično neizogibna za pravočasen prehod na delovanje brez fosilnih goriv.</w:t>
      </w:r>
    </w:p>
  </w:footnote>
  <w:footnote w:id="16">
    <w:p w14:paraId="5B9D5729" w14:textId="260CB279" w:rsidR="00154E32" w:rsidRDefault="00A43E04">
      <w:pPr>
        <w:pStyle w:val="FootnoteText"/>
        <w:ind w:left="0" w:firstLine="0"/>
      </w:pPr>
      <w:r>
        <w:rPr>
          <w:rStyle w:val="FootnoteReference"/>
        </w:rPr>
        <w:footnoteRef/>
      </w:r>
      <w:r>
        <w:t xml:space="preserve"> Če podprta dejavnost dosega predvidene emisije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17">
    <w:p w14:paraId="630678AB" w14:textId="58701999" w:rsidR="00154E32" w:rsidRDefault="00A43E04">
      <w:pPr>
        <w:pStyle w:val="FootnoteText"/>
        <w:ind w:left="0" w:firstLine="0"/>
      </w:pPr>
      <w:r>
        <w:rPr>
          <w:rStyle w:val="FootnoteReference"/>
        </w:rPr>
        <w:footnoteRef/>
      </w:r>
      <w: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18">
    <w:p w14:paraId="39974E27" w14:textId="692A6217"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19">
    <w:p w14:paraId="6028BB2A" w14:textId="100A831D" w:rsidR="00154E32" w:rsidRDefault="00A43E04">
      <w:pPr>
        <w:pStyle w:val="FootnoteText"/>
        <w:ind w:left="0" w:firstLine="0"/>
      </w:pPr>
      <w:r>
        <w:rPr>
          <w:rStyle w:val="FootnoteReference"/>
        </w:rPr>
        <w:footnoteRef/>
      </w:r>
      <w:r>
        <w:t xml:space="preserve"> Razen za (a) projekte v okviru tega ukrepa v zvezi s proizvodnjo električne energije in/ali toplote ter povezano infrastrukturo za prenos in distribucijo, pri katerih se uporablja zemeljski plin, ki so skladni s pogoji iz Priloge III k tehničnim smernicam „Ne škoduje bistveno“ (2021/C58/01) in (b) dejavnosti in sredstva iz točke (ii), za katere je uporaba fosilnih goriv začasna in tehnično neizogibna za pravočasen prehod na delovanje brez fosilnih goriv.</w:t>
      </w:r>
    </w:p>
  </w:footnote>
  <w:footnote w:id="20">
    <w:p w14:paraId="15A12BA1" w14:textId="26FEF5AB" w:rsidR="00154E32" w:rsidRDefault="00A43E04">
      <w:pPr>
        <w:pStyle w:val="FootnoteText"/>
        <w:ind w:left="0" w:firstLine="0"/>
      </w:pPr>
      <w:r>
        <w:rPr>
          <w:rStyle w:val="FootnoteReference"/>
        </w:rPr>
        <w:footnoteRef/>
      </w:r>
      <w:r>
        <w:t xml:space="preserve"> 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21">
    <w:p w14:paraId="63136C25" w14:textId="5DA4C475" w:rsidR="00154E32" w:rsidRDefault="00A43E04">
      <w:pPr>
        <w:pStyle w:val="P68B1DB1-Normal26"/>
        <w:jc w:val="both"/>
      </w:pPr>
      <w:r>
        <w:rPr>
          <w:vertAlign w:val="superscript"/>
        </w:rPr>
        <w:t>20</w:t>
      </w:r>
      <w:r>
        <w:t xml:space="preserve"> Ta izključitev ne velja za ukrepe v okviru tega ukrepa v obratih, ki so namenjeni izključno obdelavi nevarnih odpadkov, ki jih ni mogoče reciklirati, in za obstoječe obrate, kadar so ukrepi v okviru tega ukrepa namenjeni povečanju energetske učinkovitosti, zajemanju izpušnih plinov za shranjevanje ali uporabo ali predelavi materialov iz pepela za sežiganje, pod pogojem, da taki ukrepi v okviru tega ukrepa ne povzročijo povečanja zmogljivosti obratov za predelavo odpadkov ali podaljšanja življenjske dobe naprav; za katere se predložijo dokazi na ravni obrata.</w:t>
      </w:r>
    </w:p>
  </w:footnote>
  <w:footnote w:id="22">
    <w:p w14:paraId="7B28AB2B" w14:textId="0000DE69"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23">
    <w:p w14:paraId="7B3CA30D" w14:textId="45FD840F" w:rsidR="00154E32" w:rsidRDefault="00A43E04">
      <w:pPr>
        <w:pStyle w:val="FootnoteText"/>
        <w:ind w:left="0" w:firstLine="0"/>
      </w:pPr>
      <w:r>
        <w:rPr>
          <w:rStyle w:val="FootnoteReference"/>
        </w:rPr>
        <w:footnoteRef/>
      </w:r>
      <w:r>
        <w:t xml:space="preserve"> Razen za (a) projekte v okviru tega ukrepa v zvezi s proizvodnjo električne energije in/ali toplote ter povezano infrastrukturo za prenos in distribucijo, pri katerih se uporablja zemeljski plin, ki so skladni s pogoji iz Priloge III k tehničnim smernicam „Ne škoduje bistveno“ (2021/C58/01) in (b) dejavnosti in sredstva iz točke (ii), za katere je uporaba fosilnih goriv začasna in tehnično neizogibna za pravočasen prehod na delovanje brez fosilnih goriv.</w:t>
      </w:r>
    </w:p>
  </w:footnote>
  <w:footnote w:id="24">
    <w:p w14:paraId="60481372" w14:textId="52781DFB" w:rsidR="00154E32" w:rsidRDefault="00A43E04">
      <w:pPr>
        <w:pStyle w:val="FootnoteText"/>
        <w:ind w:left="0" w:firstLine="0"/>
      </w:pPr>
      <w:r>
        <w:rPr>
          <w:rStyle w:val="FootnoteReference"/>
        </w:rPr>
        <w:footnoteRef/>
      </w:r>
      <w:r>
        <w:t xml:space="preserve"> 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25">
    <w:p w14:paraId="481EE1A4" w14:textId="7371511F" w:rsidR="00154E32" w:rsidRDefault="00A43E04">
      <w:pPr>
        <w:pStyle w:val="P68B1DB1-Normal26"/>
        <w:jc w:val="both"/>
      </w:pPr>
      <w:r>
        <w:rPr>
          <w:vertAlign w:val="superscript"/>
        </w:rPr>
        <w:t>24</w:t>
      </w:r>
      <w:r>
        <w:t xml:space="preserve"> Ta izključitev ne velja za ukrepe v okviru tega ukrepa v obratih, ki so namenjeni izključno obdelavi nevarnih odpadkov, ki jih ni mogoče reciklirati, in za obstoječe obrate, kadar so ukrepi v okviru tega ukrepa namenjeni povečanju energetske učinkovitosti, zajemanju izpušnih plinov za shranjevanje ali uporabo ali predelavi materialov iz pepela za sežiganje, pod pogojem, da taki ukrepi v okviru tega ukrepa ne povzročijo povečanja zmogljivosti obratov za predelavo odpadkov ali podaljšanja življenjske dobe naprav; za katere se predložijo dokazi na ravni obrata.</w:t>
      </w:r>
    </w:p>
  </w:footnote>
  <w:footnote w:id="26">
    <w:p w14:paraId="63C339A0" w14:textId="4C8330B5"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27">
    <w:p w14:paraId="4472B526" w14:textId="7577BF29" w:rsidR="00154E32" w:rsidRDefault="00A43E04">
      <w:pPr>
        <w:pStyle w:val="FootnoteText"/>
        <w:ind w:left="0" w:firstLine="0"/>
      </w:pPr>
      <w:r>
        <w:rPr>
          <w:rStyle w:val="FootnoteReference"/>
        </w:rPr>
        <w:footnoteRef/>
      </w:r>
      <w:r>
        <w:t xml:space="preserve"> Razen za (a) projekte v okviru tega ukrepa v zvezi s proizvodnjo električne energije in/ali toplote ter povezano infrastrukturo za prenos in distribucijo, pri katerih se uporablja zemeljski plin, ki so skladni s pogoji iz Priloge III k tehničnim smernicam „Ne škoduje bistveno“ (2021/C58/01) in (b) dejavnosti in sredstva iz točke (ii), za katere je uporaba fosilnih goriv začasna in tehnično neizogibna za pravočasen prehod na delovanje brez fosilnih goriv.</w:t>
      </w:r>
    </w:p>
  </w:footnote>
  <w:footnote w:id="28">
    <w:p w14:paraId="7F9C4718" w14:textId="601F1442" w:rsidR="00154E32" w:rsidRDefault="00A43E04">
      <w:pPr>
        <w:pStyle w:val="FootnoteText"/>
        <w:ind w:left="0" w:firstLine="0"/>
      </w:pPr>
      <w:r>
        <w:rPr>
          <w:rStyle w:val="FootnoteReference"/>
        </w:rPr>
        <w:footnoteRef/>
      </w:r>
      <w:r>
        <w:t xml:space="preserve"> 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29">
    <w:p w14:paraId="2960712F" w14:textId="3CC8A46A" w:rsidR="00154E32" w:rsidRDefault="00A43E04">
      <w:pPr>
        <w:pStyle w:val="P68B1DB1-Normal26"/>
        <w:jc w:val="both"/>
      </w:pPr>
      <w:r>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30">
    <w:p w14:paraId="73E2EF83" w14:textId="2B2493C2"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31">
    <w:p w14:paraId="13B1F3ED" w14:textId="2E873EFA" w:rsidR="00154E32" w:rsidRDefault="00A43E04">
      <w:pPr>
        <w:pStyle w:val="FootnoteText"/>
        <w:ind w:left="0" w:firstLine="0"/>
      </w:pPr>
      <w:r>
        <w:rPr>
          <w:rStyle w:val="FootnoteReference"/>
        </w:rPr>
        <w:footnoteRef/>
      </w:r>
      <w:r>
        <w:t xml:space="preserve"> Razen za (a) projekte v okviru tega ukrepa v zvezi s proizvodnjo električne energije in/ali toplote ter povezano infrastrukturo za prenos in distribucijo, pri katerih se uporablja zemeljski plin, ki so skladni s pogoji iz Priloge III k tehničnim smernicam „Ne škoduje bistveno“ (2021/C58/01) in (b) dejavnosti in sredstva iz točke (ii), za katere je uporaba fosilnih goriv začasna in tehnično neizogibna za pravočasen prehod na delovanje brez fosilnih goriv.</w:t>
      </w:r>
    </w:p>
  </w:footnote>
  <w:footnote w:id="32">
    <w:p w14:paraId="57E3F8B2" w14:textId="64B2AC60" w:rsidR="00154E32" w:rsidRDefault="00A43E04">
      <w:pPr>
        <w:pStyle w:val="FootnoteText"/>
        <w:ind w:left="0" w:firstLine="0"/>
      </w:pPr>
      <w:r>
        <w:rPr>
          <w:rStyle w:val="FootnoteReference"/>
        </w:rPr>
        <w:footnoteRef/>
      </w:r>
      <w:r>
        <w:t xml:space="preserve"> 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33">
    <w:p w14:paraId="5FC8BC19" w14:textId="4A40F843" w:rsidR="00154E32" w:rsidRDefault="00A43E04">
      <w:pPr>
        <w:pStyle w:val="FootnoteText"/>
        <w:ind w:left="0" w:firstLine="0"/>
      </w:pPr>
      <w:r>
        <w:rPr>
          <w:vertAlign w:val="superscript"/>
        </w:rPr>
        <w:t>32</w:t>
      </w:r>
      <w:r>
        <w:t xml:space="preserve"> Ta izključitev ne velja za ukrepe v okviru tega ukrepa v obratih, ki so namenjeni izključno obdelavi nevarnih odpadkov, ki jih ni mogoče reciklirati, in za obstoječe obrate, kadar so ukrepi v okviru tega ukrepa namenjeni povečanju energetske učinkovitosti, zajemanju izpušnih plinov za skladiščenje ali uporabo ali predelavi materialov iz pepela za sežiganje, pod pogojem, da taki ukrepi v okviru tega ukrepa ne povzročijo povečanja zmogljivosti obratov za predelavo odpadkov ali podaljšanja življenjske dobe naprav; za katere se predložijo dokazi na ravni obrata.</w:t>
      </w:r>
    </w:p>
  </w:footnote>
  <w:footnote w:id="34">
    <w:p w14:paraId="32E4F974" w14:textId="2648699F"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35">
    <w:p w14:paraId="45728081" w14:textId="30FF8209" w:rsidR="00154E32" w:rsidRDefault="00A43E04">
      <w:pPr>
        <w:pStyle w:val="FootnoteText"/>
        <w:ind w:left="0" w:firstLine="0"/>
      </w:pPr>
      <w:r>
        <w:rPr>
          <w:rStyle w:val="FootnoteReference"/>
        </w:rPr>
        <w:footnoteRef/>
      </w:r>
      <w:r>
        <w:t xml:space="preserve"> Razen za (a) projekte v okviru tega ukrepa v zvezi s proizvodnjo električne energije in/ali toplote ter povezano infrastrukturo za prenos in distribucijo, pri katerih se uporablja zemeljski plin, ki so skladni s pogoji iz Priloge III k tehničnim smernicam „Ne škoduje bistveno“ (2021/C58/01) in (b) dejavnosti in sredstva iz točke (ii), za katere je uporaba fosilnih goriv začasna in tehnično neizogibna za pravočasen prehod na delovanje brez fosilnih goriv.</w:t>
      </w:r>
    </w:p>
  </w:footnote>
  <w:footnote w:id="36">
    <w:p w14:paraId="1A4466CA" w14:textId="03E70D9D" w:rsidR="00154E32" w:rsidRDefault="00A43E04">
      <w:pPr>
        <w:pStyle w:val="FootnoteText"/>
        <w:ind w:left="0" w:firstLine="0"/>
      </w:pPr>
      <w:r>
        <w:rPr>
          <w:rStyle w:val="FootnoteReference"/>
        </w:rPr>
        <w:footnoteRef/>
      </w:r>
      <w:r>
        <w:t xml:space="preserve"> 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37">
    <w:p w14:paraId="6FBD7C4E" w14:textId="5CD7C16C" w:rsidR="00154E32" w:rsidRDefault="00A43E04">
      <w:pPr>
        <w:pStyle w:val="FootnoteText"/>
        <w:ind w:left="0" w:firstLine="0"/>
      </w:pPr>
      <w:r>
        <w:rPr>
          <w:rStyle w:val="FootnoteReference"/>
        </w:rPr>
        <w:footnoteRef/>
      </w:r>
      <w: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38">
    <w:p w14:paraId="35230404" w14:textId="4BBC78BA"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39">
    <w:p w14:paraId="20CFAB51" w14:textId="53A43024" w:rsidR="00154E32" w:rsidRDefault="00A43E04">
      <w:pPr>
        <w:pStyle w:val="FootnoteText"/>
        <w:ind w:left="0" w:firstLine="0"/>
      </w:pPr>
      <w:r>
        <w:rPr>
          <w:rStyle w:val="FootnoteReference"/>
        </w:rPr>
        <w:footnoteRef/>
      </w:r>
      <w:r>
        <w:t xml:space="preserve"> Razen za (a) projekte v okviru tega ukrepa v zvezi s proizvodnjo električne energije in/ali toplote ter povezano infrastrukturo za prenos in distribucijo, pri katerih se uporablja zemeljski plin, ki so skladni s pogoji iz Priloge III k tehničnim smernicam „Ne škoduje bistveno“ (2021/C58/01) in (b) dejavnosti in sredstva iz točke (ii), za katere je uporaba fosilnih goriv začasna in tehnično neizogibna za pravočasen prehod na delovanje brez fosilnih goriv.</w:t>
      </w:r>
    </w:p>
  </w:footnote>
  <w:footnote w:id="40">
    <w:p w14:paraId="484CF115" w14:textId="50057053" w:rsidR="00154E32" w:rsidRDefault="00A43E04">
      <w:pPr>
        <w:pStyle w:val="FootnoteText"/>
        <w:ind w:left="0" w:firstLine="0"/>
      </w:pPr>
      <w:r>
        <w:rPr>
          <w:rStyle w:val="FootnoteReference"/>
        </w:rPr>
        <w:footnoteRef/>
      </w:r>
      <w:r>
        <w:t xml:space="preserve"> 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41">
    <w:p w14:paraId="74FC51B7" w14:textId="36275B36" w:rsidR="00154E32" w:rsidRDefault="00A43E04">
      <w:pPr>
        <w:pStyle w:val="FootnoteText"/>
        <w:ind w:left="0" w:firstLine="0"/>
      </w:pPr>
      <w:r>
        <w:rPr>
          <w:rStyle w:val="FootnoteReference"/>
        </w:rPr>
        <w:footnoteRef/>
      </w:r>
      <w: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42">
    <w:p w14:paraId="2D4C4C7B" w14:textId="759CEB4D"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43">
    <w:p w14:paraId="794FFFEA" w14:textId="4AB4B2C0" w:rsidR="00154E32" w:rsidRDefault="00A43E04">
      <w:pPr>
        <w:pStyle w:val="FootnoteText"/>
        <w:ind w:left="0" w:firstLine="0"/>
      </w:pPr>
      <w:r>
        <w:rPr>
          <w:rStyle w:val="FootnoteReference"/>
        </w:rPr>
        <w:footnoteRef/>
      </w:r>
      <w:r>
        <w:t xml:space="preserve"> Razen za (a) sredstva in dejavnosti proizvodnje električne energije in/ali toplote ter z njimi povezano infrastrukturo za prenos in distribucijo, pri katerih se uporablja zemeljski plin, ki so skladni s pogoji iz Priloge III k tehničnim smernicam „Ne škoduje bistveno“ (2021/C58/01) ter (b) dejavnosti in sredstva iz točke (ii), za katere je uporaba fosilnih goriv začasna in tehnično neizogibna za pravočasen prehod na delovanje brez fosilnih goriv.</w:t>
      </w:r>
    </w:p>
  </w:footnote>
  <w:footnote w:id="44">
    <w:p w14:paraId="372A422D" w14:textId="7963FBE7" w:rsidR="00154E32" w:rsidRDefault="00A43E04">
      <w:pPr>
        <w:pStyle w:val="FootnoteText"/>
        <w:ind w:left="0" w:firstLine="0"/>
      </w:pPr>
      <w:r>
        <w:rPr>
          <w:rStyle w:val="FootnoteReference"/>
        </w:rPr>
        <w:footnoteRef/>
      </w:r>
      <w:r>
        <w:t xml:space="preserve"> Če podprta dejavnost dosega predvidene emisije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45">
    <w:p w14:paraId="2CF6F44E" w14:textId="4234EF89" w:rsidR="00154E32" w:rsidRDefault="00A43E04">
      <w:pPr>
        <w:pStyle w:val="FootnoteText"/>
        <w:ind w:left="0" w:firstLine="0"/>
      </w:pPr>
      <w:r>
        <w:rPr>
          <w:rStyle w:val="FootnoteReference"/>
        </w:rPr>
        <w:footnoteRef/>
      </w:r>
      <w: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 </w:t>
      </w:r>
    </w:p>
  </w:footnote>
  <w:footnote w:id="46">
    <w:p w14:paraId="26B265FF" w14:textId="1E4FF3F4"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 </w:t>
      </w:r>
    </w:p>
  </w:footnote>
  <w:footnote w:id="47">
    <w:p w14:paraId="1143EFB0" w14:textId="38A1A97E" w:rsidR="00154E32" w:rsidRDefault="00A43E04">
      <w:pPr>
        <w:pStyle w:val="FootnoteText"/>
        <w:ind w:left="0" w:firstLine="0"/>
      </w:pPr>
      <w:r>
        <w:rPr>
          <w:rStyle w:val="FootnoteReference"/>
        </w:rPr>
        <w:footnoteRef/>
      </w:r>
      <w:r>
        <w:t xml:space="preserve"> Končni upravičenci, povezani s posebnimi projekti, morajo predložiti utemeljitev izbranega področja intervencije za vsak projekt, ki prejema podporo, skupaj z opisom projekta, za namen izračuna podnebnega prispevka. Za namene izračuna podnebnega prispevka končni upravičenci iz lastniškega kapitala, navideznega lastniškega kapitala, podjetniških obveznic ali enakovrednih instrumentov, ki niso usmerjeni v posebne projekte, predložijo utemeljitev za izbrana področja ukrepanja. Izvajalski partner mora državi članici predložiti tudi polletno poročilo o izvajanju vsakega projekta/dejavnosti.</w:t>
      </w:r>
    </w:p>
    <w:p w14:paraId="476C5E4D" w14:textId="77777777" w:rsidR="00154E32" w:rsidRDefault="00154E32">
      <w:pPr>
        <w:pStyle w:val="FootnoteText"/>
      </w:pPr>
    </w:p>
  </w:footnote>
  <w:footnote w:id="48">
    <w:p w14:paraId="31CEFE93" w14:textId="77777777" w:rsidR="00154E32" w:rsidRDefault="00A43E04">
      <w:pPr>
        <w:pStyle w:val="FootnoteText"/>
        <w:ind w:left="0" w:firstLine="0"/>
      </w:pPr>
      <w:r>
        <w:rPr>
          <w:rStyle w:val="FootnoteReference"/>
        </w:rPr>
        <w:footnoteRef/>
      </w:r>
      <w:r>
        <w:t xml:space="preserve"> Metropolitanska območja so v tem ukrepu mišljena kot „funkcionalna mestna območja“, kot so opredeljena v podatkovni zbirki Evropske komisije in OECD (Dijkstra, L., H. Poelman in P. Veneri (2019), „The EU-OECD definition of a functional urban area“, delovni dokumenti OECD za regionalni razvoj, št. 2019/11, OECD Publishing, Pariz, https://doi.org/10.1787/d58cb34d-en). </w:t>
      </w:r>
    </w:p>
  </w:footnote>
  <w:footnote w:id="49">
    <w:p w14:paraId="3700C86E" w14:textId="77777777" w:rsidR="00154E32" w:rsidRDefault="00A43E04">
      <w:pPr>
        <w:pStyle w:val="FootnoteText"/>
      </w:pPr>
      <w:r>
        <w:rPr>
          <w:rStyle w:val="FootnoteReference"/>
        </w:rPr>
        <w:footnoteRef/>
      </w:r>
      <w:r>
        <w:t xml:space="preserve"> V skladu s področjem intervencije 72a Priloge VI k Uredbi (EU) 2021/241 se uporablja tudi za bimodalne vlake.</w:t>
      </w:r>
    </w:p>
  </w:footnote>
  <w:footnote w:id="50">
    <w:p w14:paraId="44B927F7" w14:textId="77777777" w:rsidR="00154E32" w:rsidRDefault="00A43E04">
      <w:pPr>
        <w:pStyle w:val="FootnoteText"/>
        <w:ind w:left="0" w:firstLine="0"/>
      </w:pPr>
      <w:r>
        <w:rPr>
          <w:rStyle w:val="FootnoteReference"/>
        </w:rPr>
        <w:footnoteRef/>
      </w:r>
      <w:r>
        <w:t xml:space="preserve"> Metropolitanska območja so v tem ukrepu opredeljena kot „funkcionalna mestna območja“, kot so opredeljena v podatkovni zbirki Evropske komisije in OECD (Dijkstra, L., H. Poelman in P. Veneri (2019)).</w:t>
      </w:r>
    </w:p>
  </w:footnote>
  <w:footnote w:id="51">
    <w:p w14:paraId="15E23C07" w14:textId="77777777" w:rsidR="00154E32" w:rsidRDefault="00A43E04">
      <w:pPr>
        <w:pStyle w:val="FootnoteText"/>
      </w:pPr>
      <w:r>
        <w:rPr>
          <w:rStyle w:val="FootnoteReference"/>
        </w:rPr>
        <w:footnoteRef/>
      </w:r>
      <w:r>
        <w:t xml:space="preserve"> V skladu s področjem intervencije 72a Priloge VI k Uredbi (EU) 2021/241 se uporablja tudi za bimodalne vlake.</w:t>
      </w:r>
    </w:p>
  </w:footnote>
  <w:footnote w:id="52">
    <w:p w14:paraId="2325A2A6" w14:textId="77777777" w:rsidR="00154E32" w:rsidRDefault="00A43E04">
      <w:pPr>
        <w:pStyle w:val="FootnoteText"/>
        <w:ind w:left="0" w:firstLine="0"/>
      </w:pPr>
      <w:r>
        <w:rPr>
          <w:rStyle w:val="FootnoteReference"/>
        </w:rPr>
        <w:footnoteRef/>
      </w:r>
      <w:r>
        <w:t xml:space="preserve"> Razen za (a) sredstva in dejavnosti proizvodnje električne energije in/ali toplote ter z njimi povezano infrastrukturo za prenos in distribucijo, pri katerih se uporablja zemeljski plin, ki so skladni s pogoji iz Priloge III k tehničnim smernicam „Ne škoduje bistveno“ (2021/C58/01) ter (b) dejavnosti in sredstva iz točke (ii), za katere je uporaba fosilnih goriv začasna in tehnično neizogibna za pravočasen prehod na delovanje brez fosilnih goriv.</w:t>
      </w:r>
    </w:p>
  </w:footnote>
  <w:footnote w:id="53">
    <w:p w14:paraId="54F6DDD2" w14:textId="200ED838" w:rsidR="00154E32" w:rsidRDefault="00A43E04">
      <w:pPr>
        <w:pStyle w:val="FootnoteText"/>
        <w:ind w:left="0" w:firstLine="0"/>
      </w:pPr>
      <w:r>
        <w:rPr>
          <w:rStyle w:val="FootnoteReference"/>
        </w:rPr>
        <w:footnoteRef/>
      </w:r>
      <w:r>
        <w:t xml:space="preserve"> Kadar se s podporo dejavnosti dosežejo predvidene emisije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54">
    <w:p w14:paraId="1DA8AA0B" w14:textId="27333904" w:rsidR="00154E32" w:rsidRDefault="00A43E04">
      <w:pPr>
        <w:pStyle w:val="FootnoteText"/>
        <w:ind w:left="0" w:firstLine="0"/>
      </w:pPr>
      <w:r>
        <w:rPr>
          <w:rStyle w:val="FootnoteReference"/>
        </w:rPr>
        <w:footnoteRef/>
      </w:r>
      <w: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 </w:t>
      </w:r>
    </w:p>
  </w:footnote>
  <w:footnote w:id="55">
    <w:p w14:paraId="6A9018EC" w14:textId="196CA492"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56">
    <w:p w14:paraId="3A329317" w14:textId="77777777" w:rsidR="00154E32" w:rsidRDefault="00A43E04">
      <w:pPr>
        <w:pStyle w:val="FootnoteText"/>
        <w:ind w:left="0" w:firstLine="0"/>
      </w:pPr>
      <w:r>
        <w:rPr>
          <w:rStyle w:val="FootnoteReference"/>
        </w:rPr>
        <w:footnoteRef/>
      </w:r>
      <w:r>
        <w:t xml:space="preserve"> Končni upravičenci, povezani s posebnimi projekti, morajo predložiti utemeljitev izbranega področja intervencije za vsak projekt, ki prejema podporo, skupaj z opisom projekta, za namen izračuna podnebnega prispevka. Za namene izračuna podnebnega prispevka končni upravičenci iz lastniškega kapitala, navideznega lastniškega kapitala, podjetniških obveznic ali enakovrednih instrumentov, ki niso usmerjeni v posebne projekte, predložijo utemeljitev za izbrana področja ukrepanja. Izvajalski partner mora državi članici predložiti tudi polletno poročilo o izvajanju vsakega projekta/dejavnosti.</w:t>
      </w:r>
    </w:p>
  </w:footnote>
  <w:footnote w:id="57">
    <w:p w14:paraId="27B9AFBE" w14:textId="77777777" w:rsidR="00154E32" w:rsidRDefault="00A43E04">
      <w:pPr>
        <w:pStyle w:val="FootnoteText"/>
        <w:ind w:left="0" w:firstLine="0"/>
      </w:pPr>
      <w:r>
        <w:rPr>
          <w:rStyle w:val="FootnoteReference"/>
          <w:rFonts w:eastAsiaTheme="majorEastAsia"/>
        </w:rPr>
        <w:footnoteRef/>
      </w:r>
      <w:r>
        <w:t xml:space="preserve"> Družba CDP tveganega kapitala SGR izvaja dejavnosti upravljanja v skladu z načeloma neodvisnosti in samostojnosti iz direktive o UAIS. </w:t>
      </w:r>
    </w:p>
  </w:footnote>
  <w:footnote w:id="58">
    <w:p w14:paraId="1997C80B" w14:textId="77777777" w:rsidR="00154E32" w:rsidRDefault="00A43E04">
      <w:pPr>
        <w:pStyle w:val="FootnoteText"/>
        <w:ind w:left="0" w:firstLine="0"/>
      </w:pPr>
      <w:r>
        <w:rPr>
          <w:rStyle w:val="FootnoteReference"/>
          <w:rFonts w:eastAsiaTheme="majorEastAsia"/>
        </w:rPr>
        <w:footnoteRef/>
      </w:r>
      <w:r>
        <w:t xml:space="preserve"> Šteje se, da je končni upravičenec „bistveno osredotočen“ na sektor ali poslovno dejavnost, če je ta sektor ali dejavnost opredeljena kot bistveni del poslovne dejavnosti končnega upravičenca glede na bruto prihodek, dobiček ali bazo strank končnega upravičenca. Bruto prihodek, ustvarjen v omejenem sektorju ali dejavnosti, v nobenem primeru ne presega 50 % bruto prihodka.</w:t>
      </w:r>
    </w:p>
  </w:footnote>
  <w:footnote w:id="59">
    <w:p w14:paraId="6EE2146D" w14:textId="77777777" w:rsidR="00154E32" w:rsidRDefault="00A43E04">
      <w:pPr>
        <w:jc w:val="both"/>
        <w:rPr>
          <w:sz w:val="20"/>
        </w:rPr>
      </w:pPr>
      <w:r>
        <w:rPr>
          <w:rStyle w:val="FootnoteReference"/>
          <w:rFonts w:eastAsiaTheme="majorEastAsia"/>
        </w:rPr>
        <w:footnoteRef/>
      </w:r>
      <w:r>
        <w:rPr>
          <w:sz w:val="20"/>
        </w:rPr>
        <w:t xml:space="preserve"> Razen za (a) sredstva in dejavnosti proizvodnje električne energije in/ali toplote ter z njimi povezano infrastrukturo za prenos in distribucijo, pri katerih se uporablja zemeljski plin, ki so skladni s pogoji iz Priloge III k tehničnim smernicam „Ne škoduje bistveno“ (2021/C58/01) ter (b) dejavnosti in sredstva iz točke (ii), za katere je uporaba fosilnih goriv začasna in tehnično neizogibna za pravočasen prehod na delovanje brez fosilnih goriv.</w:t>
      </w:r>
    </w:p>
  </w:footnote>
  <w:footnote w:id="60">
    <w:p w14:paraId="72368FE8" w14:textId="77777777" w:rsidR="00154E32" w:rsidRDefault="00A43E04">
      <w:pPr>
        <w:jc w:val="both"/>
        <w:rPr>
          <w:sz w:val="20"/>
        </w:rPr>
      </w:pPr>
      <w:r>
        <w:rPr>
          <w:rStyle w:val="FootnoteReference"/>
          <w:rFonts w:eastAsiaTheme="majorEastAsia"/>
        </w:rPr>
        <w:footnoteRef/>
      </w:r>
      <w:r>
        <w:rPr>
          <w:sz w:val="20"/>
        </w:rPr>
        <w:t xml:space="preserve"> Vključitev dejavnosti in sredstev v okviru sistema EU za trgovanje z emisijami (ETS), s katerimi se dosegajo predvidene emisije toplogrednih plinov, ki niso nižje od ustreznih referenčnih vrednosti. Če podprta dejavnost dosega predvidene emisije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61">
    <w:p w14:paraId="323BB04B" w14:textId="77777777" w:rsidR="00154E32" w:rsidRDefault="00A43E04">
      <w:pPr>
        <w:jc w:val="both"/>
        <w:rPr>
          <w:sz w:val="20"/>
        </w:rPr>
      </w:pPr>
      <w:r>
        <w:rPr>
          <w:rStyle w:val="FootnoteReference"/>
          <w:rFonts w:eastAsiaTheme="majorEastAsia"/>
        </w:rPr>
        <w:footnoteRef/>
      </w:r>
      <w:r>
        <w:rPr>
          <w:sz w:val="20"/>
        </w:rPr>
        <w:t xml:space="preserve"> Vozila, ki onesnažujejo okolje, so opredeljena kot brezemisijska vozila.</w:t>
      </w:r>
    </w:p>
  </w:footnote>
  <w:footnote w:id="62">
    <w:p w14:paraId="36E6EE36" w14:textId="77777777" w:rsidR="00154E32" w:rsidRDefault="00A43E04">
      <w:pPr>
        <w:pStyle w:val="FootnoteText"/>
        <w:ind w:left="0" w:firstLine="0"/>
      </w:pPr>
      <w:r>
        <w:rPr>
          <w:rStyle w:val="FootnoteReference"/>
          <w:rFonts w:eastAsiaTheme="majorEastAsia"/>
        </w:rPr>
        <w:footnoteRef/>
      </w:r>
      <w:r>
        <w:t xml:space="preserve"> Ta izključitev se ne uporablja za ukrepe v obratih, ki so namenjeni izključno obdelavi nevarnih odpadkov, ki jih ni mogoče reciklirati, in za obstoječe obrate, kadar so ukrepi v okviru tega ukrepa namenjeni povečanju energetske učinkovitosti, zajemanju izpušnih plinov za shranjevanje ali uporabo ali pridobivanju materialov iz pepela za sežiganje, če taki ukrepi v okviru tega ukrepa ne povzročijo povečanja zmogljivosti obratov za predelavo odpadkov ali podaljšanja življenjske dobe naprav; za katere se predložijo dokazi na ravni obrata.</w:t>
      </w:r>
    </w:p>
  </w:footnote>
  <w:footnote w:id="63">
    <w:p w14:paraId="1E877DFF" w14:textId="77777777" w:rsidR="00154E32" w:rsidRDefault="00A43E04">
      <w:pPr>
        <w:pStyle w:val="FootnoteText"/>
        <w:ind w:left="0" w:firstLine="0"/>
      </w:pPr>
      <w:r>
        <w:rPr>
          <w:rStyle w:val="FootnoteReference"/>
        </w:rPr>
        <w:footnoteRef/>
      </w:r>
      <w:r>
        <w:t xml:space="preserve"> Razen za (a) projekte v okviru tega ukrepa v zvezi s proizvodnjo električne energije in/ali toplote ter povezano infrastrukturo za prenos in distribucijo, pri katerih se uporablja zemeljski plin, ki so skladni s pogoji iz Priloge III k tehničnim smernicam „Ne škoduje bistveno“ (2021/C58/01) in (b) dejavnosti in sredstva iz točke (ii), za katere je uporaba fosilnih goriv začasna in tehnično neizogibna za pravočasen prehod na delovanje brez fosilnih goriv.</w:t>
      </w:r>
    </w:p>
  </w:footnote>
  <w:footnote w:id="64">
    <w:p w14:paraId="4EF95642" w14:textId="77777777" w:rsidR="00154E32" w:rsidRDefault="00A43E04">
      <w:pPr>
        <w:pStyle w:val="FootnoteText"/>
        <w:ind w:left="0" w:firstLine="0"/>
      </w:pPr>
      <w:r>
        <w:rPr>
          <w:rStyle w:val="FootnoteReference"/>
        </w:rPr>
        <w:footnoteRef/>
      </w:r>
      <w:r>
        <w:t xml:space="preserve"> 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65">
    <w:p w14:paraId="4E6F0BC6" w14:textId="2E2D9CC0" w:rsidR="00154E32" w:rsidRDefault="00A43E04">
      <w:pPr>
        <w:pStyle w:val="P68B1DB1-Normal26"/>
        <w:jc w:val="both"/>
      </w:pPr>
      <w:r>
        <w:rPr>
          <w:vertAlign w:val="superscript"/>
        </w:rPr>
        <w:t>64</w:t>
      </w:r>
      <w:r>
        <w:t xml:space="preserve"> Ta izključitev ne velja za ukrepe v okviru tega ukrepa v obratih, ki so namenjeni izključno obdelavi nevarnih odpadkov, ki jih ni mogoče reciklirati, in za obstoječe obrate, kadar so ukrepi v okviru tega ukrepa namenjeni povečanju energetske učinkovitosti, zajemanju izpušnih plinov za skladiščenje ali uporabo ali predelavi materialov iz pepela za sežiganje, pod pogojem, da taki ukrepi v okviru tega ukrepa ne povzročijo povečanja zmogljivosti obratov za predelavo odpadkov ali podaljšanja življenjske dobe naprav; za katere se predložijo dokazi na ravni obrata.</w:t>
      </w:r>
    </w:p>
  </w:footnote>
  <w:footnote w:id="66">
    <w:p w14:paraId="1523970E" w14:textId="77777777"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67">
    <w:p w14:paraId="09ED0B83" w14:textId="1C286385" w:rsidR="00154E32" w:rsidRDefault="00A43E04">
      <w:pPr>
        <w:pStyle w:val="FootnoteText"/>
        <w:ind w:left="0" w:firstLine="0"/>
      </w:pPr>
      <w:r>
        <w:rPr>
          <w:rStyle w:val="FootnoteReference"/>
        </w:rPr>
        <w:footnoteRef/>
      </w:r>
      <w:r>
        <w:t xml:space="preserve"> Razen za (a) projekte v okviru tega ukrepa v zvezi s proizvodnjo električne energije in/ali toplote ter povezano infrastrukturo za prenos in distribucijo, pri katerih se uporablja zemeljski plin, ki so skladni s pogoji iz Priloge III k tehničnim smernicam „Ne škoduje bistveno“ (2021/C58/01) in (b) dejavnosti in sredstva iz točke (ii), za katere je uporaba fosilnih goriv začasna in tehnično neizogibna za pravočasen prehod na delovanje brez fosilnih goriv.</w:t>
      </w:r>
    </w:p>
  </w:footnote>
  <w:footnote w:id="68">
    <w:p w14:paraId="65DF490D" w14:textId="77777777" w:rsidR="00154E32" w:rsidRDefault="00A43E04">
      <w:pPr>
        <w:pStyle w:val="FootnoteText"/>
        <w:ind w:left="0" w:firstLine="0"/>
      </w:pPr>
      <w:r>
        <w:rPr>
          <w:rStyle w:val="FootnoteReference"/>
        </w:rPr>
        <w:footnoteRef/>
      </w:r>
      <w:r>
        <w:t xml:space="preserve"> 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69">
    <w:p w14:paraId="295A93EF" w14:textId="7EC55A42" w:rsidR="00154E32" w:rsidRDefault="00A43E04">
      <w:pPr>
        <w:pStyle w:val="P68B1DB1-Normal26"/>
        <w:jc w:val="both"/>
      </w:pPr>
      <w:r>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70">
    <w:p w14:paraId="6E7E4D4B" w14:textId="77777777"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71">
    <w:p w14:paraId="5DC32CDB" w14:textId="77777777" w:rsidR="00154E32" w:rsidRDefault="00A43E04">
      <w:pPr>
        <w:pStyle w:val="FootnoteText"/>
        <w:ind w:left="0" w:firstLine="0"/>
      </w:pPr>
      <w:r>
        <w:rPr>
          <w:rStyle w:val="FootnoteReference"/>
        </w:rPr>
        <w:footnoteRef/>
      </w:r>
      <w:r>
        <w:t xml:space="preserve"> 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72">
    <w:p w14:paraId="239CB303" w14:textId="77777777" w:rsidR="00154E32" w:rsidRDefault="00A43E04">
      <w:pPr>
        <w:pStyle w:val="FootnoteText"/>
        <w:ind w:left="0" w:firstLine="0"/>
      </w:pPr>
      <w:r>
        <w:rPr>
          <w:rStyle w:val="FootnoteReference"/>
        </w:rPr>
        <w:footnoteRef/>
      </w:r>
      <w:r>
        <w:t xml:space="preserve"> 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73">
    <w:p w14:paraId="4D8C51AE" w14:textId="77777777" w:rsidR="00154E32" w:rsidRDefault="00A43E04">
      <w:pPr>
        <w:pStyle w:val="FootnoteText"/>
        <w:ind w:left="0" w:firstLine="0"/>
      </w:pPr>
      <w:r>
        <w:rPr>
          <w:rStyle w:val="FootnoteReference"/>
        </w:rPr>
        <w:footnoteRef/>
      </w:r>
      <w: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74">
    <w:p w14:paraId="1B266704" w14:textId="77777777"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75">
    <w:p w14:paraId="2B4AC006" w14:textId="2F39C68F" w:rsidR="00154E32" w:rsidRDefault="00A43E04">
      <w:pPr>
        <w:jc w:val="both"/>
        <w:rPr>
          <w:sz w:val="20"/>
        </w:rPr>
      </w:pPr>
      <w:r>
        <w:rPr>
          <w:rStyle w:val="FootnoteReference"/>
        </w:rPr>
        <w:footnoteRef/>
      </w:r>
      <w:r>
        <w:t xml:space="preserve"> </w:t>
      </w:r>
      <w:r>
        <w:rPr>
          <w:sz w:val="20"/>
        </w:rPr>
        <w:t>Razen za (a) projekte v okviru tega ukrepa v zvezi s proizvodnjo električne energije in/ali toplote ter povezano infrastrukturo za prenos in distribucijo, pri katerih se uporablja zemeljski plin, ki so skladni s pogoji iz Priloge III k tehničnim smernicam „Ne škoduje bistveno“ (2021/C58/01) in (b) dejavnosti in sredstva iz točke (ii), za katere je uporaba fosilnih goriv začasna in tehnično neizogibna za pravočasen prehod na delovanje brez fosilnih goriv.</w:t>
      </w:r>
    </w:p>
  </w:footnote>
  <w:footnote w:id="76">
    <w:p w14:paraId="6DB5692A" w14:textId="77777777" w:rsidR="00154E32" w:rsidRDefault="00A43E04">
      <w:pPr>
        <w:pStyle w:val="P68B1DB1-Normal26"/>
        <w:jc w:val="both"/>
      </w:pPr>
      <w:r>
        <w:footnoteRef/>
      </w:r>
      <w:r>
        <w:t>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77">
    <w:p w14:paraId="639058EE" w14:textId="77777777" w:rsidR="00154E32" w:rsidRDefault="00A43E04">
      <w:pPr>
        <w:jc w:val="both"/>
        <w:rPr>
          <w:sz w:val="20"/>
        </w:rPr>
      </w:pPr>
      <w:r>
        <w:footnoteRef/>
      </w:r>
      <w:r>
        <w:rPr>
          <w:sz w:val="20"/>
        </w:rPr>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78">
    <w:p w14:paraId="33B09939" w14:textId="77777777" w:rsidR="00154E32" w:rsidRDefault="00A43E04">
      <w:pPr>
        <w:pStyle w:val="P68B1DB1-Normal26"/>
        <w:jc w:val="both"/>
      </w:pPr>
      <w:r>
        <w:footnoteRef/>
      </w:r>
      <w:r>
        <w:t>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79">
    <w:p w14:paraId="18F2F5BA" w14:textId="77777777" w:rsidR="00154E32" w:rsidRDefault="00A43E04">
      <w:pPr>
        <w:pStyle w:val="FootnoteText"/>
        <w:ind w:left="0" w:firstLine="0"/>
      </w:pPr>
      <w:r>
        <w:rPr>
          <w:rStyle w:val="FootnoteReference"/>
        </w:rPr>
        <w:footnoteRef/>
      </w:r>
      <w:r>
        <w:t xml:space="preserve"> 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80">
    <w:p w14:paraId="3BC9A821" w14:textId="77777777" w:rsidR="00154E32" w:rsidRDefault="00A43E04">
      <w:pPr>
        <w:pStyle w:val="FootnoteText"/>
        <w:ind w:left="0" w:firstLine="0"/>
      </w:pPr>
      <w:r>
        <w:rPr>
          <w:rStyle w:val="FootnoteReference"/>
        </w:rPr>
        <w:footnoteRef/>
      </w:r>
      <w:r>
        <w:t xml:space="preserve"> 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81">
    <w:p w14:paraId="4243BF5F" w14:textId="77777777" w:rsidR="00154E32" w:rsidRDefault="00A43E04">
      <w:pPr>
        <w:pStyle w:val="FootnoteText"/>
        <w:ind w:left="0" w:firstLine="0"/>
      </w:pPr>
      <w:r>
        <w:rPr>
          <w:rStyle w:val="FootnoteReference"/>
        </w:rPr>
        <w:footnoteRef/>
      </w:r>
      <w: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82">
    <w:p w14:paraId="3C1180FE" w14:textId="77777777"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83">
    <w:p w14:paraId="068E762E" w14:textId="77777777" w:rsidR="00154E32" w:rsidRDefault="00A43E04">
      <w:pPr>
        <w:pStyle w:val="FootnoteText"/>
        <w:ind w:left="0" w:firstLine="0"/>
      </w:pPr>
      <w:r>
        <w:rPr>
          <w:rStyle w:val="FootnoteReference"/>
        </w:rPr>
        <w:footnoteRef/>
      </w:r>
      <w:r>
        <w:t xml:space="preserve"> </w:t>
      </w:r>
      <w:r>
        <w:rPr>
          <w:rStyle w:val="normaltextrun"/>
          <w:color w:val="000000"/>
          <w:shd w:val="clear" w:color="auto" w:fill="FFFFFF"/>
        </w:rPr>
        <w:t>OECD, Skills Studies on „Supporting Entrepreneurship and Innovation in Higher Education in Italy“ (Študije znanj in spretnosti o podpori podjetništvu in inovacijam v visokem šolstvu v Italiji).</w:t>
      </w:r>
    </w:p>
  </w:footnote>
  <w:footnote w:id="84">
    <w:p w14:paraId="22587763" w14:textId="77777777" w:rsidR="00154E32" w:rsidRDefault="00A43E04">
      <w:pPr>
        <w:pStyle w:val="FootnoteText"/>
        <w:ind w:left="0" w:firstLine="0"/>
      </w:pPr>
      <w:r>
        <w:rPr>
          <w:rStyle w:val="FootnoteReference"/>
        </w:rPr>
        <w:footnoteRef/>
      </w:r>
      <w:r>
        <w:t xml:space="preserve"> 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85">
    <w:p w14:paraId="36E8DF0A" w14:textId="77777777" w:rsidR="00154E32" w:rsidRDefault="00A43E04">
      <w:pPr>
        <w:pStyle w:val="FootnoteText"/>
        <w:ind w:left="0" w:firstLine="0"/>
      </w:pPr>
      <w:r>
        <w:rPr>
          <w:rStyle w:val="FootnoteReference"/>
        </w:rPr>
        <w:footnoteRef/>
      </w:r>
      <w:r>
        <w:t xml:space="preserve"> 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86">
    <w:p w14:paraId="1EC166D0" w14:textId="77777777" w:rsidR="00154E32" w:rsidRDefault="00A43E04">
      <w:pPr>
        <w:pStyle w:val="FootnoteText"/>
        <w:ind w:left="0" w:firstLine="0"/>
      </w:pPr>
      <w:r>
        <w:rPr>
          <w:rStyle w:val="FootnoteReference"/>
        </w:rPr>
        <w:footnoteRef/>
      </w:r>
      <w: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87">
    <w:p w14:paraId="7C920DC7" w14:textId="77777777"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88">
    <w:p w14:paraId="11413F29" w14:textId="475F2BD8" w:rsidR="00154E32" w:rsidRDefault="00A43E04">
      <w:pPr>
        <w:pStyle w:val="FootnoteText"/>
        <w:ind w:left="0" w:firstLine="0"/>
      </w:pPr>
      <w:r>
        <w:rPr>
          <w:rStyle w:val="FootnoteReference"/>
        </w:rPr>
        <w:footnoteRef/>
      </w:r>
      <w:r>
        <w:t xml:space="preserve"> 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89">
    <w:p w14:paraId="6C06A35B" w14:textId="44FA0A05" w:rsidR="00154E32" w:rsidRDefault="00A43E04">
      <w:pPr>
        <w:pStyle w:val="FootnoteText"/>
        <w:ind w:left="0" w:firstLine="0"/>
      </w:pPr>
      <w:r>
        <w:rPr>
          <w:rStyle w:val="FootnoteReference"/>
        </w:rPr>
        <w:footnoteRef/>
      </w:r>
      <w:r>
        <w:t xml:space="preserve"> 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90">
    <w:p w14:paraId="23675DED" w14:textId="224ED2CF" w:rsidR="00154E32" w:rsidRDefault="00A43E04">
      <w:pPr>
        <w:pStyle w:val="FootnoteText"/>
        <w:ind w:left="0" w:firstLine="0"/>
      </w:pPr>
      <w:r>
        <w:rPr>
          <w:rStyle w:val="FootnoteReference"/>
        </w:rPr>
        <w:footnoteRef/>
      </w:r>
      <w: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91">
    <w:p w14:paraId="75368B18" w14:textId="70C5FB0F"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92">
    <w:p w14:paraId="562E5DDD" w14:textId="7ECEF1D9" w:rsidR="00154E32" w:rsidRDefault="00A43E04">
      <w:pPr>
        <w:pStyle w:val="FootnoteText"/>
        <w:ind w:left="0" w:firstLine="0"/>
      </w:pPr>
      <w:r>
        <w:rPr>
          <w:rStyle w:val="FootnoteReference"/>
        </w:rPr>
        <w:footnoteRef/>
      </w:r>
      <w:r>
        <w:t xml:space="preserve"> 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93">
    <w:p w14:paraId="2664F237" w14:textId="57E9C96D" w:rsidR="00154E32" w:rsidRDefault="00A43E04">
      <w:pPr>
        <w:pStyle w:val="FootnoteText"/>
        <w:ind w:left="0" w:firstLine="0"/>
      </w:pPr>
      <w:r>
        <w:rPr>
          <w:rStyle w:val="FootnoteReference"/>
        </w:rPr>
        <w:footnoteRef/>
      </w:r>
      <w:r>
        <w:t xml:space="preserve"> 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94">
    <w:p w14:paraId="797EEACC" w14:textId="52646A2A" w:rsidR="00154E32" w:rsidRDefault="00A43E04">
      <w:pPr>
        <w:pStyle w:val="FootnoteText"/>
        <w:ind w:left="0" w:firstLine="0"/>
      </w:pPr>
      <w:r>
        <w:rPr>
          <w:rStyle w:val="FootnoteReference"/>
        </w:rPr>
        <w:footnoteRef/>
      </w:r>
      <w: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95">
    <w:p w14:paraId="38660FAB" w14:textId="2DDB7F02"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96">
    <w:p w14:paraId="584EBB3C" w14:textId="77777777" w:rsidR="00154E32" w:rsidRDefault="00A43E04">
      <w:pPr>
        <w:pStyle w:val="FootnoteText"/>
        <w:ind w:left="0" w:firstLine="0"/>
      </w:pPr>
      <w:r>
        <w:rPr>
          <w:rStyle w:val="FootnoteReference"/>
        </w:rPr>
        <w:footnoteRef/>
      </w:r>
      <w:r>
        <w:t xml:space="preserve"> 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97">
    <w:p w14:paraId="5F71D76B" w14:textId="77777777" w:rsidR="00154E32" w:rsidRDefault="00A43E04">
      <w:pPr>
        <w:pStyle w:val="FootnoteText"/>
        <w:ind w:left="0" w:firstLine="0"/>
      </w:pPr>
      <w:r>
        <w:rPr>
          <w:rStyle w:val="FootnoteReference"/>
        </w:rPr>
        <w:footnoteRef/>
      </w:r>
      <w:r>
        <w:t xml:space="preserve"> 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98">
    <w:p w14:paraId="2D620FEB" w14:textId="77777777" w:rsidR="00154E32" w:rsidRDefault="00A43E04">
      <w:pPr>
        <w:jc w:val="both"/>
      </w:pPr>
      <w:r>
        <w:rPr>
          <w:rStyle w:val="FootnoteReference"/>
          <w:sz w:val="20"/>
        </w:rPr>
        <w:footnoteRef/>
      </w:r>
      <w:r>
        <w:rPr>
          <w:sz w:val="20"/>
        </w:rP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99">
    <w:p w14:paraId="2609815D" w14:textId="77777777"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100">
    <w:p w14:paraId="55B4A234" w14:textId="77777777" w:rsidR="00154E32" w:rsidRDefault="00A43E04">
      <w:pPr>
        <w:pStyle w:val="FootnoteText"/>
        <w:ind w:left="0" w:firstLine="0"/>
      </w:pPr>
      <w:r>
        <w:rPr>
          <w:rStyle w:val="FootnoteReference"/>
        </w:rPr>
        <w:footnoteRef/>
      </w:r>
      <w:r>
        <w:t xml:space="preserve"> Delovni sklop je sestavni del razčlenitve dela projekta, kot so na primer: preizkus pred naložbami, znanja in spretnosti ter usposabljanje, vodenje projektov in usklajevanje. Predstavlja skupino projektnega dela, opisanega v aktivnostih in nalogah. Delovni sklopi vsebujejo jasno in logično povezavo s cilji projekta in drugimi delovnimi sklopi. Vsak delovni sklop je poddel projekta, tj. korak, ki vodi k doseganju splošnih ciljev projekta. </w:t>
      </w:r>
    </w:p>
  </w:footnote>
  <w:footnote w:id="101">
    <w:p w14:paraId="0DBF816E" w14:textId="77777777" w:rsidR="00154E32" w:rsidRDefault="00A43E04">
      <w:pPr>
        <w:pStyle w:val="FootnoteText"/>
        <w:ind w:left="0" w:firstLine="0"/>
      </w:pPr>
      <w:r>
        <w:rPr>
          <w:rStyle w:val="FootnoteReference"/>
        </w:rPr>
        <w:footnoteRef/>
      </w:r>
      <w:r>
        <w:t xml:space="preserve"> 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102">
    <w:p w14:paraId="06D518F4" w14:textId="77777777" w:rsidR="00154E32" w:rsidRDefault="00A43E04">
      <w:pPr>
        <w:pStyle w:val="FootnoteText"/>
        <w:ind w:left="0" w:firstLine="0"/>
      </w:pPr>
      <w:r>
        <w:rPr>
          <w:rStyle w:val="FootnoteReference"/>
        </w:rPr>
        <w:footnoteRef/>
      </w:r>
      <w:r>
        <w:t xml:space="preserve"> 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103">
    <w:p w14:paraId="382B00C3" w14:textId="77777777" w:rsidR="00154E32" w:rsidRDefault="00A43E04">
      <w:pPr>
        <w:jc w:val="both"/>
      </w:pPr>
      <w:r>
        <w:rPr>
          <w:rStyle w:val="FootnoteReference"/>
        </w:rPr>
        <w:footnoteRef/>
      </w:r>
      <w:r>
        <w:rPr>
          <w:sz w:val="20"/>
        </w:rPr>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104">
    <w:p w14:paraId="64C9148D" w14:textId="77777777"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105">
    <w:p w14:paraId="11264BA7" w14:textId="77777777" w:rsidR="00154E32" w:rsidRDefault="00A43E04">
      <w:pPr>
        <w:pStyle w:val="FootnoteText"/>
        <w:ind w:left="0" w:firstLine="0"/>
      </w:pPr>
      <w:r>
        <w:rPr>
          <w:rStyle w:val="FootnoteReference"/>
        </w:rPr>
        <w:footnoteRef/>
      </w:r>
      <w:r>
        <w:t xml:space="preserve"> 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106">
    <w:p w14:paraId="053104C3" w14:textId="77777777" w:rsidR="00154E32" w:rsidRDefault="00A43E04">
      <w:pPr>
        <w:pStyle w:val="FootnoteText"/>
        <w:ind w:left="0" w:firstLine="0"/>
      </w:pPr>
      <w:r>
        <w:rPr>
          <w:rStyle w:val="FootnoteReference"/>
        </w:rPr>
        <w:footnoteRef/>
      </w:r>
      <w:r>
        <w:t xml:space="preserve"> 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107">
    <w:p w14:paraId="44905E11" w14:textId="77777777" w:rsidR="00154E32" w:rsidRDefault="00A43E04">
      <w:pPr>
        <w:jc w:val="both"/>
      </w:pPr>
      <w:r>
        <w:rPr>
          <w:rStyle w:val="FootnoteReference"/>
          <w:sz w:val="20"/>
        </w:rPr>
        <w:footnoteRef/>
      </w:r>
      <w:r>
        <w:rPr>
          <w:sz w:val="20"/>
        </w:rP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108">
    <w:p w14:paraId="717598FA" w14:textId="77777777"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109">
    <w:p w14:paraId="477A90C0" w14:textId="77777777" w:rsidR="00154E32" w:rsidRDefault="00A43E04">
      <w:pPr>
        <w:pStyle w:val="FootnoteText"/>
        <w:ind w:left="0" w:firstLine="0"/>
      </w:pPr>
      <w:r>
        <w:rPr>
          <w:rStyle w:val="FootnoteReference"/>
          <w:rFonts w:eastAsiaTheme="majorEastAsia"/>
        </w:rPr>
        <w:footnoteRef/>
      </w:r>
      <w:r>
        <w:t xml:space="preserve"> Družba CDP tveganega kapitala SGR izvaja dejavnosti upravljanja v skladu z načeloma neodvisnosti in samostojnosti iz direktive o UAIS.</w:t>
      </w:r>
    </w:p>
  </w:footnote>
  <w:footnote w:id="110">
    <w:p w14:paraId="440FFF2D" w14:textId="77777777" w:rsidR="00154E32" w:rsidRDefault="00A43E04">
      <w:pPr>
        <w:pStyle w:val="FootnoteText"/>
        <w:ind w:left="0" w:firstLine="0"/>
      </w:pPr>
      <w:r>
        <w:rPr>
          <w:rStyle w:val="FootnoteReference"/>
          <w:rFonts w:eastAsiaTheme="majorEastAsia"/>
        </w:rPr>
        <w:footnoteRef/>
      </w:r>
      <w:r>
        <w:t xml:space="preserve"> Šteje se, da je končni upravičenec „bistveno osredotočen“ na sektor ali poslovno dejavnost, če je ta sektor ali dejavnost opredeljena kot bistveni del poslovne dejavnosti končnega upravičenca glede na bruto prihodek, dobiček ali bazo strank končnega upravičenca. Bruto prihodek, ustvarjen v omejenem sektorju ali dejavnosti, v nobenem primeru ne presega 50 % bruto prihodka.</w:t>
      </w:r>
    </w:p>
  </w:footnote>
  <w:footnote w:id="111">
    <w:p w14:paraId="34BD2AA1" w14:textId="77777777" w:rsidR="00154E32" w:rsidRDefault="00A43E04">
      <w:pPr>
        <w:jc w:val="both"/>
        <w:rPr>
          <w:sz w:val="20"/>
        </w:rPr>
      </w:pPr>
      <w:r>
        <w:rPr>
          <w:rStyle w:val="FootnoteReference"/>
          <w:rFonts w:eastAsiaTheme="majorEastAsia"/>
        </w:rPr>
        <w:footnoteRef/>
      </w:r>
      <w:r>
        <w:rPr>
          <w:sz w:val="20"/>
        </w:rPr>
        <w:t xml:space="preserve"> Razen za (a) sredstva in dejavnosti proizvodnje električne energije in/ali toplote ter z njimi povezano infrastrukturo za prenos in distribucijo, pri katerih se uporablja zemeljski plin, ki so skladni s pogoji iz Priloge III k tehničnim smernicam „Ne škoduje bistveno“ (2021/C58/01) ter (b) dejavnosti in sredstva iz točke (ii), za katere je uporaba fosilnih goriv začasna in tehnično neizogibna za pravočasen prehod na delovanje brez fosilnih goriv.</w:t>
      </w:r>
    </w:p>
  </w:footnote>
  <w:footnote w:id="112">
    <w:p w14:paraId="58192EB0" w14:textId="77777777" w:rsidR="00154E32" w:rsidRDefault="00A43E04">
      <w:pPr>
        <w:jc w:val="both"/>
        <w:rPr>
          <w:sz w:val="20"/>
        </w:rPr>
      </w:pPr>
      <w:r>
        <w:rPr>
          <w:rStyle w:val="FootnoteReference"/>
          <w:rFonts w:eastAsiaTheme="majorEastAsia"/>
        </w:rPr>
        <w:footnoteRef/>
      </w:r>
      <w:r>
        <w:rPr>
          <w:sz w:val="20"/>
        </w:rPr>
        <w:t xml:space="preserve"> Vključitev dejavnosti in sredstev v okviru sistema EU za trgovanje z emisijami (ETS), s katerimi se dosegajo predvidene emisije toplogrednih plinov, ki niso nižje od ustreznih referenčnih vrednosti. Če podprta dejavnost dosega predvidene emisije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113">
    <w:p w14:paraId="59210BB9" w14:textId="77777777" w:rsidR="00154E32" w:rsidRDefault="00A43E04">
      <w:pPr>
        <w:jc w:val="both"/>
        <w:rPr>
          <w:sz w:val="20"/>
        </w:rPr>
      </w:pPr>
      <w:r>
        <w:rPr>
          <w:rStyle w:val="FootnoteReference"/>
          <w:rFonts w:eastAsiaTheme="majorEastAsia"/>
        </w:rPr>
        <w:footnoteRef/>
      </w:r>
      <w:r>
        <w:rPr>
          <w:sz w:val="20"/>
        </w:rPr>
        <w:t xml:space="preserve"> Vozila, ki onesnažujejo okolje, so opredeljena kot brezemisijska vozila.</w:t>
      </w:r>
    </w:p>
  </w:footnote>
  <w:footnote w:id="114">
    <w:p w14:paraId="63CBA6B9" w14:textId="77777777" w:rsidR="00154E32" w:rsidRDefault="00A43E04">
      <w:pPr>
        <w:pStyle w:val="FootnoteText"/>
        <w:ind w:left="0" w:firstLine="0"/>
      </w:pPr>
      <w:r>
        <w:rPr>
          <w:rStyle w:val="FootnoteReference"/>
          <w:rFonts w:eastAsiaTheme="majorEastAsia"/>
        </w:rPr>
        <w:footnoteRef/>
      </w:r>
      <w:r>
        <w:t xml:space="preserve"> Ta izključitev se ne uporablja za ukrepe v obratih, ki so namenjeni izključno obdelavi nevarnih odpadkov, ki jih ni mogoče reciklirati, in za obstoječe obrate, kadar so ukrepi v okviru tega ukrepa namenjeni povečanju energetske učinkovitosti, zajemanju izpušnih plinov za shranjevanje ali uporabo ali pridobivanju materialov iz pepela za sežiganje, če taki ukrepi v okviru tega ukrepa ne povzročijo povečanja zmogljivosti obratov za predelavo odpadkov ali podaljšanja življenjske dobe naprav; za katere se predložijo dokazi na ravni obrata.</w:t>
      </w:r>
    </w:p>
  </w:footnote>
  <w:footnote w:id="115">
    <w:p w14:paraId="0FA1BE76" w14:textId="77777777" w:rsidR="00154E32" w:rsidRDefault="00A43E04">
      <w:pPr>
        <w:pStyle w:val="FootnoteText"/>
        <w:ind w:left="0" w:firstLine="0"/>
      </w:pPr>
      <w:r>
        <w:rPr>
          <w:rStyle w:val="FootnoteReference"/>
        </w:rPr>
        <w:footnoteRef/>
      </w:r>
      <w:r>
        <w:t xml:space="preserve"> 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116">
    <w:p w14:paraId="4B14711C" w14:textId="77777777" w:rsidR="00154E32" w:rsidRDefault="00A43E04">
      <w:pPr>
        <w:pStyle w:val="FootnoteText"/>
        <w:ind w:left="0" w:firstLine="0"/>
      </w:pPr>
      <w:r>
        <w:rPr>
          <w:rStyle w:val="FootnoteReference"/>
        </w:rPr>
        <w:footnoteRef/>
      </w:r>
      <w:r>
        <w:t xml:space="preserve"> 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117">
    <w:p w14:paraId="6A441A82" w14:textId="77777777" w:rsidR="00154E32" w:rsidRDefault="00A43E04">
      <w:pPr>
        <w:jc w:val="both"/>
      </w:pPr>
      <w:r>
        <w:rPr>
          <w:rStyle w:val="FootnoteReference"/>
          <w:sz w:val="20"/>
        </w:rPr>
        <w:footnoteRef/>
      </w:r>
      <w:r>
        <w:rPr>
          <w:sz w:val="20"/>
        </w:rP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118">
    <w:p w14:paraId="51B9D72D" w14:textId="77777777"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119">
    <w:p w14:paraId="6180AD0A" w14:textId="2E3A02AA" w:rsidR="00154E32" w:rsidRDefault="00A43E04">
      <w:pPr>
        <w:pStyle w:val="FootnoteText"/>
        <w:ind w:left="0" w:firstLine="0"/>
      </w:pPr>
      <w:r>
        <w:rPr>
          <w:rStyle w:val="FootnoteReference"/>
        </w:rPr>
        <w:footnoteRef/>
      </w:r>
      <w:r>
        <w:t xml:space="preserve"> Razen projektov v okviru tega ukrepa na področju proizvodnje električne energije in/ali toplote ter povezane infrastrukture za prenos in distribucijo z uporabo zemeljskega plina, ki so skladni s pogoji iz Priloge III k tehničnim smernicam za uporabo načela, da se ne škoduje bistveno (2021/C58/01).</w:t>
      </w:r>
    </w:p>
  </w:footnote>
  <w:footnote w:id="120">
    <w:p w14:paraId="207B54B7" w14:textId="4B664A37" w:rsidR="00154E32" w:rsidRDefault="00A43E04">
      <w:pPr>
        <w:pStyle w:val="FootnoteText"/>
        <w:ind w:left="0" w:firstLine="0"/>
      </w:pPr>
      <w:r>
        <w:rPr>
          <w:rStyle w:val="FootnoteReference"/>
        </w:rPr>
        <w:footnoteRef/>
      </w:r>
      <w:r>
        <w:t xml:space="preserve"> Kadar se s podprto dejavnostjo dosežejo projekcije emisij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121">
    <w:p w14:paraId="366DC287" w14:textId="0284EFB4" w:rsidR="00154E32" w:rsidRDefault="00A43E04">
      <w:pPr>
        <w:jc w:val="both"/>
      </w:pPr>
      <w:r>
        <w:rPr>
          <w:rStyle w:val="FootnoteReference"/>
          <w:sz w:val="20"/>
        </w:rPr>
        <w:footnoteRef/>
      </w:r>
      <w:r>
        <w:rPr>
          <w:sz w:val="20"/>
        </w:rP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w:t>
      </w:r>
    </w:p>
  </w:footnote>
  <w:footnote w:id="122">
    <w:p w14:paraId="2BCC8AEA" w14:textId="40EC8BDB" w:rsidR="00154E32" w:rsidRDefault="00A43E04">
      <w:pPr>
        <w:pStyle w:val="FootnoteText"/>
        <w:ind w:left="0" w:firstLine="0"/>
      </w:pPr>
      <w:r>
        <w:rPr>
          <w:rStyle w:val="FootnoteReference"/>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w:t>
      </w:r>
    </w:p>
  </w:footnote>
  <w:footnote w:id="123">
    <w:p w14:paraId="2D17AD87" w14:textId="3C0D6B93" w:rsidR="00154E32" w:rsidRDefault="00A43E04">
      <w:pPr>
        <w:pStyle w:val="FootnoteText"/>
        <w:ind w:left="0" w:firstLine="0"/>
      </w:pPr>
      <w:r>
        <w:rPr>
          <w:rStyle w:val="FootnoteReference"/>
        </w:rPr>
        <w:footnoteRef/>
      </w:r>
      <w:r>
        <w:t xml:space="preserve"> Razen za (a) sredstva in dejavnosti proizvodnje električne energije in/ali toplote ter z njimi povezano infrastrukturo za prenos in distribucijo, pri katerih se uporablja zemeljski plin, ki so skladni s pogoji iz Priloge III k tehničnim smernicam „Ne škoduje bistveno“ (2021/C58/01) ter (b) dejavnosti in sredstva iz točke (ii), za katere je uporaba fosilnih goriv začasna in tehnično neizogibna za pravočasen prehod na delovanje brez fosilnih goriv.</w:t>
      </w:r>
    </w:p>
  </w:footnote>
  <w:footnote w:id="124">
    <w:p w14:paraId="0068E57F" w14:textId="6D07DAC2" w:rsidR="00154E32" w:rsidRDefault="00A43E04">
      <w:pPr>
        <w:pStyle w:val="FootnoteText"/>
        <w:ind w:left="0" w:firstLine="0"/>
        <w:rPr>
          <w:rFonts w:eastAsia="EC Square Sans Pro"/>
        </w:rPr>
      </w:pPr>
      <w:r>
        <w:rPr>
          <w:rStyle w:val="FootnoteReference"/>
          <w:rFonts w:eastAsiaTheme="majorEastAsia"/>
        </w:rPr>
        <w:footnoteRef/>
      </w:r>
      <w:r>
        <w:t xml:space="preserve"> </w:t>
      </w:r>
      <w:r>
        <w:rPr>
          <w:rFonts w:eastAsia="EC Square Sans Pro"/>
        </w:rPr>
        <w:t>Če podprta dejavnost dosega predvidene emisije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125">
    <w:p w14:paraId="5338D742" w14:textId="097441E0" w:rsidR="00154E32" w:rsidRDefault="00A43E04">
      <w:pPr>
        <w:pStyle w:val="FootnoteText"/>
        <w:ind w:left="0" w:firstLine="0"/>
      </w:pPr>
      <w:r>
        <w:rPr>
          <w:rStyle w:val="FootnoteReference"/>
          <w:rFonts w:eastAsiaTheme="majorEastAsia"/>
        </w:rPr>
        <w:footnoteRef/>
      </w:r>
      <w: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 </w:t>
      </w:r>
    </w:p>
  </w:footnote>
  <w:footnote w:id="126">
    <w:p w14:paraId="46A6D991" w14:textId="31491D89" w:rsidR="00154E32" w:rsidRDefault="00A43E04">
      <w:pPr>
        <w:pStyle w:val="FootnoteText"/>
        <w:ind w:left="0" w:firstLine="0"/>
      </w:pPr>
      <w:r>
        <w:rPr>
          <w:rStyle w:val="FootnoteReference"/>
          <w:rFonts w:eastAsiaTheme="majorEastAsia"/>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 </w:t>
      </w:r>
    </w:p>
  </w:footnote>
  <w:footnote w:id="127">
    <w:p w14:paraId="14D46767" w14:textId="0E870700" w:rsidR="00154E32" w:rsidRDefault="00A43E04">
      <w:pPr>
        <w:pStyle w:val="FootnoteText"/>
        <w:ind w:left="0" w:firstLine="0"/>
      </w:pPr>
      <w:r>
        <w:rPr>
          <w:rStyle w:val="FootnoteReference"/>
        </w:rPr>
        <w:footnoteRef/>
      </w:r>
      <w:r>
        <w:t xml:space="preserve"> Razen za (a) sredstva in dejavnosti proizvodnje električne energije in/ali toplote ter z njimi povezano infrastrukturo za prenos in distribucijo, pri katerih se uporablja zemeljski plin, ki so skladni s pogoji iz Priloge III k tehničnim smernicam „Ne škoduje bistveno“ (2021/C58/01) ter (b) dejavnosti in sredstva iz točke (ii), za katere je uporaba fosilnih goriv začasna in tehnično neizogibna za pravočasen prehod na delovanje brez fosilnih goriv.</w:t>
      </w:r>
    </w:p>
  </w:footnote>
  <w:footnote w:id="128">
    <w:p w14:paraId="338F96A9" w14:textId="55ED66FE" w:rsidR="00154E32" w:rsidRDefault="00A43E04">
      <w:pPr>
        <w:pStyle w:val="FootnoteText"/>
        <w:ind w:left="0" w:firstLine="0"/>
        <w:rPr>
          <w:rFonts w:eastAsia="EC Square Sans Pro"/>
        </w:rPr>
      </w:pPr>
      <w:r>
        <w:rPr>
          <w:rStyle w:val="FootnoteReference"/>
          <w:rFonts w:eastAsiaTheme="majorEastAsia"/>
        </w:rPr>
        <w:footnoteRef/>
      </w:r>
      <w:r>
        <w:t xml:space="preserve"> </w:t>
      </w:r>
      <w:r>
        <w:rPr>
          <w:rFonts w:eastAsia="EC Square Sans Pro"/>
        </w:rPr>
        <w:t xml:space="preserve">Če podprta dejavnost dosega predvidene emisije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 </w:t>
      </w:r>
    </w:p>
  </w:footnote>
  <w:footnote w:id="129">
    <w:p w14:paraId="2693ACBC" w14:textId="4742F168" w:rsidR="00154E32" w:rsidRDefault="00A43E04">
      <w:pPr>
        <w:pStyle w:val="FootnoteText"/>
        <w:ind w:left="0" w:firstLine="0"/>
      </w:pPr>
      <w:r>
        <w:rPr>
          <w:rStyle w:val="FootnoteReference"/>
          <w:rFonts w:eastAsiaTheme="majorEastAsia"/>
        </w:rPr>
        <w:footnoteRef/>
      </w:r>
      <w: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 </w:t>
      </w:r>
    </w:p>
  </w:footnote>
  <w:footnote w:id="130">
    <w:p w14:paraId="0A566BE3" w14:textId="1C526118" w:rsidR="00154E32" w:rsidRDefault="00A43E04">
      <w:pPr>
        <w:pStyle w:val="FootnoteText"/>
        <w:ind w:left="0" w:firstLine="0"/>
      </w:pPr>
      <w:r>
        <w:rPr>
          <w:rStyle w:val="FootnoteReference"/>
          <w:rFonts w:eastAsiaTheme="majorEastAsia"/>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 </w:t>
      </w:r>
    </w:p>
  </w:footnote>
  <w:footnote w:id="131">
    <w:p w14:paraId="08A1CEAA" w14:textId="249D5FB4" w:rsidR="00154E32" w:rsidRDefault="00A43E04">
      <w:pPr>
        <w:rPr>
          <w:sz w:val="20"/>
        </w:rPr>
      </w:pPr>
      <w:r>
        <w:rPr>
          <w:sz w:val="16"/>
        </w:rPr>
        <w:footnoteRef/>
      </w:r>
      <w:r>
        <w:rPr>
          <w:sz w:val="20"/>
        </w:rPr>
        <w:t>Razen za (a) sredstva in dejavnosti proizvodnje električne energije in/ali toplote ter z njimi povezano infrastrukturo za prenos in distribucijo, pri katerih se uporablja zemeljski plin, ki so skladni s pogoji iz Priloge III k tehničnim smernicam „Ne škoduje bistveno“ (2021/C58/01) ter (b) dejavnosti in sredstva iz točke (ii), za katere je uporaba fosilnih goriv začasna in tehnično neizogibna za pravočasen prehod na delovanje brez fosilnih goriv.</w:t>
      </w:r>
    </w:p>
  </w:footnote>
  <w:footnote w:id="132">
    <w:p w14:paraId="6859C86A" w14:textId="759E3140" w:rsidR="00154E32" w:rsidRDefault="00A43E04">
      <w:pPr>
        <w:pStyle w:val="P68B1DB1-Normal26"/>
      </w:pPr>
      <w:r>
        <w:footnoteRef/>
      </w:r>
      <w:r>
        <w:t>Če podprta dejavnost dosega predvidene emisije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133">
    <w:p w14:paraId="42B38BE1" w14:textId="2FBACAE8" w:rsidR="00154E32" w:rsidRDefault="00A43E04">
      <w:pPr>
        <w:pStyle w:val="P68B1DB1-Normal26"/>
        <w:rPr>
          <w:sz w:val="18"/>
        </w:rPr>
      </w:pPr>
      <w:r>
        <w:footnoteRef/>
      </w:r>
      <w:r>
        <w:t>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 </w:t>
      </w:r>
    </w:p>
  </w:footnote>
  <w:footnote w:id="134">
    <w:p w14:paraId="79D74C48" w14:textId="595B74C3" w:rsidR="00154E32" w:rsidRDefault="00A43E04">
      <w:pPr>
        <w:pStyle w:val="P68B1DB1-Normal26"/>
        <w:rPr>
          <w:sz w:val="18"/>
        </w:rPr>
      </w:pPr>
      <w:r>
        <w:footnoteRef/>
      </w:r>
      <w:r>
        <w:t>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 </w:t>
      </w:r>
    </w:p>
  </w:footnote>
  <w:footnote w:id="135">
    <w:p w14:paraId="3B47DFDB" w14:textId="20B075FF" w:rsidR="00154E32" w:rsidRDefault="00A43E04">
      <w:pPr>
        <w:pStyle w:val="P68B1DB1-Normal26"/>
        <w:rPr>
          <w:sz w:val="18"/>
        </w:rPr>
      </w:pPr>
      <w:r>
        <w:footnoteRef/>
      </w:r>
      <w:r>
        <w:t>Končni upravičenci morajo za namene izračuna podnebnega prispevka predložiti utemeljitev izbranega področja intervencije za vsak projekt, ki prejema podporo, skupaj z opisom projekta. Izvajalski partner mora državi članici predložiti tudi polletno poročilo o izvajanju vsakega projekta/dejavnosti.</w:t>
      </w:r>
    </w:p>
  </w:footnote>
  <w:footnote w:id="136">
    <w:p w14:paraId="0886CABC" w14:textId="77777777" w:rsidR="00154E32" w:rsidRDefault="00A43E04">
      <w:pPr>
        <w:pStyle w:val="FootnoteText"/>
        <w:rPr>
          <w:rFonts w:eastAsiaTheme="majorEastAsia"/>
        </w:rPr>
      </w:pPr>
      <w:r>
        <w:rPr>
          <w:rStyle w:val="FootnoteReference"/>
        </w:rPr>
        <w:footnoteRef/>
      </w:r>
      <w:r>
        <w:rPr>
          <w:rStyle w:val="normaltextrun"/>
        </w:rPr>
        <w:t>Shema se zlasti sklicuje na prilogi A in B k zakonu z dne 11. decembra 2016, št. 232.</w:t>
      </w:r>
    </w:p>
  </w:footnote>
  <w:footnote w:id="137">
    <w:p w14:paraId="361C3855" w14:textId="77777777" w:rsidR="00154E32" w:rsidRDefault="00A43E04">
      <w:pPr>
        <w:pStyle w:val="FootnoteText"/>
        <w:ind w:left="0" w:firstLine="0"/>
      </w:pPr>
      <w:r>
        <w:rPr>
          <w:rStyle w:val="FootnoteReference"/>
        </w:rPr>
        <w:footnoteRef/>
      </w:r>
      <w:r>
        <w:t xml:space="preserve"> Za novoustanovljena podjetja bi bilo treba prihranke energije meriti glede na povprečno letno porabo podjetja s podobnimi značilnostmi (velikostjo), ki deluje v istem sektorju (kodaATECO).</w:t>
      </w:r>
    </w:p>
  </w:footnote>
  <w:footnote w:id="138">
    <w:p w14:paraId="0D2794C5" w14:textId="6EF09E98" w:rsidR="00154E32" w:rsidRDefault="00154E32">
      <w:pPr>
        <w:pStyle w:val="FootnoteText"/>
      </w:pPr>
    </w:p>
  </w:footnote>
  <w:footnote w:id="139">
    <w:p w14:paraId="1410E959" w14:textId="77777777" w:rsidR="00154E32" w:rsidRDefault="00A43E04">
      <w:pPr>
        <w:pStyle w:val="FootnoteText"/>
        <w:ind w:left="0" w:firstLine="0"/>
      </w:pPr>
      <w:r>
        <w:rPr>
          <w:rStyle w:val="FootnoteReference"/>
          <w:rFonts w:eastAsiaTheme="majorEastAsia"/>
        </w:rPr>
        <w:footnoteRef/>
      </w:r>
      <w:r>
        <w:t xml:space="preserve"> Šteje se, da je končni upravičenec „bistveno osredotočen“ na sektor ali poslovno dejavnost, če je ta sektor ali dejavnost opredeljena kot bistveni del poslovne dejavnosti končnega upravičenca glede na bruto prihodek, dobiček ali bazo strank končnega upravičenca. Bruto prihodek, ustvarjen v omejenem sektorju ali dejavnosti, v nobenem primeru ne presega 50 % bruto prihodka.</w:t>
      </w:r>
    </w:p>
  </w:footnote>
  <w:footnote w:id="140">
    <w:p w14:paraId="67D4BDDE" w14:textId="77777777" w:rsidR="00154E32" w:rsidRDefault="00A43E04">
      <w:pPr>
        <w:jc w:val="both"/>
        <w:rPr>
          <w:sz w:val="20"/>
        </w:rPr>
      </w:pPr>
      <w:r>
        <w:rPr>
          <w:rStyle w:val="FootnoteReference"/>
          <w:rFonts w:eastAsiaTheme="majorEastAsia"/>
          <w:sz w:val="20"/>
        </w:rPr>
        <w:footnoteRef/>
      </w:r>
      <w:r>
        <w:rPr>
          <w:sz w:val="20"/>
        </w:rPr>
        <w:t xml:space="preserve"> Razen za (a) sredstva in dejavnosti proizvodnje električne energije in/ali toplote ter z njimi povezano infrastrukturo za prenos in distribucijo, pri katerih se uporablja zemeljski plin, ki so skladni s pogoji iz Priloge III k tehničnim smernicam „Ne škoduje bistveno“ (2021/C58/01) ter (b) dejavnosti in sredstva iz točke (ii), za katere je uporaba fosilnih goriv začasna in tehnično neizogibna za pravočasen prehod na delovanje brez fosilnih goriv.</w:t>
      </w:r>
    </w:p>
  </w:footnote>
  <w:footnote w:id="141">
    <w:p w14:paraId="6784D2E0" w14:textId="77777777" w:rsidR="00154E32" w:rsidRDefault="00A43E04">
      <w:pPr>
        <w:jc w:val="both"/>
        <w:rPr>
          <w:sz w:val="20"/>
        </w:rPr>
      </w:pPr>
      <w:r>
        <w:rPr>
          <w:rStyle w:val="FootnoteReference"/>
          <w:rFonts w:eastAsiaTheme="majorEastAsia"/>
          <w:sz w:val="20"/>
        </w:rPr>
        <w:footnoteRef/>
      </w:r>
      <w:r>
        <w:rPr>
          <w:sz w:val="20"/>
        </w:rPr>
        <w:t xml:space="preserve"> Vključitev dejavnosti in sredstev v okviru sistema EU za trgovanje z emisijami (ETS), s katerimi se dosegajo predvidene emisije toplogrednih plinov, ki niso nižje od ustreznih referenčnih vrednosti. Če podprta dejavnost dosega predvidene emisije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w:t>
      </w:r>
    </w:p>
  </w:footnote>
  <w:footnote w:id="142">
    <w:p w14:paraId="6D9AC46C" w14:textId="77777777" w:rsidR="00154E32" w:rsidRDefault="00A43E04">
      <w:pPr>
        <w:jc w:val="both"/>
        <w:rPr>
          <w:sz w:val="20"/>
        </w:rPr>
      </w:pPr>
      <w:r>
        <w:rPr>
          <w:rStyle w:val="FootnoteReference"/>
          <w:rFonts w:eastAsiaTheme="majorEastAsia"/>
          <w:sz w:val="20"/>
        </w:rPr>
        <w:footnoteRef/>
      </w:r>
      <w:r>
        <w:rPr>
          <w:sz w:val="20"/>
        </w:rPr>
        <w:t xml:space="preserve"> Vozila, ki onesnažujejo okolje, so opredeljena kot brezemisijska vozila.</w:t>
      </w:r>
    </w:p>
  </w:footnote>
  <w:footnote w:id="143">
    <w:p w14:paraId="656E5666" w14:textId="77777777" w:rsidR="00154E32" w:rsidRDefault="00A43E04">
      <w:pPr>
        <w:pStyle w:val="FootnoteText"/>
        <w:ind w:left="0" w:firstLine="0"/>
      </w:pPr>
      <w:r>
        <w:rPr>
          <w:rStyle w:val="FootnoteReference"/>
          <w:rFonts w:eastAsiaTheme="majorEastAsia"/>
        </w:rPr>
        <w:footnoteRef/>
      </w:r>
      <w:r>
        <w:t xml:space="preserve"> Ta izključitev se ne uporablja za ukrepe v obratih, ki so namenjeni izključno obdelavi nevarnih odpadkov, ki jih ni mogoče reciklirati, in za obstoječe obrate, kadar so ukrepi v okviru tega ukrepa namenjeni povečanju energetske učinkovitosti, zajemanju izpušnih plinov za shranjevanje ali uporabo ali pridobivanju materialov iz pepela za sežiganje, če taki ukrepi v okviru tega ukrepa ne povzročijo povečanja zmogljivosti obratov za predelavo odpadkov ali podaljšanja življenjske dobe naprav; za katere se predložijo dokazi na ravni obrata.</w:t>
      </w:r>
    </w:p>
  </w:footnote>
  <w:footnote w:id="144">
    <w:p w14:paraId="396057D7" w14:textId="713536C4" w:rsidR="00154E32" w:rsidRDefault="00A43E04">
      <w:pPr>
        <w:pStyle w:val="FootnoteText"/>
        <w:ind w:left="0" w:firstLine="0"/>
      </w:pPr>
      <w:r>
        <w:rPr>
          <w:rStyle w:val="FootnoteReference"/>
        </w:rPr>
        <w:footnoteRef/>
      </w:r>
      <w:r>
        <w:t xml:space="preserve"> Končni upravičenci, povezani s posebnimi projekti, morajo predložiti utemeljitev izbranega področja intervencije za vsak projekt, ki prejema podporo, skupaj z opisom projekta, za namen izračuna podnebnega prispevka. </w:t>
      </w:r>
    </w:p>
    <w:p w14:paraId="6AAC9E5D" w14:textId="4016A382" w:rsidR="00154E32" w:rsidRDefault="00154E32">
      <w:pPr>
        <w:pStyle w:val="FootnoteText"/>
      </w:pPr>
    </w:p>
  </w:footnote>
  <w:footnote w:id="145">
    <w:p w14:paraId="6D834354" w14:textId="77777777" w:rsidR="00154E32" w:rsidRDefault="00A43E04">
      <w:pPr>
        <w:pStyle w:val="FootnoteText"/>
        <w:ind w:left="0" w:firstLine="0"/>
      </w:pPr>
      <w:r>
        <w:rPr>
          <w:rStyle w:val="FootnoteReference"/>
        </w:rPr>
        <w:footnoteRef/>
      </w:r>
      <w:r>
        <w:t xml:space="preserve"> Končni upravičenci, povezani s posebnimi projekti, morajo predložiti utemeljitev izbranega področja intervencije za vsak projekt, ki prejema podporo, skupaj z opisom projekta, za namen izračuna podnebnega prispevka.</w:t>
      </w:r>
    </w:p>
  </w:footnote>
  <w:footnote w:id="146">
    <w:p w14:paraId="205B2B37" w14:textId="77777777" w:rsidR="00154E32" w:rsidRDefault="00A43E04">
      <w:pPr>
        <w:pStyle w:val="FootnoteText"/>
        <w:ind w:left="0" w:firstLine="0"/>
      </w:pPr>
      <w:r>
        <w:rPr>
          <w:rStyle w:val="FootnoteReference"/>
        </w:rPr>
        <w:footnoteRef/>
      </w:r>
      <w:r>
        <w:t xml:space="preserve"> Razen za (a) sredstva in dejavnosti proizvodnje električne energije in/ali toplote ter z njimi povezano infrastrukturo za prenos in distribucijo, pri katerih se uporablja zemeljski plin, ki so skladni s pogoji iz Priloge III k tehničnim smernicam „Ne škoduje bistveno“ (2021/C58/01) ter (b) dejavnosti in sredstva iz točke (ii), za katere je uporaba fosilnih goriv začasna in tehnično neizogibna za pravočasen prehod na delovanje brez fosilnih goriv.</w:t>
      </w:r>
    </w:p>
  </w:footnote>
  <w:footnote w:id="147">
    <w:p w14:paraId="6495AFA0" w14:textId="77777777" w:rsidR="00154E32" w:rsidRDefault="00A43E04">
      <w:pPr>
        <w:pStyle w:val="FootnoteText"/>
        <w:ind w:left="0" w:firstLine="0"/>
        <w:rPr>
          <w:rFonts w:eastAsia="EC Square Sans Pro"/>
        </w:rPr>
      </w:pPr>
      <w:r>
        <w:rPr>
          <w:rStyle w:val="FootnoteReference"/>
          <w:rFonts w:eastAsiaTheme="majorEastAsia"/>
        </w:rPr>
        <w:footnoteRef/>
      </w:r>
      <w:r>
        <w:t xml:space="preserve"> </w:t>
      </w:r>
      <w:r>
        <w:rPr>
          <w:rFonts w:eastAsia="EC Square Sans Pro"/>
        </w:rPr>
        <w:t xml:space="preserve">Če podprta dejavnost dosega predvidene emisije toplogrednih plinov, ki niso bistveno nižje od ustreznih referenčnih vrednosti, se pojasnijo razlogi, zakaj to ni mogoče. Referenčne vrednosti, določene za brezplačno dodelitev za dejavnosti, ki spadajo v področje uporabe sistema za trgovanje z emisijami, kot je določeno v Izvedbeni uredbi Komisije (EU) 2021/447. </w:t>
      </w:r>
    </w:p>
  </w:footnote>
  <w:footnote w:id="148">
    <w:p w14:paraId="5D7F7460" w14:textId="77777777" w:rsidR="00154E32" w:rsidRDefault="00A43E04">
      <w:pPr>
        <w:pStyle w:val="FootnoteText"/>
        <w:ind w:left="0" w:firstLine="0"/>
      </w:pPr>
      <w:r>
        <w:rPr>
          <w:rStyle w:val="FootnoteReference"/>
          <w:rFonts w:eastAsiaTheme="majorEastAsia"/>
        </w:rPr>
        <w:footnoteRef/>
      </w:r>
      <w:r>
        <w:t xml:space="preserve"> Ta izključitev se ne uporablja za ukrepe v okviru tega ukrepa v obratih, namenjenih izključno za obdelavo nevarnih odpadkov, ki jih ni mogoče reciklirati, in za obstoječe obrate, kadar so ukrepi v okviru tega ukrepa namenjeni povečanju energijske učinkovitosti, zajemanju izpušnih plinov za skladiščenje ali uporabo ali predelavi materialov iz pepela, ki ga ni mogoče reciklirati, če takšni ukrepi v okviru tega ukrepa ne povzročijo povečanja zmogljivosti obrata za predelavo odpadkov ali podaljšanja življenjske dobe naprav; za katere se predložijo dokazi na ravni obrata. </w:t>
      </w:r>
    </w:p>
  </w:footnote>
  <w:footnote w:id="149">
    <w:p w14:paraId="7DA06C40" w14:textId="77777777" w:rsidR="00154E32" w:rsidRDefault="00A43E04">
      <w:pPr>
        <w:pStyle w:val="FootnoteText"/>
        <w:ind w:left="0" w:firstLine="0"/>
      </w:pPr>
      <w:r>
        <w:rPr>
          <w:rStyle w:val="FootnoteReference"/>
          <w:rFonts w:eastAsiaTheme="majorEastAsia"/>
        </w:rPr>
        <w:footnoteRef/>
      </w:r>
      <w:r>
        <w:t xml:space="preserve"> Ta izključitev se ne uporablja za dejavnosti v okviru tega ukrepa v obstoječih obratih za mehansko-biološko obdelavo, kadar so ukrepi v okviru tega ukrepa namenjeni povečanju energetske učinkovitosti ali naknadnemu opremljanju postopkov recikliranja ločenih odpadkov za kompostiranje bioloških odpadkov in anaerobno razgradnjo bioloških odpadkov, če taki ukrepi v okviru tega ukrepa ne povzročijo povečanja zmogljivosti obrata za predelavo odpadkov ali podaljšanja življenjske dobe obratov; za katere se predložijo dokazi na ravni obrata. </w:t>
      </w:r>
    </w:p>
  </w:footnote>
  <w:footnote w:id="150">
    <w:p w14:paraId="692F8C8E" w14:textId="54D946CC" w:rsidR="00154E32" w:rsidRDefault="00A43E04">
      <w:pPr>
        <w:pStyle w:val="FootnoteText"/>
        <w:ind w:left="0" w:firstLine="0"/>
      </w:pPr>
      <w:r>
        <w:rPr>
          <w:rStyle w:val="FootnoteReference"/>
        </w:rPr>
        <w:footnoteRef/>
      </w:r>
      <w:r>
        <w:t xml:space="preserve"> Končni upravičenci, povezani s posebnimi projekti, morajo predložiti utemeljitev izbranega področja intervencije za vsak projekt, ki prejema podporo, skupaj z opisom projekta, za namen izračuna podnebnega prispevka. </w:t>
      </w:r>
    </w:p>
    <w:p w14:paraId="60301540" w14:textId="77777777" w:rsidR="00154E32" w:rsidRDefault="00154E3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6A12B" w14:textId="77777777" w:rsidR="00DE606B" w:rsidRPr="00DE606B" w:rsidRDefault="00DE606B" w:rsidP="00DE606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60E85" w14:textId="77777777" w:rsidR="00154E32" w:rsidRDefault="00154E32">
    <w:pPr>
      <w:pStyle w:val="Header"/>
    </w:pP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5AFD8" w14:textId="77777777" w:rsidR="00154E32" w:rsidRDefault="00154E32">
    <w:pPr>
      <w:pStyle w:val="Header"/>
    </w:pP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C4730" w14:textId="77777777" w:rsidR="00154E32" w:rsidRDefault="00154E32">
    <w:pPr>
      <w:pStyle w:val="Header"/>
      <w:rPr>
        <w:rFonts w:eastAsia="Calibri"/>
      </w:rPr>
    </w:pP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DE177" w14:textId="77777777" w:rsidR="00154E32" w:rsidRDefault="00154E32">
    <w:pPr>
      <w:pStyle w:val="Header"/>
    </w:pP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D7D73" w14:textId="77777777" w:rsidR="00154E32" w:rsidRDefault="00154E32">
    <w:pPr>
      <w:pStyle w:val="Header"/>
    </w:pP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C1B92" w14:textId="77777777" w:rsidR="00154E32" w:rsidRDefault="00154E32">
    <w:pPr>
      <w:pStyle w:val="Header"/>
      <w:rPr>
        <w:rFonts w:eastAsia="Calibri"/>
      </w:rPr>
    </w:pP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C44CD" w14:textId="77777777" w:rsidR="00154E32" w:rsidRDefault="00154E32">
    <w:pPr>
      <w:pStyle w:val="Header"/>
    </w:pP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81A1F" w14:textId="77777777" w:rsidR="00154E32" w:rsidRDefault="00154E32">
    <w:pPr>
      <w:pStyle w:val="Header"/>
    </w:pP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1B972" w14:textId="77777777" w:rsidR="00154E32" w:rsidRDefault="00154E32">
    <w:pPr>
      <w:pStyle w:val="Header"/>
      <w:rPr>
        <w:rFonts w:eastAsia="Calibri"/>
      </w:rPr>
    </w:pP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CB9F1" w14:textId="77777777" w:rsidR="00154E32" w:rsidRDefault="00154E32">
    <w:pPr>
      <w:pStyle w:val="Header"/>
    </w:pP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186E" w14:textId="77777777" w:rsidR="00154E32" w:rsidRDefault="00154E3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2C0EB" w14:textId="77777777" w:rsidR="00154E32" w:rsidRDefault="00154E32">
    <w:pPr>
      <w:pStyle w:val="Header"/>
      <w:rPr>
        <w:sz w:val="10"/>
      </w:rPr>
    </w:pP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B7270" w14:textId="77777777" w:rsidR="00154E32" w:rsidRDefault="00154E32">
    <w:pPr>
      <w:pStyle w:val="Header"/>
      <w:rPr>
        <w:rFonts w:eastAsia="Calibri"/>
      </w:rPr>
    </w:pP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0A35E" w14:textId="77777777" w:rsidR="00154E32" w:rsidRDefault="00154E32">
    <w:pPr>
      <w:pStyle w:val="Header"/>
    </w:pP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1E608" w14:textId="77777777" w:rsidR="00154E32" w:rsidRDefault="00154E32">
    <w:pPr>
      <w:pStyle w:val="Header"/>
    </w:pP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F75BD" w14:textId="77777777" w:rsidR="00154E32" w:rsidRDefault="00154E32">
    <w:pPr>
      <w:pStyle w:val="Header"/>
      <w:rPr>
        <w:rFonts w:eastAsia="Calibri"/>
      </w:rPr>
    </w:pP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73A31" w14:textId="77777777" w:rsidR="00154E32" w:rsidRDefault="00154E32">
    <w:pPr>
      <w:pStyle w:val="Header"/>
    </w:pP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5EDC9" w14:textId="77777777" w:rsidR="00154E32" w:rsidRDefault="00154E32">
    <w:pPr>
      <w:pStyle w:val="Header"/>
    </w:pP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05E3A" w14:textId="77777777" w:rsidR="00154E32" w:rsidRDefault="00154E32">
    <w:pPr>
      <w:pStyle w:val="Header"/>
      <w:rPr>
        <w:rFonts w:eastAsia="Calibri"/>
      </w:rPr>
    </w:pP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A9526" w14:textId="77777777" w:rsidR="00154E32" w:rsidRDefault="00154E32">
    <w:pPr>
      <w:pStyle w:val="Header"/>
    </w:pP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11F3B" w14:textId="77777777" w:rsidR="00154E32" w:rsidRDefault="00154E32">
    <w:pPr>
      <w:pStyle w:val="Header"/>
    </w:pP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E3246" w14:textId="77777777" w:rsidR="00154E32" w:rsidRDefault="00154E32">
    <w:pPr>
      <w:pStyle w:val="Header"/>
      <w:rPr>
        <w:rFonts w:eastAsia="Calibri"/>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590A0" w14:textId="77777777" w:rsidR="00154E32" w:rsidRDefault="00154E32">
    <w:pPr>
      <w:pStyle w:val="Header"/>
    </w:pP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B0924" w14:textId="77777777" w:rsidR="00154E32" w:rsidRDefault="00154E32">
    <w:pPr>
      <w:pStyle w:val="Header"/>
    </w:pP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882DE" w14:textId="77777777" w:rsidR="00154E32" w:rsidRDefault="00154E32">
    <w:pPr>
      <w:pStyle w:val="Header"/>
    </w:pP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C6FB7" w14:textId="77777777" w:rsidR="00154E32" w:rsidRDefault="00154E32">
    <w:pPr>
      <w:pStyle w:val="Header"/>
      <w:rPr>
        <w:rFonts w:eastAsia="Calibri"/>
      </w:rPr>
    </w:pP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88EA9" w14:textId="77777777" w:rsidR="00154E32" w:rsidRDefault="00154E32">
    <w:pPr>
      <w:pStyle w:val="Header"/>
    </w:pP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388E1" w14:textId="77777777" w:rsidR="00154E32" w:rsidRDefault="00154E32">
    <w:pPr>
      <w:pStyle w:val="Header"/>
    </w:pP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21C54" w14:textId="77777777" w:rsidR="00154E32" w:rsidRDefault="00154E32">
    <w:pPr>
      <w:pStyle w:val="Header"/>
      <w:rPr>
        <w:rFonts w:eastAsia="Calibri"/>
      </w:rPr>
    </w:pP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B4A36" w14:textId="77777777" w:rsidR="00154E32" w:rsidRDefault="00154E32">
    <w:pPr>
      <w:pStyle w:val="Header"/>
    </w:pP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66E16" w14:textId="77777777" w:rsidR="00154E32" w:rsidRDefault="00154E32">
    <w:pPr>
      <w:pStyle w:val="Header"/>
    </w:pP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A5EB" w14:textId="77777777" w:rsidR="00154E32" w:rsidRDefault="00154E32">
    <w:pPr>
      <w:jc w:val="both"/>
      <w:rPr>
        <w:sz w:val="20"/>
      </w:rPr>
    </w:pP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64D90" w14:textId="77777777" w:rsidR="00154E32" w:rsidRDefault="00154E3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FA00D" w14:textId="77777777" w:rsidR="00154E32" w:rsidRDefault="00154E32">
    <w:pPr>
      <w:pStyle w:val="Header"/>
    </w:pP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068C7" w14:textId="77777777" w:rsidR="00154E32" w:rsidRDefault="00154E32">
    <w:pPr>
      <w:pStyle w:val="Header"/>
    </w:pP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5DE81" w14:textId="77777777" w:rsidR="00154E32" w:rsidRDefault="00154E32">
    <w:pPr>
      <w:pStyle w:val="Header"/>
      <w:rPr>
        <w:rFonts w:eastAsia="Calibri"/>
      </w:rPr>
    </w:pP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95E7F" w14:textId="77777777" w:rsidR="00154E32" w:rsidRDefault="00154E32">
    <w:pPr>
      <w:pStyle w:val="Header"/>
    </w:pP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3D985" w14:textId="77777777" w:rsidR="00154E32" w:rsidRDefault="00154E32">
    <w:pPr>
      <w:pStyle w:val="Header"/>
    </w:pP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ECEA2" w14:textId="77777777" w:rsidR="00154E32" w:rsidRDefault="00154E32">
    <w:pPr>
      <w:pStyle w:val="Header"/>
      <w:rPr>
        <w:rFonts w:eastAsia="Calibri"/>
      </w:rPr>
    </w:pP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21CAF" w14:textId="77777777" w:rsidR="00154E32" w:rsidRDefault="00154E32">
    <w:pPr>
      <w:pStyle w:val="Header"/>
    </w:pP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4BDE6" w14:textId="77777777" w:rsidR="00154E32" w:rsidRDefault="00154E32">
    <w:pPr>
      <w:pStyle w:val="Header"/>
    </w:pP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8FF52" w14:textId="77777777" w:rsidR="00154E32" w:rsidRDefault="00154E32">
    <w:pPr>
      <w:pStyle w:val="Header"/>
      <w:rPr>
        <w:rFonts w:eastAsia="Calibri"/>
      </w:rPr>
    </w:pP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57A3A" w14:textId="77777777" w:rsidR="00154E32" w:rsidRDefault="00154E32">
    <w:pPr>
      <w:pStyle w:val="Header"/>
    </w:pP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E55C1" w14:textId="77777777" w:rsidR="00154E32" w:rsidRDefault="00154E3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EA59C" w14:textId="77777777" w:rsidR="00154E32" w:rsidRDefault="00154E32">
    <w:pPr>
      <w:pStyle w:val="Header"/>
    </w:pP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B065B" w14:textId="77777777" w:rsidR="00154E32" w:rsidRDefault="00154E32">
    <w:pPr>
      <w:pStyle w:val="Header"/>
      <w:rPr>
        <w:rFonts w:eastAsia="Calibri"/>
      </w:rPr>
    </w:pP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4F46D" w14:textId="77777777" w:rsidR="00154E32" w:rsidRDefault="00154E32">
    <w:pPr>
      <w:pStyle w:val="Header"/>
    </w:pP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BD211" w14:textId="77777777" w:rsidR="00154E32" w:rsidRDefault="00154E32">
    <w:pPr>
      <w:pStyle w:val="Header"/>
    </w:pP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17809" w14:textId="77777777" w:rsidR="00154E32" w:rsidRDefault="00154E32">
    <w:pPr>
      <w:pStyle w:val="Header"/>
      <w:rPr>
        <w:rFonts w:eastAsia="Calibri"/>
      </w:rPr>
    </w:pP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6F128" w14:textId="77777777" w:rsidR="00154E32" w:rsidRDefault="00154E32">
    <w:pPr>
      <w:pStyle w:val="Header"/>
    </w:pP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B2345" w14:textId="77777777" w:rsidR="00154E32" w:rsidRDefault="00154E32">
    <w:pPr>
      <w:pStyle w:val="Header"/>
    </w:pP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8FC4C" w14:textId="77777777" w:rsidR="00154E32" w:rsidRDefault="00154E32">
    <w:pPr>
      <w:pStyle w:val="Header"/>
      <w:rPr>
        <w:rFonts w:eastAsia="Calibri"/>
      </w:rPr>
    </w:pP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E002C" w14:textId="77777777" w:rsidR="00154E32" w:rsidRDefault="00154E32">
    <w:pPr>
      <w:pStyle w:val="Header"/>
    </w:pP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963E8" w14:textId="77777777" w:rsidR="00154E32" w:rsidRDefault="00154E32">
    <w:pPr>
      <w:pStyle w:val="Header"/>
    </w:pP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FBB77" w14:textId="77777777" w:rsidR="00154E32" w:rsidRDefault="00154E32">
    <w:pPr>
      <w:pStyle w:val="Header"/>
      <w:rPr>
        <w:rFonts w:eastAsia="Calibri"/>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EF19" w14:textId="77777777" w:rsidR="00154E32" w:rsidRDefault="00154E32">
    <w:pPr>
      <w:pStyle w:val="Header"/>
    </w:pP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A25A9" w14:textId="77777777" w:rsidR="00154E32" w:rsidRDefault="00154E32">
    <w:pPr>
      <w:pStyle w:val="Header"/>
    </w:pP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5557B" w14:textId="77777777" w:rsidR="00154E32" w:rsidRDefault="00154E32">
    <w:pPr>
      <w:pStyle w:val="Header"/>
    </w:pP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A3FA" w14:textId="77777777" w:rsidR="00154E32" w:rsidRDefault="00154E32">
    <w:pPr>
      <w:pStyle w:val="Header"/>
      <w:rPr>
        <w:rFonts w:eastAsia="Calibri"/>
      </w:rPr>
    </w:pP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29A4B" w14:textId="77777777" w:rsidR="00154E32" w:rsidRDefault="00154E32">
    <w:pPr>
      <w:pStyle w:val="Header"/>
    </w:pP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FCC5" w14:textId="77777777" w:rsidR="00154E32" w:rsidRDefault="00154E32">
    <w:pPr>
      <w:pStyle w:val="Header"/>
    </w:pP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C76BC" w14:textId="77777777" w:rsidR="00154E32" w:rsidRDefault="00154E32">
    <w:pPr>
      <w:pStyle w:val="Header"/>
      <w:rPr>
        <w:rFonts w:eastAsia="Calibri"/>
      </w:rPr>
    </w:pP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3AD5" w14:textId="77777777" w:rsidR="00154E32" w:rsidRDefault="00154E32">
    <w:pPr>
      <w:pStyle w:val="Header"/>
    </w:pP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9ECA0" w14:textId="77777777" w:rsidR="00154E32" w:rsidRDefault="00154E32">
    <w:pPr>
      <w:pStyle w:val="Header"/>
    </w:pP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FB45" w14:textId="77777777" w:rsidR="00154E32" w:rsidRDefault="00154E32">
    <w:pPr>
      <w:pStyle w:val="Header"/>
      <w:rPr>
        <w:rFonts w:eastAsia="Calibri"/>
      </w:rPr>
    </w:pP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F841E" w14:textId="77777777" w:rsidR="00154E32" w:rsidRDefault="00154E3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56F95" w14:textId="77777777" w:rsidR="00154E32" w:rsidRDefault="00154E32">
    <w:pPr>
      <w:pStyle w:val="Header"/>
    </w:pP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B6D15F" w14:textId="77777777" w:rsidR="00154E32" w:rsidRDefault="00154E32">
    <w:pPr>
      <w:pStyle w:val="Header"/>
    </w:pP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E35C7" w14:textId="77777777" w:rsidR="00154E32" w:rsidRDefault="00154E32">
    <w:pPr>
      <w:pStyle w:val="Header"/>
      <w:rPr>
        <w:rFonts w:eastAsia="Calibri"/>
      </w:rPr>
    </w:pP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D16B1" w14:textId="77777777" w:rsidR="00154E32" w:rsidRDefault="00154E32">
    <w:pPr>
      <w:pStyle w:val="Header"/>
    </w:pP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B0A94" w14:textId="77777777" w:rsidR="00154E32" w:rsidRDefault="00154E32">
    <w:pPr>
      <w:pStyle w:val="Header"/>
    </w:pP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05C49" w14:textId="77777777" w:rsidR="00154E32" w:rsidRDefault="00154E32">
    <w:pPr>
      <w:pStyle w:val="Header"/>
      <w:rPr>
        <w:rFonts w:eastAsia="Calibri"/>
      </w:rPr>
    </w:pP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FD934" w14:textId="77777777" w:rsidR="00154E32" w:rsidRDefault="00154E32">
    <w:pPr>
      <w:pStyle w:val="Header"/>
    </w:pP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5D63C" w14:textId="77777777" w:rsidR="00154E32" w:rsidRDefault="00154E32">
    <w:pPr>
      <w:pStyle w:val="Header"/>
    </w:pP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6F444" w14:textId="77777777" w:rsidR="00154E32" w:rsidRDefault="00154E32">
    <w:pPr>
      <w:pStyle w:val="Header"/>
      <w:rPr>
        <w:rFonts w:eastAsia="Calibri"/>
      </w:rPr>
    </w:pP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B816C" w14:textId="77777777" w:rsidR="00154E32" w:rsidRDefault="00154E32">
    <w:pPr>
      <w:pStyle w:val="Header"/>
    </w:pP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66CA0" w14:textId="77777777" w:rsidR="00154E32" w:rsidRDefault="00154E3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11F92" w14:textId="77777777" w:rsidR="00154E32" w:rsidRDefault="00154E32">
    <w:pPr>
      <w:pStyle w:val="Header"/>
    </w:pP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5FEE4" w14:textId="77777777" w:rsidR="00154E32" w:rsidRDefault="00154E32">
    <w:pPr>
      <w:pStyle w:val="Header"/>
      <w:rPr>
        <w:rFonts w:eastAsia="Calibri"/>
      </w:rPr>
    </w:pP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A05A3" w14:textId="77777777" w:rsidR="00154E32" w:rsidRDefault="00154E32">
    <w:pPr>
      <w:pStyle w:val="Header"/>
    </w:pPr>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32CE4" w14:textId="77777777" w:rsidR="00154E32" w:rsidRDefault="00154E32">
    <w:pPr>
      <w:pStyle w:val="Header"/>
    </w:pPr>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83DE4" w14:textId="77777777" w:rsidR="00154E32" w:rsidRDefault="00154E32">
    <w:pPr>
      <w:pStyle w:val="Header"/>
      <w:rPr>
        <w:rFonts w:eastAsia="Calibri"/>
      </w:rPr>
    </w:pP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A64D9" w14:textId="77777777" w:rsidR="00154E32" w:rsidRDefault="00154E32">
    <w:pPr>
      <w:pStyle w:val="Header"/>
    </w:pPr>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530A4" w14:textId="77777777" w:rsidR="00154E32" w:rsidRDefault="00154E32">
    <w:pPr>
      <w:pStyle w:val="Header"/>
    </w:pPr>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ED3B5" w14:textId="77777777" w:rsidR="00154E32" w:rsidRDefault="00154E32">
    <w:pPr>
      <w:pStyle w:val="Header"/>
      <w:rPr>
        <w:rFonts w:eastAsia="Calibri"/>
      </w:rPr>
    </w:pP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7ABED" w14:textId="77777777" w:rsidR="00154E32" w:rsidRDefault="00154E32">
    <w:pPr>
      <w:pStyle w:val="Header"/>
    </w:pPr>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B34D4" w14:textId="77777777" w:rsidR="00154E32" w:rsidRDefault="00154E32">
    <w:pPr>
      <w:pStyle w:val="Header"/>
    </w:pPr>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85271" w14:textId="77777777" w:rsidR="00154E32" w:rsidRDefault="00154E32">
    <w:pPr>
      <w:pStyle w:val="Header"/>
      <w:rPr>
        <w:rFonts w:eastAsia="Calibri"/>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FC8AD" w14:textId="77777777" w:rsidR="00154E32" w:rsidRDefault="00154E32">
    <w:pPr>
      <w:pStyle w:val="Header"/>
    </w:pPr>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55225" w14:textId="77777777" w:rsidR="00154E32" w:rsidRDefault="00154E32">
    <w:pPr>
      <w:pStyle w:val="Header"/>
    </w:pPr>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F9C98" w14:textId="77777777" w:rsidR="00154E32" w:rsidRDefault="00154E32">
    <w:pPr>
      <w:pStyle w:val="Header"/>
    </w:pPr>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E6F3" w14:textId="77777777" w:rsidR="00154E32" w:rsidRDefault="00154E32">
    <w:pPr>
      <w:pStyle w:val="Header"/>
      <w:rPr>
        <w:rFonts w:eastAsia="Calibri"/>
      </w:rPr>
    </w:pP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53A5A" w14:textId="77777777" w:rsidR="00154E32" w:rsidRDefault="00154E32">
    <w:pPr>
      <w:pStyle w:val="Header"/>
    </w:pPr>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D2D4A" w14:textId="77777777" w:rsidR="00154E32" w:rsidRDefault="00154E32">
    <w:pPr>
      <w:pStyle w:val="Header"/>
    </w:pPr>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5E290" w14:textId="77777777" w:rsidR="00154E32" w:rsidRDefault="00154E32">
    <w:pPr>
      <w:pStyle w:val="Header"/>
    </w:pP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884E8" w14:textId="77777777" w:rsidR="00154E32" w:rsidRDefault="00154E32">
    <w:pPr>
      <w:pStyle w:val="Header"/>
    </w:pPr>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6C2F6" w14:textId="77777777" w:rsidR="00154E32" w:rsidRDefault="00154E32">
    <w:pPr>
      <w:pStyle w:val="Header"/>
    </w:pPr>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85835" w14:textId="77777777" w:rsidR="00154E32" w:rsidRDefault="00154E32">
    <w:pPr>
      <w:pStyle w:val="Header"/>
    </w:pP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34A5F" w14:textId="77777777" w:rsidR="00154E32" w:rsidRDefault="00154E3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0B160" w14:textId="77777777" w:rsidR="00154E32" w:rsidRDefault="00154E32">
    <w:pPr>
      <w:pStyle w:val="Header"/>
    </w:pPr>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47549" w14:textId="77777777" w:rsidR="00154E32" w:rsidRDefault="00154E32">
    <w:pPr>
      <w:pStyle w:val="Header"/>
    </w:pPr>
  </w:p>
</w:hdr>
</file>

<file path=word/header1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29CFE" w14:textId="77777777" w:rsidR="00154E32" w:rsidRDefault="00154E32">
    <w:pPr>
      <w:pStyle w:val="Header"/>
      <w:rPr>
        <w:sz w:val="10"/>
      </w:rPr>
    </w:pPr>
  </w:p>
</w:hdr>
</file>

<file path=word/header1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409B4" w14:textId="77777777" w:rsidR="00154E32" w:rsidRDefault="00154E32">
    <w:pPr>
      <w:pStyle w:val="Header"/>
    </w:pPr>
  </w:p>
</w:hdr>
</file>

<file path=word/header1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89F9E" w14:textId="77777777" w:rsidR="00154E32" w:rsidRDefault="00154E32">
    <w:pPr>
      <w:pStyle w:val="Header"/>
    </w:pPr>
  </w:p>
</w:hdr>
</file>

<file path=word/header1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B93AC" w14:textId="77777777" w:rsidR="00154E32" w:rsidRDefault="00154E32">
    <w:pPr>
      <w:pStyle w:val="Header"/>
      <w:rPr>
        <w:rFonts w:eastAsia="Calibri"/>
      </w:rPr>
    </w:pPr>
  </w:p>
</w:hdr>
</file>

<file path=word/header1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9C443" w14:textId="77777777" w:rsidR="00154E32" w:rsidRDefault="00154E32">
    <w:pPr>
      <w:pStyle w:val="Header"/>
    </w:pPr>
  </w:p>
</w:hdr>
</file>

<file path=word/header1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848D5" w14:textId="77777777" w:rsidR="00154E32" w:rsidRDefault="00154E32">
    <w:pPr>
      <w:pStyle w:val="Header"/>
    </w:pPr>
  </w:p>
</w:hdr>
</file>

<file path=word/header1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12534" w14:textId="77777777" w:rsidR="00154E32" w:rsidRDefault="00154E32">
    <w:pPr>
      <w:pStyle w:val="Header"/>
      <w:rPr>
        <w:rFonts w:eastAsia="Calibri"/>
      </w:rPr>
    </w:pPr>
  </w:p>
</w:hdr>
</file>

<file path=word/header1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1B53B" w14:textId="77777777" w:rsidR="00154E32" w:rsidRDefault="00154E32">
    <w:pPr>
      <w:pStyle w:val="Header"/>
    </w:pPr>
  </w:p>
</w:hdr>
</file>

<file path=word/header1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5D688" w14:textId="77777777" w:rsidR="00154E32" w:rsidRDefault="00154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19DDC" w14:textId="77777777" w:rsidR="00DE606B" w:rsidRPr="00DE606B" w:rsidRDefault="00DE606B" w:rsidP="00DE606B">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3E576" w14:textId="77777777" w:rsidR="00154E32" w:rsidRDefault="00154E32">
    <w:pPr>
      <w:pStyle w:val="Header"/>
    </w:pPr>
  </w:p>
</w:hdr>
</file>

<file path=word/header2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4F1FD" w14:textId="77777777" w:rsidR="00154E32" w:rsidRDefault="00154E32">
    <w:pPr>
      <w:pStyle w:val="Header"/>
      <w:rPr>
        <w:rFonts w:eastAsia="Calibri"/>
      </w:rPr>
    </w:pPr>
  </w:p>
</w:hdr>
</file>

<file path=word/header2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14862" w14:textId="77777777" w:rsidR="00154E32" w:rsidRDefault="00154E3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0676B" w14:textId="77777777" w:rsidR="00154E32" w:rsidRDefault="00154E3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C6513" w14:textId="77777777" w:rsidR="00154E32" w:rsidRDefault="00154E3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2F92A" w14:textId="77777777" w:rsidR="00154E32" w:rsidRDefault="00154E32">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1567E" w14:textId="77777777" w:rsidR="00154E32" w:rsidRDefault="00154E3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90D582" w14:textId="77777777" w:rsidR="00154E32" w:rsidRDefault="00154E32">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476A5" w14:textId="77777777" w:rsidR="00154E32" w:rsidRDefault="00154E32">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5000C" w14:textId="77777777" w:rsidR="00154E32" w:rsidRDefault="00154E32">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C76A9" w14:textId="77777777" w:rsidR="00154E32" w:rsidRDefault="00154E32">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1F930" w14:textId="77777777" w:rsidR="00154E32" w:rsidRDefault="00154E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7D4FE" w14:textId="77777777" w:rsidR="00DE606B" w:rsidRPr="00DE606B" w:rsidRDefault="00DE606B" w:rsidP="00DE606B">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63FDE" w14:textId="77777777" w:rsidR="00154E32" w:rsidRDefault="00154E32">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FAF5F" w14:textId="77777777" w:rsidR="00154E32" w:rsidRDefault="00154E32">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BD19A" w14:textId="77777777" w:rsidR="00154E32" w:rsidRDefault="00154E32">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CC0D5" w14:textId="77777777" w:rsidR="00154E32" w:rsidRDefault="00154E32">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6912F" w14:textId="77777777" w:rsidR="00154E32" w:rsidRDefault="00154E32">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BE9C1" w14:textId="77777777" w:rsidR="00154E32" w:rsidRDefault="00154E32">
    <w:pPr>
      <w:pStyle w:val="Header"/>
      <w:rPr>
        <w:rFonts w:eastAsia="Calibri"/>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200E4" w14:textId="77777777" w:rsidR="00154E32" w:rsidRDefault="00154E32">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34878" w14:textId="77777777" w:rsidR="00154E32" w:rsidRDefault="00154E32">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83479" w14:textId="77777777" w:rsidR="00154E32" w:rsidRDefault="00154E32">
    <w:pPr>
      <w:pStyle w:val="Header"/>
      <w:rPr>
        <w:rFonts w:eastAsia="Calibri"/>
      </w:rP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F1E5E" w14:textId="77777777" w:rsidR="00154E32" w:rsidRDefault="00154E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A0839" w14:textId="77777777" w:rsidR="00154E32" w:rsidRDefault="00154E32">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032BB" w14:textId="77777777" w:rsidR="00154E32" w:rsidRDefault="00154E32">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E1490" w14:textId="77777777" w:rsidR="00154E32" w:rsidRDefault="00154E32">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294B8" w14:textId="77777777" w:rsidR="00154E32" w:rsidRDefault="00154E32">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502A2" w14:textId="77777777" w:rsidR="00154E32" w:rsidRDefault="00154E32">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834F6" w14:textId="77777777" w:rsidR="00154E32" w:rsidRDefault="00154E32">
    <w:pPr>
      <w:pStyle w:val="Header"/>
      <w:rPr>
        <w:rFonts w:eastAsia="Calibri"/>
      </w:rP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6D064" w14:textId="77777777" w:rsidR="00154E32" w:rsidRDefault="00154E32">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3C806" w14:textId="77777777" w:rsidR="00154E32" w:rsidRDefault="00154E32">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E0EF0" w14:textId="77777777" w:rsidR="00154E32" w:rsidRDefault="00154E32">
    <w:pPr>
      <w:pStyle w:val="Header"/>
      <w:rPr>
        <w:rFonts w:eastAsia="Calibri"/>
      </w:rP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BF31C" w14:textId="77777777" w:rsidR="00154E32" w:rsidRDefault="00154E32">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44572" w14:textId="77777777" w:rsidR="00154E32" w:rsidRDefault="00154E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0C8BE" w14:textId="77777777" w:rsidR="00154E32" w:rsidRDefault="00154E32">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93C59" w14:textId="77777777" w:rsidR="00154E32" w:rsidRDefault="00154E32">
    <w:pPr>
      <w:pStyle w:val="Header"/>
      <w:rPr>
        <w:rFonts w:eastAsia="Calibri"/>
      </w:rPr>
    </w:pP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62555" w14:textId="77777777" w:rsidR="00154E32" w:rsidRDefault="00154E32">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5E85F" w14:textId="77777777" w:rsidR="00154E32" w:rsidRDefault="00154E32">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1DF1A" w14:textId="77777777" w:rsidR="00154E32" w:rsidRDefault="00154E32">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1B12D" w14:textId="77777777" w:rsidR="00154E32" w:rsidRDefault="00154E32">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0147D" w14:textId="77777777" w:rsidR="00154E32" w:rsidRDefault="00154E32">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34A66" w14:textId="77777777" w:rsidR="00154E32" w:rsidRDefault="00154E32">
    <w:pPr>
      <w:pStyle w:val="Header"/>
      <w:rPr>
        <w:rFonts w:eastAsia="Calibri"/>
      </w:rPr>
    </w:pP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719AE" w14:textId="77777777" w:rsidR="00154E32" w:rsidRDefault="00154E32">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E95D8" w14:textId="77777777" w:rsidR="00154E32" w:rsidRDefault="00154E32">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20165" w14:textId="77777777" w:rsidR="00154E32" w:rsidRDefault="00154E32">
    <w:pPr>
      <w:pStyle w:val="Header"/>
      <w:rPr>
        <w:rFonts w:eastAsia="Calibri"/>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9D459" w14:textId="77777777" w:rsidR="00154E32" w:rsidRDefault="00154E32">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71F92" w14:textId="77777777" w:rsidR="00154E32" w:rsidRDefault="00154E32">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428D5" w14:textId="77777777" w:rsidR="00154E32" w:rsidRDefault="00154E32">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7429E" w14:textId="77777777" w:rsidR="00154E32" w:rsidRDefault="00154E32">
    <w:pPr>
      <w:pStyle w:val="Header"/>
      <w:rPr>
        <w:rFonts w:eastAsia="Calibri"/>
      </w:rPr>
    </w:pP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493FC" w14:textId="77777777" w:rsidR="00154E32" w:rsidRDefault="00154E32">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76AAD" w14:textId="77777777" w:rsidR="00154E32" w:rsidRDefault="00154E32">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7CB66" w14:textId="77777777" w:rsidR="00154E32" w:rsidRDefault="00154E32">
    <w:pPr>
      <w:pStyle w:val="Header"/>
      <w:rPr>
        <w:rFonts w:eastAsia="Calibri"/>
      </w:rPr>
    </w:pP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E7826" w14:textId="77777777" w:rsidR="00154E32" w:rsidRDefault="00154E32">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BD898" w14:textId="77777777" w:rsidR="00154E32" w:rsidRDefault="00154E32">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820E4" w14:textId="77777777" w:rsidR="00154E32" w:rsidRDefault="00154E32">
    <w:pPr>
      <w:pStyle w:val="Header"/>
      <w:rPr>
        <w:rFonts w:eastAsia="Calibri"/>
      </w:rPr>
    </w:pP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0CDE7" w14:textId="77777777" w:rsidR="00154E32" w:rsidRDefault="00154E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499CB" w14:textId="77777777" w:rsidR="00154E32" w:rsidRDefault="00154E32">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C5C9B" w14:textId="77777777" w:rsidR="00154E32" w:rsidRDefault="00154E32">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498BE" w14:textId="77777777" w:rsidR="00154E32" w:rsidRDefault="00154E32">
    <w:pPr>
      <w:pStyle w:val="Header"/>
      <w:rPr>
        <w:rFonts w:eastAsia="Calibri"/>
      </w:rPr>
    </w:pP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2FA39" w14:textId="77777777" w:rsidR="00154E32" w:rsidRDefault="00154E32">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71DBD" w14:textId="77777777" w:rsidR="00154E32" w:rsidRDefault="00154E32">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07359" w14:textId="77777777" w:rsidR="00154E32" w:rsidRDefault="00154E32">
    <w:pPr>
      <w:pStyle w:val="Header"/>
      <w:rPr>
        <w:rFonts w:eastAsia="Calibri"/>
      </w:rPr>
    </w:pP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05BEB" w14:textId="77777777" w:rsidR="00154E32" w:rsidRDefault="00154E32">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BDEA1" w14:textId="77777777" w:rsidR="00154E32" w:rsidRDefault="00154E32">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BBE1A" w14:textId="77777777" w:rsidR="00154E32" w:rsidRDefault="00154E32">
    <w:pPr>
      <w:pStyle w:val="Header"/>
      <w:rPr>
        <w:rFonts w:eastAsia="Calibri"/>
      </w:rPr>
    </w:pP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3E51B" w14:textId="77777777" w:rsidR="00154E32" w:rsidRDefault="00154E32">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43BB8" w14:textId="77777777" w:rsidR="00154E32" w:rsidRDefault="00154E3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1058F" w14:textId="77777777" w:rsidR="00154E32" w:rsidRDefault="00154E32">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F7F4B" w14:textId="77777777" w:rsidR="00154E32" w:rsidRDefault="00154E32">
    <w:pPr>
      <w:pStyle w:val="Header"/>
      <w:rPr>
        <w:rFonts w:eastAsia="Calibri"/>
      </w:rPr>
    </w:pP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5162E" w14:textId="77777777" w:rsidR="00154E32" w:rsidRDefault="00154E32">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A9DC9" w14:textId="77777777" w:rsidR="00154E32" w:rsidRDefault="00154E32">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148BC" w14:textId="77777777" w:rsidR="00154E32" w:rsidRDefault="00154E32">
    <w:pPr>
      <w:pStyle w:val="Header"/>
      <w:rPr>
        <w:rFonts w:eastAsia="Calibri"/>
      </w:rPr>
    </w:pP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42C55" w14:textId="77777777" w:rsidR="00154E32" w:rsidRDefault="00154E32">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0BB1F" w14:textId="77777777" w:rsidR="00154E32" w:rsidRDefault="00154E32">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F7954" w14:textId="77777777" w:rsidR="00154E32" w:rsidRDefault="00154E32">
    <w:pPr>
      <w:pStyle w:val="Header"/>
      <w:rPr>
        <w:rFonts w:eastAsia="Calibri"/>
      </w:rPr>
    </w:pP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1F7C3" w14:textId="77777777" w:rsidR="00154E32" w:rsidRDefault="00154E32">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E6D14" w14:textId="77777777" w:rsidR="00154E32" w:rsidRDefault="00154E32">
    <w:pPr>
      <w:pStyle w:val="Header"/>
    </w:pP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7D23C" w14:textId="77777777" w:rsidR="00154E32" w:rsidRDefault="00154E3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9EDDB" w14:textId="77777777" w:rsidR="00154E32" w:rsidRDefault="00154E32">
    <w:pPr>
      <w:pStyle w:val="Header"/>
    </w:pP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A1408" w14:textId="77777777" w:rsidR="00154E32" w:rsidRDefault="00154E32">
    <w:pPr>
      <w:pStyle w:val="Header"/>
    </w:pP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79D2D" w14:textId="77777777" w:rsidR="00154E32" w:rsidRDefault="00154E32">
    <w:pPr>
      <w:pStyle w:val="Header"/>
    </w:pP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5C5A33" w14:textId="77777777" w:rsidR="00154E32" w:rsidRDefault="00154E32">
    <w:pPr>
      <w:pStyle w:val="Header"/>
    </w:pP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2EB32" w14:textId="77777777" w:rsidR="00154E32" w:rsidRDefault="00154E32">
    <w:pPr>
      <w:pStyle w:val="Header"/>
    </w:pP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B2F06" w14:textId="77777777" w:rsidR="00154E32" w:rsidRDefault="00154E32">
    <w:pPr>
      <w:pStyle w:val="Header"/>
    </w:pP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EE399" w14:textId="77777777" w:rsidR="00154E32" w:rsidRDefault="00154E32">
    <w:pPr>
      <w:pStyle w:val="Header"/>
      <w:rPr>
        <w:rFonts w:eastAsia="Calibri"/>
      </w:rPr>
    </w:pP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9CBBE" w14:textId="77777777" w:rsidR="00154E32" w:rsidRDefault="00154E32">
    <w:pPr>
      <w:pStyle w:val="Header"/>
    </w:pP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2DC6A" w14:textId="77777777" w:rsidR="00154E32" w:rsidRDefault="00154E32">
    <w:pPr>
      <w:pStyle w:val="Header"/>
    </w:pP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D08BF" w14:textId="77777777" w:rsidR="00154E32" w:rsidRDefault="00154E32">
    <w:pPr>
      <w:pStyle w:val="Header"/>
      <w:rPr>
        <w:rFonts w:eastAsia="Calibri"/>
      </w:rPr>
    </w:pP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2E982" w14:textId="77777777" w:rsidR="00154E32" w:rsidRDefault="00154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E140CA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5A6272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C20270C"/>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singleLevel"/>
    <w:tmpl w:val="AD788A4A"/>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3FE8279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003373"/>
    <w:multiLevelType w:val="hybridMultilevel"/>
    <w:tmpl w:val="F3802738"/>
    <w:lvl w:ilvl="0" w:tplc="FC26DA30">
      <w:start w:val="1"/>
      <w:numFmt w:val="bullet"/>
      <w:lvlText w:val="-"/>
      <w:lvlJc w:val="left"/>
      <w:pPr>
        <w:ind w:left="720" w:hanging="360"/>
      </w:pPr>
      <w:rPr>
        <w:rFonts w:ascii="Symbol" w:hAnsi="Symbol" w:hint="default"/>
      </w:rPr>
    </w:lvl>
    <w:lvl w:ilvl="1" w:tplc="0462880E">
      <w:start w:val="1"/>
      <w:numFmt w:val="bullet"/>
      <w:lvlText w:val="o"/>
      <w:lvlJc w:val="left"/>
      <w:pPr>
        <w:ind w:left="1440" w:hanging="360"/>
      </w:pPr>
      <w:rPr>
        <w:rFonts w:ascii="Courier New" w:hAnsi="Courier New" w:hint="default"/>
      </w:rPr>
    </w:lvl>
    <w:lvl w:ilvl="2" w:tplc="F90A8E8E">
      <w:start w:val="1"/>
      <w:numFmt w:val="bullet"/>
      <w:lvlText w:val=""/>
      <w:lvlJc w:val="left"/>
      <w:pPr>
        <w:ind w:left="2160" w:hanging="360"/>
      </w:pPr>
      <w:rPr>
        <w:rFonts w:ascii="Wingdings" w:hAnsi="Wingdings" w:hint="default"/>
      </w:rPr>
    </w:lvl>
    <w:lvl w:ilvl="3" w:tplc="6D4420D6">
      <w:start w:val="1"/>
      <w:numFmt w:val="bullet"/>
      <w:lvlText w:val=""/>
      <w:lvlJc w:val="left"/>
      <w:pPr>
        <w:ind w:left="2880" w:hanging="360"/>
      </w:pPr>
      <w:rPr>
        <w:rFonts w:ascii="Symbol" w:hAnsi="Symbol" w:hint="default"/>
      </w:rPr>
    </w:lvl>
    <w:lvl w:ilvl="4" w:tplc="16727DC8">
      <w:start w:val="1"/>
      <w:numFmt w:val="bullet"/>
      <w:lvlText w:val="o"/>
      <w:lvlJc w:val="left"/>
      <w:pPr>
        <w:ind w:left="3600" w:hanging="360"/>
      </w:pPr>
      <w:rPr>
        <w:rFonts w:ascii="Courier New" w:hAnsi="Courier New" w:hint="default"/>
      </w:rPr>
    </w:lvl>
    <w:lvl w:ilvl="5" w:tplc="C7B4C740">
      <w:start w:val="1"/>
      <w:numFmt w:val="bullet"/>
      <w:lvlText w:val=""/>
      <w:lvlJc w:val="left"/>
      <w:pPr>
        <w:ind w:left="4320" w:hanging="360"/>
      </w:pPr>
      <w:rPr>
        <w:rFonts w:ascii="Wingdings" w:hAnsi="Wingdings" w:hint="default"/>
      </w:rPr>
    </w:lvl>
    <w:lvl w:ilvl="6" w:tplc="6172E3C4">
      <w:start w:val="1"/>
      <w:numFmt w:val="bullet"/>
      <w:lvlText w:val=""/>
      <w:lvlJc w:val="left"/>
      <w:pPr>
        <w:ind w:left="5040" w:hanging="360"/>
      </w:pPr>
      <w:rPr>
        <w:rFonts w:ascii="Symbol" w:hAnsi="Symbol" w:hint="default"/>
      </w:rPr>
    </w:lvl>
    <w:lvl w:ilvl="7" w:tplc="778A8E7C">
      <w:start w:val="1"/>
      <w:numFmt w:val="bullet"/>
      <w:lvlText w:val="o"/>
      <w:lvlJc w:val="left"/>
      <w:pPr>
        <w:ind w:left="5760" w:hanging="360"/>
      </w:pPr>
      <w:rPr>
        <w:rFonts w:ascii="Courier New" w:hAnsi="Courier New" w:hint="default"/>
      </w:rPr>
    </w:lvl>
    <w:lvl w:ilvl="8" w:tplc="B5700FD6">
      <w:start w:val="1"/>
      <w:numFmt w:val="bullet"/>
      <w:lvlText w:val=""/>
      <w:lvlJc w:val="left"/>
      <w:pPr>
        <w:ind w:left="6480" w:hanging="360"/>
      </w:pPr>
      <w:rPr>
        <w:rFonts w:ascii="Wingdings" w:hAnsi="Wingdings" w:hint="default"/>
      </w:rPr>
    </w:lvl>
  </w:abstractNum>
  <w:abstractNum w:abstractNumId="6" w15:restartNumberingAfterBreak="0">
    <w:nsid w:val="03E93C56"/>
    <w:multiLevelType w:val="hybridMultilevel"/>
    <w:tmpl w:val="013A6670"/>
    <w:lvl w:ilvl="0" w:tplc="D8CCA47E">
      <w:start w:val="1"/>
      <w:numFmt w:val="bullet"/>
      <w:lvlText w:val="-"/>
      <w:lvlJc w:val="left"/>
      <w:pPr>
        <w:ind w:left="1440" w:hanging="360"/>
      </w:pPr>
      <w:rPr>
        <w:rFonts w:ascii="&quot;Times New Roman&quot;,serif" w:hAnsi="&quot;Times New Roman&quot;,serif"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52F1D3B"/>
    <w:multiLevelType w:val="hybridMultilevel"/>
    <w:tmpl w:val="38A2126E"/>
    <w:lvl w:ilvl="0" w:tplc="218C80C4">
      <w:start w:val="1"/>
      <w:numFmt w:val="bullet"/>
      <w:lvlText w:val="-"/>
      <w:lvlJc w:val="left"/>
      <w:pPr>
        <w:ind w:left="696" w:hanging="360"/>
      </w:pPr>
      <w:rPr>
        <w:rFonts w:ascii="Calibri" w:hAnsi="Calibri" w:hint="default"/>
      </w:rPr>
    </w:lvl>
    <w:lvl w:ilvl="1" w:tplc="08090003" w:tentative="1">
      <w:start w:val="1"/>
      <w:numFmt w:val="bullet"/>
      <w:lvlText w:val="o"/>
      <w:lvlJc w:val="left"/>
      <w:pPr>
        <w:ind w:left="1416" w:hanging="360"/>
      </w:pPr>
      <w:rPr>
        <w:rFonts w:ascii="Courier New" w:hAnsi="Courier New" w:cs="Courier New" w:hint="default"/>
      </w:rPr>
    </w:lvl>
    <w:lvl w:ilvl="2" w:tplc="08090005" w:tentative="1">
      <w:start w:val="1"/>
      <w:numFmt w:val="bullet"/>
      <w:lvlText w:val=""/>
      <w:lvlJc w:val="left"/>
      <w:pPr>
        <w:ind w:left="2136" w:hanging="360"/>
      </w:pPr>
      <w:rPr>
        <w:rFonts w:ascii="Wingdings" w:hAnsi="Wingdings" w:hint="default"/>
      </w:rPr>
    </w:lvl>
    <w:lvl w:ilvl="3" w:tplc="08090001" w:tentative="1">
      <w:start w:val="1"/>
      <w:numFmt w:val="bullet"/>
      <w:lvlText w:val=""/>
      <w:lvlJc w:val="left"/>
      <w:pPr>
        <w:ind w:left="2856" w:hanging="360"/>
      </w:pPr>
      <w:rPr>
        <w:rFonts w:ascii="Symbol" w:hAnsi="Symbol" w:hint="default"/>
      </w:rPr>
    </w:lvl>
    <w:lvl w:ilvl="4" w:tplc="08090003" w:tentative="1">
      <w:start w:val="1"/>
      <w:numFmt w:val="bullet"/>
      <w:lvlText w:val="o"/>
      <w:lvlJc w:val="left"/>
      <w:pPr>
        <w:ind w:left="3576" w:hanging="360"/>
      </w:pPr>
      <w:rPr>
        <w:rFonts w:ascii="Courier New" w:hAnsi="Courier New" w:cs="Courier New" w:hint="default"/>
      </w:rPr>
    </w:lvl>
    <w:lvl w:ilvl="5" w:tplc="08090005" w:tentative="1">
      <w:start w:val="1"/>
      <w:numFmt w:val="bullet"/>
      <w:lvlText w:val=""/>
      <w:lvlJc w:val="left"/>
      <w:pPr>
        <w:ind w:left="4296" w:hanging="360"/>
      </w:pPr>
      <w:rPr>
        <w:rFonts w:ascii="Wingdings" w:hAnsi="Wingdings" w:hint="default"/>
      </w:rPr>
    </w:lvl>
    <w:lvl w:ilvl="6" w:tplc="08090001" w:tentative="1">
      <w:start w:val="1"/>
      <w:numFmt w:val="bullet"/>
      <w:lvlText w:val=""/>
      <w:lvlJc w:val="left"/>
      <w:pPr>
        <w:ind w:left="5016" w:hanging="360"/>
      </w:pPr>
      <w:rPr>
        <w:rFonts w:ascii="Symbol" w:hAnsi="Symbol" w:hint="default"/>
      </w:rPr>
    </w:lvl>
    <w:lvl w:ilvl="7" w:tplc="08090003" w:tentative="1">
      <w:start w:val="1"/>
      <w:numFmt w:val="bullet"/>
      <w:lvlText w:val="o"/>
      <w:lvlJc w:val="left"/>
      <w:pPr>
        <w:ind w:left="5736" w:hanging="360"/>
      </w:pPr>
      <w:rPr>
        <w:rFonts w:ascii="Courier New" w:hAnsi="Courier New" w:cs="Courier New" w:hint="default"/>
      </w:rPr>
    </w:lvl>
    <w:lvl w:ilvl="8" w:tplc="08090005" w:tentative="1">
      <w:start w:val="1"/>
      <w:numFmt w:val="bullet"/>
      <w:lvlText w:val=""/>
      <w:lvlJc w:val="left"/>
      <w:pPr>
        <w:ind w:left="6456" w:hanging="360"/>
      </w:pPr>
      <w:rPr>
        <w:rFonts w:ascii="Wingdings" w:hAnsi="Wingdings" w:hint="default"/>
      </w:rPr>
    </w:lvl>
  </w:abstractNum>
  <w:abstractNum w:abstractNumId="8" w15:restartNumberingAfterBreak="0">
    <w:nsid w:val="06331374"/>
    <w:multiLevelType w:val="hybridMultilevel"/>
    <w:tmpl w:val="F94A11DC"/>
    <w:lvl w:ilvl="0" w:tplc="18090015">
      <w:start w:val="1"/>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06F47115"/>
    <w:multiLevelType w:val="hybridMultilevel"/>
    <w:tmpl w:val="523AD6C6"/>
    <w:lvl w:ilvl="0" w:tplc="E4E01FB6">
      <w:start w:val="1"/>
      <w:numFmt w:val="lowerRoman"/>
      <w:lvlText w:val="%1."/>
      <w:lvlJc w:val="right"/>
      <w:pPr>
        <w:ind w:left="720" w:hanging="360"/>
      </w:pPr>
    </w:lvl>
    <w:lvl w:ilvl="1" w:tplc="CC14CE30">
      <w:start w:val="1"/>
      <w:numFmt w:val="lowerLetter"/>
      <w:lvlText w:val="%2."/>
      <w:lvlJc w:val="left"/>
      <w:pPr>
        <w:ind w:left="1440" w:hanging="360"/>
      </w:pPr>
    </w:lvl>
    <w:lvl w:ilvl="2" w:tplc="7C30A1AA">
      <w:start w:val="1"/>
      <w:numFmt w:val="lowerRoman"/>
      <w:lvlText w:val="%3."/>
      <w:lvlJc w:val="right"/>
      <w:pPr>
        <w:ind w:left="2160" w:hanging="180"/>
      </w:pPr>
    </w:lvl>
    <w:lvl w:ilvl="3" w:tplc="A5343F08">
      <w:start w:val="1"/>
      <w:numFmt w:val="decimal"/>
      <w:lvlText w:val="%4."/>
      <w:lvlJc w:val="left"/>
      <w:pPr>
        <w:ind w:left="2880" w:hanging="360"/>
      </w:pPr>
    </w:lvl>
    <w:lvl w:ilvl="4" w:tplc="A412B3A4">
      <w:start w:val="1"/>
      <w:numFmt w:val="lowerLetter"/>
      <w:lvlText w:val="%5."/>
      <w:lvlJc w:val="left"/>
      <w:pPr>
        <w:ind w:left="3600" w:hanging="360"/>
      </w:pPr>
    </w:lvl>
    <w:lvl w:ilvl="5" w:tplc="2D3A5EC6">
      <w:start w:val="1"/>
      <w:numFmt w:val="lowerRoman"/>
      <w:lvlText w:val="%6."/>
      <w:lvlJc w:val="right"/>
      <w:pPr>
        <w:ind w:left="4320" w:hanging="180"/>
      </w:pPr>
    </w:lvl>
    <w:lvl w:ilvl="6" w:tplc="442A8E74">
      <w:start w:val="1"/>
      <w:numFmt w:val="decimal"/>
      <w:lvlText w:val="%7."/>
      <w:lvlJc w:val="left"/>
      <w:pPr>
        <w:ind w:left="5040" w:hanging="360"/>
      </w:pPr>
    </w:lvl>
    <w:lvl w:ilvl="7" w:tplc="978A2838">
      <w:start w:val="1"/>
      <w:numFmt w:val="lowerLetter"/>
      <w:lvlText w:val="%8."/>
      <w:lvlJc w:val="left"/>
      <w:pPr>
        <w:ind w:left="5760" w:hanging="360"/>
      </w:pPr>
    </w:lvl>
    <w:lvl w:ilvl="8" w:tplc="5EC4DE44">
      <w:start w:val="1"/>
      <w:numFmt w:val="lowerRoman"/>
      <w:lvlText w:val="%9."/>
      <w:lvlJc w:val="right"/>
      <w:pPr>
        <w:ind w:left="6480" w:hanging="180"/>
      </w:pPr>
    </w:lvl>
  </w:abstractNum>
  <w:abstractNum w:abstractNumId="10" w15:restartNumberingAfterBreak="0">
    <w:nsid w:val="07D98546"/>
    <w:multiLevelType w:val="hybridMultilevel"/>
    <w:tmpl w:val="6D76B0A6"/>
    <w:lvl w:ilvl="0" w:tplc="3D16F5F8">
      <w:start w:val="1"/>
      <w:numFmt w:val="bullet"/>
      <w:lvlText w:val=""/>
      <w:lvlJc w:val="left"/>
      <w:pPr>
        <w:ind w:left="720" w:hanging="360"/>
      </w:pPr>
      <w:rPr>
        <w:rFonts w:ascii="Symbol" w:hAnsi="Symbol" w:hint="default"/>
      </w:rPr>
    </w:lvl>
    <w:lvl w:ilvl="1" w:tplc="F5CE726E">
      <w:start w:val="1"/>
      <w:numFmt w:val="bullet"/>
      <w:lvlText w:val="o"/>
      <w:lvlJc w:val="left"/>
      <w:pPr>
        <w:ind w:left="1440" w:hanging="360"/>
      </w:pPr>
      <w:rPr>
        <w:rFonts w:ascii="Courier New" w:hAnsi="Courier New" w:hint="default"/>
      </w:rPr>
    </w:lvl>
    <w:lvl w:ilvl="2" w:tplc="4DE4A18C">
      <w:start w:val="1"/>
      <w:numFmt w:val="bullet"/>
      <w:lvlText w:val=""/>
      <w:lvlJc w:val="left"/>
      <w:pPr>
        <w:ind w:left="2160" w:hanging="360"/>
      </w:pPr>
      <w:rPr>
        <w:rFonts w:ascii="Wingdings" w:hAnsi="Wingdings" w:hint="default"/>
      </w:rPr>
    </w:lvl>
    <w:lvl w:ilvl="3" w:tplc="28FC9676">
      <w:start w:val="1"/>
      <w:numFmt w:val="bullet"/>
      <w:lvlText w:val=""/>
      <w:lvlJc w:val="left"/>
      <w:pPr>
        <w:ind w:left="2880" w:hanging="360"/>
      </w:pPr>
      <w:rPr>
        <w:rFonts w:ascii="Symbol" w:hAnsi="Symbol" w:hint="default"/>
      </w:rPr>
    </w:lvl>
    <w:lvl w:ilvl="4" w:tplc="948E80A8">
      <w:start w:val="1"/>
      <w:numFmt w:val="bullet"/>
      <w:lvlText w:val="o"/>
      <w:lvlJc w:val="left"/>
      <w:pPr>
        <w:ind w:left="3600" w:hanging="360"/>
      </w:pPr>
      <w:rPr>
        <w:rFonts w:ascii="Courier New" w:hAnsi="Courier New" w:hint="default"/>
      </w:rPr>
    </w:lvl>
    <w:lvl w:ilvl="5" w:tplc="20D04130">
      <w:start w:val="1"/>
      <w:numFmt w:val="bullet"/>
      <w:lvlText w:val=""/>
      <w:lvlJc w:val="left"/>
      <w:pPr>
        <w:ind w:left="4320" w:hanging="360"/>
      </w:pPr>
      <w:rPr>
        <w:rFonts w:ascii="Wingdings" w:hAnsi="Wingdings" w:hint="default"/>
      </w:rPr>
    </w:lvl>
    <w:lvl w:ilvl="6" w:tplc="3A4C0894">
      <w:start w:val="1"/>
      <w:numFmt w:val="bullet"/>
      <w:lvlText w:val=""/>
      <w:lvlJc w:val="left"/>
      <w:pPr>
        <w:ind w:left="5040" w:hanging="360"/>
      </w:pPr>
      <w:rPr>
        <w:rFonts w:ascii="Symbol" w:hAnsi="Symbol" w:hint="default"/>
      </w:rPr>
    </w:lvl>
    <w:lvl w:ilvl="7" w:tplc="94BEA838">
      <w:start w:val="1"/>
      <w:numFmt w:val="bullet"/>
      <w:lvlText w:val="o"/>
      <w:lvlJc w:val="left"/>
      <w:pPr>
        <w:ind w:left="5760" w:hanging="360"/>
      </w:pPr>
      <w:rPr>
        <w:rFonts w:ascii="Courier New" w:hAnsi="Courier New" w:hint="default"/>
      </w:rPr>
    </w:lvl>
    <w:lvl w:ilvl="8" w:tplc="F59CF7E0">
      <w:start w:val="1"/>
      <w:numFmt w:val="bullet"/>
      <w:lvlText w:val=""/>
      <w:lvlJc w:val="left"/>
      <w:pPr>
        <w:ind w:left="6480" w:hanging="360"/>
      </w:pPr>
      <w:rPr>
        <w:rFonts w:ascii="Wingdings" w:hAnsi="Wingdings" w:hint="default"/>
      </w:rPr>
    </w:lvl>
  </w:abstractNum>
  <w:abstractNum w:abstractNumId="11" w15:restartNumberingAfterBreak="0">
    <w:nsid w:val="0869CDD7"/>
    <w:multiLevelType w:val="hybridMultilevel"/>
    <w:tmpl w:val="E6F60F72"/>
    <w:lvl w:ilvl="0" w:tplc="CC5A35A2">
      <w:start w:val="1"/>
      <w:numFmt w:val="bullet"/>
      <w:lvlText w:val="-"/>
      <w:lvlJc w:val="left"/>
      <w:pPr>
        <w:ind w:left="720" w:hanging="360"/>
      </w:pPr>
      <w:rPr>
        <w:rFonts w:ascii="Symbol" w:hAnsi="Symbol" w:hint="default"/>
      </w:rPr>
    </w:lvl>
    <w:lvl w:ilvl="1" w:tplc="E90CF390">
      <w:start w:val="1"/>
      <w:numFmt w:val="bullet"/>
      <w:lvlText w:val="o"/>
      <w:lvlJc w:val="left"/>
      <w:pPr>
        <w:ind w:left="1440" w:hanging="360"/>
      </w:pPr>
      <w:rPr>
        <w:rFonts w:ascii="Courier New" w:hAnsi="Courier New" w:hint="default"/>
      </w:rPr>
    </w:lvl>
    <w:lvl w:ilvl="2" w:tplc="62C827A8">
      <w:start w:val="1"/>
      <w:numFmt w:val="bullet"/>
      <w:lvlText w:val=""/>
      <w:lvlJc w:val="left"/>
      <w:pPr>
        <w:ind w:left="2160" w:hanging="360"/>
      </w:pPr>
      <w:rPr>
        <w:rFonts w:ascii="Wingdings" w:hAnsi="Wingdings" w:hint="default"/>
      </w:rPr>
    </w:lvl>
    <w:lvl w:ilvl="3" w:tplc="C6AC6B24">
      <w:start w:val="1"/>
      <w:numFmt w:val="bullet"/>
      <w:lvlText w:val=""/>
      <w:lvlJc w:val="left"/>
      <w:pPr>
        <w:ind w:left="2880" w:hanging="360"/>
      </w:pPr>
      <w:rPr>
        <w:rFonts w:ascii="Symbol" w:hAnsi="Symbol" w:hint="default"/>
      </w:rPr>
    </w:lvl>
    <w:lvl w:ilvl="4" w:tplc="DF44F6A4">
      <w:start w:val="1"/>
      <w:numFmt w:val="bullet"/>
      <w:lvlText w:val="o"/>
      <w:lvlJc w:val="left"/>
      <w:pPr>
        <w:ind w:left="3600" w:hanging="360"/>
      </w:pPr>
      <w:rPr>
        <w:rFonts w:ascii="Courier New" w:hAnsi="Courier New" w:hint="default"/>
      </w:rPr>
    </w:lvl>
    <w:lvl w:ilvl="5" w:tplc="8126F19E">
      <w:start w:val="1"/>
      <w:numFmt w:val="bullet"/>
      <w:lvlText w:val=""/>
      <w:lvlJc w:val="left"/>
      <w:pPr>
        <w:ind w:left="4320" w:hanging="360"/>
      </w:pPr>
      <w:rPr>
        <w:rFonts w:ascii="Wingdings" w:hAnsi="Wingdings" w:hint="default"/>
      </w:rPr>
    </w:lvl>
    <w:lvl w:ilvl="6" w:tplc="E4401EFE">
      <w:start w:val="1"/>
      <w:numFmt w:val="bullet"/>
      <w:lvlText w:val=""/>
      <w:lvlJc w:val="left"/>
      <w:pPr>
        <w:ind w:left="5040" w:hanging="360"/>
      </w:pPr>
      <w:rPr>
        <w:rFonts w:ascii="Symbol" w:hAnsi="Symbol" w:hint="default"/>
      </w:rPr>
    </w:lvl>
    <w:lvl w:ilvl="7" w:tplc="57C0F16C">
      <w:start w:val="1"/>
      <w:numFmt w:val="bullet"/>
      <w:lvlText w:val="o"/>
      <w:lvlJc w:val="left"/>
      <w:pPr>
        <w:ind w:left="5760" w:hanging="360"/>
      </w:pPr>
      <w:rPr>
        <w:rFonts w:ascii="Courier New" w:hAnsi="Courier New" w:hint="default"/>
      </w:rPr>
    </w:lvl>
    <w:lvl w:ilvl="8" w:tplc="59DA7ED4">
      <w:start w:val="1"/>
      <w:numFmt w:val="bullet"/>
      <w:lvlText w:val=""/>
      <w:lvlJc w:val="left"/>
      <w:pPr>
        <w:ind w:left="6480" w:hanging="360"/>
      </w:pPr>
      <w:rPr>
        <w:rFonts w:ascii="Wingdings" w:hAnsi="Wingdings" w:hint="default"/>
      </w:rPr>
    </w:lvl>
  </w:abstractNum>
  <w:abstractNum w:abstractNumId="12" w15:restartNumberingAfterBreak="0">
    <w:nsid w:val="08AF58AF"/>
    <w:multiLevelType w:val="hybridMultilevel"/>
    <w:tmpl w:val="DB0CF5D2"/>
    <w:lvl w:ilvl="0" w:tplc="218C80C4">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8F41E71"/>
    <w:multiLevelType w:val="hybridMultilevel"/>
    <w:tmpl w:val="8BBC1E6E"/>
    <w:lvl w:ilvl="0" w:tplc="7C1A5438">
      <w:start w:val="17"/>
      <w:numFmt w:val="bullet"/>
      <w:lvlText w:val="-"/>
      <w:lvlJc w:val="left"/>
      <w:pPr>
        <w:ind w:left="720" w:hanging="360"/>
      </w:pPr>
      <w:rPr>
        <w:rFonts w:ascii="Times New Roman" w:eastAsia="Times New Roman" w:hAnsi="Times New Roman"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0B41762F"/>
    <w:multiLevelType w:val="hybridMultilevel"/>
    <w:tmpl w:val="75860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34378D"/>
    <w:multiLevelType w:val="hybridMultilevel"/>
    <w:tmpl w:val="DC28A7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0F34087D"/>
    <w:multiLevelType w:val="hybridMultilevel"/>
    <w:tmpl w:val="EEA26554"/>
    <w:lvl w:ilvl="0" w:tplc="9C18E2D8">
      <w:start w:val="3"/>
      <w:numFmt w:val="decimal"/>
      <w:lvlText w:val="%1."/>
      <w:lvlJc w:val="left"/>
      <w:pPr>
        <w:ind w:left="720" w:hanging="360"/>
      </w:pPr>
    </w:lvl>
    <w:lvl w:ilvl="1" w:tplc="2E4EAE98">
      <w:start w:val="1"/>
      <w:numFmt w:val="lowerLetter"/>
      <w:lvlText w:val="%2."/>
      <w:lvlJc w:val="left"/>
      <w:pPr>
        <w:ind w:left="1440" w:hanging="360"/>
      </w:pPr>
    </w:lvl>
    <w:lvl w:ilvl="2" w:tplc="A11E6626">
      <w:start w:val="1"/>
      <w:numFmt w:val="lowerRoman"/>
      <w:lvlText w:val="%3."/>
      <w:lvlJc w:val="right"/>
      <w:pPr>
        <w:ind w:left="2160" w:hanging="180"/>
      </w:pPr>
    </w:lvl>
    <w:lvl w:ilvl="3" w:tplc="29CE4106">
      <w:start w:val="1"/>
      <w:numFmt w:val="decimal"/>
      <w:lvlText w:val="%4."/>
      <w:lvlJc w:val="left"/>
      <w:pPr>
        <w:ind w:left="2880" w:hanging="360"/>
      </w:pPr>
    </w:lvl>
    <w:lvl w:ilvl="4" w:tplc="D444D812">
      <w:start w:val="1"/>
      <w:numFmt w:val="lowerLetter"/>
      <w:lvlText w:val="%5."/>
      <w:lvlJc w:val="left"/>
      <w:pPr>
        <w:ind w:left="3600" w:hanging="360"/>
      </w:pPr>
    </w:lvl>
    <w:lvl w:ilvl="5" w:tplc="CF42B4F0">
      <w:start w:val="1"/>
      <w:numFmt w:val="lowerRoman"/>
      <w:lvlText w:val="%6."/>
      <w:lvlJc w:val="right"/>
      <w:pPr>
        <w:ind w:left="4320" w:hanging="180"/>
      </w:pPr>
    </w:lvl>
    <w:lvl w:ilvl="6" w:tplc="0700C77A">
      <w:start w:val="1"/>
      <w:numFmt w:val="decimal"/>
      <w:lvlText w:val="%7."/>
      <w:lvlJc w:val="left"/>
      <w:pPr>
        <w:ind w:left="5040" w:hanging="360"/>
      </w:pPr>
    </w:lvl>
    <w:lvl w:ilvl="7" w:tplc="17E63D3A">
      <w:start w:val="1"/>
      <w:numFmt w:val="lowerLetter"/>
      <w:lvlText w:val="%8."/>
      <w:lvlJc w:val="left"/>
      <w:pPr>
        <w:ind w:left="5760" w:hanging="360"/>
      </w:pPr>
    </w:lvl>
    <w:lvl w:ilvl="8" w:tplc="4482C260">
      <w:start w:val="1"/>
      <w:numFmt w:val="lowerRoman"/>
      <w:lvlText w:val="%9."/>
      <w:lvlJc w:val="right"/>
      <w:pPr>
        <w:ind w:left="6480" w:hanging="180"/>
      </w:pPr>
    </w:lvl>
  </w:abstractNum>
  <w:abstractNum w:abstractNumId="17" w15:restartNumberingAfterBreak="0">
    <w:nsid w:val="0FFB5314"/>
    <w:multiLevelType w:val="hybridMultilevel"/>
    <w:tmpl w:val="0B088D8A"/>
    <w:lvl w:ilvl="0" w:tplc="18090011">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00D6C98"/>
    <w:multiLevelType w:val="hybridMultilevel"/>
    <w:tmpl w:val="C1183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0E31054"/>
    <w:multiLevelType w:val="hybridMultilevel"/>
    <w:tmpl w:val="56EE6114"/>
    <w:lvl w:ilvl="0" w:tplc="CFA0E118">
      <w:start w:val="1"/>
      <w:numFmt w:val="decimal"/>
      <w:lvlText w:val="%1."/>
      <w:lvlJc w:val="left"/>
      <w:pPr>
        <w:ind w:left="720" w:hanging="360"/>
      </w:pPr>
    </w:lvl>
    <w:lvl w:ilvl="1" w:tplc="FB12925A">
      <w:start w:val="1"/>
      <w:numFmt w:val="lowerLetter"/>
      <w:lvlText w:val="%2."/>
      <w:lvlJc w:val="left"/>
      <w:pPr>
        <w:ind w:left="1440" w:hanging="360"/>
      </w:pPr>
    </w:lvl>
    <w:lvl w:ilvl="2" w:tplc="20E2E64E">
      <w:start w:val="1"/>
      <w:numFmt w:val="lowerRoman"/>
      <w:lvlText w:val="%3."/>
      <w:lvlJc w:val="right"/>
      <w:pPr>
        <w:ind w:left="2160" w:hanging="180"/>
      </w:pPr>
    </w:lvl>
    <w:lvl w:ilvl="3" w:tplc="FB6E4BF0">
      <w:start w:val="1"/>
      <w:numFmt w:val="decimal"/>
      <w:lvlText w:val="%4."/>
      <w:lvlJc w:val="left"/>
      <w:pPr>
        <w:ind w:left="2880" w:hanging="360"/>
      </w:pPr>
    </w:lvl>
    <w:lvl w:ilvl="4" w:tplc="918E96C4">
      <w:start w:val="1"/>
      <w:numFmt w:val="lowerLetter"/>
      <w:lvlText w:val="%5."/>
      <w:lvlJc w:val="left"/>
      <w:pPr>
        <w:ind w:left="3600" w:hanging="360"/>
      </w:pPr>
    </w:lvl>
    <w:lvl w:ilvl="5" w:tplc="5AF2756E">
      <w:start w:val="1"/>
      <w:numFmt w:val="lowerRoman"/>
      <w:lvlText w:val="%6."/>
      <w:lvlJc w:val="right"/>
      <w:pPr>
        <w:ind w:left="4320" w:hanging="180"/>
      </w:pPr>
    </w:lvl>
    <w:lvl w:ilvl="6" w:tplc="863E6374">
      <w:start w:val="1"/>
      <w:numFmt w:val="decimal"/>
      <w:lvlText w:val="%7."/>
      <w:lvlJc w:val="left"/>
      <w:pPr>
        <w:ind w:left="5040" w:hanging="360"/>
      </w:pPr>
    </w:lvl>
    <w:lvl w:ilvl="7" w:tplc="DC2066C6">
      <w:start w:val="1"/>
      <w:numFmt w:val="lowerLetter"/>
      <w:lvlText w:val="%8."/>
      <w:lvlJc w:val="left"/>
      <w:pPr>
        <w:ind w:left="5760" w:hanging="360"/>
      </w:pPr>
    </w:lvl>
    <w:lvl w:ilvl="8" w:tplc="591E6DF6">
      <w:start w:val="1"/>
      <w:numFmt w:val="lowerRoman"/>
      <w:lvlText w:val="%9."/>
      <w:lvlJc w:val="right"/>
      <w:pPr>
        <w:ind w:left="6480" w:hanging="180"/>
      </w:pPr>
    </w:lvl>
  </w:abstractNum>
  <w:abstractNum w:abstractNumId="20" w15:restartNumberingAfterBreak="0">
    <w:nsid w:val="13281B67"/>
    <w:multiLevelType w:val="hybridMultilevel"/>
    <w:tmpl w:val="A6605D12"/>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1" w15:restartNumberingAfterBreak="0">
    <w:nsid w:val="14244ED7"/>
    <w:multiLevelType w:val="multilevel"/>
    <w:tmpl w:val="980696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4ED7B12"/>
    <w:multiLevelType w:val="hybridMultilevel"/>
    <w:tmpl w:val="29EA5478"/>
    <w:lvl w:ilvl="0" w:tplc="7AACA2A8">
      <w:start w:val="1"/>
      <w:numFmt w:val="lowerRoman"/>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3" w15:restartNumberingAfterBreak="0">
    <w:nsid w:val="15E226B0"/>
    <w:multiLevelType w:val="multilevel"/>
    <w:tmpl w:val="C5D2BA5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165622D8"/>
    <w:multiLevelType w:val="hybridMultilevel"/>
    <w:tmpl w:val="E6E46808"/>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165C3F6D"/>
    <w:multiLevelType w:val="hybridMultilevel"/>
    <w:tmpl w:val="4EDE002A"/>
    <w:lvl w:ilvl="0" w:tplc="9E1AC07E">
      <w:start w:val="1"/>
      <w:numFmt w:val="bullet"/>
      <w:lvlText w:val="·"/>
      <w:lvlJc w:val="left"/>
      <w:pPr>
        <w:ind w:left="720" w:hanging="360"/>
      </w:pPr>
      <w:rPr>
        <w:rFonts w:ascii="Symbol" w:hAnsi="Symbol" w:hint="default"/>
      </w:rPr>
    </w:lvl>
    <w:lvl w:ilvl="1" w:tplc="508224BC">
      <w:start w:val="1"/>
      <w:numFmt w:val="bullet"/>
      <w:lvlText w:val="o"/>
      <w:lvlJc w:val="left"/>
      <w:pPr>
        <w:ind w:left="1440" w:hanging="360"/>
      </w:pPr>
      <w:rPr>
        <w:rFonts w:ascii="Courier New" w:hAnsi="Courier New" w:hint="default"/>
      </w:rPr>
    </w:lvl>
    <w:lvl w:ilvl="2" w:tplc="9F481042">
      <w:start w:val="1"/>
      <w:numFmt w:val="bullet"/>
      <w:lvlText w:val=""/>
      <w:lvlJc w:val="left"/>
      <w:pPr>
        <w:ind w:left="2160" w:hanging="360"/>
      </w:pPr>
      <w:rPr>
        <w:rFonts w:ascii="Wingdings" w:hAnsi="Wingdings" w:hint="default"/>
      </w:rPr>
    </w:lvl>
    <w:lvl w:ilvl="3" w:tplc="23665F78">
      <w:start w:val="1"/>
      <w:numFmt w:val="bullet"/>
      <w:lvlText w:val=""/>
      <w:lvlJc w:val="left"/>
      <w:pPr>
        <w:ind w:left="2880" w:hanging="360"/>
      </w:pPr>
      <w:rPr>
        <w:rFonts w:ascii="Symbol" w:hAnsi="Symbol" w:hint="default"/>
      </w:rPr>
    </w:lvl>
    <w:lvl w:ilvl="4" w:tplc="F2821104">
      <w:start w:val="1"/>
      <w:numFmt w:val="bullet"/>
      <w:lvlText w:val="o"/>
      <w:lvlJc w:val="left"/>
      <w:pPr>
        <w:ind w:left="3600" w:hanging="360"/>
      </w:pPr>
      <w:rPr>
        <w:rFonts w:ascii="Courier New" w:hAnsi="Courier New" w:hint="default"/>
      </w:rPr>
    </w:lvl>
    <w:lvl w:ilvl="5" w:tplc="1A8256D0">
      <w:start w:val="1"/>
      <w:numFmt w:val="bullet"/>
      <w:lvlText w:val=""/>
      <w:lvlJc w:val="left"/>
      <w:pPr>
        <w:ind w:left="4320" w:hanging="360"/>
      </w:pPr>
      <w:rPr>
        <w:rFonts w:ascii="Wingdings" w:hAnsi="Wingdings" w:hint="default"/>
      </w:rPr>
    </w:lvl>
    <w:lvl w:ilvl="6" w:tplc="EB802166">
      <w:start w:val="1"/>
      <w:numFmt w:val="bullet"/>
      <w:lvlText w:val=""/>
      <w:lvlJc w:val="left"/>
      <w:pPr>
        <w:ind w:left="5040" w:hanging="360"/>
      </w:pPr>
      <w:rPr>
        <w:rFonts w:ascii="Symbol" w:hAnsi="Symbol" w:hint="default"/>
      </w:rPr>
    </w:lvl>
    <w:lvl w:ilvl="7" w:tplc="CA1E5EAC">
      <w:start w:val="1"/>
      <w:numFmt w:val="bullet"/>
      <w:lvlText w:val="o"/>
      <w:lvlJc w:val="left"/>
      <w:pPr>
        <w:ind w:left="5760" w:hanging="360"/>
      </w:pPr>
      <w:rPr>
        <w:rFonts w:ascii="Courier New" w:hAnsi="Courier New" w:hint="default"/>
      </w:rPr>
    </w:lvl>
    <w:lvl w:ilvl="8" w:tplc="5F70D53E">
      <w:start w:val="1"/>
      <w:numFmt w:val="bullet"/>
      <w:lvlText w:val=""/>
      <w:lvlJc w:val="left"/>
      <w:pPr>
        <w:ind w:left="6480" w:hanging="360"/>
      </w:pPr>
      <w:rPr>
        <w:rFonts w:ascii="Wingdings" w:hAnsi="Wingdings" w:hint="default"/>
      </w:rPr>
    </w:lvl>
  </w:abstractNum>
  <w:abstractNum w:abstractNumId="26" w15:restartNumberingAfterBreak="0">
    <w:nsid w:val="17280188"/>
    <w:multiLevelType w:val="hybridMultilevel"/>
    <w:tmpl w:val="E94EFBCE"/>
    <w:lvl w:ilvl="0" w:tplc="28B87E4A">
      <w:start w:val="1"/>
      <w:numFmt w:val="bullet"/>
      <w:lvlText w:val="-"/>
      <w:lvlJc w:val="left"/>
      <w:pPr>
        <w:ind w:left="720" w:hanging="360"/>
      </w:pPr>
      <w:rPr>
        <w:rFonts w:ascii="Times New Roman" w:eastAsia="Times New Roman" w:hAnsi="Times New Roman" w:cs="Times New Roman" w:hint="default"/>
      </w:rPr>
    </w:lvl>
    <w:lvl w:ilvl="1" w:tplc="D820F8FC">
      <w:numFmt w:val="bullet"/>
      <w:lvlText w:val="-"/>
      <w:lvlJc w:val="left"/>
      <w:pPr>
        <w:ind w:left="1440" w:hanging="360"/>
      </w:pPr>
      <w:rPr>
        <w:rFonts w:ascii="Calibri" w:eastAsiaTheme="minorHAnsi" w:hAnsi="Calibri" w:cs="Calibri"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18220F9B"/>
    <w:multiLevelType w:val="hybridMultilevel"/>
    <w:tmpl w:val="BCACA684"/>
    <w:lvl w:ilvl="0" w:tplc="18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43AF22"/>
    <w:multiLevelType w:val="hybridMultilevel"/>
    <w:tmpl w:val="FFFFFFFF"/>
    <w:lvl w:ilvl="0" w:tplc="F2F688FA">
      <w:start w:val="1"/>
      <w:numFmt w:val="decimal"/>
      <w:lvlText w:val="%1."/>
      <w:lvlJc w:val="left"/>
      <w:pPr>
        <w:ind w:left="720" w:hanging="360"/>
      </w:pPr>
    </w:lvl>
    <w:lvl w:ilvl="1" w:tplc="8562956E">
      <w:start w:val="1"/>
      <w:numFmt w:val="lowerLetter"/>
      <w:lvlText w:val="%2."/>
      <w:lvlJc w:val="left"/>
      <w:pPr>
        <w:ind w:left="1440" w:hanging="360"/>
      </w:pPr>
    </w:lvl>
    <w:lvl w:ilvl="2" w:tplc="48623FFC">
      <w:start w:val="1"/>
      <w:numFmt w:val="lowerRoman"/>
      <w:lvlText w:val="%3."/>
      <w:lvlJc w:val="right"/>
      <w:pPr>
        <w:ind w:left="2160" w:hanging="180"/>
      </w:pPr>
    </w:lvl>
    <w:lvl w:ilvl="3" w:tplc="131EE938">
      <w:start w:val="1"/>
      <w:numFmt w:val="decimal"/>
      <w:lvlText w:val="%4."/>
      <w:lvlJc w:val="left"/>
      <w:pPr>
        <w:ind w:left="2880" w:hanging="360"/>
      </w:pPr>
    </w:lvl>
    <w:lvl w:ilvl="4" w:tplc="B178D99A">
      <w:start w:val="1"/>
      <w:numFmt w:val="lowerLetter"/>
      <w:lvlText w:val="%5."/>
      <w:lvlJc w:val="left"/>
      <w:pPr>
        <w:ind w:left="3600" w:hanging="360"/>
      </w:pPr>
    </w:lvl>
    <w:lvl w:ilvl="5" w:tplc="9EE2F188">
      <w:start w:val="1"/>
      <w:numFmt w:val="lowerRoman"/>
      <w:lvlText w:val="%6."/>
      <w:lvlJc w:val="right"/>
      <w:pPr>
        <w:ind w:left="4320" w:hanging="180"/>
      </w:pPr>
    </w:lvl>
    <w:lvl w:ilvl="6" w:tplc="9EB049AA">
      <w:start w:val="1"/>
      <w:numFmt w:val="decimal"/>
      <w:lvlText w:val="%7."/>
      <w:lvlJc w:val="left"/>
      <w:pPr>
        <w:ind w:left="5040" w:hanging="360"/>
      </w:pPr>
    </w:lvl>
    <w:lvl w:ilvl="7" w:tplc="66D67C22">
      <w:start w:val="1"/>
      <w:numFmt w:val="lowerLetter"/>
      <w:lvlText w:val="%8."/>
      <w:lvlJc w:val="left"/>
      <w:pPr>
        <w:ind w:left="5760" w:hanging="360"/>
      </w:pPr>
    </w:lvl>
    <w:lvl w:ilvl="8" w:tplc="8EF6D5DA">
      <w:start w:val="1"/>
      <w:numFmt w:val="lowerRoman"/>
      <w:lvlText w:val="%9."/>
      <w:lvlJc w:val="right"/>
      <w:pPr>
        <w:ind w:left="6480" w:hanging="180"/>
      </w:pPr>
    </w:lvl>
  </w:abstractNum>
  <w:abstractNum w:abstractNumId="29" w15:restartNumberingAfterBreak="0">
    <w:nsid w:val="19811323"/>
    <w:multiLevelType w:val="hybridMultilevel"/>
    <w:tmpl w:val="D428AE04"/>
    <w:lvl w:ilvl="0" w:tplc="D8CCA47E">
      <w:start w:val="1"/>
      <w:numFmt w:val="bullet"/>
      <w:lvlText w:val="-"/>
      <w:lvlJc w:val="left"/>
      <w:pPr>
        <w:ind w:left="1429" w:hanging="360"/>
      </w:pPr>
      <w:rPr>
        <w:rFonts w:ascii="&quot;Times New Roman&quot;,serif" w:hAnsi="&quot;Times New Roman&quot;,serif"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3number"/>
      <w:lvlText w:val="(%2)"/>
      <w:lvlJc w:val="left"/>
      <w:pPr>
        <w:tabs>
          <w:tab w:val="num" w:pos="850"/>
        </w:tabs>
        <w:ind w:left="850" w:hanging="850"/>
      </w:pPr>
    </w:lvl>
    <w:lvl w:ilvl="2">
      <w:start w:val="1"/>
      <w:numFmt w:val="decimal"/>
      <w:pStyle w:val="Point0number"/>
      <w:lvlText w:val="(%3)"/>
      <w:lvlJc w:val="left"/>
      <w:pPr>
        <w:tabs>
          <w:tab w:val="num" w:pos="1417"/>
        </w:tabs>
        <w:ind w:left="1417" w:hanging="567"/>
      </w:pPr>
    </w:lvl>
    <w:lvl w:ilvl="3">
      <w:start w:val="1"/>
      <w:numFmt w:val="lowerLetter"/>
      <w:pStyle w:val="Point0letter"/>
      <w:lvlText w:val="(%4)"/>
      <w:lvlJc w:val="left"/>
      <w:pPr>
        <w:tabs>
          <w:tab w:val="num" w:pos="1417"/>
        </w:tabs>
        <w:ind w:left="1417" w:hanging="567"/>
      </w:pPr>
    </w:lvl>
    <w:lvl w:ilvl="4">
      <w:start w:val="1"/>
      <w:numFmt w:val="decimal"/>
      <w:pStyle w:val="Point1number"/>
      <w:lvlText w:val="(%5)"/>
      <w:lvlJc w:val="left"/>
      <w:pPr>
        <w:tabs>
          <w:tab w:val="num" w:pos="1984"/>
        </w:tabs>
        <w:ind w:left="1984" w:hanging="567"/>
      </w:pPr>
    </w:lvl>
    <w:lvl w:ilvl="5">
      <w:start w:val="1"/>
      <w:numFmt w:val="lowerLetter"/>
      <w:pStyle w:val="Point1letter"/>
      <w:lvlText w:val="(%6)"/>
      <w:lvlJc w:val="left"/>
      <w:pPr>
        <w:tabs>
          <w:tab w:val="num" w:pos="1984"/>
        </w:tabs>
        <w:ind w:left="1984" w:hanging="567"/>
      </w:pPr>
    </w:lvl>
    <w:lvl w:ilvl="6">
      <w:start w:val="1"/>
      <w:numFmt w:val="decimal"/>
      <w:pStyle w:val="Point2number"/>
      <w:lvlText w:val="(%7)"/>
      <w:lvlJc w:val="left"/>
      <w:pPr>
        <w:tabs>
          <w:tab w:val="num" w:pos="2551"/>
        </w:tabs>
        <w:ind w:left="2551" w:hanging="567"/>
      </w:pPr>
    </w:lvl>
    <w:lvl w:ilvl="7">
      <w:start w:val="1"/>
      <w:numFmt w:val="lowerLetter"/>
      <w:pStyle w:val="Point2letter"/>
      <w:lvlText w:val="(%8)"/>
      <w:lvlJc w:val="left"/>
      <w:pPr>
        <w:tabs>
          <w:tab w:val="num" w:pos="2551"/>
        </w:tabs>
        <w:ind w:left="2551" w:hanging="567"/>
      </w:pPr>
    </w:lvl>
    <w:lvl w:ilvl="8">
      <w:start w:val="1"/>
      <w:numFmt w:val="lowerLetter"/>
      <w:pStyle w:val="Point3letter"/>
      <w:lvlText w:val="(%9)"/>
      <w:lvlJc w:val="left"/>
      <w:pPr>
        <w:tabs>
          <w:tab w:val="num" w:pos="3118"/>
        </w:tabs>
        <w:ind w:left="3118" w:hanging="567"/>
      </w:pPr>
    </w:lvl>
  </w:abstractNum>
  <w:abstractNum w:abstractNumId="31" w15:restartNumberingAfterBreak="0">
    <w:nsid w:val="1E317D26"/>
    <w:multiLevelType w:val="hybridMultilevel"/>
    <w:tmpl w:val="F2566412"/>
    <w:lvl w:ilvl="0" w:tplc="7CC4E43C">
      <w:start w:val="1"/>
      <w:numFmt w:val="decimal"/>
      <w:lvlText w:val="%1."/>
      <w:lvlJc w:val="left"/>
      <w:pPr>
        <w:ind w:left="720" w:hanging="360"/>
      </w:pPr>
    </w:lvl>
    <w:lvl w:ilvl="1" w:tplc="98B4BE10">
      <w:start w:val="1"/>
      <w:numFmt w:val="lowerLetter"/>
      <w:lvlText w:val="%2."/>
      <w:lvlJc w:val="left"/>
      <w:pPr>
        <w:ind w:left="1440" w:hanging="360"/>
      </w:pPr>
    </w:lvl>
    <w:lvl w:ilvl="2" w:tplc="E28A6A02">
      <w:start w:val="1"/>
      <w:numFmt w:val="lowerRoman"/>
      <w:lvlText w:val="%3."/>
      <w:lvlJc w:val="right"/>
      <w:pPr>
        <w:ind w:left="2160" w:hanging="180"/>
      </w:pPr>
    </w:lvl>
    <w:lvl w:ilvl="3" w:tplc="6EB468B2">
      <w:start w:val="1"/>
      <w:numFmt w:val="decimal"/>
      <w:lvlText w:val="%4."/>
      <w:lvlJc w:val="left"/>
      <w:pPr>
        <w:ind w:left="2880" w:hanging="360"/>
      </w:pPr>
    </w:lvl>
    <w:lvl w:ilvl="4" w:tplc="DD965FD8">
      <w:start w:val="1"/>
      <w:numFmt w:val="lowerLetter"/>
      <w:lvlText w:val="%5."/>
      <w:lvlJc w:val="left"/>
      <w:pPr>
        <w:ind w:left="3600" w:hanging="360"/>
      </w:pPr>
    </w:lvl>
    <w:lvl w:ilvl="5" w:tplc="4E466424">
      <w:start w:val="1"/>
      <w:numFmt w:val="lowerRoman"/>
      <w:lvlText w:val="%6."/>
      <w:lvlJc w:val="right"/>
      <w:pPr>
        <w:ind w:left="4320" w:hanging="180"/>
      </w:pPr>
    </w:lvl>
    <w:lvl w:ilvl="6" w:tplc="2174BC9C">
      <w:start w:val="1"/>
      <w:numFmt w:val="decimal"/>
      <w:lvlText w:val="%7."/>
      <w:lvlJc w:val="left"/>
      <w:pPr>
        <w:ind w:left="5040" w:hanging="360"/>
      </w:pPr>
    </w:lvl>
    <w:lvl w:ilvl="7" w:tplc="3EA00D02">
      <w:start w:val="1"/>
      <w:numFmt w:val="lowerLetter"/>
      <w:lvlText w:val="%8."/>
      <w:lvlJc w:val="left"/>
      <w:pPr>
        <w:ind w:left="5760" w:hanging="360"/>
      </w:pPr>
    </w:lvl>
    <w:lvl w:ilvl="8" w:tplc="4616220A">
      <w:start w:val="1"/>
      <w:numFmt w:val="lowerRoman"/>
      <w:lvlText w:val="%9."/>
      <w:lvlJc w:val="right"/>
      <w:pPr>
        <w:ind w:left="6480" w:hanging="180"/>
      </w:pPr>
    </w:lvl>
  </w:abstractNum>
  <w:abstractNum w:abstractNumId="32" w15:restartNumberingAfterBreak="0">
    <w:nsid w:val="1E950445"/>
    <w:multiLevelType w:val="multilevel"/>
    <w:tmpl w:val="610804BC"/>
    <w:lvl w:ilvl="0">
      <w:start w:val="1"/>
      <w:numFmt w:val="decimal"/>
      <w:lvlText w:val="%1."/>
      <w:lvlJc w:val="left"/>
      <w:pPr>
        <w:ind w:left="476" w:hanging="476"/>
      </w:pPr>
      <w:rPr>
        <w:rFonts w:hint="default"/>
        <w:b/>
        <w:bCs/>
      </w:rPr>
    </w:lvl>
    <w:lvl w:ilvl="1">
      <w:start w:val="1"/>
      <w:numFmt w:val="lowerLetter"/>
      <w:lvlText w:val="%2)"/>
      <w:lvlJc w:val="left"/>
      <w:pPr>
        <w:ind w:left="836" w:hanging="360"/>
      </w:p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1F000BCD"/>
    <w:multiLevelType w:val="hybridMultilevel"/>
    <w:tmpl w:val="E334FCE4"/>
    <w:lvl w:ilvl="0" w:tplc="41A8472E">
      <w:start w:val="1"/>
      <w:numFmt w:val="bullet"/>
      <w:lvlText w:val="-"/>
      <w:lvlJc w:val="left"/>
      <w:pPr>
        <w:ind w:left="720" w:hanging="360"/>
      </w:pPr>
      <w:rPr>
        <w:rFonts w:ascii="Calibri" w:hAnsi="Calibri" w:hint="default"/>
      </w:rPr>
    </w:lvl>
    <w:lvl w:ilvl="1" w:tplc="1382DC1A">
      <w:start w:val="1"/>
      <w:numFmt w:val="bullet"/>
      <w:lvlText w:val="o"/>
      <w:lvlJc w:val="left"/>
      <w:pPr>
        <w:ind w:left="1440" w:hanging="360"/>
      </w:pPr>
      <w:rPr>
        <w:rFonts w:ascii="Courier New" w:hAnsi="Courier New" w:hint="default"/>
      </w:rPr>
    </w:lvl>
    <w:lvl w:ilvl="2" w:tplc="4A086676">
      <w:start w:val="1"/>
      <w:numFmt w:val="bullet"/>
      <w:lvlText w:val=""/>
      <w:lvlJc w:val="left"/>
      <w:pPr>
        <w:ind w:left="2160" w:hanging="360"/>
      </w:pPr>
      <w:rPr>
        <w:rFonts w:ascii="Wingdings" w:hAnsi="Wingdings" w:hint="default"/>
      </w:rPr>
    </w:lvl>
    <w:lvl w:ilvl="3" w:tplc="24D8C2E8">
      <w:start w:val="1"/>
      <w:numFmt w:val="bullet"/>
      <w:lvlText w:val=""/>
      <w:lvlJc w:val="left"/>
      <w:pPr>
        <w:ind w:left="2880" w:hanging="360"/>
      </w:pPr>
      <w:rPr>
        <w:rFonts w:ascii="Symbol" w:hAnsi="Symbol" w:hint="default"/>
      </w:rPr>
    </w:lvl>
    <w:lvl w:ilvl="4" w:tplc="B8C04682">
      <w:start w:val="1"/>
      <w:numFmt w:val="bullet"/>
      <w:lvlText w:val="o"/>
      <w:lvlJc w:val="left"/>
      <w:pPr>
        <w:ind w:left="3600" w:hanging="360"/>
      </w:pPr>
      <w:rPr>
        <w:rFonts w:ascii="Courier New" w:hAnsi="Courier New" w:hint="default"/>
      </w:rPr>
    </w:lvl>
    <w:lvl w:ilvl="5" w:tplc="7D3033D2">
      <w:start w:val="1"/>
      <w:numFmt w:val="bullet"/>
      <w:lvlText w:val=""/>
      <w:lvlJc w:val="left"/>
      <w:pPr>
        <w:ind w:left="4320" w:hanging="360"/>
      </w:pPr>
      <w:rPr>
        <w:rFonts w:ascii="Wingdings" w:hAnsi="Wingdings" w:hint="default"/>
      </w:rPr>
    </w:lvl>
    <w:lvl w:ilvl="6" w:tplc="53D233BC">
      <w:start w:val="1"/>
      <w:numFmt w:val="bullet"/>
      <w:lvlText w:val=""/>
      <w:lvlJc w:val="left"/>
      <w:pPr>
        <w:ind w:left="5040" w:hanging="360"/>
      </w:pPr>
      <w:rPr>
        <w:rFonts w:ascii="Symbol" w:hAnsi="Symbol" w:hint="default"/>
      </w:rPr>
    </w:lvl>
    <w:lvl w:ilvl="7" w:tplc="187CA474">
      <w:start w:val="1"/>
      <w:numFmt w:val="bullet"/>
      <w:lvlText w:val="o"/>
      <w:lvlJc w:val="left"/>
      <w:pPr>
        <w:ind w:left="5760" w:hanging="360"/>
      </w:pPr>
      <w:rPr>
        <w:rFonts w:ascii="Courier New" w:hAnsi="Courier New" w:hint="default"/>
      </w:rPr>
    </w:lvl>
    <w:lvl w:ilvl="8" w:tplc="726C11C6">
      <w:start w:val="1"/>
      <w:numFmt w:val="bullet"/>
      <w:lvlText w:val=""/>
      <w:lvlJc w:val="left"/>
      <w:pPr>
        <w:ind w:left="6480" w:hanging="360"/>
      </w:pPr>
      <w:rPr>
        <w:rFonts w:ascii="Wingdings" w:hAnsi="Wingdings" w:hint="default"/>
      </w:rPr>
    </w:lvl>
  </w:abstractNum>
  <w:abstractNum w:abstractNumId="34"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lvl>
    <w:lvl w:ilvl="1">
      <w:start w:val="1"/>
      <w:numFmt w:val="decimal"/>
      <w:pStyle w:val="NumPar1"/>
      <w:lvlText w:val="%1.%2."/>
      <w:lvlJc w:val="left"/>
      <w:pPr>
        <w:tabs>
          <w:tab w:val="num" w:pos="850"/>
        </w:tabs>
        <w:ind w:left="850" w:hanging="850"/>
      </w:pPr>
    </w:lvl>
    <w:lvl w:ilvl="2">
      <w:start w:val="1"/>
      <w:numFmt w:val="decimal"/>
      <w:pStyle w:val="NumPar2"/>
      <w:lvlText w:val="%1.%2.%3."/>
      <w:lvlJc w:val="left"/>
      <w:pPr>
        <w:tabs>
          <w:tab w:val="num" w:pos="850"/>
        </w:tabs>
        <w:ind w:left="850" w:hanging="850"/>
      </w:pPr>
    </w:lvl>
    <w:lvl w:ilvl="3">
      <w:start w:val="1"/>
      <w:numFmt w:val="decimal"/>
      <w:pStyle w:val="NumPar3"/>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3164AFB"/>
    <w:multiLevelType w:val="hybridMultilevel"/>
    <w:tmpl w:val="8B6C2238"/>
    <w:lvl w:ilvl="0" w:tplc="1C2C3C14">
      <w:start w:val="1"/>
      <w:numFmt w:val="decimal"/>
      <w:lvlText w:val="%1."/>
      <w:lvlJc w:val="left"/>
      <w:pPr>
        <w:ind w:left="1080" w:hanging="360"/>
      </w:pPr>
    </w:lvl>
    <w:lvl w:ilvl="1" w:tplc="400CA014">
      <w:start w:val="1"/>
      <w:numFmt w:val="lowerLetter"/>
      <w:lvlText w:val="%2."/>
      <w:lvlJc w:val="left"/>
      <w:pPr>
        <w:ind w:left="1800" w:hanging="360"/>
      </w:pPr>
    </w:lvl>
    <w:lvl w:ilvl="2" w:tplc="9FE250C4">
      <w:start w:val="1"/>
      <w:numFmt w:val="lowerRoman"/>
      <w:lvlText w:val="%3."/>
      <w:lvlJc w:val="right"/>
      <w:pPr>
        <w:ind w:left="2520" w:hanging="180"/>
      </w:pPr>
    </w:lvl>
    <w:lvl w:ilvl="3" w:tplc="0220BE9C">
      <w:start w:val="1"/>
      <w:numFmt w:val="decimal"/>
      <w:lvlText w:val="%4."/>
      <w:lvlJc w:val="left"/>
      <w:pPr>
        <w:ind w:left="3240" w:hanging="360"/>
      </w:pPr>
    </w:lvl>
    <w:lvl w:ilvl="4" w:tplc="194015C8">
      <w:start w:val="1"/>
      <w:numFmt w:val="lowerLetter"/>
      <w:lvlText w:val="%5."/>
      <w:lvlJc w:val="left"/>
      <w:pPr>
        <w:ind w:left="3960" w:hanging="360"/>
      </w:pPr>
    </w:lvl>
    <w:lvl w:ilvl="5" w:tplc="FD30D5EA">
      <w:start w:val="1"/>
      <w:numFmt w:val="lowerRoman"/>
      <w:lvlText w:val="%6."/>
      <w:lvlJc w:val="right"/>
      <w:pPr>
        <w:ind w:left="4680" w:hanging="180"/>
      </w:pPr>
    </w:lvl>
    <w:lvl w:ilvl="6" w:tplc="17522B08">
      <w:start w:val="1"/>
      <w:numFmt w:val="decimal"/>
      <w:lvlText w:val="%7."/>
      <w:lvlJc w:val="left"/>
      <w:pPr>
        <w:ind w:left="5400" w:hanging="360"/>
      </w:pPr>
    </w:lvl>
    <w:lvl w:ilvl="7" w:tplc="1C7E61F4">
      <w:start w:val="1"/>
      <w:numFmt w:val="lowerLetter"/>
      <w:lvlText w:val="%8."/>
      <w:lvlJc w:val="left"/>
      <w:pPr>
        <w:ind w:left="6120" w:hanging="360"/>
      </w:pPr>
    </w:lvl>
    <w:lvl w:ilvl="8" w:tplc="2A36D5F2">
      <w:start w:val="1"/>
      <w:numFmt w:val="lowerRoman"/>
      <w:lvlText w:val="%9."/>
      <w:lvlJc w:val="right"/>
      <w:pPr>
        <w:ind w:left="6840" w:hanging="180"/>
      </w:pPr>
    </w:lvl>
  </w:abstractNum>
  <w:abstractNum w:abstractNumId="36" w15:restartNumberingAfterBreak="0">
    <w:nsid w:val="24AF1572"/>
    <w:multiLevelType w:val="singleLevel"/>
    <w:tmpl w:val="3FE82790"/>
    <w:styleLink w:val="Puntielenco0"/>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6E7148B"/>
    <w:multiLevelType w:val="hybridMultilevel"/>
    <w:tmpl w:val="AE1ABF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281E48E5"/>
    <w:multiLevelType w:val="hybridMultilevel"/>
    <w:tmpl w:val="670CB30C"/>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9" w15:restartNumberingAfterBreak="0">
    <w:nsid w:val="282C67BF"/>
    <w:multiLevelType w:val="hybridMultilevel"/>
    <w:tmpl w:val="8DC0602E"/>
    <w:lvl w:ilvl="0" w:tplc="FFFFFFFF">
      <w:start w:val="1"/>
      <w:numFmt w:val="lowerLetter"/>
      <w:lvlText w:val="%1."/>
      <w:lvlJc w:val="left"/>
      <w:pPr>
        <w:ind w:left="720" w:hanging="360"/>
      </w:pPr>
    </w:lvl>
    <w:lvl w:ilvl="1" w:tplc="1809000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839411F"/>
    <w:multiLevelType w:val="hybridMultilevel"/>
    <w:tmpl w:val="0F08FEE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1" w15:restartNumberingAfterBreak="0">
    <w:nsid w:val="28BD17F5"/>
    <w:multiLevelType w:val="hybridMultilevel"/>
    <w:tmpl w:val="6E3089F2"/>
    <w:lvl w:ilvl="0" w:tplc="6E24EB6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2A0B2753"/>
    <w:multiLevelType w:val="hybridMultilevel"/>
    <w:tmpl w:val="4ED0FDE0"/>
    <w:lvl w:ilvl="0" w:tplc="FF1EC724">
      <w:start w:val="2"/>
      <w:numFmt w:val="decimal"/>
      <w:lvlText w:val="%1."/>
      <w:lvlJc w:val="left"/>
      <w:pPr>
        <w:ind w:left="720" w:hanging="360"/>
      </w:pPr>
    </w:lvl>
    <w:lvl w:ilvl="1" w:tplc="58CCFBB0">
      <w:start w:val="1"/>
      <w:numFmt w:val="lowerLetter"/>
      <w:lvlText w:val="%2."/>
      <w:lvlJc w:val="left"/>
      <w:pPr>
        <w:ind w:left="1440" w:hanging="360"/>
      </w:pPr>
    </w:lvl>
    <w:lvl w:ilvl="2" w:tplc="3416B1D6">
      <w:start w:val="1"/>
      <w:numFmt w:val="lowerRoman"/>
      <w:lvlText w:val="%3."/>
      <w:lvlJc w:val="right"/>
      <w:pPr>
        <w:ind w:left="2160" w:hanging="180"/>
      </w:pPr>
    </w:lvl>
    <w:lvl w:ilvl="3" w:tplc="107E25C2">
      <w:start w:val="1"/>
      <w:numFmt w:val="decimal"/>
      <w:lvlText w:val="%4."/>
      <w:lvlJc w:val="left"/>
      <w:pPr>
        <w:ind w:left="2880" w:hanging="360"/>
      </w:pPr>
    </w:lvl>
    <w:lvl w:ilvl="4" w:tplc="07AA6102">
      <w:start w:val="1"/>
      <w:numFmt w:val="lowerLetter"/>
      <w:lvlText w:val="%5."/>
      <w:lvlJc w:val="left"/>
      <w:pPr>
        <w:ind w:left="3600" w:hanging="360"/>
      </w:pPr>
    </w:lvl>
    <w:lvl w:ilvl="5" w:tplc="240E7BF8">
      <w:start w:val="1"/>
      <w:numFmt w:val="lowerRoman"/>
      <w:lvlText w:val="%6."/>
      <w:lvlJc w:val="right"/>
      <w:pPr>
        <w:ind w:left="4320" w:hanging="180"/>
      </w:pPr>
    </w:lvl>
    <w:lvl w:ilvl="6" w:tplc="53322624">
      <w:start w:val="1"/>
      <w:numFmt w:val="decimal"/>
      <w:lvlText w:val="%7."/>
      <w:lvlJc w:val="left"/>
      <w:pPr>
        <w:ind w:left="5040" w:hanging="360"/>
      </w:pPr>
    </w:lvl>
    <w:lvl w:ilvl="7" w:tplc="7B9C8002">
      <w:start w:val="1"/>
      <w:numFmt w:val="lowerLetter"/>
      <w:lvlText w:val="%8."/>
      <w:lvlJc w:val="left"/>
      <w:pPr>
        <w:ind w:left="5760" w:hanging="360"/>
      </w:pPr>
    </w:lvl>
    <w:lvl w:ilvl="8" w:tplc="40929C8C">
      <w:start w:val="1"/>
      <w:numFmt w:val="lowerRoman"/>
      <w:lvlText w:val="%9."/>
      <w:lvlJc w:val="right"/>
      <w:pPr>
        <w:ind w:left="6480" w:hanging="180"/>
      </w:pPr>
    </w:lvl>
  </w:abstractNum>
  <w:abstractNum w:abstractNumId="43" w15:restartNumberingAfterBreak="0">
    <w:nsid w:val="2A4C5E6E"/>
    <w:multiLevelType w:val="hybridMultilevel"/>
    <w:tmpl w:val="B7D874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4" w15:restartNumberingAfterBreak="0">
    <w:nsid w:val="2A8C6896"/>
    <w:multiLevelType w:val="hybridMultilevel"/>
    <w:tmpl w:val="2C564158"/>
    <w:lvl w:ilvl="0" w:tplc="18090015">
      <w:start w:val="17"/>
      <w:numFmt w:val="upperLetter"/>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5" w15:restartNumberingAfterBreak="0">
    <w:nsid w:val="2A92660E"/>
    <w:multiLevelType w:val="hybridMultilevel"/>
    <w:tmpl w:val="E50C9DBA"/>
    <w:lvl w:ilvl="0" w:tplc="2EE8D43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B436764"/>
    <w:multiLevelType w:val="hybridMultilevel"/>
    <w:tmpl w:val="8DE88880"/>
    <w:lvl w:ilvl="0" w:tplc="B476C69E">
      <w:start w:val="1"/>
      <w:numFmt w:val="bullet"/>
      <w:lvlText w:val="-"/>
      <w:lvlJc w:val="left"/>
      <w:pPr>
        <w:ind w:left="1429" w:hanging="360"/>
      </w:pPr>
      <w:rPr>
        <w:rFonts w:ascii="Times" w:eastAsiaTheme="minorHAnsi" w:hAnsi="Times" w:cs="Time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48" w15:restartNumberingAfterBreak="0">
    <w:nsid w:val="2D7B7DD8"/>
    <w:multiLevelType w:val="hybridMultilevel"/>
    <w:tmpl w:val="B1C8EDC6"/>
    <w:lvl w:ilvl="0" w:tplc="0809001B">
      <w:start w:val="1"/>
      <w:numFmt w:val="lowerRoman"/>
      <w:lvlText w:val="%1."/>
      <w:lvlJc w:val="right"/>
      <w:pPr>
        <w:ind w:left="1200" w:hanging="360"/>
      </w:pPr>
      <w:rPr>
        <w:rFonts w:hint="default"/>
      </w:rPr>
    </w:lvl>
    <w:lvl w:ilvl="1" w:tplc="080C0003" w:tentative="1">
      <w:start w:val="1"/>
      <w:numFmt w:val="bullet"/>
      <w:lvlText w:val="o"/>
      <w:lvlJc w:val="left"/>
      <w:pPr>
        <w:ind w:left="1920" w:hanging="360"/>
      </w:pPr>
      <w:rPr>
        <w:rFonts w:ascii="Courier New" w:hAnsi="Courier New" w:cs="Courier New" w:hint="default"/>
      </w:rPr>
    </w:lvl>
    <w:lvl w:ilvl="2" w:tplc="080C0005" w:tentative="1">
      <w:start w:val="1"/>
      <w:numFmt w:val="bullet"/>
      <w:lvlText w:val=""/>
      <w:lvlJc w:val="left"/>
      <w:pPr>
        <w:ind w:left="2640" w:hanging="360"/>
      </w:pPr>
      <w:rPr>
        <w:rFonts w:ascii="Wingdings" w:hAnsi="Wingdings" w:hint="default"/>
      </w:rPr>
    </w:lvl>
    <w:lvl w:ilvl="3" w:tplc="080C0001" w:tentative="1">
      <w:start w:val="1"/>
      <w:numFmt w:val="bullet"/>
      <w:lvlText w:val=""/>
      <w:lvlJc w:val="left"/>
      <w:pPr>
        <w:ind w:left="3360" w:hanging="360"/>
      </w:pPr>
      <w:rPr>
        <w:rFonts w:ascii="Symbol" w:hAnsi="Symbol" w:hint="default"/>
      </w:rPr>
    </w:lvl>
    <w:lvl w:ilvl="4" w:tplc="080C0003" w:tentative="1">
      <w:start w:val="1"/>
      <w:numFmt w:val="bullet"/>
      <w:lvlText w:val="o"/>
      <w:lvlJc w:val="left"/>
      <w:pPr>
        <w:ind w:left="4080" w:hanging="360"/>
      </w:pPr>
      <w:rPr>
        <w:rFonts w:ascii="Courier New" w:hAnsi="Courier New" w:cs="Courier New" w:hint="default"/>
      </w:rPr>
    </w:lvl>
    <w:lvl w:ilvl="5" w:tplc="080C0005" w:tentative="1">
      <w:start w:val="1"/>
      <w:numFmt w:val="bullet"/>
      <w:lvlText w:val=""/>
      <w:lvlJc w:val="left"/>
      <w:pPr>
        <w:ind w:left="4800" w:hanging="360"/>
      </w:pPr>
      <w:rPr>
        <w:rFonts w:ascii="Wingdings" w:hAnsi="Wingdings" w:hint="default"/>
      </w:rPr>
    </w:lvl>
    <w:lvl w:ilvl="6" w:tplc="080C0001" w:tentative="1">
      <w:start w:val="1"/>
      <w:numFmt w:val="bullet"/>
      <w:lvlText w:val=""/>
      <w:lvlJc w:val="left"/>
      <w:pPr>
        <w:ind w:left="5520" w:hanging="360"/>
      </w:pPr>
      <w:rPr>
        <w:rFonts w:ascii="Symbol" w:hAnsi="Symbol" w:hint="default"/>
      </w:rPr>
    </w:lvl>
    <w:lvl w:ilvl="7" w:tplc="080C0003" w:tentative="1">
      <w:start w:val="1"/>
      <w:numFmt w:val="bullet"/>
      <w:lvlText w:val="o"/>
      <w:lvlJc w:val="left"/>
      <w:pPr>
        <w:ind w:left="6240" w:hanging="360"/>
      </w:pPr>
      <w:rPr>
        <w:rFonts w:ascii="Courier New" w:hAnsi="Courier New" w:cs="Courier New" w:hint="default"/>
      </w:rPr>
    </w:lvl>
    <w:lvl w:ilvl="8" w:tplc="080C0005" w:tentative="1">
      <w:start w:val="1"/>
      <w:numFmt w:val="bullet"/>
      <w:lvlText w:val=""/>
      <w:lvlJc w:val="left"/>
      <w:pPr>
        <w:ind w:left="6960" w:hanging="360"/>
      </w:pPr>
      <w:rPr>
        <w:rFonts w:ascii="Wingdings" w:hAnsi="Wingdings" w:hint="default"/>
      </w:rPr>
    </w:lvl>
  </w:abstractNum>
  <w:abstractNum w:abstractNumId="49" w15:restartNumberingAfterBreak="0">
    <w:nsid w:val="2E340810"/>
    <w:multiLevelType w:val="hybridMultilevel"/>
    <w:tmpl w:val="0A2E0620"/>
    <w:lvl w:ilvl="0" w:tplc="3988A4E4">
      <w:start w:val="1"/>
      <w:numFmt w:val="decimal"/>
      <w:lvlText w:val="%1."/>
      <w:lvlJc w:val="left"/>
      <w:pPr>
        <w:ind w:left="720" w:hanging="360"/>
      </w:pPr>
    </w:lvl>
    <w:lvl w:ilvl="1" w:tplc="71A08712">
      <w:start w:val="1"/>
      <w:numFmt w:val="lowerLetter"/>
      <w:lvlText w:val="%2."/>
      <w:lvlJc w:val="left"/>
      <w:pPr>
        <w:ind w:left="1440" w:hanging="360"/>
      </w:pPr>
    </w:lvl>
    <w:lvl w:ilvl="2" w:tplc="341CA6C8">
      <w:start w:val="1"/>
      <w:numFmt w:val="lowerRoman"/>
      <w:lvlText w:val="%3."/>
      <w:lvlJc w:val="right"/>
      <w:pPr>
        <w:ind w:left="2160" w:hanging="180"/>
      </w:pPr>
    </w:lvl>
    <w:lvl w:ilvl="3" w:tplc="C2D4D574">
      <w:start w:val="1"/>
      <w:numFmt w:val="decimal"/>
      <w:lvlText w:val="%4."/>
      <w:lvlJc w:val="left"/>
      <w:pPr>
        <w:ind w:left="2880" w:hanging="360"/>
      </w:pPr>
    </w:lvl>
    <w:lvl w:ilvl="4" w:tplc="457AA47C">
      <w:start w:val="1"/>
      <w:numFmt w:val="lowerLetter"/>
      <w:lvlText w:val="%5."/>
      <w:lvlJc w:val="left"/>
      <w:pPr>
        <w:ind w:left="3600" w:hanging="360"/>
      </w:pPr>
    </w:lvl>
    <w:lvl w:ilvl="5" w:tplc="DBF00120">
      <w:start w:val="1"/>
      <w:numFmt w:val="lowerRoman"/>
      <w:lvlText w:val="%6."/>
      <w:lvlJc w:val="right"/>
      <w:pPr>
        <w:ind w:left="4320" w:hanging="180"/>
      </w:pPr>
    </w:lvl>
    <w:lvl w:ilvl="6" w:tplc="713A207A">
      <w:start w:val="1"/>
      <w:numFmt w:val="decimal"/>
      <w:lvlText w:val="%7."/>
      <w:lvlJc w:val="left"/>
      <w:pPr>
        <w:ind w:left="5040" w:hanging="360"/>
      </w:pPr>
    </w:lvl>
    <w:lvl w:ilvl="7" w:tplc="41A81C90">
      <w:start w:val="1"/>
      <w:numFmt w:val="lowerLetter"/>
      <w:lvlText w:val="%8."/>
      <w:lvlJc w:val="left"/>
      <w:pPr>
        <w:ind w:left="5760" w:hanging="360"/>
      </w:pPr>
    </w:lvl>
    <w:lvl w:ilvl="8" w:tplc="11FC6786">
      <w:start w:val="1"/>
      <w:numFmt w:val="lowerRoman"/>
      <w:lvlText w:val="%9."/>
      <w:lvlJc w:val="right"/>
      <w:pPr>
        <w:ind w:left="6480" w:hanging="180"/>
      </w:pPr>
    </w:lvl>
  </w:abstractNum>
  <w:abstractNum w:abstractNumId="50" w15:restartNumberingAfterBreak="0">
    <w:nsid w:val="2ECB60E5"/>
    <w:multiLevelType w:val="hybridMultilevel"/>
    <w:tmpl w:val="CCCE8B74"/>
    <w:lvl w:ilvl="0" w:tplc="0410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1721DFB"/>
    <w:multiLevelType w:val="hybridMultilevel"/>
    <w:tmpl w:val="A000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B36938"/>
    <w:multiLevelType w:val="hybridMultilevel"/>
    <w:tmpl w:val="FFFFFFFF"/>
    <w:lvl w:ilvl="0" w:tplc="27C8A6CA">
      <w:start w:val="1"/>
      <w:numFmt w:val="decimal"/>
      <w:lvlText w:val="%1)"/>
      <w:lvlJc w:val="left"/>
      <w:pPr>
        <w:ind w:left="720" w:hanging="360"/>
      </w:pPr>
    </w:lvl>
    <w:lvl w:ilvl="1" w:tplc="320092F0">
      <w:start w:val="1"/>
      <w:numFmt w:val="lowerLetter"/>
      <w:lvlText w:val="%2."/>
      <w:lvlJc w:val="left"/>
      <w:pPr>
        <w:ind w:left="1440" w:hanging="360"/>
      </w:pPr>
    </w:lvl>
    <w:lvl w:ilvl="2" w:tplc="A8BCDE2E">
      <w:start w:val="1"/>
      <w:numFmt w:val="lowerRoman"/>
      <w:lvlText w:val="%3."/>
      <w:lvlJc w:val="right"/>
      <w:pPr>
        <w:ind w:left="2160" w:hanging="180"/>
      </w:pPr>
    </w:lvl>
    <w:lvl w:ilvl="3" w:tplc="0A18BAC0">
      <w:start w:val="1"/>
      <w:numFmt w:val="decimal"/>
      <w:lvlText w:val="%4."/>
      <w:lvlJc w:val="left"/>
      <w:pPr>
        <w:ind w:left="2880" w:hanging="360"/>
      </w:pPr>
    </w:lvl>
    <w:lvl w:ilvl="4" w:tplc="D9B0F620">
      <w:start w:val="1"/>
      <w:numFmt w:val="lowerLetter"/>
      <w:lvlText w:val="%5."/>
      <w:lvlJc w:val="left"/>
      <w:pPr>
        <w:ind w:left="3600" w:hanging="360"/>
      </w:pPr>
    </w:lvl>
    <w:lvl w:ilvl="5" w:tplc="EF5E7E2A">
      <w:start w:val="1"/>
      <w:numFmt w:val="lowerRoman"/>
      <w:lvlText w:val="%6."/>
      <w:lvlJc w:val="right"/>
      <w:pPr>
        <w:ind w:left="4320" w:hanging="180"/>
      </w:pPr>
    </w:lvl>
    <w:lvl w:ilvl="6" w:tplc="73B45644">
      <w:start w:val="1"/>
      <w:numFmt w:val="decimal"/>
      <w:lvlText w:val="%7."/>
      <w:lvlJc w:val="left"/>
      <w:pPr>
        <w:ind w:left="5040" w:hanging="360"/>
      </w:pPr>
    </w:lvl>
    <w:lvl w:ilvl="7" w:tplc="EE5C03F4">
      <w:start w:val="1"/>
      <w:numFmt w:val="lowerLetter"/>
      <w:lvlText w:val="%8."/>
      <w:lvlJc w:val="left"/>
      <w:pPr>
        <w:ind w:left="5760" w:hanging="360"/>
      </w:pPr>
    </w:lvl>
    <w:lvl w:ilvl="8" w:tplc="EA3C9C72">
      <w:start w:val="1"/>
      <w:numFmt w:val="lowerRoman"/>
      <w:lvlText w:val="%9."/>
      <w:lvlJc w:val="right"/>
      <w:pPr>
        <w:ind w:left="6480" w:hanging="180"/>
      </w:pPr>
    </w:lvl>
  </w:abstractNum>
  <w:abstractNum w:abstractNumId="53" w15:restartNumberingAfterBreak="0">
    <w:nsid w:val="31FA11EB"/>
    <w:multiLevelType w:val="singleLevel"/>
    <w:tmpl w:val="3E140CA2"/>
    <w:styleLink w:val="Stileimportato9"/>
    <w:lvl w:ilvl="0">
      <w:start w:val="1"/>
      <w:numFmt w:val="decimal"/>
      <w:lvlText w:val="%1."/>
      <w:lvlJc w:val="left"/>
      <w:pPr>
        <w:tabs>
          <w:tab w:val="num" w:pos="1209"/>
        </w:tabs>
        <w:ind w:left="1209" w:hanging="360"/>
      </w:pPr>
    </w:lvl>
  </w:abstractNum>
  <w:abstractNum w:abstractNumId="54" w15:restartNumberingAfterBreak="0">
    <w:nsid w:val="33022218"/>
    <w:multiLevelType w:val="hybridMultilevel"/>
    <w:tmpl w:val="99364126"/>
    <w:lvl w:ilvl="0" w:tplc="CBEE287A">
      <w:start w:val="3"/>
      <w:numFmt w:val="decimal"/>
      <w:lvlText w:val="%1."/>
      <w:lvlJc w:val="left"/>
      <w:pPr>
        <w:ind w:left="720" w:hanging="360"/>
      </w:pPr>
    </w:lvl>
    <w:lvl w:ilvl="1" w:tplc="2D8220A0">
      <w:start w:val="1"/>
      <w:numFmt w:val="lowerLetter"/>
      <w:lvlText w:val="%2."/>
      <w:lvlJc w:val="left"/>
      <w:pPr>
        <w:ind w:left="1440" w:hanging="360"/>
      </w:pPr>
    </w:lvl>
    <w:lvl w:ilvl="2" w:tplc="06706872">
      <w:start w:val="1"/>
      <w:numFmt w:val="lowerRoman"/>
      <w:lvlText w:val="%3."/>
      <w:lvlJc w:val="right"/>
      <w:pPr>
        <w:ind w:left="2160" w:hanging="180"/>
      </w:pPr>
    </w:lvl>
    <w:lvl w:ilvl="3" w:tplc="6714F92E">
      <w:start w:val="1"/>
      <w:numFmt w:val="decimal"/>
      <w:lvlText w:val="%4."/>
      <w:lvlJc w:val="left"/>
      <w:pPr>
        <w:ind w:left="2880" w:hanging="360"/>
      </w:pPr>
    </w:lvl>
    <w:lvl w:ilvl="4" w:tplc="12E8D4DA">
      <w:start w:val="1"/>
      <w:numFmt w:val="lowerLetter"/>
      <w:lvlText w:val="%5."/>
      <w:lvlJc w:val="left"/>
      <w:pPr>
        <w:ind w:left="3600" w:hanging="360"/>
      </w:pPr>
    </w:lvl>
    <w:lvl w:ilvl="5" w:tplc="69C4FDE4">
      <w:start w:val="1"/>
      <w:numFmt w:val="lowerRoman"/>
      <w:lvlText w:val="%6."/>
      <w:lvlJc w:val="right"/>
      <w:pPr>
        <w:ind w:left="4320" w:hanging="180"/>
      </w:pPr>
    </w:lvl>
    <w:lvl w:ilvl="6" w:tplc="CF78ECBA">
      <w:start w:val="1"/>
      <w:numFmt w:val="decimal"/>
      <w:lvlText w:val="%7."/>
      <w:lvlJc w:val="left"/>
      <w:pPr>
        <w:ind w:left="5040" w:hanging="360"/>
      </w:pPr>
    </w:lvl>
    <w:lvl w:ilvl="7" w:tplc="43F691B2">
      <w:start w:val="1"/>
      <w:numFmt w:val="lowerLetter"/>
      <w:lvlText w:val="%8."/>
      <w:lvlJc w:val="left"/>
      <w:pPr>
        <w:ind w:left="5760" w:hanging="360"/>
      </w:pPr>
    </w:lvl>
    <w:lvl w:ilvl="8" w:tplc="F13AD010">
      <w:start w:val="1"/>
      <w:numFmt w:val="lowerRoman"/>
      <w:lvlText w:val="%9."/>
      <w:lvlJc w:val="right"/>
      <w:pPr>
        <w:ind w:left="6480" w:hanging="180"/>
      </w:pPr>
    </w:lvl>
  </w:abstractNum>
  <w:abstractNum w:abstractNumId="55" w15:restartNumberingAfterBreak="0">
    <w:nsid w:val="339807E9"/>
    <w:multiLevelType w:val="hybridMultilevel"/>
    <w:tmpl w:val="269EC50C"/>
    <w:lvl w:ilvl="0" w:tplc="04100017">
      <w:start w:val="1"/>
      <w:numFmt w:val="lowerLetter"/>
      <w:lvlText w:val="%1)"/>
      <w:lvlJc w:val="left"/>
      <w:pPr>
        <w:ind w:left="720" w:hanging="360"/>
      </w:pPr>
      <w:rPr>
        <w:rFonts w:hint="default"/>
      </w:rPr>
    </w:lvl>
    <w:lvl w:ilvl="1" w:tplc="D820F8FC">
      <w:numFmt w:val="bullet"/>
      <w:lvlText w:val="-"/>
      <w:lvlJc w:val="left"/>
      <w:pPr>
        <w:ind w:left="1440" w:hanging="360"/>
      </w:pPr>
      <w:rPr>
        <w:rFonts w:ascii="Calibri" w:eastAsiaTheme="minorHAnsi" w:hAnsi="Calibri" w:cs="Calibri"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342C36F0"/>
    <w:multiLevelType w:val="hybridMultilevel"/>
    <w:tmpl w:val="9B2A10B6"/>
    <w:name w:val="Heading2"/>
    <w:lvl w:ilvl="0" w:tplc="916E8AC4">
      <w:start w:val="17"/>
      <w:numFmt w:val="upperLetter"/>
      <w:lvlText w:val="%1."/>
      <w:lvlJc w:val="left"/>
      <w:pPr>
        <w:ind w:left="360" w:hanging="360"/>
      </w:pPr>
      <w:rPr>
        <w:rFonts w:hint="default"/>
      </w:rPr>
    </w:lvl>
    <w:lvl w:ilvl="1" w:tplc="18090019" w:tentative="1">
      <w:start w:val="1"/>
      <w:numFmt w:val="lowerLetter"/>
      <w:lvlText w:val="%2."/>
      <w:lvlJc w:val="left"/>
      <w:pPr>
        <w:ind w:left="731" w:hanging="360"/>
      </w:pPr>
    </w:lvl>
    <w:lvl w:ilvl="2" w:tplc="1809001B" w:tentative="1">
      <w:start w:val="1"/>
      <w:numFmt w:val="lowerRoman"/>
      <w:lvlText w:val="%3."/>
      <w:lvlJc w:val="right"/>
      <w:pPr>
        <w:ind w:left="1451" w:hanging="180"/>
      </w:pPr>
    </w:lvl>
    <w:lvl w:ilvl="3" w:tplc="1809000F" w:tentative="1">
      <w:start w:val="1"/>
      <w:numFmt w:val="decimal"/>
      <w:lvlText w:val="%4."/>
      <w:lvlJc w:val="left"/>
      <w:pPr>
        <w:ind w:left="2171" w:hanging="360"/>
      </w:pPr>
    </w:lvl>
    <w:lvl w:ilvl="4" w:tplc="18090019" w:tentative="1">
      <w:start w:val="1"/>
      <w:numFmt w:val="lowerLetter"/>
      <w:lvlText w:val="%5."/>
      <w:lvlJc w:val="left"/>
      <w:pPr>
        <w:ind w:left="2891" w:hanging="360"/>
      </w:pPr>
    </w:lvl>
    <w:lvl w:ilvl="5" w:tplc="1809001B" w:tentative="1">
      <w:start w:val="1"/>
      <w:numFmt w:val="lowerRoman"/>
      <w:lvlText w:val="%6."/>
      <w:lvlJc w:val="right"/>
      <w:pPr>
        <w:ind w:left="3611" w:hanging="180"/>
      </w:pPr>
    </w:lvl>
    <w:lvl w:ilvl="6" w:tplc="1809000F" w:tentative="1">
      <w:start w:val="1"/>
      <w:numFmt w:val="decimal"/>
      <w:lvlText w:val="%7."/>
      <w:lvlJc w:val="left"/>
      <w:pPr>
        <w:ind w:left="4331" w:hanging="360"/>
      </w:pPr>
    </w:lvl>
    <w:lvl w:ilvl="7" w:tplc="18090019" w:tentative="1">
      <w:start w:val="1"/>
      <w:numFmt w:val="lowerLetter"/>
      <w:lvlText w:val="%8."/>
      <w:lvlJc w:val="left"/>
      <w:pPr>
        <w:ind w:left="5051" w:hanging="360"/>
      </w:pPr>
    </w:lvl>
    <w:lvl w:ilvl="8" w:tplc="1809001B" w:tentative="1">
      <w:start w:val="1"/>
      <w:numFmt w:val="lowerRoman"/>
      <w:lvlText w:val="%9."/>
      <w:lvlJc w:val="right"/>
      <w:pPr>
        <w:ind w:left="5771" w:hanging="180"/>
      </w:pPr>
    </w:lvl>
  </w:abstractNum>
  <w:abstractNum w:abstractNumId="57" w15:restartNumberingAfterBreak="0">
    <w:nsid w:val="34B4179E"/>
    <w:multiLevelType w:val="hybridMultilevel"/>
    <w:tmpl w:val="B08A5420"/>
    <w:lvl w:ilvl="0" w:tplc="67C66DFC">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72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8" w15:restartNumberingAfterBreak="0">
    <w:nsid w:val="35E41947"/>
    <w:multiLevelType w:val="hybridMultilevel"/>
    <w:tmpl w:val="A470DA80"/>
    <w:lvl w:ilvl="0" w:tplc="ADE0F75A">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9" w15:restartNumberingAfterBreak="0">
    <w:nsid w:val="35FC3D1B"/>
    <w:multiLevelType w:val="hybridMultilevel"/>
    <w:tmpl w:val="D05E2708"/>
    <w:lvl w:ilvl="0" w:tplc="28B87E4A">
      <w:start w:val="1"/>
      <w:numFmt w:val="bullet"/>
      <w:lvlText w:val="-"/>
      <w:lvlJc w:val="left"/>
      <w:pPr>
        <w:ind w:left="919" w:hanging="360"/>
      </w:pPr>
      <w:rPr>
        <w:rFonts w:ascii="Times New Roman" w:eastAsia="Times New Roman" w:hAnsi="Times New Roman" w:cs="Times New Roman" w:hint="default"/>
      </w:rPr>
    </w:lvl>
    <w:lvl w:ilvl="1" w:tplc="04100019" w:tentative="1">
      <w:start w:val="1"/>
      <w:numFmt w:val="lowerLetter"/>
      <w:lvlText w:val="%2."/>
      <w:lvlJc w:val="left"/>
      <w:pPr>
        <w:ind w:left="1639" w:hanging="360"/>
      </w:pPr>
    </w:lvl>
    <w:lvl w:ilvl="2" w:tplc="0410001B" w:tentative="1">
      <w:start w:val="1"/>
      <w:numFmt w:val="lowerRoman"/>
      <w:lvlText w:val="%3."/>
      <w:lvlJc w:val="right"/>
      <w:pPr>
        <w:ind w:left="2359" w:hanging="180"/>
      </w:pPr>
    </w:lvl>
    <w:lvl w:ilvl="3" w:tplc="0410000F" w:tentative="1">
      <w:start w:val="1"/>
      <w:numFmt w:val="decimal"/>
      <w:lvlText w:val="%4."/>
      <w:lvlJc w:val="left"/>
      <w:pPr>
        <w:ind w:left="3079" w:hanging="360"/>
      </w:pPr>
    </w:lvl>
    <w:lvl w:ilvl="4" w:tplc="04100019" w:tentative="1">
      <w:start w:val="1"/>
      <w:numFmt w:val="lowerLetter"/>
      <w:lvlText w:val="%5."/>
      <w:lvlJc w:val="left"/>
      <w:pPr>
        <w:ind w:left="3799" w:hanging="360"/>
      </w:pPr>
    </w:lvl>
    <w:lvl w:ilvl="5" w:tplc="0410001B" w:tentative="1">
      <w:start w:val="1"/>
      <w:numFmt w:val="lowerRoman"/>
      <w:lvlText w:val="%6."/>
      <w:lvlJc w:val="right"/>
      <w:pPr>
        <w:ind w:left="4519" w:hanging="180"/>
      </w:pPr>
    </w:lvl>
    <w:lvl w:ilvl="6" w:tplc="0410000F" w:tentative="1">
      <w:start w:val="1"/>
      <w:numFmt w:val="decimal"/>
      <w:lvlText w:val="%7."/>
      <w:lvlJc w:val="left"/>
      <w:pPr>
        <w:ind w:left="5239" w:hanging="360"/>
      </w:pPr>
    </w:lvl>
    <w:lvl w:ilvl="7" w:tplc="04100019" w:tentative="1">
      <w:start w:val="1"/>
      <w:numFmt w:val="lowerLetter"/>
      <w:lvlText w:val="%8."/>
      <w:lvlJc w:val="left"/>
      <w:pPr>
        <w:ind w:left="5959" w:hanging="360"/>
      </w:pPr>
    </w:lvl>
    <w:lvl w:ilvl="8" w:tplc="0410001B" w:tentative="1">
      <w:start w:val="1"/>
      <w:numFmt w:val="lowerRoman"/>
      <w:lvlText w:val="%9."/>
      <w:lvlJc w:val="right"/>
      <w:pPr>
        <w:ind w:left="6679" w:hanging="180"/>
      </w:pPr>
    </w:lvl>
  </w:abstractNum>
  <w:abstractNum w:abstractNumId="60" w15:restartNumberingAfterBreak="0">
    <w:nsid w:val="36B7EA3A"/>
    <w:multiLevelType w:val="hybridMultilevel"/>
    <w:tmpl w:val="DA126374"/>
    <w:lvl w:ilvl="0" w:tplc="C69E552A">
      <w:start w:val="1"/>
      <w:numFmt w:val="bullet"/>
      <w:lvlText w:val="-"/>
      <w:lvlJc w:val="left"/>
      <w:pPr>
        <w:ind w:left="720" w:hanging="360"/>
      </w:pPr>
      <w:rPr>
        <w:rFonts w:ascii="Calibri" w:hAnsi="Calibri" w:hint="default"/>
      </w:rPr>
    </w:lvl>
    <w:lvl w:ilvl="1" w:tplc="C5CA705E">
      <w:start w:val="1"/>
      <w:numFmt w:val="bullet"/>
      <w:lvlText w:val="o"/>
      <w:lvlJc w:val="left"/>
      <w:pPr>
        <w:ind w:left="1440" w:hanging="360"/>
      </w:pPr>
      <w:rPr>
        <w:rFonts w:ascii="Courier New" w:hAnsi="Courier New" w:hint="default"/>
      </w:rPr>
    </w:lvl>
    <w:lvl w:ilvl="2" w:tplc="3F4253CA">
      <w:start w:val="1"/>
      <w:numFmt w:val="bullet"/>
      <w:lvlText w:val=""/>
      <w:lvlJc w:val="left"/>
      <w:pPr>
        <w:ind w:left="2160" w:hanging="360"/>
      </w:pPr>
      <w:rPr>
        <w:rFonts w:ascii="Wingdings" w:hAnsi="Wingdings" w:hint="default"/>
      </w:rPr>
    </w:lvl>
    <w:lvl w:ilvl="3" w:tplc="DFE26692">
      <w:start w:val="1"/>
      <w:numFmt w:val="bullet"/>
      <w:lvlText w:val=""/>
      <w:lvlJc w:val="left"/>
      <w:pPr>
        <w:ind w:left="2880" w:hanging="360"/>
      </w:pPr>
      <w:rPr>
        <w:rFonts w:ascii="Symbol" w:hAnsi="Symbol" w:hint="default"/>
      </w:rPr>
    </w:lvl>
    <w:lvl w:ilvl="4" w:tplc="70560F24">
      <w:start w:val="1"/>
      <w:numFmt w:val="bullet"/>
      <w:lvlText w:val="o"/>
      <w:lvlJc w:val="left"/>
      <w:pPr>
        <w:ind w:left="3600" w:hanging="360"/>
      </w:pPr>
      <w:rPr>
        <w:rFonts w:ascii="Courier New" w:hAnsi="Courier New" w:hint="default"/>
      </w:rPr>
    </w:lvl>
    <w:lvl w:ilvl="5" w:tplc="4E720168">
      <w:start w:val="1"/>
      <w:numFmt w:val="bullet"/>
      <w:lvlText w:val=""/>
      <w:lvlJc w:val="left"/>
      <w:pPr>
        <w:ind w:left="4320" w:hanging="360"/>
      </w:pPr>
      <w:rPr>
        <w:rFonts w:ascii="Wingdings" w:hAnsi="Wingdings" w:hint="default"/>
      </w:rPr>
    </w:lvl>
    <w:lvl w:ilvl="6" w:tplc="5C2677D0">
      <w:start w:val="1"/>
      <w:numFmt w:val="bullet"/>
      <w:lvlText w:val=""/>
      <w:lvlJc w:val="left"/>
      <w:pPr>
        <w:ind w:left="5040" w:hanging="360"/>
      </w:pPr>
      <w:rPr>
        <w:rFonts w:ascii="Symbol" w:hAnsi="Symbol" w:hint="default"/>
      </w:rPr>
    </w:lvl>
    <w:lvl w:ilvl="7" w:tplc="DBDC180E">
      <w:start w:val="1"/>
      <w:numFmt w:val="bullet"/>
      <w:lvlText w:val="o"/>
      <w:lvlJc w:val="left"/>
      <w:pPr>
        <w:ind w:left="5760" w:hanging="360"/>
      </w:pPr>
      <w:rPr>
        <w:rFonts w:ascii="Courier New" w:hAnsi="Courier New" w:hint="default"/>
      </w:rPr>
    </w:lvl>
    <w:lvl w:ilvl="8" w:tplc="57DCE5D6">
      <w:start w:val="1"/>
      <w:numFmt w:val="bullet"/>
      <w:lvlText w:val=""/>
      <w:lvlJc w:val="left"/>
      <w:pPr>
        <w:ind w:left="6480" w:hanging="360"/>
      </w:pPr>
      <w:rPr>
        <w:rFonts w:ascii="Wingdings" w:hAnsi="Wingdings" w:hint="default"/>
      </w:rPr>
    </w:lvl>
  </w:abstractNum>
  <w:abstractNum w:abstractNumId="61" w15:restartNumberingAfterBreak="0">
    <w:nsid w:val="372537F3"/>
    <w:multiLevelType w:val="hybridMultilevel"/>
    <w:tmpl w:val="3E14E07E"/>
    <w:lvl w:ilvl="0" w:tplc="8EBEB170">
      <w:start w:val="1"/>
      <w:numFmt w:val="decimal"/>
      <w:lvlText w:val="%1."/>
      <w:lvlJc w:val="left"/>
      <w:pPr>
        <w:ind w:left="720" w:hanging="360"/>
      </w:pPr>
    </w:lvl>
    <w:lvl w:ilvl="1" w:tplc="18090019" w:tentative="1">
      <w:start w:val="1"/>
      <w:numFmt w:val="lowerLetter"/>
      <w:lvlText w:val="%2."/>
      <w:lvlJc w:val="left"/>
      <w:pPr>
        <w:ind w:left="-720" w:hanging="360"/>
      </w:pPr>
    </w:lvl>
    <w:lvl w:ilvl="2" w:tplc="1809001B" w:tentative="1">
      <w:start w:val="1"/>
      <w:numFmt w:val="lowerRoman"/>
      <w:lvlText w:val="%3."/>
      <w:lvlJc w:val="right"/>
      <w:pPr>
        <w:ind w:left="0" w:hanging="180"/>
      </w:pPr>
    </w:lvl>
    <w:lvl w:ilvl="3" w:tplc="1809000F" w:tentative="1">
      <w:start w:val="1"/>
      <w:numFmt w:val="decimal"/>
      <w:lvlText w:val="%4."/>
      <w:lvlJc w:val="left"/>
      <w:pPr>
        <w:ind w:left="720" w:hanging="360"/>
      </w:pPr>
    </w:lvl>
    <w:lvl w:ilvl="4" w:tplc="18090019" w:tentative="1">
      <w:start w:val="1"/>
      <w:numFmt w:val="lowerLetter"/>
      <w:lvlText w:val="%5."/>
      <w:lvlJc w:val="left"/>
      <w:pPr>
        <w:ind w:left="1440" w:hanging="360"/>
      </w:pPr>
    </w:lvl>
    <w:lvl w:ilvl="5" w:tplc="1809001B" w:tentative="1">
      <w:start w:val="1"/>
      <w:numFmt w:val="lowerRoman"/>
      <w:lvlText w:val="%6."/>
      <w:lvlJc w:val="right"/>
      <w:pPr>
        <w:ind w:left="2160" w:hanging="180"/>
      </w:pPr>
    </w:lvl>
    <w:lvl w:ilvl="6" w:tplc="1809000F" w:tentative="1">
      <w:start w:val="1"/>
      <w:numFmt w:val="decimal"/>
      <w:lvlText w:val="%7."/>
      <w:lvlJc w:val="left"/>
      <w:pPr>
        <w:ind w:left="2880" w:hanging="360"/>
      </w:pPr>
    </w:lvl>
    <w:lvl w:ilvl="7" w:tplc="18090019" w:tentative="1">
      <w:start w:val="1"/>
      <w:numFmt w:val="lowerLetter"/>
      <w:lvlText w:val="%8."/>
      <w:lvlJc w:val="left"/>
      <w:pPr>
        <w:ind w:left="3600" w:hanging="360"/>
      </w:pPr>
    </w:lvl>
    <w:lvl w:ilvl="8" w:tplc="1809001B" w:tentative="1">
      <w:start w:val="1"/>
      <w:numFmt w:val="lowerRoman"/>
      <w:lvlText w:val="%9."/>
      <w:lvlJc w:val="right"/>
      <w:pPr>
        <w:ind w:left="4320" w:hanging="180"/>
      </w:pPr>
    </w:lvl>
  </w:abstractNum>
  <w:abstractNum w:abstractNumId="62" w15:restartNumberingAfterBreak="0">
    <w:nsid w:val="3758C3CB"/>
    <w:multiLevelType w:val="hybridMultilevel"/>
    <w:tmpl w:val="4DFC13A4"/>
    <w:lvl w:ilvl="0" w:tplc="BA84E760">
      <w:start w:val="1"/>
      <w:numFmt w:val="bullet"/>
      <w:lvlText w:val=""/>
      <w:lvlJc w:val="left"/>
      <w:pPr>
        <w:ind w:left="720" w:hanging="360"/>
      </w:pPr>
      <w:rPr>
        <w:rFonts w:ascii="Symbol" w:hAnsi="Symbol" w:hint="default"/>
      </w:rPr>
    </w:lvl>
    <w:lvl w:ilvl="1" w:tplc="ED1A8E8E">
      <w:start w:val="1"/>
      <w:numFmt w:val="bullet"/>
      <w:lvlText w:val="o"/>
      <w:lvlJc w:val="left"/>
      <w:pPr>
        <w:ind w:left="1440" w:hanging="360"/>
      </w:pPr>
      <w:rPr>
        <w:rFonts w:ascii="Courier New" w:hAnsi="Courier New" w:hint="default"/>
      </w:rPr>
    </w:lvl>
    <w:lvl w:ilvl="2" w:tplc="67B85CAA">
      <w:start w:val="1"/>
      <w:numFmt w:val="bullet"/>
      <w:lvlText w:val=""/>
      <w:lvlJc w:val="left"/>
      <w:pPr>
        <w:ind w:left="2160" w:hanging="360"/>
      </w:pPr>
      <w:rPr>
        <w:rFonts w:ascii="Wingdings" w:hAnsi="Wingdings" w:hint="default"/>
      </w:rPr>
    </w:lvl>
    <w:lvl w:ilvl="3" w:tplc="39DE89E6">
      <w:start w:val="1"/>
      <w:numFmt w:val="bullet"/>
      <w:lvlText w:val=""/>
      <w:lvlJc w:val="left"/>
      <w:pPr>
        <w:ind w:left="2880" w:hanging="360"/>
      </w:pPr>
      <w:rPr>
        <w:rFonts w:ascii="Symbol" w:hAnsi="Symbol" w:hint="default"/>
      </w:rPr>
    </w:lvl>
    <w:lvl w:ilvl="4" w:tplc="D560473C">
      <w:start w:val="1"/>
      <w:numFmt w:val="bullet"/>
      <w:lvlText w:val="o"/>
      <w:lvlJc w:val="left"/>
      <w:pPr>
        <w:ind w:left="3600" w:hanging="360"/>
      </w:pPr>
      <w:rPr>
        <w:rFonts w:ascii="Courier New" w:hAnsi="Courier New" w:hint="default"/>
      </w:rPr>
    </w:lvl>
    <w:lvl w:ilvl="5" w:tplc="5ACE0484">
      <w:start w:val="1"/>
      <w:numFmt w:val="bullet"/>
      <w:lvlText w:val=""/>
      <w:lvlJc w:val="left"/>
      <w:pPr>
        <w:ind w:left="4320" w:hanging="360"/>
      </w:pPr>
      <w:rPr>
        <w:rFonts w:ascii="Wingdings" w:hAnsi="Wingdings" w:hint="default"/>
      </w:rPr>
    </w:lvl>
    <w:lvl w:ilvl="6" w:tplc="8E560066">
      <w:start w:val="1"/>
      <w:numFmt w:val="bullet"/>
      <w:lvlText w:val=""/>
      <w:lvlJc w:val="left"/>
      <w:pPr>
        <w:ind w:left="5040" w:hanging="360"/>
      </w:pPr>
      <w:rPr>
        <w:rFonts w:ascii="Symbol" w:hAnsi="Symbol" w:hint="default"/>
      </w:rPr>
    </w:lvl>
    <w:lvl w:ilvl="7" w:tplc="8D743554">
      <w:start w:val="1"/>
      <w:numFmt w:val="bullet"/>
      <w:lvlText w:val="o"/>
      <w:lvlJc w:val="left"/>
      <w:pPr>
        <w:ind w:left="5760" w:hanging="360"/>
      </w:pPr>
      <w:rPr>
        <w:rFonts w:ascii="Courier New" w:hAnsi="Courier New" w:hint="default"/>
      </w:rPr>
    </w:lvl>
    <w:lvl w:ilvl="8" w:tplc="40A0AD42">
      <w:start w:val="1"/>
      <w:numFmt w:val="bullet"/>
      <w:lvlText w:val=""/>
      <w:lvlJc w:val="left"/>
      <w:pPr>
        <w:ind w:left="6480" w:hanging="360"/>
      </w:pPr>
      <w:rPr>
        <w:rFonts w:ascii="Wingdings" w:hAnsi="Wingdings" w:hint="default"/>
      </w:rPr>
    </w:lvl>
  </w:abstractNum>
  <w:abstractNum w:abstractNumId="63" w15:restartNumberingAfterBreak="0">
    <w:nsid w:val="377D80B8"/>
    <w:multiLevelType w:val="hybridMultilevel"/>
    <w:tmpl w:val="817C1776"/>
    <w:lvl w:ilvl="0" w:tplc="5C7C5328">
      <w:start w:val="1"/>
      <w:numFmt w:val="decimal"/>
      <w:lvlText w:val="%1."/>
      <w:lvlJc w:val="left"/>
      <w:pPr>
        <w:ind w:left="720" w:hanging="360"/>
      </w:pPr>
    </w:lvl>
    <w:lvl w:ilvl="1" w:tplc="89A628D8">
      <w:start w:val="1"/>
      <w:numFmt w:val="lowerLetter"/>
      <w:lvlText w:val="%2."/>
      <w:lvlJc w:val="left"/>
      <w:pPr>
        <w:ind w:left="1440" w:hanging="360"/>
      </w:pPr>
    </w:lvl>
    <w:lvl w:ilvl="2" w:tplc="69EE39E2">
      <w:start w:val="1"/>
      <w:numFmt w:val="lowerRoman"/>
      <w:lvlText w:val="%3."/>
      <w:lvlJc w:val="right"/>
      <w:pPr>
        <w:ind w:left="2160" w:hanging="180"/>
      </w:pPr>
    </w:lvl>
    <w:lvl w:ilvl="3" w:tplc="F98CFEEA">
      <w:start w:val="1"/>
      <w:numFmt w:val="decimal"/>
      <w:lvlText w:val="%4."/>
      <w:lvlJc w:val="left"/>
      <w:pPr>
        <w:ind w:left="2880" w:hanging="360"/>
      </w:pPr>
    </w:lvl>
    <w:lvl w:ilvl="4" w:tplc="1F14A060">
      <w:start w:val="1"/>
      <w:numFmt w:val="lowerLetter"/>
      <w:lvlText w:val="%5."/>
      <w:lvlJc w:val="left"/>
      <w:pPr>
        <w:ind w:left="3600" w:hanging="360"/>
      </w:pPr>
    </w:lvl>
    <w:lvl w:ilvl="5" w:tplc="EFF2C43E">
      <w:start w:val="1"/>
      <w:numFmt w:val="lowerRoman"/>
      <w:lvlText w:val="%6."/>
      <w:lvlJc w:val="right"/>
      <w:pPr>
        <w:ind w:left="4320" w:hanging="180"/>
      </w:pPr>
    </w:lvl>
    <w:lvl w:ilvl="6" w:tplc="24121E84">
      <w:start w:val="1"/>
      <w:numFmt w:val="decimal"/>
      <w:lvlText w:val="%7."/>
      <w:lvlJc w:val="left"/>
      <w:pPr>
        <w:ind w:left="5040" w:hanging="360"/>
      </w:pPr>
    </w:lvl>
    <w:lvl w:ilvl="7" w:tplc="1FB6D0DE">
      <w:start w:val="1"/>
      <w:numFmt w:val="lowerLetter"/>
      <w:lvlText w:val="%8."/>
      <w:lvlJc w:val="left"/>
      <w:pPr>
        <w:ind w:left="5760" w:hanging="360"/>
      </w:pPr>
    </w:lvl>
    <w:lvl w:ilvl="8" w:tplc="7F042080">
      <w:start w:val="1"/>
      <w:numFmt w:val="lowerRoman"/>
      <w:lvlText w:val="%9."/>
      <w:lvlJc w:val="right"/>
      <w:pPr>
        <w:ind w:left="6480" w:hanging="180"/>
      </w:pPr>
    </w:lvl>
  </w:abstractNum>
  <w:abstractNum w:abstractNumId="64" w15:restartNumberingAfterBreak="0">
    <w:nsid w:val="38456AB7"/>
    <w:multiLevelType w:val="hybridMultilevel"/>
    <w:tmpl w:val="3E14E07E"/>
    <w:lvl w:ilvl="0" w:tplc="FFFFFFFF">
      <w:start w:val="1"/>
      <w:numFmt w:val="decimal"/>
      <w:lvlText w:val="%1."/>
      <w:lvlJc w:val="left"/>
      <w:pPr>
        <w:ind w:left="720" w:hanging="360"/>
      </w:pPr>
    </w:lvl>
    <w:lvl w:ilvl="1" w:tplc="FFFFFFFF" w:tentative="1">
      <w:start w:val="1"/>
      <w:numFmt w:val="lowerLetter"/>
      <w:lvlText w:val="%2."/>
      <w:lvlJc w:val="left"/>
      <w:pPr>
        <w:ind w:left="-720" w:hanging="360"/>
      </w:pPr>
    </w:lvl>
    <w:lvl w:ilvl="2" w:tplc="FFFFFFFF" w:tentative="1">
      <w:start w:val="1"/>
      <w:numFmt w:val="lowerRoman"/>
      <w:lvlText w:val="%3."/>
      <w:lvlJc w:val="right"/>
      <w:pPr>
        <w:ind w:left="0" w:hanging="180"/>
      </w:pPr>
    </w:lvl>
    <w:lvl w:ilvl="3" w:tplc="FFFFFFFF" w:tentative="1">
      <w:start w:val="1"/>
      <w:numFmt w:val="decimal"/>
      <w:lvlText w:val="%4."/>
      <w:lvlJc w:val="left"/>
      <w:pPr>
        <w:ind w:left="720" w:hanging="360"/>
      </w:pPr>
    </w:lvl>
    <w:lvl w:ilvl="4" w:tplc="FFFFFFFF" w:tentative="1">
      <w:start w:val="1"/>
      <w:numFmt w:val="lowerLetter"/>
      <w:lvlText w:val="%5."/>
      <w:lvlJc w:val="left"/>
      <w:pPr>
        <w:ind w:left="1440" w:hanging="360"/>
      </w:pPr>
    </w:lvl>
    <w:lvl w:ilvl="5" w:tplc="FFFFFFFF" w:tentative="1">
      <w:start w:val="1"/>
      <w:numFmt w:val="lowerRoman"/>
      <w:lvlText w:val="%6."/>
      <w:lvlJc w:val="right"/>
      <w:pPr>
        <w:ind w:left="2160" w:hanging="180"/>
      </w:pPr>
    </w:lvl>
    <w:lvl w:ilvl="6" w:tplc="FFFFFFFF" w:tentative="1">
      <w:start w:val="1"/>
      <w:numFmt w:val="decimal"/>
      <w:lvlText w:val="%7."/>
      <w:lvlJc w:val="left"/>
      <w:pPr>
        <w:ind w:left="2880" w:hanging="360"/>
      </w:pPr>
    </w:lvl>
    <w:lvl w:ilvl="7" w:tplc="FFFFFFFF" w:tentative="1">
      <w:start w:val="1"/>
      <w:numFmt w:val="lowerLetter"/>
      <w:lvlText w:val="%8."/>
      <w:lvlJc w:val="left"/>
      <w:pPr>
        <w:ind w:left="3600" w:hanging="360"/>
      </w:pPr>
    </w:lvl>
    <w:lvl w:ilvl="8" w:tplc="FFFFFFFF" w:tentative="1">
      <w:start w:val="1"/>
      <w:numFmt w:val="lowerRoman"/>
      <w:lvlText w:val="%9."/>
      <w:lvlJc w:val="right"/>
      <w:pPr>
        <w:ind w:left="4320" w:hanging="180"/>
      </w:pPr>
    </w:lvl>
  </w:abstractNum>
  <w:abstractNum w:abstractNumId="65" w15:restartNumberingAfterBreak="0">
    <w:nsid w:val="38694BE1"/>
    <w:multiLevelType w:val="hybridMultilevel"/>
    <w:tmpl w:val="604EEDF2"/>
    <w:lvl w:ilvl="0" w:tplc="7C1A5438">
      <w:start w:val="17"/>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6" w15:restartNumberingAfterBreak="0">
    <w:nsid w:val="3B8CD78C"/>
    <w:multiLevelType w:val="hybridMultilevel"/>
    <w:tmpl w:val="CCDA5AB8"/>
    <w:lvl w:ilvl="0" w:tplc="D80E48EE">
      <w:start w:val="1"/>
      <w:numFmt w:val="decimal"/>
      <w:lvlText w:val="%1."/>
      <w:lvlJc w:val="left"/>
      <w:pPr>
        <w:ind w:left="720" w:hanging="360"/>
      </w:pPr>
    </w:lvl>
    <w:lvl w:ilvl="1" w:tplc="57BC2BA0">
      <w:start w:val="1"/>
      <w:numFmt w:val="lowerLetter"/>
      <w:lvlText w:val="%2."/>
      <w:lvlJc w:val="left"/>
      <w:pPr>
        <w:ind w:left="1440" w:hanging="360"/>
      </w:pPr>
    </w:lvl>
    <w:lvl w:ilvl="2" w:tplc="0F64D1EE">
      <w:start w:val="1"/>
      <w:numFmt w:val="lowerRoman"/>
      <w:lvlText w:val="%3."/>
      <w:lvlJc w:val="right"/>
      <w:pPr>
        <w:ind w:left="2160" w:hanging="180"/>
      </w:pPr>
    </w:lvl>
    <w:lvl w:ilvl="3" w:tplc="2E64383C">
      <w:start w:val="1"/>
      <w:numFmt w:val="decimal"/>
      <w:lvlText w:val="%4."/>
      <w:lvlJc w:val="left"/>
      <w:pPr>
        <w:ind w:left="2880" w:hanging="360"/>
      </w:pPr>
    </w:lvl>
    <w:lvl w:ilvl="4" w:tplc="CBB0DC1A">
      <w:start w:val="1"/>
      <w:numFmt w:val="lowerLetter"/>
      <w:lvlText w:val="%5."/>
      <w:lvlJc w:val="left"/>
      <w:pPr>
        <w:ind w:left="3600" w:hanging="360"/>
      </w:pPr>
    </w:lvl>
    <w:lvl w:ilvl="5" w:tplc="80329570">
      <w:start w:val="1"/>
      <w:numFmt w:val="lowerRoman"/>
      <w:lvlText w:val="%6."/>
      <w:lvlJc w:val="right"/>
      <w:pPr>
        <w:ind w:left="4320" w:hanging="180"/>
      </w:pPr>
    </w:lvl>
    <w:lvl w:ilvl="6" w:tplc="89C4BDF6">
      <w:start w:val="1"/>
      <w:numFmt w:val="decimal"/>
      <w:lvlText w:val="%7."/>
      <w:lvlJc w:val="left"/>
      <w:pPr>
        <w:ind w:left="5040" w:hanging="360"/>
      </w:pPr>
    </w:lvl>
    <w:lvl w:ilvl="7" w:tplc="FF2CC2DC">
      <w:start w:val="1"/>
      <w:numFmt w:val="lowerLetter"/>
      <w:lvlText w:val="%8."/>
      <w:lvlJc w:val="left"/>
      <w:pPr>
        <w:ind w:left="5760" w:hanging="360"/>
      </w:pPr>
    </w:lvl>
    <w:lvl w:ilvl="8" w:tplc="22CAF0FA">
      <w:start w:val="1"/>
      <w:numFmt w:val="lowerRoman"/>
      <w:lvlText w:val="%9."/>
      <w:lvlJc w:val="right"/>
      <w:pPr>
        <w:ind w:left="6480" w:hanging="180"/>
      </w:pPr>
    </w:lvl>
  </w:abstractNum>
  <w:abstractNum w:abstractNumId="67" w15:restartNumberingAfterBreak="0">
    <w:nsid w:val="3C2236D8"/>
    <w:multiLevelType w:val="hybridMultilevel"/>
    <w:tmpl w:val="FFFFFFFF"/>
    <w:lvl w:ilvl="0" w:tplc="2074684C">
      <w:start w:val="1"/>
      <w:numFmt w:val="decimal"/>
      <w:lvlText w:val="%1."/>
      <w:lvlJc w:val="left"/>
      <w:pPr>
        <w:ind w:left="720" w:hanging="360"/>
      </w:pPr>
    </w:lvl>
    <w:lvl w:ilvl="1" w:tplc="CC820F8C">
      <w:start w:val="1"/>
      <w:numFmt w:val="lowerLetter"/>
      <w:lvlText w:val="%2."/>
      <w:lvlJc w:val="left"/>
      <w:pPr>
        <w:ind w:left="1440" w:hanging="360"/>
      </w:pPr>
    </w:lvl>
    <w:lvl w:ilvl="2" w:tplc="D53A9272">
      <w:start w:val="1"/>
      <w:numFmt w:val="lowerRoman"/>
      <w:lvlText w:val="%3."/>
      <w:lvlJc w:val="right"/>
      <w:pPr>
        <w:ind w:left="2160" w:hanging="180"/>
      </w:pPr>
    </w:lvl>
    <w:lvl w:ilvl="3" w:tplc="C40690AC">
      <w:start w:val="1"/>
      <w:numFmt w:val="decimal"/>
      <w:lvlText w:val="%4."/>
      <w:lvlJc w:val="left"/>
      <w:pPr>
        <w:ind w:left="2880" w:hanging="360"/>
      </w:pPr>
    </w:lvl>
    <w:lvl w:ilvl="4" w:tplc="B30A1550">
      <w:start w:val="1"/>
      <w:numFmt w:val="lowerLetter"/>
      <w:lvlText w:val="%5."/>
      <w:lvlJc w:val="left"/>
      <w:pPr>
        <w:ind w:left="3600" w:hanging="360"/>
      </w:pPr>
    </w:lvl>
    <w:lvl w:ilvl="5" w:tplc="242633CE">
      <w:start w:val="1"/>
      <w:numFmt w:val="lowerRoman"/>
      <w:lvlText w:val="%6."/>
      <w:lvlJc w:val="right"/>
      <w:pPr>
        <w:ind w:left="4320" w:hanging="180"/>
      </w:pPr>
    </w:lvl>
    <w:lvl w:ilvl="6" w:tplc="C18CAF68">
      <w:start w:val="1"/>
      <w:numFmt w:val="decimal"/>
      <w:lvlText w:val="%7."/>
      <w:lvlJc w:val="left"/>
      <w:pPr>
        <w:ind w:left="5040" w:hanging="360"/>
      </w:pPr>
    </w:lvl>
    <w:lvl w:ilvl="7" w:tplc="B3985A0E">
      <w:start w:val="1"/>
      <w:numFmt w:val="lowerLetter"/>
      <w:lvlText w:val="%8."/>
      <w:lvlJc w:val="left"/>
      <w:pPr>
        <w:ind w:left="5760" w:hanging="360"/>
      </w:pPr>
    </w:lvl>
    <w:lvl w:ilvl="8" w:tplc="54F4A368">
      <w:start w:val="1"/>
      <w:numFmt w:val="lowerRoman"/>
      <w:lvlText w:val="%9."/>
      <w:lvlJc w:val="right"/>
      <w:pPr>
        <w:ind w:left="6480" w:hanging="180"/>
      </w:pPr>
    </w:lvl>
  </w:abstractNum>
  <w:abstractNum w:abstractNumId="68" w15:restartNumberingAfterBreak="0">
    <w:nsid w:val="3DF2400B"/>
    <w:multiLevelType w:val="hybridMultilevel"/>
    <w:tmpl w:val="6AE078CE"/>
    <w:lvl w:ilvl="0" w:tplc="EFFAF4EA">
      <w:start w:val="1"/>
      <w:numFmt w:val="decimal"/>
      <w:lvlText w:val="%1."/>
      <w:lvlJc w:val="left"/>
      <w:pPr>
        <w:ind w:left="720" w:hanging="360"/>
      </w:pPr>
    </w:lvl>
    <w:lvl w:ilvl="1" w:tplc="51EC3BF0">
      <w:start w:val="1"/>
      <w:numFmt w:val="lowerLetter"/>
      <w:lvlText w:val="%2."/>
      <w:lvlJc w:val="left"/>
      <w:pPr>
        <w:ind w:left="1440" w:hanging="360"/>
      </w:pPr>
    </w:lvl>
    <w:lvl w:ilvl="2" w:tplc="E40890F6">
      <w:start w:val="1"/>
      <w:numFmt w:val="lowerRoman"/>
      <w:lvlText w:val="%3."/>
      <w:lvlJc w:val="right"/>
      <w:pPr>
        <w:ind w:left="2160" w:hanging="180"/>
      </w:pPr>
    </w:lvl>
    <w:lvl w:ilvl="3" w:tplc="9FA276BA">
      <w:start w:val="1"/>
      <w:numFmt w:val="decimal"/>
      <w:lvlText w:val="%4."/>
      <w:lvlJc w:val="left"/>
      <w:pPr>
        <w:ind w:left="2880" w:hanging="360"/>
      </w:pPr>
    </w:lvl>
    <w:lvl w:ilvl="4" w:tplc="3FAC320E">
      <w:start w:val="1"/>
      <w:numFmt w:val="lowerLetter"/>
      <w:lvlText w:val="%5."/>
      <w:lvlJc w:val="left"/>
      <w:pPr>
        <w:ind w:left="3600" w:hanging="360"/>
      </w:pPr>
    </w:lvl>
    <w:lvl w:ilvl="5" w:tplc="A17A4636">
      <w:start w:val="1"/>
      <w:numFmt w:val="lowerRoman"/>
      <w:lvlText w:val="%6."/>
      <w:lvlJc w:val="right"/>
      <w:pPr>
        <w:ind w:left="4320" w:hanging="180"/>
      </w:pPr>
    </w:lvl>
    <w:lvl w:ilvl="6" w:tplc="06542920">
      <w:start w:val="1"/>
      <w:numFmt w:val="decimal"/>
      <w:lvlText w:val="%7."/>
      <w:lvlJc w:val="left"/>
      <w:pPr>
        <w:ind w:left="5040" w:hanging="360"/>
      </w:pPr>
    </w:lvl>
    <w:lvl w:ilvl="7" w:tplc="38265764">
      <w:start w:val="1"/>
      <w:numFmt w:val="lowerLetter"/>
      <w:lvlText w:val="%8."/>
      <w:lvlJc w:val="left"/>
      <w:pPr>
        <w:ind w:left="5760" w:hanging="360"/>
      </w:pPr>
    </w:lvl>
    <w:lvl w:ilvl="8" w:tplc="E85E00CC">
      <w:start w:val="1"/>
      <w:numFmt w:val="lowerRoman"/>
      <w:lvlText w:val="%9."/>
      <w:lvlJc w:val="right"/>
      <w:pPr>
        <w:ind w:left="6480" w:hanging="180"/>
      </w:pPr>
    </w:lvl>
  </w:abstractNum>
  <w:abstractNum w:abstractNumId="69" w15:restartNumberingAfterBreak="0">
    <w:nsid w:val="3F5DAD3D"/>
    <w:multiLevelType w:val="hybridMultilevel"/>
    <w:tmpl w:val="19D8C2B2"/>
    <w:lvl w:ilvl="0" w:tplc="C2E428C2">
      <w:start w:val="1"/>
      <w:numFmt w:val="bullet"/>
      <w:lvlText w:val=""/>
      <w:lvlJc w:val="left"/>
      <w:pPr>
        <w:ind w:left="720" w:hanging="360"/>
      </w:pPr>
      <w:rPr>
        <w:rFonts w:ascii="Symbol" w:hAnsi="Symbol" w:hint="default"/>
      </w:rPr>
    </w:lvl>
    <w:lvl w:ilvl="1" w:tplc="0C22B68E">
      <w:start w:val="1"/>
      <w:numFmt w:val="bullet"/>
      <w:lvlText w:val="o"/>
      <w:lvlJc w:val="left"/>
      <w:pPr>
        <w:ind w:left="1440" w:hanging="360"/>
      </w:pPr>
      <w:rPr>
        <w:rFonts w:ascii="Courier New" w:hAnsi="Courier New" w:hint="default"/>
      </w:rPr>
    </w:lvl>
    <w:lvl w:ilvl="2" w:tplc="E4D0A124">
      <w:start w:val="1"/>
      <w:numFmt w:val="bullet"/>
      <w:lvlText w:val=""/>
      <w:lvlJc w:val="left"/>
      <w:pPr>
        <w:ind w:left="2160" w:hanging="360"/>
      </w:pPr>
      <w:rPr>
        <w:rFonts w:ascii="Wingdings" w:hAnsi="Wingdings" w:hint="default"/>
      </w:rPr>
    </w:lvl>
    <w:lvl w:ilvl="3" w:tplc="8B8C0FE0">
      <w:start w:val="1"/>
      <w:numFmt w:val="bullet"/>
      <w:lvlText w:val=""/>
      <w:lvlJc w:val="left"/>
      <w:pPr>
        <w:ind w:left="2880" w:hanging="360"/>
      </w:pPr>
      <w:rPr>
        <w:rFonts w:ascii="Symbol" w:hAnsi="Symbol" w:hint="default"/>
      </w:rPr>
    </w:lvl>
    <w:lvl w:ilvl="4" w:tplc="8200B01A">
      <w:start w:val="1"/>
      <w:numFmt w:val="bullet"/>
      <w:lvlText w:val="o"/>
      <w:lvlJc w:val="left"/>
      <w:pPr>
        <w:ind w:left="3600" w:hanging="360"/>
      </w:pPr>
      <w:rPr>
        <w:rFonts w:ascii="Courier New" w:hAnsi="Courier New" w:hint="default"/>
      </w:rPr>
    </w:lvl>
    <w:lvl w:ilvl="5" w:tplc="8CE23AFA">
      <w:start w:val="1"/>
      <w:numFmt w:val="bullet"/>
      <w:lvlText w:val=""/>
      <w:lvlJc w:val="left"/>
      <w:pPr>
        <w:ind w:left="4320" w:hanging="360"/>
      </w:pPr>
      <w:rPr>
        <w:rFonts w:ascii="Wingdings" w:hAnsi="Wingdings" w:hint="default"/>
      </w:rPr>
    </w:lvl>
    <w:lvl w:ilvl="6" w:tplc="FE767C14">
      <w:start w:val="1"/>
      <w:numFmt w:val="bullet"/>
      <w:lvlText w:val=""/>
      <w:lvlJc w:val="left"/>
      <w:pPr>
        <w:ind w:left="5040" w:hanging="360"/>
      </w:pPr>
      <w:rPr>
        <w:rFonts w:ascii="Symbol" w:hAnsi="Symbol" w:hint="default"/>
      </w:rPr>
    </w:lvl>
    <w:lvl w:ilvl="7" w:tplc="7C4E4910">
      <w:start w:val="1"/>
      <w:numFmt w:val="bullet"/>
      <w:lvlText w:val="o"/>
      <w:lvlJc w:val="left"/>
      <w:pPr>
        <w:ind w:left="5760" w:hanging="360"/>
      </w:pPr>
      <w:rPr>
        <w:rFonts w:ascii="Courier New" w:hAnsi="Courier New" w:hint="default"/>
      </w:rPr>
    </w:lvl>
    <w:lvl w:ilvl="8" w:tplc="5ADE80FC">
      <w:start w:val="1"/>
      <w:numFmt w:val="bullet"/>
      <w:lvlText w:val=""/>
      <w:lvlJc w:val="left"/>
      <w:pPr>
        <w:ind w:left="6480" w:hanging="360"/>
      </w:pPr>
      <w:rPr>
        <w:rFonts w:ascii="Wingdings" w:hAnsi="Wingdings" w:hint="default"/>
      </w:rPr>
    </w:lvl>
  </w:abstractNum>
  <w:abstractNum w:abstractNumId="70" w15:restartNumberingAfterBreak="0">
    <w:nsid w:val="3F71C4E4"/>
    <w:multiLevelType w:val="hybridMultilevel"/>
    <w:tmpl w:val="22BC0E94"/>
    <w:lvl w:ilvl="0" w:tplc="E5BAC4DE">
      <w:start w:val="1"/>
      <w:numFmt w:val="decimal"/>
      <w:lvlText w:val="%1."/>
      <w:lvlJc w:val="left"/>
      <w:pPr>
        <w:ind w:left="1800" w:hanging="360"/>
      </w:pPr>
    </w:lvl>
    <w:lvl w:ilvl="1" w:tplc="3544F168">
      <w:start w:val="1"/>
      <w:numFmt w:val="lowerLetter"/>
      <w:lvlText w:val="%2."/>
      <w:lvlJc w:val="left"/>
      <w:pPr>
        <w:ind w:left="2520" w:hanging="360"/>
      </w:pPr>
    </w:lvl>
    <w:lvl w:ilvl="2" w:tplc="BA4A2776">
      <w:start w:val="1"/>
      <w:numFmt w:val="lowerRoman"/>
      <w:lvlText w:val="%3."/>
      <w:lvlJc w:val="right"/>
      <w:pPr>
        <w:ind w:left="3240" w:hanging="180"/>
      </w:pPr>
    </w:lvl>
    <w:lvl w:ilvl="3" w:tplc="381A9258">
      <w:start w:val="1"/>
      <w:numFmt w:val="decimal"/>
      <w:lvlText w:val="%4."/>
      <w:lvlJc w:val="left"/>
      <w:pPr>
        <w:ind w:left="3960" w:hanging="360"/>
      </w:pPr>
    </w:lvl>
    <w:lvl w:ilvl="4" w:tplc="B1D235B6">
      <w:start w:val="1"/>
      <w:numFmt w:val="lowerLetter"/>
      <w:lvlText w:val="%5."/>
      <w:lvlJc w:val="left"/>
      <w:pPr>
        <w:ind w:left="4680" w:hanging="360"/>
      </w:pPr>
    </w:lvl>
    <w:lvl w:ilvl="5" w:tplc="DFAEC1E0">
      <w:start w:val="1"/>
      <w:numFmt w:val="lowerRoman"/>
      <w:lvlText w:val="%6."/>
      <w:lvlJc w:val="right"/>
      <w:pPr>
        <w:ind w:left="5400" w:hanging="180"/>
      </w:pPr>
    </w:lvl>
    <w:lvl w:ilvl="6" w:tplc="55D8D82C">
      <w:start w:val="1"/>
      <w:numFmt w:val="decimal"/>
      <w:lvlText w:val="%7."/>
      <w:lvlJc w:val="left"/>
      <w:pPr>
        <w:ind w:left="6120" w:hanging="360"/>
      </w:pPr>
    </w:lvl>
    <w:lvl w:ilvl="7" w:tplc="910290E8">
      <w:start w:val="1"/>
      <w:numFmt w:val="lowerLetter"/>
      <w:lvlText w:val="%8."/>
      <w:lvlJc w:val="left"/>
      <w:pPr>
        <w:ind w:left="6840" w:hanging="360"/>
      </w:pPr>
    </w:lvl>
    <w:lvl w:ilvl="8" w:tplc="B492B528">
      <w:start w:val="1"/>
      <w:numFmt w:val="lowerRoman"/>
      <w:lvlText w:val="%9."/>
      <w:lvlJc w:val="right"/>
      <w:pPr>
        <w:ind w:left="7560" w:hanging="180"/>
      </w:pPr>
    </w:lvl>
  </w:abstractNum>
  <w:abstractNum w:abstractNumId="71" w15:restartNumberingAfterBreak="0">
    <w:nsid w:val="3FC5D24E"/>
    <w:multiLevelType w:val="hybridMultilevel"/>
    <w:tmpl w:val="F5C29AC8"/>
    <w:lvl w:ilvl="0" w:tplc="8062D636">
      <w:start w:val="1"/>
      <w:numFmt w:val="bullet"/>
      <w:lvlText w:val="-"/>
      <w:lvlJc w:val="left"/>
      <w:pPr>
        <w:ind w:left="720" w:hanging="360"/>
      </w:pPr>
      <w:rPr>
        <w:rFonts w:ascii="Calibri" w:hAnsi="Calibri" w:hint="default"/>
      </w:rPr>
    </w:lvl>
    <w:lvl w:ilvl="1" w:tplc="770EEB34">
      <w:start w:val="1"/>
      <w:numFmt w:val="bullet"/>
      <w:lvlText w:val="o"/>
      <w:lvlJc w:val="left"/>
      <w:pPr>
        <w:ind w:left="1440" w:hanging="360"/>
      </w:pPr>
      <w:rPr>
        <w:rFonts w:ascii="Courier New" w:hAnsi="Courier New" w:hint="default"/>
      </w:rPr>
    </w:lvl>
    <w:lvl w:ilvl="2" w:tplc="BE6EF79E">
      <w:start w:val="1"/>
      <w:numFmt w:val="bullet"/>
      <w:lvlText w:val=""/>
      <w:lvlJc w:val="left"/>
      <w:pPr>
        <w:ind w:left="2160" w:hanging="360"/>
      </w:pPr>
      <w:rPr>
        <w:rFonts w:ascii="Wingdings" w:hAnsi="Wingdings" w:hint="default"/>
      </w:rPr>
    </w:lvl>
    <w:lvl w:ilvl="3" w:tplc="22F8C68A">
      <w:start w:val="1"/>
      <w:numFmt w:val="bullet"/>
      <w:lvlText w:val=""/>
      <w:lvlJc w:val="left"/>
      <w:pPr>
        <w:ind w:left="2880" w:hanging="360"/>
      </w:pPr>
      <w:rPr>
        <w:rFonts w:ascii="Symbol" w:hAnsi="Symbol" w:hint="default"/>
      </w:rPr>
    </w:lvl>
    <w:lvl w:ilvl="4" w:tplc="44168134">
      <w:start w:val="1"/>
      <w:numFmt w:val="bullet"/>
      <w:lvlText w:val="o"/>
      <w:lvlJc w:val="left"/>
      <w:pPr>
        <w:ind w:left="3600" w:hanging="360"/>
      </w:pPr>
      <w:rPr>
        <w:rFonts w:ascii="Courier New" w:hAnsi="Courier New" w:hint="default"/>
      </w:rPr>
    </w:lvl>
    <w:lvl w:ilvl="5" w:tplc="0D70E404">
      <w:start w:val="1"/>
      <w:numFmt w:val="bullet"/>
      <w:lvlText w:val=""/>
      <w:lvlJc w:val="left"/>
      <w:pPr>
        <w:ind w:left="4320" w:hanging="360"/>
      </w:pPr>
      <w:rPr>
        <w:rFonts w:ascii="Wingdings" w:hAnsi="Wingdings" w:hint="default"/>
      </w:rPr>
    </w:lvl>
    <w:lvl w:ilvl="6" w:tplc="F20EAB4A">
      <w:start w:val="1"/>
      <w:numFmt w:val="bullet"/>
      <w:lvlText w:val=""/>
      <w:lvlJc w:val="left"/>
      <w:pPr>
        <w:ind w:left="5040" w:hanging="360"/>
      </w:pPr>
      <w:rPr>
        <w:rFonts w:ascii="Symbol" w:hAnsi="Symbol" w:hint="default"/>
      </w:rPr>
    </w:lvl>
    <w:lvl w:ilvl="7" w:tplc="D52202C8">
      <w:start w:val="1"/>
      <w:numFmt w:val="bullet"/>
      <w:lvlText w:val="o"/>
      <w:lvlJc w:val="left"/>
      <w:pPr>
        <w:ind w:left="5760" w:hanging="360"/>
      </w:pPr>
      <w:rPr>
        <w:rFonts w:ascii="Courier New" w:hAnsi="Courier New" w:hint="default"/>
      </w:rPr>
    </w:lvl>
    <w:lvl w:ilvl="8" w:tplc="EDEC057C">
      <w:start w:val="1"/>
      <w:numFmt w:val="bullet"/>
      <w:lvlText w:val=""/>
      <w:lvlJc w:val="left"/>
      <w:pPr>
        <w:ind w:left="6480" w:hanging="360"/>
      </w:pPr>
      <w:rPr>
        <w:rFonts w:ascii="Wingdings" w:hAnsi="Wingdings" w:hint="default"/>
      </w:rPr>
    </w:lvl>
  </w:abstractNum>
  <w:abstractNum w:abstractNumId="72" w15:restartNumberingAfterBreak="0">
    <w:nsid w:val="41227CF3"/>
    <w:multiLevelType w:val="hybridMultilevel"/>
    <w:tmpl w:val="399A2470"/>
    <w:lvl w:ilvl="0" w:tplc="CC0442CE">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3" w15:restartNumberingAfterBreak="0">
    <w:nsid w:val="414855CA"/>
    <w:multiLevelType w:val="hybridMultilevel"/>
    <w:tmpl w:val="CBD06058"/>
    <w:lvl w:ilvl="0" w:tplc="72CEB050">
      <w:start w:val="2"/>
      <w:numFmt w:val="decimal"/>
      <w:lvlText w:val="%1."/>
      <w:lvlJc w:val="left"/>
      <w:pPr>
        <w:ind w:left="720" w:hanging="360"/>
      </w:pPr>
    </w:lvl>
    <w:lvl w:ilvl="1" w:tplc="7F729E30">
      <w:start w:val="1"/>
      <w:numFmt w:val="lowerLetter"/>
      <w:lvlText w:val="%2."/>
      <w:lvlJc w:val="left"/>
      <w:pPr>
        <w:ind w:left="1440" w:hanging="360"/>
      </w:pPr>
    </w:lvl>
    <w:lvl w:ilvl="2" w:tplc="47087F4A">
      <w:start w:val="1"/>
      <w:numFmt w:val="lowerRoman"/>
      <w:lvlText w:val="%3."/>
      <w:lvlJc w:val="right"/>
      <w:pPr>
        <w:ind w:left="2160" w:hanging="180"/>
      </w:pPr>
    </w:lvl>
    <w:lvl w:ilvl="3" w:tplc="CD46AED0">
      <w:start w:val="1"/>
      <w:numFmt w:val="decimal"/>
      <w:lvlText w:val="%4."/>
      <w:lvlJc w:val="left"/>
      <w:pPr>
        <w:ind w:left="2880" w:hanging="360"/>
      </w:pPr>
    </w:lvl>
    <w:lvl w:ilvl="4" w:tplc="10422988">
      <w:start w:val="1"/>
      <w:numFmt w:val="lowerLetter"/>
      <w:lvlText w:val="%5."/>
      <w:lvlJc w:val="left"/>
      <w:pPr>
        <w:ind w:left="3600" w:hanging="360"/>
      </w:pPr>
    </w:lvl>
    <w:lvl w:ilvl="5" w:tplc="A0B233D8">
      <w:start w:val="1"/>
      <w:numFmt w:val="lowerRoman"/>
      <w:lvlText w:val="%6."/>
      <w:lvlJc w:val="right"/>
      <w:pPr>
        <w:ind w:left="4320" w:hanging="180"/>
      </w:pPr>
    </w:lvl>
    <w:lvl w:ilvl="6" w:tplc="77823684">
      <w:start w:val="1"/>
      <w:numFmt w:val="decimal"/>
      <w:lvlText w:val="%7."/>
      <w:lvlJc w:val="left"/>
      <w:pPr>
        <w:ind w:left="5040" w:hanging="360"/>
      </w:pPr>
    </w:lvl>
    <w:lvl w:ilvl="7" w:tplc="D04C8A74">
      <w:start w:val="1"/>
      <w:numFmt w:val="lowerLetter"/>
      <w:lvlText w:val="%8."/>
      <w:lvlJc w:val="left"/>
      <w:pPr>
        <w:ind w:left="5760" w:hanging="360"/>
      </w:pPr>
    </w:lvl>
    <w:lvl w:ilvl="8" w:tplc="F064B0A8">
      <w:start w:val="1"/>
      <w:numFmt w:val="lowerRoman"/>
      <w:lvlText w:val="%9."/>
      <w:lvlJc w:val="right"/>
      <w:pPr>
        <w:ind w:left="6480" w:hanging="180"/>
      </w:pPr>
    </w:lvl>
  </w:abstractNum>
  <w:abstractNum w:abstractNumId="74" w15:restartNumberingAfterBreak="0">
    <w:nsid w:val="414F4186"/>
    <w:multiLevelType w:val="hybridMultilevel"/>
    <w:tmpl w:val="CE1E0CBC"/>
    <w:name w:val="Heading2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5" w15:restartNumberingAfterBreak="0">
    <w:nsid w:val="41D67D92"/>
    <w:multiLevelType w:val="hybridMultilevel"/>
    <w:tmpl w:val="4B707842"/>
    <w:lvl w:ilvl="0" w:tplc="FB5C9744">
      <w:start w:val="1"/>
      <w:numFmt w:val="bullet"/>
      <w:lvlText w:val=""/>
      <w:lvlJc w:val="left"/>
      <w:pPr>
        <w:ind w:left="720" w:hanging="360"/>
      </w:pPr>
      <w:rPr>
        <w:rFonts w:ascii="Symbol" w:hAnsi="Symbol" w:hint="default"/>
      </w:rPr>
    </w:lvl>
    <w:lvl w:ilvl="1" w:tplc="7ED42678">
      <w:start w:val="1"/>
      <w:numFmt w:val="bullet"/>
      <w:lvlText w:val="o"/>
      <w:lvlJc w:val="left"/>
      <w:pPr>
        <w:ind w:left="1440" w:hanging="360"/>
      </w:pPr>
      <w:rPr>
        <w:rFonts w:ascii="Courier New" w:hAnsi="Courier New" w:hint="default"/>
      </w:rPr>
    </w:lvl>
    <w:lvl w:ilvl="2" w:tplc="2C74D8CC">
      <w:start w:val="1"/>
      <w:numFmt w:val="bullet"/>
      <w:lvlText w:val=""/>
      <w:lvlJc w:val="left"/>
      <w:pPr>
        <w:ind w:left="2160" w:hanging="360"/>
      </w:pPr>
      <w:rPr>
        <w:rFonts w:ascii="Wingdings" w:hAnsi="Wingdings" w:hint="default"/>
      </w:rPr>
    </w:lvl>
    <w:lvl w:ilvl="3" w:tplc="BA725A80">
      <w:start w:val="1"/>
      <w:numFmt w:val="bullet"/>
      <w:lvlText w:val=""/>
      <w:lvlJc w:val="left"/>
      <w:pPr>
        <w:ind w:left="2880" w:hanging="360"/>
      </w:pPr>
      <w:rPr>
        <w:rFonts w:ascii="Symbol" w:hAnsi="Symbol" w:hint="default"/>
      </w:rPr>
    </w:lvl>
    <w:lvl w:ilvl="4" w:tplc="33AA5C24">
      <w:start w:val="1"/>
      <w:numFmt w:val="bullet"/>
      <w:lvlText w:val="o"/>
      <w:lvlJc w:val="left"/>
      <w:pPr>
        <w:ind w:left="3600" w:hanging="360"/>
      </w:pPr>
      <w:rPr>
        <w:rFonts w:ascii="Courier New" w:hAnsi="Courier New" w:hint="default"/>
      </w:rPr>
    </w:lvl>
    <w:lvl w:ilvl="5" w:tplc="3C9EE60C">
      <w:start w:val="1"/>
      <w:numFmt w:val="bullet"/>
      <w:lvlText w:val=""/>
      <w:lvlJc w:val="left"/>
      <w:pPr>
        <w:ind w:left="4320" w:hanging="360"/>
      </w:pPr>
      <w:rPr>
        <w:rFonts w:ascii="Wingdings" w:hAnsi="Wingdings" w:hint="default"/>
      </w:rPr>
    </w:lvl>
    <w:lvl w:ilvl="6" w:tplc="D98C7E5A">
      <w:start w:val="1"/>
      <w:numFmt w:val="bullet"/>
      <w:lvlText w:val=""/>
      <w:lvlJc w:val="left"/>
      <w:pPr>
        <w:ind w:left="5040" w:hanging="360"/>
      </w:pPr>
      <w:rPr>
        <w:rFonts w:ascii="Symbol" w:hAnsi="Symbol" w:hint="default"/>
      </w:rPr>
    </w:lvl>
    <w:lvl w:ilvl="7" w:tplc="DFE4E6D0">
      <w:start w:val="1"/>
      <w:numFmt w:val="bullet"/>
      <w:lvlText w:val="o"/>
      <w:lvlJc w:val="left"/>
      <w:pPr>
        <w:ind w:left="5760" w:hanging="360"/>
      </w:pPr>
      <w:rPr>
        <w:rFonts w:ascii="Courier New" w:hAnsi="Courier New" w:hint="default"/>
      </w:rPr>
    </w:lvl>
    <w:lvl w:ilvl="8" w:tplc="37588974">
      <w:start w:val="1"/>
      <w:numFmt w:val="bullet"/>
      <w:lvlText w:val=""/>
      <w:lvlJc w:val="left"/>
      <w:pPr>
        <w:ind w:left="6480" w:hanging="360"/>
      </w:pPr>
      <w:rPr>
        <w:rFonts w:ascii="Wingdings" w:hAnsi="Wingdings" w:hint="default"/>
      </w:rPr>
    </w:lvl>
  </w:abstractNum>
  <w:abstractNum w:abstractNumId="7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7" w15:restartNumberingAfterBreak="0">
    <w:nsid w:val="42737F5F"/>
    <w:multiLevelType w:val="hybridMultilevel"/>
    <w:tmpl w:val="30D47F12"/>
    <w:lvl w:ilvl="0" w:tplc="18090011">
      <w:start w:val="1"/>
      <w:numFmt w:val="decimal"/>
      <w:lvlText w:val="%1)"/>
      <w:lvlJc w:val="left"/>
      <w:pPr>
        <w:ind w:left="720" w:hanging="360"/>
      </w:pPr>
      <w:rPr>
        <w:rFonts w:hint="default"/>
      </w:rPr>
    </w:lvl>
    <w:lvl w:ilvl="1" w:tplc="7AACA2A8">
      <w:start w:val="1"/>
      <w:numFmt w:val="lowerRoman"/>
      <w:lvlText w:val="%2)"/>
      <w:lvlJc w:val="left"/>
      <w:pPr>
        <w:ind w:left="1440" w:hanging="360"/>
      </w:pPr>
      <w:rPr>
        <w:rFonts w:hint="default"/>
      </w:rPr>
    </w:lvl>
    <w:lvl w:ilvl="2" w:tplc="135C1798">
      <w:start w:val="1"/>
      <w:numFmt w:val="lowerRoman"/>
      <w:lvlText w:val="%3."/>
      <w:lvlJc w:val="right"/>
      <w:pPr>
        <w:ind w:left="2160" w:hanging="180"/>
      </w:pPr>
    </w:lvl>
    <w:lvl w:ilvl="3" w:tplc="8EBEB170">
      <w:start w:val="1"/>
      <w:numFmt w:val="decimal"/>
      <w:lvlText w:val="%4."/>
      <w:lvlJc w:val="left"/>
      <w:pPr>
        <w:ind w:left="2880" w:hanging="360"/>
      </w:pPr>
    </w:lvl>
    <w:lvl w:ilvl="4" w:tplc="C03A1DA6">
      <w:start w:val="1"/>
      <w:numFmt w:val="lowerLetter"/>
      <w:lvlText w:val="%5."/>
      <w:lvlJc w:val="left"/>
      <w:pPr>
        <w:ind w:left="3600" w:hanging="360"/>
      </w:pPr>
    </w:lvl>
    <w:lvl w:ilvl="5" w:tplc="F2E60BEE">
      <w:start w:val="1"/>
      <w:numFmt w:val="lowerRoman"/>
      <w:lvlText w:val="%6."/>
      <w:lvlJc w:val="right"/>
      <w:pPr>
        <w:ind w:left="4320" w:hanging="180"/>
      </w:pPr>
    </w:lvl>
    <w:lvl w:ilvl="6" w:tplc="FF086586">
      <w:start w:val="1"/>
      <w:numFmt w:val="decimal"/>
      <w:lvlText w:val="%7."/>
      <w:lvlJc w:val="left"/>
      <w:pPr>
        <w:ind w:left="5040" w:hanging="360"/>
      </w:pPr>
    </w:lvl>
    <w:lvl w:ilvl="7" w:tplc="4B904216">
      <w:start w:val="1"/>
      <w:numFmt w:val="lowerLetter"/>
      <w:lvlText w:val="%8."/>
      <w:lvlJc w:val="left"/>
      <w:pPr>
        <w:ind w:left="5760" w:hanging="360"/>
      </w:pPr>
    </w:lvl>
    <w:lvl w:ilvl="8" w:tplc="C6CAEAEE">
      <w:start w:val="1"/>
      <w:numFmt w:val="lowerRoman"/>
      <w:lvlText w:val="%9."/>
      <w:lvlJc w:val="right"/>
      <w:pPr>
        <w:ind w:left="6480" w:hanging="180"/>
      </w:pPr>
    </w:lvl>
  </w:abstractNum>
  <w:abstractNum w:abstractNumId="78" w15:restartNumberingAfterBreak="0">
    <w:nsid w:val="42DE3906"/>
    <w:multiLevelType w:val="hybridMultilevel"/>
    <w:tmpl w:val="FFFFFFFF"/>
    <w:lvl w:ilvl="0" w:tplc="AD8C62EC">
      <w:start w:val="1"/>
      <w:numFmt w:val="bullet"/>
      <w:lvlText w:val=""/>
      <w:lvlJc w:val="left"/>
      <w:pPr>
        <w:ind w:left="720" w:hanging="360"/>
      </w:pPr>
      <w:rPr>
        <w:rFonts w:ascii="Symbol" w:hAnsi="Symbol" w:hint="default"/>
      </w:rPr>
    </w:lvl>
    <w:lvl w:ilvl="1" w:tplc="62584E8C">
      <w:start w:val="1"/>
      <w:numFmt w:val="bullet"/>
      <w:lvlText w:val="o"/>
      <w:lvlJc w:val="left"/>
      <w:pPr>
        <w:ind w:left="1440" w:hanging="360"/>
      </w:pPr>
      <w:rPr>
        <w:rFonts w:ascii="Courier New" w:hAnsi="Courier New" w:hint="default"/>
      </w:rPr>
    </w:lvl>
    <w:lvl w:ilvl="2" w:tplc="B1C2F78C">
      <w:start w:val="1"/>
      <w:numFmt w:val="bullet"/>
      <w:lvlText w:val=""/>
      <w:lvlJc w:val="left"/>
      <w:pPr>
        <w:ind w:left="2160" w:hanging="360"/>
      </w:pPr>
      <w:rPr>
        <w:rFonts w:ascii="Wingdings" w:hAnsi="Wingdings" w:hint="default"/>
      </w:rPr>
    </w:lvl>
    <w:lvl w:ilvl="3" w:tplc="4E487676">
      <w:start w:val="1"/>
      <w:numFmt w:val="bullet"/>
      <w:lvlText w:val=""/>
      <w:lvlJc w:val="left"/>
      <w:pPr>
        <w:ind w:left="2880" w:hanging="360"/>
      </w:pPr>
      <w:rPr>
        <w:rFonts w:ascii="Symbol" w:hAnsi="Symbol" w:hint="default"/>
      </w:rPr>
    </w:lvl>
    <w:lvl w:ilvl="4" w:tplc="052CA484">
      <w:start w:val="1"/>
      <w:numFmt w:val="bullet"/>
      <w:lvlText w:val="o"/>
      <w:lvlJc w:val="left"/>
      <w:pPr>
        <w:ind w:left="3600" w:hanging="360"/>
      </w:pPr>
      <w:rPr>
        <w:rFonts w:ascii="Courier New" w:hAnsi="Courier New" w:hint="default"/>
      </w:rPr>
    </w:lvl>
    <w:lvl w:ilvl="5" w:tplc="078854A2">
      <w:start w:val="1"/>
      <w:numFmt w:val="bullet"/>
      <w:lvlText w:val=""/>
      <w:lvlJc w:val="left"/>
      <w:pPr>
        <w:ind w:left="4320" w:hanging="360"/>
      </w:pPr>
      <w:rPr>
        <w:rFonts w:ascii="Wingdings" w:hAnsi="Wingdings" w:hint="default"/>
      </w:rPr>
    </w:lvl>
    <w:lvl w:ilvl="6" w:tplc="33780E46">
      <w:start w:val="1"/>
      <w:numFmt w:val="bullet"/>
      <w:lvlText w:val=""/>
      <w:lvlJc w:val="left"/>
      <w:pPr>
        <w:ind w:left="5040" w:hanging="360"/>
      </w:pPr>
      <w:rPr>
        <w:rFonts w:ascii="Symbol" w:hAnsi="Symbol" w:hint="default"/>
      </w:rPr>
    </w:lvl>
    <w:lvl w:ilvl="7" w:tplc="D5302284">
      <w:start w:val="1"/>
      <w:numFmt w:val="bullet"/>
      <w:lvlText w:val="o"/>
      <w:lvlJc w:val="left"/>
      <w:pPr>
        <w:ind w:left="5760" w:hanging="360"/>
      </w:pPr>
      <w:rPr>
        <w:rFonts w:ascii="Courier New" w:hAnsi="Courier New" w:hint="default"/>
      </w:rPr>
    </w:lvl>
    <w:lvl w:ilvl="8" w:tplc="9D6232FE">
      <w:start w:val="1"/>
      <w:numFmt w:val="bullet"/>
      <w:lvlText w:val=""/>
      <w:lvlJc w:val="left"/>
      <w:pPr>
        <w:ind w:left="6480" w:hanging="360"/>
      </w:pPr>
      <w:rPr>
        <w:rFonts w:ascii="Wingdings" w:hAnsi="Wingdings" w:hint="default"/>
      </w:rPr>
    </w:lvl>
  </w:abstractNum>
  <w:abstractNum w:abstractNumId="7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80" w15:restartNumberingAfterBreak="0">
    <w:nsid w:val="43CB7CB9"/>
    <w:multiLevelType w:val="hybridMultilevel"/>
    <w:tmpl w:val="3776FB5C"/>
    <w:lvl w:ilvl="0" w:tplc="C582BF1E">
      <w:start w:val="1"/>
      <w:numFmt w:val="bullet"/>
      <w:lvlText w:val="-"/>
      <w:lvlJc w:val="left"/>
      <w:pPr>
        <w:ind w:left="720" w:hanging="360"/>
      </w:pPr>
      <w:rPr>
        <w:rFonts w:ascii="Calibri" w:hAnsi="Calibri" w:hint="default"/>
      </w:rPr>
    </w:lvl>
    <w:lvl w:ilvl="1" w:tplc="925EA5CC">
      <w:start w:val="1"/>
      <w:numFmt w:val="bullet"/>
      <w:lvlText w:val="o"/>
      <w:lvlJc w:val="left"/>
      <w:pPr>
        <w:ind w:left="1440" w:hanging="360"/>
      </w:pPr>
      <w:rPr>
        <w:rFonts w:ascii="Courier New" w:hAnsi="Courier New" w:hint="default"/>
      </w:rPr>
    </w:lvl>
    <w:lvl w:ilvl="2" w:tplc="EDA8F6C6">
      <w:start w:val="1"/>
      <w:numFmt w:val="bullet"/>
      <w:lvlText w:val=""/>
      <w:lvlJc w:val="left"/>
      <w:pPr>
        <w:ind w:left="2160" w:hanging="360"/>
      </w:pPr>
      <w:rPr>
        <w:rFonts w:ascii="Wingdings" w:hAnsi="Wingdings" w:hint="default"/>
      </w:rPr>
    </w:lvl>
    <w:lvl w:ilvl="3" w:tplc="9622194E">
      <w:start w:val="1"/>
      <w:numFmt w:val="bullet"/>
      <w:lvlText w:val=""/>
      <w:lvlJc w:val="left"/>
      <w:pPr>
        <w:ind w:left="2880" w:hanging="360"/>
      </w:pPr>
      <w:rPr>
        <w:rFonts w:ascii="Symbol" w:hAnsi="Symbol" w:hint="default"/>
      </w:rPr>
    </w:lvl>
    <w:lvl w:ilvl="4" w:tplc="0A025828">
      <w:start w:val="1"/>
      <w:numFmt w:val="bullet"/>
      <w:lvlText w:val="o"/>
      <w:lvlJc w:val="left"/>
      <w:pPr>
        <w:ind w:left="3600" w:hanging="360"/>
      </w:pPr>
      <w:rPr>
        <w:rFonts w:ascii="Courier New" w:hAnsi="Courier New" w:hint="default"/>
      </w:rPr>
    </w:lvl>
    <w:lvl w:ilvl="5" w:tplc="812A91E8">
      <w:start w:val="1"/>
      <w:numFmt w:val="bullet"/>
      <w:lvlText w:val=""/>
      <w:lvlJc w:val="left"/>
      <w:pPr>
        <w:ind w:left="4320" w:hanging="360"/>
      </w:pPr>
      <w:rPr>
        <w:rFonts w:ascii="Wingdings" w:hAnsi="Wingdings" w:hint="default"/>
      </w:rPr>
    </w:lvl>
    <w:lvl w:ilvl="6" w:tplc="1EFAAA5A">
      <w:start w:val="1"/>
      <w:numFmt w:val="bullet"/>
      <w:lvlText w:val=""/>
      <w:lvlJc w:val="left"/>
      <w:pPr>
        <w:ind w:left="5040" w:hanging="360"/>
      </w:pPr>
      <w:rPr>
        <w:rFonts w:ascii="Symbol" w:hAnsi="Symbol" w:hint="default"/>
      </w:rPr>
    </w:lvl>
    <w:lvl w:ilvl="7" w:tplc="A8880DE8">
      <w:start w:val="1"/>
      <w:numFmt w:val="bullet"/>
      <w:lvlText w:val="o"/>
      <w:lvlJc w:val="left"/>
      <w:pPr>
        <w:ind w:left="5760" w:hanging="360"/>
      </w:pPr>
      <w:rPr>
        <w:rFonts w:ascii="Courier New" w:hAnsi="Courier New" w:hint="default"/>
      </w:rPr>
    </w:lvl>
    <w:lvl w:ilvl="8" w:tplc="D6ECD9E2">
      <w:start w:val="1"/>
      <w:numFmt w:val="bullet"/>
      <w:lvlText w:val=""/>
      <w:lvlJc w:val="left"/>
      <w:pPr>
        <w:ind w:left="6480" w:hanging="360"/>
      </w:pPr>
      <w:rPr>
        <w:rFonts w:ascii="Wingdings" w:hAnsi="Wingdings" w:hint="default"/>
      </w:rPr>
    </w:lvl>
  </w:abstractNum>
  <w:abstractNum w:abstractNumId="81" w15:restartNumberingAfterBreak="0">
    <w:nsid w:val="440F2D35"/>
    <w:multiLevelType w:val="hybridMultilevel"/>
    <w:tmpl w:val="E6B8E182"/>
    <w:lvl w:ilvl="0" w:tplc="FFFFFFFF">
      <w:start w:val="1"/>
      <w:numFmt w:val="bullet"/>
      <w:lvlText w:val="-"/>
      <w:lvlJc w:val="left"/>
      <w:pPr>
        <w:ind w:left="2138" w:hanging="360"/>
      </w:pPr>
      <w:rPr>
        <w:rFonts w:ascii="Times New Roman" w:hAnsi="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82" w15:restartNumberingAfterBreak="0">
    <w:nsid w:val="447233BC"/>
    <w:multiLevelType w:val="hybridMultilevel"/>
    <w:tmpl w:val="1D98CFB4"/>
    <w:lvl w:ilvl="0" w:tplc="CDE203F6">
      <w:start w:val="1"/>
      <w:numFmt w:val="decimal"/>
      <w:lvlText w:val="%1."/>
      <w:lvlJc w:val="left"/>
      <w:pPr>
        <w:ind w:left="720" w:hanging="360"/>
      </w:pPr>
    </w:lvl>
    <w:lvl w:ilvl="1" w:tplc="36B8A8B8">
      <w:start w:val="1"/>
      <w:numFmt w:val="lowerLetter"/>
      <w:lvlText w:val="%2."/>
      <w:lvlJc w:val="left"/>
      <w:pPr>
        <w:ind w:left="1440" w:hanging="360"/>
      </w:pPr>
    </w:lvl>
    <w:lvl w:ilvl="2" w:tplc="329265BC">
      <w:start w:val="1"/>
      <w:numFmt w:val="lowerRoman"/>
      <w:lvlText w:val="%3."/>
      <w:lvlJc w:val="right"/>
      <w:pPr>
        <w:ind w:left="2160" w:hanging="180"/>
      </w:pPr>
    </w:lvl>
    <w:lvl w:ilvl="3" w:tplc="438252A0">
      <w:start w:val="1"/>
      <w:numFmt w:val="decimal"/>
      <w:lvlText w:val="%4."/>
      <w:lvlJc w:val="left"/>
      <w:pPr>
        <w:ind w:left="2880" w:hanging="360"/>
      </w:pPr>
    </w:lvl>
    <w:lvl w:ilvl="4" w:tplc="3E4C4EFA">
      <w:start w:val="1"/>
      <w:numFmt w:val="lowerLetter"/>
      <w:lvlText w:val="%5."/>
      <w:lvlJc w:val="left"/>
      <w:pPr>
        <w:ind w:left="3600" w:hanging="360"/>
      </w:pPr>
    </w:lvl>
    <w:lvl w:ilvl="5" w:tplc="1C0AF6EA">
      <w:start w:val="1"/>
      <w:numFmt w:val="lowerRoman"/>
      <w:lvlText w:val="%6."/>
      <w:lvlJc w:val="right"/>
      <w:pPr>
        <w:ind w:left="4320" w:hanging="180"/>
      </w:pPr>
    </w:lvl>
    <w:lvl w:ilvl="6" w:tplc="002032FC">
      <w:start w:val="1"/>
      <w:numFmt w:val="decimal"/>
      <w:lvlText w:val="%7."/>
      <w:lvlJc w:val="left"/>
      <w:pPr>
        <w:ind w:left="5040" w:hanging="360"/>
      </w:pPr>
    </w:lvl>
    <w:lvl w:ilvl="7" w:tplc="4CA27BF2">
      <w:start w:val="1"/>
      <w:numFmt w:val="lowerLetter"/>
      <w:lvlText w:val="%8."/>
      <w:lvlJc w:val="left"/>
      <w:pPr>
        <w:ind w:left="5760" w:hanging="360"/>
      </w:pPr>
    </w:lvl>
    <w:lvl w:ilvl="8" w:tplc="4ED46F5C">
      <w:start w:val="1"/>
      <w:numFmt w:val="lowerRoman"/>
      <w:lvlText w:val="%9."/>
      <w:lvlJc w:val="right"/>
      <w:pPr>
        <w:ind w:left="6480" w:hanging="180"/>
      </w:pPr>
    </w:lvl>
  </w:abstractNum>
  <w:abstractNum w:abstractNumId="83"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84" w15:restartNumberingAfterBreak="0">
    <w:nsid w:val="455631AC"/>
    <w:multiLevelType w:val="hybridMultilevel"/>
    <w:tmpl w:val="84FA0DAE"/>
    <w:lvl w:ilvl="0" w:tplc="218C80C4">
      <w:start w:val="1"/>
      <w:numFmt w:val="bullet"/>
      <w:lvlText w:val="-"/>
      <w:lvlJc w:val="left"/>
      <w:pPr>
        <w:ind w:left="720" w:hanging="360"/>
      </w:pPr>
      <w:rPr>
        <w:rFonts w:ascii="Calibri" w:hAnsi="Calibri" w:hint="default"/>
      </w:rPr>
    </w:lvl>
    <w:lvl w:ilvl="1" w:tplc="43023A84">
      <w:start w:val="1"/>
      <w:numFmt w:val="bullet"/>
      <w:lvlText w:val="o"/>
      <w:lvlJc w:val="left"/>
      <w:pPr>
        <w:ind w:left="1440" w:hanging="360"/>
      </w:pPr>
      <w:rPr>
        <w:rFonts w:ascii="Courier New" w:hAnsi="Courier New" w:hint="default"/>
      </w:rPr>
    </w:lvl>
    <w:lvl w:ilvl="2" w:tplc="35A8F86E">
      <w:start w:val="1"/>
      <w:numFmt w:val="bullet"/>
      <w:lvlText w:val=""/>
      <w:lvlJc w:val="left"/>
      <w:pPr>
        <w:ind w:left="2160" w:hanging="360"/>
      </w:pPr>
      <w:rPr>
        <w:rFonts w:ascii="Wingdings" w:hAnsi="Wingdings" w:hint="default"/>
      </w:rPr>
    </w:lvl>
    <w:lvl w:ilvl="3" w:tplc="33A0F0A8">
      <w:start w:val="1"/>
      <w:numFmt w:val="bullet"/>
      <w:lvlText w:val=""/>
      <w:lvlJc w:val="left"/>
      <w:pPr>
        <w:ind w:left="2880" w:hanging="360"/>
      </w:pPr>
      <w:rPr>
        <w:rFonts w:ascii="Symbol" w:hAnsi="Symbol" w:hint="default"/>
      </w:rPr>
    </w:lvl>
    <w:lvl w:ilvl="4" w:tplc="F6B04706">
      <w:start w:val="1"/>
      <w:numFmt w:val="bullet"/>
      <w:lvlText w:val="o"/>
      <w:lvlJc w:val="left"/>
      <w:pPr>
        <w:ind w:left="3600" w:hanging="360"/>
      </w:pPr>
      <w:rPr>
        <w:rFonts w:ascii="Courier New" w:hAnsi="Courier New" w:hint="default"/>
      </w:rPr>
    </w:lvl>
    <w:lvl w:ilvl="5" w:tplc="0EAAD594">
      <w:start w:val="1"/>
      <w:numFmt w:val="bullet"/>
      <w:lvlText w:val=""/>
      <w:lvlJc w:val="left"/>
      <w:pPr>
        <w:ind w:left="4320" w:hanging="360"/>
      </w:pPr>
      <w:rPr>
        <w:rFonts w:ascii="Wingdings" w:hAnsi="Wingdings" w:hint="default"/>
      </w:rPr>
    </w:lvl>
    <w:lvl w:ilvl="6" w:tplc="12E066FC">
      <w:start w:val="1"/>
      <w:numFmt w:val="bullet"/>
      <w:lvlText w:val=""/>
      <w:lvlJc w:val="left"/>
      <w:pPr>
        <w:ind w:left="5040" w:hanging="360"/>
      </w:pPr>
      <w:rPr>
        <w:rFonts w:ascii="Symbol" w:hAnsi="Symbol" w:hint="default"/>
      </w:rPr>
    </w:lvl>
    <w:lvl w:ilvl="7" w:tplc="6C9CF37E">
      <w:start w:val="1"/>
      <w:numFmt w:val="bullet"/>
      <w:lvlText w:val="o"/>
      <w:lvlJc w:val="left"/>
      <w:pPr>
        <w:ind w:left="5760" w:hanging="360"/>
      </w:pPr>
      <w:rPr>
        <w:rFonts w:ascii="Courier New" w:hAnsi="Courier New" w:hint="default"/>
      </w:rPr>
    </w:lvl>
    <w:lvl w:ilvl="8" w:tplc="BC06DF1C">
      <w:start w:val="1"/>
      <w:numFmt w:val="bullet"/>
      <w:lvlText w:val=""/>
      <w:lvlJc w:val="left"/>
      <w:pPr>
        <w:ind w:left="6480" w:hanging="360"/>
      </w:pPr>
      <w:rPr>
        <w:rFonts w:ascii="Wingdings" w:hAnsi="Wingdings" w:hint="default"/>
      </w:rPr>
    </w:lvl>
  </w:abstractNum>
  <w:abstractNum w:abstractNumId="85" w15:restartNumberingAfterBreak="0">
    <w:nsid w:val="45CA1CA0"/>
    <w:multiLevelType w:val="hybridMultilevel"/>
    <w:tmpl w:val="4B74FB9A"/>
    <w:lvl w:ilvl="0" w:tplc="0410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6" w15:restartNumberingAfterBreak="0">
    <w:nsid w:val="46101FB5"/>
    <w:multiLevelType w:val="hybridMultilevel"/>
    <w:tmpl w:val="199AB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7" w15:restartNumberingAfterBreak="0">
    <w:nsid w:val="468F2093"/>
    <w:multiLevelType w:val="multilevel"/>
    <w:tmpl w:val="C99AB46E"/>
    <w:name w:val="NumPar2"/>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7542ACE"/>
    <w:multiLevelType w:val="hybridMultilevel"/>
    <w:tmpl w:val="DCE6E23E"/>
    <w:lvl w:ilvl="0" w:tplc="73C0F010">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9" w15:restartNumberingAfterBreak="0">
    <w:nsid w:val="483C6ACF"/>
    <w:multiLevelType w:val="hybridMultilevel"/>
    <w:tmpl w:val="B110549E"/>
    <w:name w:val="Heading22"/>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0" w15:restartNumberingAfterBreak="0">
    <w:nsid w:val="48D00E20"/>
    <w:multiLevelType w:val="hybridMultilevel"/>
    <w:tmpl w:val="CCC06296"/>
    <w:lvl w:ilvl="0" w:tplc="EADA3AE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1" w15:restartNumberingAfterBreak="0">
    <w:nsid w:val="493B5AE0"/>
    <w:multiLevelType w:val="hybridMultilevel"/>
    <w:tmpl w:val="72A80998"/>
    <w:lvl w:ilvl="0" w:tplc="6E6EFFBA">
      <w:start w:val="1"/>
      <w:numFmt w:val="bullet"/>
      <w:lvlText w:val=""/>
      <w:lvlJc w:val="left"/>
      <w:pPr>
        <w:ind w:left="720" w:hanging="360"/>
      </w:pPr>
      <w:rPr>
        <w:rFonts w:ascii="Symbol" w:hAnsi="Symbol" w:hint="default"/>
      </w:rPr>
    </w:lvl>
    <w:lvl w:ilvl="1" w:tplc="1C1CCC76">
      <w:start w:val="1"/>
      <w:numFmt w:val="bullet"/>
      <w:lvlText w:val="o"/>
      <w:lvlJc w:val="left"/>
      <w:pPr>
        <w:ind w:left="1440" w:hanging="360"/>
      </w:pPr>
      <w:rPr>
        <w:rFonts w:ascii="Courier New" w:hAnsi="Courier New" w:hint="default"/>
      </w:rPr>
    </w:lvl>
    <w:lvl w:ilvl="2" w:tplc="61486A5C">
      <w:start w:val="1"/>
      <w:numFmt w:val="bullet"/>
      <w:lvlText w:val=""/>
      <w:lvlJc w:val="left"/>
      <w:pPr>
        <w:ind w:left="2160" w:hanging="360"/>
      </w:pPr>
      <w:rPr>
        <w:rFonts w:ascii="Wingdings" w:hAnsi="Wingdings" w:hint="default"/>
      </w:rPr>
    </w:lvl>
    <w:lvl w:ilvl="3" w:tplc="B39C15D8">
      <w:start w:val="1"/>
      <w:numFmt w:val="bullet"/>
      <w:lvlText w:val=""/>
      <w:lvlJc w:val="left"/>
      <w:pPr>
        <w:ind w:left="2880" w:hanging="360"/>
      </w:pPr>
      <w:rPr>
        <w:rFonts w:ascii="Symbol" w:hAnsi="Symbol" w:hint="default"/>
      </w:rPr>
    </w:lvl>
    <w:lvl w:ilvl="4" w:tplc="569E71DA">
      <w:start w:val="1"/>
      <w:numFmt w:val="bullet"/>
      <w:lvlText w:val="o"/>
      <w:lvlJc w:val="left"/>
      <w:pPr>
        <w:ind w:left="3600" w:hanging="360"/>
      </w:pPr>
      <w:rPr>
        <w:rFonts w:ascii="Courier New" w:hAnsi="Courier New" w:hint="default"/>
      </w:rPr>
    </w:lvl>
    <w:lvl w:ilvl="5" w:tplc="125CBE6E">
      <w:start w:val="1"/>
      <w:numFmt w:val="bullet"/>
      <w:lvlText w:val=""/>
      <w:lvlJc w:val="left"/>
      <w:pPr>
        <w:ind w:left="4320" w:hanging="360"/>
      </w:pPr>
      <w:rPr>
        <w:rFonts w:ascii="Wingdings" w:hAnsi="Wingdings" w:hint="default"/>
      </w:rPr>
    </w:lvl>
    <w:lvl w:ilvl="6" w:tplc="330E1BAC">
      <w:start w:val="1"/>
      <w:numFmt w:val="bullet"/>
      <w:lvlText w:val=""/>
      <w:lvlJc w:val="left"/>
      <w:pPr>
        <w:ind w:left="5040" w:hanging="360"/>
      </w:pPr>
      <w:rPr>
        <w:rFonts w:ascii="Symbol" w:hAnsi="Symbol" w:hint="default"/>
      </w:rPr>
    </w:lvl>
    <w:lvl w:ilvl="7" w:tplc="0B4CB97C">
      <w:start w:val="1"/>
      <w:numFmt w:val="bullet"/>
      <w:lvlText w:val="o"/>
      <w:lvlJc w:val="left"/>
      <w:pPr>
        <w:ind w:left="5760" w:hanging="360"/>
      </w:pPr>
      <w:rPr>
        <w:rFonts w:ascii="Courier New" w:hAnsi="Courier New" w:hint="default"/>
      </w:rPr>
    </w:lvl>
    <w:lvl w:ilvl="8" w:tplc="60B6A082">
      <w:start w:val="1"/>
      <w:numFmt w:val="bullet"/>
      <w:lvlText w:val=""/>
      <w:lvlJc w:val="left"/>
      <w:pPr>
        <w:ind w:left="6480" w:hanging="360"/>
      </w:pPr>
      <w:rPr>
        <w:rFonts w:ascii="Wingdings" w:hAnsi="Wingdings" w:hint="default"/>
      </w:rPr>
    </w:lvl>
  </w:abstractNum>
  <w:abstractNum w:abstractNumId="92" w15:restartNumberingAfterBreak="0">
    <w:nsid w:val="49D773DC"/>
    <w:multiLevelType w:val="hybridMultilevel"/>
    <w:tmpl w:val="E1EE12C2"/>
    <w:lvl w:ilvl="0" w:tplc="873C997E">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3" w15:restartNumberingAfterBreak="0">
    <w:nsid w:val="4A667F9E"/>
    <w:multiLevelType w:val="hybridMultilevel"/>
    <w:tmpl w:val="24D0B194"/>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4" w15:restartNumberingAfterBreak="0">
    <w:nsid w:val="4C4115D3"/>
    <w:multiLevelType w:val="hybridMultilevel"/>
    <w:tmpl w:val="D4E4AC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5" w15:restartNumberingAfterBreak="0">
    <w:nsid w:val="4EAB4DFA"/>
    <w:multiLevelType w:val="hybridMultilevel"/>
    <w:tmpl w:val="5CD49A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6" w15:restartNumberingAfterBreak="0">
    <w:nsid w:val="4F7D33CD"/>
    <w:multiLevelType w:val="hybridMultilevel"/>
    <w:tmpl w:val="033A27AA"/>
    <w:lvl w:ilvl="0" w:tplc="FFFFFFFF">
      <w:start w:val="1"/>
      <w:numFmt w:val="bullet"/>
      <w:lvlText w:val="·"/>
      <w:lvlJc w:val="left"/>
      <w:pPr>
        <w:ind w:left="720" w:hanging="360"/>
      </w:pPr>
      <w:rPr>
        <w:rFonts w:ascii="Symbol" w:hAnsi="Symbol" w:hint="default"/>
      </w:rPr>
    </w:lvl>
    <w:lvl w:ilvl="1" w:tplc="B50E7C80">
      <w:start w:val="1"/>
      <w:numFmt w:val="bullet"/>
      <w:lvlText w:val="o"/>
      <w:lvlJc w:val="left"/>
      <w:pPr>
        <w:ind w:left="1440" w:hanging="360"/>
      </w:pPr>
      <w:rPr>
        <w:rFonts w:ascii="Courier New" w:hAnsi="Courier New" w:hint="default"/>
      </w:rPr>
    </w:lvl>
    <w:lvl w:ilvl="2" w:tplc="B582F2EC">
      <w:start w:val="1"/>
      <w:numFmt w:val="bullet"/>
      <w:lvlText w:val=""/>
      <w:lvlJc w:val="left"/>
      <w:pPr>
        <w:ind w:left="2160" w:hanging="360"/>
      </w:pPr>
      <w:rPr>
        <w:rFonts w:ascii="Wingdings" w:hAnsi="Wingdings" w:hint="default"/>
      </w:rPr>
    </w:lvl>
    <w:lvl w:ilvl="3" w:tplc="CFA22DC0">
      <w:start w:val="1"/>
      <w:numFmt w:val="bullet"/>
      <w:lvlText w:val=""/>
      <w:lvlJc w:val="left"/>
      <w:pPr>
        <w:ind w:left="2880" w:hanging="360"/>
      </w:pPr>
      <w:rPr>
        <w:rFonts w:ascii="Symbol" w:hAnsi="Symbol" w:hint="default"/>
      </w:rPr>
    </w:lvl>
    <w:lvl w:ilvl="4" w:tplc="A090585A">
      <w:start w:val="1"/>
      <w:numFmt w:val="bullet"/>
      <w:lvlText w:val="o"/>
      <w:lvlJc w:val="left"/>
      <w:pPr>
        <w:ind w:left="3600" w:hanging="360"/>
      </w:pPr>
      <w:rPr>
        <w:rFonts w:ascii="Courier New" w:hAnsi="Courier New" w:hint="default"/>
      </w:rPr>
    </w:lvl>
    <w:lvl w:ilvl="5" w:tplc="DC34638A">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F0F48B46">
      <w:start w:val="1"/>
      <w:numFmt w:val="bullet"/>
      <w:lvlText w:val="o"/>
      <w:lvlJc w:val="left"/>
      <w:pPr>
        <w:ind w:left="5760" w:hanging="360"/>
      </w:pPr>
      <w:rPr>
        <w:rFonts w:ascii="Courier New" w:hAnsi="Courier New" w:hint="default"/>
      </w:rPr>
    </w:lvl>
    <w:lvl w:ilvl="8" w:tplc="A1AE2EFE">
      <w:start w:val="1"/>
      <w:numFmt w:val="bullet"/>
      <w:lvlText w:val=""/>
      <w:lvlJc w:val="left"/>
      <w:pPr>
        <w:ind w:left="6480" w:hanging="360"/>
      </w:pPr>
      <w:rPr>
        <w:rFonts w:ascii="Wingdings" w:hAnsi="Wingdings" w:hint="default"/>
      </w:rPr>
    </w:lvl>
  </w:abstractNum>
  <w:abstractNum w:abstractNumId="97" w15:restartNumberingAfterBreak="0">
    <w:nsid w:val="52EC6ECC"/>
    <w:multiLevelType w:val="hybridMultilevel"/>
    <w:tmpl w:val="A506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3DA2203"/>
    <w:multiLevelType w:val="hybridMultilevel"/>
    <w:tmpl w:val="0DE8BB92"/>
    <w:lvl w:ilvl="0" w:tplc="28B87E4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9" w15:restartNumberingAfterBreak="0">
    <w:nsid w:val="540174FD"/>
    <w:multiLevelType w:val="hybridMultilevel"/>
    <w:tmpl w:val="3836CA74"/>
    <w:lvl w:ilvl="0" w:tplc="43EAD3D8">
      <w:start w:val="1"/>
      <w:numFmt w:val="bullet"/>
      <w:lvlText w:val="-"/>
      <w:lvlJc w:val="left"/>
      <w:pPr>
        <w:ind w:left="720" w:hanging="360"/>
      </w:pPr>
      <w:rPr>
        <w:rFonts w:ascii="Symbol" w:hAnsi="Symbol" w:hint="default"/>
      </w:rPr>
    </w:lvl>
    <w:lvl w:ilvl="1" w:tplc="C33687BC">
      <w:start w:val="1"/>
      <w:numFmt w:val="bullet"/>
      <w:lvlText w:val="o"/>
      <w:lvlJc w:val="left"/>
      <w:pPr>
        <w:ind w:left="1440" w:hanging="360"/>
      </w:pPr>
      <w:rPr>
        <w:rFonts w:ascii="Courier New" w:hAnsi="Courier New" w:hint="default"/>
      </w:rPr>
    </w:lvl>
    <w:lvl w:ilvl="2" w:tplc="B2CCF1B4">
      <w:start w:val="1"/>
      <w:numFmt w:val="bullet"/>
      <w:lvlText w:val=""/>
      <w:lvlJc w:val="left"/>
      <w:pPr>
        <w:ind w:left="2160" w:hanging="360"/>
      </w:pPr>
      <w:rPr>
        <w:rFonts w:ascii="Wingdings" w:hAnsi="Wingdings" w:hint="default"/>
      </w:rPr>
    </w:lvl>
    <w:lvl w:ilvl="3" w:tplc="411657AC">
      <w:start w:val="1"/>
      <w:numFmt w:val="bullet"/>
      <w:lvlText w:val=""/>
      <w:lvlJc w:val="left"/>
      <w:pPr>
        <w:ind w:left="2880" w:hanging="360"/>
      </w:pPr>
      <w:rPr>
        <w:rFonts w:ascii="Symbol" w:hAnsi="Symbol" w:hint="default"/>
      </w:rPr>
    </w:lvl>
    <w:lvl w:ilvl="4" w:tplc="BDC6F242">
      <w:start w:val="1"/>
      <w:numFmt w:val="bullet"/>
      <w:lvlText w:val="o"/>
      <w:lvlJc w:val="left"/>
      <w:pPr>
        <w:ind w:left="3600" w:hanging="360"/>
      </w:pPr>
      <w:rPr>
        <w:rFonts w:ascii="Courier New" w:hAnsi="Courier New" w:hint="default"/>
      </w:rPr>
    </w:lvl>
    <w:lvl w:ilvl="5" w:tplc="77301190">
      <w:start w:val="1"/>
      <w:numFmt w:val="bullet"/>
      <w:lvlText w:val=""/>
      <w:lvlJc w:val="left"/>
      <w:pPr>
        <w:ind w:left="4320" w:hanging="360"/>
      </w:pPr>
      <w:rPr>
        <w:rFonts w:ascii="Wingdings" w:hAnsi="Wingdings" w:hint="default"/>
      </w:rPr>
    </w:lvl>
    <w:lvl w:ilvl="6" w:tplc="3E72EFDA">
      <w:start w:val="1"/>
      <w:numFmt w:val="bullet"/>
      <w:lvlText w:val=""/>
      <w:lvlJc w:val="left"/>
      <w:pPr>
        <w:ind w:left="5040" w:hanging="360"/>
      </w:pPr>
      <w:rPr>
        <w:rFonts w:ascii="Symbol" w:hAnsi="Symbol" w:hint="default"/>
      </w:rPr>
    </w:lvl>
    <w:lvl w:ilvl="7" w:tplc="187CAED0">
      <w:start w:val="1"/>
      <w:numFmt w:val="bullet"/>
      <w:lvlText w:val="o"/>
      <w:lvlJc w:val="left"/>
      <w:pPr>
        <w:ind w:left="5760" w:hanging="360"/>
      </w:pPr>
      <w:rPr>
        <w:rFonts w:ascii="Courier New" w:hAnsi="Courier New" w:hint="default"/>
      </w:rPr>
    </w:lvl>
    <w:lvl w:ilvl="8" w:tplc="FE942D0A">
      <w:start w:val="1"/>
      <w:numFmt w:val="bullet"/>
      <w:lvlText w:val=""/>
      <w:lvlJc w:val="left"/>
      <w:pPr>
        <w:ind w:left="6480" w:hanging="360"/>
      </w:pPr>
      <w:rPr>
        <w:rFonts w:ascii="Wingdings" w:hAnsi="Wingdings" w:hint="default"/>
      </w:rPr>
    </w:lvl>
  </w:abstractNum>
  <w:abstractNum w:abstractNumId="100" w15:restartNumberingAfterBreak="0">
    <w:nsid w:val="542F57C6"/>
    <w:multiLevelType w:val="hybridMultilevel"/>
    <w:tmpl w:val="1100798C"/>
    <w:lvl w:ilvl="0" w:tplc="DE7CF29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1" w15:restartNumberingAfterBreak="0">
    <w:nsid w:val="5466238F"/>
    <w:multiLevelType w:val="hybridMultilevel"/>
    <w:tmpl w:val="9DB6D570"/>
    <w:name w:val="Heading22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03" w15:restartNumberingAfterBreak="0">
    <w:nsid w:val="559B6D28"/>
    <w:multiLevelType w:val="hybridMultilevel"/>
    <w:tmpl w:val="F1F6F1A4"/>
    <w:lvl w:ilvl="0" w:tplc="D8CCA47E">
      <w:start w:val="1"/>
      <w:numFmt w:val="bullet"/>
      <w:lvlText w:val="-"/>
      <w:lvlJc w:val="left"/>
      <w:pPr>
        <w:ind w:left="1429" w:hanging="360"/>
      </w:pPr>
      <w:rPr>
        <w:rFonts w:ascii="&quot;Times New Roman&quot;,serif" w:hAnsi="&quot;Times New Roman&quot;,serif"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4" w15:restartNumberingAfterBreak="0">
    <w:nsid w:val="55C10E65"/>
    <w:multiLevelType w:val="multilevel"/>
    <w:tmpl w:val="8D7C4D2A"/>
    <w:lvl w:ilvl="0">
      <w:start w:val="1"/>
      <w:numFmt w:val="decimal"/>
      <w:pStyle w:val="LegalNumPar"/>
      <w:lvlText w:val="%1."/>
      <w:lvlJc w:val="left"/>
      <w:pPr>
        <w:ind w:left="476" w:hanging="476"/>
      </w:pPr>
      <w:rPr>
        <w:rFonts w:hint="default"/>
        <w:b/>
        <w:bCs/>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58306812"/>
    <w:multiLevelType w:val="hybridMultilevel"/>
    <w:tmpl w:val="A414406A"/>
    <w:lvl w:ilvl="0" w:tplc="81704D26">
      <w:start w:val="1"/>
      <w:numFmt w:val="decimal"/>
      <w:lvlText w:val="%1."/>
      <w:lvlJc w:val="left"/>
      <w:pPr>
        <w:ind w:left="720" w:hanging="360"/>
      </w:pPr>
    </w:lvl>
    <w:lvl w:ilvl="1" w:tplc="3812771A">
      <w:start w:val="1"/>
      <w:numFmt w:val="lowerLetter"/>
      <w:lvlText w:val="%2."/>
      <w:lvlJc w:val="left"/>
      <w:pPr>
        <w:ind w:left="1440" w:hanging="360"/>
      </w:pPr>
    </w:lvl>
    <w:lvl w:ilvl="2" w:tplc="BCCC7F8E">
      <w:start w:val="1"/>
      <w:numFmt w:val="lowerRoman"/>
      <w:lvlText w:val="%3."/>
      <w:lvlJc w:val="right"/>
      <w:pPr>
        <w:ind w:left="2160" w:hanging="180"/>
      </w:pPr>
    </w:lvl>
    <w:lvl w:ilvl="3" w:tplc="ED1E3E9A">
      <w:start w:val="1"/>
      <w:numFmt w:val="decimal"/>
      <w:lvlText w:val="%4."/>
      <w:lvlJc w:val="left"/>
      <w:pPr>
        <w:ind w:left="2880" w:hanging="360"/>
      </w:pPr>
    </w:lvl>
    <w:lvl w:ilvl="4" w:tplc="200832B0">
      <w:start w:val="1"/>
      <w:numFmt w:val="lowerLetter"/>
      <w:lvlText w:val="%5."/>
      <w:lvlJc w:val="left"/>
      <w:pPr>
        <w:ind w:left="3600" w:hanging="360"/>
      </w:pPr>
    </w:lvl>
    <w:lvl w:ilvl="5" w:tplc="07C8DB6C">
      <w:start w:val="1"/>
      <w:numFmt w:val="lowerRoman"/>
      <w:lvlText w:val="%6."/>
      <w:lvlJc w:val="right"/>
      <w:pPr>
        <w:ind w:left="4320" w:hanging="180"/>
      </w:pPr>
    </w:lvl>
    <w:lvl w:ilvl="6" w:tplc="7DB27892">
      <w:start w:val="1"/>
      <w:numFmt w:val="decimal"/>
      <w:lvlText w:val="%7."/>
      <w:lvlJc w:val="left"/>
      <w:pPr>
        <w:ind w:left="5040" w:hanging="360"/>
      </w:pPr>
    </w:lvl>
    <w:lvl w:ilvl="7" w:tplc="E16EB3FA">
      <w:start w:val="1"/>
      <w:numFmt w:val="lowerLetter"/>
      <w:lvlText w:val="%8."/>
      <w:lvlJc w:val="left"/>
      <w:pPr>
        <w:ind w:left="5760" w:hanging="360"/>
      </w:pPr>
    </w:lvl>
    <w:lvl w:ilvl="8" w:tplc="2398F53E">
      <w:start w:val="1"/>
      <w:numFmt w:val="lowerRoman"/>
      <w:lvlText w:val="%9."/>
      <w:lvlJc w:val="right"/>
      <w:pPr>
        <w:ind w:left="6480" w:hanging="180"/>
      </w:pPr>
    </w:lvl>
  </w:abstractNum>
  <w:abstractNum w:abstractNumId="106" w15:restartNumberingAfterBreak="0">
    <w:nsid w:val="58E05220"/>
    <w:multiLevelType w:val="hybridMultilevel"/>
    <w:tmpl w:val="B378B32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0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0" w15:restartNumberingAfterBreak="0">
    <w:nsid w:val="5E2E53FD"/>
    <w:multiLevelType w:val="hybridMultilevel"/>
    <w:tmpl w:val="CCCE8B74"/>
    <w:lvl w:ilvl="0" w:tplc="04100011">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F0D4639"/>
    <w:multiLevelType w:val="hybridMultilevel"/>
    <w:tmpl w:val="7A1CF0CE"/>
    <w:lvl w:ilvl="0" w:tplc="8EBEB170">
      <w:start w:val="1"/>
      <w:numFmt w:val="decimal"/>
      <w:lvlText w:val="%1."/>
      <w:lvlJc w:val="left"/>
      <w:pPr>
        <w:ind w:left="288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2" w15:restartNumberingAfterBreak="0">
    <w:nsid w:val="60601DA6"/>
    <w:multiLevelType w:val="hybridMultilevel"/>
    <w:tmpl w:val="50EE3990"/>
    <w:lvl w:ilvl="0" w:tplc="0809000F">
      <w:start w:val="1"/>
      <w:numFmt w:val="decimal"/>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113" w15:restartNumberingAfterBreak="0">
    <w:nsid w:val="624AD152"/>
    <w:multiLevelType w:val="hybridMultilevel"/>
    <w:tmpl w:val="88BC0D52"/>
    <w:lvl w:ilvl="0" w:tplc="57D01C9A">
      <w:start w:val="5"/>
      <w:numFmt w:val="decimal"/>
      <w:lvlText w:val="%1."/>
      <w:lvlJc w:val="left"/>
      <w:pPr>
        <w:ind w:left="720" w:hanging="360"/>
      </w:pPr>
    </w:lvl>
    <w:lvl w:ilvl="1" w:tplc="BB763844">
      <w:start w:val="1"/>
      <w:numFmt w:val="lowerLetter"/>
      <w:lvlText w:val="%2."/>
      <w:lvlJc w:val="left"/>
      <w:pPr>
        <w:ind w:left="1440" w:hanging="360"/>
      </w:pPr>
    </w:lvl>
    <w:lvl w:ilvl="2" w:tplc="16200EBC">
      <w:start w:val="1"/>
      <w:numFmt w:val="lowerRoman"/>
      <w:lvlText w:val="%3."/>
      <w:lvlJc w:val="right"/>
      <w:pPr>
        <w:ind w:left="2160" w:hanging="180"/>
      </w:pPr>
    </w:lvl>
    <w:lvl w:ilvl="3" w:tplc="B7BAEAE6">
      <w:start w:val="1"/>
      <w:numFmt w:val="decimal"/>
      <w:lvlText w:val="%4."/>
      <w:lvlJc w:val="left"/>
      <w:pPr>
        <w:ind w:left="2880" w:hanging="360"/>
      </w:pPr>
    </w:lvl>
    <w:lvl w:ilvl="4" w:tplc="1C36C86A">
      <w:start w:val="1"/>
      <w:numFmt w:val="lowerLetter"/>
      <w:lvlText w:val="%5."/>
      <w:lvlJc w:val="left"/>
      <w:pPr>
        <w:ind w:left="3600" w:hanging="360"/>
      </w:pPr>
    </w:lvl>
    <w:lvl w:ilvl="5" w:tplc="3E42E02A">
      <w:start w:val="1"/>
      <w:numFmt w:val="lowerRoman"/>
      <w:lvlText w:val="%6."/>
      <w:lvlJc w:val="right"/>
      <w:pPr>
        <w:ind w:left="4320" w:hanging="180"/>
      </w:pPr>
    </w:lvl>
    <w:lvl w:ilvl="6" w:tplc="5D22767E">
      <w:start w:val="1"/>
      <w:numFmt w:val="decimal"/>
      <w:lvlText w:val="%7."/>
      <w:lvlJc w:val="left"/>
      <w:pPr>
        <w:ind w:left="5040" w:hanging="360"/>
      </w:pPr>
    </w:lvl>
    <w:lvl w:ilvl="7" w:tplc="3B629350">
      <w:start w:val="1"/>
      <w:numFmt w:val="lowerLetter"/>
      <w:lvlText w:val="%8."/>
      <w:lvlJc w:val="left"/>
      <w:pPr>
        <w:ind w:left="5760" w:hanging="360"/>
      </w:pPr>
    </w:lvl>
    <w:lvl w:ilvl="8" w:tplc="F24E56F6">
      <w:start w:val="1"/>
      <w:numFmt w:val="lowerRoman"/>
      <w:lvlText w:val="%9."/>
      <w:lvlJc w:val="right"/>
      <w:pPr>
        <w:ind w:left="6480" w:hanging="180"/>
      </w:pPr>
    </w:lvl>
  </w:abstractNum>
  <w:abstractNum w:abstractNumId="114" w15:restartNumberingAfterBreak="0">
    <w:nsid w:val="63A15AD3"/>
    <w:multiLevelType w:val="hybridMultilevel"/>
    <w:tmpl w:val="13087CA4"/>
    <w:lvl w:ilvl="0" w:tplc="D4E27C9A">
      <w:start w:val="1"/>
      <w:numFmt w:val="bullet"/>
      <w:pStyle w:val="TOC1"/>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5" w15:restartNumberingAfterBreak="0">
    <w:nsid w:val="64A12FA4"/>
    <w:multiLevelType w:val="multilevel"/>
    <w:tmpl w:val="01AC73DA"/>
    <w:name w:val="Heading"/>
    <w:lvl w:ilvl="0">
      <w:start w:val="1"/>
      <w:numFmt w:val="decimal"/>
      <w:lvlRestart w:val="0"/>
      <w:pStyle w:val="Heading1"/>
      <w:lvlText w:val="%1."/>
      <w:lvlJc w:val="left"/>
      <w:pPr>
        <w:tabs>
          <w:tab w:val="num" w:pos="850"/>
        </w:tabs>
        <w:ind w:left="850"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pStyle w:val="Heading3"/>
      <w:lvlText w:val="%1.%2.%3."/>
      <w:lvlJc w:val="left"/>
      <w:pPr>
        <w:tabs>
          <w:tab w:val="num" w:pos="850"/>
        </w:tabs>
        <w:ind w:left="850" w:hanging="850"/>
      </w:pPr>
      <w:rPr>
        <w:rFonts w:hint="default"/>
      </w:rPr>
    </w:lvl>
    <w:lvl w:ilvl="3">
      <w:start w:val="1"/>
      <w:numFmt w:val="decimal"/>
      <w:pStyle w:val="Heading4"/>
      <w:lvlText w:val="%1.%2.%3.%4."/>
      <w:lvlJc w:val="left"/>
      <w:pPr>
        <w:tabs>
          <w:tab w:val="num" w:pos="850"/>
        </w:tabs>
        <w:ind w:left="850" w:hanging="85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64EC091A"/>
    <w:multiLevelType w:val="hybridMultilevel"/>
    <w:tmpl w:val="A5402258"/>
    <w:lvl w:ilvl="0" w:tplc="6B703342">
      <w:numFmt w:val="bullet"/>
      <w:lvlText w:val="-"/>
      <w:lvlJc w:val="left"/>
      <w:pPr>
        <w:ind w:left="360" w:hanging="360"/>
      </w:pPr>
      <w:rPr>
        <w:rFonts w:ascii="Calibri" w:eastAsiaTheme="minorHAnsi" w:hAnsi="Calibri" w:cs="Calibri"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7" w15:restartNumberingAfterBreak="0">
    <w:nsid w:val="65344C90"/>
    <w:multiLevelType w:val="hybridMultilevel"/>
    <w:tmpl w:val="475E3F6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8" w15:restartNumberingAfterBreak="0">
    <w:nsid w:val="674B6638"/>
    <w:multiLevelType w:val="hybridMultilevel"/>
    <w:tmpl w:val="82AED0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20" w15:restartNumberingAfterBreak="0">
    <w:nsid w:val="68275928"/>
    <w:multiLevelType w:val="hybridMultilevel"/>
    <w:tmpl w:val="EEA83D3E"/>
    <w:lvl w:ilvl="0" w:tplc="0310DEC8">
      <w:start w:val="1"/>
      <w:numFmt w:val="decimal"/>
      <w:lvlText w:val="%1."/>
      <w:lvlJc w:val="left"/>
      <w:pPr>
        <w:ind w:left="720" w:hanging="360"/>
      </w:pPr>
    </w:lvl>
    <w:lvl w:ilvl="1" w:tplc="4296C1E0">
      <w:start w:val="1"/>
      <w:numFmt w:val="lowerLetter"/>
      <w:lvlText w:val="%2."/>
      <w:lvlJc w:val="left"/>
      <w:pPr>
        <w:ind w:left="1440" w:hanging="360"/>
      </w:pPr>
    </w:lvl>
    <w:lvl w:ilvl="2" w:tplc="251874FE">
      <w:start w:val="1"/>
      <w:numFmt w:val="lowerRoman"/>
      <w:lvlText w:val="%3."/>
      <w:lvlJc w:val="right"/>
      <w:pPr>
        <w:ind w:left="2160" w:hanging="180"/>
      </w:pPr>
    </w:lvl>
    <w:lvl w:ilvl="3" w:tplc="D0BE86EC">
      <w:start w:val="1"/>
      <w:numFmt w:val="decimal"/>
      <w:lvlText w:val="%4."/>
      <w:lvlJc w:val="left"/>
      <w:pPr>
        <w:ind w:left="2880" w:hanging="360"/>
      </w:pPr>
    </w:lvl>
    <w:lvl w:ilvl="4" w:tplc="742AF87E">
      <w:start w:val="1"/>
      <w:numFmt w:val="lowerLetter"/>
      <w:lvlText w:val="%5."/>
      <w:lvlJc w:val="left"/>
      <w:pPr>
        <w:ind w:left="3600" w:hanging="360"/>
      </w:pPr>
    </w:lvl>
    <w:lvl w:ilvl="5" w:tplc="7D0A5CF0">
      <w:start w:val="1"/>
      <w:numFmt w:val="lowerRoman"/>
      <w:lvlText w:val="%6."/>
      <w:lvlJc w:val="right"/>
      <w:pPr>
        <w:ind w:left="4320" w:hanging="180"/>
      </w:pPr>
    </w:lvl>
    <w:lvl w:ilvl="6" w:tplc="BA7CCF8E">
      <w:start w:val="1"/>
      <w:numFmt w:val="decimal"/>
      <w:lvlText w:val="%7."/>
      <w:lvlJc w:val="left"/>
      <w:pPr>
        <w:ind w:left="5040" w:hanging="360"/>
      </w:pPr>
    </w:lvl>
    <w:lvl w:ilvl="7" w:tplc="F68027A2">
      <w:start w:val="1"/>
      <w:numFmt w:val="lowerLetter"/>
      <w:lvlText w:val="%8."/>
      <w:lvlJc w:val="left"/>
      <w:pPr>
        <w:ind w:left="5760" w:hanging="360"/>
      </w:pPr>
    </w:lvl>
    <w:lvl w:ilvl="8" w:tplc="B8E6DEAE">
      <w:start w:val="1"/>
      <w:numFmt w:val="lowerRoman"/>
      <w:lvlText w:val="%9."/>
      <w:lvlJc w:val="right"/>
      <w:pPr>
        <w:ind w:left="6480" w:hanging="180"/>
      </w:pPr>
    </w:lvl>
  </w:abstractNum>
  <w:abstractNum w:abstractNumId="121" w15:restartNumberingAfterBreak="0">
    <w:nsid w:val="686C5300"/>
    <w:multiLevelType w:val="hybridMultilevel"/>
    <w:tmpl w:val="CDC23668"/>
    <w:lvl w:ilvl="0" w:tplc="B1C0C5CC">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2" w15:restartNumberingAfterBreak="0">
    <w:nsid w:val="69936A2E"/>
    <w:multiLevelType w:val="hybridMultilevel"/>
    <w:tmpl w:val="7DFCC346"/>
    <w:lvl w:ilvl="0" w:tplc="5380BE8C">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3" w15:restartNumberingAfterBreak="0">
    <w:nsid w:val="6B9B6369"/>
    <w:multiLevelType w:val="hybridMultilevel"/>
    <w:tmpl w:val="15EAFC7E"/>
    <w:lvl w:ilvl="0" w:tplc="2DBE2F9C">
      <w:start w:val="1"/>
      <w:numFmt w:val="decimal"/>
      <w:lvlText w:val="%1."/>
      <w:lvlJc w:val="left"/>
      <w:pPr>
        <w:ind w:left="1080" w:hanging="360"/>
      </w:pPr>
    </w:lvl>
    <w:lvl w:ilvl="1" w:tplc="C3820358">
      <w:start w:val="1"/>
      <w:numFmt w:val="lowerLetter"/>
      <w:lvlText w:val="%2."/>
      <w:lvlJc w:val="left"/>
      <w:pPr>
        <w:ind w:left="1800" w:hanging="360"/>
      </w:pPr>
    </w:lvl>
    <w:lvl w:ilvl="2" w:tplc="B9D2414A">
      <w:start w:val="1"/>
      <w:numFmt w:val="lowerRoman"/>
      <w:lvlText w:val="%3."/>
      <w:lvlJc w:val="right"/>
      <w:pPr>
        <w:ind w:left="2520" w:hanging="180"/>
      </w:pPr>
    </w:lvl>
    <w:lvl w:ilvl="3" w:tplc="FFEA6E2E">
      <w:start w:val="1"/>
      <w:numFmt w:val="decimal"/>
      <w:lvlText w:val="%4."/>
      <w:lvlJc w:val="left"/>
      <w:pPr>
        <w:ind w:left="3240" w:hanging="360"/>
      </w:pPr>
    </w:lvl>
    <w:lvl w:ilvl="4" w:tplc="7278C902">
      <w:start w:val="1"/>
      <w:numFmt w:val="lowerLetter"/>
      <w:lvlText w:val="%5."/>
      <w:lvlJc w:val="left"/>
      <w:pPr>
        <w:ind w:left="3960" w:hanging="360"/>
      </w:pPr>
    </w:lvl>
    <w:lvl w:ilvl="5" w:tplc="06902786">
      <w:start w:val="1"/>
      <w:numFmt w:val="lowerRoman"/>
      <w:lvlText w:val="%6."/>
      <w:lvlJc w:val="right"/>
      <w:pPr>
        <w:ind w:left="4680" w:hanging="180"/>
      </w:pPr>
    </w:lvl>
    <w:lvl w:ilvl="6" w:tplc="85AA4446">
      <w:start w:val="1"/>
      <w:numFmt w:val="decimal"/>
      <w:lvlText w:val="%7."/>
      <w:lvlJc w:val="left"/>
      <w:pPr>
        <w:ind w:left="5400" w:hanging="360"/>
      </w:pPr>
    </w:lvl>
    <w:lvl w:ilvl="7" w:tplc="A01E4640">
      <w:start w:val="1"/>
      <w:numFmt w:val="lowerLetter"/>
      <w:lvlText w:val="%8."/>
      <w:lvlJc w:val="left"/>
      <w:pPr>
        <w:ind w:left="6120" w:hanging="360"/>
      </w:pPr>
    </w:lvl>
    <w:lvl w:ilvl="8" w:tplc="8C5E8914">
      <w:start w:val="1"/>
      <w:numFmt w:val="lowerRoman"/>
      <w:lvlText w:val="%9."/>
      <w:lvlJc w:val="right"/>
      <w:pPr>
        <w:ind w:left="6840" w:hanging="180"/>
      </w:pPr>
    </w:lvl>
  </w:abstractNum>
  <w:abstractNum w:abstractNumId="124" w15:restartNumberingAfterBreak="0">
    <w:nsid w:val="6DA324ED"/>
    <w:multiLevelType w:val="hybridMultilevel"/>
    <w:tmpl w:val="AB046AC0"/>
    <w:lvl w:ilvl="0" w:tplc="C3145206">
      <w:start w:val="4"/>
      <w:numFmt w:val="decimal"/>
      <w:lvlText w:val="%1."/>
      <w:lvlJc w:val="left"/>
      <w:pPr>
        <w:ind w:left="720" w:hanging="360"/>
      </w:pPr>
    </w:lvl>
    <w:lvl w:ilvl="1" w:tplc="16562EF0">
      <w:start w:val="1"/>
      <w:numFmt w:val="lowerLetter"/>
      <w:lvlText w:val="%2."/>
      <w:lvlJc w:val="left"/>
      <w:pPr>
        <w:ind w:left="1440" w:hanging="360"/>
      </w:pPr>
    </w:lvl>
    <w:lvl w:ilvl="2" w:tplc="25409482">
      <w:start w:val="1"/>
      <w:numFmt w:val="lowerRoman"/>
      <w:lvlText w:val="%3."/>
      <w:lvlJc w:val="right"/>
      <w:pPr>
        <w:ind w:left="2160" w:hanging="180"/>
      </w:pPr>
    </w:lvl>
    <w:lvl w:ilvl="3" w:tplc="D3029B4A">
      <w:start w:val="1"/>
      <w:numFmt w:val="decimal"/>
      <w:lvlText w:val="%4."/>
      <w:lvlJc w:val="left"/>
      <w:pPr>
        <w:ind w:left="2880" w:hanging="360"/>
      </w:pPr>
    </w:lvl>
    <w:lvl w:ilvl="4" w:tplc="11066422">
      <w:start w:val="1"/>
      <w:numFmt w:val="lowerLetter"/>
      <w:lvlText w:val="%5."/>
      <w:lvlJc w:val="left"/>
      <w:pPr>
        <w:ind w:left="3600" w:hanging="360"/>
      </w:pPr>
    </w:lvl>
    <w:lvl w:ilvl="5" w:tplc="C8A61EE4">
      <w:start w:val="1"/>
      <w:numFmt w:val="lowerRoman"/>
      <w:lvlText w:val="%6."/>
      <w:lvlJc w:val="right"/>
      <w:pPr>
        <w:ind w:left="4320" w:hanging="180"/>
      </w:pPr>
    </w:lvl>
    <w:lvl w:ilvl="6" w:tplc="67A001A8">
      <w:start w:val="1"/>
      <w:numFmt w:val="decimal"/>
      <w:lvlText w:val="%7."/>
      <w:lvlJc w:val="left"/>
      <w:pPr>
        <w:ind w:left="5040" w:hanging="360"/>
      </w:pPr>
    </w:lvl>
    <w:lvl w:ilvl="7" w:tplc="CB1EC7B4">
      <w:start w:val="1"/>
      <w:numFmt w:val="lowerLetter"/>
      <w:lvlText w:val="%8."/>
      <w:lvlJc w:val="left"/>
      <w:pPr>
        <w:ind w:left="5760" w:hanging="360"/>
      </w:pPr>
    </w:lvl>
    <w:lvl w:ilvl="8" w:tplc="BC1E438C">
      <w:start w:val="1"/>
      <w:numFmt w:val="lowerRoman"/>
      <w:lvlText w:val="%9."/>
      <w:lvlJc w:val="right"/>
      <w:pPr>
        <w:ind w:left="6480" w:hanging="180"/>
      </w:pPr>
    </w:lvl>
  </w:abstractNum>
  <w:abstractNum w:abstractNumId="125" w15:restartNumberingAfterBreak="0">
    <w:nsid w:val="6DEA7483"/>
    <w:multiLevelType w:val="hybridMultilevel"/>
    <w:tmpl w:val="189A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DED619B"/>
    <w:multiLevelType w:val="hybridMultilevel"/>
    <w:tmpl w:val="FD30E5B0"/>
    <w:lvl w:ilvl="0" w:tplc="ADE0F75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7" w15:restartNumberingAfterBreak="0">
    <w:nsid w:val="70257864"/>
    <w:multiLevelType w:val="hybridMultilevel"/>
    <w:tmpl w:val="B2D04A18"/>
    <w:lvl w:ilvl="0" w:tplc="7AACA2A8">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8" w15:restartNumberingAfterBreak="0">
    <w:nsid w:val="7027604A"/>
    <w:multiLevelType w:val="hybridMultilevel"/>
    <w:tmpl w:val="6894551A"/>
    <w:lvl w:ilvl="0" w:tplc="60C4BCA6">
      <w:start w:val="1"/>
      <w:numFmt w:val="lowerRoman"/>
      <w:lvlText w:val="%1."/>
      <w:lvlJc w:val="right"/>
      <w:pPr>
        <w:ind w:left="720" w:hanging="360"/>
      </w:pPr>
    </w:lvl>
    <w:lvl w:ilvl="1" w:tplc="D0DE7B0A">
      <w:start w:val="1"/>
      <w:numFmt w:val="lowerLetter"/>
      <w:lvlText w:val="%2."/>
      <w:lvlJc w:val="left"/>
      <w:pPr>
        <w:ind w:left="1440" w:hanging="360"/>
      </w:pPr>
    </w:lvl>
    <w:lvl w:ilvl="2" w:tplc="8A403568">
      <w:start w:val="1"/>
      <w:numFmt w:val="lowerRoman"/>
      <w:lvlText w:val="%3."/>
      <w:lvlJc w:val="right"/>
      <w:pPr>
        <w:ind w:left="2160" w:hanging="180"/>
      </w:pPr>
    </w:lvl>
    <w:lvl w:ilvl="3" w:tplc="4AD2D12C">
      <w:start w:val="1"/>
      <w:numFmt w:val="decimal"/>
      <w:lvlText w:val="%4."/>
      <w:lvlJc w:val="left"/>
      <w:pPr>
        <w:ind w:left="2880" w:hanging="360"/>
      </w:pPr>
    </w:lvl>
    <w:lvl w:ilvl="4" w:tplc="184466CE">
      <w:start w:val="1"/>
      <w:numFmt w:val="lowerLetter"/>
      <w:lvlText w:val="%5."/>
      <w:lvlJc w:val="left"/>
      <w:pPr>
        <w:ind w:left="3600" w:hanging="360"/>
      </w:pPr>
    </w:lvl>
    <w:lvl w:ilvl="5" w:tplc="4CE697FC">
      <w:start w:val="1"/>
      <w:numFmt w:val="lowerRoman"/>
      <w:lvlText w:val="%6."/>
      <w:lvlJc w:val="right"/>
      <w:pPr>
        <w:ind w:left="4320" w:hanging="180"/>
      </w:pPr>
    </w:lvl>
    <w:lvl w:ilvl="6" w:tplc="107CB322">
      <w:start w:val="1"/>
      <w:numFmt w:val="decimal"/>
      <w:lvlText w:val="%7."/>
      <w:lvlJc w:val="left"/>
      <w:pPr>
        <w:ind w:left="5040" w:hanging="360"/>
      </w:pPr>
    </w:lvl>
    <w:lvl w:ilvl="7" w:tplc="D5F49DFE">
      <w:start w:val="1"/>
      <w:numFmt w:val="lowerLetter"/>
      <w:lvlText w:val="%8."/>
      <w:lvlJc w:val="left"/>
      <w:pPr>
        <w:ind w:left="5760" w:hanging="360"/>
      </w:pPr>
    </w:lvl>
    <w:lvl w:ilvl="8" w:tplc="C4E07C50">
      <w:start w:val="1"/>
      <w:numFmt w:val="lowerRoman"/>
      <w:lvlText w:val="%9."/>
      <w:lvlJc w:val="right"/>
      <w:pPr>
        <w:ind w:left="6480" w:hanging="180"/>
      </w:pPr>
    </w:lvl>
  </w:abstractNum>
  <w:abstractNum w:abstractNumId="129" w15:restartNumberingAfterBreak="0">
    <w:nsid w:val="70500DE9"/>
    <w:multiLevelType w:val="hybridMultilevel"/>
    <w:tmpl w:val="C332FCB4"/>
    <w:lvl w:ilvl="0" w:tplc="7AACA2A8">
      <w:start w:val="1"/>
      <w:numFmt w:val="lowerRoman"/>
      <w:lvlText w:val="%1)"/>
      <w:lvlJc w:val="left"/>
      <w:pPr>
        <w:ind w:left="1080" w:hanging="360"/>
      </w:pPr>
      <w:rPr>
        <w:rFonts w:hint="default"/>
      </w:rPr>
    </w:lvl>
    <w:lvl w:ilvl="1" w:tplc="FFFFFFFF">
      <w:start w:val="1"/>
      <w:numFmt w:val="lowerRoman"/>
      <w:lvlText w:val="%2)"/>
      <w:lvlJc w:val="left"/>
      <w:pPr>
        <w:ind w:left="1800" w:hanging="360"/>
      </w:pPr>
      <w:rPr>
        <w:rFont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Roman"/>
      <w:lvlText w:val="%5."/>
      <w:lvlJc w:val="righ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0" w15:restartNumberingAfterBreak="0">
    <w:nsid w:val="71161A9B"/>
    <w:multiLevelType w:val="hybridMultilevel"/>
    <w:tmpl w:val="B6EE62E8"/>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1" w15:restartNumberingAfterBreak="0">
    <w:nsid w:val="71F93315"/>
    <w:multiLevelType w:val="hybridMultilevel"/>
    <w:tmpl w:val="C32CE0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2" w15:restartNumberingAfterBreak="0">
    <w:nsid w:val="726E3DB0"/>
    <w:multiLevelType w:val="hybridMultilevel"/>
    <w:tmpl w:val="A7B0B03C"/>
    <w:lvl w:ilvl="0" w:tplc="28B87E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3761BF6"/>
    <w:multiLevelType w:val="hybridMultilevel"/>
    <w:tmpl w:val="FFFFFFFF"/>
    <w:lvl w:ilvl="0" w:tplc="CEFAE81C">
      <w:start w:val="2"/>
      <w:numFmt w:val="decimal"/>
      <w:lvlText w:val="%1."/>
      <w:lvlJc w:val="left"/>
      <w:pPr>
        <w:ind w:left="720" w:hanging="360"/>
      </w:pPr>
    </w:lvl>
    <w:lvl w:ilvl="1" w:tplc="095A45DC">
      <w:start w:val="1"/>
      <w:numFmt w:val="lowerLetter"/>
      <w:lvlText w:val="%2."/>
      <w:lvlJc w:val="left"/>
      <w:pPr>
        <w:ind w:left="1440" w:hanging="360"/>
      </w:pPr>
    </w:lvl>
    <w:lvl w:ilvl="2" w:tplc="99D4FD6C">
      <w:start w:val="1"/>
      <w:numFmt w:val="lowerRoman"/>
      <w:lvlText w:val="%3."/>
      <w:lvlJc w:val="right"/>
      <w:pPr>
        <w:ind w:left="2160" w:hanging="180"/>
      </w:pPr>
    </w:lvl>
    <w:lvl w:ilvl="3" w:tplc="C41E4DB6">
      <w:start w:val="1"/>
      <w:numFmt w:val="decimal"/>
      <w:lvlText w:val="%4."/>
      <w:lvlJc w:val="left"/>
      <w:pPr>
        <w:ind w:left="2880" w:hanging="360"/>
      </w:pPr>
    </w:lvl>
    <w:lvl w:ilvl="4" w:tplc="A48AD790">
      <w:start w:val="1"/>
      <w:numFmt w:val="lowerLetter"/>
      <w:lvlText w:val="%5."/>
      <w:lvlJc w:val="left"/>
      <w:pPr>
        <w:ind w:left="3600" w:hanging="360"/>
      </w:pPr>
    </w:lvl>
    <w:lvl w:ilvl="5" w:tplc="448408A2">
      <w:start w:val="1"/>
      <w:numFmt w:val="lowerRoman"/>
      <w:lvlText w:val="%6."/>
      <w:lvlJc w:val="right"/>
      <w:pPr>
        <w:ind w:left="4320" w:hanging="180"/>
      </w:pPr>
    </w:lvl>
    <w:lvl w:ilvl="6" w:tplc="B19A031A">
      <w:start w:val="1"/>
      <w:numFmt w:val="decimal"/>
      <w:lvlText w:val="%7."/>
      <w:lvlJc w:val="left"/>
      <w:pPr>
        <w:ind w:left="5040" w:hanging="360"/>
      </w:pPr>
    </w:lvl>
    <w:lvl w:ilvl="7" w:tplc="37B0DE34">
      <w:start w:val="1"/>
      <w:numFmt w:val="lowerLetter"/>
      <w:lvlText w:val="%8."/>
      <w:lvlJc w:val="left"/>
      <w:pPr>
        <w:ind w:left="5760" w:hanging="360"/>
      </w:pPr>
    </w:lvl>
    <w:lvl w:ilvl="8" w:tplc="1DACC56E">
      <w:start w:val="1"/>
      <w:numFmt w:val="lowerRoman"/>
      <w:lvlText w:val="%9."/>
      <w:lvlJc w:val="right"/>
      <w:pPr>
        <w:ind w:left="6480" w:hanging="180"/>
      </w:pPr>
    </w:lvl>
  </w:abstractNum>
  <w:abstractNum w:abstractNumId="134" w15:restartNumberingAfterBreak="0">
    <w:nsid w:val="74466B1D"/>
    <w:multiLevelType w:val="hybridMultilevel"/>
    <w:tmpl w:val="8E9805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5" w15:restartNumberingAfterBreak="0">
    <w:nsid w:val="74A03A6C"/>
    <w:multiLevelType w:val="hybridMultilevel"/>
    <w:tmpl w:val="83689C3A"/>
    <w:lvl w:ilvl="0" w:tplc="07967068">
      <w:start w:val="2"/>
      <w:numFmt w:val="decimal"/>
      <w:lvlText w:val="%1."/>
      <w:lvlJc w:val="left"/>
      <w:pPr>
        <w:ind w:left="720" w:hanging="360"/>
      </w:pPr>
    </w:lvl>
    <w:lvl w:ilvl="1" w:tplc="A1BE8E88">
      <w:start w:val="1"/>
      <w:numFmt w:val="lowerLetter"/>
      <w:lvlText w:val="%2."/>
      <w:lvlJc w:val="left"/>
      <w:pPr>
        <w:ind w:left="1440" w:hanging="360"/>
      </w:pPr>
    </w:lvl>
    <w:lvl w:ilvl="2" w:tplc="81F4F64C">
      <w:start w:val="1"/>
      <w:numFmt w:val="lowerRoman"/>
      <w:lvlText w:val="%3."/>
      <w:lvlJc w:val="right"/>
      <w:pPr>
        <w:ind w:left="2160" w:hanging="180"/>
      </w:pPr>
    </w:lvl>
    <w:lvl w:ilvl="3" w:tplc="4BE4E32C">
      <w:start w:val="1"/>
      <w:numFmt w:val="decimal"/>
      <w:lvlText w:val="%4."/>
      <w:lvlJc w:val="left"/>
      <w:pPr>
        <w:ind w:left="2880" w:hanging="360"/>
      </w:pPr>
    </w:lvl>
    <w:lvl w:ilvl="4" w:tplc="D4F8C2E4">
      <w:start w:val="1"/>
      <w:numFmt w:val="lowerLetter"/>
      <w:lvlText w:val="%5."/>
      <w:lvlJc w:val="left"/>
      <w:pPr>
        <w:ind w:left="3600" w:hanging="360"/>
      </w:pPr>
    </w:lvl>
    <w:lvl w:ilvl="5" w:tplc="240057E6">
      <w:start w:val="1"/>
      <w:numFmt w:val="lowerRoman"/>
      <w:lvlText w:val="%6."/>
      <w:lvlJc w:val="right"/>
      <w:pPr>
        <w:ind w:left="4320" w:hanging="180"/>
      </w:pPr>
    </w:lvl>
    <w:lvl w:ilvl="6" w:tplc="7DD60212">
      <w:start w:val="1"/>
      <w:numFmt w:val="decimal"/>
      <w:lvlText w:val="%7."/>
      <w:lvlJc w:val="left"/>
      <w:pPr>
        <w:ind w:left="5040" w:hanging="360"/>
      </w:pPr>
    </w:lvl>
    <w:lvl w:ilvl="7" w:tplc="BA7495EE">
      <w:start w:val="1"/>
      <w:numFmt w:val="lowerLetter"/>
      <w:lvlText w:val="%8."/>
      <w:lvlJc w:val="left"/>
      <w:pPr>
        <w:ind w:left="5760" w:hanging="360"/>
      </w:pPr>
    </w:lvl>
    <w:lvl w:ilvl="8" w:tplc="7338BFE8">
      <w:start w:val="1"/>
      <w:numFmt w:val="lowerRoman"/>
      <w:lvlText w:val="%9."/>
      <w:lvlJc w:val="right"/>
      <w:pPr>
        <w:ind w:left="6480" w:hanging="180"/>
      </w:pPr>
    </w:lvl>
  </w:abstractNum>
  <w:abstractNum w:abstractNumId="136" w15:restartNumberingAfterBreak="0">
    <w:nsid w:val="74B061B5"/>
    <w:multiLevelType w:val="hybridMultilevel"/>
    <w:tmpl w:val="5E3230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7" w15:restartNumberingAfterBreak="0">
    <w:nsid w:val="75E1084C"/>
    <w:multiLevelType w:val="hybridMultilevel"/>
    <w:tmpl w:val="F2B23B7C"/>
    <w:lvl w:ilvl="0" w:tplc="28B87E4A">
      <w:start w:val="1"/>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8" w15:restartNumberingAfterBreak="0">
    <w:nsid w:val="76E1A839"/>
    <w:multiLevelType w:val="hybridMultilevel"/>
    <w:tmpl w:val="FFFFFFFF"/>
    <w:lvl w:ilvl="0" w:tplc="692AFB0C">
      <w:start w:val="1"/>
      <w:numFmt w:val="bullet"/>
      <w:lvlText w:val="·"/>
      <w:lvlJc w:val="left"/>
      <w:pPr>
        <w:ind w:left="720" w:hanging="360"/>
      </w:pPr>
      <w:rPr>
        <w:rFonts w:ascii="Symbol" w:hAnsi="Symbol" w:hint="default"/>
      </w:rPr>
    </w:lvl>
    <w:lvl w:ilvl="1" w:tplc="9898957C">
      <w:start w:val="1"/>
      <w:numFmt w:val="bullet"/>
      <w:lvlText w:val="o"/>
      <w:lvlJc w:val="left"/>
      <w:pPr>
        <w:ind w:left="1440" w:hanging="360"/>
      </w:pPr>
      <w:rPr>
        <w:rFonts w:ascii="Courier New" w:hAnsi="Courier New" w:hint="default"/>
      </w:rPr>
    </w:lvl>
    <w:lvl w:ilvl="2" w:tplc="35D249DA">
      <w:start w:val="1"/>
      <w:numFmt w:val="bullet"/>
      <w:lvlText w:val=""/>
      <w:lvlJc w:val="left"/>
      <w:pPr>
        <w:ind w:left="2160" w:hanging="360"/>
      </w:pPr>
      <w:rPr>
        <w:rFonts w:ascii="Wingdings" w:hAnsi="Wingdings" w:hint="default"/>
      </w:rPr>
    </w:lvl>
    <w:lvl w:ilvl="3" w:tplc="91CCA20C">
      <w:start w:val="1"/>
      <w:numFmt w:val="bullet"/>
      <w:lvlText w:val=""/>
      <w:lvlJc w:val="left"/>
      <w:pPr>
        <w:ind w:left="2880" w:hanging="360"/>
      </w:pPr>
      <w:rPr>
        <w:rFonts w:ascii="Symbol" w:hAnsi="Symbol" w:hint="default"/>
      </w:rPr>
    </w:lvl>
    <w:lvl w:ilvl="4" w:tplc="33B40FB8">
      <w:start w:val="1"/>
      <w:numFmt w:val="bullet"/>
      <w:lvlText w:val="o"/>
      <w:lvlJc w:val="left"/>
      <w:pPr>
        <w:ind w:left="3600" w:hanging="360"/>
      </w:pPr>
      <w:rPr>
        <w:rFonts w:ascii="Courier New" w:hAnsi="Courier New" w:hint="default"/>
      </w:rPr>
    </w:lvl>
    <w:lvl w:ilvl="5" w:tplc="8BCC91EE">
      <w:start w:val="1"/>
      <w:numFmt w:val="bullet"/>
      <w:lvlText w:val=""/>
      <w:lvlJc w:val="left"/>
      <w:pPr>
        <w:ind w:left="4320" w:hanging="360"/>
      </w:pPr>
      <w:rPr>
        <w:rFonts w:ascii="Wingdings" w:hAnsi="Wingdings" w:hint="default"/>
      </w:rPr>
    </w:lvl>
    <w:lvl w:ilvl="6" w:tplc="D348FD94">
      <w:start w:val="1"/>
      <w:numFmt w:val="bullet"/>
      <w:lvlText w:val=""/>
      <w:lvlJc w:val="left"/>
      <w:pPr>
        <w:ind w:left="5040" w:hanging="360"/>
      </w:pPr>
      <w:rPr>
        <w:rFonts w:ascii="Symbol" w:hAnsi="Symbol" w:hint="default"/>
      </w:rPr>
    </w:lvl>
    <w:lvl w:ilvl="7" w:tplc="9AA2E904">
      <w:start w:val="1"/>
      <w:numFmt w:val="bullet"/>
      <w:lvlText w:val="o"/>
      <w:lvlJc w:val="left"/>
      <w:pPr>
        <w:ind w:left="5760" w:hanging="360"/>
      </w:pPr>
      <w:rPr>
        <w:rFonts w:ascii="Courier New" w:hAnsi="Courier New" w:hint="default"/>
      </w:rPr>
    </w:lvl>
    <w:lvl w:ilvl="8" w:tplc="CF6C1474">
      <w:start w:val="1"/>
      <w:numFmt w:val="bullet"/>
      <w:lvlText w:val=""/>
      <w:lvlJc w:val="left"/>
      <w:pPr>
        <w:ind w:left="6480" w:hanging="360"/>
      </w:pPr>
      <w:rPr>
        <w:rFonts w:ascii="Wingdings" w:hAnsi="Wingdings" w:hint="default"/>
      </w:rPr>
    </w:lvl>
  </w:abstractNum>
  <w:abstractNum w:abstractNumId="139" w15:restartNumberingAfterBreak="0">
    <w:nsid w:val="79045D38"/>
    <w:multiLevelType w:val="hybridMultilevel"/>
    <w:tmpl w:val="12440D7A"/>
    <w:lvl w:ilvl="0" w:tplc="87C63BDA">
      <w:start w:val="1"/>
      <w:numFmt w:val="bullet"/>
      <w:lvlText w:val="-"/>
      <w:lvlJc w:val="left"/>
      <w:pPr>
        <w:ind w:left="720" w:hanging="360"/>
      </w:pPr>
      <w:rPr>
        <w:rFonts w:ascii="Calibri" w:hAnsi="Calibri" w:hint="default"/>
      </w:rPr>
    </w:lvl>
    <w:lvl w:ilvl="1" w:tplc="88220FD4">
      <w:start w:val="1"/>
      <w:numFmt w:val="bullet"/>
      <w:lvlText w:val="o"/>
      <w:lvlJc w:val="left"/>
      <w:pPr>
        <w:ind w:left="1440" w:hanging="360"/>
      </w:pPr>
      <w:rPr>
        <w:rFonts w:ascii="Courier New" w:hAnsi="Courier New" w:hint="default"/>
      </w:rPr>
    </w:lvl>
    <w:lvl w:ilvl="2" w:tplc="8DDC97EA">
      <w:start w:val="1"/>
      <w:numFmt w:val="bullet"/>
      <w:lvlText w:val=""/>
      <w:lvlJc w:val="left"/>
      <w:pPr>
        <w:ind w:left="2160" w:hanging="360"/>
      </w:pPr>
      <w:rPr>
        <w:rFonts w:ascii="Wingdings" w:hAnsi="Wingdings" w:hint="default"/>
      </w:rPr>
    </w:lvl>
    <w:lvl w:ilvl="3" w:tplc="72328A3E">
      <w:start w:val="1"/>
      <w:numFmt w:val="bullet"/>
      <w:lvlText w:val=""/>
      <w:lvlJc w:val="left"/>
      <w:pPr>
        <w:ind w:left="2880" w:hanging="360"/>
      </w:pPr>
      <w:rPr>
        <w:rFonts w:ascii="Symbol" w:hAnsi="Symbol" w:hint="default"/>
      </w:rPr>
    </w:lvl>
    <w:lvl w:ilvl="4" w:tplc="EFC8766E">
      <w:start w:val="1"/>
      <w:numFmt w:val="bullet"/>
      <w:lvlText w:val="o"/>
      <w:lvlJc w:val="left"/>
      <w:pPr>
        <w:ind w:left="3600" w:hanging="360"/>
      </w:pPr>
      <w:rPr>
        <w:rFonts w:ascii="Courier New" w:hAnsi="Courier New" w:hint="default"/>
      </w:rPr>
    </w:lvl>
    <w:lvl w:ilvl="5" w:tplc="CE148478">
      <w:start w:val="1"/>
      <w:numFmt w:val="bullet"/>
      <w:lvlText w:val=""/>
      <w:lvlJc w:val="left"/>
      <w:pPr>
        <w:ind w:left="4320" w:hanging="360"/>
      </w:pPr>
      <w:rPr>
        <w:rFonts w:ascii="Wingdings" w:hAnsi="Wingdings" w:hint="default"/>
      </w:rPr>
    </w:lvl>
    <w:lvl w:ilvl="6" w:tplc="93FEDBA6">
      <w:start w:val="1"/>
      <w:numFmt w:val="bullet"/>
      <w:lvlText w:val=""/>
      <w:lvlJc w:val="left"/>
      <w:pPr>
        <w:ind w:left="5040" w:hanging="360"/>
      </w:pPr>
      <w:rPr>
        <w:rFonts w:ascii="Symbol" w:hAnsi="Symbol" w:hint="default"/>
      </w:rPr>
    </w:lvl>
    <w:lvl w:ilvl="7" w:tplc="0300650C">
      <w:start w:val="1"/>
      <w:numFmt w:val="bullet"/>
      <w:lvlText w:val="o"/>
      <w:lvlJc w:val="left"/>
      <w:pPr>
        <w:ind w:left="5760" w:hanging="360"/>
      </w:pPr>
      <w:rPr>
        <w:rFonts w:ascii="Courier New" w:hAnsi="Courier New" w:hint="default"/>
      </w:rPr>
    </w:lvl>
    <w:lvl w:ilvl="8" w:tplc="E55CBBBA">
      <w:start w:val="1"/>
      <w:numFmt w:val="bullet"/>
      <w:lvlText w:val=""/>
      <w:lvlJc w:val="left"/>
      <w:pPr>
        <w:ind w:left="6480" w:hanging="360"/>
      </w:pPr>
      <w:rPr>
        <w:rFonts w:ascii="Wingdings" w:hAnsi="Wingdings" w:hint="default"/>
      </w:rPr>
    </w:lvl>
  </w:abstractNum>
  <w:abstractNum w:abstractNumId="140" w15:restartNumberingAfterBreak="0">
    <w:nsid w:val="7AABB31F"/>
    <w:multiLevelType w:val="hybridMultilevel"/>
    <w:tmpl w:val="C0B2E1DA"/>
    <w:lvl w:ilvl="0" w:tplc="E35CEB48">
      <w:start w:val="1"/>
      <w:numFmt w:val="bullet"/>
      <w:lvlText w:val=""/>
      <w:lvlJc w:val="left"/>
      <w:pPr>
        <w:ind w:left="720" w:hanging="360"/>
      </w:pPr>
      <w:rPr>
        <w:rFonts w:ascii="Symbol" w:hAnsi="Symbol" w:hint="default"/>
      </w:rPr>
    </w:lvl>
    <w:lvl w:ilvl="1" w:tplc="BA6415FA">
      <w:start w:val="1"/>
      <w:numFmt w:val="bullet"/>
      <w:lvlText w:val="o"/>
      <w:lvlJc w:val="left"/>
      <w:pPr>
        <w:ind w:left="1440" w:hanging="360"/>
      </w:pPr>
      <w:rPr>
        <w:rFonts w:ascii="Courier New" w:hAnsi="Courier New" w:hint="default"/>
      </w:rPr>
    </w:lvl>
    <w:lvl w:ilvl="2" w:tplc="9DF4391A">
      <w:start w:val="1"/>
      <w:numFmt w:val="bullet"/>
      <w:lvlText w:val=""/>
      <w:lvlJc w:val="left"/>
      <w:pPr>
        <w:ind w:left="2160" w:hanging="360"/>
      </w:pPr>
      <w:rPr>
        <w:rFonts w:ascii="Wingdings" w:hAnsi="Wingdings" w:hint="default"/>
      </w:rPr>
    </w:lvl>
    <w:lvl w:ilvl="3" w:tplc="E5629312">
      <w:start w:val="1"/>
      <w:numFmt w:val="bullet"/>
      <w:lvlText w:val=""/>
      <w:lvlJc w:val="left"/>
      <w:pPr>
        <w:ind w:left="2880" w:hanging="360"/>
      </w:pPr>
      <w:rPr>
        <w:rFonts w:ascii="Symbol" w:hAnsi="Symbol" w:hint="default"/>
      </w:rPr>
    </w:lvl>
    <w:lvl w:ilvl="4" w:tplc="BFB043B0">
      <w:start w:val="1"/>
      <w:numFmt w:val="bullet"/>
      <w:lvlText w:val="o"/>
      <w:lvlJc w:val="left"/>
      <w:pPr>
        <w:ind w:left="3600" w:hanging="360"/>
      </w:pPr>
      <w:rPr>
        <w:rFonts w:ascii="Courier New" w:hAnsi="Courier New" w:hint="default"/>
      </w:rPr>
    </w:lvl>
    <w:lvl w:ilvl="5" w:tplc="49C4551E">
      <w:start w:val="1"/>
      <w:numFmt w:val="bullet"/>
      <w:lvlText w:val=""/>
      <w:lvlJc w:val="left"/>
      <w:pPr>
        <w:ind w:left="4320" w:hanging="360"/>
      </w:pPr>
      <w:rPr>
        <w:rFonts w:ascii="Wingdings" w:hAnsi="Wingdings" w:hint="default"/>
      </w:rPr>
    </w:lvl>
    <w:lvl w:ilvl="6" w:tplc="CBCE1F7A">
      <w:start w:val="1"/>
      <w:numFmt w:val="bullet"/>
      <w:lvlText w:val=""/>
      <w:lvlJc w:val="left"/>
      <w:pPr>
        <w:ind w:left="5040" w:hanging="360"/>
      </w:pPr>
      <w:rPr>
        <w:rFonts w:ascii="Symbol" w:hAnsi="Symbol" w:hint="default"/>
      </w:rPr>
    </w:lvl>
    <w:lvl w:ilvl="7" w:tplc="0CE40150">
      <w:start w:val="1"/>
      <w:numFmt w:val="bullet"/>
      <w:lvlText w:val="o"/>
      <w:lvlJc w:val="left"/>
      <w:pPr>
        <w:ind w:left="5760" w:hanging="360"/>
      </w:pPr>
      <w:rPr>
        <w:rFonts w:ascii="Courier New" w:hAnsi="Courier New" w:hint="default"/>
      </w:rPr>
    </w:lvl>
    <w:lvl w:ilvl="8" w:tplc="C69CDB26">
      <w:start w:val="1"/>
      <w:numFmt w:val="bullet"/>
      <w:lvlText w:val=""/>
      <w:lvlJc w:val="left"/>
      <w:pPr>
        <w:ind w:left="6480" w:hanging="360"/>
      </w:pPr>
      <w:rPr>
        <w:rFonts w:ascii="Wingdings" w:hAnsi="Wingdings" w:hint="default"/>
      </w:rPr>
    </w:lvl>
  </w:abstractNum>
  <w:abstractNum w:abstractNumId="141" w15:restartNumberingAfterBreak="0">
    <w:nsid w:val="7B036820"/>
    <w:multiLevelType w:val="hybridMultilevel"/>
    <w:tmpl w:val="A59489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2" w15:restartNumberingAfterBreak="0">
    <w:nsid w:val="7C1E722D"/>
    <w:multiLevelType w:val="hybridMultilevel"/>
    <w:tmpl w:val="CD90AF7C"/>
    <w:lvl w:ilvl="0" w:tplc="96B06C16">
      <w:start w:val="3"/>
      <w:numFmt w:val="decimal"/>
      <w:lvlText w:val="%1."/>
      <w:lvlJc w:val="left"/>
      <w:pPr>
        <w:ind w:left="720" w:hanging="360"/>
      </w:pPr>
    </w:lvl>
    <w:lvl w:ilvl="1" w:tplc="F604AB2E">
      <w:start w:val="1"/>
      <w:numFmt w:val="lowerLetter"/>
      <w:lvlText w:val="%2."/>
      <w:lvlJc w:val="left"/>
      <w:pPr>
        <w:ind w:left="1440" w:hanging="360"/>
      </w:pPr>
    </w:lvl>
    <w:lvl w:ilvl="2" w:tplc="858E1414">
      <w:start w:val="1"/>
      <w:numFmt w:val="lowerRoman"/>
      <w:lvlText w:val="%3."/>
      <w:lvlJc w:val="right"/>
      <w:pPr>
        <w:ind w:left="2160" w:hanging="180"/>
      </w:pPr>
    </w:lvl>
    <w:lvl w:ilvl="3" w:tplc="C82AA9D6">
      <w:start w:val="1"/>
      <w:numFmt w:val="decimal"/>
      <w:lvlText w:val="%4."/>
      <w:lvlJc w:val="left"/>
      <w:pPr>
        <w:ind w:left="2880" w:hanging="360"/>
      </w:pPr>
    </w:lvl>
    <w:lvl w:ilvl="4" w:tplc="265ABB36">
      <w:start w:val="1"/>
      <w:numFmt w:val="lowerLetter"/>
      <w:lvlText w:val="%5."/>
      <w:lvlJc w:val="left"/>
      <w:pPr>
        <w:ind w:left="3600" w:hanging="360"/>
      </w:pPr>
    </w:lvl>
    <w:lvl w:ilvl="5" w:tplc="8144B16A">
      <w:start w:val="1"/>
      <w:numFmt w:val="lowerRoman"/>
      <w:lvlText w:val="%6."/>
      <w:lvlJc w:val="right"/>
      <w:pPr>
        <w:ind w:left="4320" w:hanging="180"/>
      </w:pPr>
    </w:lvl>
    <w:lvl w:ilvl="6" w:tplc="B36847C0">
      <w:start w:val="1"/>
      <w:numFmt w:val="decimal"/>
      <w:lvlText w:val="%7."/>
      <w:lvlJc w:val="left"/>
      <w:pPr>
        <w:ind w:left="5040" w:hanging="360"/>
      </w:pPr>
    </w:lvl>
    <w:lvl w:ilvl="7" w:tplc="154A2C14">
      <w:start w:val="1"/>
      <w:numFmt w:val="lowerLetter"/>
      <w:lvlText w:val="%8."/>
      <w:lvlJc w:val="left"/>
      <w:pPr>
        <w:ind w:left="5760" w:hanging="360"/>
      </w:pPr>
    </w:lvl>
    <w:lvl w:ilvl="8" w:tplc="55A8677A">
      <w:start w:val="1"/>
      <w:numFmt w:val="lowerRoman"/>
      <w:lvlText w:val="%9."/>
      <w:lvlJc w:val="right"/>
      <w:pPr>
        <w:ind w:left="6480" w:hanging="180"/>
      </w:pPr>
    </w:lvl>
  </w:abstractNum>
  <w:num w:numId="1">
    <w:abstractNumId w:val="109"/>
  </w:num>
  <w:num w:numId="2">
    <w:abstractNumId w:val="76"/>
  </w:num>
  <w:num w:numId="3">
    <w:abstractNumId w:val="119"/>
  </w:num>
  <w:num w:numId="4">
    <w:abstractNumId w:val="47"/>
  </w:num>
  <w:num w:numId="5">
    <w:abstractNumId w:val="79"/>
  </w:num>
  <w:num w:numId="6">
    <w:abstractNumId w:val="34"/>
  </w:num>
  <w:num w:numId="7">
    <w:abstractNumId w:val="115"/>
  </w:num>
  <w:num w:numId="8">
    <w:abstractNumId w:val="30"/>
  </w:num>
  <w:num w:numId="9">
    <w:abstractNumId w:val="83"/>
  </w:num>
  <w:num w:numId="10">
    <w:abstractNumId w:val="107"/>
  </w:num>
  <w:num w:numId="11">
    <w:abstractNumId w:val="108"/>
  </w:num>
  <w:num w:numId="12">
    <w:abstractNumId w:val="102"/>
  </w:num>
  <w:num w:numId="13">
    <w:abstractNumId w:val="36"/>
  </w:num>
  <w:num w:numId="14">
    <w:abstractNumId w:val="4"/>
  </w:num>
  <w:num w:numId="15">
    <w:abstractNumId w:val="114"/>
  </w:num>
  <w:num w:numId="16">
    <w:abstractNumId w:val="53"/>
  </w:num>
  <w:num w:numId="17">
    <w:abstractNumId w:val="0"/>
  </w:num>
  <w:num w:numId="18">
    <w:abstractNumId w:val="3"/>
  </w:num>
  <w:num w:numId="19">
    <w:abstractNumId w:val="2"/>
  </w:num>
  <w:num w:numId="20">
    <w:abstractNumId w:val="1"/>
  </w:num>
  <w:num w:numId="21">
    <w:abstractNumId w:val="44"/>
  </w:num>
  <w:num w:numId="22">
    <w:abstractNumId w:val="74"/>
  </w:num>
  <w:num w:numId="23">
    <w:abstractNumId w:val="57"/>
  </w:num>
  <w:num w:numId="24">
    <w:abstractNumId w:val="62"/>
  </w:num>
  <w:num w:numId="25">
    <w:abstractNumId w:val="104"/>
  </w:num>
  <w:num w:numId="26">
    <w:abstractNumId w:val="134"/>
  </w:num>
  <w:num w:numId="27">
    <w:abstractNumId w:val="77"/>
  </w:num>
  <w:num w:numId="28">
    <w:abstractNumId w:val="65"/>
  </w:num>
  <w:num w:numId="29">
    <w:abstractNumId w:val="13"/>
  </w:num>
  <w:num w:numId="30">
    <w:abstractNumId w:val="17"/>
  </w:num>
  <w:num w:numId="3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8"/>
  </w:num>
  <w:num w:numId="33">
    <w:abstractNumId w:val="111"/>
  </w:num>
  <w:num w:numId="34">
    <w:abstractNumId w:val="122"/>
  </w:num>
  <w:num w:numId="35">
    <w:abstractNumId w:val="100"/>
  </w:num>
  <w:num w:numId="36">
    <w:abstractNumId w:val="126"/>
  </w:num>
  <w:num w:numId="37">
    <w:abstractNumId w:val="58"/>
  </w:num>
  <w:num w:numId="38">
    <w:abstractNumId w:val="92"/>
  </w:num>
  <w:num w:numId="3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32"/>
  </w:num>
  <w:num w:numId="42">
    <w:abstractNumId w:val="85"/>
  </w:num>
  <w:num w:numId="43">
    <w:abstractNumId w:val="123"/>
  </w:num>
  <w:num w:numId="44">
    <w:abstractNumId w:val="35"/>
  </w:num>
  <w:num w:numId="45">
    <w:abstractNumId w:val="130"/>
  </w:num>
  <w:num w:numId="46">
    <w:abstractNumId w:val="20"/>
  </w:num>
  <w:num w:numId="47">
    <w:abstractNumId w:val="112"/>
  </w:num>
  <w:num w:numId="48">
    <w:abstractNumId w:val="46"/>
  </w:num>
  <w:num w:numId="49">
    <w:abstractNumId w:val="33"/>
  </w:num>
  <w:num w:numId="50">
    <w:abstractNumId w:val="80"/>
  </w:num>
  <w:num w:numId="51">
    <w:abstractNumId w:val="27"/>
  </w:num>
  <w:num w:numId="52">
    <w:abstractNumId w:val="15"/>
  </w:num>
  <w:num w:numId="53">
    <w:abstractNumId w:val="38"/>
  </w:num>
  <w:num w:numId="54">
    <w:abstractNumId w:val="86"/>
  </w:num>
  <w:num w:numId="55">
    <w:abstractNumId w:val="90"/>
  </w:num>
  <w:num w:numId="56">
    <w:abstractNumId w:val="66"/>
  </w:num>
  <w:num w:numId="57">
    <w:abstractNumId w:val="41"/>
  </w:num>
  <w:num w:numId="58">
    <w:abstractNumId w:val="26"/>
  </w:num>
  <w:num w:numId="59">
    <w:abstractNumId w:val="55"/>
  </w:num>
  <w:num w:numId="60">
    <w:abstractNumId w:val="59"/>
  </w:num>
  <w:num w:numId="61">
    <w:abstractNumId w:val="139"/>
  </w:num>
  <w:num w:numId="62">
    <w:abstractNumId w:val="137"/>
  </w:num>
  <w:num w:numId="63">
    <w:abstractNumId w:val="98"/>
  </w:num>
  <w:num w:numId="64">
    <w:abstractNumId w:val="81"/>
  </w:num>
  <w:num w:numId="65">
    <w:abstractNumId w:val="23"/>
  </w:num>
  <w:num w:numId="66">
    <w:abstractNumId w:val="72"/>
  </w:num>
  <w:num w:numId="67">
    <w:abstractNumId w:val="103"/>
  </w:num>
  <w:num w:numId="68">
    <w:abstractNumId w:val="6"/>
  </w:num>
  <w:num w:numId="69">
    <w:abstractNumId w:val="29"/>
  </w:num>
  <w:num w:numId="70">
    <w:abstractNumId w:val="97"/>
  </w:num>
  <w:num w:numId="71">
    <w:abstractNumId w:val="14"/>
  </w:num>
  <w:num w:numId="72">
    <w:abstractNumId w:val="105"/>
  </w:num>
  <w:num w:numId="73">
    <w:abstractNumId w:val="68"/>
  </w:num>
  <w:num w:numId="74">
    <w:abstractNumId w:val="128"/>
  </w:num>
  <w:num w:numId="75">
    <w:abstractNumId w:val="31"/>
  </w:num>
  <w:num w:numId="76">
    <w:abstractNumId w:val="84"/>
  </w:num>
  <w:num w:numId="77">
    <w:abstractNumId w:val="96"/>
  </w:num>
  <w:num w:numId="78">
    <w:abstractNumId w:val="48"/>
  </w:num>
  <w:num w:numId="79">
    <w:abstractNumId w:val="110"/>
  </w:num>
  <w:num w:numId="80">
    <w:abstractNumId w:val="51"/>
  </w:num>
  <w:num w:numId="81">
    <w:abstractNumId w:val="50"/>
  </w:num>
  <w:num w:numId="82">
    <w:abstractNumId w:val="88"/>
  </w:num>
  <w:num w:numId="83">
    <w:abstractNumId w:val="45"/>
  </w:num>
  <w:num w:numId="84">
    <w:abstractNumId w:val="125"/>
  </w:num>
  <w:num w:numId="85">
    <w:abstractNumId w:val="132"/>
  </w:num>
  <w:num w:numId="86">
    <w:abstractNumId w:val="19"/>
  </w:num>
  <w:num w:numId="87">
    <w:abstractNumId w:val="75"/>
  </w:num>
  <w:num w:numId="88">
    <w:abstractNumId w:val="12"/>
  </w:num>
  <w:num w:numId="89">
    <w:abstractNumId w:val="7"/>
  </w:num>
  <w:num w:numId="90">
    <w:abstractNumId w:val="18"/>
  </w:num>
  <w:num w:numId="91">
    <w:abstractNumId w:val="141"/>
  </w:num>
  <w:num w:numId="92">
    <w:abstractNumId w:val="94"/>
  </w:num>
  <w:num w:numId="93">
    <w:abstractNumId w:val="99"/>
  </w:num>
  <w:num w:numId="94">
    <w:abstractNumId w:val="5"/>
  </w:num>
  <w:num w:numId="95">
    <w:abstractNumId w:val="11"/>
  </w:num>
  <w:num w:numId="96">
    <w:abstractNumId w:val="118"/>
  </w:num>
  <w:num w:numId="97">
    <w:abstractNumId w:val="40"/>
  </w:num>
  <w:num w:numId="98">
    <w:abstractNumId w:val="21"/>
  </w:num>
  <w:num w:numId="99">
    <w:abstractNumId w:val="93"/>
  </w:num>
  <w:num w:numId="100">
    <w:abstractNumId w:val="39"/>
  </w:num>
  <w:num w:numId="101">
    <w:abstractNumId w:val="121"/>
  </w:num>
  <w:num w:numId="102">
    <w:abstractNumId w:val="70"/>
  </w:num>
  <w:num w:numId="103">
    <w:abstractNumId w:val="63"/>
  </w:num>
  <w:num w:numId="104">
    <w:abstractNumId w:val="25"/>
  </w:num>
  <w:num w:numId="105">
    <w:abstractNumId w:val="8"/>
  </w:num>
  <w:num w:numId="106">
    <w:abstractNumId w:val="136"/>
  </w:num>
  <w:num w:numId="107">
    <w:abstractNumId w:val="133"/>
  </w:num>
  <w:num w:numId="108">
    <w:abstractNumId w:val="28"/>
  </w:num>
  <w:num w:numId="109">
    <w:abstractNumId w:val="37"/>
  </w:num>
  <w:num w:numId="110">
    <w:abstractNumId w:val="95"/>
  </w:num>
  <w:num w:numId="111">
    <w:abstractNumId w:val="117"/>
  </w:num>
  <w:num w:numId="112">
    <w:abstractNumId w:val="60"/>
  </w:num>
  <w:num w:numId="113">
    <w:abstractNumId w:val="9"/>
  </w:num>
  <w:num w:numId="114">
    <w:abstractNumId w:val="71"/>
  </w:num>
  <w:num w:numId="115">
    <w:abstractNumId w:val="10"/>
  </w:num>
  <w:num w:numId="116">
    <w:abstractNumId w:val="69"/>
  </w:num>
  <w:num w:numId="117">
    <w:abstractNumId w:val="140"/>
  </w:num>
  <w:num w:numId="118">
    <w:abstractNumId w:val="91"/>
  </w:num>
  <w:num w:numId="119">
    <w:abstractNumId w:val="113"/>
  </w:num>
  <w:num w:numId="120">
    <w:abstractNumId w:val="124"/>
  </w:num>
  <w:num w:numId="121">
    <w:abstractNumId w:val="16"/>
  </w:num>
  <w:num w:numId="122">
    <w:abstractNumId w:val="73"/>
  </w:num>
  <w:num w:numId="123">
    <w:abstractNumId w:val="82"/>
  </w:num>
  <w:num w:numId="124">
    <w:abstractNumId w:val="54"/>
  </w:num>
  <w:num w:numId="125">
    <w:abstractNumId w:val="135"/>
  </w:num>
  <w:num w:numId="126">
    <w:abstractNumId w:val="120"/>
  </w:num>
  <w:num w:numId="127">
    <w:abstractNumId w:val="142"/>
  </w:num>
  <w:num w:numId="128">
    <w:abstractNumId w:val="42"/>
  </w:num>
  <w:num w:numId="129">
    <w:abstractNumId w:val="49"/>
  </w:num>
  <w:num w:numId="130">
    <w:abstractNumId w:val="106"/>
  </w:num>
  <w:num w:numId="131">
    <w:abstractNumId w:val="116"/>
  </w:num>
  <w:num w:numId="132">
    <w:abstractNumId w:val="61"/>
  </w:num>
  <w:num w:numId="133">
    <w:abstractNumId w:val="129"/>
  </w:num>
  <w:num w:numId="134">
    <w:abstractNumId w:val="24"/>
  </w:num>
  <w:num w:numId="135">
    <w:abstractNumId w:val="43"/>
  </w:num>
  <w:num w:numId="136">
    <w:abstractNumId w:val="52"/>
  </w:num>
  <w:num w:numId="137">
    <w:abstractNumId w:val="67"/>
  </w:num>
  <w:num w:numId="138">
    <w:abstractNumId w:val="138"/>
  </w:num>
  <w:num w:numId="139">
    <w:abstractNumId w:val="131"/>
  </w:num>
  <w:num w:numId="140">
    <w:abstractNumId w:val="87"/>
  </w:num>
  <w:num w:numId="1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89"/>
  </w:num>
  <w:num w:numId="143">
    <w:abstractNumId w:val="127"/>
  </w:num>
  <w:num w:numId="144">
    <w:abstractNumId w:val="64"/>
  </w:num>
  <w:num w:numId="145">
    <w:abstractNumId w:val="34"/>
  </w:num>
  <w:num w:numId="146">
    <w:abstractNumId w:val="115"/>
  </w:num>
  <w:numIdMacAtCleanup w:val="1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cil" w:val="true"/>
    <w:docVar w:name="CoverPageOnWordDoc" w:val="true"/>
    <w:docVar w:name="DocStatus" w:val="Green"/>
    <w:docVar w:name="DocuWriteMetaData" w:val="&lt;metadataset docuwriteversion=&quot;4.5.2&quot; technicalblockguid=&quot;5390805847649271295&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1-07-08&lt;/text&gt;_x000d__x000a_  &lt;/metadata&gt;_x000d__x000a_  &lt;metadata key=&quot;md_Prefix&quot;&gt;_x000d__x000a_    &lt;text&gt;&lt;/text&gt;_x000d__x000a_  &lt;/metadata&gt;_x000d__x000a_  &lt;metadata key=&quot;md_DocumentNumber&quot;&gt;_x000d__x000a_    &lt;text&gt;10160&lt;/text&gt;_x000d__x000a_  &lt;/metadata&gt;_x000d__x000a_  &lt;metadata key=&quot;md_YearDocumentNumber&quot;&gt;_x000d__x000a_    &lt;text&gt;2021&lt;/text&gt;_x000d__x000a_  &lt;/metadata&gt;_x000d__x000a_  &lt;metadata key=&quot;md_Suffixes&quot;&gt;_x000d__x000a_    &lt;text&gt;ADD 1 REV 2&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COFIN 645&lt;/text&gt;_x000d__x000a_      &lt;text&gt;CADREFIN 340&lt;/text&gt;_x000d__x000a_      &lt;text&gt;UEM 180&lt;/text&gt;_x000d__x000a_      &lt;text&gt;FIN 521&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1/0168 (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REVISED Annex to the COUNCIL IMPLEMENTING DECISION on the approval of the assessment of the recovery and resilience plan for Italy&quot;&gt;&amp;lt;FlowDocument FontFamily=&quot;Segoe UI&quot; FontSize=&quot;12&quot; LineHeight=&quot;6&quot; PageWidth=&quot;329&quot; PagePadding=&quot;2,2,2,2&quot; AllowDrop=&quot;False&quot; xmlns=&quot;http://schemas.microsoft.com/winfx/2006/xaml/presentation&quot; xmlns:x=&quot;http://schemas.microsoft.com/winfx/2006/xaml&quot;&amp;gt;&amp;lt;Paragraph&amp;gt;&amp;lt;Run xml:lang=&quot;fr-be&quot; xml:space=&quot;preserve&quot;&amp;gt;REVISED Annex to the &amp;lt;/Run&amp;gt;COUNCIL IMPLEMENTING DECISION&amp;lt;Run xml:lang=&quot;fr-be&quot; xml:space=&quot;preserve&quot;&amp;gt; &amp;lt;/Run&amp;gt;on the approval of the assessment of the recovery and resilience plan for Italy&amp;lt;/Paragraph&amp;gt;&amp;lt;/FlowDocument&amp;gt;&lt;/xaml&gt;_x000d__x000a_  &lt;/metadata&gt;_x000d__x000a_  &lt;metadata key=&quot;md_SubjectFootnote&quot; /&gt;_x000d__x000a_  &lt;metadata key=&quot;md_DG&quot;&gt;_x000d__x000a_    &lt;text&gt;ECOMP 1A&lt;/text&gt;_x000d__x000a_  &lt;/metadata&gt;_x000d__x000a_  &lt;metadata key=&quot;md_Initials&quot;&gt;_x000d__x000a_    &lt;text&gt;FDC/sr&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1&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1&lt;/text&gt;_x000d__x000a_  &lt;/metadata&gt;_x000d__x000a_  &lt;metadata key=&quot;md_Rectif_Source2_Suffixes&quot;&gt;_x000d__x000a_    &lt;text&gt;&lt;/text&gt;_x000d__x000a_  &lt;/metadata&gt;_x000d__x000a_  &lt;metadata key=&quot;md_CoverPageDocWithCouncilFooter&quot;&gt;_x000d__x000a_    &lt;text&gt;true&lt;/text&gt;_x000d__x000a_  &lt;/metadata&gt;_x000d__x000a_  &lt;metadata key=&quot;md_SourceDocLanguage&quot;&gt;_x000d__x000a_    &lt;text&gt;EN&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W_DocType" w:val="Normal"/>
    <w:docVar w:name="LW_ACCOMPAGNANT.CP" w:val="k"/>
    <w:docVar w:name="LW_ANNEX_NBR_FIRST" w:val="1"/>
    <w:docVar w:name="LW_ANNEX_NBR_LAST" w:val="1"/>
    <w:docVar w:name="LW_ANNEX_UNIQUE" w:val="1"/>
    <w:docVar w:name="LW_CORRIGENDUM" w:val="&lt;UNUSED&gt;"/>
    <w:docVar w:name="LW_COVERPAGE_EXISTS" w:val="True"/>
    <w:docVar w:name="LW_COVERPAGE_GUID" w:val="FC9E50B5-7EF7-4093-AF7A-3C0DF7F46925"/>
    <w:docVar w:name="LW_COVERPAGE_TYPE" w:val="1"/>
    <w:docVar w:name="LW_CROSSREFERENCE" w:val="{SWD(2023) 392 final}"/>
    <w:docVar w:name="LW_DocType" w:val="NORMAL"/>
    <w:docVar w:name="LW_EMISSION" w:val="24.11.2023"/>
    <w:docVar w:name="LW_EMISSION_ISODATE" w:val="2023-11-24"/>
    <w:docVar w:name="LW_EMISSION_LOCATION" w:val="BRX"/>
    <w:docVar w:name="LW_EMISSION_PREFIX" w:val="Bruselj, "/>
    <w:docVar w:name="LW_EMISSION_SUFFIX" w:val=" "/>
    <w:docVar w:name="LW_ID_DOCTYPE_NONLW" w:val="CP-036"/>
    <w:docVar w:name="LW_LANGUE" w:val="SL"/>
    <w:docVar w:name="LW_LEVEL_OF_SENSITIVITY" w:val="Standard treatment"/>
    <w:docVar w:name="LW_NOM.INST" w:val="EVROPSKA KOMISIJA"/>
    <w:docVar w:name="LW_NOM.INST_JOINTDOC" w:val="&lt;EMPTY&gt;"/>
    <w:docVar w:name="LW_OBJETACTEPRINCIPAL.CP" w:val="o spremembi Izvedbenega sklepa (EU) (ST 10160/21; ST 10160/21 ADD 1 REV 2) z dne 13. julija 2021 o odobritvi ocene načrta za okrevanje in odpornost za Italijo_x000d__x000d__x000b_"/>
    <w:docVar w:name="LW_PART_NBR" w:val="1"/>
    <w:docVar w:name="LW_PART_NBR_TOTAL" w:val="1"/>
    <w:docVar w:name="LW_REF.INST.NEW" w:val="COM"/>
    <w:docVar w:name="LW_REF.INST.NEW_ADOPTED" w:val="final"/>
    <w:docVar w:name="LW_REF.INST.NEW_TEXT" w:val="(2023) 7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ILOGA_x000b_"/>
    <w:docVar w:name="LW_TYPEACTEPRINCIPAL.CP" w:val="Predlogu IZVEDBENEGA SKLEPA SVETA_x000b_"/>
    <w:docVar w:name="LwApiVersions" w:val="LW4CoDe 1.23.2.0; LW 8.0, Build 20211117"/>
  </w:docVars>
  <w:rsids>
    <w:rsidRoot w:val="0084396F"/>
    <w:rsid w:val="0000001E"/>
    <w:rsid w:val="00000065"/>
    <w:rsid w:val="0000033B"/>
    <w:rsid w:val="000005AA"/>
    <w:rsid w:val="000005C4"/>
    <w:rsid w:val="00000688"/>
    <w:rsid w:val="00000838"/>
    <w:rsid w:val="000008A0"/>
    <w:rsid w:val="00000BD5"/>
    <w:rsid w:val="00000EB8"/>
    <w:rsid w:val="00001454"/>
    <w:rsid w:val="000014A2"/>
    <w:rsid w:val="000015D9"/>
    <w:rsid w:val="00001A70"/>
    <w:rsid w:val="00001CEE"/>
    <w:rsid w:val="00001F48"/>
    <w:rsid w:val="000020AC"/>
    <w:rsid w:val="000020E0"/>
    <w:rsid w:val="00002493"/>
    <w:rsid w:val="00002523"/>
    <w:rsid w:val="0000253F"/>
    <w:rsid w:val="000025CF"/>
    <w:rsid w:val="00002637"/>
    <w:rsid w:val="00002AFF"/>
    <w:rsid w:val="0000344E"/>
    <w:rsid w:val="0000347E"/>
    <w:rsid w:val="000035BE"/>
    <w:rsid w:val="000037E1"/>
    <w:rsid w:val="00003ECC"/>
    <w:rsid w:val="00003F77"/>
    <w:rsid w:val="0000421C"/>
    <w:rsid w:val="00004221"/>
    <w:rsid w:val="0000423E"/>
    <w:rsid w:val="000043F9"/>
    <w:rsid w:val="00004468"/>
    <w:rsid w:val="00004496"/>
    <w:rsid w:val="000044CA"/>
    <w:rsid w:val="0000459C"/>
    <w:rsid w:val="00004BF7"/>
    <w:rsid w:val="00004F87"/>
    <w:rsid w:val="00005A5A"/>
    <w:rsid w:val="00005B77"/>
    <w:rsid w:val="00005D66"/>
    <w:rsid w:val="0000601C"/>
    <w:rsid w:val="0000638C"/>
    <w:rsid w:val="0000656C"/>
    <w:rsid w:val="00006638"/>
    <w:rsid w:val="00007314"/>
    <w:rsid w:val="000079D3"/>
    <w:rsid w:val="00007DB9"/>
    <w:rsid w:val="0001059D"/>
    <w:rsid w:val="000107D1"/>
    <w:rsid w:val="00010862"/>
    <w:rsid w:val="000108BF"/>
    <w:rsid w:val="000110C8"/>
    <w:rsid w:val="000111A7"/>
    <w:rsid w:val="00011231"/>
    <w:rsid w:val="000113D3"/>
    <w:rsid w:val="0001141B"/>
    <w:rsid w:val="00011A75"/>
    <w:rsid w:val="00011D48"/>
    <w:rsid w:val="00012072"/>
    <w:rsid w:val="000122F7"/>
    <w:rsid w:val="000127E1"/>
    <w:rsid w:val="000127F9"/>
    <w:rsid w:val="00012A59"/>
    <w:rsid w:val="00012ABD"/>
    <w:rsid w:val="00012C66"/>
    <w:rsid w:val="000132C8"/>
    <w:rsid w:val="000132ED"/>
    <w:rsid w:val="00013314"/>
    <w:rsid w:val="0001354B"/>
    <w:rsid w:val="0001382B"/>
    <w:rsid w:val="00013E2B"/>
    <w:rsid w:val="0001428E"/>
    <w:rsid w:val="0001439F"/>
    <w:rsid w:val="00014483"/>
    <w:rsid w:val="000147A2"/>
    <w:rsid w:val="000148EB"/>
    <w:rsid w:val="00014C74"/>
    <w:rsid w:val="00014DA9"/>
    <w:rsid w:val="00014E08"/>
    <w:rsid w:val="0001507E"/>
    <w:rsid w:val="00015130"/>
    <w:rsid w:val="0001544C"/>
    <w:rsid w:val="000155E8"/>
    <w:rsid w:val="0001567C"/>
    <w:rsid w:val="0001575F"/>
    <w:rsid w:val="0001598E"/>
    <w:rsid w:val="00015A57"/>
    <w:rsid w:val="00015A87"/>
    <w:rsid w:val="00015BB2"/>
    <w:rsid w:val="00016387"/>
    <w:rsid w:val="000168FA"/>
    <w:rsid w:val="00016A1B"/>
    <w:rsid w:val="00016AD1"/>
    <w:rsid w:val="00017198"/>
    <w:rsid w:val="00017203"/>
    <w:rsid w:val="0001723A"/>
    <w:rsid w:val="00017322"/>
    <w:rsid w:val="0001747A"/>
    <w:rsid w:val="000177BC"/>
    <w:rsid w:val="00017873"/>
    <w:rsid w:val="00017E6A"/>
    <w:rsid w:val="0002003D"/>
    <w:rsid w:val="000201DD"/>
    <w:rsid w:val="00020564"/>
    <w:rsid w:val="0002075B"/>
    <w:rsid w:val="000208D8"/>
    <w:rsid w:val="00020C96"/>
    <w:rsid w:val="00020F30"/>
    <w:rsid w:val="00021215"/>
    <w:rsid w:val="000213B7"/>
    <w:rsid w:val="000217A0"/>
    <w:rsid w:val="00021971"/>
    <w:rsid w:val="000219CF"/>
    <w:rsid w:val="00021D14"/>
    <w:rsid w:val="000220FC"/>
    <w:rsid w:val="00022130"/>
    <w:rsid w:val="0002269A"/>
    <w:rsid w:val="0002282C"/>
    <w:rsid w:val="00022B49"/>
    <w:rsid w:val="00022B72"/>
    <w:rsid w:val="00022D1C"/>
    <w:rsid w:val="00022EE0"/>
    <w:rsid w:val="000231B7"/>
    <w:rsid w:val="00023216"/>
    <w:rsid w:val="00023335"/>
    <w:rsid w:val="000238CE"/>
    <w:rsid w:val="00023AF3"/>
    <w:rsid w:val="00023BBE"/>
    <w:rsid w:val="000240C0"/>
    <w:rsid w:val="000247D0"/>
    <w:rsid w:val="00024CE4"/>
    <w:rsid w:val="00024E83"/>
    <w:rsid w:val="00024F4A"/>
    <w:rsid w:val="00024F5D"/>
    <w:rsid w:val="0002509D"/>
    <w:rsid w:val="000250A3"/>
    <w:rsid w:val="0002578A"/>
    <w:rsid w:val="00026167"/>
    <w:rsid w:val="0002631A"/>
    <w:rsid w:val="00026D7D"/>
    <w:rsid w:val="00026EEB"/>
    <w:rsid w:val="00026F4B"/>
    <w:rsid w:val="00027283"/>
    <w:rsid w:val="000272A7"/>
    <w:rsid w:val="00027522"/>
    <w:rsid w:val="00027715"/>
    <w:rsid w:val="0002780F"/>
    <w:rsid w:val="00027983"/>
    <w:rsid w:val="00027E29"/>
    <w:rsid w:val="00027F8E"/>
    <w:rsid w:val="00030197"/>
    <w:rsid w:val="000301F0"/>
    <w:rsid w:val="0003092F"/>
    <w:rsid w:val="00030B95"/>
    <w:rsid w:val="00030ECD"/>
    <w:rsid w:val="00030F66"/>
    <w:rsid w:val="00031135"/>
    <w:rsid w:val="000313D4"/>
    <w:rsid w:val="000315A1"/>
    <w:rsid w:val="000315FF"/>
    <w:rsid w:val="000319A9"/>
    <w:rsid w:val="00031B8F"/>
    <w:rsid w:val="00031CEE"/>
    <w:rsid w:val="00031D82"/>
    <w:rsid w:val="0003203E"/>
    <w:rsid w:val="00032259"/>
    <w:rsid w:val="00032878"/>
    <w:rsid w:val="00032B16"/>
    <w:rsid w:val="000330DC"/>
    <w:rsid w:val="00033A46"/>
    <w:rsid w:val="00033A6F"/>
    <w:rsid w:val="00033D32"/>
    <w:rsid w:val="00034004"/>
    <w:rsid w:val="00034135"/>
    <w:rsid w:val="0003450A"/>
    <w:rsid w:val="0003458C"/>
    <w:rsid w:val="000345D2"/>
    <w:rsid w:val="000345F4"/>
    <w:rsid w:val="00034847"/>
    <w:rsid w:val="00034A59"/>
    <w:rsid w:val="00034FCE"/>
    <w:rsid w:val="00034FD5"/>
    <w:rsid w:val="00035199"/>
    <w:rsid w:val="000352CF"/>
    <w:rsid w:val="00035382"/>
    <w:rsid w:val="00035631"/>
    <w:rsid w:val="000356D0"/>
    <w:rsid w:val="00035BB3"/>
    <w:rsid w:val="00035E7D"/>
    <w:rsid w:val="00035F94"/>
    <w:rsid w:val="000361EA"/>
    <w:rsid w:val="000363EE"/>
    <w:rsid w:val="00036679"/>
    <w:rsid w:val="000369CD"/>
    <w:rsid w:val="000369E2"/>
    <w:rsid w:val="00036B1A"/>
    <w:rsid w:val="000374BF"/>
    <w:rsid w:val="00037508"/>
    <w:rsid w:val="00037747"/>
    <w:rsid w:val="00037886"/>
    <w:rsid w:val="00037DF3"/>
    <w:rsid w:val="0004071E"/>
    <w:rsid w:val="000407BD"/>
    <w:rsid w:val="000410E9"/>
    <w:rsid w:val="000410F2"/>
    <w:rsid w:val="00041154"/>
    <w:rsid w:val="00041292"/>
    <w:rsid w:val="00041477"/>
    <w:rsid w:val="0004175B"/>
    <w:rsid w:val="000417E4"/>
    <w:rsid w:val="00041AC3"/>
    <w:rsid w:val="00041C91"/>
    <w:rsid w:val="00042052"/>
    <w:rsid w:val="0004245F"/>
    <w:rsid w:val="000425D9"/>
    <w:rsid w:val="000428C6"/>
    <w:rsid w:val="00042F27"/>
    <w:rsid w:val="0004345F"/>
    <w:rsid w:val="000434B8"/>
    <w:rsid w:val="000436F9"/>
    <w:rsid w:val="00043711"/>
    <w:rsid w:val="00043DDD"/>
    <w:rsid w:val="00043E33"/>
    <w:rsid w:val="000441DA"/>
    <w:rsid w:val="000442EF"/>
    <w:rsid w:val="000443B4"/>
    <w:rsid w:val="0004446F"/>
    <w:rsid w:val="00044AA9"/>
    <w:rsid w:val="00044AB6"/>
    <w:rsid w:val="00044C15"/>
    <w:rsid w:val="00044C36"/>
    <w:rsid w:val="00044D7F"/>
    <w:rsid w:val="00044DDC"/>
    <w:rsid w:val="000457E2"/>
    <w:rsid w:val="000458AF"/>
    <w:rsid w:val="00045918"/>
    <w:rsid w:val="00045BB6"/>
    <w:rsid w:val="00045CDA"/>
    <w:rsid w:val="0004681D"/>
    <w:rsid w:val="00046843"/>
    <w:rsid w:val="00046F34"/>
    <w:rsid w:val="0004710A"/>
    <w:rsid w:val="000471BF"/>
    <w:rsid w:val="000472B0"/>
    <w:rsid w:val="000475BD"/>
    <w:rsid w:val="000475CC"/>
    <w:rsid w:val="000475FC"/>
    <w:rsid w:val="00047605"/>
    <w:rsid w:val="000479AC"/>
    <w:rsid w:val="00047AFB"/>
    <w:rsid w:val="00047DB0"/>
    <w:rsid w:val="00047E7C"/>
    <w:rsid w:val="00047F89"/>
    <w:rsid w:val="000500D9"/>
    <w:rsid w:val="000502E7"/>
    <w:rsid w:val="00050453"/>
    <w:rsid w:val="000507CB"/>
    <w:rsid w:val="0005095A"/>
    <w:rsid w:val="00050C4D"/>
    <w:rsid w:val="00050D9F"/>
    <w:rsid w:val="00050EA4"/>
    <w:rsid w:val="00050EC1"/>
    <w:rsid w:val="00050FD6"/>
    <w:rsid w:val="00051326"/>
    <w:rsid w:val="0005140E"/>
    <w:rsid w:val="000514B4"/>
    <w:rsid w:val="000515CF"/>
    <w:rsid w:val="0005172F"/>
    <w:rsid w:val="0005194A"/>
    <w:rsid w:val="00051B10"/>
    <w:rsid w:val="00052D4B"/>
    <w:rsid w:val="000531A1"/>
    <w:rsid w:val="000533A5"/>
    <w:rsid w:val="000534B5"/>
    <w:rsid w:val="000534BB"/>
    <w:rsid w:val="0005360B"/>
    <w:rsid w:val="0005367C"/>
    <w:rsid w:val="00053745"/>
    <w:rsid w:val="0005375A"/>
    <w:rsid w:val="00053939"/>
    <w:rsid w:val="0005413D"/>
    <w:rsid w:val="0005482F"/>
    <w:rsid w:val="00054CB2"/>
    <w:rsid w:val="00055085"/>
    <w:rsid w:val="0005552C"/>
    <w:rsid w:val="00055882"/>
    <w:rsid w:val="000565BD"/>
    <w:rsid w:val="00056918"/>
    <w:rsid w:val="000569EB"/>
    <w:rsid w:val="00056A45"/>
    <w:rsid w:val="00056AA0"/>
    <w:rsid w:val="00056AC0"/>
    <w:rsid w:val="00056B0B"/>
    <w:rsid w:val="00056FDA"/>
    <w:rsid w:val="0005705B"/>
    <w:rsid w:val="000571FB"/>
    <w:rsid w:val="00057307"/>
    <w:rsid w:val="00057601"/>
    <w:rsid w:val="000576AB"/>
    <w:rsid w:val="00057779"/>
    <w:rsid w:val="00057928"/>
    <w:rsid w:val="0005799C"/>
    <w:rsid w:val="00057AEE"/>
    <w:rsid w:val="00057C45"/>
    <w:rsid w:val="0006004C"/>
    <w:rsid w:val="000600BF"/>
    <w:rsid w:val="00060109"/>
    <w:rsid w:val="000601D1"/>
    <w:rsid w:val="00060263"/>
    <w:rsid w:val="000602F8"/>
    <w:rsid w:val="000602FD"/>
    <w:rsid w:val="00060345"/>
    <w:rsid w:val="000605A5"/>
    <w:rsid w:val="000606CA"/>
    <w:rsid w:val="0006072A"/>
    <w:rsid w:val="000608AB"/>
    <w:rsid w:val="0006091F"/>
    <w:rsid w:val="000610F9"/>
    <w:rsid w:val="0006115A"/>
    <w:rsid w:val="00061353"/>
    <w:rsid w:val="0006136C"/>
    <w:rsid w:val="0006182C"/>
    <w:rsid w:val="00061A6E"/>
    <w:rsid w:val="00061ABA"/>
    <w:rsid w:val="0006242E"/>
    <w:rsid w:val="000629CC"/>
    <w:rsid w:val="00062C3D"/>
    <w:rsid w:val="00062CD7"/>
    <w:rsid w:val="00062D74"/>
    <w:rsid w:val="000630D5"/>
    <w:rsid w:val="00063196"/>
    <w:rsid w:val="0006334A"/>
    <w:rsid w:val="000634F6"/>
    <w:rsid w:val="000637CF"/>
    <w:rsid w:val="00063D96"/>
    <w:rsid w:val="00063E0B"/>
    <w:rsid w:val="00063FF2"/>
    <w:rsid w:val="0006454A"/>
    <w:rsid w:val="00064578"/>
    <w:rsid w:val="00064ABC"/>
    <w:rsid w:val="00064C47"/>
    <w:rsid w:val="00064EF2"/>
    <w:rsid w:val="00065054"/>
    <w:rsid w:val="000651E2"/>
    <w:rsid w:val="000656CE"/>
    <w:rsid w:val="000656DC"/>
    <w:rsid w:val="00065F5F"/>
    <w:rsid w:val="00066067"/>
    <w:rsid w:val="000663BE"/>
    <w:rsid w:val="00066624"/>
    <w:rsid w:val="00066ABF"/>
    <w:rsid w:val="00066C1D"/>
    <w:rsid w:val="00066D44"/>
    <w:rsid w:val="00066EA9"/>
    <w:rsid w:val="00066F71"/>
    <w:rsid w:val="000675F0"/>
    <w:rsid w:val="00067600"/>
    <w:rsid w:val="00067994"/>
    <w:rsid w:val="00067DB8"/>
    <w:rsid w:val="00070240"/>
    <w:rsid w:val="0007025F"/>
    <w:rsid w:val="000703E9"/>
    <w:rsid w:val="000703EF"/>
    <w:rsid w:val="000705DA"/>
    <w:rsid w:val="00070859"/>
    <w:rsid w:val="000709A8"/>
    <w:rsid w:val="00070B7D"/>
    <w:rsid w:val="00070CA6"/>
    <w:rsid w:val="00070D1A"/>
    <w:rsid w:val="000711EE"/>
    <w:rsid w:val="00071650"/>
    <w:rsid w:val="000716D8"/>
    <w:rsid w:val="0007188D"/>
    <w:rsid w:val="00071CDB"/>
    <w:rsid w:val="00071E34"/>
    <w:rsid w:val="00071E41"/>
    <w:rsid w:val="00071FA3"/>
    <w:rsid w:val="00072249"/>
    <w:rsid w:val="0007245A"/>
    <w:rsid w:val="0007279E"/>
    <w:rsid w:val="00072802"/>
    <w:rsid w:val="00072863"/>
    <w:rsid w:val="00072DE1"/>
    <w:rsid w:val="00072F05"/>
    <w:rsid w:val="00073072"/>
    <w:rsid w:val="000732B5"/>
    <w:rsid w:val="000732E7"/>
    <w:rsid w:val="00073497"/>
    <w:rsid w:val="000734A9"/>
    <w:rsid w:val="0007351E"/>
    <w:rsid w:val="000738A7"/>
    <w:rsid w:val="000738D2"/>
    <w:rsid w:val="00073B07"/>
    <w:rsid w:val="00073B33"/>
    <w:rsid w:val="00073B71"/>
    <w:rsid w:val="00073DD5"/>
    <w:rsid w:val="00073EF9"/>
    <w:rsid w:val="000741F3"/>
    <w:rsid w:val="000745AD"/>
    <w:rsid w:val="00074AE0"/>
    <w:rsid w:val="00075349"/>
    <w:rsid w:val="000759E2"/>
    <w:rsid w:val="0007661F"/>
    <w:rsid w:val="0007662D"/>
    <w:rsid w:val="000768AF"/>
    <w:rsid w:val="00076D7D"/>
    <w:rsid w:val="00076EC8"/>
    <w:rsid w:val="00077070"/>
    <w:rsid w:val="0007743F"/>
    <w:rsid w:val="00077CA3"/>
    <w:rsid w:val="00077E08"/>
    <w:rsid w:val="00080411"/>
    <w:rsid w:val="0008044B"/>
    <w:rsid w:val="00080B47"/>
    <w:rsid w:val="000812B2"/>
    <w:rsid w:val="00081692"/>
    <w:rsid w:val="000816A9"/>
    <w:rsid w:val="00081831"/>
    <w:rsid w:val="000819FC"/>
    <w:rsid w:val="00081CB3"/>
    <w:rsid w:val="00081CF2"/>
    <w:rsid w:val="00081FEE"/>
    <w:rsid w:val="00082269"/>
    <w:rsid w:val="000823D0"/>
    <w:rsid w:val="0008252B"/>
    <w:rsid w:val="00082601"/>
    <w:rsid w:val="0008287A"/>
    <w:rsid w:val="000829CB"/>
    <w:rsid w:val="00082A8B"/>
    <w:rsid w:val="000830F5"/>
    <w:rsid w:val="0008335A"/>
    <w:rsid w:val="00083680"/>
    <w:rsid w:val="000836AA"/>
    <w:rsid w:val="00083972"/>
    <w:rsid w:val="00083980"/>
    <w:rsid w:val="00083A17"/>
    <w:rsid w:val="00083FF7"/>
    <w:rsid w:val="000842C8"/>
    <w:rsid w:val="0008466D"/>
    <w:rsid w:val="0008467C"/>
    <w:rsid w:val="00084773"/>
    <w:rsid w:val="00084FC2"/>
    <w:rsid w:val="0008518E"/>
    <w:rsid w:val="000859A3"/>
    <w:rsid w:val="00085B4C"/>
    <w:rsid w:val="00085C72"/>
    <w:rsid w:val="00085E12"/>
    <w:rsid w:val="00086139"/>
    <w:rsid w:val="00086432"/>
    <w:rsid w:val="000865F2"/>
    <w:rsid w:val="000866CA"/>
    <w:rsid w:val="000867A7"/>
    <w:rsid w:val="00086ABB"/>
    <w:rsid w:val="00086BBC"/>
    <w:rsid w:val="000870B9"/>
    <w:rsid w:val="000870BB"/>
    <w:rsid w:val="0008716C"/>
    <w:rsid w:val="000875E7"/>
    <w:rsid w:val="00087BA7"/>
    <w:rsid w:val="00090318"/>
    <w:rsid w:val="000904DE"/>
    <w:rsid w:val="0009056B"/>
    <w:rsid w:val="00090590"/>
    <w:rsid w:val="000905C1"/>
    <w:rsid w:val="00090F02"/>
    <w:rsid w:val="00090F8A"/>
    <w:rsid w:val="0009111B"/>
    <w:rsid w:val="000912FC"/>
    <w:rsid w:val="000913B8"/>
    <w:rsid w:val="000913DA"/>
    <w:rsid w:val="000915D6"/>
    <w:rsid w:val="00091735"/>
    <w:rsid w:val="00091C35"/>
    <w:rsid w:val="00091D2E"/>
    <w:rsid w:val="00091FCE"/>
    <w:rsid w:val="000920B2"/>
    <w:rsid w:val="00092109"/>
    <w:rsid w:val="00092394"/>
    <w:rsid w:val="00092407"/>
    <w:rsid w:val="00092A3D"/>
    <w:rsid w:val="00092B1B"/>
    <w:rsid w:val="00092C2E"/>
    <w:rsid w:val="00092CE9"/>
    <w:rsid w:val="0009301F"/>
    <w:rsid w:val="0009315E"/>
    <w:rsid w:val="000931CC"/>
    <w:rsid w:val="000931F1"/>
    <w:rsid w:val="00093245"/>
    <w:rsid w:val="000937E4"/>
    <w:rsid w:val="0009383C"/>
    <w:rsid w:val="00093A65"/>
    <w:rsid w:val="000940D9"/>
    <w:rsid w:val="00094150"/>
    <w:rsid w:val="000942BE"/>
    <w:rsid w:val="000943AE"/>
    <w:rsid w:val="000949B4"/>
    <w:rsid w:val="0009515A"/>
    <w:rsid w:val="000952A2"/>
    <w:rsid w:val="00095312"/>
    <w:rsid w:val="0009532F"/>
    <w:rsid w:val="000958A0"/>
    <w:rsid w:val="0009598A"/>
    <w:rsid w:val="000959F6"/>
    <w:rsid w:val="00095C46"/>
    <w:rsid w:val="00095F59"/>
    <w:rsid w:val="000961FA"/>
    <w:rsid w:val="000963E5"/>
    <w:rsid w:val="0009685D"/>
    <w:rsid w:val="00096947"/>
    <w:rsid w:val="00096EC5"/>
    <w:rsid w:val="00096F87"/>
    <w:rsid w:val="0009704A"/>
    <w:rsid w:val="0009745C"/>
    <w:rsid w:val="0009745D"/>
    <w:rsid w:val="00097509"/>
    <w:rsid w:val="00097A8D"/>
    <w:rsid w:val="00097D06"/>
    <w:rsid w:val="000A0248"/>
    <w:rsid w:val="000A0382"/>
    <w:rsid w:val="000A03D0"/>
    <w:rsid w:val="000A0410"/>
    <w:rsid w:val="000A060A"/>
    <w:rsid w:val="000A0785"/>
    <w:rsid w:val="000A08AC"/>
    <w:rsid w:val="000A0C60"/>
    <w:rsid w:val="000A1008"/>
    <w:rsid w:val="000A1141"/>
    <w:rsid w:val="000A1158"/>
    <w:rsid w:val="000A147C"/>
    <w:rsid w:val="000A164F"/>
    <w:rsid w:val="000A1C76"/>
    <w:rsid w:val="000A1FA5"/>
    <w:rsid w:val="000A20D0"/>
    <w:rsid w:val="000A2819"/>
    <w:rsid w:val="000A2D0F"/>
    <w:rsid w:val="000A2F3B"/>
    <w:rsid w:val="000A2F70"/>
    <w:rsid w:val="000A34FB"/>
    <w:rsid w:val="000A3700"/>
    <w:rsid w:val="000A39D2"/>
    <w:rsid w:val="000A3A55"/>
    <w:rsid w:val="000A46A6"/>
    <w:rsid w:val="000A510C"/>
    <w:rsid w:val="000A5369"/>
    <w:rsid w:val="000A544A"/>
    <w:rsid w:val="000A555A"/>
    <w:rsid w:val="000A5756"/>
    <w:rsid w:val="000A5956"/>
    <w:rsid w:val="000A5E6C"/>
    <w:rsid w:val="000A6740"/>
    <w:rsid w:val="000A6782"/>
    <w:rsid w:val="000A69A4"/>
    <w:rsid w:val="000A6E31"/>
    <w:rsid w:val="000A6E6F"/>
    <w:rsid w:val="000A7299"/>
    <w:rsid w:val="000A77CD"/>
    <w:rsid w:val="000A77DC"/>
    <w:rsid w:val="000A7990"/>
    <w:rsid w:val="000A79D0"/>
    <w:rsid w:val="000A7BAD"/>
    <w:rsid w:val="000A7DD0"/>
    <w:rsid w:val="000B0205"/>
    <w:rsid w:val="000B028C"/>
    <w:rsid w:val="000B039E"/>
    <w:rsid w:val="000B0457"/>
    <w:rsid w:val="000B06D0"/>
    <w:rsid w:val="000B094D"/>
    <w:rsid w:val="000B0E28"/>
    <w:rsid w:val="000B0EA2"/>
    <w:rsid w:val="000B0F8B"/>
    <w:rsid w:val="000B11B6"/>
    <w:rsid w:val="000B1419"/>
    <w:rsid w:val="000B17A7"/>
    <w:rsid w:val="000B1F83"/>
    <w:rsid w:val="000B2056"/>
    <w:rsid w:val="000B2180"/>
    <w:rsid w:val="000B21AB"/>
    <w:rsid w:val="000B22D1"/>
    <w:rsid w:val="000B244C"/>
    <w:rsid w:val="000B2893"/>
    <w:rsid w:val="000B28EF"/>
    <w:rsid w:val="000B2AAD"/>
    <w:rsid w:val="000B2AE7"/>
    <w:rsid w:val="000B2D64"/>
    <w:rsid w:val="000B2FAD"/>
    <w:rsid w:val="000B31F0"/>
    <w:rsid w:val="000B3558"/>
    <w:rsid w:val="000B3B30"/>
    <w:rsid w:val="000B3C58"/>
    <w:rsid w:val="000B3C60"/>
    <w:rsid w:val="000B40CF"/>
    <w:rsid w:val="000B478F"/>
    <w:rsid w:val="000B48C6"/>
    <w:rsid w:val="000B4940"/>
    <w:rsid w:val="000B4C40"/>
    <w:rsid w:val="000B4D16"/>
    <w:rsid w:val="000B4E0E"/>
    <w:rsid w:val="000B5024"/>
    <w:rsid w:val="000B51EC"/>
    <w:rsid w:val="000B521E"/>
    <w:rsid w:val="000B56B0"/>
    <w:rsid w:val="000B575A"/>
    <w:rsid w:val="000B57CA"/>
    <w:rsid w:val="000B5B0B"/>
    <w:rsid w:val="000B5CDF"/>
    <w:rsid w:val="000B5D36"/>
    <w:rsid w:val="000B5F98"/>
    <w:rsid w:val="000B6023"/>
    <w:rsid w:val="000B6479"/>
    <w:rsid w:val="000B66C0"/>
    <w:rsid w:val="000B6902"/>
    <w:rsid w:val="000B7180"/>
    <w:rsid w:val="000B71C2"/>
    <w:rsid w:val="000B7379"/>
    <w:rsid w:val="000B748C"/>
    <w:rsid w:val="000B7551"/>
    <w:rsid w:val="000B76F4"/>
    <w:rsid w:val="000B7DE6"/>
    <w:rsid w:val="000B7E4F"/>
    <w:rsid w:val="000C009F"/>
    <w:rsid w:val="000C00B7"/>
    <w:rsid w:val="000C0129"/>
    <w:rsid w:val="000C02B9"/>
    <w:rsid w:val="000C03CF"/>
    <w:rsid w:val="000C03E3"/>
    <w:rsid w:val="000C047C"/>
    <w:rsid w:val="000C04B3"/>
    <w:rsid w:val="000C04CC"/>
    <w:rsid w:val="000C06B1"/>
    <w:rsid w:val="000C081C"/>
    <w:rsid w:val="000C0881"/>
    <w:rsid w:val="000C0AB3"/>
    <w:rsid w:val="000C0DA7"/>
    <w:rsid w:val="000C0F52"/>
    <w:rsid w:val="000C1205"/>
    <w:rsid w:val="000C149F"/>
    <w:rsid w:val="000C1752"/>
    <w:rsid w:val="000C1A20"/>
    <w:rsid w:val="000C1B5D"/>
    <w:rsid w:val="000C1D4C"/>
    <w:rsid w:val="000C1DF4"/>
    <w:rsid w:val="000C22BA"/>
    <w:rsid w:val="000C2455"/>
    <w:rsid w:val="000C2955"/>
    <w:rsid w:val="000C29F3"/>
    <w:rsid w:val="000C2A22"/>
    <w:rsid w:val="000C2C33"/>
    <w:rsid w:val="000C2D86"/>
    <w:rsid w:val="000C303E"/>
    <w:rsid w:val="000C31E4"/>
    <w:rsid w:val="000C3305"/>
    <w:rsid w:val="000C330B"/>
    <w:rsid w:val="000C339E"/>
    <w:rsid w:val="000C3690"/>
    <w:rsid w:val="000C38ED"/>
    <w:rsid w:val="000C413D"/>
    <w:rsid w:val="000C41A2"/>
    <w:rsid w:val="000C441B"/>
    <w:rsid w:val="000C4489"/>
    <w:rsid w:val="000C4B23"/>
    <w:rsid w:val="000C4DD7"/>
    <w:rsid w:val="000C4F71"/>
    <w:rsid w:val="000C4FC4"/>
    <w:rsid w:val="000C50C9"/>
    <w:rsid w:val="000C52F3"/>
    <w:rsid w:val="000C57F5"/>
    <w:rsid w:val="000C5810"/>
    <w:rsid w:val="000C5881"/>
    <w:rsid w:val="000C5DCE"/>
    <w:rsid w:val="000C5E94"/>
    <w:rsid w:val="000C6394"/>
    <w:rsid w:val="000C6747"/>
    <w:rsid w:val="000C6766"/>
    <w:rsid w:val="000C6822"/>
    <w:rsid w:val="000C71F2"/>
    <w:rsid w:val="000C7202"/>
    <w:rsid w:val="000C73CA"/>
    <w:rsid w:val="000C7961"/>
    <w:rsid w:val="000C79C9"/>
    <w:rsid w:val="000C79D1"/>
    <w:rsid w:val="000C7C1F"/>
    <w:rsid w:val="000C7C82"/>
    <w:rsid w:val="000D0790"/>
    <w:rsid w:val="000D0B74"/>
    <w:rsid w:val="000D0E14"/>
    <w:rsid w:val="000D0E93"/>
    <w:rsid w:val="000D0F54"/>
    <w:rsid w:val="000D13D2"/>
    <w:rsid w:val="000D1657"/>
    <w:rsid w:val="000D1B85"/>
    <w:rsid w:val="000D1BCC"/>
    <w:rsid w:val="000D1C88"/>
    <w:rsid w:val="000D1CAF"/>
    <w:rsid w:val="000D1CC0"/>
    <w:rsid w:val="000D1E69"/>
    <w:rsid w:val="000D1F54"/>
    <w:rsid w:val="000D1F7C"/>
    <w:rsid w:val="000D203B"/>
    <w:rsid w:val="000D2654"/>
    <w:rsid w:val="000D296A"/>
    <w:rsid w:val="000D2AB2"/>
    <w:rsid w:val="000D2BDB"/>
    <w:rsid w:val="000D2D86"/>
    <w:rsid w:val="000D308E"/>
    <w:rsid w:val="000D34AE"/>
    <w:rsid w:val="000D35DD"/>
    <w:rsid w:val="000D3774"/>
    <w:rsid w:val="000D37BB"/>
    <w:rsid w:val="000D37C5"/>
    <w:rsid w:val="000D3A22"/>
    <w:rsid w:val="000D3B47"/>
    <w:rsid w:val="000D3E57"/>
    <w:rsid w:val="000D44B0"/>
    <w:rsid w:val="000D4CAD"/>
    <w:rsid w:val="000D5179"/>
    <w:rsid w:val="000D5867"/>
    <w:rsid w:val="000D5A7F"/>
    <w:rsid w:val="000D5C25"/>
    <w:rsid w:val="000D61D5"/>
    <w:rsid w:val="000D6381"/>
    <w:rsid w:val="000D6719"/>
    <w:rsid w:val="000D6781"/>
    <w:rsid w:val="000D67D5"/>
    <w:rsid w:val="000D6D78"/>
    <w:rsid w:val="000D6F97"/>
    <w:rsid w:val="000D6FCF"/>
    <w:rsid w:val="000D718D"/>
    <w:rsid w:val="000D7237"/>
    <w:rsid w:val="000D7730"/>
    <w:rsid w:val="000D7823"/>
    <w:rsid w:val="000D78B2"/>
    <w:rsid w:val="000D78F7"/>
    <w:rsid w:val="000D7AAA"/>
    <w:rsid w:val="000E01A1"/>
    <w:rsid w:val="000E060F"/>
    <w:rsid w:val="000E0885"/>
    <w:rsid w:val="000E0D8F"/>
    <w:rsid w:val="000E0E2E"/>
    <w:rsid w:val="000E0E47"/>
    <w:rsid w:val="000E10E1"/>
    <w:rsid w:val="000E17C9"/>
    <w:rsid w:val="000E17DC"/>
    <w:rsid w:val="000E1B76"/>
    <w:rsid w:val="000E1B7D"/>
    <w:rsid w:val="000E1C23"/>
    <w:rsid w:val="000E1CC8"/>
    <w:rsid w:val="000E1FAE"/>
    <w:rsid w:val="000E2045"/>
    <w:rsid w:val="000E2068"/>
    <w:rsid w:val="000E20A6"/>
    <w:rsid w:val="000E21B2"/>
    <w:rsid w:val="000E226D"/>
    <w:rsid w:val="000E2505"/>
    <w:rsid w:val="000E2535"/>
    <w:rsid w:val="000E25C6"/>
    <w:rsid w:val="000E2A4F"/>
    <w:rsid w:val="000E2BA8"/>
    <w:rsid w:val="000E2D9D"/>
    <w:rsid w:val="000E2E1D"/>
    <w:rsid w:val="000E3117"/>
    <w:rsid w:val="000E31B8"/>
    <w:rsid w:val="000E347A"/>
    <w:rsid w:val="000E3682"/>
    <w:rsid w:val="000E3A76"/>
    <w:rsid w:val="000E3DBE"/>
    <w:rsid w:val="000E3E57"/>
    <w:rsid w:val="000E3EC2"/>
    <w:rsid w:val="000E4342"/>
    <w:rsid w:val="000E4534"/>
    <w:rsid w:val="000E45DE"/>
    <w:rsid w:val="000E46B9"/>
    <w:rsid w:val="000E4747"/>
    <w:rsid w:val="000E48CF"/>
    <w:rsid w:val="000E4B2C"/>
    <w:rsid w:val="000E4C45"/>
    <w:rsid w:val="000E4C9C"/>
    <w:rsid w:val="000E5131"/>
    <w:rsid w:val="000E59B7"/>
    <w:rsid w:val="000E5EB9"/>
    <w:rsid w:val="000E5F20"/>
    <w:rsid w:val="000E6303"/>
    <w:rsid w:val="000E632A"/>
    <w:rsid w:val="000E6356"/>
    <w:rsid w:val="000E6516"/>
    <w:rsid w:val="000E6532"/>
    <w:rsid w:val="000E6600"/>
    <w:rsid w:val="000E66C3"/>
    <w:rsid w:val="000E6C44"/>
    <w:rsid w:val="000E6EDA"/>
    <w:rsid w:val="000E705C"/>
    <w:rsid w:val="000E70FA"/>
    <w:rsid w:val="000E721E"/>
    <w:rsid w:val="000E7332"/>
    <w:rsid w:val="000E74FC"/>
    <w:rsid w:val="000E7820"/>
    <w:rsid w:val="000E795B"/>
    <w:rsid w:val="000E7AF5"/>
    <w:rsid w:val="000E7B72"/>
    <w:rsid w:val="000E7BE4"/>
    <w:rsid w:val="000E7C97"/>
    <w:rsid w:val="000E7F9A"/>
    <w:rsid w:val="000F04F6"/>
    <w:rsid w:val="000F05A3"/>
    <w:rsid w:val="000F0913"/>
    <w:rsid w:val="000F0B8A"/>
    <w:rsid w:val="000F0FAE"/>
    <w:rsid w:val="000F0FFC"/>
    <w:rsid w:val="000F100E"/>
    <w:rsid w:val="000F113B"/>
    <w:rsid w:val="000F13CB"/>
    <w:rsid w:val="000F158B"/>
    <w:rsid w:val="000F165C"/>
    <w:rsid w:val="000F1762"/>
    <w:rsid w:val="000F1895"/>
    <w:rsid w:val="000F1BB4"/>
    <w:rsid w:val="000F1D10"/>
    <w:rsid w:val="000F1D1C"/>
    <w:rsid w:val="000F2157"/>
    <w:rsid w:val="000F244F"/>
    <w:rsid w:val="000F251B"/>
    <w:rsid w:val="000F27BB"/>
    <w:rsid w:val="000F2A67"/>
    <w:rsid w:val="000F3129"/>
    <w:rsid w:val="000F3249"/>
    <w:rsid w:val="000F3437"/>
    <w:rsid w:val="000F34BC"/>
    <w:rsid w:val="000F35A4"/>
    <w:rsid w:val="000F3912"/>
    <w:rsid w:val="000F3B38"/>
    <w:rsid w:val="000F3BA9"/>
    <w:rsid w:val="000F3E01"/>
    <w:rsid w:val="000F4010"/>
    <w:rsid w:val="000F40C3"/>
    <w:rsid w:val="000F4128"/>
    <w:rsid w:val="000F4160"/>
    <w:rsid w:val="000F4B77"/>
    <w:rsid w:val="000F4BBE"/>
    <w:rsid w:val="000F4DEB"/>
    <w:rsid w:val="000F5086"/>
    <w:rsid w:val="000F574D"/>
    <w:rsid w:val="000F583F"/>
    <w:rsid w:val="000F5AA4"/>
    <w:rsid w:val="000F5D90"/>
    <w:rsid w:val="000F5ECD"/>
    <w:rsid w:val="000F6430"/>
    <w:rsid w:val="000F67A6"/>
    <w:rsid w:val="000F69CF"/>
    <w:rsid w:val="000F7178"/>
    <w:rsid w:val="000F738F"/>
    <w:rsid w:val="000F76A3"/>
    <w:rsid w:val="000F7DB0"/>
    <w:rsid w:val="000FE071"/>
    <w:rsid w:val="00100154"/>
    <w:rsid w:val="0010017F"/>
    <w:rsid w:val="0010071A"/>
    <w:rsid w:val="00100B24"/>
    <w:rsid w:val="00100C7D"/>
    <w:rsid w:val="00100D2B"/>
    <w:rsid w:val="00100D48"/>
    <w:rsid w:val="00100DA4"/>
    <w:rsid w:val="001010F4"/>
    <w:rsid w:val="0010119C"/>
    <w:rsid w:val="0010132D"/>
    <w:rsid w:val="001013EF"/>
    <w:rsid w:val="00101433"/>
    <w:rsid w:val="00101675"/>
    <w:rsid w:val="001017A1"/>
    <w:rsid w:val="00101BA8"/>
    <w:rsid w:val="00101BF3"/>
    <w:rsid w:val="00101D3B"/>
    <w:rsid w:val="00101DB9"/>
    <w:rsid w:val="00101DC3"/>
    <w:rsid w:val="00101E3D"/>
    <w:rsid w:val="00101F29"/>
    <w:rsid w:val="00102032"/>
    <w:rsid w:val="00102332"/>
    <w:rsid w:val="0010242D"/>
    <w:rsid w:val="001025CE"/>
    <w:rsid w:val="001029B5"/>
    <w:rsid w:val="00102BDE"/>
    <w:rsid w:val="00102D33"/>
    <w:rsid w:val="00102F3E"/>
    <w:rsid w:val="00102FC1"/>
    <w:rsid w:val="00103934"/>
    <w:rsid w:val="00103D1A"/>
    <w:rsid w:val="00103D22"/>
    <w:rsid w:val="001042C2"/>
    <w:rsid w:val="001042F4"/>
    <w:rsid w:val="001043E7"/>
    <w:rsid w:val="00104747"/>
    <w:rsid w:val="00104DED"/>
    <w:rsid w:val="00105061"/>
    <w:rsid w:val="001054D5"/>
    <w:rsid w:val="001055B5"/>
    <w:rsid w:val="00105636"/>
    <w:rsid w:val="00105814"/>
    <w:rsid w:val="00105E7E"/>
    <w:rsid w:val="001060FE"/>
    <w:rsid w:val="001061C7"/>
    <w:rsid w:val="00106352"/>
    <w:rsid w:val="001065D0"/>
    <w:rsid w:val="001068AA"/>
    <w:rsid w:val="00106BA2"/>
    <w:rsid w:val="00107308"/>
    <w:rsid w:val="0010731A"/>
    <w:rsid w:val="00107583"/>
    <w:rsid w:val="00107788"/>
    <w:rsid w:val="00107892"/>
    <w:rsid w:val="0010795D"/>
    <w:rsid w:val="00107ADE"/>
    <w:rsid w:val="00107E97"/>
    <w:rsid w:val="001100CB"/>
    <w:rsid w:val="00110667"/>
    <w:rsid w:val="0011075D"/>
    <w:rsid w:val="001108C5"/>
    <w:rsid w:val="00110C56"/>
    <w:rsid w:val="00110F18"/>
    <w:rsid w:val="001113BF"/>
    <w:rsid w:val="001116BB"/>
    <w:rsid w:val="001116E8"/>
    <w:rsid w:val="00111AF6"/>
    <w:rsid w:val="00111B13"/>
    <w:rsid w:val="00111B79"/>
    <w:rsid w:val="00111D70"/>
    <w:rsid w:val="00111D9C"/>
    <w:rsid w:val="001120BD"/>
    <w:rsid w:val="0011345D"/>
    <w:rsid w:val="00113666"/>
    <w:rsid w:val="00113738"/>
    <w:rsid w:val="00113A77"/>
    <w:rsid w:val="00113B48"/>
    <w:rsid w:val="00113EAC"/>
    <w:rsid w:val="00113EE4"/>
    <w:rsid w:val="00114599"/>
    <w:rsid w:val="0011487F"/>
    <w:rsid w:val="00114955"/>
    <w:rsid w:val="00114C36"/>
    <w:rsid w:val="00114F32"/>
    <w:rsid w:val="00115157"/>
    <w:rsid w:val="00115242"/>
    <w:rsid w:val="00115243"/>
    <w:rsid w:val="001152A0"/>
    <w:rsid w:val="00115488"/>
    <w:rsid w:val="00115A8A"/>
    <w:rsid w:val="00115DB5"/>
    <w:rsid w:val="0011604B"/>
    <w:rsid w:val="00116184"/>
    <w:rsid w:val="0011648F"/>
    <w:rsid w:val="001164DA"/>
    <w:rsid w:val="0011653C"/>
    <w:rsid w:val="001167B6"/>
    <w:rsid w:val="001168C9"/>
    <w:rsid w:val="00116901"/>
    <w:rsid w:val="00116CE5"/>
    <w:rsid w:val="00117131"/>
    <w:rsid w:val="001172B3"/>
    <w:rsid w:val="001175A4"/>
    <w:rsid w:val="001175B6"/>
    <w:rsid w:val="001176B6"/>
    <w:rsid w:val="00117B6A"/>
    <w:rsid w:val="00117C18"/>
    <w:rsid w:val="0011EAA4"/>
    <w:rsid w:val="001201C2"/>
    <w:rsid w:val="001202E1"/>
    <w:rsid w:val="001202F6"/>
    <w:rsid w:val="001204D0"/>
    <w:rsid w:val="00120747"/>
    <w:rsid w:val="0012088B"/>
    <w:rsid w:val="00120967"/>
    <w:rsid w:val="00120D40"/>
    <w:rsid w:val="00120D8D"/>
    <w:rsid w:val="00121228"/>
    <w:rsid w:val="0012125D"/>
    <w:rsid w:val="00121329"/>
    <w:rsid w:val="00121419"/>
    <w:rsid w:val="00121701"/>
    <w:rsid w:val="0012188F"/>
    <w:rsid w:val="0012230A"/>
    <w:rsid w:val="00122573"/>
    <w:rsid w:val="00122AF8"/>
    <w:rsid w:val="00122C37"/>
    <w:rsid w:val="0012327D"/>
    <w:rsid w:val="001234BE"/>
    <w:rsid w:val="001238EA"/>
    <w:rsid w:val="00123A18"/>
    <w:rsid w:val="00123DA4"/>
    <w:rsid w:val="00123EF5"/>
    <w:rsid w:val="0012405E"/>
    <w:rsid w:val="001240DF"/>
    <w:rsid w:val="001241D8"/>
    <w:rsid w:val="001242C7"/>
    <w:rsid w:val="00124745"/>
    <w:rsid w:val="00124844"/>
    <w:rsid w:val="00124AFE"/>
    <w:rsid w:val="0012509D"/>
    <w:rsid w:val="001253A7"/>
    <w:rsid w:val="0012546B"/>
    <w:rsid w:val="0012586A"/>
    <w:rsid w:val="00125BEB"/>
    <w:rsid w:val="00125DC0"/>
    <w:rsid w:val="00125E60"/>
    <w:rsid w:val="001262BB"/>
    <w:rsid w:val="0012657F"/>
    <w:rsid w:val="00126929"/>
    <w:rsid w:val="00126C37"/>
    <w:rsid w:val="00126F21"/>
    <w:rsid w:val="001272FE"/>
    <w:rsid w:val="001274F1"/>
    <w:rsid w:val="001274F3"/>
    <w:rsid w:val="00127A8F"/>
    <w:rsid w:val="00127F43"/>
    <w:rsid w:val="00130391"/>
    <w:rsid w:val="00130477"/>
    <w:rsid w:val="001309F3"/>
    <w:rsid w:val="00130AC6"/>
    <w:rsid w:val="00130DDA"/>
    <w:rsid w:val="001310CD"/>
    <w:rsid w:val="0013132E"/>
    <w:rsid w:val="0013152F"/>
    <w:rsid w:val="0013167E"/>
    <w:rsid w:val="001317B3"/>
    <w:rsid w:val="00131B00"/>
    <w:rsid w:val="00131CDA"/>
    <w:rsid w:val="00131E7B"/>
    <w:rsid w:val="00132475"/>
    <w:rsid w:val="001324F0"/>
    <w:rsid w:val="0013261A"/>
    <w:rsid w:val="00132D5B"/>
    <w:rsid w:val="00132FF0"/>
    <w:rsid w:val="0013341C"/>
    <w:rsid w:val="0013361E"/>
    <w:rsid w:val="00133891"/>
    <w:rsid w:val="0013393F"/>
    <w:rsid w:val="00133D7A"/>
    <w:rsid w:val="0013409C"/>
    <w:rsid w:val="00134521"/>
    <w:rsid w:val="00134698"/>
    <w:rsid w:val="0013480C"/>
    <w:rsid w:val="00134BFB"/>
    <w:rsid w:val="00134D3C"/>
    <w:rsid w:val="00134FB1"/>
    <w:rsid w:val="00134FC7"/>
    <w:rsid w:val="0013504E"/>
    <w:rsid w:val="00135327"/>
    <w:rsid w:val="001354D1"/>
    <w:rsid w:val="00135C97"/>
    <w:rsid w:val="001366F0"/>
    <w:rsid w:val="00136C0C"/>
    <w:rsid w:val="00137244"/>
    <w:rsid w:val="0013730B"/>
    <w:rsid w:val="001374CF"/>
    <w:rsid w:val="0013767E"/>
    <w:rsid w:val="001379B3"/>
    <w:rsid w:val="00137C60"/>
    <w:rsid w:val="00137CC0"/>
    <w:rsid w:val="00140057"/>
    <w:rsid w:val="0014036F"/>
    <w:rsid w:val="00140570"/>
    <w:rsid w:val="00140618"/>
    <w:rsid w:val="00140960"/>
    <w:rsid w:val="00140C68"/>
    <w:rsid w:val="001413A0"/>
    <w:rsid w:val="001418A7"/>
    <w:rsid w:val="00141950"/>
    <w:rsid w:val="001419AA"/>
    <w:rsid w:val="00141A47"/>
    <w:rsid w:val="00141A9C"/>
    <w:rsid w:val="00141C2A"/>
    <w:rsid w:val="00142007"/>
    <w:rsid w:val="00142092"/>
    <w:rsid w:val="001424AE"/>
    <w:rsid w:val="0014254E"/>
    <w:rsid w:val="001428B8"/>
    <w:rsid w:val="001433BA"/>
    <w:rsid w:val="00143431"/>
    <w:rsid w:val="001439C5"/>
    <w:rsid w:val="00143C7C"/>
    <w:rsid w:val="00143E34"/>
    <w:rsid w:val="001440AF"/>
    <w:rsid w:val="00144209"/>
    <w:rsid w:val="00144839"/>
    <w:rsid w:val="0014486D"/>
    <w:rsid w:val="001449C3"/>
    <w:rsid w:val="00144B8A"/>
    <w:rsid w:val="00144FA5"/>
    <w:rsid w:val="00145017"/>
    <w:rsid w:val="001455AB"/>
    <w:rsid w:val="00145614"/>
    <w:rsid w:val="001456A2"/>
    <w:rsid w:val="001456BA"/>
    <w:rsid w:val="001459F4"/>
    <w:rsid w:val="00145FEB"/>
    <w:rsid w:val="00146051"/>
    <w:rsid w:val="00146548"/>
    <w:rsid w:val="00146AA6"/>
    <w:rsid w:val="00146B9A"/>
    <w:rsid w:val="00146C60"/>
    <w:rsid w:val="00146CC8"/>
    <w:rsid w:val="00146FCC"/>
    <w:rsid w:val="001470A5"/>
    <w:rsid w:val="00147244"/>
    <w:rsid w:val="0014770D"/>
    <w:rsid w:val="00147D67"/>
    <w:rsid w:val="001500AD"/>
    <w:rsid w:val="00150335"/>
    <w:rsid w:val="00150633"/>
    <w:rsid w:val="00150A6A"/>
    <w:rsid w:val="00150AAA"/>
    <w:rsid w:val="00150B13"/>
    <w:rsid w:val="00150B63"/>
    <w:rsid w:val="00150DE5"/>
    <w:rsid w:val="00150E78"/>
    <w:rsid w:val="00150F5A"/>
    <w:rsid w:val="00150FDF"/>
    <w:rsid w:val="00151037"/>
    <w:rsid w:val="0015103C"/>
    <w:rsid w:val="0015106B"/>
    <w:rsid w:val="0015125B"/>
    <w:rsid w:val="0015128A"/>
    <w:rsid w:val="001513B8"/>
    <w:rsid w:val="00151797"/>
    <w:rsid w:val="00151A7B"/>
    <w:rsid w:val="00151ABB"/>
    <w:rsid w:val="00151B4F"/>
    <w:rsid w:val="00151EDB"/>
    <w:rsid w:val="00152051"/>
    <w:rsid w:val="0015223B"/>
    <w:rsid w:val="00152500"/>
    <w:rsid w:val="0015256C"/>
    <w:rsid w:val="001528F7"/>
    <w:rsid w:val="00152B3A"/>
    <w:rsid w:val="001531C2"/>
    <w:rsid w:val="0015337C"/>
    <w:rsid w:val="001535D2"/>
    <w:rsid w:val="00153957"/>
    <w:rsid w:val="00153BD5"/>
    <w:rsid w:val="00153EEF"/>
    <w:rsid w:val="00153F41"/>
    <w:rsid w:val="0015440B"/>
    <w:rsid w:val="00154550"/>
    <w:rsid w:val="00154E32"/>
    <w:rsid w:val="00154F25"/>
    <w:rsid w:val="00154F5A"/>
    <w:rsid w:val="00155323"/>
    <w:rsid w:val="001553C4"/>
    <w:rsid w:val="00155A99"/>
    <w:rsid w:val="00155AB6"/>
    <w:rsid w:val="00155C79"/>
    <w:rsid w:val="00155E47"/>
    <w:rsid w:val="00156279"/>
    <w:rsid w:val="0015670B"/>
    <w:rsid w:val="0015680F"/>
    <w:rsid w:val="00157374"/>
    <w:rsid w:val="00157582"/>
    <w:rsid w:val="0015784C"/>
    <w:rsid w:val="0016020B"/>
    <w:rsid w:val="001605C2"/>
    <w:rsid w:val="00160751"/>
    <w:rsid w:val="00160889"/>
    <w:rsid w:val="00160928"/>
    <w:rsid w:val="00160E9E"/>
    <w:rsid w:val="00160F79"/>
    <w:rsid w:val="0016112E"/>
    <w:rsid w:val="00161148"/>
    <w:rsid w:val="00162061"/>
    <w:rsid w:val="00162238"/>
    <w:rsid w:val="001622A2"/>
    <w:rsid w:val="001628EF"/>
    <w:rsid w:val="00162CB0"/>
    <w:rsid w:val="00162DE1"/>
    <w:rsid w:val="00162F5F"/>
    <w:rsid w:val="00163041"/>
    <w:rsid w:val="001632CD"/>
    <w:rsid w:val="00163642"/>
    <w:rsid w:val="00163B92"/>
    <w:rsid w:val="00163BC0"/>
    <w:rsid w:val="00163D56"/>
    <w:rsid w:val="00163E2B"/>
    <w:rsid w:val="001641B2"/>
    <w:rsid w:val="001642B8"/>
    <w:rsid w:val="00164871"/>
    <w:rsid w:val="00164C33"/>
    <w:rsid w:val="00164FF8"/>
    <w:rsid w:val="001650E5"/>
    <w:rsid w:val="00165447"/>
    <w:rsid w:val="001655B5"/>
    <w:rsid w:val="00165CB2"/>
    <w:rsid w:val="00166F00"/>
    <w:rsid w:val="00166F29"/>
    <w:rsid w:val="00167025"/>
    <w:rsid w:val="0016718C"/>
    <w:rsid w:val="001671D6"/>
    <w:rsid w:val="001674C4"/>
    <w:rsid w:val="001674D6"/>
    <w:rsid w:val="001677CF"/>
    <w:rsid w:val="00167A21"/>
    <w:rsid w:val="00167A33"/>
    <w:rsid w:val="00167D65"/>
    <w:rsid w:val="00167D66"/>
    <w:rsid w:val="00167E85"/>
    <w:rsid w:val="00167FB6"/>
    <w:rsid w:val="00170559"/>
    <w:rsid w:val="0017076F"/>
    <w:rsid w:val="00170849"/>
    <w:rsid w:val="001709C6"/>
    <w:rsid w:val="00170BD4"/>
    <w:rsid w:val="00170C1B"/>
    <w:rsid w:val="00170D36"/>
    <w:rsid w:val="00170E0E"/>
    <w:rsid w:val="00170ED3"/>
    <w:rsid w:val="00170FA2"/>
    <w:rsid w:val="0017108B"/>
    <w:rsid w:val="001711B7"/>
    <w:rsid w:val="00171314"/>
    <w:rsid w:val="001714A2"/>
    <w:rsid w:val="00171A13"/>
    <w:rsid w:val="00171DEB"/>
    <w:rsid w:val="00171E9A"/>
    <w:rsid w:val="00172447"/>
    <w:rsid w:val="00172796"/>
    <w:rsid w:val="0017286F"/>
    <w:rsid w:val="00172968"/>
    <w:rsid w:val="00172CD1"/>
    <w:rsid w:val="00173062"/>
    <w:rsid w:val="001730F4"/>
    <w:rsid w:val="001736C8"/>
    <w:rsid w:val="00173760"/>
    <w:rsid w:val="001737A8"/>
    <w:rsid w:val="00173972"/>
    <w:rsid w:val="00173DC3"/>
    <w:rsid w:val="00173E24"/>
    <w:rsid w:val="00173F9D"/>
    <w:rsid w:val="0017445E"/>
    <w:rsid w:val="001745DF"/>
    <w:rsid w:val="001746C9"/>
    <w:rsid w:val="0017478D"/>
    <w:rsid w:val="00174A70"/>
    <w:rsid w:val="00174D3A"/>
    <w:rsid w:val="00174D40"/>
    <w:rsid w:val="00174EAB"/>
    <w:rsid w:val="0017536B"/>
    <w:rsid w:val="00175469"/>
    <w:rsid w:val="001755BB"/>
    <w:rsid w:val="00175CED"/>
    <w:rsid w:val="00175FC1"/>
    <w:rsid w:val="00175FCD"/>
    <w:rsid w:val="00175FFD"/>
    <w:rsid w:val="001764A4"/>
    <w:rsid w:val="00176790"/>
    <w:rsid w:val="001772EB"/>
    <w:rsid w:val="001773DA"/>
    <w:rsid w:val="00177A1C"/>
    <w:rsid w:val="0018038B"/>
    <w:rsid w:val="001804A0"/>
    <w:rsid w:val="00180575"/>
    <w:rsid w:val="00180635"/>
    <w:rsid w:val="00180715"/>
    <w:rsid w:val="00180FC3"/>
    <w:rsid w:val="001812FF"/>
    <w:rsid w:val="00181304"/>
    <w:rsid w:val="0018163F"/>
    <w:rsid w:val="00181651"/>
    <w:rsid w:val="0018165F"/>
    <w:rsid w:val="0018175E"/>
    <w:rsid w:val="001817C0"/>
    <w:rsid w:val="00181A2F"/>
    <w:rsid w:val="00181B00"/>
    <w:rsid w:val="00181B28"/>
    <w:rsid w:val="00181B98"/>
    <w:rsid w:val="00181C94"/>
    <w:rsid w:val="00181D18"/>
    <w:rsid w:val="0018252B"/>
    <w:rsid w:val="00182AE0"/>
    <w:rsid w:val="001834A0"/>
    <w:rsid w:val="001834F5"/>
    <w:rsid w:val="0018381F"/>
    <w:rsid w:val="00183822"/>
    <w:rsid w:val="001838CB"/>
    <w:rsid w:val="00183B69"/>
    <w:rsid w:val="00183D7C"/>
    <w:rsid w:val="00184089"/>
    <w:rsid w:val="00184092"/>
    <w:rsid w:val="001840E0"/>
    <w:rsid w:val="0018428A"/>
    <w:rsid w:val="0018428C"/>
    <w:rsid w:val="001842D2"/>
    <w:rsid w:val="001844F8"/>
    <w:rsid w:val="001847C4"/>
    <w:rsid w:val="00184985"/>
    <w:rsid w:val="00184AE0"/>
    <w:rsid w:val="00184C8E"/>
    <w:rsid w:val="0018576B"/>
    <w:rsid w:val="001857C9"/>
    <w:rsid w:val="00185FD9"/>
    <w:rsid w:val="0018629F"/>
    <w:rsid w:val="001862A5"/>
    <w:rsid w:val="001867EA"/>
    <w:rsid w:val="00186C15"/>
    <w:rsid w:val="00186FB7"/>
    <w:rsid w:val="001877C7"/>
    <w:rsid w:val="001879E5"/>
    <w:rsid w:val="001902D4"/>
    <w:rsid w:val="00190388"/>
    <w:rsid w:val="00190642"/>
    <w:rsid w:val="001908BB"/>
    <w:rsid w:val="00190C17"/>
    <w:rsid w:val="00190EB7"/>
    <w:rsid w:val="001911B4"/>
    <w:rsid w:val="00191257"/>
    <w:rsid w:val="00191300"/>
    <w:rsid w:val="00191457"/>
    <w:rsid w:val="00191612"/>
    <w:rsid w:val="001916BB"/>
    <w:rsid w:val="001916BE"/>
    <w:rsid w:val="0019180F"/>
    <w:rsid w:val="00191B3E"/>
    <w:rsid w:val="00191E94"/>
    <w:rsid w:val="0019230B"/>
    <w:rsid w:val="00192582"/>
    <w:rsid w:val="00192643"/>
    <w:rsid w:val="00192766"/>
    <w:rsid w:val="00192D67"/>
    <w:rsid w:val="00192E8A"/>
    <w:rsid w:val="0019304F"/>
    <w:rsid w:val="001930A6"/>
    <w:rsid w:val="00193228"/>
    <w:rsid w:val="0019323A"/>
    <w:rsid w:val="0019323D"/>
    <w:rsid w:val="00193581"/>
    <w:rsid w:val="001935CC"/>
    <w:rsid w:val="0019369D"/>
    <w:rsid w:val="00193BF3"/>
    <w:rsid w:val="00193F02"/>
    <w:rsid w:val="00194139"/>
    <w:rsid w:val="00194314"/>
    <w:rsid w:val="0019449A"/>
    <w:rsid w:val="001945CB"/>
    <w:rsid w:val="001945E7"/>
    <w:rsid w:val="0019466C"/>
    <w:rsid w:val="00194949"/>
    <w:rsid w:val="00194E9A"/>
    <w:rsid w:val="00194EFF"/>
    <w:rsid w:val="001952E6"/>
    <w:rsid w:val="00195484"/>
    <w:rsid w:val="001959C5"/>
    <w:rsid w:val="00195C32"/>
    <w:rsid w:val="00195CE1"/>
    <w:rsid w:val="00195FD6"/>
    <w:rsid w:val="001960E1"/>
    <w:rsid w:val="001965D4"/>
    <w:rsid w:val="00196A78"/>
    <w:rsid w:val="00196C97"/>
    <w:rsid w:val="00196E0D"/>
    <w:rsid w:val="001973B9"/>
    <w:rsid w:val="001976F1"/>
    <w:rsid w:val="00197BE5"/>
    <w:rsid w:val="00197E20"/>
    <w:rsid w:val="00197F32"/>
    <w:rsid w:val="001A0096"/>
    <w:rsid w:val="001A0238"/>
    <w:rsid w:val="001A041B"/>
    <w:rsid w:val="001A056F"/>
    <w:rsid w:val="001A0617"/>
    <w:rsid w:val="001A09CC"/>
    <w:rsid w:val="001A0ADE"/>
    <w:rsid w:val="001A1076"/>
    <w:rsid w:val="001A141B"/>
    <w:rsid w:val="001A14E2"/>
    <w:rsid w:val="001A1558"/>
    <w:rsid w:val="001A183E"/>
    <w:rsid w:val="001A18AF"/>
    <w:rsid w:val="001A1BFD"/>
    <w:rsid w:val="001A1F6C"/>
    <w:rsid w:val="001A2042"/>
    <w:rsid w:val="001A24BB"/>
    <w:rsid w:val="001A2874"/>
    <w:rsid w:val="001A2FB4"/>
    <w:rsid w:val="001A327B"/>
    <w:rsid w:val="001A3387"/>
    <w:rsid w:val="001A35FB"/>
    <w:rsid w:val="001A3A9B"/>
    <w:rsid w:val="001A3BAE"/>
    <w:rsid w:val="001A3BAF"/>
    <w:rsid w:val="001A3CE6"/>
    <w:rsid w:val="001A3E19"/>
    <w:rsid w:val="001A4505"/>
    <w:rsid w:val="001A46AB"/>
    <w:rsid w:val="001A47F8"/>
    <w:rsid w:val="001A48D6"/>
    <w:rsid w:val="001A4DBE"/>
    <w:rsid w:val="001A4EBE"/>
    <w:rsid w:val="001A51AD"/>
    <w:rsid w:val="001A51BC"/>
    <w:rsid w:val="001A53C2"/>
    <w:rsid w:val="001A550D"/>
    <w:rsid w:val="001A587D"/>
    <w:rsid w:val="001A5FF5"/>
    <w:rsid w:val="001A60B8"/>
    <w:rsid w:val="001A61C8"/>
    <w:rsid w:val="001A684B"/>
    <w:rsid w:val="001A69D4"/>
    <w:rsid w:val="001A74EB"/>
    <w:rsid w:val="001A78BE"/>
    <w:rsid w:val="001A78EA"/>
    <w:rsid w:val="001A7F45"/>
    <w:rsid w:val="001B07FF"/>
    <w:rsid w:val="001B0A97"/>
    <w:rsid w:val="001B0AF8"/>
    <w:rsid w:val="001B0C1E"/>
    <w:rsid w:val="001B0C3B"/>
    <w:rsid w:val="001B0CFA"/>
    <w:rsid w:val="001B0ED5"/>
    <w:rsid w:val="001B0FBA"/>
    <w:rsid w:val="001B10B8"/>
    <w:rsid w:val="001B10DE"/>
    <w:rsid w:val="001B1123"/>
    <w:rsid w:val="001B1A78"/>
    <w:rsid w:val="001B1B4B"/>
    <w:rsid w:val="001B1BB3"/>
    <w:rsid w:val="001B1C1A"/>
    <w:rsid w:val="001B1F28"/>
    <w:rsid w:val="001B2348"/>
    <w:rsid w:val="001B2611"/>
    <w:rsid w:val="001B2909"/>
    <w:rsid w:val="001B2A94"/>
    <w:rsid w:val="001B2BB5"/>
    <w:rsid w:val="001B2C1F"/>
    <w:rsid w:val="001B2CA7"/>
    <w:rsid w:val="001B3A6E"/>
    <w:rsid w:val="001B457F"/>
    <w:rsid w:val="001B45F3"/>
    <w:rsid w:val="001B4BA9"/>
    <w:rsid w:val="001B4BB8"/>
    <w:rsid w:val="001B4DE9"/>
    <w:rsid w:val="001B52AD"/>
    <w:rsid w:val="001B63DC"/>
    <w:rsid w:val="001B6460"/>
    <w:rsid w:val="001B65EC"/>
    <w:rsid w:val="001B6A18"/>
    <w:rsid w:val="001B6E2A"/>
    <w:rsid w:val="001B6EE6"/>
    <w:rsid w:val="001B7037"/>
    <w:rsid w:val="001B79EB"/>
    <w:rsid w:val="001B7C01"/>
    <w:rsid w:val="001C008D"/>
    <w:rsid w:val="001C031E"/>
    <w:rsid w:val="001C039E"/>
    <w:rsid w:val="001C0680"/>
    <w:rsid w:val="001C07BA"/>
    <w:rsid w:val="001C08AA"/>
    <w:rsid w:val="001C0A52"/>
    <w:rsid w:val="001C0BDD"/>
    <w:rsid w:val="001C0BED"/>
    <w:rsid w:val="001C0E12"/>
    <w:rsid w:val="001C0F87"/>
    <w:rsid w:val="001C13F1"/>
    <w:rsid w:val="001C1402"/>
    <w:rsid w:val="001C140C"/>
    <w:rsid w:val="001C152A"/>
    <w:rsid w:val="001C1A44"/>
    <w:rsid w:val="001C202B"/>
    <w:rsid w:val="001C2330"/>
    <w:rsid w:val="001C2539"/>
    <w:rsid w:val="001C285E"/>
    <w:rsid w:val="001C29D4"/>
    <w:rsid w:val="001C3015"/>
    <w:rsid w:val="001C326A"/>
    <w:rsid w:val="001C3573"/>
    <w:rsid w:val="001C3C39"/>
    <w:rsid w:val="001C3D37"/>
    <w:rsid w:val="001C3D83"/>
    <w:rsid w:val="001C3FA1"/>
    <w:rsid w:val="001C42F9"/>
    <w:rsid w:val="001C43BA"/>
    <w:rsid w:val="001C4502"/>
    <w:rsid w:val="001C460A"/>
    <w:rsid w:val="001C4792"/>
    <w:rsid w:val="001C4FC5"/>
    <w:rsid w:val="001C4FED"/>
    <w:rsid w:val="001C5082"/>
    <w:rsid w:val="001C5155"/>
    <w:rsid w:val="001C522A"/>
    <w:rsid w:val="001C53B6"/>
    <w:rsid w:val="001C5600"/>
    <w:rsid w:val="001C5670"/>
    <w:rsid w:val="001C567C"/>
    <w:rsid w:val="001C5AFF"/>
    <w:rsid w:val="001C5B29"/>
    <w:rsid w:val="001C5B7C"/>
    <w:rsid w:val="001C5C2D"/>
    <w:rsid w:val="001C6A49"/>
    <w:rsid w:val="001C6E9B"/>
    <w:rsid w:val="001C70AC"/>
    <w:rsid w:val="001C748D"/>
    <w:rsid w:val="001C74FC"/>
    <w:rsid w:val="001C7554"/>
    <w:rsid w:val="001C7977"/>
    <w:rsid w:val="001C7982"/>
    <w:rsid w:val="001C7C71"/>
    <w:rsid w:val="001C7FD3"/>
    <w:rsid w:val="001D0589"/>
    <w:rsid w:val="001D0C10"/>
    <w:rsid w:val="001D0DED"/>
    <w:rsid w:val="001D0F55"/>
    <w:rsid w:val="001D11BC"/>
    <w:rsid w:val="001D1238"/>
    <w:rsid w:val="001D12D0"/>
    <w:rsid w:val="001D172A"/>
    <w:rsid w:val="001D18BC"/>
    <w:rsid w:val="001D1E47"/>
    <w:rsid w:val="001D1EE3"/>
    <w:rsid w:val="001D1EF2"/>
    <w:rsid w:val="001D210B"/>
    <w:rsid w:val="001D23DA"/>
    <w:rsid w:val="001D2584"/>
    <w:rsid w:val="001D27B4"/>
    <w:rsid w:val="001D2C20"/>
    <w:rsid w:val="001D2DCA"/>
    <w:rsid w:val="001D2E7E"/>
    <w:rsid w:val="001D2EE7"/>
    <w:rsid w:val="001D2F23"/>
    <w:rsid w:val="001D2FFE"/>
    <w:rsid w:val="001D302A"/>
    <w:rsid w:val="001D33A1"/>
    <w:rsid w:val="001D37D8"/>
    <w:rsid w:val="001D39A4"/>
    <w:rsid w:val="001D3AF0"/>
    <w:rsid w:val="001D3B33"/>
    <w:rsid w:val="001D3C13"/>
    <w:rsid w:val="001D3DEA"/>
    <w:rsid w:val="001D3DFD"/>
    <w:rsid w:val="001D42F6"/>
    <w:rsid w:val="001D4411"/>
    <w:rsid w:val="001D468A"/>
    <w:rsid w:val="001D48B0"/>
    <w:rsid w:val="001D4CFE"/>
    <w:rsid w:val="001D5331"/>
    <w:rsid w:val="001D5B55"/>
    <w:rsid w:val="001D5BED"/>
    <w:rsid w:val="001D6049"/>
    <w:rsid w:val="001D6197"/>
    <w:rsid w:val="001D6206"/>
    <w:rsid w:val="001D62DE"/>
    <w:rsid w:val="001D6551"/>
    <w:rsid w:val="001D659D"/>
    <w:rsid w:val="001D67E7"/>
    <w:rsid w:val="001D6A8E"/>
    <w:rsid w:val="001D7001"/>
    <w:rsid w:val="001D75A8"/>
    <w:rsid w:val="001D77F7"/>
    <w:rsid w:val="001D7B27"/>
    <w:rsid w:val="001D7C10"/>
    <w:rsid w:val="001E0133"/>
    <w:rsid w:val="001E0331"/>
    <w:rsid w:val="001E0557"/>
    <w:rsid w:val="001E0AEA"/>
    <w:rsid w:val="001E0F4E"/>
    <w:rsid w:val="001E1157"/>
    <w:rsid w:val="001E115D"/>
    <w:rsid w:val="001E118A"/>
    <w:rsid w:val="001E1202"/>
    <w:rsid w:val="001E141D"/>
    <w:rsid w:val="001E1500"/>
    <w:rsid w:val="001E1557"/>
    <w:rsid w:val="001E1623"/>
    <w:rsid w:val="001E167B"/>
    <w:rsid w:val="001E19B2"/>
    <w:rsid w:val="001E1BF2"/>
    <w:rsid w:val="001E1C29"/>
    <w:rsid w:val="001E1C44"/>
    <w:rsid w:val="001E1C95"/>
    <w:rsid w:val="001E1DB7"/>
    <w:rsid w:val="001E1F8A"/>
    <w:rsid w:val="001E2079"/>
    <w:rsid w:val="001E2092"/>
    <w:rsid w:val="001E21C1"/>
    <w:rsid w:val="001E22BA"/>
    <w:rsid w:val="001E246B"/>
    <w:rsid w:val="001E2531"/>
    <w:rsid w:val="001E254F"/>
    <w:rsid w:val="001E2696"/>
    <w:rsid w:val="001E29D1"/>
    <w:rsid w:val="001E2A1F"/>
    <w:rsid w:val="001E2B21"/>
    <w:rsid w:val="001E2F6D"/>
    <w:rsid w:val="001E3040"/>
    <w:rsid w:val="001E34AB"/>
    <w:rsid w:val="001E3576"/>
    <w:rsid w:val="001E35D5"/>
    <w:rsid w:val="001E362E"/>
    <w:rsid w:val="001E36E7"/>
    <w:rsid w:val="001E3AC9"/>
    <w:rsid w:val="001E3B18"/>
    <w:rsid w:val="001E3CAE"/>
    <w:rsid w:val="001E3FD9"/>
    <w:rsid w:val="001E4098"/>
    <w:rsid w:val="001E42D3"/>
    <w:rsid w:val="001E441F"/>
    <w:rsid w:val="001E4438"/>
    <w:rsid w:val="001E4580"/>
    <w:rsid w:val="001E4647"/>
    <w:rsid w:val="001E465E"/>
    <w:rsid w:val="001E46EB"/>
    <w:rsid w:val="001E4747"/>
    <w:rsid w:val="001E47C0"/>
    <w:rsid w:val="001E4881"/>
    <w:rsid w:val="001E497D"/>
    <w:rsid w:val="001E4B64"/>
    <w:rsid w:val="001E4B7E"/>
    <w:rsid w:val="001E4B81"/>
    <w:rsid w:val="001E4BE1"/>
    <w:rsid w:val="001E4DCB"/>
    <w:rsid w:val="001E4E72"/>
    <w:rsid w:val="001E4EB2"/>
    <w:rsid w:val="001E5079"/>
    <w:rsid w:val="001E5392"/>
    <w:rsid w:val="001E562A"/>
    <w:rsid w:val="001E584A"/>
    <w:rsid w:val="001E5989"/>
    <w:rsid w:val="001E633A"/>
    <w:rsid w:val="001E63E4"/>
    <w:rsid w:val="001E6640"/>
    <w:rsid w:val="001E6830"/>
    <w:rsid w:val="001E6835"/>
    <w:rsid w:val="001E6884"/>
    <w:rsid w:val="001E6D3D"/>
    <w:rsid w:val="001E7205"/>
    <w:rsid w:val="001E75BC"/>
    <w:rsid w:val="001E7872"/>
    <w:rsid w:val="001E79F1"/>
    <w:rsid w:val="001E7C5D"/>
    <w:rsid w:val="001E7E62"/>
    <w:rsid w:val="001F04C5"/>
    <w:rsid w:val="001F06DA"/>
    <w:rsid w:val="001F082A"/>
    <w:rsid w:val="001F082D"/>
    <w:rsid w:val="001F0D31"/>
    <w:rsid w:val="001F0DC4"/>
    <w:rsid w:val="001F1322"/>
    <w:rsid w:val="001F13CB"/>
    <w:rsid w:val="001F16A8"/>
    <w:rsid w:val="001F1915"/>
    <w:rsid w:val="001F1A35"/>
    <w:rsid w:val="001F20F2"/>
    <w:rsid w:val="001F2233"/>
    <w:rsid w:val="001F247E"/>
    <w:rsid w:val="001F2545"/>
    <w:rsid w:val="001F2608"/>
    <w:rsid w:val="001F28E6"/>
    <w:rsid w:val="001F2960"/>
    <w:rsid w:val="001F2B9C"/>
    <w:rsid w:val="001F2CA6"/>
    <w:rsid w:val="001F2D02"/>
    <w:rsid w:val="001F2E34"/>
    <w:rsid w:val="001F30BC"/>
    <w:rsid w:val="001F3238"/>
    <w:rsid w:val="001F3BD7"/>
    <w:rsid w:val="001F3D8F"/>
    <w:rsid w:val="001F3F8B"/>
    <w:rsid w:val="001F43BA"/>
    <w:rsid w:val="001F4969"/>
    <w:rsid w:val="001F4DAC"/>
    <w:rsid w:val="001F53D3"/>
    <w:rsid w:val="001F569E"/>
    <w:rsid w:val="001F5A0D"/>
    <w:rsid w:val="001F5C13"/>
    <w:rsid w:val="001F5C90"/>
    <w:rsid w:val="001F5D0A"/>
    <w:rsid w:val="001F5D12"/>
    <w:rsid w:val="001F5DDE"/>
    <w:rsid w:val="001F5DFC"/>
    <w:rsid w:val="001F626E"/>
    <w:rsid w:val="001F686D"/>
    <w:rsid w:val="001F6BB0"/>
    <w:rsid w:val="001F6BBB"/>
    <w:rsid w:val="001F6F4A"/>
    <w:rsid w:val="001F708D"/>
    <w:rsid w:val="001F7147"/>
    <w:rsid w:val="001F71B1"/>
    <w:rsid w:val="001F75B8"/>
    <w:rsid w:val="001F7701"/>
    <w:rsid w:val="001F7FB1"/>
    <w:rsid w:val="002000FD"/>
    <w:rsid w:val="002001E1"/>
    <w:rsid w:val="002002B0"/>
    <w:rsid w:val="00200FB9"/>
    <w:rsid w:val="00201303"/>
    <w:rsid w:val="002014E3"/>
    <w:rsid w:val="0020155A"/>
    <w:rsid w:val="0020157A"/>
    <w:rsid w:val="002015BE"/>
    <w:rsid w:val="00201800"/>
    <w:rsid w:val="00201D7A"/>
    <w:rsid w:val="0020215B"/>
    <w:rsid w:val="002021E1"/>
    <w:rsid w:val="0020257B"/>
    <w:rsid w:val="00202910"/>
    <w:rsid w:val="00202B6F"/>
    <w:rsid w:val="00202BE7"/>
    <w:rsid w:val="00202D8C"/>
    <w:rsid w:val="0020302B"/>
    <w:rsid w:val="00203036"/>
    <w:rsid w:val="00203243"/>
    <w:rsid w:val="002035C4"/>
    <w:rsid w:val="002036C8"/>
    <w:rsid w:val="00203B7C"/>
    <w:rsid w:val="00203BB9"/>
    <w:rsid w:val="00203E74"/>
    <w:rsid w:val="00203E77"/>
    <w:rsid w:val="00204387"/>
    <w:rsid w:val="002044CC"/>
    <w:rsid w:val="00204A25"/>
    <w:rsid w:val="00204BB1"/>
    <w:rsid w:val="00204C08"/>
    <w:rsid w:val="00204CAE"/>
    <w:rsid w:val="00204DEA"/>
    <w:rsid w:val="00204E60"/>
    <w:rsid w:val="00204F57"/>
    <w:rsid w:val="00205155"/>
    <w:rsid w:val="002052DD"/>
    <w:rsid w:val="002057DE"/>
    <w:rsid w:val="002057E6"/>
    <w:rsid w:val="00205875"/>
    <w:rsid w:val="00205CAF"/>
    <w:rsid w:val="00205CF7"/>
    <w:rsid w:val="00205FDA"/>
    <w:rsid w:val="00206123"/>
    <w:rsid w:val="002062DA"/>
    <w:rsid w:val="00206314"/>
    <w:rsid w:val="002067CB"/>
    <w:rsid w:val="00206D75"/>
    <w:rsid w:val="0020712B"/>
    <w:rsid w:val="00207316"/>
    <w:rsid w:val="00207350"/>
    <w:rsid w:val="002075DC"/>
    <w:rsid w:val="00207649"/>
    <w:rsid w:val="002079F1"/>
    <w:rsid w:val="00207B0D"/>
    <w:rsid w:val="00207B4F"/>
    <w:rsid w:val="00207BDE"/>
    <w:rsid w:val="00207D1B"/>
    <w:rsid w:val="00207E22"/>
    <w:rsid w:val="002101E0"/>
    <w:rsid w:val="00210261"/>
    <w:rsid w:val="002106D1"/>
    <w:rsid w:val="0021088F"/>
    <w:rsid w:val="00210976"/>
    <w:rsid w:val="00210B1A"/>
    <w:rsid w:val="00210C65"/>
    <w:rsid w:val="00210DCD"/>
    <w:rsid w:val="00210F81"/>
    <w:rsid w:val="0021136A"/>
    <w:rsid w:val="0021140F"/>
    <w:rsid w:val="002114CA"/>
    <w:rsid w:val="00211892"/>
    <w:rsid w:val="00211BB4"/>
    <w:rsid w:val="00211C0C"/>
    <w:rsid w:val="00211D04"/>
    <w:rsid w:val="002123D9"/>
    <w:rsid w:val="002123F4"/>
    <w:rsid w:val="00212521"/>
    <w:rsid w:val="0021257A"/>
    <w:rsid w:val="002125DC"/>
    <w:rsid w:val="00212737"/>
    <w:rsid w:val="00212AC1"/>
    <w:rsid w:val="00212AEC"/>
    <w:rsid w:val="00212C72"/>
    <w:rsid w:val="00212F28"/>
    <w:rsid w:val="00213137"/>
    <w:rsid w:val="002134FA"/>
    <w:rsid w:val="00213C85"/>
    <w:rsid w:val="002142E2"/>
    <w:rsid w:val="002146F5"/>
    <w:rsid w:val="00214771"/>
    <w:rsid w:val="00214AB0"/>
    <w:rsid w:val="00214BBB"/>
    <w:rsid w:val="00214D62"/>
    <w:rsid w:val="00214D68"/>
    <w:rsid w:val="00214EE2"/>
    <w:rsid w:val="0021520B"/>
    <w:rsid w:val="00215259"/>
    <w:rsid w:val="00215277"/>
    <w:rsid w:val="0021536A"/>
    <w:rsid w:val="002153D7"/>
    <w:rsid w:val="002154A7"/>
    <w:rsid w:val="0021554E"/>
    <w:rsid w:val="00215607"/>
    <w:rsid w:val="002158EA"/>
    <w:rsid w:val="002159BE"/>
    <w:rsid w:val="00215A1A"/>
    <w:rsid w:val="00215C42"/>
    <w:rsid w:val="00215E66"/>
    <w:rsid w:val="002164DB"/>
    <w:rsid w:val="0021656D"/>
    <w:rsid w:val="002166AF"/>
    <w:rsid w:val="0021672F"/>
    <w:rsid w:val="00217068"/>
    <w:rsid w:val="0021727A"/>
    <w:rsid w:val="0021744C"/>
    <w:rsid w:val="00217763"/>
    <w:rsid w:val="00217B2D"/>
    <w:rsid w:val="00217B38"/>
    <w:rsid w:val="00217F0F"/>
    <w:rsid w:val="00220297"/>
    <w:rsid w:val="00220681"/>
    <w:rsid w:val="00220741"/>
    <w:rsid w:val="00220C21"/>
    <w:rsid w:val="00220CB7"/>
    <w:rsid w:val="00221829"/>
    <w:rsid w:val="00221C2B"/>
    <w:rsid w:val="00221F30"/>
    <w:rsid w:val="00221FFB"/>
    <w:rsid w:val="00222121"/>
    <w:rsid w:val="002224D4"/>
    <w:rsid w:val="00222CA1"/>
    <w:rsid w:val="00222DA2"/>
    <w:rsid w:val="00223438"/>
    <w:rsid w:val="002239CB"/>
    <w:rsid w:val="00223E2E"/>
    <w:rsid w:val="00224046"/>
    <w:rsid w:val="0022409A"/>
    <w:rsid w:val="00224333"/>
    <w:rsid w:val="00224417"/>
    <w:rsid w:val="00224A5F"/>
    <w:rsid w:val="00224C97"/>
    <w:rsid w:val="00225145"/>
    <w:rsid w:val="002251BA"/>
    <w:rsid w:val="00225314"/>
    <w:rsid w:val="00225433"/>
    <w:rsid w:val="00225491"/>
    <w:rsid w:val="002254BE"/>
    <w:rsid w:val="0022562C"/>
    <w:rsid w:val="002256D3"/>
    <w:rsid w:val="002259BC"/>
    <w:rsid w:val="00226029"/>
    <w:rsid w:val="00226545"/>
    <w:rsid w:val="002266A5"/>
    <w:rsid w:val="002267D6"/>
    <w:rsid w:val="002269B9"/>
    <w:rsid w:val="00227062"/>
    <w:rsid w:val="002271A7"/>
    <w:rsid w:val="002275F4"/>
    <w:rsid w:val="00227AE9"/>
    <w:rsid w:val="00227B9E"/>
    <w:rsid w:val="00227BD6"/>
    <w:rsid w:val="00227D0A"/>
    <w:rsid w:val="002303B1"/>
    <w:rsid w:val="00230451"/>
    <w:rsid w:val="002305B9"/>
    <w:rsid w:val="00230621"/>
    <w:rsid w:val="00230623"/>
    <w:rsid w:val="002307E1"/>
    <w:rsid w:val="00230A8E"/>
    <w:rsid w:val="00230C1A"/>
    <w:rsid w:val="002314E7"/>
    <w:rsid w:val="00231530"/>
    <w:rsid w:val="002318AF"/>
    <w:rsid w:val="00231F5C"/>
    <w:rsid w:val="002321C1"/>
    <w:rsid w:val="002329DF"/>
    <w:rsid w:val="00232BC7"/>
    <w:rsid w:val="00232F8F"/>
    <w:rsid w:val="00232FED"/>
    <w:rsid w:val="00233026"/>
    <w:rsid w:val="002330CC"/>
    <w:rsid w:val="002332EB"/>
    <w:rsid w:val="002334EC"/>
    <w:rsid w:val="0023351D"/>
    <w:rsid w:val="0023397D"/>
    <w:rsid w:val="00233FC8"/>
    <w:rsid w:val="002344FB"/>
    <w:rsid w:val="0023481B"/>
    <w:rsid w:val="00234852"/>
    <w:rsid w:val="00234A26"/>
    <w:rsid w:val="00234B8C"/>
    <w:rsid w:val="00234C23"/>
    <w:rsid w:val="00234D4B"/>
    <w:rsid w:val="00235215"/>
    <w:rsid w:val="002353A3"/>
    <w:rsid w:val="00235655"/>
    <w:rsid w:val="00235930"/>
    <w:rsid w:val="00235A22"/>
    <w:rsid w:val="00235E1C"/>
    <w:rsid w:val="00235E92"/>
    <w:rsid w:val="0023612D"/>
    <w:rsid w:val="002365F6"/>
    <w:rsid w:val="00236636"/>
    <w:rsid w:val="00236791"/>
    <w:rsid w:val="002369C7"/>
    <w:rsid w:val="00236A87"/>
    <w:rsid w:val="00236C70"/>
    <w:rsid w:val="00237025"/>
    <w:rsid w:val="00237297"/>
    <w:rsid w:val="002372CD"/>
    <w:rsid w:val="0023736C"/>
    <w:rsid w:val="0023738F"/>
    <w:rsid w:val="0023740E"/>
    <w:rsid w:val="0023768E"/>
    <w:rsid w:val="00237791"/>
    <w:rsid w:val="00237B0C"/>
    <w:rsid w:val="00237C14"/>
    <w:rsid w:val="00240262"/>
    <w:rsid w:val="002402F3"/>
    <w:rsid w:val="002409CD"/>
    <w:rsid w:val="00240C57"/>
    <w:rsid w:val="00240DC4"/>
    <w:rsid w:val="00240EC8"/>
    <w:rsid w:val="00240EE4"/>
    <w:rsid w:val="00240F3D"/>
    <w:rsid w:val="002411F8"/>
    <w:rsid w:val="00241259"/>
    <w:rsid w:val="0024168F"/>
    <w:rsid w:val="00241690"/>
    <w:rsid w:val="002416D6"/>
    <w:rsid w:val="00241F99"/>
    <w:rsid w:val="00242040"/>
    <w:rsid w:val="002420AC"/>
    <w:rsid w:val="00242155"/>
    <w:rsid w:val="002421CF"/>
    <w:rsid w:val="002422BB"/>
    <w:rsid w:val="0024243D"/>
    <w:rsid w:val="0024246B"/>
    <w:rsid w:val="002424FA"/>
    <w:rsid w:val="002425DE"/>
    <w:rsid w:val="00242679"/>
    <w:rsid w:val="00242758"/>
    <w:rsid w:val="0024296A"/>
    <w:rsid w:val="00242D2E"/>
    <w:rsid w:val="00242F8B"/>
    <w:rsid w:val="00243222"/>
    <w:rsid w:val="00243321"/>
    <w:rsid w:val="00243712"/>
    <w:rsid w:val="00243786"/>
    <w:rsid w:val="002438A0"/>
    <w:rsid w:val="002438C2"/>
    <w:rsid w:val="00243AE0"/>
    <w:rsid w:val="00243ECB"/>
    <w:rsid w:val="0024429B"/>
    <w:rsid w:val="00244372"/>
    <w:rsid w:val="0024474C"/>
    <w:rsid w:val="00244983"/>
    <w:rsid w:val="00244E68"/>
    <w:rsid w:val="002452E9"/>
    <w:rsid w:val="00245784"/>
    <w:rsid w:val="002457F1"/>
    <w:rsid w:val="002458E1"/>
    <w:rsid w:val="00245ACA"/>
    <w:rsid w:val="00245EE2"/>
    <w:rsid w:val="00245F0D"/>
    <w:rsid w:val="00246398"/>
    <w:rsid w:val="0024651F"/>
    <w:rsid w:val="00246903"/>
    <w:rsid w:val="002469D9"/>
    <w:rsid w:val="00246CC4"/>
    <w:rsid w:val="00246EBB"/>
    <w:rsid w:val="00247776"/>
    <w:rsid w:val="002479A8"/>
    <w:rsid w:val="00247FAD"/>
    <w:rsid w:val="00250100"/>
    <w:rsid w:val="002503BD"/>
    <w:rsid w:val="00250464"/>
    <w:rsid w:val="00250492"/>
    <w:rsid w:val="00250677"/>
    <w:rsid w:val="002508C2"/>
    <w:rsid w:val="002509A3"/>
    <w:rsid w:val="00250C76"/>
    <w:rsid w:val="0025114B"/>
    <w:rsid w:val="002512B0"/>
    <w:rsid w:val="0025154A"/>
    <w:rsid w:val="002515C8"/>
    <w:rsid w:val="00251938"/>
    <w:rsid w:val="00251A29"/>
    <w:rsid w:val="00251C19"/>
    <w:rsid w:val="00251F4F"/>
    <w:rsid w:val="002520E8"/>
    <w:rsid w:val="0025218D"/>
    <w:rsid w:val="002528FB"/>
    <w:rsid w:val="0025292F"/>
    <w:rsid w:val="00252D1A"/>
    <w:rsid w:val="00253038"/>
    <w:rsid w:val="00253173"/>
    <w:rsid w:val="00253437"/>
    <w:rsid w:val="0025344C"/>
    <w:rsid w:val="00253506"/>
    <w:rsid w:val="002535AB"/>
    <w:rsid w:val="00253812"/>
    <w:rsid w:val="00253E44"/>
    <w:rsid w:val="00253EE4"/>
    <w:rsid w:val="00253F0A"/>
    <w:rsid w:val="00254026"/>
    <w:rsid w:val="002541C8"/>
    <w:rsid w:val="00254282"/>
    <w:rsid w:val="00254681"/>
    <w:rsid w:val="00254732"/>
    <w:rsid w:val="002548AC"/>
    <w:rsid w:val="002549A2"/>
    <w:rsid w:val="00254D06"/>
    <w:rsid w:val="00254EAD"/>
    <w:rsid w:val="00254F72"/>
    <w:rsid w:val="002550DA"/>
    <w:rsid w:val="00255119"/>
    <w:rsid w:val="002552C9"/>
    <w:rsid w:val="002553E3"/>
    <w:rsid w:val="00255C4F"/>
    <w:rsid w:val="00255F7F"/>
    <w:rsid w:val="0025601E"/>
    <w:rsid w:val="002560E2"/>
    <w:rsid w:val="00256184"/>
    <w:rsid w:val="002566B4"/>
    <w:rsid w:val="00256784"/>
    <w:rsid w:val="00256923"/>
    <w:rsid w:val="00256B1C"/>
    <w:rsid w:val="00256FC4"/>
    <w:rsid w:val="00256FC8"/>
    <w:rsid w:val="0025709D"/>
    <w:rsid w:val="0025754A"/>
    <w:rsid w:val="002576FC"/>
    <w:rsid w:val="00257703"/>
    <w:rsid w:val="002578CB"/>
    <w:rsid w:val="00257EEB"/>
    <w:rsid w:val="00260032"/>
    <w:rsid w:val="002601CA"/>
    <w:rsid w:val="002602F5"/>
    <w:rsid w:val="0026034E"/>
    <w:rsid w:val="00260438"/>
    <w:rsid w:val="00260637"/>
    <w:rsid w:val="00260C81"/>
    <w:rsid w:val="00260C82"/>
    <w:rsid w:val="00260CE7"/>
    <w:rsid w:val="0026154D"/>
    <w:rsid w:val="0026181B"/>
    <w:rsid w:val="00261BD1"/>
    <w:rsid w:val="00262263"/>
    <w:rsid w:val="0026231C"/>
    <w:rsid w:val="00262945"/>
    <w:rsid w:val="00262962"/>
    <w:rsid w:val="00262A8F"/>
    <w:rsid w:val="00262E65"/>
    <w:rsid w:val="00262F64"/>
    <w:rsid w:val="0026313C"/>
    <w:rsid w:val="00263170"/>
    <w:rsid w:val="0026363E"/>
    <w:rsid w:val="00263993"/>
    <w:rsid w:val="00263E09"/>
    <w:rsid w:val="00263E28"/>
    <w:rsid w:val="00263E7C"/>
    <w:rsid w:val="0026400A"/>
    <w:rsid w:val="002640D0"/>
    <w:rsid w:val="00264620"/>
    <w:rsid w:val="00264C37"/>
    <w:rsid w:val="00264DD8"/>
    <w:rsid w:val="00264F06"/>
    <w:rsid w:val="00264FA8"/>
    <w:rsid w:val="00265032"/>
    <w:rsid w:val="00265111"/>
    <w:rsid w:val="00265358"/>
    <w:rsid w:val="00265CEE"/>
    <w:rsid w:val="00266092"/>
    <w:rsid w:val="002666F1"/>
    <w:rsid w:val="00266C62"/>
    <w:rsid w:val="002670B8"/>
    <w:rsid w:val="002672A6"/>
    <w:rsid w:val="002672FD"/>
    <w:rsid w:val="00267370"/>
    <w:rsid w:val="00267676"/>
    <w:rsid w:val="0027019E"/>
    <w:rsid w:val="00270220"/>
    <w:rsid w:val="00270308"/>
    <w:rsid w:val="002707B7"/>
    <w:rsid w:val="00270800"/>
    <w:rsid w:val="00270A26"/>
    <w:rsid w:val="00270A2D"/>
    <w:rsid w:val="00270D79"/>
    <w:rsid w:val="00270F86"/>
    <w:rsid w:val="00271206"/>
    <w:rsid w:val="00271696"/>
    <w:rsid w:val="00271955"/>
    <w:rsid w:val="00271EEE"/>
    <w:rsid w:val="002721B8"/>
    <w:rsid w:val="002721BB"/>
    <w:rsid w:val="00272720"/>
    <w:rsid w:val="0027286A"/>
    <w:rsid w:val="00272AF8"/>
    <w:rsid w:val="00272B99"/>
    <w:rsid w:val="00272C4C"/>
    <w:rsid w:val="00272FD6"/>
    <w:rsid w:val="00272FEA"/>
    <w:rsid w:val="0027352F"/>
    <w:rsid w:val="002738A3"/>
    <w:rsid w:val="00273A91"/>
    <w:rsid w:val="00273AD7"/>
    <w:rsid w:val="00273AE8"/>
    <w:rsid w:val="00273D10"/>
    <w:rsid w:val="002741EC"/>
    <w:rsid w:val="002742D0"/>
    <w:rsid w:val="0027478F"/>
    <w:rsid w:val="00274AA4"/>
    <w:rsid w:val="00274F8A"/>
    <w:rsid w:val="00275156"/>
    <w:rsid w:val="00275A61"/>
    <w:rsid w:val="00275DB9"/>
    <w:rsid w:val="00275E14"/>
    <w:rsid w:val="00275E4A"/>
    <w:rsid w:val="00275F0B"/>
    <w:rsid w:val="00276192"/>
    <w:rsid w:val="0027620B"/>
    <w:rsid w:val="00277158"/>
    <w:rsid w:val="002779F2"/>
    <w:rsid w:val="00277BAF"/>
    <w:rsid w:val="00277CA4"/>
    <w:rsid w:val="00277D51"/>
    <w:rsid w:val="00277EA3"/>
    <w:rsid w:val="00277FEB"/>
    <w:rsid w:val="002806F8"/>
    <w:rsid w:val="002807A2"/>
    <w:rsid w:val="0028088B"/>
    <w:rsid w:val="0028105B"/>
    <w:rsid w:val="00281223"/>
    <w:rsid w:val="00281ABD"/>
    <w:rsid w:val="00281CBA"/>
    <w:rsid w:val="00281D39"/>
    <w:rsid w:val="0028235D"/>
    <w:rsid w:val="0028282F"/>
    <w:rsid w:val="00282870"/>
    <w:rsid w:val="00282935"/>
    <w:rsid w:val="00283250"/>
    <w:rsid w:val="002833C2"/>
    <w:rsid w:val="0028341F"/>
    <w:rsid w:val="00283571"/>
    <w:rsid w:val="00283759"/>
    <w:rsid w:val="00283CED"/>
    <w:rsid w:val="00283FBE"/>
    <w:rsid w:val="00284128"/>
    <w:rsid w:val="0028452F"/>
    <w:rsid w:val="002846A3"/>
    <w:rsid w:val="00284819"/>
    <w:rsid w:val="00284B2E"/>
    <w:rsid w:val="00285372"/>
    <w:rsid w:val="00285419"/>
    <w:rsid w:val="00285719"/>
    <w:rsid w:val="00285B20"/>
    <w:rsid w:val="00285D56"/>
    <w:rsid w:val="00285EAD"/>
    <w:rsid w:val="00285FD5"/>
    <w:rsid w:val="002860A1"/>
    <w:rsid w:val="00286A8C"/>
    <w:rsid w:val="00287439"/>
    <w:rsid w:val="00287B9B"/>
    <w:rsid w:val="00287D93"/>
    <w:rsid w:val="0029027B"/>
    <w:rsid w:val="00290367"/>
    <w:rsid w:val="002908F3"/>
    <w:rsid w:val="00290D97"/>
    <w:rsid w:val="00290F30"/>
    <w:rsid w:val="002910EB"/>
    <w:rsid w:val="002917E6"/>
    <w:rsid w:val="0029183F"/>
    <w:rsid w:val="00291B42"/>
    <w:rsid w:val="00291D74"/>
    <w:rsid w:val="00291E29"/>
    <w:rsid w:val="00291EAA"/>
    <w:rsid w:val="00291FD6"/>
    <w:rsid w:val="002920FA"/>
    <w:rsid w:val="0029282A"/>
    <w:rsid w:val="002928DA"/>
    <w:rsid w:val="002928E4"/>
    <w:rsid w:val="00292B6E"/>
    <w:rsid w:val="00292B7A"/>
    <w:rsid w:val="00292BF8"/>
    <w:rsid w:val="00292CC0"/>
    <w:rsid w:val="002930A1"/>
    <w:rsid w:val="002932C4"/>
    <w:rsid w:val="00293331"/>
    <w:rsid w:val="00293384"/>
    <w:rsid w:val="002934C8"/>
    <w:rsid w:val="00293D81"/>
    <w:rsid w:val="002942DB"/>
    <w:rsid w:val="00294469"/>
    <w:rsid w:val="002945DE"/>
    <w:rsid w:val="00294669"/>
    <w:rsid w:val="002948F3"/>
    <w:rsid w:val="00294988"/>
    <w:rsid w:val="00294AE6"/>
    <w:rsid w:val="00294DED"/>
    <w:rsid w:val="00295488"/>
    <w:rsid w:val="002955A3"/>
    <w:rsid w:val="00295672"/>
    <w:rsid w:val="00295BBB"/>
    <w:rsid w:val="00295C65"/>
    <w:rsid w:val="00295D96"/>
    <w:rsid w:val="00295E3E"/>
    <w:rsid w:val="0029615E"/>
    <w:rsid w:val="00296213"/>
    <w:rsid w:val="00296BC7"/>
    <w:rsid w:val="00296D7E"/>
    <w:rsid w:val="00296DD1"/>
    <w:rsid w:val="00296EBD"/>
    <w:rsid w:val="00297069"/>
    <w:rsid w:val="00297158"/>
    <w:rsid w:val="00297240"/>
    <w:rsid w:val="002979E2"/>
    <w:rsid w:val="00297A8E"/>
    <w:rsid w:val="00297AB5"/>
    <w:rsid w:val="00297F5D"/>
    <w:rsid w:val="002A00F6"/>
    <w:rsid w:val="002A018A"/>
    <w:rsid w:val="002A0288"/>
    <w:rsid w:val="002A045D"/>
    <w:rsid w:val="002A0497"/>
    <w:rsid w:val="002A0774"/>
    <w:rsid w:val="002A0A02"/>
    <w:rsid w:val="002A0B4E"/>
    <w:rsid w:val="002A0DC7"/>
    <w:rsid w:val="002A0DFE"/>
    <w:rsid w:val="002A0E1B"/>
    <w:rsid w:val="002A1025"/>
    <w:rsid w:val="002A131F"/>
    <w:rsid w:val="002A13DA"/>
    <w:rsid w:val="002A14CE"/>
    <w:rsid w:val="002A15C4"/>
    <w:rsid w:val="002A1837"/>
    <w:rsid w:val="002A1844"/>
    <w:rsid w:val="002A1B62"/>
    <w:rsid w:val="002A1F5D"/>
    <w:rsid w:val="002A2998"/>
    <w:rsid w:val="002A29B4"/>
    <w:rsid w:val="002A3503"/>
    <w:rsid w:val="002A3590"/>
    <w:rsid w:val="002A35C6"/>
    <w:rsid w:val="002A3E62"/>
    <w:rsid w:val="002A3FB1"/>
    <w:rsid w:val="002A44C9"/>
    <w:rsid w:val="002A46E1"/>
    <w:rsid w:val="002A4753"/>
    <w:rsid w:val="002A4B51"/>
    <w:rsid w:val="002A4C3C"/>
    <w:rsid w:val="002A4DF4"/>
    <w:rsid w:val="002A4E4C"/>
    <w:rsid w:val="002A4E74"/>
    <w:rsid w:val="002A4EC3"/>
    <w:rsid w:val="002A5391"/>
    <w:rsid w:val="002A549E"/>
    <w:rsid w:val="002A576F"/>
    <w:rsid w:val="002A586A"/>
    <w:rsid w:val="002A684A"/>
    <w:rsid w:val="002A684E"/>
    <w:rsid w:val="002A6AFA"/>
    <w:rsid w:val="002A6F8B"/>
    <w:rsid w:val="002A7121"/>
    <w:rsid w:val="002A7257"/>
    <w:rsid w:val="002A735E"/>
    <w:rsid w:val="002A739D"/>
    <w:rsid w:val="002A7AC0"/>
    <w:rsid w:val="002A7B82"/>
    <w:rsid w:val="002A7FB3"/>
    <w:rsid w:val="002B0066"/>
    <w:rsid w:val="002B0193"/>
    <w:rsid w:val="002B02CB"/>
    <w:rsid w:val="002B0331"/>
    <w:rsid w:val="002B0457"/>
    <w:rsid w:val="002B09D1"/>
    <w:rsid w:val="002B0BE1"/>
    <w:rsid w:val="002B0C89"/>
    <w:rsid w:val="002B0D16"/>
    <w:rsid w:val="002B0E0E"/>
    <w:rsid w:val="002B10FC"/>
    <w:rsid w:val="002B1201"/>
    <w:rsid w:val="002B1550"/>
    <w:rsid w:val="002B1571"/>
    <w:rsid w:val="002B1599"/>
    <w:rsid w:val="002B1647"/>
    <w:rsid w:val="002B168B"/>
    <w:rsid w:val="002B19B9"/>
    <w:rsid w:val="002B19F8"/>
    <w:rsid w:val="002B1C58"/>
    <w:rsid w:val="002B1EC2"/>
    <w:rsid w:val="002B1ED1"/>
    <w:rsid w:val="002B1FEF"/>
    <w:rsid w:val="002B25B9"/>
    <w:rsid w:val="002B2B33"/>
    <w:rsid w:val="002B2D56"/>
    <w:rsid w:val="002B2E7D"/>
    <w:rsid w:val="002B30A9"/>
    <w:rsid w:val="002B310B"/>
    <w:rsid w:val="002B3114"/>
    <w:rsid w:val="002B32C0"/>
    <w:rsid w:val="002B32D2"/>
    <w:rsid w:val="002B3596"/>
    <w:rsid w:val="002B38F3"/>
    <w:rsid w:val="002B3B47"/>
    <w:rsid w:val="002B3DA7"/>
    <w:rsid w:val="002B3E2B"/>
    <w:rsid w:val="002B4146"/>
    <w:rsid w:val="002B4399"/>
    <w:rsid w:val="002B47B2"/>
    <w:rsid w:val="002B4BB4"/>
    <w:rsid w:val="002B4C29"/>
    <w:rsid w:val="002B5040"/>
    <w:rsid w:val="002B5333"/>
    <w:rsid w:val="002B5550"/>
    <w:rsid w:val="002B571B"/>
    <w:rsid w:val="002B5926"/>
    <w:rsid w:val="002B5E08"/>
    <w:rsid w:val="002B5E28"/>
    <w:rsid w:val="002B62E0"/>
    <w:rsid w:val="002B6870"/>
    <w:rsid w:val="002B6D47"/>
    <w:rsid w:val="002B6ECA"/>
    <w:rsid w:val="002B6F2A"/>
    <w:rsid w:val="002B7056"/>
    <w:rsid w:val="002B7342"/>
    <w:rsid w:val="002B76E8"/>
    <w:rsid w:val="002B7710"/>
    <w:rsid w:val="002B779B"/>
    <w:rsid w:val="002B7865"/>
    <w:rsid w:val="002B7A8B"/>
    <w:rsid w:val="002B7AAF"/>
    <w:rsid w:val="002B7B0B"/>
    <w:rsid w:val="002C005E"/>
    <w:rsid w:val="002C011B"/>
    <w:rsid w:val="002C0278"/>
    <w:rsid w:val="002C030F"/>
    <w:rsid w:val="002C061A"/>
    <w:rsid w:val="002C06DE"/>
    <w:rsid w:val="002C07B6"/>
    <w:rsid w:val="002C0829"/>
    <w:rsid w:val="002C08C9"/>
    <w:rsid w:val="002C0922"/>
    <w:rsid w:val="002C1624"/>
    <w:rsid w:val="002C1AEA"/>
    <w:rsid w:val="002C1B10"/>
    <w:rsid w:val="002C206F"/>
    <w:rsid w:val="002C215E"/>
    <w:rsid w:val="002C21D3"/>
    <w:rsid w:val="002C2BBD"/>
    <w:rsid w:val="002C2BD6"/>
    <w:rsid w:val="002C2E1B"/>
    <w:rsid w:val="002C2F3B"/>
    <w:rsid w:val="002C3431"/>
    <w:rsid w:val="002C3671"/>
    <w:rsid w:val="002C37B3"/>
    <w:rsid w:val="002C3897"/>
    <w:rsid w:val="002C39E1"/>
    <w:rsid w:val="002C3B32"/>
    <w:rsid w:val="002C3D72"/>
    <w:rsid w:val="002C3DB4"/>
    <w:rsid w:val="002C3E98"/>
    <w:rsid w:val="002C3EE5"/>
    <w:rsid w:val="002C47D0"/>
    <w:rsid w:val="002C4A24"/>
    <w:rsid w:val="002C4BFB"/>
    <w:rsid w:val="002C4C23"/>
    <w:rsid w:val="002C4D29"/>
    <w:rsid w:val="002C522E"/>
    <w:rsid w:val="002C53FF"/>
    <w:rsid w:val="002C54E6"/>
    <w:rsid w:val="002C569E"/>
    <w:rsid w:val="002C56C8"/>
    <w:rsid w:val="002C56D0"/>
    <w:rsid w:val="002C57E1"/>
    <w:rsid w:val="002C5A5F"/>
    <w:rsid w:val="002C5B1B"/>
    <w:rsid w:val="002C5E2E"/>
    <w:rsid w:val="002C637D"/>
    <w:rsid w:val="002C6E61"/>
    <w:rsid w:val="002C6EE0"/>
    <w:rsid w:val="002C7109"/>
    <w:rsid w:val="002C728C"/>
    <w:rsid w:val="002C72A7"/>
    <w:rsid w:val="002C769D"/>
    <w:rsid w:val="002C7ADD"/>
    <w:rsid w:val="002C7E5C"/>
    <w:rsid w:val="002C7EA8"/>
    <w:rsid w:val="002D03D4"/>
    <w:rsid w:val="002D082B"/>
    <w:rsid w:val="002D09B0"/>
    <w:rsid w:val="002D0AD9"/>
    <w:rsid w:val="002D0AE0"/>
    <w:rsid w:val="002D14D2"/>
    <w:rsid w:val="002D153F"/>
    <w:rsid w:val="002D1D7F"/>
    <w:rsid w:val="002D1FFF"/>
    <w:rsid w:val="002D209D"/>
    <w:rsid w:val="002D21B1"/>
    <w:rsid w:val="002D221A"/>
    <w:rsid w:val="002D2405"/>
    <w:rsid w:val="002D2C26"/>
    <w:rsid w:val="002D2D61"/>
    <w:rsid w:val="002D33A1"/>
    <w:rsid w:val="002D3606"/>
    <w:rsid w:val="002D3612"/>
    <w:rsid w:val="002D3A3C"/>
    <w:rsid w:val="002D3AD9"/>
    <w:rsid w:val="002D3C6F"/>
    <w:rsid w:val="002D3CA4"/>
    <w:rsid w:val="002D3DC1"/>
    <w:rsid w:val="002D4373"/>
    <w:rsid w:val="002D44D0"/>
    <w:rsid w:val="002D4803"/>
    <w:rsid w:val="002D4A3D"/>
    <w:rsid w:val="002D4B6C"/>
    <w:rsid w:val="002D4D76"/>
    <w:rsid w:val="002D4F25"/>
    <w:rsid w:val="002D5027"/>
    <w:rsid w:val="002D5058"/>
    <w:rsid w:val="002D50E6"/>
    <w:rsid w:val="002D5882"/>
    <w:rsid w:val="002D5983"/>
    <w:rsid w:val="002D5CC0"/>
    <w:rsid w:val="002D5D7B"/>
    <w:rsid w:val="002D646D"/>
    <w:rsid w:val="002D64BF"/>
    <w:rsid w:val="002D6540"/>
    <w:rsid w:val="002D6866"/>
    <w:rsid w:val="002D68EA"/>
    <w:rsid w:val="002D7014"/>
    <w:rsid w:val="002D72D8"/>
    <w:rsid w:val="002D739F"/>
    <w:rsid w:val="002D7A57"/>
    <w:rsid w:val="002D7B6B"/>
    <w:rsid w:val="002D7B7B"/>
    <w:rsid w:val="002D7CE1"/>
    <w:rsid w:val="002E0132"/>
    <w:rsid w:val="002E01BB"/>
    <w:rsid w:val="002E0705"/>
    <w:rsid w:val="002E09BA"/>
    <w:rsid w:val="002E0C76"/>
    <w:rsid w:val="002E0D1B"/>
    <w:rsid w:val="002E0FAB"/>
    <w:rsid w:val="002E105D"/>
    <w:rsid w:val="002E1314"/>
    <w:rsid w:val="002E1B00"/>
    <w:rsid w:val="002E1F11"/>
    <w:rsid w:val="002E1F5D"/>
    <w:rsid w:val="002E214E"/>
    <w:rsid w:val="002E2563"/>
    <w:rsid w:val="002E304D"/>
    <w:rsid w:val="002E34B6"/>
    <w:rsid w:val="002E358F"/>
    <w:rsid w:val="002E39E1"/>
    <w:rsid w:val="002E3DA2"/>
    <w:rsid w:val="002E3F12"/>
    <w:rsid w:val="002E3FB7"/>
    <w:rsid w:val="002E4176"/>
    <w:rsid w:val="002E43F6"/>
    <w:rsid w:val="002E4941"/>
    <w:rsid w:val="002E4975"/>
    <w:rsid w:val="002E4C95"/>
    <w:rsid w:val="002E4F99"/>
    <w:rsid w:val="002E50EA"/>
    <w:rsid w:val="002E51DA"/>
    <w:rsid w:val="002E527D"/>
    <w:rsid w:val="002E52C3"/>
    <w:rsid w:val="002E5654"/>
    <w:rsid w:val="002E57AB"/>
    <w:rsid w:val="002E58AA"/>
    <w:rsid w:val="002E58D2"/>
    <w:rsid w:val="002E5989"/>
    <w:rsid w:val="002E5C38"/>
    <w:rsid w:val="002E608C"/>
    <w:rsid w:val="002E62AD"/>
    <w:rsid w:val="002E6676"/>
    <w:rsid w:val="002E69EB"/>
    <w:rsid w:val="002E6E2E"/>
    <w:rsid w:val="002E6E91"/>
    <w:rsid w:val="002E6F45"/>
    <w:rsid w:val="002E7015"/>
    <w:rsid w:val="002E710A"/>
    <w:rsid w:val="002E753D"/>
    <w:rsid w:val="002E7BE8"/>
    <w:rsid w:val="002E7C26"/>
    <w:rsid w:val="002F0082"/>
    <w:rsid w:val="002F0483"/>
    <w:rsid w:val="002F06A6"/>
    <w:rsid w:val="002F0952"/>
    <w:rsid w:val="002F0AAC"/>
    <w:rsid w:val="002F0D3A"/>
    <w:rsid w:val="002F0DC3"/>
    <w:rsid w:val="002F1108"/>
    <w:rsid w:val="002F1422"/>
    <w:rsid w:val="002F162F"/>
    <w:rsid w:val="002F18D0"/>
    <w:rsid w:val="002F1900"/>
    <w:rsid w:val="002F1E54"/>
    <w:rsid w:val="002F2130"/>
    <w:rsid w:val="002F2150"/>
    <w:rsid w:val="002F2518"/>
    <w:rsid w:val="002F26F5"/>
    <w:rsid w:val="002F28C2"/>
    <w:rsid w:val="002F2B33"/>
    <w:rsid w:val="002F2BFD"/>
    <w:rsid w:val="002F2CB0"/>
    <w:rsid w:val="002F3505"/>
    <w:rsid w:val="002F38EF"/>
    <w:rsid w:val="002F3932"/>
    <w:rsid w:val="002F3B71"/>
    <w:rsid w:val="002F3FAF"/>
    <w:rsid w:val="002F40F1"/>
    <w:rsid w:val="002F4146"/>
    <w:rsid w:val="002F41DF"/>
    <w:rsid w:val="002F48E1"/>
    <w:rsid w:val="002F4977"/>
    <w:rsid w:val="002F4B6F"/>
    <w:rsid w:val="002F4C21"/>
    <w:rsid w:val="002F4D6B"/>
    <w:rsid w:val="002F50A0"/>
    <w:rsid w:val="002F5172"/>
    <w:rsid w:val="002F560C"/>
    <w:rsid w:val="002F57EB"/>
    <w:rsid w:val="002F5A35"/>
    <w:rsid w:val="002F5BC8"/>
    <w:rsid w:val="002F5EE5"/>
    <w:rsid w:val="002F61A2"/>
    <w:rsid w:val="002F6356"/>
    <w:rsid w:val="002F662F"/>
    <w:rsid w:val="002F67F2"/>
    <w:rsid w:val="002F6814"/>
    <w:rsid w:val="002F6B51"/>
    <w:rsid w:val="002F6C10"/>
    <w:rsid w:val="002F6EB2"/>
    <w:rsid w:val="002F7016"/>
    <w:rsid w:val="002F7167"/>
    <w:rsid w:val="002F736D"/>
    <w:rsid w:val="002F7378"/>
    <w:rsid w:val="002F74C6"/>
    <w:rsid w:val="002F7A9A"/>
    <w:rsid w:val="002F7E56"/>
    <w:rsid w:val="002F7EA7"/>
    <w:rsid w:val="00300236"/>
    <w:rsid w:val="0030026E"/>
    <w:rsid w:val="00300A2E"/>
    <w:rsid w:val="00300A7D"/>
    <w:rsid w:val="00300C73"/>
    <w:rsid w:val="00301637"/>
    <w:rsid w:val="003016B7"/>
    <w:rsid w:val="00301752"/>
    <w:rsid w:val="00301983"/>
    <w:rsid w:val="00301A61"/>
    <w:rsid w:val="00301E53"/>
    <w:rsid w:val="00301F2F"/>
    <w:rsid w:val="0030250F"/>
    <w:rsid w:val="003025CD"/>
    <w:rsid w:val="003025DF"/>
    <w:rsid w:val="003029A4"/>
    <w:rsid w:val="00302BFE"/>
    <w:rsid w:val="00302FD5"/>
    <w:rsid w:val="00303012"/>
    <w:rsid w:val="00303472"/>
    <w:rsid w:val="00303635"/>
    <w:rsid w:val="00303CCE"/>
    <w:rsid w:val="00303CF7"/>
    <w:rsid w:val="003045A5"/>
    <w:rsid w:val="003045C6"/>
    <w:rsid w:val="00304628"/>
    <w:rsid w:val="00304630"/>
    <w:rsid w:val="003046D1"/>
    <w:rsid w:val="00304CC1"/>
    <w:rsid w:val="00304DF8"/>
    <w:rsid w:val="00304EEB"/>
    <w:rsid w:val="00304F33"/>
    <w:rsid w:val="00305025"/>
    <w:rsid w:val="003054C0"/>
    <w:rsid w:val="00305604"/>
    <w:rsid w:val="0030560D"/>
    <w:rsid w:val="0030593F"/>
    <w:rsid w:val="00305A5C"/>
    <w:rsid w:val="00305D41"/>
    <w:rsid w:val="003060A7"/>
    <w:rsid w:val="003060AD"/>
    <w:rsid w:val="003060C6"/>
    <w:rsid w:val="003062B2"/>
    <w:rsid w:val="00306333"/>
    <w:rsid w:val="00306945"/>
    <w:rsid w:val="00306AF7"/>
    <w:rsid w:val="00306E19"/>
    <w:rsid w:val="00306E83"/>
    <w:rsid w:val="0030717B"/>
    <w:rsid w:val="003072F8"/>
    <w:rsid w:val="0030748A"/>
    <w:rsid w:val="003077D2"/>
    <w:rsid w:val="00307834"/>
    <w:rsid w:val="003079EE"/>
    <w:rsid w:val="00307D50"/>
    <w:rsid w:val="00307DD9"/>
    <w:rsid w:val="00310479"/>
    <w:rsid w:val="003105A6"/>
    <w:rsid w:val="00310C4D"/>
    <w:rsid w:val="00310C85"/>
    <w:rsid w:val="00310E59"/>
    <w:rsid w:val="00310F98"/>
    <w:rsid w:val="00311266"/>
    <w:rsid w:val="003113A9"/>
    <w:rsid w:val="0031155C"/>
    <w:rsid w:val="00311799"/>
    <w:rsid w:val="003117DA"/>
    <w:rsid w:val="00311899"/>
    <w:rsid w:val="00311BDB"/>
    <w:rsid w:val="00311F58"/>
    <w:rsid w:val="00312420"/>
    <w:rsid w:val="00312540"/>
    <w:rsid w:val="00312786"/>
    <w:rsid w:val="00312D87"/>
    <w:rsid w:val="00312EF3"/>
    <w:rsid w:val="00313073"/>
    <w:rsid w:val="00313188"/>
    <w:rsid w:val="003131FA"/>
    <w:rsid w:val="00313209"/>
    <w:rsid w:val="003134FB"/>
    <w:rsid w:val="00313986"/>
    <w:rsid w:val="00313A26"/>
    <w:rsid w:val="00313B2A"/>
    <w:rsid w:val="00313E14"/>
    <w:rsid w:val="003140E8"/>
    <w:rsid w:val="0031486F"/>
    <w:rsid w:val="00314999"/>
    <w:rsid w:val="00314A48"/>
    <w:rsid w:val="00315D86"/>
    <w:rsid w:val="00316CE5"/>
    <w:rsid w:val="00316DA1"/>
    <w:rsid w:val="00316E8F"/>
    <w:rsid w:val="0031728C"/>
    <w:rsid w:val="003173A8"/>
    <w:rsid w:val="003174DE"/>
    <w:rsid w:val="00317A29"/>
    <w:rsid w:val="00317AA0"/>
    <w:rsid w:val="00317ABB"/>
    <w:rsid w:val="00320196"/>
    <w:rsid w:val="00320CC2"/>
    <w:rsid w:val="0032133D"/>
    <w:rsid w:val="0032144D"/>
    <w:rsid w:val="0032196D"/>
    <w:rsid w:val="003223F3"/>
    <w:rsid w:val="003225AD"/>
    <w:rsid w:val="0032297B"/>
    <w:rsid w:val="00322A1D"/>
    <w:rsid w:val="00322B52"/>
    <w:rsid w:val="00322D2A"/>
    <w:rsid w:val="0032306D"/>
    <w:rsid w:val="003230AE"/>
    <w:rsid w:val="00323231"/>
    <w:rsid w:val="00323303"/>
    <w:rsid w:val="00323A19"/>
    <w:rsid w:val="00323AC7"/>
    <w:rsid w:val="00323B3E"/>
    <w:rsid w:val="00323DBB"/>
    <w:rsid w:val="00323E36"/>
    <w:rsid w:val="00323F1D"/>
    <w:rsid w:val="003240F1"/>
    <w:rsid w:val="00324272"/>
    <w:rsid w:val="00324286"/>
    <w:rsid w:val="00324631"/>
    <w:rsid w:val="00324C3F"/>
    <w:rsid w:val="003252F1"/>
    <w:rsid w:val="00325863"/>
    <w:rsid w:val="00325E70"/>
    <w:rsid w:val="00325EBD"/>
    <w:rsid w:val="00325FBC"/>
    <w:rsid w:val="003263D2"/>
    <w:rsid w:val="003263D6"/>
    <w:rsid w:val="003264AE"/>
    <w:rsid w:val="00326877"/>
    <w:rsid w:val="003268B6"/>
    <w:rsid w:val="00326A90"/>
    <w:rsid w:val="00326FCB"/>
    <w:rsid w:val="0032729A"/>
    <w:rsid w:val="003272F4"/>
    <w:rsid w:val="003275E8"/>
    <w:rsid w:val="00327695"/>
    <w:rsid w:val="003276C5"/>
    <w:rsid w:val="00327830"/>
    <w:rsid w:val="00327866"/>
    <w:rsid w:val="00327A63"/>
    <w:rsid w:val="00330081"/>
    <w:rsid w:val="003301E9"/>
    <w:rsid w:val="00330280"/>
    <w:rsid w:val="00330B20"/>
    <w:rsid w:val="00330D43"/>
    <w:rsid w:val="00330D9E"/>
    <w:rsid w:val="00330E40"/>
    <w:rsid w:val="00331093"/>
    <w:rsid w:val="00331336"/>
    <w:rsid w:val="00331989"/>
    <w:rsid w:val="003319C0"/>
    <w:rsid w:val="00331A68"/>
    <w:rsid w:val="00332225"/>
    <w:rsid w:val="00332625"/>
    <w:rsid w:val="00332649"/>
    <w:rsid w:val="00332835"/>
    <w:rsid w:val="0033285C"/>
    <w:rsid w:val="00332956"/>
    <w:rsid w:val="00332AD5"/>
    <w:rsid w:val="00332C41"/>
    <w:rsid w:val="00333042"/>
    <w:rsid w:val="00333AB7"/>
    <w:rsid w:val="0033403A"/>
    <w:rsid w:val="0033426C"/>
    <w:rsid w:val="003342AF"/>
    <w:rsid w:val="00334496"/>
    <w:rsid w:val="00334725"/>
    <w:rsid w:val="0033489E"/>
    <w:rsid w:val="00334A8A"/>
    <w:rsid w:val="00334CAF"/>
    <w:rsid w:val="00334D7D"/>
    <w:rsid w:val="0033507B"/>
    <w:rsid w:val="003353B2"/>
    <w:rsid w:val="0033545C"/>
    <w:rsid w:val="00335790"/>
    <w:rsid w:val="00335A40"/>
    <w:rsid w:val="00335AFB"/>
    <w:rsid w:val="00335E7A"/>
    <w:rsid w:val="0033631E"/>
    <w:rsid w:val="003365E3"/>
    <w:rsid w:val="00336637"/>
    <w:rsid w:val="003367CC"/>
    <w:rsid w:val="00336825"/>
    <w:rsid w:val="00336BD8"/>
    <w:rsid w:val="00336FB2"/>
    <w:rsid w:val="003370E3"/>
    <w:rsid w:val="003372A6"/>
    <w:rsid w:val="00337729"/>
    <w:rsid w:val="0033776F"/>
    <w:rsid w:val="0033799F"/>
    <w:rsid w:val="00337AB9"/>
    <w:rsid w:val="00337ED5"/>
    <w:rsid w:val="00337FFA"/>
    <w:rsid w:val="00340096"/>
    <w:rsid w:val="00340478"/>
    <w:rsid w:val="0034059E"/>
    <w:rsid w:val="00340661"/>
    <w:rsid w:val="0034067A"/>
    <w:rsid w:val="00340AFC"/>
    <w:rsid w:val="00340BD7"/>
    <w:rsid w:val="00340C4B"/>
    <w:rsid w:val="00340D3B"/>
    <w:rsid w:val="00341376"/>
    <w:rsid w:val="003418B8"/>
    <w:rsid w:val="00341B9A"/>
    <w:rsid w:val="00341C66"/>
    <w:rsid w:val="00341F98"/>
    <w:rsid w:val="00342091"/>
    <w:rsid w:val="0034229D"/>
    <w:rsid w:val="0034236B"/>
    <w:rsid w:val="0034262A"/>
    <w:rsid w:val="003426BD"/>
    <w:rsid w:val="00342796"/>
    <w:rsid w:val="00342811"/>
    <w:rsid w:val="0034298D"/>
    <w:rsid w:val="00342C1A"/>
    <w:rsid w:val="00342CF5"/>
    <w:rsid w:val="00343001"/>
    <w:rsid w:val="003431D0"/>
    <w:rsid w:val="00343809"/>
    <w:rsid w:val="00343D57"/>
    <w:rsid w:val="00343DC8"/>
    <w:rsid w:val="00343E56"/>
    <w:rsid w:val="00344079"/>
    <w:rsid w:val="003440A1"/>
    <w:rsid w:val="00344254"/>
    <w:rsid w:val="00344666"/>
    <w:rsid w:val="00344677"/>
    <w:rsid w:val="00344727"/>
    <w:rsid w:val="003447A1"/>
    <w:rsid w:val="00344808"/>
    <w:rsid w:val="00344E93"/>
    <w:rsid w:val="00344F0F"/>
    <w:rsid w:val="0034503E"/>
    <w:rsid w:val="0034511B"/>
    <w:rsid w:val="00345449"/>
    <w:rsid w:val="00345AC4"/>
    <w:rsid w:val="00345F3F"/>
    <w:rsid w:val="00345F42"/>
    <w:rsid w:val="003467A4"/>
    <w:rsid w:val="0034720E"/>
    <w:rsid w:val="00347549"/>
    <w:rsid w:val="00347999"/>
    <w:rsid w:val="003479A8"/>
    <w:rsid w:val="00347ABA"/>
    <w:rsid w:val="00347D90"/>
    <w:rsid w:val="00347E83"/>
    <w:rsid w:val="00347EB3"/>
    <w:rsid w:val="0035018F"/>
    <w:rsid w:val="003501F7"/>
    <w:rsid w:val="00350217"/>
    <w:rsid w:val="0035029E"/>
    <w:rsid w:val="003502BD"/>
    <w:rsid w:val="00350491"/>
    <w:rsid w:val="003504CD"/>
    <w:rsid w:val="00350F2D"/>
    <w:rsid w:val="00350FC7"/>
    <w:rsid w:val="003510E9"/>
    <w:rsid w:val="00351398"/>
    <w:rsid w:val="003514CB"/>
    <w:rsid w:val="00351607"/>
    <w:rsid w:val="0035168F"/>
    <w:rsid w:val="003519F3"/>
    <w:rsid w:val="00351D1E"/>
    <w:rsid w:val="00351D8B"/>
    <w:rsid w:val="00351DC5"/>
    <w:rsid w:val="003521A0"/>
    <w:rsid w:val="003521E2"/>
    <w:rsid w:val="003528C2"/>
    <w:rsid w:val="0035293B"/>
    <w:rsid w:val="00352FDC"/>
    <w:rsid w:val="00353305"/>
    <w:rsid w:val="0035333F"/>
    <w:rsid w:val="003534F8"/>
    <w:rsid w:val="00353680"/>
    <w:rsid w:val="003538CA"/>
    <w:rsid w:val="00353B04"/>
    <w:rsid w:val="00353B62"/>
    <w:rsid w:val="00353DF3"/>
    <w:rsid w:val="00353FB1"/>
    <w:rsid w:val="0035404A"/>
    <w:rsid w:val="0035483A"/>
    <w:rsid w:val="00354EC7"/>
    <w:rsid w:val="0035500B"/>
    <w:rsid w:val="003550D1"/>
    <w:rsid w:val="003553D7"/>
    <w:rsid w:val="003557DA"/>
    <w:rsid w:val="003558A6"/>
    <w:rsid w:val="00355A62"/>
    <w:rsid w:val="00355B60"/>
    <w:rsid w:val="00355C8B"/>
    <w:rsid w:val="00355D5A"/>
    <w:rsid w:val="003564DB"/>
    <w:rsid w:val="003568DF"/>
    <w:rsid w:val="00356B93"/>
    <w:rsid w:val="00356D12"/>
    <w:rsid w:val="0035713D"/>
    <w:rsid w:val="003576EC"/>
    <w:rsid w:val="00357C98"/>
    <w:rsid w:val="00360915"/>
    <w:rsid w:val="00360D9F"/>
    <w:rsid w:val="00360FC5"/>
    <w:rsid w:val="00360FE6"/>
    <w:rsid w:val="00361154"/>
    <w:rsid w:val="003611AC"/>
    <w:rsid w:val="00361532"/>
    <w:rsid w:val="00361637"/>
    <w:rsid w:val="003619B2"/>
    <w:rsid w:val="00361A07"/>
    <w:rsid w:val="00361B62"/>
    <w:rsid w:val="00361DE4"/>
    <w:rsid w:val="00361DFE"/>
    <w:rsid w:val="00362079"/>
    <w:rsid w:val="0036257E"/>
    <w:rsid w:val="003629F6"/>
    <w:rsid w:val="00362C8D"/>
    <w:rsid w:val="00362D25"/>
    <w:rsid w:val="00362EED"/>
    <w:rsid w:val="00362F07"/>
    <w:rsid w:val="0036326B"/>
    <w:rsid w:val="0036328B"/>
    <w:rsid w:val="00363406"/>
    <w:rsid w:val="00363487"/>
    <w:rsid w:val="00363745"/>
    <w:rsid w:val="0036388E"/>
    <w:rsid w:val="00363928"/>
    <w:rsid w:val="00363ABC"/>
    <w:rsid w:val="0036445D"/>
    <w:rsid w:val="0036466F"/>
    <w:rsid w:val="00364676"/>
    <w:rsid w:val="003648D2"/>
    <w:rsid w:val="0036490A"/>
    <w:rsid w:val="003649DE"/>
    <w:rsid w:val="00364A64"/>
    <w:rsid w:val="00364F4D"/>
    <w:rsid w:val="00365567"/>
    <w:rsid w:val="00365874"/>
    <w:rsid w:val="003658EF"/>
    <w:rsid w:val="003658FF"/>
    <w:rsid w:val="003659A4"/>
    <w:rsid w:val="00365A75"/>
    <w:rsid w:val="00365D64"/>
    <w:rsid w:val="00366016"/>
    <w:rsid w:val="0036658E"/>
    <w:rsid w:val="00366645"/>
    <w:rsid w:val="0036677C"/>
    <w:rsid w:val="003667C7"/>
    <w:rsid w:val="00366D7F"/>
    <w:rsid w:val="00366DF4"/>
    <w:rsid w:val="00366FE5"/>
    <w:rsid w:val="00366FEA"/>
    <w:rsid w:val="00367193"/>
    <w:rsid w:val="003674D5"/>
    <w:rsid w:val="00367517"/>
    <w:rsid w:val="00367537"/>
    <w:rsid w:val="003675F5"/>
    <w:rsid w:val="003708A2"/>
    <w:rsid w:val="00370A48"/>
    <w:rsid w:val="00370CB5"/>
    <w:rsid w:val="00370FF0"/>
    <w:rsid w:val="0037152D"/>
    <w:rsid w:val="0037167E"/>
    <w:rsid w:val="0037198C"/>
    <w:rsid w:val="003719AC"/>
    <w:rsid w:val="00371A6D"/>
    <w:rsid w:val="00372122"/>
    <w:rsid w:val="00372510"/>
    <w:rsid w:val="00372662"/>
    <w:rsid w:val="003726C4"/>
    <w:rsid w:val="003726EA"/>
    <w:rsid w:val="00372868"/>
    <w:rsid w:val="00372923"/>
    <w:rsid w:val="00372E83"/>
    <w:rsid w:val="00373152"/>
    <w:rsid w:val="00374095"/>
    <w:rsid w:val="003741C9"/>
    <w:rsid w:val="003742B1"/>
    <w:rsid w:val="003743EC"/>
    <w:rsid w:val="0037479C"/>
    <w:rsid w:val="00374838"/>
    <w:rsid w:val="00374953"/>
    <w:rsid w:val="00374DDE"/>
    <w:rsid w:val="00375059"/>
    <w:rsid w:val="003754C6"/>
    <w:rsid w:val="00375D68"/>
    <w:rsid w:val="00375DFD"/>
    <w:rsid w:val="00375EF2"/>
    <w:rsid w:val="0037644D"/>
    <w:rsid w:val="0037667D"/>
    <w:rsid w:val="00376B99"/>
    <w:rsid w:val="00376C2F"/>
    <w:rsid w:val="00376D2A"/>
    <w:rsid w:val="00376D57"/>
    <w:rsid w:val="00377071"/>
    <w:rsid w:val="003771B2"/>
    <w:rsid w:val="00377218"/>
    <w:rsid w:val="003772B9"/>
    <w:rsid w:val="003773AF"/>
    <w:rsid w:val="003774F3"/>
    <w:rsid w:val="00377580"/>
    <w:rsid w:val="00377897"/>
    <w:rsid w:val="003779BB"/>
    <w:rsid w:val="00377A83"/>
    <w:rsid w:val="00377BA0"/>
    <w:rsid w:val="003800D0"/>
    <w:rsid w:val="0038023A"/>
    <w:rsid w:val="00380A39"/>
    <w:rsid w:val="00380ADA"/>
    <w:rsid w:val="00380E6D"/>
    <w:rsid w:val="00380F14"/>
    <w:rsid w:val="0038101B"/>
    <w:rsid w:val="0038116F"/>
    <w:rsid w:val="00381178"/>
    <w:rsid w:val="003816BE"/>
    <w:rsid w:val="00381A10"/>
    <w:rsid w:val="00381CBB"/>
    <w:rsid w:val="0038218A"/>
    <w:rsid w:val="003821C8"/>
    <w:rsid w:val="00382360"/>
    <w:rsid w:val="003825A0"/>
    <w:rsid w:val="0038319D"/>
    <w:rsid w:val="003835F1"/>
    <w:rsid w:val="003839E6"/>
    <w:rsid w:val="00383A59"/>
    <w:rsid w:val="003842AA"/>
    <w:rsid w:val="0038449F"/>
    <w:rsid w:val="0038465A"/>
    <w:rsid w:val="00384820"/>
    <w:rsid w:val="00384A5C"/>
    <w:rsid w:val="003854A8"/>
    <w:rsid w:val="00385624"/>
    <w:rsid w:val="00385AD8"/>
    <w:rsid w:val="00385ED1"/>
    <w:rsid w:val="0038600F"/>
    <w:rsid w:val="0038607D"/>
    <w:rsid w:val="0038648C"/>
    <w:rsid w:val="00386773"/>
    <w:rsid w:val="00386799"/>
    <w:rsid w:val="00386854"/>
    <w:rsid w:val="00386884"/>
    <w:rsid w:val="00386D5C"/>
    <w:rsid w:val="003870A6"/>
    <w:rsid w:val="003870ED"/>
    <w:rsid w:val="003871EA"/>
    <w:rsid w:val="0038739F"/>
    <w:rsid w:val="0038745D"/>
    <w:rsid w:val="003876BF"/>
    <w:rsid w:val="003879B3"/>
    <w:rsid w:val="0039030E"/>
    <w:rsid w:val="0039089B"/>
    <w:rsid w:val="0039100D"/>
    <w:rsid w:val="00391A89"/>
    <w:rsid w:val="00391ABF"/>
    <w:rsid w:val="00391D1B"/>
    <w:rsid w:val="00391DC7"/>
    <w:rsid w:val="00391F76"/>
    <w:rsid w:val="0039262B"/>
    <w:rsid w:val="003926DF"/>
    <w:rsid w:val="0039285A"/>
    <w:rsid w:val="00392871"/>
    <w:rsid w:val="00392984"/>
    <w:rsid w:val="00392BF5"/>
    <w:rsid w:val="00392C92"/>
    <w:rsid w:val="00392EDA"/>
    <w:rsid w:val="00393155"/>
    <w:rsid w:val="003935C9"/>
    <w:rsid w:val="00393B77"/>
    <w:rsid w:val="00393CA4"/>
    <w:rsid w:val="003944E8"/>
    <w:rsid w:val="003948B1"/>
    <w:rsid w:val="00394A89"/>
    <w:rsid w:val="00394D0A"/>
    <w:rsid w:val="00395161"/>
    <w:rsid w:val="00395235"/>
    <w:rsid w:val="0039527B"/>
    <w:rsid w:val="0039531E"/>
    <w:rsid w:val="0039539D"/>
    <w:rsid w:val="003953FC"/>
    <w:rsid w:val="0039572B"/>
    <w:rsid w:val="00395795"/>
    <w:rsid w:val="003958BA"/>
    <w:rsid w:val="00395AE5"/>
    <w:rsid w:val="00395D4E"/>
    <w:rsid w:val="003961FE"/>
    <w:rsid w:val="003967AC"/>
    <w:rsid w:val="00396E3D"/>
    <w:rsid w:val="00396F38"/>
    <w:rsid w:val="00396FC1"/>
    <w:rsid w:val="00397099"/>
    <w:rsid w:val="0039710E"/>
    <w:rsid w:val="00397237"/>
    <w:rsid w:val="00397517"/>
    <w:rsid w:val="00397674"/>
    <w:rsid w:val="00397789"/>
    <w:rsid w:val="003978CB"/>
    <w:rsid w:val="003A0473"/>
    <w:rsid w:val="003A0C6D"/>
    <w:rsid w:val="003A0E55"/>
    <w:rsid w:val="003A0E5C"/>
    <w:rsid w:val="003A101B"/>
    <w:rsid w:val="003A120C"/>
    <w:rsid w:val="003A15B4"/>
    <w:rsid w:val="003A1907"/>
    <w:rsid w:val="003A1935"/>
    <w:rsid w:val="003A1C02"/>
    <w:rsid w:val="003A1DAC"/>
    <w:rsid w:val="003A1E95"/>
    <w:rsid w:val="003A1EC6"/>
    <w:rsid w:val="003A1FA3"/>
    <w:rsid w:val="003A1FE1"/>
    <w:rsid w:val="003A217A"/>
    <w:rsid w:val="003A23A1"/>
    <w:rsid w:val="003A25C7"/>
    <w:rsid w:val="003A2686"/>
    <w:rsid w:val="003A273F"/>
    <w:rsid w:val="003A2914"/>
    <w:rsid w:val="003A2A52"/>
    <w:rsid w:val="003A2B1D"/>
    <w:rsid w:val="003A30C3"/>
    <w:rsid w:val="003A328A"/>
    <w:rsid w:val="003A3417"/>
    <w:rsid w:val="003A34A5"/>
    <w:rsid w:val="003A3527"/>
    <w:rsid w:val="003A377C"/>
    <w:rsid w:val="003A3983"/>
    <w:rsid w:val="003A3C49"/>
    <w:rsid w:val="003A3DA1"/>
    <w:rsid w:val="003A3F70"/>
    <w:rsid w:val="003A40B7"/>
    <w:rsid w:val="003A4463"/>
    <w:rsid w:val="003A45DB"/>
    <w:rsid w:val="003A4956"/>
    <w:rsid w:val="003A49A3"/>
    <w:rsid w:val="003A4B62"/>
    <w:rsid w:val="003A4BAA"/>
    <w:rsid w:val="003A4EF0"/>
    <w:rsid w:val="003A50F3"/>
    <w:rsid w:val="003A53FF"/>
    <w:rsid w:val="003A55E7"/>
    <w:rsid w:val="003A562C"/>
    <w:rsid w:val="003A5B09"/>
    <w:rsid w:val="003A5FAB"/>
    <w:rsid w:val="003A6171"/>
    <w:rsid w:val="003A6304"/>
    <w:rsid w:val="003A63BB"/>
    <w:rsid w:val="003A645F"/>
    <w:rsid w:val="003A66BD"/>
    <w:rsid w:val="003A673C"/>
    <w:rsid w:val="003A6A38"/>
    <w:rsid w:val="003A6E7F"/>
    <w:rsid w:val="003A6EA4"/>
    <w:rsid w:val="003A7016"/>
    <w:rsid w:val="003A745E"/>
    <w:rsid w:val="003A756D"/>
    <w:rsid w:val="003A7577"/>
    <w:rsid w:val="003A7E57"/>
    <w:rsid w:val="003B01AF"/>
    <w:rsid w:val="003B01E5"/>
    <w:rsid w:val="003B098A"/>
    <w:rsid w:val="003B0997"/>
    <w:rsid w:val="003B0C92"/>
    <w:rsid w:val="003B0D49"/>
    <w:rsid w:val="003B0E1B"/>
    <w:rsid w:val="003B0E21"/>
    <w:rsid w:val="003B1129"/>
    <w:rsid w:val="003B1208"/>
    <w:rsid w:val="003B1236"/>
    <w:rsid w:val="003B127D"/>
    <w:rsid w:val="003B1498"/>
    <w:rsid w:val="003B171A"/>
    <w:rsid w:val="003B174D"/>
    <w:rsid w:val="003B2318"/>
    <w:rsid w:val="003B2513"/>
    <w:rsid w:val="003B2835"/>
    <w:rsid w:val="003B31E0"/>
    <w:rsid w:val="003B3225"/>
    <w:rsid w:val="003B3D25"/>
    <w:rsid w:val="003B3FB0"/>
    <w:rsid w:val="003B456D"/>
    <w:rsid w:val="003B45CC"/>
    <w:rsid w:val="003B499E"/>
    <w:rsid w:val="003B4FE5"/>
    <w:rsid w:val="003B5356"/>
    <w:rsid w:val="003B55B3"/>
    <w:rsid w:val="003B5A5F"/>
    <w:rsid w:val="003B5B6A"/>
    <w:rsid w:val="003B5C0D"/>
    <w:rsid w:val="003B5D5C"/>
    <w:rsid w:val="003B6208"/>
    <w:rsid w:val="003B6330"/>
    <w:rsid w:val="003B660C"/>
    <w:rsid w:val="003B6615"/>
    <w:rsid w:val="003B66A2"/>
    <w:rsid w:val="003B66A4"/>
    <w:rsid w:val="003B67E6"/>
    <w:rsid w:val="003B6848"/>
    <w:rsid w:val="003B6915"/>
    <w:rsid w:val="003B6C59"/>
    <w:rsid w:val="003B6DB8"/>
    <w:rsid w:val="003B6DF4"/>
    <w:rsid w:val="003B6E1F"/>
    <w:rsid w:val="003B6F38"/>
    <w:rsid w:val="003B6FFD"/>
    <w:rsid w:val="003B7005"/>
    <w:rsid w:val="003B77AA"/>
    <w:rsid w:val="003B78D6"/>
    <w:rsid w:val="003B7A79"/>
    <w:rsid w:val="003C043A"/>
    <w:rsid w:val="003C0813"/>
    <w:rsid w:val="003C092B"/>
    <w:rsid w:val="003C093F"/>
    <w:rsid w:val="003C0FBE"/>
    <w:rsid w:val="003C11B6"/>
    <w:rsid w:val="003C11DD"/>
    <w:rsid w:val="003C15C4"/>
    <w:rsid w:val="003C1C48"/>
    <w:rsid w:val="003C1F22"/>
    <w:rsid w:val="003C201C"/>
    <w:rsid w:val="003C2287"/>
    <w:rsid w:val="003C250C"/>
    <w:rsid w:val="003C272A"/>
    <w:rsid w:val="003C27EB"/>
    <w:rsid w:val="003C2B40"/>
    <w:rsid w:val="003C2BCF"/>
    <w:rsid w:val="003C3036"/>
    <w:rsid w:val="003C33DB"/>
    <w:rsid w:val="003C35DB"/>
    <w:rsid w:val="003C3BB5"/>
    <w:rsid w:val="003C3DC7"/>
    <w:rsid w:val="003C3DE2"/>
    <w:rsid w:val="003C4193"/>
    <w:rsid w:val="003C423D"/>
    <w:rsid w:val="003C43EB"/>
    <w:rsid w:val="003C47C5"/>
    <w:rsid w:val="003C4DEE"/>
    <w:rsid w:val="003C4F30"/>
    <w:rsid w:val="003C500D"/>
    <w:rsid w:val="003C51A4"/>
    <w:rsid w:val="003C520C"/>
    <w:rsid w:val="003C5588"/>
    <w:rsid w:val="003C5721"/>
    <w:rsid w:val="003C59C7"/>
    <w:rsid w:val="003C5E42"/>
    <w:rsid w:val="003C5E58"/>
    <w:rsid w:val="003C6048"/>
    <w:rsid w:val="003C62BD"/>
    <w:rsid w:val="003C63D0"/>
    <w:rsid w:val="003C65F2"/>
    <w:rsid w:val="003C6732"/>
    <w:rsid w:val="003C67A0"/>
    <w:rsid w:val="003C6905"/>
    <w:rsid w:val="003C6DE0"/>
    <w:rsid w:val="003C7370"/>
    <w:rsid w:val="003C7566"/>
    <w:rsid w:val="003C7805"/>
    <w:rsid w:val="003C7859"/>
    <w:rsid w:val="003C798B"/>
    <w:rsid w:val="003C7C92"/>
    <w:rsid w:val="003C7D00"/>
    <w:rsid w:val="003C7D60"/>
    <w:rsid w:val="003C7DCD"/>
    <w:rsid w:val="003C7E98"/>
    <w:rsid w:val="003C7F21"/>
    <w:rsid w:val="003D0614"/>
    <w:rsid w:val="003D066F"/>
    <w:rsid w:val="003D1124"/>
    <w:rsid w:val="003D13E5"/>
    <w:rsid w:val="003D160B"/>
    <w:rsid w:val="003D160C"/>
    <w:rsid w:val="003D18F7"/>
    <w:rsid w:val="003D1B1F"/>
    <w:rsid w:val="003D1B65"/>
    <w:rsid w:val="003D1B83"/>
    <w:rsid w:val="003D1B8E"/>
    <w:rsid w:val="003D2200"/>
    <w:rsid w:val="003D2380"/>
    <w:rsid w:val="003D23D3"/>
    <w:rsid w:val="003D26C0"/>
    <w:rsid w:val="003D27DC"/>
    <w:rsid w:val="003D2A83"/>
    <w:rsid w:val="003D2AB7"/>
    <w:rsid w:val="003D2DA4"/>
    <w:rsid w:val="003D32C7"/>
    <w:rsid w:val="003D33D0"/>
    <w:rsid w:val="003D3630"/>
    <w:rsid w:val="003D374E"/>
    <w:rsid w:val="003D3AEE"/>
    <w:rsid w:val="003D3C10"/>
    <w:rsid w:val="003D3FE1"/>
    <w:rsid w:val="003D40FD"/>
    <w:rsid w:val="003D4255"/>
    <w:rsid w:val="003D432E"/>
    <w:rsid w:val="003D44FB"/>
    <w:rsid w:val="003D466A"/>
    <w:rsid w:val="003D47B3"/>
    <w:rsid w:val="003D4918"/>
    <w:rsid w:val="003D4B67"/>
    <w:rsid w:val="003D4C0C"/>
    <w:rsid w:val="003D505B"/>
    <w:rsid w:val="003D58B9"/>
    <w:rsid w:val="003D58C0"/>
    <w:rsid w:val="003D58D9"/>
    <w:rsid w:val="003D5A3A"/>
    <w:rsid w:val="003D5A6E"/>
    <w:rsid w:val="003D652A"/>
    <w:rsid w:val="003D69DD"/>
    <w:rsid w:val="003D6BA0"/>
    <w:rsid w:val="003D6C0C"/>
    <w:rsid w:val="003D6DB2"/>
    <w:rsid w:val="003D7061"/>
    <w:rsid w:val="003D7373"/>
    <w:rsid w:val="003D7A63"/>
    <w:rsid w:val="003D7B8F"/>
    <w:rsid w:val="003D7BBA"/>
    <w:rsid w:val="003D7C33"/>
    <w:rsid w:val="003E0113"/>
    <w:rsid w:val="003E01B2"/>
    <w:rsid w:val="003E05AB"/>
    <w:rsid w:val="003E0604"/>
    <w:rsid w:val="003E0663"/>
    <w:rsid w:val="003E0669"/>
    <w:rsid w:val="003E067B"/>
    <w:rsid w:val="003E0725"/>
    <w:rsid w:val="003E0A2D"/>
    <w:rsid w:val="003E0A46"/>
    <w:rsid w:val="003E0E3C"/>
    <w:rsid w:val="003E0FC2"/>
    <w:rsid w:val="003E0FF3"/>
    <w:rsid w:val="003E1174"/>
    <w:rsid w:val="003E117F"/>
    <w:rsid w:val="003E1331"/>
    <w:rsid w:val="003E15AB"/>
    <w:rsid w:val="003E1A08"/>
    <w:rsid w:val="003E1E0D"/>
    <w:rsid w:val="003E1F13"/>
    <w:rsid w:val="003E21FB"/>
    <w:rsid w:val="003E2853"/>
    <w:rsid w:val="003E2862"/>
    <w:rsid w:val="003E2BD3"/>
    <w:rsid w:val="003E3071"/>
    <w:rsid w:val="003E3415"/>
    <w:rsid w:val="003E34E1"/>
    <w:rsid w:val="003E372E"/>
    <w:rsid w:val="003E3B90"/>
    <w:rsid w:val="003E3B9E"/>
    <w:rsid w:val="003E3CD1"/>
    <w:rsid w:val="003E3DF0"/>
    <w:rsid w:val="003E406F"/>
    <w:rsid w:val="003E4088"/>
    <w:rsid w:val="003E4491"/>
    <w:rsid w:val="003E466F"/>
    <w:rsid w:val="003E4AF7"/>
    <w:rsid w:val="003E4B8F"/>
    <w:rsid w:val="003E4FE8"/>
    <w:rsid w:val="003E53CA"/>
    <w:rsid w:val="003E54AB"/>
    <w:rsid w:val="003E58D4"/>
    <w:rsid w:val="003E5C24"/>
    <w:rsid w:val="003E5D59"/>
    <w:rsid w:val="003E6489"/>
    <w:rsid w:val="003E64D4"/>
    <w:rsid w:val="003E689F"/>
    <w:rsid w:val="003E6ABF"/>
    <w:rsid w:val="003E6DDD"/>
    <w:rsid w:val="003E6FFD"/>
    <w:rsid w:val="003E73D4"/>
    <w:rsid w:val="003E73DD"/>
    <w:rsid w:val="003E75B9"/>
    <w:rsid w:val="003E79FD"/>
    <w:rsid w:val="003E7A28"/>
    <w:rsid w:val="003E7A42"/>
    <w:rsid w:val="003E7AC8"/>
    <w:rsid w:val="003E7B82"/>
    <w:rsid w:val="003E7BD2"/>
    <w:rsid w:val="003E7DC7"/>
    <w:rsid w:val="003E7E44"/>
    <w:rsid w:val="003EF8F5"/>
    <w:rsid w:val="003F0340"/>
    <w:rsid w:val="003F03AF"/>
    <w:rsid w:val="003F0E6E"/>
    <w:rsid w:val="003F0FE7"/>
    <w:rsid w:val="003F1082"/>
    <w:rsid w:val="003F11B2"/>
    <w:rsid w:val="003F120A"/>
    <w:rsid w:val="003F121E"/>
    <w:rsid w:val="003F14F8"/>
    <w:rsid w:val="003F1607"/>
    <w:rsid w:val="003F200C"/>
    <w:rsid w:val="003F2778"/>
    <w:rsid w:val="003F2D47"/>
    <w:rsid w:val="003F326A"/>
    <w:rsid w:val="003F33C5"/>
    <w:rsid w:val="003F351D"/>
    <w:rsid w:val="003F356A"/>
    <w:rsid w:val="003F356C"/>
    <w:rsid w:val="003F35B3"/>
    <w:rsid w:val="003F3785"/>
    <w:rsid w:val="003F378E"/>
    <w:rsid w:val="003F3F0E"/>
    <w:rsid w:val="003F423B"/>
    <w:rsid w:val="003F4441"/>
    <w:rsid w:val="003F44A8"/>
    <w:rsid w:val="003F44DD"/>
    <w:rsid w:val="003F4560"/>
    <w:rsid w:val="003F45B0"/>
    <w:rsid w:val="003F4B57"/>
    <w:rsid w:val="003F4CDF"/>
    <w:rsid w:val="003F4E9E"/>
    <w:rsid w:val="003F50F0"/>
    <w:rsid w:val="003F513C"/>
    <w:rsid w:val="003F52AF"/>
    <w:rsid w:val="003F52B3"/>
    <w:rsid w:val="003F5AB7"/>
    <w:rsid w:val="003F5BA2"/>
    <w:rsid w:val="003F6255"/>
    <w:rsid w:val="003F629D"/>
    <w:rsid w:val="003F62EA"/>
    <w:rsid w:val="003F6720"/>
    <w:rsid w:val="003F6A51"/>
    <w:rsid w:val="003F6B39"/>
    <w:rsid w:val="003F7033"/>
    <w:rsid w:val="003F7254"/>
    <w:rsid w:val="003F7729"/>
    <w:rsid w:val="003F7738"/>
    <w:rsid w:val="003F7974"/>
    <w:rsid w:val="003F7AA0"/>
    <w:rsid w:val="003F7D47"/>
    <w:rsid w:val="003F7F1C"/>
    <w:rsid w:val="00400023"/>
    <w:rsid w:val="00400205"/>
    <w:rsid w:val="00400753"/>
    <w:rsid w:val="0040076C"/>
    <w:rsid w:val="00400952"/>
    <w:rsid w:val="004009DA"/>
    <w:rsid w:val="00400AFF"/>
    <w:rsid w:val="00400B03"/>
    <w:rsid w:val="00400B13"/>
    <w:rsid w:val="004012C8"/>
    <w:rsid w:val="004012DB"/>
    <w:rsid w:val="0040134E"/>
    <w:rsid w:val="004015C7"/>
    <w:rsid w:val="0040176D"/>
    <w:rsid w:val="0040195D"/>
    <w:rsid w:val="00401A06"/>
    <w:rsid w:val="00401C36"/>
    <w:rsid w:val="00401D9E"/>
    <w:rsid w:val="00401E54"/>
    <w:rsid w:val="0040230E"/>
    <w:rsid w:val="00402480"/>
    <w:rsid w:val="0040271D"/>
    <w:rsid w:val="00402786"/>
    <w:rsid w:val="004029AF"/>
    <w:rsid w:val="00402B23"/>
    <w:rsid w:val="00402E86"/>
    <w:rsid w:val="0040337D"/>
    <w:rsid w:val="0040351C"/>
    <w:rsid w:val="00403632"/>
    <w:rsid w:val="004038CE"/>
    <w:rsid w:val="00403901"/>
    <w:rsid w:val="004039E9"/>
    <w:rsid w:val="00403DD2"/>
    <w:rsid w:val="00404155"/>
    <w:rsid w:val="004044CA"/>
    <w:rsid w:val="004044DB"/>
    <w:rsid w:val="00404B2B"/>
    <w:rsid w:val="00404CA5"/>
    <w:rsid w:val="00404F37"/>
    <w:rsid w:val="00404FD8"/>
    <w:rsid w:val="00405230"/>
    <w:rsid w:val="0040539D"/>
    <w:rsid w:val="0040570A"/>
    <w:rsid w:val="00405789"/>
    <w:rsid w:val="00405839"/>
    <w:rsid w:val="004059D4"/>
    <w:rsid w:val="00405A7F"/>
    <w:rsid w:val="00405B95"/>
    <w:rsid w:val="00405C79"/>
    <w:rsid w:val="00405E41"/>
    <w:rsid w:val="0040602E"/>
    <w:rsid w:val="004060AC"/>
    <w:rsid w:val="00406164"/>
    <w:rsid w:val="004065CD"/>
    <w:rsid w:val="004066C1"/>
    <w:rsid w:val="00406C09"/>
    <w:rsid w:val="00406DBC"/>
    <w:rsid w:val="00406EE4"/>
    <w:rsid w:val="00407184"/>
    <w:rsid w:val="004077FF"/>
    <w:rsid w:val="0040789C"/>
    <w:rsid w:val="004079DE"/>
    <w:rsid w:val="00407B28"/>
    <w:rsid w:val="00407C5D"/>
    <w:rsid w:val="00407F83"/>
    <w:rsid w:val="00410092"/>
    <w:rsid w:val="004104D9"/>
    <w:rsid w:val="004105E1"/>
    <w:rsid w:val="004106C0"/>
    <w:rsid w:val="00410738"/>
    <w:rsid w:val="0041079E"/>
    <w:rsid w:val="004107AA"/>
    <w:rsid w:val="004107B2"/>
    <w:rsid w:val="004108C1"/>
    <w:rsid w:val="00410E12"/>
    <w:rsid w:val="00410EC2"/>
    <w:rsid w:val="00411306"/>
    <w:rsid w:val="00411311"/>
    <w:rsid w:val="00411466"/>
    <w:rsid w:val="004116FA"/>
    <w:rsid w:val="00411B02"/>
    <w:rsid w:val="00411C18"/>
    <w:rsid w:val="00411C88"/>
    <w:rsid w:val="00411DBC"/>
    <w:rsid w:val="00411E3E"/>
    <w:rsid w:val="004121BF"/>
    <w:rsid w:val="004127F5"/>
    <w:rsid w:val="00412F4B"/>
    <w:rsid w:val="00413080"/>
    <w:rsid w:val="0041316E"/>
    <w:rsid w:val="004135EE"/>
    <w:rsid w:val="0041362E"/>
    <w:rsid w:val="00413790"/>
    <w:rsid w:val="00413978"/>
    <w:rsid w:val="00413A2E"/>
    <w:rsid w:val="0041402B"/>
    <w:rsid w:val="004140C9"/>
    <w:rsid w:val="00414197"/>
    <w:rsid w:val="00414202"/>
    <w:rsid w:val="0041468C"/>
    <w:rsid w:val="00414A33"/>
    <w:rsid w:val="00414CF4"/>
    <w:rsid w:val="004153DC"/>
    <w:rsid w:val="00415623"/>
    <w:rsid w:val="00415974"/>
    <w:rsid w:val="00416015"/>
    <w:rsid w:val="00416032"/>
    <w:rsid w:val="004161DE"/>
    <w:rsid w:val="004167C9"/>
    <w:rsid w:val="004168FA"/>
    <w:rsid w:val="00416BA8"/>
    <w:rsid w:val="00416C38"/>
    <w:rsid w:val="00416F89"/>
    <w:rsid w:val="0041712C"/>
    <w:rsid w:val="004171EB"/>
    <w:rsid w:val="00417692"/>
    <w:rsid w:val="0041783C"/>
    <w:rsid w:val="00417A20"/>
    <w:rsid w:val="00417DBB"/>
    <w:rsid w:val="00420465"/>
    <w:rsid w:val="00420CCE"/>
    <w:rsid w:val="00421918"/>
    <w:rsid w:val="0042191A"/>
    <w:rsid w:val="00421CAB"/>
    <w:rsid w:val="00421CDF"/>
    <w:rsid w:val="00421E75"/>
    <w:rsid w:val="0042278A"/>
    <w:rsid w:val="00422879"/>
    <w:rsid w:val="00422BD4"/>
    <w:rsid w:val="004232EE"/>
    <w:rsid w:val="004233B8"/>
    <w:rsid w:val="004234CD"/>
    <w:rsid w:val="0042399A"/>
    <w:rsid w:val="00423BF0"/>
    <w:rsid w:val="0042484D"/>
    <w:rsid w:val="00424CB8"/>
    <w:rsid w:val="00424D49"/>
    <w:rsid w:val="0042532F"/>
    <w:rsid w:val="0042555A"/>
    <w:rsid w:val="004255B6"/>
    <w:rsid w:val="00425659"/>
    <w:rsid w:val="004257C4"/>
    <w:rsid w:val="00425876"/>
    <w:rsid w:val="00425F33"/>
    <w:rsid w:val="004260BF"/>
    <w:rsid w:val="0042651A"/>
    <w:rsid w:val="00426750"/>
    <w:rsid w:val="004269AA"/>
    <w:rsid w:val="00426B07"/>
    <w:rsid w:val="00426C19"/>
    <w:rsid w:val="00426D9E"/>
    <w:rsid w:val="00427706"/>
    <w:rsid w:val="004278DB"/>
    <w:rsid w:val="00430178"/>
    <w:rsid w:val="00430278"/>
    <w:rsid w:val="00430313"/>
    <w:rsid w:val="004304B5"/>
    <w:rsid w:val="00430DDA"/>
    <w:rsid w:val="00430E62"/>
    <w:rsid w:val="00430FF2"/>
    <w:rsid w:val="004312B7"/>
    <w:rsid w:val="004314B6"/>
    <w:rsid w:val="00431793"/>
    <w:rsid w:val="00431921"/>
    <w:rsid w:val="00431B09"/>
    <w:rsid w:val="00431C81"/>
    <w:rsid w:val="00431F89"/>
    <w:rsid w:val="0043232C"/>
    <w:rsid w:val="00432519"/>
    <w:rsid w:val="0043253A"/>
    <w:rsid w:val="004325A4"/>
    <w:rsid w:val="004325C1"/>
    <w:rsid w:val="0043278B"/>
    <w:rsid w:val="00432D47"/>
    <w:rsid w:val="00432EA4"/>
    <w:rsid w:val="00432F72"/>
    <w:rsid w:val="00433729"/>
    <w:rsid w:val="00433740"/>
    <w:rsid w:val="00433C15"/>
    <w:rsid w:val="00433DBF"/>
    <w:rsid w:val="00434341"/>
    <w:rsid w:val="0043446E"/>
    <w:rsid w:val="004346EA"/>
    <w:rsid w:val="00434D4D"/>
    <w:rsid w:val="00435272"/>
    <w:rsid w:val="004358C1"/>
    <w:rsid w:val="00435A51"/>
    <w:rsid w:val="00435A7F"/>
    <w:rsid w:val="00435AA2"/>
    <w:rsid w:val="00435AAF"/>
    <w:rsid w:val="00436011"/>
    <w:rsid w:val="0043611B"/>
    <w:rsid w:val="004369EA"/>
    <w:rsid w:val="00436BFD"/>
    <w:rsid w:val="00436C71"/>
    <w:rsid w:val="00436EC7"/>
    <w:rsid w:val="00436F79"/>
    <w:rsid w:val="00437428"/>
    <w:rsid w:val="00437875"/>
    <w:rsid w:val="004378FC"/>
    <w:rsid w:val="00437A0D"/>
    <w:rsid w:val="00437A97"/>
    <w:rsid w:val="00437EDD"/>
    <w:rsid w:val="0044016B"/>
    <w:rsid w:val="004401E0"/>
    <w:rsid w:val="00440492"/>
    <w:rsid w:val="00440D4A"/>
    <w:rsid w:val="00440D7D"/>
    <w:rsid w:val="00440EAD"/>
    <w:rsid w:val="00440EC9"/>
    <w:rsid w:val="00441629"/>
    <w:rsid w:val="00441695"/>
    <w:rsid w:val="004417E0"/>
    <w:rsid w:val="00441A73"/>
    <w:rsid w:val="00441B7A"/>
    <w:rsid w:val="00441BFA"/>
    <w:rsid w:val="00441FCA"/>
    <w:rsid w:val="00442308"/>
    <w:rsid w:val="004423ED"/>
    <w:rsid w:val="0044253D"/>
    <w:rsid w:val="00442705"/>
    <w:rsid w:val="00442AB4"/>
    <w:rsid w:val="004430FA"/>
    <w:rsid w:val="0044324A"/>
    <w:rsid w:val="00443659"/>
    <w:rsid w:val="00443802"/>
    <w:rsid w:val="00443A3A"/>
    <w:rsid w:val="00443BA3"/>
    <w:rsid w:val="00443F23"/>
    <w:rsid w:val="00444172"/>
    <w:rsid w:val="004444D4"/>
    <w:rsid w:val="0044475C"/>
    <w:rsid w:val="00444AC9"/>
    <w:rsid w:val="00444C6E"/>
    <w:rsid w:val="00444F80"/>
    <w:rsid w:val="00444FC4"/>
    <w:rsid w:val="00445018"/>
    <w:rsid w:val="004454CF"/>
    <w:rsid w:val="00445574"/>
    <w:rsid w:val="00445611"/>
    <w:rsid w:val="0044575E"/>
    <w:rsid w:val="004457AA"/>
    <w:rsid w:val="00445AAD"/>
    <w:rsid w:val="00445B14"/>
    <w:rsid w:val="00445D92"/>
    <w:rsid w:val="00445DF1"/>
    <w:rsid w:val="004463E4"/>
    <w:rsid w:val="00446424"/>
    <w:rsid w:val="00446654"/>
    <w:rsid w:val="0044667C"/>
    <w:rsid w:val="004467C3"/>
    <w:rsid w:val="00446958"/>
    <w:rsid w:val="00446B21"/>
    <w:rsid w:val="00446EFC"/>
    <w:rsid w:val="00446F5E"/>
    <w:rsid w:val="00447276"/>
    <w:rsid w:val="0044740B"/>
    <w:rsid w:val="0044777E"/>
    <w:rsid w:val="00447AF6"/>
    <w:rsid w:val="0045029F"/>
    <w:rsid w:val="00450400"/>
    <w:rsid w:val="00450415"/>
    <w:rsid w:val="004504BE"/>
    <w:rsid w:val="004509E9"/>
    <w:rsid w:val="00450C50"/>
    <w:rsid w:val="00450ECC"/>
    <w:rsid w:val="00451290"/>
    <w:rsid w:val="00451565"/>
    <w:rsid w:val="00451574"/>
    <w:rsid w:val="0045157C"/>
    <w:rsid w:val="004516CF"/>
    <w:rsid w:val="0045173B"/>
    <w:rsid w:val="004521B5"/>
    <w:rsid w:val="004521D6"/>
    <w:rsid w:val="0045220E"/>
    <w:rsid w:val="00452254"/>
    <w:rsid w:val="004523A9"/>
    <w:rsid w:val="004528BB"/>
    <w:rsid w:val="004528F0"/>
    <w:rsid w:val="0045290E"/>
    <w:rsid w:val="00452D2A"/>
    <w:rsid w:val="00452F5F"/>
    <w:rsid w:val="004531B6"/>
    <w:rsid w:val="00453372"/>
    <w:rsid w:val="0045355E"/>
    <w:rsid w:val="0045357B"/>
    <w:rsid w:val="00453604"/>
    <w:rsid w:val="00453BD4"/>
    <w:rsid w:val="00453C6C"/>
    <w:rsid w:val="00453D4A"/>
    <w:rsid w:val="00453FD2"/>
    <w:rsid w:val="0045419B"/>
    <w:rsid w:val="00454248"/>
    <w:rsid w:val="00454419"/>
    <w:rsid w:val="004544B7"/>
    <w:rsid w:val="0045479A"/>
    <w:rsid w:val="004548B2"/>
    <w:rsid w:val="004549B4"/>
    <w:rsid w:val="0045524A"/>
    <w:rsid w:val="004552C3"/>
    <w:rsid w:val="004553DC"/>
    <w:rsid w:val="004558B2"/>
    <w:rsid w:val="00455C03"/>
    <w:rsid w:val="00455EA2"/>
    <w:rsid w:val="00456079"/>
    <w:rsid w:val="00456759"/>
    <w:rsid w:val="00456A2C"/>
    <w:rsid w:val="00456C34"/>
    <w:rsid w:val="00457015"/>
    <w:rsid w:val="0045708C"/>
    <w:rsid w:val="004571D2"/>
    <w:rsid w:val="00457209"/>
    <w:rsid w:val="0045748F"/>
    <w:rsid w:val="004577B7"/>
    <w:rsid w:val="0046017A"/>
    <w:rsid w:val="004608A8"/>
    <w:rsid w:val="00460C1A"/>
    <w:rsid w:val="00460C38"/>
    <w:rsid w:val="00460E60"/>
    <w:rsid w:val="00460F11"/>
    <w:rsid w:val="00461732"/>
    <w:rsid w:val="0046196B"/>
    <w:rsid w:val="00461EA4"/>
    <w:rsid w:val="00462220"/>
    <w:rsid w:val="00462CA4"/>
    <w:rsid w:val="00462CC2"/>
    <w:rsid w:val="00462EA3"/>
    <w:rsid w:val="00462ED6"/>
    <w:rsid w:val="00463201"/>
    <w:rsid w:val="004632BE"/>
    <w:rsid w:val="004632D3"/>
    <w:rsid w:val="004632E5"/>
    <w:rsid w:val="0046354B"/>
    <w:rsid w:val="0046398D"/>
    <w:rsid w:val="00463A19"/>
    <w:rsid w:val="00463A3B"/>
    <w:rsid w:val="00463FE5"/>
    <w:rsid w:val="00464626"/>
    <w:rsid w:val="00464633"/>
    <w:rsid w:val="004646A5"/>
    <w:rsid w:val="00464C9B"/>
    <w:rsid w:val="00464CB2"/>
    <w:rsid w:val="00464D4D"/>
    <w:rsid w:val="00464E00"/>
    <w:rsid w:val="00465F09"/>
    <w:rsid w:val="0046630E"/>
    <w:rsid w:val="00466480"/>
    <w:rsid w:val="00466781"/>
    <w:rsid w:val="00466B8A"/>
    <w:rsid w:val="00466C8F"/>
    <w:rsid w:val="0046752B"/>
    <w:rsid w:val="00467764"/>
    <w:rsid w:val="00467850"/>
    <w:rsid w:val="004678A2"/>
    <w:rsid w:val="0046791D"/>
    <w:rsid w:val="00467A31"/>
    <w:rsid w:val="004700BD"/>
    <w:rsid w:val="004700E5"/>
    <w:rsid w:val="0047034D"/>
    <w:rsid w:val="0047036A"/>
    <w:rsid w:val="00470497"/>
    <w:rsid w:val="00470689"/>
    <w:rsid w:val="00470999"/>
    <w:rsid w:val="004709A0"/>
    <w:rsid w:val="00471E7F"/>
    <w:rsid w:val="00471F3A"/>
    <w:rsid w:val="0047211C"/>
    <w:rsid w:val="00472252"/>
    <w:rsid w:val="00472419"/>
    <w:rsid w:val="0047257E"/>
    <w:rsid w:val="004725CE"/>
    <w:rsid w:val="00472746"/>
    <w:rsid w:val="00472B1F"/>
    <w:rsid w:val="00472E02"/>
    <w:rsid w:val="0047318F"/>
    <w:rsid w:val="004731AD"/>
    <w:rsid w:val="004731C1"/>
    <w:rsid w:val="00473264"/>
    <w:rsid w:val="00473555"/>
    <w:rsid w:val="004735AD"/>
    <w:rsid w:val="00473A09"/>
    <w:rsid w:val="00473A64"/>
    <w:rsid w:val="00473B0C"/>
    <w:rsid w:val="00473C3A"/>
    <w:rsid w:val="00473CDC"/>
    <w:rsid w:val="00473DB8"/>
    <w:rsid w:val="00473E2A"/>
    <w:rsid w:val="00474377"/>
    <w:rsid w:val="004746B4"/>
    <w:rsid w:val="00474F0B"/>
    <w:rsid w:val="00474FF1"/>
    <w:rsid w:val="004752F7"/>
    <w:rsid w:val="004757F1"/>
    <w:rsid w:val="00475A7D"/>
    <w:rsid w:val="00475D4B"/>
    <w:rsid w:val="00475F2C"/>
    <w:rsid w:val="00475F69"/>
    <w:rsid w:val="0047606A"/>
    <w:rsid w:val="004761C0"/>
    <w:rsid w:val="0047627C"/>
    <w:rsid w:val="004768AF"/>
    <w:rsid w:val="00476B08"/>
    <w:rsid w:val="00477078"/>
    <w:rsid w:val="00477387"/>
    <w:rsid w:val="004773DF"/>
    <w:rsid w:val="004774A7"/>
    <w:rsid w:val="004774EF"/>
    <w:rsid w:val="00477511"/>
    <w:rsid w:val="0047786B"/>
    <w:rsid w:val="00477E52"/>
    <w:rsid w:val="00477FA8"/>
    <w:rsid w:val="0047E099"/>
    <w:rsid w:val="00480291"/>
    <w:rsid w:val="00480534"/>
    <w:rsid w:val="00480781"/>
    <w:rsid w:val="00480B4D"/>
    <w:rsid w:val="00480D85"/>
    <w:rsid w:val="0048110F"/>
    <w:rsid w:val="004813F7"/>
    <w:rsid w:val="0048155A"/>
    <w:rsid w:val="00481647"/>
    <w:rsid w:val="00481B84"/>
    <w:rsid w:val="00482220"/>
    <w:rsid w:val="00482414"/>
    <w:rsid w:val="0048254D"/>
    <w:rsid w:val="0048317D"/>
    <w:rsid w:val="0048331A"/>
    <w:rsid w:val="004833EB"/>
    <w:rsid w:val="00483496"/>
    <w:rsid w:val="0048369E"/>
    <w:rsid w:val="004837BB"/>
    <w:rsid w:val="00483819"/>
    <w:rsid w:val="00483B9E"/>
    <w:rsid w:val="00483BC3"/>
    <w:rsid w:val="00483D9C"/>
    <w:rsid w:val="004841D7"/>
    <w:rsid w:val="00484457"/>
    <w:rsid w:val="004849B1"/>
    <w:rsid w:val="00484D12"/>
    <w:rsid w:val="004851E6"/>
    <w:rsid w:val="0048557C"/>
    <w:rsid w:val="004857BD"/>
    <w:rsid w:val="0048594F"/>
    <w:rsid w:val="00485970"/>
    <w:rsid w:val="00485DDB"/>
    <w:rsid w:val="00485ED5"/>
    <w:rsid w:val="00485EFD"/>
    <w:rsid w:val="00486281"/>
    <w:rsid w:val="0048694E"/>
    <w:rsid w:val="0048698E"/>
    <w:rsid w:val="00486A89"/>
    <w:rsid w:val="00486B0A"/>
    <w:rsid w:val="00486BA1"/>
    <w:rsid w:val="00486E92"/>
    <w:rsid w:val="00486F1D"/>
    <w:rsid w:val="00486F43"/>
    <w:rsid w:val="00486FD3"/>
    <w:rsid w:val="004870B9"/>
    <w:rsid w:val="00487192"/>
    <w:rsid w:val="004871C8"/>
    <w:rsid w:val="004872DF"/>
    <w:rsid w:val="004873F6"/>
    <w:rsid w:val="00487608"/>
    <w:rsid w:val="00487745"/>
    <w:rsid w:val="00487AF2"/>
    <w:rsid w:val="00487E1D"/>
    <w:rsid w:val="00490004"/>
    <w:rsid w:val="0049028C"/>
    <w:rsid w:val="004902E4"/>
    <w:rsid w:val="004905CC"/>
    <w:rsid w:val="004908B5"/>
    <w:rsid w:val="004908F1"/>
    <w:rsid w:val="0049092E"/>
    <w:rsid w:val="00490BAF"/>
    <w:rsid w:val="00490F61"/>
    <w:rsid w:val="00491098"/>
    <w:rsid w:val="00491172"/>
    <w:rsid w:val="00491291"/>
    <w:rsid w:val="0049130D"/>
    <w:rsid w:val="0049136E"/>
    <w:rsid w:val="0049142F"/>
    <w:rsid w:val="0049143C"/>
    <w:rsid w:val="004917C5"/>
    <w:rsid w:val="00491991"/>
    <w:rsid w:val="00491E43"/>
    <w:rsid w:val="00491EF3"/>
    <w:rsid w:val="00491F86"/>
    <w:rsid w:val="00491FAD"/>
    <w:rsid w:val="004924A4"/>
    <w:rsid w:val="00492546"/>
    <w:rsid w:val="0049258E"/>
    <w:rsid w:val="00492658"/>
    <w:rsid w:val="0049277E"/>
    <w:rsid w:val="00492BA9"/>
    <w:rsid w:val="00492D59"/>
    <w:rsid w:val="00492F0F"/>
    <w:rsid w:val="00492FD5"/>
    <w:rsid w:val="00493218"/>
    <w:rsid w:val="00493256"/>
    <w:rsid w:val="00493407"/>
    <w:rsid w:val="0049348D"/>
    <w:rsid w:val="00493859"/>
    <w:rsid w:val="00493A87"/>
    <w:rsid w:val="00493B75"/>
    <w:rsid w:val="00493B91"/>
    <w:rsid w:val="00493BC2"/>
    <w:rsid w:val="00493CD8"/>
    <w:rsid w:val="00494001"/>
    <w:rsid w:val="00494176"/>
    <w:rsid w:val="0049419F"/>
    <w:rsid w:val="00494396"/>
    <w:rsid w:val="00494CA4"/>
    <w:rsid w:val="00494CFF"/>
    <w:rsid w:val="004952FE"/>
    <w:rsid w:val="00495757"/>
    <w:rsid w:val="004959E4"/>
    <w:rsid w:val="00495B06"/>
    <w:rsid w:val="00495F4C"/>
    <w:rsid w:val="004961CA"/>
    <w:rsid w:val="004963B1"/>
    <w:rsid w:val="0049654E"/>
    <w:rsid w:val="00496654"/>
    <w:rsid w:val="004966BF"/>
    <w:rsid w:val="00496795"/>
    <w:rsid w:val="004967FC"/>
    <w:rsid w:val="00496A73"/>
    <w:rsid w:val="00496B3A"/>
    <w:rsid w:val="00496BA0"/>
    <w:rsid w:val="00496EB7"/>
    <w:rsid w:val="00496F27"/>
    <w:rsid w:val="00497015"/>
    <w:rsid w:val="004971FE"/>
    <w:rsid w:val="0049728F"/>
    <w:rsid w:val="00497719"/>
    <w:rsid w:val="00497992"/>
    <w:rsid w:val="00497C59"/>
    <w:rsid w:val="00497F26"/>
    <w:rsid w:val="004A076B"/>
    <w:rsid w:val="004A0B43"/>
    <w:rsid w:val="004A0FB5"/>
    <w:rsid w:val="004A0FED"/>
    <w:rsid w:val="004A0FFC"/>
    <w:rsid w:val="004A1430"/>
    <w:rsid w:val="004A1643"/>
    <w:rsid w:val="004A1663"/>
    <w:rsid w:val="004A1724"/>
    <w:rsid w:val="004A187F"/>
    <w:rsid w:val="004A1DBB"/>
    <w:rsid w:val="004A1F04"/>
    <w:rsid w:val="004A1F59"/>
    <w:rsid w:val="004A223F"/>
    <w:rsid w:val="004A26BE"/>
    <w:rsid w:val="004A286B"/>
    <w:rsid w:val="004A2C05"/>
    <w:rsid w:val="004A2E0A"/>
    <w:rsid w:val="004A2E34"/>
    <w:rsid w:val="004A31FD"/>
    <w:rsid w:val="004A343A"/>
    <w:rsid w:val="004A3877"/>
    <w:rsid w:val="004A396C"/>
    <w:rsid w:val="004A3C0D"/>
    <w:rsid w:val="004A3D3E"/>
    <w:rsid w:val="004A416B"/>
    <w:rsid w:val="004A43F1"/>
    <w:rsid w:val="004A4486"/>
    <w:rsid w:val="004A45B1"/>
    <w:rsid w:val="004A4775"/>
    <w:rsid w:val="004A49BD"/>
    <w:rsid w:val="004A4D40"/>
    <w:rsid w:val="004A4EB9"/>
    <w:rsid w:val="004A5971"/>
    <w:rsid w:val="004A5BB7"/>
    <w:rsid w:val="004A5C08"/>
    <w:rsid w:val="004A5DA0"/>
    <w:rsid w:val="004A5FB8"/>
    <w:rsid w:val="004A5FE8"/>
    <w:rsid w:val="004A6676"/>
    <w:rsid w:val="004A6A0A"/>
    <w:rsid w:val="004A6B7D"/>
    <w:rsid w:val="004A6C23"/>
    <w:rsid w:val="004A6D92"/>
    <w:rsid w:val="004A7686"/>
    <w:rsid w:val="004A7881"/>
    <w:rsid w:val="004A789C"/>
    <w:rsid w:val="004A78D4"/>
    <w:rsid w:val="004A7A91"/>
    <w:rsid w:val="004A7D94"/>
    <w:rsid w:val="004A7F00"/>
    <w:rsid w:val="004B0166"/>
    <w:rsid w:val="004B06E2"/>
    <w:rsid w:val="004B13A1"/>
    <w:rsid w:val="004B151E"/>
    <w:rsid w:val="004B1664"/>
    <w:rsid w:val="004B16A2"/>
    <w:rsid w:val="004B16FD"/>
    <w:rsid w:val="004B177B"/>
    <w:rsid w:val="004B1B82"/>
    <w:rsid w:val="004B1DF9"/>
    <w:rsid w:val="004B21A7"/>
    <w:rsid w:val="004B2C65"/>
    <w:rsid w:val="004B319F"/>
    <w:rsid w:val="004B326A"/>
    <w:rsid w:val="004B32E0"/>
    <w:rsid w:val="004B341E"/>
    <w:rsid w:val="004B373F"/>
    <w:rsid w:val="004B37BD"/>
    <w:rsid w:val="004B38AB"/>
    <w:rsid w:val="004B3B1E"/>
    <w:rsid w:val="004B3FDC"/>
    <w:rsid w:val="004B4198"/>
    <w:rsid w:val="004B42D0"/>
    <w:rsid w:val="004B4550"/>
    <w:rsid w:val="004B458C"/>
    <w:rsid w:val="004B4600"/>
    <w:rsid w:val="004B50DB"/>
    <w:rsid w:val="004B51EC"/>
    <w:rsid w:val="004B51ED"/>
    <w:rsid w:val="004B524B"/>
    <w:rsid w:val="004B59E3"/>
    <w:rsid w:val="004B5B03"/>
    <w:rsid w:val="004B5BB0"/>
    <w:rsid w:val="004B5C0F"/>
    <w:rsid w:val="004B5C5B"/>
    <w:rsid w:val="004B5DB8"/>
    <w:rsid w:val="004B5F9D"/>
    <w:rsid w:val="004B6070"/>
    <w:rsid w:val="004B6110"/>
    <w:rsid w:val="004B6159"/>
    <w:rsid w:val="004B62F0"/>
    <w:rsid w:val="004B690B"/>
    <w:rsid w:val="004B6D66"/>
    <w:rsid w:val="004B6DD7"/>
    <w:rsid w:val="004B71AE"/>
    <w:rsid w:val="004B7251"/>
    <w:rsid w:val="004B7255"/>
    <w:rsid w:val="004B7362"/>
    <w:rsid w:val="004B7366"/>
    <w:rsid w:val="004B742F"/>
    <w:rsid w:val="004B74BA"/>
    <w:rsid w:val="004B74EF"/>
    <w:rsid w:val="004B7934"/>
    <w:rsid w:val="004B7CB7"/>
    <w:rsid w:val="004B7E36"/>
    <w:rsid w:val="004C026E"/>
    <w:rsid w:val="004C0494"/>
    <w:rsid w:val="004C05D1"/>
    <w:rsid w:val="004C074A"/>
    <w:rsid w:val="004C0918"/>
    <w:rsid w:val="004C0BFA"/>
    <w:rsid w:val="004C0C72"/>
    <w:rsid w:val="004C0CFA"/>
    <w:rsid w:val="004C0EF8"/>
    <w:rsid w:val="004C1624"/>
    <w:rsid w:val="004C18C6"/>
    <w:rsid w:val="004C1927"/>
    <w:rsid w:val="004C237D"/>
    <w:rsid w:val="004C244E"/>
    <w:rsid w:val="004C25D4"/>
    <w:rsid w:val="004C2727"/>
    <w:rsid w:val="004C2764"/>
    <w:rsid w:val="004C2860"/>
    <w:rsid w:val="004C2866"/>
    <w:rsid w:val="004C2D49"/>
    <w:rsid w:val="004C31F6"/>
    <w:rsid w:val="004C383E"/>
    <w:rsid w:val="004C3923"/>
    <w:rsid w:val="004C394C"/>
    <w:rsid w:val="004C3B1E"/>
    <w:rsid w:val="004C3C47"/>
    <w:rsid w:val="004C3D02"/>
    <w:rsid w:val="004C3E27"/>
    <w:rsid w:val="004C47BB"/>
    <w:rsid w:val="004C4993"/>
    <w:rsid w:val="004C49F6"/>
    <w:rsid w:val="004C4C21"/>
    <w:rsid w:val="004C5025"/>
    <w:rsid w:val="004C51B1"/>
    <w:rsid w:val="004C57DB"/>
    <w:rsid w:val="004C59BE"/>
    <w:rsid w:val="004C5A07"/>
    <w:rsid w:val="004C5B25"/>
    <w:rsid w:val="004C60A4"/>
    <w:rsid w:val="004C61C6"/>
    <w:rsid w:val="004C62C0"/>
    <w:rsid w:val="004C6572"/>
    <w:rsid w:val="004C6698"/>
    <w:rsid w:val="004C67E8"/>
    <w:rsid w:val="004C6924"/>
    <w:rsid w:val="004C6C56"/>
    <w:rsid w:val="004C6D64"/>
    <w:rsid w:val="004C76A0"/>
    <w:rsid w:val="004C7C01"/>
    <w:rsid w:val="004C7DA0"/>
    <w:rsid w:val="004C7F30"/>
    <w:rsid w:val="004D0715"/>
    <w:rsid w:val="004D0796"/>
    <w:rsid w:val="004D0A6D"/>
    <w:rsid w:val="004D0BBD"/>
    <w:rsid w:val="004D0E51"/>
    <w:rsid w:val="004D10F8"/>
    <w:rsid w:val="004D13D1"/>
    <w:rsid w:val="004D1408"/>
    <w:rsid w:val="004D16F2"/>
    <w:rsid w:val="004D1704"/>
    <w:rsid w:val="004D1953"/>
    <w:rsid w:val="004D200D"/>
    <w:rsid w:val="004D2382"/>
    <w:rsid w:val="004D263E"/>
    <w:rsid w:val="004D27AD"/>
    <w:rsid w:val="004D27AF"/>
    <w:rsid w:val="004D2DDA"/>
    <w:rsid w:val="004D2ED6"/>
    <w:rsid w:val="004D301B"/>
    <w:rsid w:val="004D338B"/>
    <w:rsid w:val="004D338E"/>
    <w:rsid w:val="004D3623"/>
    <w:rsid w:val="004D3644"/>
    <w:rsid w:val="004D3B5F"/>
    <w:rsid w:val="004D3DC7"/>
    <w:rsid w:val="004D3FFF"/>
    <w:rsid w:val="004D4368"/>
    <w:rsid w:val="004D43C6"/>
    <w:rsid w:val="004D4A36"/>
    <w:rsid w:val="004D4C4D"/>
    <w:rsid w:val="004D4F07"/>
    <w:rsid w:val="004D4F34"/>
    <w:rsid w:val="004D4FF3"/>
    <w:rsid w:val="004D51B2"/>
    <w:rsid w:val="004D56E5"/>
    <w:rsid w:val="004D5919"/>
    <w:rsid w:val="004D5EA8"/>
    <w:rsid w:val="004D6040"/>
    <w:rsid w:val="004D6094"/>
    <w:rsid w:val="004D6194"/>
    <w:rsid w:val="004D642C"/>
    <w:rsid w:val="004D6F17"/>
    <w:rsid w:val="004D7037"/>
    <w:rsid w:val="004D74A0"/>
    <w:rsid w:val="004D761B"/>
    <w:rsid w:val="004D7FCF"/>
    <w:rsid w:val="004E049D"/>
    <w:rsid w:val="004E058D"/>
    <w:rsid w:val="004E08B6"/>
    <w:rsid w:val="004E08DB"/>
    <w:rsid w:val="004E0ABA"/>
    <w:rsid w:val="004E0B65"/>
    <w:rsid w:val="004E0B8F"/>
    <w:rsid w:val="004E1101"/>
    <w:rsid w:val="004E12D2"/>
    <w:rsid w:val="004E1381"/>
    <w:rsid w:val="004E13B9"/>
    <w:rsid w:val="004E1435"/>
    <w:rsid w:val="004E1481"/>
    <w:rsid w:val="004E16C9"/>
    <w:rsid w:val="004E17AB"/>
    <w:rsid w:val="004E19FC"/>
    <w:rsid w:val="004E1BA0"/>
    <w:rsid w:val="004E1DA7"/>
    <w:rsid w:val="004E2198"/>
    <w:rsid w:val="004E23F0"/>
    <w:rsid w:val="004E2652"/>
    <w:rsid w:val="004E2C04"/>
    <w:rsid w:val="004E2F37"/>
    <w:rsid w:val="004E2F3F"/>
    <w:rsid w:val="004E3607"/>
    <w:rsid w:val="004E3CA8"/>
    <w:rsid w:val="004E3E78"/>
    <w:rsid w:val="004E40ED"/>
    <w:rsid w:val="004E41EE"/>
    <w:rsid w:val="004E42ED"/>
    <w:rsid w:val="004E4336"/>
    <w:rsid w:val="004E480F"/>
    <w:rsid w:val="004E4D52"/>
    <w:rsid w:val="004E4D91"/>
    <w:rsid w:val="004E4F62"/>
    <w:rsid w:val="004E4F7B"/>
    <w:rsid w:val="004E524D"/>
    <w:rsid w:val="004E52EF"/>
    <w:rsid w:val="004E53C0"/>
    <w:rsid w:val="004E53C8"/>
    <w:rsid w:val="004E54F9"/>
    <w:rsid w:val="004E59C4"/>
    <w:rsid w:val="004E59EF"/>
    <w:rsid w:val="004E5DD0"/>
    <w:rsid w:val="004E5FA0"/>
    <w:rsid w:val="004E6028"/>
    <w:rsid w:val="004E6070"/>
    <w:rsid w:val="004E60DA"/>
    <w:rsid w:val="004E62A5"/>
    <w:rsid w:val="004E64A1"/>
    <w:rsid w:val="004E6523"/>
    <w:rsid w:val="004E66E6"/>
    <w:rsid w:val="004E6AEC"/>
    <w:rsid w:val="004E6D00"/>
    <w:rsid w:val="004E711E"/>
    <w:rsid w:val="004E771C"/>
    <w:rsid w:val="004E7A42"/>
    <w:rsid w:val="004E7BEA"/>
    <w:rsid w:val="004E7C61"/>
    <w:rsid w:val="004F07BA"/>
    <w:rsid w:val="004F07D1"/>
    <w:rsid w:val="004F0A31"/>
    <w:rsid w:val="004F0AF6"/>
    <w:rsid w:val="004F0CD9"/>
    <w:rsid w:val="004F0DE0"/>
    <w:rsid w:val="004F0F70"/>
    <w:rsid w:val="004F11F4"/>
    <w:rsid w:val="004F12E1"/>
    <w:rsid w:val="004F136C"/>
    <w:rsid w:val="004F16AD"/>
    <w:rsid w:val="004F1B33"/>
    <w:rsid w:val="004F2023"/>
    <w:rsid w:val="004F210A"/>
    <w:rsid w:val="004F214C"/>
    <w:rsid w:val="004F24A7"/>
    <w:rsid w:val="004F2657"/>
    <w:rsid w:val="004F27E1"/>
    <w:rsid w:val="004F27E9"/>
    <w:rsid w:val="004F2845"/>
    <w:rsid w:val="004F29A6"/>
    <w:rsid w:val="004F2C86"/>
    <w:rsid w:val="004F2FB6"/>
    <w:rsid w:val="004F3003"/>
    <w:rsid w:val="004F3063"/>
    <w:rsid w:val="004F313A"/>
    <w:rsid w:val="004F3487"/>
    <w:rsid w:val="004F3579"/>
    <w:rsid w:val="004F35C3"/>
    <w:rsid w:val="004F39C0"/>
    <w:rsid w:val="004F4108"/>
    <w:rsid w:val="004F4284"/>
    <w:rsid w:val="004F456A"/>
    <w:rsid w:val="004F4A4F"/>
    <w:rsid w:val="004F4B42"/>
    <w:rsid w:val="004F4B65"/>
    <w:rsid w:val="004F4D58"/>
    <w:rsid w:val="004F51C2"/>
    <w:rsid w:val="004F555B"/>
    <w:rsid w:val="004F56A4"/>
    <w:rsid w:val="004F593C"/>
    <w:rsid w:val="004F5A3A"/>
    <w:rsid w:val="004F5A41"/>
    <w:rsid w:val="004F5B2E"/>
    <w:rsid w:val="004F5C4C"/>
    <w:rsid w:val="004F5E5F"/>
    <w:rsid w:val="004F5F50"/>
    <w:rsid w:val="004F620E"/>
    <w:rsid w:val="004F6460"/>
    <w:rsid w:val="004F654A"/>
    <w:rsid w:val="004F6623"/>
    <w:rsid w:val="004F671F"/>
    <w:rsid w:val="004F6C6C"/>
    <w:rsid w:val="004F6E5F"/>
    <w:rsid w:val="004F6ED5"/>
    <w:rsid w:val="004F7528"/>
    <w:rsid w:val="004F7849"/>
    <w:rsid w:val="004F78A3"/>
    <w:rsid w:val="004F7970"/>
    <w:rsid w:val="004F7ABF"/>
    <w:rsid w:val="004F7ECB"/>
    <w:rsid w:val="004F7F00"/>
    <w:rsid w:val="005003B5"/>
    <w:rsid w:val="005005BA"/>
    <w:rsid w:val="00500681"/>
    <w:rsid w:val="005008C1"/>
    <w:rsid w:val="00500B8C"/>
    <w:rsid w:val="00500E47"/>
    <w:rsid w:val="00500FA1"/>
    <w:rsid w:val="00501223"/>
    <w:rsid w:val="005015BB"/>
    <w:rsid w:val="005016A3"/>
    <w:rsid w:val="005018B0"/>
    <w:rsid w:val="00501AD2"/>
    <w:rsid w:val="00501B74"/>
    <w:rsid w:val="00501BEE"/>
    <w:rsid w:val="00501EC7"/>
    <w:rsid w:val="00501F7B"/>
    <w:rsid w:val="00502074"/>
    <w:rsid w:val="0050210E"/>
    <w:rsid w:val="00502177"/>
    <w:rsid w:val="005023CE"/>
    <w:rsid w:val="00502704"/>
    <w:rsid w:val="00503861"/>
    <w:rsid w:val="00503882"/>
    <w:rsid w:val="0050404F"/>
    <w:rsid w:val="0050411A"/>
    <w:rsid w:val="0050412C"/>
    <w:rsid w:val="0050417E"/>
    <w:rsid w:val="0050426D"/>
    <w:rsid w:val="00504702"/>
    <w:rsid w:val="00504A13"/>
    <w:rsid w:val="00504A8C"/>
    <w:rsid w:val="00504B1C"/>
    <w:rsid w:val="00504D2E"/>
    <w:rsid w:val="00504F2C"/>
    <w:rsid w:val="0050543F"/>
    <w:rsid w:val="00505613"/>
    <w:rsid w:val="00505813"/>
    <w:rsid w:val="005058C1"/>
    <w:rsid w:val="005059D4"/>
    <w:rsid w:val="00505A21"/>
    <w:rsid w:val="00505ABD"/>
    <w:rsid w:val="00505BF0"/>
    <w:rsid w:val="00505E4B"/>
    <w:rsid w:val="005062AB"/>
    <w:rsid w:val="005062E9"/>
    <w:rsid w:val="00506602"/>
    <w:rsid w:val="00506659"/>
    <w:rsid w:val="005067BF"/>
    <w:rsid w:val="00506D8E"/>
    <w:rsid w:val="00506E1A"/>
    <w:rsid w:val="00506E8F"/>
    <w:rsid w:val="005070EB"/>
    <w:rsid w:val="00507FCE"/>
    <w:rsid w:val="005101C9"/>
    <w:rsid w:val="005102E5"/>
    <w:rsid w:val="00510542"/>
    <w:rsid w:val="0051063A"/>
    <w:rsid w:val="005106BF"/>
    <w:rsid w:val="00510746"/>
    <w:rsid w:val="0051096F"/>
    <w:rsid w:val="005109C6"/>
    <w:rsid w:val="00510A16"/>
    <w:rsid w:val="00511065"/>
    <w:rsid w:val="00511426"/>
    <w:rsid w:val="00511549"/>
    <w:rsid w:val="0051161A"/>
    <w:rsid w:val="0051169E"/>
    <w:rsid w:val="00511B6F"/>
    <w:rsid w:val="00511C8B"/>
    <w:rsid w:val="00512257"/>
    <w:rsid w:val="0051232C"/>
    <w:rsid w:val="00512480"/>
    <w:rsid w:val="0051261B"/>
    <w:rsid w:val="0051282D"/>
    <w:rsid w:val="00512DEB"/>
    <w:rsid w:val="00513561"/>
    <w:rsid w:val="00513602"/>
    <w:rsid w:val="00513609"/>
    <w:rsid w:val="00513669"/>
    <w:rsid w:val="00513741"/>
    <w:rsid w:val="005137BE"/>
    <w:rsid w:val="00513F45"/>
    <w:rsid w:val="0051473A"/>
    <w:rsid w:val="00514793"/>
    <w:rsid w:val="00514823"/>
    <w:rsid w:val="00514951"/>
    <w:rsid w:val="00514DE1"/>
    <w:rsid w:val="00514EBD"/>
    <w:rsid w:val="00515208"/>
    <w:rsid w:val="00515288"/>
    <w:rsid w:val="0051563C"/>
    <w:rsid w:val="00515793"/>
    <w:rsid w:val="005158F8"/>
    <w:rsid w:val="00515F06"/>
    <w:rsid w:val="005161C0"/>
    <w:rsid w:val="00516297"/>
    <w:rsid w:val="00516B66"/>
    <w:rsid w:val="00516EB8"/>
    <w:rsid w:val="00516F5C"/>
    <w:rsid w:val="00517176"/>
    <w:rsid w:val="00517709"/>
    <w:rsid w:val="00517870"/>
    <w:rsid w:val="00517920"/>
    <w:rsid w:val="005179A2"/>
    <w:rsid w:val="00517A0C"/>
    <w:rsid w:val="00517A9A"/>
    <w:rsid w:val="00517E12"/>
    <w:rsid w:val="005200C0"/>
    <w:rsid w:val="0052014B"/>
    <w:rsid w:val="005201C5"/>
    <w:rsid w:val="0052025B"/>
    <w:rsid w:val="005206DA"/>
    <w:rsid w:val="005206DC"/>
    <w:rsid w:val="00520E23"/>
    <w:rsid w:val="0052106C"/>
    <w:rsid w:val="005211BA"/>
    <w:rsid w:val="005212A3"/>
    <w:rsid w:val="00521345"/>
    <w:rsid w:val="0052194E"/>
    <w:rsid w:val="005219D5"/>
    <w:rsid w:val="00521B8C"/>
    <w:rsid w:val="00521C62"/>
    <w:rsid w:val="0052224B"/>
    <w:rsid w:val="005228F1"/>
    <w:rsid w:val="00522943"/>
    <w:rsid w:val="005229F8"/>
    <w:rsid w:val="00522A0A"/>
    <w:rsid w:val="00522CBF"/>
    <w:rsid w:val="00522FAF"/>
    <w:rsid w:val="00523253"/>
    <w:rsid w:val="00523399"/>
    <w:rsid w:val="0052350E"/>
    <w:rsid w:val="005236E2"/>
    <w:rsid w:val="0052375B"/>
    <w:rsid w:val="005237A4"/>
    <w:rsid w:val="00523AC7"/>
    <w:rsid w:val="00523B8F"/>
    <w:rsid w:val="00523BAA"/>
    <w:rsid w:val="00523FD8"/>
    <w:rsid w:val="005241DC"/>
    <w:rsid w:val="005242E7"/>
    <w:rsid w:val="00524340"/>
    <w:rsid w:val="005243F6"/>
    <w:rsid w:val="005244EC"/>
    <w:rsid w:val="00524D1D"/>
    <w:rsid w:val="00524D3E"/>
    <w:rsid w:val="00524F68"/>
    <w:rsid w:val="00525046"/>
    <w:rsid w:val="005250BE"/>
    <w:rsid w:val="00525315"/>
    <w:rsid w:val="00525339"/>
    <w:rsid w:val="005253A6"/>
    <w:rsid w:val="00525400"/>
    <w:rsid w:val="00525405"/>
    <w:rsid w:val="005254D5"/>
    <w:rsid w:val="005259F0"/>
    <w:rsid w:val="00525B9F"/>
    <w:rsid w:val="00525FB2"/>
    <w:rsid w:val="00526052"/>
    <w:rsid w:val="005260B8"/>
    <w:rsid w:val="005261D0"/>
    <w:rsid w:val="0052635C"/>
    <w:rsid w:val="00526548"/>
    <w:rsid w:val="00526870"/>
    <w:rsid w:val="00526AD9"/>
    <w:rsid w:val="00526E54"/>
    <w:rsid w:val="00527293"/>
    <w:rsid w:val="005274EA"/>
    <w:rsid w:val="005274FC"/>
    <w:rsid w:val="005277D3"/>
    <w:rsid w:val="005277F2"/>
    <w:rsid w:val="00527D5C"/>
    <w:rsid w:val="0053004B"/>
    <w:rsid w:val="005302DE"/>
    <w:rsid w:val="00530698"/>
    <w:rsid w:val="0053088C"/>
    <w:rsid w:val="00531581"/>
    <w:rsid w:val="0053174D"/>
    <w:rsid w:val="00531851"/>
    <w:rsid w:val="00532064"/>
    <w:rsid w:val="00532980"/>
    <w:rsid w:val="00532EC6"/>
    <w:rsid w:val="00532F74"/>
    <w:rsid w:val="00533473"/>
    <w:rsid w:val="00533518"/>
    <w:rsid w:val="0053374F"/>
    <w:rsid w:val="00533AC8"/>
    <w:rsid w:val="00533C29"/>
    <w:rsid w:val="00533D82"/>
    <w:rsid w:val="00533E83"/>
    <w:rsid w:val="00533F18"/>
    <w:rsid w:val="00533FBA"/>
    <w:rsid w:val="005340FA"/>
    <w:rsid w:val="00534130"/>
    <w:rsid w:val="00534902"/>
    <w:rsid w:val="00534AB4"/>
    <w:rsid w:val="00534AD7"/>
    <w:rsid w:val="00535443"/>
    <w:rsid w:val="005355FB"/>
    <w:rsid w:val="0053594B"/>
    <w:rsid w:val="00535988"/>
    <w:rsid w:val="005359B6"/>
    <w:rsid w:val="00535ACC"/>
    <w:rsid w:val="00535DBB"/>
    <w:rsid w:val="00535E19"/>
    <w:rsid w:val="005362FD"/>
    <w:rsid w:val="00536898"/>
    <w:rsid w:val="00536C92"/>
    <w:rsid w:val="00536FCC"/>
    <w:rsid w:val="0053709E"/>
    <w:rsid w:val="00537247"/>
    <w:rsid w:val="005374CA"/>
    <w:rsid w:val="005378F6"/>
    <w:rsid w:val="005379AC"/>
    <w:rsid w:val="00537D26"/>
    <w:rsid w:val="0054002F"/>
    <w:rsid w:val="005401DF"/>
    <w:rsid w:val="0054051B"/>
    <w:rsid w:val="0054083B"/>
    <w:rsid w:val="00540B40"/>
    <w:rsid w:val="00540C75"/>
    <w:rsid w:val="00540CC3"/>
    <w:rsid w:val="005413B6"/>
    <w:rsid w:val="00541508"/>
    <w:rsid w:val="005416A8"/>
    <w:rsid w:val="0054189D"/>
    <w:rsid w:val="00541FEA"/>
    <w:rsid w:val="00542061"/>
    <w:rsid w:val="00542196"/>
    <w:rsid w:val="00542A33"/>
    <w:rsid w:val="00542C62"/>
    <w:rsid w:val="00542E52"/>
    <w:rsid w:val="0054322A"/>
    <w:rsid w:val="00543272"/>
    <w:rsid w:val="005434EA"/>
    <w:rsid w:val="00543518"/>
    <w:rsid w:val="00543640"/>
    <w:rsid w:val="005436A8"/>
    <w:rsid w:val="00543727"/>
    <w:rsid w:val="00543CD3"/>
    <w:rsid w:val="00543D32"/>
    <w:rsid w:val="005443A3"/>
    <w:rsid w:val="00544430"/>
    <w:rsid w:val="00544598"/>
    <w:rsid w:val="005446EA"/>
    <w:rsid w:val="005447EC"/>
    <w:rsid w:val="00544F90"/>
    <w:rsid w:val="00545135"/>
    <w:rsid w:val="0054513F"/>
    <w:rsid w:val="00545259"/>
    <w:rsid w:val="005456E5"/>
    <w:rsid w:val="005457CA"/>
    <w:rsid w:val="00545A57"/>
    <w:rsid w:val="00545BAF"/>
    <w:rsid w:val="00545E41"/>
    <w:rsid w:val="00545E97"/>
    <w:rsid w:val="00546178"/>
    <w:rsid w:val="005462B2"/>
    <w:rsid w:val="00546C6A"/>
    <w:rsid w:val="00547760"/>
    <w:rsid w:val="00547867"/>
    <w:rsid w:val="00547B14"/>
    <w:rsid w:val="00550183"/>
    <w:rsid w:val="005503FB"/>
    <w:rsid w:val="0055047C"/>
    <w:rsid w:val="00550546"/>
    <w:rsid w:val="00550989"/>
    <w:rsid w:val="00550AB1"/>
    <w:rsid w:val="00550EEE"/>
    <w:rsid w:val="00551115"/>
    <w:rsid w:val="00551155"/>
    <w:rsid w:val="00551205"/>
    <w:rsid w:val="005512BD"/>
    <w:rsid w:val="0055150B"/>
    <w:rsid w:val="00551659"/>
    <w:rsid w:val="005516DB"/>
    <w:rsid w:val="0055179A"/>
    <w:rsid w:val="00551A5E"/>
    <w:rsid w:val="00551DDF"/>
    <w:rsid w:val="005521CB"/>
    <w:rsid w:val="0055238A"/>
    <w:rsid w:val="00552524"/>
    <w:rsid w:val="00552803"/>
    <w:rsid w:val="00552CB9"/>
    <w:rsid w:val="0055349E"/>
    <w:rsid w:val="00553859"/>
    <w:rsid w:val="005538ED"/>
    <w:rsid w:val="005539F8"/>
    <w:rsid w:val="00553B0B"/>
    <w:rsid w:val="00553DF2"/>
    <w:rsid w:val="00554237"/>
    <w:rsid w:val="005544D8"/>
    <w:rsid w:val="00554623"/>
    <w:rsid w:val="00554811"/>
    <w:rsid w:val="0055484C"/>
    <w:rsid w:val="0055496A"/>
    <w:rsid w:val="005550C8"/>
    <w:rsid w:val="00555344"/>
    <w:rsid w:val="0055561B"/>
    <w:rsid w:val="005556D1"/>
    <w:rsid w:val="0055576B"/>
    <w:rsid w:val="0055580F"/>
    <w:rsid w:val="00555818"/>
    <w:rsid w:val="0055604C"/>
    <w:rsid w:val="005561E3"/>
    <w:rsid w:val="00556567"/>
    <w:rsid w:val="00556BFE"/>
    <w:rsid w:val="0055729E"/>
    <w:rsid w:val="00557743"/>
    <w:rsid w:val="005579B5"/>
    <w:rsid w:val="005579E5"/>
    <w:rsid w:val="00557B5B"/>
    <w:rsid w:val="00560155"/>
    <w:rsid w:val="00560874"/>
    <w:rsid w:val="00560987"/>
    <w:rsid w:val="00560AD9"/>
    <w:rsid w:val="00560C62"/>
    <w:rsid w:val="00560CA8"/>
    <w:rsid w:val="00560FD3"/>
    <w:rsid w:val="00560FDC"/>
    <w:rsid w:val="0056110E"/>
    <w:rsid w:val="00561449"/>
    <w:rsid w:val="00561453"/>
    <w:rsid w:val="0056188E"/>
    <w:rsid w:val="00561CB0"/>
    <w:rsid w:val="00561CD6"/>
    <w:rsid w:val="00561F7A"/>
    <w:rsid w:val="005621D5"/>
    <w:rsid w:val="00562522"/>
    <w:rsid w:val="00562572"/>
    <w:rsid w:val="00562886"/>
    <w:rsid w:val="00562888"/>
    <w:rsid w:val="00562AA3"/>
    <w:rsid w:val="00562C78"/>
    <w:rsid w:val="00562DE1"/>
    <w:rsid w:val="00562F61"/>
    <w:rsid w:val="00562FC5"/>
    <w:rsid w:val="00563467"/>
    <w:rsid w:val="005636BD"/>
    <w:rsid w:val="00563733"/>
    <w:rsid w:val="005637DD"/>
    <w:rsid w:val="00563A7F"/>
    <w:rsid w:val="00563AB2"/>
    <w:rsid w:val="00563AD0"/>
    <w:rsid w:val="00563EC0"/>
    <w:rsid w:val="0056460F"/>
    <w:rsid w:val="00564620"/>
    <w:rsid w:val="0056490A"/>
    <w:rsid w:val="0056497D"/>
    <w:rsid w:val="00564CF4"/>
    <w:rsid w:val="00564D6A"/>
    <w:rsid w:val="0056503B"/>
    <w:rsid w:val="00565099"/>
    <w:rsid w:val="005653E3"/>
    <w:rsid w:val="00565AE7"/>
    <w:rsid w:val="00565AEF"/>
    <w:rsid w:val="00565CBB"/>
    <w:rsid w:val="00565D10"/>
    <w:rsid w:val="0056616B"/>
    <w:rsid w:val="00566180"/>
    <w:rsid w:val="00566266"/>
    <w:rsid w:val="005662B3"/>
    <w:rsid w:val="005662F4"/>
    <w:rsid w:val="005663D2"/>
    <w:rsid w:val="005664EF"/>
    <w:rsid w:val="005665D4"/>
    <w:rsid w:val="00566BD4"/>
    <w:rsid w:val="00566FC4"/>
    <w:rsid w:val="0056705F"/>
    <w:rsid w:val="00567279"/>
    <w:rsid w:val="005676E4"/>
    <w:rsid w:val="005678BB"/>
    <w:rsid w:val="0057002B"/>
    <w:rsid w:val="0057012B"/>
    <w:rsid w:val="005701E4"/>
    <w:rsid w:val="00571052"/>
    <w:rsid w:val="0057106D"/>
    <w:rsid w:val="005710E8"/>
    <w:rsid w:val="005711A2"/>
    <w:rsid w:val="00571364"/>
    <w:rsid w:val="005713BC"/>
    <w:rsid w:val="00571683"/>
    <w:rsid w:val="00571CCE"/>
    <w:rsid w:val="00571CE8"/>
    <w:rsid w:val="005724F1"/>
    <w:rsid w:val="00572EFB"/>
    <w:rsid w:val="00573718"/>
    <w:rsid w:val="005737EA"/>
    <w:rsid w:val="0057385A"/>
    <w:rsid w:val="00573AC9"/>
    <w:rsid w:val="00573BBC"/>
    <w:rsid w:val="00573CEB"/>
    <w:rsid w:val="00573EFB"/>
    <w:rsid w:val="005741CE"/>
    <w:rsid w:val="005742B5"/>
    <w:rsid w:val="005742FC"/>
    <w:rsid w:val="005743B5"/>
    <w:rsid w:val="005744A5"/>
    <w:rsid w:val="005745FB"/>
    <w:rsid w:val="00574639"/>
    <w:rsid w:val="005746EB"/>
    <w:rsid w:val="00574AC0"/>
    <w:rsid w:val="00574C43"/>
    <w:rsid w:val="00574E03"/>
    <w:rsid w:val="005752D8"/>
    <w:rsid w:val="00575922"/>
    <w:rsid w:val="00575994"/>
    <w:rsid w:val="00575D0C"/>
    <w:rsid w:val="0057614A"/>
    <w:rsid w:val="00576185"/>
    <w:rsid w:val="00576243"/>
    <w:rsid w:val="0057664E"/>
    <w:rsid w:val="00576F9C"/>
    <w:rsid w:val="00577632"/>
    <w:rsid w:val="00577B35"/>
    <w:rsid w:val="00577BC9"/>
    <w:rsid w:val="00577CFA"/>
    <w:rsid w:val="00580570"/>
    <w:rsid w:val="005806B5"/>
    <w:rsid w:val="005806FF"/>
    <w:rsid w:val="00580F5F"/>
    <w:rsid w:val="00580FCC"/>
    <w:rsid w:val="005810B8"/>
    <w:rsid w:val="00581126"/>
    <w:rsid w:val="00581157"/>
    <w:rsid w:val="005812E9"/>
    <w:rsid w:val="00581333"/>
    <w:rsid w:val="00581663"/>
    <w:rsid w:val="005816EA"/>
    <w:rsid w:val="005817FA"/>
    <w:rsid w:val="00581D4B"/>
    <w:rsid w:val="00581F5F"/>
    <w:rsid w:val="0058232B"/>
    <w:rsid w:val="005824C7"/>
    <w:rsid w:val="0058275F"/>
    <w:rsid w:val="00583046"/>
    <w:rsid w:val="0058310C"/>
    <w:rsid w:val="0058318B"/>
    <w:rsid w:val="00583337"/>
    <w:rsid w:val="00583778"/>
    <w:rsid w:val="0058377E"/>
    <w:rsid w:val="00583803"/>
    <w:rsid w:val="00583AEC"/>
    <w:rsid w:val="00583E7D"/>
    <w:rsid w:val="005843D6"/>
    <w:rsid w:val="0058493D"/>
    <w:rsid w:val="00584AC8"/>
    <w:rsid w:val="00584C1D"/>
    <w:rsid w:val="005850FB"/>
    <w:rsid w:val="00585564"/>
    <w:rsid w:val="005858DC"/>
    <w:rsid w:val="00585F92"/>
    <w:rsid w:val="00586865"/>
    <w:rsid w:val="00586A07"/>
    <w:rsid w:val="00587238"/>
    <w:rsid w:val="005873B1"/>
    <w:rsid w:val="0058755E"/>
    <w:rsid w:val="005901E2"/>
    <w:rsid w:val="0059023D"/>
    <w:rsid w:val="005902AC"/>
    <w:rsid w:val="005904F1"/>
    <w:rsid w:val="005906FB"/>
    <w:rsid w:val="00590921"/>
    <w:rsid w:val="00590F08"/>
    <w:rsid w:val="00590F72"/>
    <w:rsid w:val="00590FBD"/>
    <w:rsid w:val="005910B6"/>
    <w:rsid w:val="00591637"/>
    <w:rsid w:val="005917AA"/>
    <w:rsid w:val="00591A04"/>
    <w:rsid w:val="00591A2C"/>
    <w:rsid w:val="00591B2C"/>
    <w:rsid w:val="005924BB"/>
    <w:rsid w:val="0059250E"/>
    <w:rsid w:val="005928CE"/>
    <w:rsid w:val="00592926"/>
    <w:rsid w:val="005929ED"/>
    <w:rsid w:val="00592E09"/>
    <w:rsid w:val="00592E1E"/>
    <w:rsid w:val="005933C3"/>
    <w:rsid w:val="005938E4"/>
    <w:rsid w:val="00593DDC"/>
    <w:rsid w:val="0059419A"/>
    <w:rsid w:val="005943C0"/>
    <w:rsid w:val="0059445B"/>
    <w:rsid w:val="00594510"/>
    <w:rsid w:val="005945E3"/>
    <w:rsid w:val="00594650"/>
    <w:rsid w:val="005946C0"/>
    <w:rsid w:val="00594775"/>
    <w:rsid w:val="00594A6A"/>
    <w:rsid w:val="00594D40"/>
    <w:rsid w:val="00594E16"/>
    <w:rsid w:val="00594F81"/>
    <w:rsid w:val="00595161"/>
    <w:rsid w:val="0059531C"/>
    <w:rsid w:val="005954A5"/>
    <w:rsid w:val="0059571C"/>
    <w:rsid w:val="0059572E"/>
    <w:rsid w:val="00595A7F"/>
    <w:rsid w:val="0059602B"/>
    <w:rsid w:val="00596058"/>
    <w:rsid w:val="0059607C"/>
    <w:rsid w:val="0059646B"/>
    <w:rsid w:val="005968BC"/>
    <w:rsid w:val="00596B82"/>
    <w:rsid w:val="00596E76"/>
    <w:rsid w:val="00596F77"/>
    <w:rsid w:val="00597166"/>
    <w:rsid w:val="00597285"/>
    <w:rsid w:val="0059740B"/>
    <w:rsid w:val="0059756B"/>
    <w:rsid w:val="005976C6"/>
    <w:rsid w:val="005976CA"/>
    <w:rsid w:val="005976CE"/>
    <w:rsid w:val="00597706"/>
    <w:rsid w:val="00597779"/>
    <w:rsid w:val="00597C64"/>
    <w:rsid w:val="00597DC3"/>
    <w:rsid w:val="00597DE6"/>
    <w:rsid w:val="005A00CA"/>
    <w:rsid w:val="005A04FD"/>
    <w:rsid w:val="005A0757"/>
    <w:rsid w:val="005A07FC"/>
    <w:rsid w:val="005A0D79"/>
    <w:rsid w:val="005A0EC1"/>
    <w:rsid w:val="005A0FCA"/>
    <w:rsid w:val="005A0FF5"/>
    <w:rsid w:val="005A1075"/>
    <w:rsid w:val="005A1C49"/>
    <w:rsid w:val="005A1C9F"/>
    <w:rsid w:val="005A1EC4"/>
    <w:rsid w:val="005A205C"/>
    <w:rsid w:val="005A20D3"/>
    <w:rsid w:val="005A28BA"/>
    <w:rsid w:val="005A2A20"/>
    <w:rsid w:val="005A2BC6"/>
    <w:rsid w:val="005A3130"/>
    <w:rsid w:val="005A3337"/>
    <w:rsid w:val="005A3446"/>
    <w:rsid w:val="005A3830"/>
    <w:rsid w:val="005A3C59"/>
    <w:rsid w:val="005A3D00"/>
    <w:rsid w:val="005A3E26"/>
    <w:rsid w:val="005A3EC4"/>
    <w:rsid w:val="005A3F8E"/>
    <w:rsid w:val="005A40D3"/>
    <w:rsid w:val="005A417E"/>
    <w:rsid w:val="005A417F"/>
    <w:rsid w:val="005A42C0"/>
    <w:rsid w:val="005A43B2"/>
    <w:rsid w:val="005A441C"/>
    <w:rsid w:val="005A48D4"/>
    <w:rsid w:val="005A4B19"/>
    <w:rsid w:val="005A4C88"/>
    <w:rsid w:val="005A575C"/>
    <w:rsid w:val="005A58C8"/>
    <w:rsid w:val="005A5E30"/>
    <w:rsid w:val="005A5E9F"/>
    <w:rsid w:val="005A5F03"/>
    <w:rsid w:val="005A634B"/>
    <w:rsid w:val="005A6814"/>
    <w:rsid w:val="005A6878"/>
    <w:rsid w:val="005A68EC"/>
    <w:rsid w:val="005A6E65"/>
    <w:rsid w:val="005A702E"/>
    <w:rsid w:val="005A707B"/>
    <w:rsid w:val="005A74B6"/>
    <w:rsid w:val="005A7527"/>
    <w:rsid w:val="005A7ABF"/>
    <w:rsid w:val="005A7D0C"/>
    <w:rsid w:val="005A7D53"/>
    <w:rsid w:val="005A7FC2"/>
    <w:rsid w:val="005B03F5"/>
    <w:rsid w:val="005B08FE"/>
    <w:rsid w:val="005B0963"/>
    <w:rsid w:val="005B0BFA"/>
    <w:rsid w:val="005B0F92"/>
    <w:rsid w:val="005B10D3"/>
    <w:rsid w:val="005B13AE"/>
    <w:rsid w:val="005B16CA"/>
    <w:rsid w:val="005B1CE3"/>
    <w:rsid w:val="005B1CEE"/>
    <w:rsid w:val="005B1D72"/>
    <w:rsid w:val="005B1D73"/>
    <w:rsid w:val="005B1D82"/>
    <w:rsid w:val="005B1F28"/>
    <w:rsid w:val="005B2064"/>
    <w:rsid w:val="005B2407"/>
    <w:rsid w:val="005B261D"/>
    <w:rsid w:val="005B2635"/>
    <w:rsid w:val="005B2943"/>
    <w:rsid w:val="005B2AA9"/>
    <w:rsid w:val="005B2C2C"/>
    <w:rsid w:val="005B2FD0"/>
    <w:rsid w:val="005B301A"/>
    <w:rsid w:val="005B31EA"/>
    <w:rsid w:val="005B35C2"/>
    <w:rsid w:val="005B3644"/>
    <w:rsid w:val="005B36DA"/>
    <w:rsid w:val="005B39E8"/>
    <w:rsid w:val="005B3F79"/>
    <w:rsid w:val="005B4202"/>
    <w:rsid w:val="005B4623"/>
    <w:rsid w:val="005B49CD"/>
    <w:rsid w:val="005B4A6B"/>
    <w:rsid w:val="005B4C3D"/>
    <w:rsid w:val="005B4CB4"/>
    <w:rsid w:val="005B4CDF"/>
    <w:rsid w:val="005B5094"/>
    <w:rsid w:val="005B524D"/>
    <w:rsid w:val="005B52A4"/>
    <w:rsid w:val="005B5C1E"/>
    <w:rsid w:val="005B5DBB"/>
    <w:rsid w:val="005B5F34"/>
    <w:rsid w:val="005B61A2"/>
    <w:rsid w:val="005B658C"/>
    <w:rsid w:val="005B6A23"/>
    <w:rsid w:val="005B6F57"/>
    <w:rsid w:val="005B79AB"/>
    <w:rsid w:val="005B7B62"/>
    <w:rsid w:val="005B7CF3"/>
    <w:rsid w:val="005C032A"/>
    <w:rsid w:val="005C0520"/>
    <w:rsid w:val="005C06CC"/>
    <w:rsid w:val="005C0A2D"/>
    <w:rsid w:val="005C0DF5"/>
    <w:rsid w:val="005C13FC"/>
    <w:rsid w:val="005C14FC"/>
    <w:rsid w:val="005C165A"/>
    <w:rsid w:val="005C1CBD"/>
    <w:rsid w:val="005C1D45"/>
    <w:rsid w:val="005C2CB1"/>
    <w:rsid w:val="005C2CF1"/>
    <w:rsid w:val="005C32A0"/>
    <w:rsid w:val="005C32CD"/>
    <w:rsid w:val="005C397C"/>
    <w:rsid w:val="005C3A8C"/>
    <w:rsid w:val="005C3E1F"/>
    <w:rsid w:val="005C4230"/>
    <w:rsid w:val="005C4291"/>
    <w:rsid w:val="005C42AC"/>
    <w:rsid w:val="005C4975"/>
    <w:rsid w:val="005C4B2E"/>
    <w:rsid w:val="005C4B74"/>
    <w:rsid w:val="005C4BC4"/>
    <w:rsid w:val="005C4C45"/>
    <w:rsid w:val="005C5085"/>
    <w:rsid w:val="005C5913"/>
    <w:rsid w:val="005C5AC3"/>
    <w:rsid w:val="005C5B5E"/>
    <w:rsid w:val="005C6071"/>
    <w:rsid w:val="005C6C33"/>
    <w:rsid w:val="005C6CED"/>
    <w:rsid w:val="005C6CFB"/>
    <w:rsid w:val="005C6E09"/>
    <w:rsid w:val="005C6F0B"/>
    <w:rsid w:val="005C703E"/>
    <w:rsid w:val="005C7428"/>
    <w:rsid w:val="005C7638"/>
    <w:rsid w:val="005C79DF"/>
    <w:rsid w:val="005C7C0E"/>
    <w:rsid w:val="005C7ED3"/>
    <w:rsid w:val="005D0213"/>
    <w:rsid w:val="005D032B"/>
    <w:rsid w:val="005D0464"/>
    <w:rsid w:val="005D094D"/>
    <w:rsid w:val="005D0D0C"/>
    <w:rsid w:val="005D0F7D"/>
    <w:rsid w:val="005D10B5"/>
    <w:rsid w:val="005D1569"/>
    <w:rsid w:val="005D158A"/>
    <w:rsid w:val="005D176E"/>
    <w:rsid w:val="005D27A2"/>
    <w:rsid w:val="005D2870"/>
    <w:rsid w:val="005D2BC2"/>
    <w:rsid w:val="005D2DBB"/>
    <w:rsid w:val="005D2DED"/>
    <w:rsid w:val="005D2F0E"/>
    <w:rsid w:val="005D31DD"/>
    <w:rsid w:val="005D3476"/>
    <w:rsid w:val="005D3D39"/>
    <w:rsid w:val="005D3D61"/>
    <w:rsid w:val="005D472A"/>
    <w:rsid w:val="005D4744"/>
    <w:rsid w:val="005D47EC"/>
    <w:rsid w:val="005D4931"/>
    <w:rsid w:val="005D4BB3"/>
    <w:rsid w:val="005D4D95"/>
    <w:rsid w:val="005D4E06"/>
    <w:rsid w:val="005D50BE"/>
    <w:rsid w:val="005D5228"/>
    <w:rsid w:val="005D56CE"/>
    <w:rsid w:val="005D56D5"/>
    <w:rsid w:val="005D5793"/>
    <w:rsid w:val="005D593D"/>
    <w:rsid w:val="005D5B81"/>
    <w:rsid w:val="005D5C8E"/>
    <w:rsid w:val="005D612E"/>
    <w:rsid w:val="005D63F3"/>
    <w:rsid w:val="005D64B2"/>
    <w:rsid w:val="005D67FC"/>
    <w:rsid w:val="005D6828"/>
    <w:rsid w:val="005D68D8"/>
    <w:rsid w:val="005D6CC9"/>
    <w:rsid w:val="005D6DC9"/>
    <w:rsid w:val="005D6F71"/>
    <w:rsid w:val="005D7436"/>
    <w:rsid w:val="005D74F7"/>
    <w:rsid w:val="005D755B"/>
    <w:rsid w:val="005D767F"/>
    <w:rsid w:val="005E007B"/>
    <w:rsid w:val="005E00B1"/>
    <w:rsid w:val="005E0B64"/>
    <w:rsid w:val="005E0DB5"/>
    <w:rsid w:val="005E0DC8"/>
    <w:rsid w:val="005E0F08"/>
    <w:rsid w:val="005E102F"/>
    <w:rsid w:val="005E182D"/>
    <w:rsid w:val="005E18D7"/>
    <w:rsid w:val="005E1D1F"/>
    <w:rsid w:val="005E1DFD"/>
    <w:rsid w:val="005E1F78"/>
    <w:rsid w:val="005E1FE3"/>
    <w:rsid w:val="005E2022"/>
    <w:rsid w:val="005E254B"/>
    <w:rsid w:val="005E27F7"/>
    <w:rsid w:val="005E29FD"/>
    <w:rsid w:val="005E2CED"/>
    <w:rsid w:val="005E3506"/>
    <w:rsid w:val="005E358E"/>
    <w:rsid w:val="005E3687"/>
    <w:rsid w:val="005E37F9"/>
    <w:rsid w:val="005E39B9"/>
    <w:rsid w:val="005E3F77"/>
    <w:rsid w:val="005E3FDB"/>
    <w:rsid w:val="005E405C"/>
    <w:rsid w:val="005E43B2"/>
    <w:rsid w:val="005E43C1"/>
    <w:rsid w:val="005E454B"/>
    <w:rsid w:val="005E4A4E"/>
    <w:rsid w:val="005E4C8C"/>
    <w:rsid w:val="005E53BD"/>
    <w:rsid w:val="005E553E"/>
    <w:rsid w:val="005E5742"/>
    <w:rsid w:val="005E5ACC"/>
    <w:rsid w:val="005E5EAC"/>
    <w:rsid w:val="005E6063"/>
    <w:rsid w:val="005E662F"/>
    <w:rsid w:val="005E66FA"/>
    <w:rsid w:val="005E6755"/>
    <w:rsid w:val="005E67CC"/>
    <w:rsid w:val="005E6AA0"/>
    <w:rsid w:val="005E6C1E"/>
    <w:rsid w:val="005E6EC9"/>
    <w:rsid w:val="005E6FCD"/>
    <w:rsid w:val="005E7428"/>
    <w:rsid w:val="005E7746"/>
    <w:rsid w:val="005E77DC"/>
    <w:rsid w:val="005E7849"/>
    <w:rsid w:val="005E78A2"/>
    <w:rsid w:val="005E7A2B"/>
    <w:rsid w:val="005E7D7A"/>
    <w:rsid w:val="005F08A6"/>
    <w:rsid w:val="005F093B"/>
    <w:rsid w:val="005F0BEC"/>
    <w:rsid w:val="005F0CF8"/>
    <w:rsid w:val="005F0F12"/>
    <w:rsid w:val="005F0F46"/>
    <w:rsid w:val="005F12EF"/>
    <w:rsid w:val="005F15EE"/>
    <w:rsid w:val="005F1AB5"/>
    <w:rsid w:val="005F1ADE"/>
    <w:rsid w:val="005F1B19"/>
    <w:rsid w:val="005F1C02"/>
    <w:rsid w:val="005F1D1D"/>
    <w:rsid w:val="005F1E27"/>
    <w:rsid w:val="005F2222"/>
    <w:rsid w:val="005F2270"/>
    <w:rsid w:val="005F22A7"/>
    <w:rsid w:val="005F2368"/>
    <w:rsid w:val="005F27E1"/>
    <w:rsid w:val="005F287C"/>
    <w:rsid w:val="005F2F73"/>
    <w:rsid w:val="005F30EA"/>
    <w:rsid w:val="005F316D"/>
    <w:rsid w:val="005F345C"/>
    <w:rsid w:val="005F35C9"/>
    <w:rsid w:val="005F366D"/>
    <w:rsid w:val="005F36AB"/>
    <w:rsid w:val="005F3FAF"/>
    <w:rsid w:val="005F4018"/>
    <w:rsid w:val="005F41BF"/>
    <w:rsid w:val="005F4679"/>
    <w:rsid w:val="005F480B"/>
    <w:rsid w:val="005F4C81"/>
    <w:rsid w:val="005F4D27"/>
    <w:rsid w:val="005F514F"/>
    <w:rsid w:val="005F5281"/>
    <w:rsid w:val="005F549D"/>
    <w:rsid w:val="005F5635"/>
    <w:rsid w:val="005F5975"/>
    <w:rsid w:val="005F5F35"/>
    <w:rsid w:val="005F6080"/>
    <w:rsid w:val="005F60F0"/>
    <w:rsid w:val="005F6610"/>
    <w:rsid w:val="005F6729"/>
    <w:rsid w:val="005F6763"/>
    <w:rsid w:val="005F68D9"/>
    <w:rsid w:val="005F7081"/>
    <w:rsid w:val="005F738F"/>
    <w:rsid w:val="005F7E1F"/>
    <w:rsid w:val="005F7FE3"/>
    <w:rsid w:val="0060060B"/>
    <w:rsid w:val="00600847"/>
    <w:rsid w:val="00600A11"/>
    <w:rsid w:val="00600A89"/>
    <w:rsid w:val="00600D48"/>
    <w:rsid w:val="00600E07"/>
    <w:rsid w:val="00600E82"/>
    <w:rsid w:val="00600ECB"/>
    <w:rsid w:val="006013F9"/>
    <w:rsid w:val="0060179A"/>
    <w:rsid w:val="0060196E"/>
    <w:rsid w:val="006019FE"/>
    <w:rsid w:val="00601B2A"/>
    <w:rsid w:val="00601CF2"/>
    <w:rsid w:val="006024DA"/>
    <w:rsid w:val="00602CE3"/>
    <w:rsid w:val="00602D80"/>
    <w:rsid w:val="00602E67"/>
    <w:rsid w:val="00602EC2"/>
    <w:rsid w:val="00602F57"/>
    <w:rsid w:val="00603232"/>
    <w:rsid w:val="0060359D"/>
    <w:rsid w:val="006036F9"/>
    <w:rsid w:val="00603762"/>
    <w:rsid w:val="00603A46"/>
    <w:rsid w:val="00603DC9"/>
    <w:rsid w:val="00604223"/>
    <w:rsid w:val="00604265"/>
    <w:rsid w:val="006043A4"/>
    <w:rsid w:val="006045CE"/>
    <w:rsid w:val="00604743"/>
    <w:rsid w:val="00604B14"/>
    <w:rsid w:val="00604B85"/>
    <w:rsid w:val="00604BB5"/>
    <w:rsid w:val="00604C2E"/>
    <w:rsid w:val="00604FD9"/>
    <w:rsid w:val="00605210"/>
    <w:rsid w:val="00605988"/>
    <w:rsid w:val="00605A44"/>
    <w:rsid w:val="00605ACE"/>
    <w:rsid w:val="00605C4D"/>
    <w:rsid w:val="00605D19"/>
    <w:rsid w:val="0060636C"/>
    <w:rsid w:val="0060669A"/>
    <w:rsid w:val="00606D78"/>
    <w:rsid w:val="00606DB1"/>
    <w:rsid w:val="00606F7C"/>
    <w:rsid w:val="00607115"/>
    <w:rsid w:val="00607654"/>
    <w:rsid w:val="006076E3"/>
    <w:rsid w:val="0060777D"/>
    <w:rsid w:val="006078CA"/>
    <w:rsid w:val="0060797E"/>
    <w:rsid w:val="00607D2F"/>
    <w:rsid w:val="00607D43"/>
    <w:rsid w:val="0061032D"/>
    <w:rsid w:val="006105A9"/>
    <w:rsid w:val="006109A5"/>
    <w:rsid w:val="00610B1F"/>
    <w:rsid w:val="006116A4"/>
    <w:rsid w:val="006119A7"/>
    <w:rsid w:val="00611B23"/>
    <w:rsid w:val="00611FAF"/>
    <w:rsid w:val="006120D5"/>
    <w:rsid w:val="006122BC"/>
    <w:rsid w:val="006123E1"/>
    <w:rsid w:val="00612427"/>
    <w:rsid w:val="0061242F"/>
    <w:rsid w:val="006125F3"/>
    <w:rsid w:val="0061271F"/>
    <w:rsid w:val="006127A6"/>
    <w:rsid w:val="00612BC3"/>
    <w:rsid w:val="00612C4F"/>
    <w:rsid w:val="00612EBD"/>
    <w:rsid w:val="00612F75"/>
    <w:rsid w:val="00613162"/>
    <w:rsid w:val="0061347D"/>
    <w:rsid w:val="006138CB"/>
    <w:rsid w:val="0061444B"/>
    <w:rsid w:val="006145D1"/>
    <w:rsid w:val="00614CC6"/>
    <w:rsid w:val="006150DF"/>
    <w:rsid w:val="0061534F"/>
    <w:rsid w:val="00615600"/>
    <w:rsid w:val="00615782"/>
    <w:rsid w:val="00615CA1"/>
    <w:rsid w:val="00615CC2"/>
    <w:rsid w:val="00615D98"/>
    <w:rsid w:val="00616105"/>
    <w:rsid w:val="00616408"/>
    <w:rsid w:val="00616747"/>
    <w:rsid w:val="0061691F"/>
    <w:rsid w:val="00616CCE"/>
    <w:rsid w:val="00617016"/>
    <w:rsid w:val="006171C4"/>
    <w:rsid w:val="00617392"/>
    <w:rsid w:val="00617A4A"/>
    <w:rsid w:val="00617AAD"/>
    <w:rsid w:val="00617E70"/>
    <w:rsid w:val="00620198"/>
    <w:rsid w:val="00620447"/>
    <w:rsid w:val="00620A0E"/>
    <w:rsid w:val="00620AA8"/>
    <w:rsid w:val="00620BE5"/>
    <w:rsid w:val="00621280"/>
    <w:rsid w:val="00621281"/>
    <w:rsid w:val="0062174B"/>
    <w:rsid w:val="0062176D"/>
    <w:rsid w:val="00621FBE"/>
    <w:rsid w:val="006220BE"/>
    <w:rsid w:val="0062223E"/>
    <w:rsid w:val="00622268"/>
    <w:rsid w:val="0062238E"/>
    <w:rsid w:val="00622CD8"/>
    <w:rsid w:val="006234BC"/>
    <w:rsid w:val="006235B1"/>
    <w:rsid w:val="00623636"/>
    <w:rsid w:val="00623C5F"/>
    <w:rsid w:val="00623D98"/>
    <w:rsid w:val="00623E74"/>
    <w:rsid w:val="00624001"/>
    <w:rsid w:val="006242F0"/>
    <w:rsid w:val="00624372"/>
    <w:rsid w:val="00624BF3"/>
    <w:rsid w:val="00624D09"/>
    <w:rsid w:val="00624D51"/>
    <w:rsid w:val="00625012"/>
    <w:rsid w:val="006250E8"/>
    <w:rsid w:val="00625188"/>
    <w:rsid w:val="006252A6"/>
    <w:rsid w:val="006252F2"/>
    <w:rsid w:val="00625466"/>
    <w:rsid w:val="00625830"/>
    <w:rsid w:val="00625E5B"/>
    <w:rsid w:val="006260D4"/>
    <w:rsid w:val="006262E5"/>
    <w:rsid w:val="0062660C"/>
    <w:rsid w:val="00626CC0"/>
    <w:rsid w:val="0062718F"/>
    <w:rsid w:val="006272DB"/>
    <w:rsid w:val="00627993"/>
    <w:rsid w:val="006279D3"/>
    <w:rsid w:val="006279F9"/>
    <w:rsid w:val="00627AC0"/>
    <w:rsid w:val="00627BA2"/>
    <w:rsid w:val="00627C32"/>
    <w:rsid w:val="006307A2"/>
    <w:rsid w:val="00630A72"/>
    <w:rsid w:val="00630C54"/>
    <w:rsid w:val="00630C57"/>
    <w:rsid w:val="00630D58"/>
    <w:rsid w:val="00630EE3"/>
    <w:rsid w:val="0063144E"/>
    <w:rsid w:val="0063168D"/>
    <w:rsid w:val="00631C36"/>
    <w:rsid w:val="00631C54"/>
    <w:rsid w:val="00631E24"/>
    <w:rsid w:val="006322F5"/>
    <w:rsid w:val="00632326"/>
    <w:rsid w:val="0063262E"/>
    <w:rsid w:val="00632CB1"/>
    <w:rsid w:val="00632CB2"/>
    <w:rsid w:val="00633184"/>
    <w:rsid w:val="006334B9"/>
    <w:rsid w:val="006334E7"/>
    <w:rsid w:val="00633990"/>
    <w:rsid w:val="00633AC1"/>
    <w:rsid w:val="00633B74"/>
    <w:rsid w:val="00633E41"/>
    <w:rsid w:val="00634222"/>
    <w:rsid w:val="00634258"/>
    <w:rsid w:val="0063433E"/>
    <w:rsid w:val="0063458B"/>
    <w:rsid w:val="006346A8"/>
    <w:rsid w:val="00634817"/>
    <w:rsid w:val="00634902"/>
    <w:rsid w:val="00634952"/>
    <w:rsid w:val="00634E08"/>
    <w:rsid w:val="00634ECC"/>
    <w:rsid w:val="00634F22"/>
    <w:rsid w:val="006350B8"/>
    <w:rsid w:val="00635371"/>
    <w:rsid w:val="00635678"/>
    <w:rsid w:val="00635C6F"/>
    <w:rsid w:val="00635F2E"/>
    <w:rsid w:val="00635FB3"/>
    <w:rsid w:val="006367BB"/>
    <w:rsid w:val="006367F3"/>
    <w:rsid w:val="00636814"/>
    <w:rsid w:val="00636B72"/>
    <w:rsid w:val="00637937"/>
    <w:rsid w:val="00637B6B"/>
    <w:rsid w:val="00637C03"/>
    <w:rsid w:val="00640102"/>
    <w:rsid w:val="00640D09"/>
    <w:rsid w:val="00640E96"/>
    <w:rsid w:val="00640FA4"/>
    <w:rsid w:val="00641355"/>
    <w:rsid w:val="006413F5"/>
    <w:rsid w:val="0064153F"/>
    <w:rsid w:val="00641F81"/>
    <w:rsid w:val="00642984"/>
    <w:rsid w:val="00642B18"/>
    <w:rsid w:val="00642C09"/>
    <w:rsid w:val="00642D29"/>
    <w:rsid w:val="00642D5E"/>
    <w:rsid w:val="00642DBD"/>
    <w:rsid w:val="00642FB8"/>
    <w:rsid w:val="006439FA"/>
    <w:rsid w:val="00643A91"/>
    <w:rsid w:val="00643AF7"/>
    <w:rsid w:val="00643B3C"/>
    <w:rsid w:val="00644129"/>
    <w:rsid w:val="006446B6"/>
    <w:rsid w:val="00644A0F"/>
    <w:rsid w:val="00644F2C"/>
    <w:rsid w:val="006452DD"/>
    <w:rsid w:val="0064545C"/>
    <w:rsid w:val="0064563C"/>
    <w:rsid w:val="006456F7"/>
    <w:rsid w:val="0064608E"/>
    <w:rsid w:val="00646117"/>
    <w:rsid w:val="0064617C"/>
    <w:rsid w:val="0064622F"/>
    <w:rsid w:val="00646284"/>
    <w:rsid w:val="0064629C"/>
    <w:rsid w:val="00646385"/>
    <w:rsid w:val="006463F3"/>
    <w:rsid w:val="006466D7"/>
    <w:rsid w:val="0064676C"/>
    <w:rsid w:val="00646ACF"/>
    <w:rsid w:val="00646BE4"/>
    <w:rsid w:val="00646C43"/>
    <w:rsid w:val="00646D1C"/>
    <w:rsid w:val="00646F66"/>
    <w:rsid w:val="00647043"/>
    <w:rsid w:val="006470EC"/>
    <w:rsid w:val="00647B58"/>
    <w:rsid w:val="00647BDD"/>
    <w:rsid w:val="00647D72"/>
    <w:rsid w:val="006504FE"/>
    <w:rsid w:val="00650827"/>
    <w:rsid w:val="00650F7A"/>
    <w:rsid w:val="006513D1"/>
    <w:rsid w:val="00651523"/>
    <w:rsid w:val="00651772"/>
    <w:rsid w:val="0065198C"/>
    <w:rsid w:val="00651AE7"/>
    <w:rsid w:val="00651BF3"/>
    <w:rsid w:val="00651DF1"/>
    <w:rsid w:val="0065213D"/>
    <w:rsid w:val="006528F8"/>
    <w:rsid w:val="00652A05"/>
    <w:rsid w:val="00652CEF"/>
    <w:rsid w:val="00652EBE"/>
    <w:rsid w:val="006530B8"/>
    <w:rsid w:val="006531AD"/>
    <w:rsid w:val="00653207"/>
    <w:rsid w:val="00653660"/>
    <w:rsid w:val="006537C8"/>
    <w:rsid w:val="0065389B"/>
    <w:rsid w:val="006538AD"/>
    <w:rsid w:val="00653936"/>
    <w:rsid w:val="00653EF2"/>
    <w:rsid w:val="0065460F"/>
    <w:rsid w:val="0065478D"/>
    <w:rsid w:val="00654819"/>
    <w:rsid w:val="006548D8"/>
    <w:rsid w:val="006548DC"/>
    <w:rsid w:val="00654E64"/>
    <w:rsid w:val="00654F90"/>
    <w:rsid w:val="00655265"/>
    <w:rsid w:val="006552BD"/>
    <w:rsid w:val="0065558D"/>
    <w:rsid w:val="00655820"/>
    <w:rsid w:val="00655843"/>
    <w:rsid w:val="00655AF9"/>
    <w:rsid w:val="00655B2C"/>
    <w:rsid w:val="00655C4A"/>
    <w:rsid w:val="00655D86"/>
    <w:rsid w:val="006560A0"/>
    <w:rsid w:val="006560B4"/>
    <w:rsid w:val="0065660D"/>
    <w:rsid w:val="00656776"/>
    <w:rsid w:val="00656A2E"/>
    <w:rsid w:val="00656B4E"/>
    <w:rsid w:val="0065711D"/>
    <w:rsid w:val="006572A3"/>
    <w:rsid w:val="006576FE"/>
    <w:rsid w:val="00657924"/>
    <w:rsid w:val="00657C5C"/>
    <w:rsid w:val="00657F1D"/>
    <w:rsid w:val="00657F5A"/>
    <w:rsid w:val="006600B0"/>
    <w:rsid w:val="006605C5"/>
    <w:rsid w:val="006606A8"/>
    <w:rsid w:val="006608AA"/>
    <w:rsid w:val="00660D16"/>
    <w:rsid w:val="00660DAE"/>
    <w:rsid w:val="006615D7"/>
    <w:rsid w:val="00661648"/>
    <w:rsid w:val="006617FD"/>
    <w:rsid w:val="00661CF1"/>
    <w:rsid w:val="00662860"/>
    <w:rsid w:val="006628C1"/>
    <w:rsid w:val="00662A6D"/>
    <w:rsid w:val="00662ADC"/>
    <w:rsid w:val="00662EBA"/>
    <w:rsid w:val="006630AF"/>
    <w:rsid w:val="0066311F"/>
    <w:rsid w:val="006637D4"/>
    <w:rsid w:val="006638BB"/>
    <w:rsid w:val="00663F0D"/>
    <w:rsid w:val="00663F10"/>
    <w:rsid w:val="00664032"/>
    <w:rsid w:val="006643D8"/>
    <w:rsid w:val="00664557"/>
    <w:rsid w:val="0066478A"/>
    <w:rsid w:val="00664B13"/>
    <w:rsid w:val="00664E4D"/>
    <w:rsid w:val="00665524"/>
    <w:rsid w:val="006657E4"/>
    <w:rsid w:val="00665979"/>
    <w:rsid w:val="006659D8"/>
    <w:rsid w:val="00665CE4"/>
    <w:rsid w:val="00665D0E"/>
    <w:rsid w:val="00665DB9"/>
    <w:rsid w:val="00665E39"/>
    <w:rsid w:val="00666011"/>
    <w:rsid w:val="00666379"/>
    <w:rsid w:val="00667141"/>
    <w:rsid w:val="00667465"/>
    <w:rsid w:val="00667711"/>
    <w:rsid w:val="00667817"/>
    <w:rsid w:val="00667C72"/>
    <w:rsid w:val="00667DC2"/>
    <w:rsid w:val="00667F06"/>
    <w:rsid w:val="00670080"/>
    <w:rsid w:val="00670FE8"/>
    <w:rsid w:val="00671274"/>
    <w:rsid w:val="00671A1A"/>
    <w:rsid w:val="00671C2C"/>
    <w:rsid w:val="00671C5A"/>
    <w:rsid w:val="00671CBE"/>
    <w:rsid w:val="00671E72"/>
    <w:rsid w:val="00671EE8"/>
    <w:rsid w:val="006721BC"/>
    <w:rsid w:val="0067222C"/>
    <w:rsid w:val="006724BD"/>
    <w:rsid w:val="00672534"/>
    <w:rsid w:val="00672714"/>
    <w:rsid w:val="00672808"/>
    <w:rsid w:val="00672F00"/>
    <w:rsid w:val="00673070"/>
    <w:rsid w:val="0067350F"/>
    <w:rsid w:val="0067387E"/>
    <w:rsid w:val="00673F2B"/>
    <w:rsid w:val="00674038"/>
    <w:rsid w:val="00674045"/>
    <w:rsid w:val="0067418F"/>
    <w:rsid w:val="00674634"/>
    <w:rsid w:val="00674782"/>
    <w:rsid w:val="00674931"/>
    <w:rsid w:val="00674975"/>
    <w:rsid w:val="0067501A"/>
    <w:rsid w:val="0067529B"/>
    <w:rsid w:val="006754D6"/>
    <w:rsid w:val="006754EE"/>
    <w:rsid w:val="006754FF"/>
    <w:rsid w:val="006755B6"/>
    <w:rsid w:val="00675694"/>
    <w:rsid w:val="00675CAC"/>
    <w:rsid w:val="00675E02"/>
    <w:rsid w:val="00675F63"/>
    <w:rsid w:val="006760EA"/>
    <w:rsid w:val="006761E1"/>
    <w:rsid w:val="00676338"/>
    <w:rsid w:val="00676446"/>
    <w:rsid w:val="0067647A"/>
    <w:rsid w:val="00676576"/>
    <w:rsid w:val="00676D6E"/>
    <w:rsid w:val="006772AE"/>
    <w:rsid w:val="0067744A"/>
    <w:rsid w:val="00677674"/>
    <w:rsid w:val="00677788"/>
    <w:rsid w:val="00677A6F"/>
    <w:rsid w:val="00677A96"/>
    <w:rsid w:val="00677AEF"/>
    <w:rsid w:val="00680056"/>
    <w:rsid w:val="0068064A"/>
    <w:rsid w:val="00680A62"/>
    <w:rsid w:val="00680D58"/>
    <w:rsid w:val="00681478"/>
    <w:rsid w:val="006817B5"/>
    <w:rsid w:val="006817F7"/>
    <w:rsid w:val="00681889"/>
    <w:rsid w:val="00681D57"/>
    <w:rsid w:val="00682188"/>
    <w:rsid w:val="006825BA"/>
    <w:rsid w:val="00682636"/>
    <w:rsid w:val="006828CB"/>
    <w:rsid w:val="00682978"/>
    <w:rsid w:val="00682A7E"/>
    <w:rsid w:val="00682C6C"/>
    <w:rsid w:val="00682D10"/>
    <w:rsid w:val="00682D9B"/>
    <w:rsid w:val="00683662"/>
    <w:rsid w:val="00683786"/>
    <w:rsid w:val="00683961"/>
    <w:rsid w:val="00683B0C"/>
    <w:rsid w:val="00683D7B"/>
    <w:rsid w:val="00683DF8"/>
    <w:rsid w:val="00683EAD"/>
    <w:rsid w:val="00683F28"/>
    <w:rsid w:val="00684021"/>
    <w:rsid w:val="00684074"/>
    <w:rsid w:val="00684222"/>
    <w:rsid w:val="00684401"/>
    <w:rsid w:val="00684403"/>
    <w:rsid w:val="00684542"/>
    <w:rsid w:val="00684A3E"/>
    <w:rsid w:val="00684CEB"/>
    <w:rsid w:val="00685562"/>
    <w:rsid w:val="0068567E"/>
    <w:rsid w:val="00685779"/>
    <w:rsid w:val="006857CC"/>
    <w:rsid w:val="00685A58"/>
    <w:rsid w:val="0068669D"/>
    <w:rsid w:val="006869A7"/>
    <w:rsid w:val="00686A85"/>
    <w:rsid w:val="00686BDC"/>
    <w:rsid w:val="00687115"/>
    <w:rsid w:val="006875AA"/>
    <w:rsid w:val="00687A44"/>
    <w:rsid w:val="00687E62"/>
    <w:rsid w:val="00690399"/>
    <w:rsid w:val="00690541"/>
    <w:rsid w:val="006907E1"/>
    <w:rsid w:val="006908A3"/>
    <w:rsid w:val="00690B31"/>
    <w:rsid w:val="00690C0E"/>
    <w:rsid w:val="00691377"/>
    <w:rsid w:val="006914A1"/>
    <w:rsid w:val="00691A16"/>
    <w:rsid w:val="00691B4C"/>
    <w:rsid w:val="006924CD"/>
    <w:rsid w:val="00692639"/>
    <w:rsid w:val="00692829"/>
    <w:rsid w:val="00692939"/>
    <w:rsid w:val="006929A1"/>
    <w:rsid w:val="006929DA"/>
    <w:rsid w:val="00692AEA"/>
    <w:rsid w:val="00692C6B"/>
    <w:rsid w:val="00692D00"/>
    <w:rsid w:val="00692D28"/>
    <w:rsid w:val="00693059"/>
    <w:rsid w:val="00693070"/>
    <w:rsid w:val="0069309C"/>
    <w:rsid w:val="00693118"/>
    <w:rsid w:val="006933AC"/>
    <w:rsid w:val="0069361A"/>
    <w:rsid w:val="00693783"/>
    <w:rsid w:val="00693A26"/>
    <w:rsid w:val="00693A80"/>
    <w:rsid w:val="00693DDE"/>
    <w:rsid w:val="00694274"/>
    <w:rsid w:val="006946A7"/>
    <w:rsid w:val="0069475B"/>
    <w:rsid w:val="0069488C"/>
    <w:rsid w:val="00694BF9"/>
    <w:rsid w:val="00695032"/>
    <w:rsid w:val="00695188"/>
    <w:rsid w:val="006954EB"/>
    <w:rsid w:val="00695982"/>
    <w:rsid w:val="00695C63"/>
    <w:rsid w:val="00695DB0"/>
    <w:rsid w:val="006960E9"/>
    <w:rsid w:val="0069614E"/>
    <w:rsid w:val="00696A1E"/>
    <w:rsid w:val="00696D99"/>
    <w:rsid w:val="006972F2"/>
    <w:rsid w:val="00697692"/>
    <w:rsid w:val="00697C07"/>
    <w:rsid w:val="00697E40"/>
    <w:rsid w:val="00697FA2"/>
    <w:rsid w:val="006A01D2"/>
    <w:rsid w:val="006A02B2"/>
    <w:rsid w:val="006A0B04"/>
    <w:rsid w:val="006A0F5F"/>
    <w:rsid w:val="006A106F"/>
    <w:rsid w:val="006A1104"/>
    <w:rsid w:val="006A130E"/>
    <w:rsid w:val="006A1330"/>
    <w:rsid w:val="006A133D"/>
    <w:rsid w:val="006A13EB"/>
    <w:rsid w:val="006A143D"/>
    <w:rsid w:val="006A1DA5"/>
    <w:rsid w:val="006A1E75"/>
    <w:rsid w:val="006A1EA6"/>
    <w:rsid w:val="006A20EC"/>
    <w:rsid w:val="006A216A"/>
    <w:rsid w:val="006A21F0"/>
    <w:rsid w:val="006A228B"/>
    <w:rsid w:val="006A22E8"/>
    <w:rsid w:val="006A23B3"/>
    <w:rsid w:val="006A241A"/>
    <w:rsid w:val="006A2A0A"/>
    <w:rsid w:val="006A2A91"/>
    <w:rsid w:val="006A2AD9"/>
    <w:rsid w:val="006A2C00"/>
    <w:rsid w:val="006A2C27"/>
    <w:rsid w:val="006A2CC7"/>
    <w:rsid w:val="006A2D2F"/>
    <w:rsid w:val="006A31E3"/>
    <w:rsid w:val="006A328E"/>
    <w:rsid w:val="006A3A8E"/>
    <w:rsid w:val="006A3C30"/>
    <w:rsid w:val="006A3CF5"/>
    <w:rsid w:val="006A3D36"/>
    <w:rsid w:val="006A3E02"/>
    <w:rsid w:val="006A40B3"/>
    <w:rsid w:val="006A4213"/>
    <w:rsid w:val="006A43AB"/>
    <w:rsid w:val="006A4820"/>
    <w:rsid w:val="006A483A"/>
    <w:rsid w:val="006A4909"/>
    <w:rsid w:val="006A4A4C"/>
    <w:rsid w:val="006A4A6A"/>
    <w:rsid w:val="006A4E5F"/>
    <w:rsid w:val="006A50D9"/>
    <w:rsid w:val="006A58BE"/>
    <w:rsid w:val="006A5A7D"/>
    <w:rsid w:val="006A5A99"/>
    <w:rsid w:val="006A5B61"/>
    <w:rsid w:val="006A5E57"/>
    <w:rsid w:val="006A5E7A"/>
    <w:rsid w:val="006A63EC"/>
    <w:rsid w:val="006A6528"/>
    <w:rsid w:val="006A6972"/>
    <w:rsid w:val="006A6D00"/>
    <w:rsid w:val="006A70B5"/>
    <w:rsid w:val="006A78E8"/>
    <w:rsid w:val="006A7E72"/>
    <w:rsid w:val="006A7EAD"/>
    <w:rsid w:val="006B0B43"/>
    <w:rsid w:val="006B0BBD"/>
    <w:rsid w:val="006B0BEE"/>
    <w:rsid w:val="006B0CEB"/>
    <w:rsid w:val="006B0EB4"/>
    <w:rsid w:val="006B1208"/>
    <w:rsid w:val="006B14C5"/>
    <w:rsid w:val="006B1B06"/>
    <w:rsid w:val="006B1BA4"/>
    <w:rsid w:val="006B1BB2"/>
    <w:rsid w:val="006B1FB6"/>
    <w:rsid w:val="006B2026"/>
    <w:rsid w:val="006B219F"/>
    <w:rsid w:val="006B21DE"/>
    <w:rsid w:val="006B2926"/>
    <w:rsid w:val="006B2CC6"/>
    <w:rsid w:val="006B2DBE"/>
    <w:rsid w:val="006B2DD7"/>
    <w:rsid w:val="006B2E97"/>
    <w:rsid w:val="006B2E9E"/>
    <w:rsid w:val="006B300B"/>
    <w:rsid w:val="006B310F"/>
    <w:rsid w:val="006B318C"/>
    <w:rsid w:val="006B3336"/>
    <w:rsid w:val="006B3368"/>
    <w:rsid w:val="006B3476"/>
    <w:rsid w:val="006B34BE"/>
    <w:rsid w:val="006B3788"/>
    <w:rsid w:val="006B37A8"/>
    <w:rsid w:val="006B39CB"/>
    <w:rsid w:val="006B39DB"/>
    <w:rsid w:val="006B3A5F"/>
    <w:rsid w:val="006B45E9"/>
    <w:rsid w:val="006B4871"/>
    <w:rsid w:val="006B4EBD"/>
    <w:rsid w:val="006B5B8E"/>
    <w:rsid w:val="006B5DA7"/>
    <w:rsid w:val="006B5E8D"/>
    <w:rsid w:val="006B6444"/>
    <w:rsid w:val="006B657B"/>
    <w:rsid w:val="006B673A"/>
    <w:rsid w:val="006B678B"/>
    <w:rsid w:val="006B67FE"/>
    <w:rsid w:val="006B6961"/>
    <w:rsid w:val="006B69BD"/>
    <w:rsid w:val="006B6D1B"/>
    <w:rsid w:val="006B6E31"/>
    <w:rsid w:val="006B6EDF"/>
    <w:rsid w:val="006B70A9"/>
    <w:rsid w:val="006B7577"/>
    <w:rsid w:val="006B7F81"/>
    <w:rsid w:val="006C0151"/>
    <w:rsid w:val="006C023F"/>
    <w:rsid w:val="006C02A5"/>
    <w:rsid w:val="006C037C"/>
    <w:rsid w:val="006C07FE"/>
    <w:rsid w:val="006C0ABC"/>
    <w:rsid w:val="006C0B83"/>
    <w:rsid w:val="006C0E2A"/>
    <w:rsid w:val="006C0F6D"/>
    <w:rsid w:val="006C0F80"/>
    <w:rsid w:val="006C1060"/>
    <w:rsid w:val="006C1410"/>
    <w:rsid w:val="006C151D"/>
    <w:rsid w:val="006C19A4"/>
    <w:rsid w:val="006C1C11"/>
    <w:rsid w:val="006C1C25"/>
    <w:rsid w:val="006C1F65"/>
    <w:rsid w:val="006C2265"/>
    <w:rsid w:val="006C2357"/>
    <w:rsid w:val="006C23BC"/>
    <w:rsid w:val="006C26C9"/>
    <w:rsid w:val="006C2B13"/>
    <w:rsid w:val="006C300B"/>
    <w:rsid w:val="006C3204"/>
    <w:rsid w:val="006C34F4"/>
    <w:rsid w:val="006C3525"/>
    <w:rsid w:val="006C3633"/>
    <w:rsid w:val="006C3715"/>
    <w:rsid w:val="006C3E8E"/>
    <w:rsid w:val="006C3EB1"/>
    <w:rsid w:val="006C40BD"/>
    <w:rsid w:val="006C443D"/>
    <w:rsid w:val="006C45DF"/>
    <w:rsid w:val="006C46D0"/>
    <w:rsid w:val="006C4A03"/>
    <w:rsid w:val="006C4B3C"/>
    <w:rsid w:val="006C4C2E"/>
    <w:rsid w:val="006C58D8"/>
    <w:rsid w:val="006C5A02"/>
    <w:rsid w:val="006C5A72"/>
    <w:rsid w:val="006C5B5C"/>
    <w:rsid w:val="006C5CE0"/>
    <w:rsid w:val="006C5ECD"/>
    <w:rsid w:val="006C5F1F"/>
    <w:rsid w:val="006C62B7"/>
    <w:rsid w:val="006C6336"/>
    <w:rsid w:val="006C65F7"/>
    <w:rsid w:val="006C674D"/>
    <w:rsid w:val="006C6824"/>
    <w:rsid w:val="006C68EE"/>
    <w:rsid w:val="006C6BE9"/>
    <w:rsid w:val="006C6BEE"/>
    <w:rsid w:val="006C6D4E"/>
    <w:rsid w:val="006C6D9D"/>
    <w:rsid w:val="006C6DF1"/>
    <w:rsid w:val="006C6F0D"/>
    <w:rsid w:val="006C730D"/>
    <w:rsid w:val="006C73BF"/>
    <w:rsid w:val="006C759E"/>
    <w:rsid w:val="006C7941"/>
    <w:rsid w:val="006C7B23"/>
    <w:rsid w:val="006C7DCC"/>
    <w:rsid w:val="006D0128"/>
    <w:rsid w:val="006D0424"/>
    <w:rsid w:val="006D0754"/>
    <w:rsid w:val="006D090F"/>
    <w:rsid w:val="006D0997"/>
    <w:rsid w:val="006D0D81"/>
    <w:rsid w:val="006D0DD0"/>
    <w:rsid w:val="006D1369"/>
    <w:rsid w:val="006D15D3"/>
    <w:rsid w:val="006D1A6A"/>
    <w:rsid w:val="006D1EF1"/>
    <w:rsid w:val="006D20D1"/>
    <w:rsid w:val="006D21C3"/>
    <w:rsid w:val="006D227B"/>
    <w:rsid w:val="006D22C8"/>
    <w:rsid w:val="006D2777"/>
    <w:rsid w:val="006D284F"/>
    <w:rsid w:val="006D2BF5"/>
    <w:rsid w:val="006D3800"/>
    <w:rsid w:val="006D3814"/>
    <w:rsid w:val="006D3D9B"/>
    <w:rsid w:val="006D422B"/>
    <w:rsid w:val="006D4967"/>
    <w:rsid w:val="006D4B1A"/>
    <w:rsid w:val="006D4CBF"/>
    <w:rsid w:val="006D4DE7"/>
    <w:rsid w:val="006D504E"/>
    <w:rsid w:val="006D574E"/>
    <w:rsid w:val="006D5CDB"/>
    <w:rsid w:val="006D5E9A"/>
    <w:rsid w:val="006D5FE0"/>
    <w:rsid w:val="006D60BD"/>
    <w:rsid w:val="006D65A8"/>
    <w:rsid w:val="006D6669"/>
    <w:rsid w:val="006D69B2"/>
    <w:rsid w:val="006D6D7B"/>
    <w:rsid w:val="006D6F6B"/>
    <w:rsid w:val="006D7227"/>
    <w:rsid w:val="006D7508"/>
    <w:rsid w:val="006D77D9"/>
    <w:rsid w:val="006D7BDD"/>
    <w:rsid w:val="006E03A1"/>
    <w:rsid w:val="006E05DE"/>
    <w:rsid w:val="006E09B8"/>
    <w:rsid w:val="006E09F7"/>
    <w:rsid w:val="006E1057"/>
    <w:rsid w:val="006E1458"/>
    <w:rsid w:val="006E1638"/>
    <w:rsid w:val="006E17A6"/>
    <w:rsid w:val="006E18F4"/>
    <w:rsid w:val="006E1976"/>
    <w:rsid w:val="006E1AFD"/>
    <w:rsid w:val="006E2187"/>
    <w:rsid w:val="006E22C1"/>
    <w:rsid w:val="006E2659"/>
    <w:rsid w:val="006E26C5"/>
    <w:rsid w:val="006E2C83"/>
    <w:rsid w:val="006E2D8A"/>
    <w:rsid w:val="006E2DEA"/>
    <w:rsid w:val="006E2E59"/>
    <w:rsid w:val="006E2E94"/>
    <w:rsid w:val="006E3226"/>
    <w:rsid w:val="006E3278"/>
    <w:rsid w:val="006E3535"/>
    <w:rsid w:val="006E3949"/>
    <w:rsid w:val="006E3B23"/>
    <w:rsid w:val="006E3C5F"/>
    <w:rsid w:val="006E4015"/>
    <w:rsid w:val="006E4096"/>
    <w:rsid w:val="006E412C"/>
    <w:rsid w:val="006E4435"/>
    <w:rsid w:val="006E4652"/>
    <w:rsid w:val="006E4671"/>
    <w:rsid w:val="006E47AF"/>
    <w:rsid w:val="006E4A9F"/>
    <w:rsid w:val="006E4C28"/>
    <w:rsid w:val="006E4C7F"/>
    <w:rsid w:val="006E4D13"/>
    <w:rsid w:val="006E4D6B"/>
    <w:rsid w:val="006E5351"/>
    <w:rsid w:val="006E54C7"/>
    <w:rsid w:val="006E56C5"/>
    <w:rsid w:val="006E56E0"/>
    <w:rsid w:val="006E5EA3"/>
    <w:rsid w:val="006E5F38"/>
    <w:rsid w:val="006E5F55"/>
    <w:rsid w:val="006E5F84"/>
    <w:rsid w:val="006E6409"/>
    <w:rsid w:val="006E6484"/>
    <w:rsid w:val="006E6662"/>
    <w:rsid w:val="006E6C3E"/>
    <w:rsid w:val="006E6CDC"/>
    <w:rsid w:val="006E6EB2"/>
    <w:rsid w:val="006E70F6"/>
    <w:rsid w:val="006E7303"/>
    <w:rsid w:val="006E7715"/>
    <w:rsid w:val="006E7AAC"/>
    <w:rsid w:val="006E7C03"/>
    <w:rsid w:val="006E7DFC"/>
    <w:rsid w:val="006E7E9B"/>
    <w:rsid w:val="006E7F85"/>
    <w:rsid w:val="006F00C0"/>
    <w:rsid w:val="006F0974"/>
    <w:rsid w:val="006F1297"/>
    <w:rsid w:val="006F132F"/>
    <w:rsid w:val="006F17DE"/>
    <w:rsid w:val="006F1A78"/>
    <w:rsid w:val="006F1CF9"/>
    <w:rsid w:val="006F1E35"/>
    <w:rsid w:val="006F1E3A"/>
    <w:rsid w:val="006F2094"/>
    <w:rsid w:val="006F2255"/>
    <w:rsid w:val="006F234A"/>
    <w:rsid w:val="006F23AF"/>
    <w:rsid w:val="006F2539"/>
    <w:rsid w:val="006F26F0"/>
    <w:rsid w:val="006F2766"/>
    <w:rsid w:val="006F2B90"/>
    <w:rsid w:val="006F2EB8"/>
    <w:rsid w:val="006F2FA7"/>
    <w:rsid w:val="006F30C7"/>
    <w:rsid w:val="006F3127"/>
    <w:rsid w:val="006F333D"/>
    <w:rsid w:val="006F33AE"/>
    <w:rsid w:val="006F35F8"/>
    <w:rsid w:val="006F3952"/>
    <w:rsid w:val="006F3A1D"/>
    <w:rsid w:val="006F3A9B"/>
    <w:rsid w:val="006F3BDF"/>
    <w:rsid w:val="006F3ED6"/>
    <w:rsid w:val="006F3ED7"/>
    <w:rsid w:val="006F3F92"/>
    <w:rsid w:val="006F40EA"/>
    <w:rsid w:val="006F4561"/>
    <w:rsid w:val="006F4621"/>
    <w:rsid w:val="006F46E9"/>
    <w:rsid w:val="006F4772"/>
    <w:rsid w:val="006F4D8C"/>
    <w:rsid w:val="006F4F4F"/>
    <w:rsid w:val="006F4F52"/>
    <w:rsid w:val="006F5086"/>
    <w:rsid w:val="006F5399"/>
    <w:rsid w:val="006F5778"/>
    <w:rsid w:val="006F5C2F"/>
    <w:rsid w:val="006F5E44"/>
    <w:rsid w:val="006F66C5"/>
    <w:rsid w:val="006F6774"/>
    <w:rsid w:val="006F6E28"/>
    <w:rsid w:val="006F6EA4"/>
    <w:rsid w:val="006F7266"/>
    <w:rsid w:val="006F7325"/>
    <w:rsid w:val="006F76A6"/>
    <w:rsid w:val="006F7794"/>
    <w:rsid w:val="006F77C3"/>
    <w:rsid w:val="006F7B1C"/>
    <w:rsid w:val="00700013"/>
    <w:rsid w:val="0070020F"/>
    <w:rsid w:val="007004ED"/>
    <w:rsid w:val="007007AF"/>
    <w:rsid w:val="0070093E"/>
    <w:rsid w:val="00700AAA"/>
    <w:rsid w:val="00700F22"/>
    <w:rsid w:val="00700F79"/>
    <w:rsid w:val="00701010"/>
    <w:rsid w:val="007010E9"/>
    <w:rsid w:val="00701203"/>
    <w:rsid w:val="007016B9"/>
    <w:rsid w:val="0070194B"/>
    <w:rsid w:val="00701998"/>
    <w:rsid w:val="00701C6B"/>
    <w:rsid w:val="00701D18"/>
    <w:rsid w:val="00702214"/>
    <w:rsid w:val="007022B6"/>
    <w:rsid w:val="00702444"/>
    <w:rsid w:val="00702747"/>
    <w:rsid w:val="00702748"/>
    <w:rsid w:val="00702DC5"/>
    <w:rsid w:val="00702FB1"/>
    <w:rsid w:val="0070350D"/>
    <w:rsid w:val="00703587"/>
    <w:rsid w:val="00703777"/>
    <w:rsid w:val="007038DB"/>
    <w:rsid w:val="00703A3B"/>
    <w:rsid w:val="00703C36"/>
    <w:rsid w:val="007044B8"/>
    <w:rsid w:val="0070470D"/>
    <w:rsid w:val="00704CE1"/>
    <w:rsid w:val="00704DAD"/>
    <w:rsid w:val="00704DC1"/>
    <w:rsid w:val="007050F3"/>
    <w:rsid w:val="007053BD"/>
    <w:rsid w:val="00705416"/>
    <w:rsid w:val="007055A0"/>
    <w:rsid w:val="007056FD"/>
    <w:rsid w:val="0070582E"/>
    <w:rsid w:val="0070582F"/>
    <w:rsid w:val="00705995"/>
    <w:rsid w:val="00705AF8"/>
    <w:rsid w:val="00705F43"/>
    <w:rsid w:val="00705F50"/>
    <w:rsid w:val="007060A4"/>
    <w:rsid w:val="007060EA"/>
    <w:rsid w:val="00706125"/>
    <w:rsid w:val="0070624F"/>
    <w:rsid w:val="00706450"/>
    <w:rsid w:val="007066F2"/>
    <w:rsid w:val="0070691B"/>
    <w:rsid w:val="00707041"/>
    <w:rsid w:val="007072D3"/>
    <w:rsid w:val="007075B6"/>
    <w:rsid w:val="00707678"/>
    <w:rsid w:val="00707974"/>
    <w:rsid w:val="00707CA2"/>
    <w:rsid w:val="00707CA6"/>
    <w:rsid w:val="00707F4A"/>
    <w:rsid w:val="007105AA"/>
    <w:rsid w:val="00710833"/>
    <w:rsid w:val="00711125"/>
    <w:rsid w:val="00711ABD"/>
    <w:rsid w:val="00711B02"/>
    <w:rsid w:val="00711B4F"/>
    <w:rsid w:val="007120AC"/>
    <w:rsid w:val="007121DD"/>
    <w:rsid w:val="007122D8"/>
    <w:rsid w:val="00712A45"/>
    <w:rsid w:val="00712AF1"/>
    <w:rsid w:val="00712AF4"/>
    <w:rsid w:val="00712BD2"/>
    <w:rsid w:val="00712D29"/>
    <w:rsid w:val="00713096"/>
    <w:rsid w:val="0071336A"/>
    <w:rsid w:val="00713690"/>
    <w:rsid w:val="00713915"/>
    <w:rsid w:val="00713947"/>
    <w:rsid w:val="007139CA"/>
    <w:rsid w:val="00713AF5"/>
    <w:rsid w:val="00713C4B"/>
    <w:rsid w:val="00713D49"/>
    <w:rsid w:val="00714121"/>
    <w:rsid w:val="0071439B"/>
    <w:rsid w:val="007147F3"/>
    <w:rsid w:val="00714B98"/>
    <w:rsid w:val="00714D1A"/>
    <w:rsid w:val="00714D93"/>
    <w:rsid w:val="00715450"/>
    <w:rsid w:val="007156A7"/>
    <w:rsid w:val="007156CE"/>
    <w:rsid w:val="0071577C"/>
    <w:rsid w:val="0071583E"/>
    <w:rsid w:val="0071593C"/>
    <w:rsid w:val="00715F28"/>
    <w:rsid w:val="00715F72"/>
    <w:rsid w:val="0071663E"/>
    <w:rsid w:val="007169CE"/>
    <w:rsid w:val="007169F7"/>
    <w:rsid w:val="00716EE0"/>
    <w:rsid w:val="00716EF9"/>
    <w:rsid w:val="00717444"/>
    <w:rsid w:val="0071751B"/>
    <w:rsid w:val="00717644"/>
    <w:rsid w:val="00717676"/>
    <w:rsid w:val="0071773B"/>
    <w:rsid w:val="00717F98"/>
    <w:rsid w:val="00717FD5"/>
    <w:rsid w:val="007200C2"/>
    <w:rsid w:val="00720B94"/>
    <w:rsid w:val="00720CD9"/>
    <w:rsid w:val="00720DB1"/>
    <w:rsid w:val="00721379"/>
    <w:rsid w:val="007213C5"/>
    <w:rsid w:val="00721903"/>
    <w:rsid w:val="00721B5A"/>
    <w:rsid w:val="00721BDF"/>
    <w:rsid w:val="00721CBC"/>
    <w:rsid w:val="00721E64"/>
    <w:rsid w:val="00721F7F"/>
    <w:rsid w:val="007220DC"/>
    <w:rsid w:val="007223CD"/>
    <w:rsid w:val="00722412"/>
    <w:rsid w:val="0072243A"/>
    <w:rsid w:val="007227C1"/>
    <w:rsid w:val="007229CF"/>
    <w:rsid w:val="00723530"/>
    <w:rsid w:val="00723945"/>
    <w:rsid w:val="00723B30"/>
    <w:rsid w:val="00723B85"/>
    <w:rsid w:val="00723C09"/>
    <w:rsid w:val="00724127"/>
    <w:rsid w:val="0072420A"/>
    <w:rsid w:val="00724397"/>
    <w:rsid w:val="0072461C"/>
    <w:rsid w:val="007247EF"/>
    <w:rsid w:val="00724A06"/>
    <w:rsid w:val="00724B14"/>
    <w:rsid w:val="007250B2"/>
    <w:rsid w:val="0072517E"/>
    <w:rsid w:val="007253F5"/>
    <w:rsid w:val="00725697"/>
    <w:rsid w:val="00725B9F"/>
    <w:rsid w:val="00725DEC"/>
    <w:rsid w:val="00725E67"/>
    <w:rsid w:val="00726335"/>
    <w:rsid w:val="007263BB"/>
    <w:rsid w:val="00726448"/>
    <w:rsid w:val="00726887"/>
    <w:rsid w:val="007269F7"/>
    <w:rsid w:val="00726AFD"/>
    <w:rsid w:val="00726C8F"/>
    <w:rsid w:val="00726D39"/>
    <w:rsid w:val="00726F4B"/>
    <w:rsid w:val="00727382"/>
    <w:rsid w:val="00727BB8"/>
    <w:rsid w:val="00727C69"/>
    <w:rsid w:val="00727FAD"/>
    <w:rsid w:val="00727FC1"/>
    <w:rsid w:val="007301D0"/>
    <w:rsid w:val="00730335"/>
    <w:rsid w:val="00730491"/>
    <w:rsid w:val="00730755"/>
    <w:rsid w:val="00730C92"/>
    <w:rsid w:val="0073111A"/>
    <w:rsid w:val="00731182"/>
    <w:rsid w:val="007311C9"/>
    <w:rsid w:val="007312EB"/>
    <w:rsid w:val="00731697"/>
    <w:rsid w:val="007317CB"/>
    <w:rsid w:val="0073195E"/>
    <w:rsid w:val="00731AC4"/>
    <w:rsid w:val="0073252C"/>
    <w:rsid w:val="00732609"/>
    <w:rsid w:val="0073274E"/>
    <w:rsid w:val="007327FB"/>
    <w:rsid w:val="00732C6A"/>
    <w:rsid w:val="00732DE0"/>
    <w:rsid w:val="00732ED7"/>
    <w:rsid w:val="00732FF7"/>
    <w:rsid w:val="00733075"/>
    <w:rsid w:val="007331B6"/>
    <w:rsid w:val="007337CA"/>
    <w:rsid w:val="00733839"/>
    <w:rsid w:val="00733B6B"/>
    <w:rsid w:val="00733C55"/>
    <w:rsid w:val="00733F0C"/>
    <w:rsid w:val="007344DA"/>
    <w:rsid w:val="007344E0"/>
    <w:rsid w:val="0073453A"/>
    <w:rsid w:val="00734607"/>
    <w:rsid w:val="0073460A"/>
    <w:rsid w:val="00734BB7"/>
    <w:rsid w:val="00734C57"/>
    <w:rsid w:val="00735181"/>
    <w:rsid w:val="007357E5"/>
    <w:rsid w:val="00735E3D"/>
    <w:rsid w:val="00735F70"/>
    <w:rsid w:val="00736124"/>
    <w:rsid w:val="00736BDF"/>
    <w:rsid w:val="00736CA5"/>
    <w:rsid w:val="00736CC5"/>
    <w:rsid w:val="00736D13"/>
    <w:rsid w:val="00737134"/>
    <w:rsid w:val="007374EF"/>
    <w:rsid w:val="00737EA3"/>
    <w:rsid w:val="00737EE6"/>
    <w:rsid w:val="00740229"/>
    <w:rsid w:val="0074023A"/>
    <w:rsid w:val="007408F0"/>
    <w:rsid w:val="00740A8F"/>
    <w:rsid w:val="00740ACB"/>
    <w:rsid w:val="00740BA9"/>
    <w:rsid w:val="00740C44"/>
    <w:rsid w:val="00740FE4"/>
    <w:rsid w:val="00741084"/>
    <w:rsid w:val="0074148E"/>
    <w:rsid w:val="007415B9"/>
    <w:rsid w:val="007415ED"/>
    <w:rsid w:val="007416F6"/>
    <w:rsid w:val="0074189D"/>
    <w:rsid w:val="007418FB"/>
    <w:rsid w:val="00741995"/>
    <w:rsid w:val="00741B63"/>
    <w:rsid w:val="00741C0B"/>
    <w:rsid w:val="00741C98"/>
    <w:rsid w:val="00741CA6"/>
    <w:rsid w:val="00741F96"/>
    <w:rsid w:val="007425C5"/>
    <w:rsid w:val="00742763"/>
    <w:rsid w:val="007429F9"/>
    <w:rsid w:val="00742C6F"/>
    <w:rsid w:val="00742EFB"/>
    <w:rsid w:val="00742FB5"/>
    <w:rsid w:val="007432EB"/>
    <w:rsid w:val="0074349F"/>
    <w:rsid w:val="0074361F"/>
    <w:rsid w:val="00743696"/>
    <w:rsid w:val="007436D3"/>
    <w:rsid w:val="00743B15"/>
    <w:rsid w:val="00743BAB"/>
    <w:rsid w:val="00743E8D"/>
    <w:rsid w:val="00743EFC"/>
    <w:rsid w:val="007443AC"/>
    <w:rsid w:val="007445C0"/>
    <w:rsid w:val="00744832"/>
    <w:rsid w:val="00744981"/>
    <w:rsid w:val="00744BBE"/>
    <w:rsid w:val="00744DC0"/>
    <w:rsid w:val="00745236"/>
    <w:rsid w:val="007455B2"/>
    <w:rsid w:val="0074569E"/>
    <w:rsid w:val="007459DD"/>
    <w:rsid w:val="00745B7C"/>
    <w:rsid w:val="00745E46"/>
    <w:rsid w:val="00745E80"/>
    <w:rsid w:val="00746109"/>
    <w:rsid w:val="0074641E"/>
    <w:rsid w:val="007464D4"/>
    <w:rsid w:val="00746C59"/>
    <w:rsid w:val="007470F2"/>
    <w:rsid w:val="007472AD"/>
    <w:rsid w:val="0074737D"/>
    <w:rsid w:val="00747467"/>
    <w:rsid w:val="007475F2"/>
    <w:rsid w:val="00747710"/>
    <w:rsid w:val="00747E75"/>
    <w:rsid w:val="00747F19"/>
    <w:rsid w:val="00750242"/>
    <w:rsid w:val="007503C6"/>
    <w:rsid w:val="00750660"/>
    <w:rsid w:val="0075083A"/>
    <w:rsid w:val="00750D57"/>
    <w:rsid w:val="00750F47"/>
    <w:rsid w:val="00750FBC"/>
    <w:rsid w:val="007510F8"/>
    <w:rsid w:val="007511D3"/>
    <w:rsid w:val="0075122C"/>
    <w:rsid w:val="007514A8"/>
    <w:rsid w:val="00751551"/>
    <w:rsid w:val="0075179B"/>
    <w:rsid w:val="00751AF7"/>
    <w:rsid w:val="00751C54"/>
    <w:rsid w:val="00751EF3"/>
    <w:rsid w:val="00751EFE"/>
    <w:rsid w:val="00752049"/>
    <w:rsid w:val="00752131"/>
    <w:rsid w:val="00752196"/>
    <w:rsid w:val="007523F6"/>
    <w:rsid w:val="00752448"/>
    <w:rsid w:val="0075245C"/>
    <w:rsid w:val="00752B76"/>
    <w:rsid w:val="00752E32"/>
    <w:rsid w:val="0075305D"/>
    <w:rsid w:val="007530F1"/>
    <w:rsid w:val="007532A0"/>
    <w:rsid w:val="007532DE"/>
    <w:rsid w:val="00753524"/>
    <w:rsid w:val="007535A2"/>
    <w:rsid w:val="00753687"/>
    <w:rsid w:val="0075396C"/>
    <w:rsid w:val="00754651"/>
    <w:rsid w:val="0075479F"/>
    <w:rsid w:val="007547B8"/>
    <w:rsid w:val="00754877"/>
    <w:rsid w:val="00754AD2"/>
    <w:rsid w:val="00754D6B"/>
    <w:rsid w:val="00754E27"/>
    <w:rsid w:val="00755294"/>
    <w:rsid w:val="0075574A"/>
    <w:rsid w:val="007557FD"/>
    <w:rsid w:val="0075594C"/>
    <w:rsid w:val="00755A09"/>
    <w:rsid w:val="00755C48"/>
    <w:rsid w:val="00755C4F"/>
    <w:rsid w:val="00755C9E"/>
    <w:rsid w:val="00755DCA"/>
    <w:rsid w:val="00756156"/>
    <w:rsid w:val="007561C2"/>
    <w:rsid w:val="007561F0"/>
    <w:rsid w:val="00756602"/>
    <w:rsid w:val="00756858"/>
    <w:rsid w:val="007568FD"/>
    <w:rsid w:val="0075698F"/>
    <w:rsid w:val="00756D4E"/>
    <w:rsid w:val="00756D64"/>
    <w:rsid w:val="00757051"/>
    <w:rsid w:val="007572CD"/>
    <w:rsid w:val="00757316"/>
    <w:rsid w:val="00757376"/>
    <w:rsid w:val="00757447"/>
    <w:rsid w:val="00757A98"/>
    <w:rsid w:val="00757F49"/>
    <w:rsid w:val="00760381"/>
    <w:rsid w:val="00760392"/>
    <w:rsid w:val="007603E5"/>
    <w:rsid w:val="00760870"/>
    <w:rsid w:val="00760AA7"/>
    <w:rsid w:val="00761282"/>
    <w:rsid w:val="00761570"/>
    <w:rsid w:val="007616D3"/>
    <w:rsid w:val="007616ED"/>
    <w:rsid w:val="00761AFE"/>
    <w:rsid w:val="00761BD3"/>
    <w:rsid w:val="00761BFE"/>
    <w:rsid w:val="00761C8B"/>
    <w:rsid w:val="00761D16"/>
    <w:rsid w:val="00761DEB"/>
    <w:rsid w:val="00761F55"/>
    <w:rsid w:val="007621C8"/>
    <w:rsid w:val="00762329"/>
    <w:rsid w:val="0076280F"/>
    <w:rsid w:val="0076299B"/>
    <w:rsid w:val="007629F8"/>
    <w:rsid w:val="00762A48"/>
    <w:rsid w:val="00762B8D"/>
    <w:rsid w:val="00762CF4"/>
    <w:rsid w:val="00762D56"/>
    <w:rsid w:val="00762DAA"/>
    <w:rsid w:val="00762DEF"/>
    <w:rsid w:val="00762F90"/>
    <w:rsid w:val="007632B0"/>
    <w:rsid w:val="0076358C"/>
    <w:rsid w:val="0076395F"/>
    <w:rsid w:val="00763963"/>
    <w:rsid w:val="00763DBD"/>
    <w:rsid w:val="0076419A"/>
    <w:rsid w:val="0076457A"/>
    <w:rsid w:val="007646B2"/>
    <w:rsid w:val="007648A5"/>
    <w:rsid w:val="00765588"/>
    <w:rsid w:val="0076580A"/>
    <w:rsid w:val="00765880"/>
    <w:rsid w:val="00765AA8"/>
    <w:rsid w:val="007661EA"/>
    <w:rsid w:val="00766240"/>
    <w:rsid w:val="00766800"/>
    <w:rsid w:val="007668E6"/>
    <w:rsid w:val="00766AFF"/>
    <w:rsid w:val="00766B66"/>
    <w:rsid w:val="00766E28"/>
    <w:rsid w:val="00767434"/>
    <w:rsid w:val="007677C2"/>
    <w:rsid w:val="0076790C"/>
    <w:rsid w:val="00767C28"/>
    <w:rsid w:val="00767D45"/>
    <w:rsid w:val="007701CB"/>
    <w:rsid w:val="0077068F"/>
    <w:rsid w:val="007706EA"/>
    <w:rsid w:val="00770877"/>
    <w:rsid w:val="00770DD2"/>
    <w:rsid w:val="00771167"/>
    <w:rsid w:val="00771C0E"/>
    <w:rsid w:val="007720C2"/>
    <w:rsid w:val="00772218"/>
    <w:rsid w:val="0077243B"/>
    <w:rsid w:val="00772D0E"/>
    <w:rsid w:val="0077314E"/>
    <w:rsid w:val="007732F3"/>
    <w:rsid w:val="007738A1"/>
    <w:rsid w:val="00773997"/>
    <w:rsid w:val="00773A77"/>
    <w:rsid w:val="00773CDA"/>
    <w:rsid w:val="00773D63"/>
    <w:rsid w:val="0077410F"/>
    <w:rsid w:val="00774A72"/>
    <w:rsid w:val="00774BB9"/>
    <w:rsid w:val="00774C76"/>
    <w:rsid w:val="00774C98"/>
    <w:rsid w:val="007751EA"/>
    <w:rsid w:val="00775243"/>
    <w:rsid w:val="0077528C"/>
    <w:rsid w:val="0077561D"/>
    <w:rsid w:val="00775F00"/>
    <w:rsid w:val="00775F4A"/>
    <w:rsid w:val="007761F1"/>
    <w:rsid w:val="00776245"/>
    <w:rsid w:val="007762EF"/>
    <w:rsid w:val="00776778"/>
    <w:rsid w:val="007776DB"/>
    <w:rsid w:val="00777E6B"/>
    <w:rsid w:val="00780053"/>
    <w:rsid w:val="007801BE"/>
    <w:rsid w:val="007802C8"/>
    <w:rsid w:val="0078040C"/>
    <w:rsid w:val="0078040E"/>
    <w:rsid w:val="0078041D"/>
    <w:rsid w:val="007809FE"/>
    <w:rsid w:val="00780AE1"/>
    <w:rsid w:val="00780BCC"/>
    <w:rsid w:val="00780E12"/>
    <w:rsid w:val="007811F8"/>
    <w:rsid w:val="007813A3"/>
    <w:rsid w:val="007815A3"/>
    <w:rsid w:val="007817C2"/>
    <w:rsid w:val="00781C04"/>
    <w:rsid w:val="00782767"/>
    <w:rsid w:val="0078362C"/>
    <w:rsid w:val="0078369E"/>
    <w:rsid w:val="00783794"/>
    <w:rsid w:val="007838F6"/>
    <w:rsid w:val="00783960"/>
    <w:rsid w:val="00783988"/>
    <w:rsid w:val="007839E5"/>
    <w:rsid w:val="00783B99"/>
    <w:rsid w:val="007840B7"/>
    <w:rsid w:val="0078412B"/>
    <w:rsid w:val="00784180"/>
    <w:rsid w:val="00784383"/>
    <w:rsid w:val="00784549"/>
    <w:rsid w:val="007848F9"/>
    <w:rsid w:val="007849D5"/>
    <w:rsid w:val="00784EEB"/>
    <w:rsid w:val="007851A3"/>
    <w:rsid w:val="00785449"/>
    <w:rsid w:val="0078548D"/>
    <w:rsid w:val="007856A1"/>
    <w:rsid w:val="00785F11"/>
    <w:rsid w:val="007864E9"/>
    <w:rsid w:val="0078650D"/>
    <w:rsid w:val="0078675D"/>
    <w:rsid w:val="00786763"/>
    <w:rsid w:val="0078695A"/>
    <w:rsid w:val="00786D8D"/>
    <w:rsid w:val="00786D9F"/>
    <w:rsid w:val="007870AA"/>
    <w:rsid w:val="00787319"/>
    <w:rsid w:val="00787686"/>
    <w:rsid w:val="007877BF"/>
    <w:rsid w:val="00787928"/>
    <w:rsid w:val="00787AA9"/>
    <w:rsid w:val="00787D5D"/>
    <w:rsid w:val="00787EEB"/>
    <w:rsid w:val="007901E4"/>
    <w:rsid w:val="00790252"/>
    <w:rsid w:val="00790500"/>
    <w:rsid w:val="00790531"/>
    <w:rsid w:val="0079053D"/>
    <w:rsid w:val="007907FF"/>
    <w:rsid w:val="00790BD1"/>
    <w:rsid w:val="00791558"/>
    <w:rsid w:val="007916DA"/>
    <w:rsid w:val="00791F9F"/>
    <w:rsid w:val="0079201F"/>
    <w:rsid w:val="007922E8"/>
    <w:rsid w:val="00792463"/>
    <w:rsid w:val="00792505"/>
    <w:rsid w:val="0079257D"/>
    <w:rsid w:val="007926AE"/>
    <w:rsid w:val="00792997"/>
    <w:rsid w:val="00792B1A"/>
    <w:rsid w:val="00792DE4"/>
    <w:rsid w:val="007938BB"/>
    <w:rsid w:val="00793EEC"/>
    <w:rsid w:val="007941D3"/>
    <w:rsid w:val="00794452"/>
    <w:rsid w:val="00794595"/>
    <w:rsid w:val="00794666"/>
    <w:rsid w:val="007947CB"/>
    <w:rsid w:val="007948B8"/>
    <w:rsid w:val="00794972"/>
    <w:rsid w:val="007949CE"/>
    <w:rsid w:val="00794D83"/>
    <w:rsid w:val="00794FB4"/>
    <w:rsid w:val="007956B1"/>
    <w:rsid w:val="007956DE"/>
    <w:rsid w:val="00795A23"/>
    <w:rsid w:val="00795AFF"/>
    <w:rsid w:val="00795B83"/>
    <w:rsid w:val="00795BC0"/>
    <w:rsid w:val="007964B2"/>
    <w:rsid w:val="007964EC"/>
    <w:rsid w:val="007969C2"/>
    <w:rsid w:val="00796A41"/>
    <w:rsid w:val="00796F4F"/>
    <w:rsid w:val="007971F0"/>
    <w:rsid w:val="007971FE"/>
    <w:rsid w:val="0079720A"/>
    <w:rsid w:val="00797731"/>
    <w:rsid w:val="00797BDC"/>
    <w:rsid w:val="00797C20"/>
    <w:rsid w:val="00797C3A"/>
    <w:rsid w:val="00797F19"/>
    <w:rsid w:val="007A0155"/>
    <w:rsid w:val="007A02D5"/>
    <w:rsid w:val="007A0347"/>
    <w:rsid w:val="007A04D3"/>
    <w:rsid w:val="007A081C"/>
    <w:rsid w:val="007A0B91"/>
    <w:rsid w:val="007A0DEE"/>
    <w:rsid w:val="007A1083"/>
    <w:rsid w:val="007A127B"/>
    <w:rsid w:val="007A129A"/>
    <w:rsid w:val="007A133D"/>
    <w:rsid w:val="007A1999"/>
    <w:rsid w:val="007A2288"/>
    <w:rsid w:val="007A228C"/>
    <w:rsid w:val="007A22B8"/>
    <w:rsid w:val="007A23B2"/>
    <w:rsid w:val="007A2A01"/>
    <w:rsid w:val="007A2A98"/>
    <w:rsid w:val="007A2B48"/>
    <w:rsid w:val="007A2B7D"/>
    <w:rsid w:val="007A2B7F"/>
    <w:rsid w:val="007A2BD2"/>
    <w:rsid w:val="007A2C92"/>
    <w:rsid w:val="007A2EB8"/>
    <w:rsid w:val="007A3002"/>
    <w:rsid w:val="007A310B"/>
    <w:rsid w:val="007A3605"/>
    <w:rsid w:val="007A395E"/>
    <w:rsid w:val="007A3DFF"/>
    <w:rsid w:val="007A3E78"/>
    <w:rsid w:val="007A3F5E"/>
    <w:rsid w:val="007A3F91"/>
    <w:rsid w:val="007A43BC"/>
    <w:rsid w:val="007A46B3"/>
    <w:rsid w:val="007A49E3"/>
    <w:rsid w:val="007A4B25"/>
    <w:rsid w:val="007A4BA9"/>
    <w:rsid w:val="007A4DA3"/>
    <w:rsid w:val="007A4DDD"/>
    <w:rsid w:val="007A5110"/>
    <w:rsid w:val="007A51BB"/>
    <w:rsid w:val="007A53E7"/>
    <w:rsid w:val="007A55B7"/>
    <w:rsid w:val="007A5735"/>
    <w:rsid w:val="007A575B"/>
    <w:rsid w:val="007A577A"/>
    <w:rsid w:val="007A5919"/>
    <w:rsid w:val="007A59B4"/>
    <w:rsid w:val="007A5A05"/>
    <w:rsid w:val="007A5FF3"/>
    <w:rsid w:val="007A649C"/>
    <w:rsid w:val="007A64C5"/>
    <w:rsid w:val="007A64F6"/>
    <w:rsid w:val="007A65E8"/>
    <w:rsid w:val="007A672B"/>
    <w:rsid w:val="007A6869"/>
    <w:rsid w:val="007A69C3"/>
    <w:rsid w:val="007A701C"/>
    <w:rsid w:val="007A7311"/>
    <w:rsid w:val="007A783B"/>
    <w:rsid w:val="007A7AE3"/>
    <w:rsid w:val="007A7B4C"/>
    <w:rsid w:val="007A7CDE"/>
    <w:rsid w:val="007A7E5D"/>
    <w:rsid w:val="007B0075"/>
    <w:rsid w:val="007B01D3"/>
    <w:rsid w:val="007B0816"/>
    <w:rsid w:val="007B0AEF"/>
    <w:rsid w:val="007B0EBC"/>
    <w:rsid w:val="007B0EF8"/>
    <w:rsid w:val="007B1717"/>
    <w:rsid w:val="007B1A1C"/>
    <w:rsid w:val="007B1AA7"/>
    <w:rsid w:val="007B1AFF"/>
    <w:rsid w:val="007B1E0A"/>
    <w:rsid w:val="007B206E"/>
    <w:rsid w:val="007B21ED"/>
    <w:rsid w:val="007B25B4"/>
    <w:rsid w:val="007B266C"/>
    <w:rsid w:val="007B26C2"/>
    <w:rsid w:val="007B28EC"/>
    <w:rsid w:val="007B2AA5"/>
    <w:rsid w:val="007B2E50"/>
    <w:rsid w:val="007B2ECF"/>
    <w:rsid w:val="007B3040"/>
    <w:rsid w:val="007B32A9"/>
    <w:rsid w:val="007B3625"/>
    <w:rsid w:val="007B371D"/>
    <w:rsid w:val="007B3A46"/>
    <w:rsid w:val="007B4667"/>
    <w:rsid w:val="007B493B"/>
    <w:rsid w:val="007B49C0"/>
    <w:rsid w:val="007B4AB0"/>
    <w:rsid w:val="007B4C3D"/>
    <w:rsid w:val="007B4C43"/>
    <w:rsid w:val="007B4FB2"/>
    <w:rsid w:val="007B510F"/>
    <w:rsid w:val="007B5265"/>
    <w:rsid w:val="007B52F4"/>
    <w:rsid w:val="007B54C6"/>
    <w:rsid w:val="007B582F"/>
    <w:rsid w:val="007B5EED"/>
    <w:rsid w:val="007B5F12"/>
    <w:rsid w:val="007B622C"/>
    <w:rsid w:val="007B64D5"/>
    <w:rsid w:val="007B6970"/>
    <w:rsid w:val="007B6C05"/>
    <w:rsid w:val="007B72B1"/>
    <w:rsid w:val="007B74AF"/>
    <w:rsid w:val="007B7822"/>
    <w:rsid w:val="007B7858"/>
    <w:rsid w:val="007B78D1"/>
    <w:rsid w:val="007B78F6"/>
    <w:rsid w:val="007B78FC"/>
    <w:rsid w:val="007C0324"/>
    <w:rsid w:val="007C04A8"/>
    <w:rsid w:val="007C05EB"/>
    <w:rsid w:val="007C078B"/>
    <w:rsid w:val="007C08B8"/>
    <w:rsid w:val="007C0E12"/>
    <w:rsid w:val="007C0F15"/>
    <w:rsid w:val="007C11DB"/>
    <w:rsid w:val="007C1C38"/>
    <w:rsid w:val="007C1D4B"/>
    <w:rsid w:val="007C1E0D"/>
    <w:rsid w:val="007C1FFC"/>
    <w:rsid w:val="007C207F"/>
    <w:rsid w:val="007C28C7"/>
    <w:rsid w:val="007C2B4D"/>
    <w:rsid w:val="007C3456"/>
    <w:rsid w:val="007C3570"/>
    <w:rsid w:val="007C35CD"/>
    <w:rsid w:val="007C361B"/>
    <w:rsid w:val="007C367D"/>
    <w:rsid w:val="007C3778"/>
    <w:rsid w:val="007C3867"/>
    <w:rsid w:val="007C3E31"/>
    <w:rsid w:val="007C406C"/>
    <w:rsid w:val="007C41BA"/>
    <w:rsid w:val="007C4215"/>
    <w:rsid w:val="007C4A82"/>
    <w:rsid w:val="007C5520"/>
    <w:rsid w:val="007C560F"/>
    <w:rsid w:val="007C56AD"/>
    <w:rsid w:val="007C5740"/>
    <w:rsid w:val="007C5825"/>
    <w:rsid w:val="007C5F13"/>
    <w:rsid w:val="007C618B"/>
    <w:rsid w:val="007C61A4"/>
    <w:rsid w:val="007C66E2"/>
    <w:rsid w:val="007C6794"/>
    <w:rsid w:val="007C6ACB"/>
    <w:rsid w:val="007C6B9C"/>
    <w:rsid w:val="007C6C0E"/>
    <w:rsid w:val="007C710A"/>
    <w:rsid w:val="007C73FE"/>
    <w:rsid w:val="007C7908"/>
    <w:rsid w:val="007C7D19"/>
    <w:rsid w:val="007D03BB"/>
    <w:rsid w:val="007D0AB9"/>
    <w:rsid w:val="007D0E5B"/>
    <w:rsid w:val="007D1308"/>
    <w:rsid w:val="007D16DD"/>
    <w:rsid w:val="007D1908"/>
    <w:rsid w:val="007D1958"/>
    <w:rsid w:val="007D1B07"/>
    <w:rsid w:val="007D1B41"/>
    <w:rsid w:val="007D1CFE"/>
    <w:rsid w:val="007D2171"/>
    <w:rsid w:val="007D21CA"/>
    <w:rsid w:val="007D24C8"/>
    <w:rsid w:val="007D2544"/>
    <w:rsid w:val="007D25FB"/>
    <w:rsid w:val="007D2B86"/>
    <w:rsid w:val="007D2C1F"/>
    <w:rsid w:val="007D2EE9"/>
    <w:rsid w:val="007D32B1"/>
    <w:rsid w:val="007D360B"/>
    <w:rsid w:val="007D387D"/>
    <w:rsid w:val="007D3B7D"/>
    <w:rsid w:val="007D3D59"/>
    <w:rsid w:val="007D3E8F"/>
    <w:rsid w:val="007D407D"/>
    <w:rsid w:val="007D41D3"/>
    <w:rsid w:val="007D44F3"/>
    <w:rsid w:val="007D450E"/>
    <w:rsid w:val="007D46C6"/>
    <w:rsid w:val="007D4729"/>
    <w:rsid w:val="007D4985"/>
    <w:rsid w:val="007D4E85"/>
    <w:rsid w:val="007D4F82"/>
    <w:rsid w:val="007D532B"/>
    <w:rsid w:val="007D5A65"/>
    <w:rsid w:val="007D5B9E"/>
    <w:rsid w:val="007D5F03"/>
    <w:rsid w:val="007D603C"/>
    <w:rsid w:val="007D60E4"/>
    <w:rsid w:val="007D6423"/>
    <w:rsid w:val="007D65B1"/>
    <w:rsid w:val="007D670F"/>
    <w:rsid w:val="007D6CC6"/>
    <w:rsid w:val="007D6FD6"/>
    <w:rsid w:val="007D7179"/>
    <w:rsid w:val="007D72F3"/>
    <w:rsid w:val="007D7439"/>
    <w:rsid w:val="007D7552"/>
    <w:rsid w:val="007D7719"/>
    <w:rsid w:val="007D77ED"/>
    <w:rsid w:val="007D7B6B"/>
    <w:rsid w:val="007D7C87"/>
    <w:rsid w:val="007E007A"/>
    <w:rsid w:val="007E02EB"/>
    <w:rsid w:val="007E033D"/>
    <w:rsid w:val="007E03E2"/>
    <w:rsid w:val="007E045B"/>
    <w:rsid w:val="007E061B"/>
    <w:rsid w:val="007E0985"/>
    <w:rsid w:val="007E0B84"/>
    <w:rsid w:val="007E1104"/>
    <w:rsid w:val="007E1253"/>
    <w:rsid w:val="007E12F4"/>
    <w:rsid w:val="007E1753"/>
    <w:rsid w:val="007E1801"/>
    <w:rsid w:val="007E1C2B"/>
    <w:rsid w:val="007E1C9B"/>
    <w:rsid w:val="007E1FFC"/>
    <w:rsid w:val="007E220E"/>
    <w:rsid w:val="007E259D"/>
    <w:rsid w:val="007E25A0"/>
    <w:rsid w:val="007E25AB"/>
    <w:rsid w:val="007E261E"/>
    <w:rsid w:val="007E2875"/>
    <w:rsid w:val="007E2E43"/>
    <w:rsid w:val="007E324E"/>
    <w:rsid w:val="007E34FF"/>
    <w:rsid w:val="007E3598"/>
    <w:rsid w:val="007E3B91"/>
    <w:rsid w:val="007E3CC4"/>
    <w:rsid w:val="007E40EC"/>
    <w:rsid w:val="007E46F8"/>
    <w:rsid w:val="007E490E"/>
    <w:rsid w:val="007E4AD5"/>
    <w:rsid w:val="007E4E02"/>
    <w:rsid w:val="007E520F"/>
    <w:rsid w:val="007E52EB"/>
    <w:rsid w:val="007E53CD"/>
    <w:rsid w:val="007E55C4"/>
    <w:rsid w:val="007E57CA"/>
    <w:rsid w:val="007E5C72"/>
    <w:rsid w:val="007E5DAA"/>
    <w:rsid w:val="007E628A"/>
    <w:rsid w:val="007E63DB"/>
    <w:rsid w:val="007E6696"/>
    <w:rsid w:val="007E66E1"/>
    <w:rsid w:val="007E6ACF"/>
    <w:rsid w:val="007E6B52"/>
    <w:rsid w:val="007E6DD9"/>
    <w:rsid w:val="007E6F49"/>
    <w:rsid w:val="007E7251"/>
    <w:rsid w:val="007E72AA"/>
    <w:rsid w:val="007E73AA"/>
    <w:rsid w:val="007E742F"/>
    <w:rsid w:val="007E748E"/>
    <w:rsid w:val="007E766E"/>
    <w:rsid w:val="007E76F8"/>
    <w:rsid w:val="007E77CD"/>
    <w:rsid w:val="007F0066"/>
    <w:rsid w:val="007F06E7"/>
    <w:rsid w:val="007F0A21"/>
    <w:rsid w:val="007F0A3E"/>
    <w:rsid w:val="007F0CDB"/>
    <w:rsid w:val="007F0D72"/>
    <w:rsid w:val="007F12CC"/>
    <w:rsid w:val="007F13F1"/>
    <w:rsid w:val="007F15CC"/>
    <w:rsid w:val="007F18C8"/>
    <w:rsid w:val="007F1921"/>
    <w:rsid w:val="007F1B05"/>
    <w:rsid w:val="007F1D2F"/>
    <w:rsid w:val="007F2394"/>
    <w:rsid w:val="007F256D"/>
    <w:rsid w:val="007F2887"/>
    <w:rsid w:val="007F2B7D"/>
    <w:rsid w:val="007F2EEA"/>
    <w:rsid w:val="007F2F3D"/>
    <w:rsid w:val="007F30CD"/>
    <w:rsid w:val="007F3330"/>
    <w:rsid w:val="007F36EF"/>
    <w:rsid w:val="007F39BB"/>
    <w:rsid w:val="007F3A3A"/>
    <w:rsid w:val="007F3A86"/>
    <w:rsid w:val="007F3A87"/>
    <w:rsid w:val="007F3B00"/>
    <w:rsid w:val="007F3B64"/>
    <w:rsid w:val="007F3D4C"/>
    <w:rsid w:val="007F411C"/>
    <w:rsid w:val="007F4376"/>
    <w:rsid w:val="007F43B9"/>
    <w:rsid w:val="007F4686"/>
    <w:rsid w:val="007F4A44"/>
    <w:rsid w:val="007F4CFA"/>
    <w:rsid w:val="007F4D19"/>
    <w:rsid w:val="007F4EEC"/>
    <w:rsid w:val="007F4F70"/>
    <w:rsid w:val="007F514A"/>
    <w:rsid w:val="007F5300"/>
    <w:rsid w:val="007F56DF"/>
    <w:rsid w:val="007F5BC5"/>
    <w:rsid w:val="007F5CAE"/>
    <w:rsid w:val="007F5D3A"/>
    <w:rsid w:val="007F639A"/>
    <w:rsid w:val="007F668E"/>
    <w:rsid w:val="007F66C4"/>
    <w:rsid w:val="007F6964"/>
    <w:rsid w:val="007F6A27"/>
    <w:rsid w:val="007F6C62"/>
    <w:rsid w:val="007F6D13"/>
    <w:rsid w:val="007F6D29"/>
    <w:rsid w:val="007F6DAF"/>
    <w:rsid w:val="007F6DD9"/>
    <w:rsid w:val="007F701A"/>
    <w:rsid w:val="007F7049"/>
    <w:rsid w:val="007F7569"/>
    <w:rsid w:val="007F7579"/>
    <w:rsid w:val="007F7AEB"/>
    <w:rsid w:val="008001BA"/>
    <w:rsid w:val="00800362"/>
    <w:rsid w:val="0080058E"/>
    <w:rsid w:val="00800A77"/>
    <w:rsid w:val="00800CB4"/>
    <w:rsid w:val="00800D17"/>
    <w:rsid w:val="0080116B"/>
    <w:rsid w:val="008012F1"/>
    <w:rsid w:val="00801699"/>
    <w:rsid w:val="00801753"/>
    <w:rsid w:val="00801972"/>
    <w:rsid w:val="00801D5D"/>
    <w:rsid w:val="00801D6A"/>
    <w:rsid w:val="00801D9F"/>
    <w:rsid w:val="0080202B"/>
    <w:rsid w:val="008020B2"/>
    <w:rsid w:val="0080251D"/>
    <w:rsid w:val="0080262C"/>
    <w:rsid w:val="00802A55"/>
    <w:rsid w:val="00802AFB"/>
    <w:rsid w:val="00802D96"/>
    <w:rsid w:val="00802DEB"/>
    <w:rsid w:val="00802FDC"/>
    <w:rsid w:val="00803046"/>
    <w:rsid w:val="008030A1"/>
    <w:rsid w:val="008030AF"/>
    <w:rsid w:val="008031AE"/>
    <w:rsid w:val="008034D8"/>
    <w:rsid w:val="00803709"/>
    <w:rsid w:val="0080382E"/>
    <w:rsid w:val="00803856"/>
    <w:rsid w:val="0080388F"/>
    <w:rsid w:val="00804243"/>
    <w:rsid w:val="008042FE"/>
    <w:rsid w:val="0080461B"/>
    <w:rsid w:val="00804F4E"/>
    <w:rsid w:val="008050E0"/>
    <w:rsid w:val="008056AA"/>
    <w:rsid w:val="008057A0"/>
    <w:rsid w:val="008058F7"/>
    <w:rsid w:val="00805DCC"/>
    <w:rsid w:val="00805DDE"/>
    <w:rsid w:val="00805F55"/>
    <w:rsid w:val="00806048"/>
    <w:rsid w:val="0080644E"/>
    <w:rsid w:val="00806589"/>
    <w:rsid w:val="008066CA"/>
    <w:rsid w:val="00806782"/>
    <w:rsid w:val="00806B13"/>
    <w:rsid w:val="00806C9A"/>
    <w:rsid w:val="00806EE5"/>
    <w:rsid w:val="008072C3"/>
    <w:rsid w:val="008076EB"/>
    <w:rsid w:val="00807760"/>
    <w:rsid w:val="00807BD1"/>
    <w:rsid w:val="008102A2"/>
    <w:rsid w:val="00810470"/>
    <w:rsid w:val="0081093D"/>
    <w:rsid w:val="00810DFE"/>
    <w:rsid w:val="00811284"/>
    <w:rsid w:val="008112AE"/>
    <w:rsid w:val="008115FE"/>
    <w:rsid w:val="00811645"/>
    <w:rsid w:val="008116BC"/>
    <w:rsid w:val="00811788"/>
    <w:rsid w:val="00812258"/>
    <w:rsid w:val="008122E2"/>
    <w:rsid w:val="00812821"/>
    <w:rsid w:val="00812851"/>
    <w:rsid w:val="0081285F"/>
    <w:rsid w:val="00812AAB"/>
    <w:rsid w:val="00812E80"/>
    <w:rsid w:val="00813231"/>
    <w:rsid w:val="008135CF"/>
    <w:rsid w:val="00813612"/>
    <w:rsid w:val="00813925"/>
    <w:rsid w:val="00814755"/>
    <w:rsid w:val="00814823"/>
    <w:rsid w:val="00814B39"/>
    <w:rsid w:val="00814D8E"/>
    <w:rsid w:val="00815161"/>
    <w:rsid w:val="00815361"/>
    <w:rsid w:val="0081569F"/>
    <w:rsid w:val="008156A3"/>
    <w:rsid w:val="00815803"/>
    <w:rsid w:val="00815834"/>
    <w:rsid w:val="0081584E"/>
    <w:rsid w:val="008159C3"/>
    <w:rsid w:val="0081616E"/>
    <w:rsid w:val="0081656F"/>
    <w:rsid w:val="008165A1"/>
    <w:rsid w:val="0081674F"/>
    <w:rsid w:val="008167A3"/>
    <w:rsid w:val="008167B9"/>
    <w:rsid w:val="008168A2"/>
    <w:rsid w:val="00816960"/>
    <w:rsid w:val="00817506"/>
    <w:rsid w:val="0081756C"/>
    <w:rsid w:val="008176F3"/>
    <w:rsid w:val="00817976"/>
    <w:rsid w:val="00817B3A"/>
    <w:rsid w:val="00817BE6"/>
    <w:rsid w:val="008200C2"/>
    <w:rsid w:val="0082093B"/>
    <w:rsid w:val="00820E6F"/>
    <w:rsid w:val="00820EEF"/>
    <w:rsid w:val="0082199A"/>
    <w:rsid w:val="00821A8E"/>
    <w:rsid w:val="00821BD6"/>
    <w:rsid w:val="00821EC6"/>
    <w:rsid w:val="00822139"/>
    <w:rsid w:val="00822A5C"/>
    <w:rsid w:val="00822D21"/>
    <w:rsid w:val="00822DBF"/>
    <w:rsid w:val="00822FF8"/>
    <w:rsid w:val="00823BAF"/>
    <w:rsid w:val="00823C39"/>
    <w:rsid w:val="00823F58"/>
    <w:rsid w:val="00823FC2"/>
    <w:rsid w:val="00824190"/>
    <w:rsid w:val="00824416"/>
    <w:rsid w:val="00824784"/>
    <w:rsid w:val="00824801"/>
    <w:rsid w:val="00824A5F"/>
    <w:rsid w:val="00824C64"/>
    <w:rsid w:val="00824CCE"/>
    <w:rsid w:val="00824D85"/>
    <w:rsid w:val="00824ECF"/>
    <w:rsid w:val="0082513E"/>
    <w:rsid w:val="00825B6D"/>
    <w:rsid w:val="00825C7F"/>
    <w:rsid w:val="00825EF7"/>
    <w:rsid w:val="00826116"/>
    <w:rsid w:val="00826256"/>
    <w:rsid w:val="0082649B"/>
    <w:rsid w:val="00826EC5"/>
    <w:rsid w:val="00826FD8"/>
    <w:rsid w:val="008272F7"/>
    <w:rsid w:val="008272F9"/>
    <w:rsid w:val="00827BEE"/>
    <w:rsid w:val="00827DA9"/>
    <w:rsid w:val="00827E2D"/>
    <w:rsid w:val="00827ED5"/>
    <w:rsid w:val="00827EF2"/>
    <w:rsid w:val="00827F3E"/>
    <w:rsid w:val="00830101"/>
    <w:rsid w:val="00830355"/>
    <w:rsid w:val="008303EE"/>
    <w:rsid w:val="00830662"/>
    <w:rsid w:val="0083068B"/>
    <w:rsid w:val="008306FD"/>
    <w:rsid w:val="0083076C"/>
    <w:rsid w:val="008307A2"/>
    <w:rsid w:val="00830A53"/>
    <w:rsid w:val="00830CDC"/>
    <w:rsid w:val="00830E53"/>
    <w:rsid w:val="008310CF"/>
    <w:rsid w:val="0083148C"/>
    <w:rsid w:val="008314EB"/>
    <w:rsid w:val="008315D2"/>
    <w:rsid w:val="00831971"/>
    <w:rsid w:val="00831E74"/>
    <w:rsid w:val="00832171"/>
    <w:rsid w:val="00832288"/>
    <w:rsid w:val="008322EE"/>
    <w:rsid w:val="008324B0"/>
    <w:rsid w:val="00832565"/>
    <w:rsid w:val="0083263B"/>
    <w:rsid w:val="00832956"/>
    <w:rsid w:val="008329C3"/>
    <w:rsid w:val="00832AEA"/>
    <w:rsid w:val="00832D04"/>
    <w:rsid w:val="00833077"/>
    <w:rsid w:val="00833BB4"/>
    <w:rsid w:val="00833D7A"/>
    <w:rsid w:val="00833E06"/>
    <w:rsid w:val="00833F4D"/>
    <w:rsid w:val="00834114"/>
    <w:rsid w:val="008343D2"/>
    <w:rsid w:val="008344E6"/>
    <w:rsid w:val="00834743"/>
    <w:rsid w:val="00834AA7"/>
    <w:rsid w:val="00834C67"/>
    <w:rsid w:val="00834DBF"/>
    <w:rsid w:val="0083527D"/>
    <w:rsid w:val="008353E0"/>
    <w:rsid w:val="008353FE"/>
    <w:rsid w:val="00835462"/>
    <w:rsid w:val="00835491"/>
    <w:rsid w:val="00835AA4"/>
    <w:rsid w:val="00835B17"/>
    <w:rsid w:val="00835E4B"/>
    <w:rsid w:val="00835ED0"/>
    <w:rsid w:val="008360A2"/>
    <w:rsid w:val="00836380"/>
    <w:rsid w:val="008363E0"/>
    <w:rsid w:val="00836472"/>
    <w:rsid w:val="008369A9"/>
    <w:rsid w:val="00836DFD"/>
    <w:rsid w:val="00837094"/>
    <w:rsid w:val="00837323"/>
    <w:rsid w:val="0083741D"/>
    <w:rsid w:val="00837420"/>
    <w:rsid w:val="00837878"/>
    <w:rsid w:val="00837A61"/>
    <w:rsid w:val="00837D20"/>
    <w:rsid w:val="008401B2"/>
    <w:rsid w:val="00840251"/>
    <w:rsid w:val="00840CCF"/>
    <w:rsid w:val="00840D93"/>
    <w:rsid w:val="00841A57"/>
    <w:rsid w:val="00841B57"/>
    <w:rsid w:val="00842111"/>
    <w:rsid w:val="00842465"/>
    <w:rsid w:val="0084297C"/>
    <w:rsid w:val="008429FD"/>
    <w:rsid w:val="00842DE9"/>
    <w:rsid w:val="00842F1C"/>
    <w:rsid w:val="00842F8B"/>
    <w:rsid w:val="00843501"/>
    <w:rsid w:val="00843931"/>
    <w:rsid w:val="0084396F"/>
    <w:rsid w:val="00843B64"/>
    <w:rsid w:val="00843D02"/>
    <w:rsid w:val="00843D19"/>
    <w:rsid w:val="00844052"/>
    <w:rsid w:val="008440EF"/>
    <w:rsid w:val="0084450B"/>
    <w:rsid w:val="00844879"/>
    <w:rsid w:val="00844886"/>
    <w:rsid w:val="00844A15"/>
    <w:rsid w:val="00844AE2"/>
    <w:rsid w:val="00844D31"/>
    <w:rsid w:val="00844DCE"/>
    <w:rsid w:val="00844E51"/>
    <w:rsid w:val="00844FE5"/>
    <w:rsid w:val="008450A1"/>
    <w:rsid w:val="00845392"/>
    <w:rsid w:val="008453EB"/>
    <w:rsid w:val="00845408"/>
    <w:rsid w:val="00845446"/>
    <w:rsid w:val="0084556C"/>
    <w:rsid w:val="0084570E"/>
    <w:rsid w:val="0084572D"/>
    <w:rsid w:val="00845A7F"/>
    <w:rsid w:val="00845B66"/>
    <w:rsid w:val="00845F5B"/>
    <w:rsid w:val="008464CE"/>
    <w:rsid w:val="008465C0"/>
    <w:rsid w:val="008465DF"/>
    <w:rsid w:val="00846607"/>
    <w:rsid w:val="00846622"/>
    <w:rsid w:val="00846649"/>
    <w:rsid w:val="008466E7"/>
    <w:rsid w:val="00846968"/>
    <w:rsid w:val="00846D0C"/>
    <w:rsid w:val="00847498"/>
    <w:rsid w:val="00847789"/>
    <w:rsid w:val="00847901"/>
    <w:rsid w:val="00847A19"/>
    <w:rsid w:val="00847B51"/>
    <w:rsid w:val="00847C62"/>
    <w:rsid w:val="00847E80"/>
    <w:rsid w:val="00847EF2"/>
    <w:rsid w:val="0085014D"/>
    <w:rsid w:val="00850675"/>
    <w:rsid w:val="0085088B"/>
    <w:rsid w:val="00850977"/>
    <w:rsid w:val="00850BC6"/>
    <w:rsid w:val="00850C55"/>
    <w:rsid w:val="00850C90"/>
    <w:rsid w:val="00851B1C"/>
    <w:rsid w:val="00851EE3"/>
    <w:rsid w:val="00851F17"/>
    <w:rsid w:val="00851FE2"/>
    <w:rsid w:val="00852126"/>
    <w:rsid w:val="00852400"/>
    <w:rsid w:val="00852A4E"/>
    <w:rsid w:val="00852CCF"/>
    <w:rsid w:val="00852D94"/>
    <w:rsid w:val="00853448"/>
    <w:rsid w:val="0085390C"/>
    <w:rsid w:val="00853D90"/>
    <w:rsid w:val="00853F41"/>
    <w:rsid w:val="00854216"/>
    <w:rsid w:val="008544AE"/>
    <w:rsid w:val="00854663"/>
    <w:rsid w:val="0085472B"/>
    <w:rsid w:val="008547B9"/>
    <w:rsid w:val="008548E0"/>
    <w:rsid w:val="00854A42"/>
    <w:rsid w:val="00854A65"/>
    <w:rsid w:val="00854E2F"/>
    <w:rsid w:val="00855062"/>
    <w:rsid w:val="008550F0"/>
    <w:rsid w:val="008555D1"/>
    <w:rsid w:val="00855BCC"/>
    <w:rsid w:val="00855F2F"/>
    <w:rsid w:val="00855FB4"/>
    <w:rsid w:val="00856076"/>
    <w:rsid w:val="0085618D"/>
    <w:rsid w:val="00856CF1"/>
    <w:rsid w:val="0085702A"/>
    <w:rsid w:val="008575E1"/>
    <w:rsid w:val="00857648"/>
    <w:rsid w:val="00857813"/>
    <w:rsid w:val="00857CCB"/>
    <w:rsid w:val="00857F6E"/>
    <w:rsid w:val="0086002C"/>
    <w:rsid w:val="00860146"/>
    <w:rsid w:val="00860293"/>
    <w:rsid w:val="0086067B"/>
    <w:rsid w:val="0086082B"/>
    <w:rsid w:val="00860B92"/>
    <w:rsid w:val="00860E42"/>
    <w:rsid w:val="00861259"/>
    <w:rsid w:val="00861277"/>
    <w:rsid w:val="0086159F"/>
    <w:rsid w:val="0086180E"/>
    <w:rsid w:val="00861848"/>
    <w:rsid w:val="00861B83"/>
    <w:rsid w:val="00861CCE"/>
    <w:rsid w:val="00861DBB"/>
    <w:rsid w:val="008620F0"/>
    <w:rsid w:val="00862201"/>
    <w:rsid w:val="00862FC8"/>
    <w:rsid w:val="008630FA"/>
    <w:rsid w:val="0086318D"/>
    <w:rsid w:val="008631C3"/>
    <w:rsid w:val="00863692"/>
    <w:rsid w:val="008639B0"/>
    <w:rsid w:val="00863B8B"/>
    <w:rsid w:val="00863DE5"/>
    <w:rsid w:val="00863EE8"/>
    <w:rsid w:val="00863FFD"/>
    <w:rsid w:val="00864001"/>
    <w:rsid w:val="008640E3"/>
    <w:rsid w:val="008641DE"/>
    <w:rsid w:val="00864418"/>
    <w:rsid w:val="00864B8A"/>
    <w:rsid w:val="00865592"/>
    <w:rsid w:val="008656A2"/>
    <w:rsid w:val="00865969"/>
    <w:rsid w:val="00865E70"/>
    <w:rsid w:val="00865EA5"/>
    <w:rsid w:val="00866173"/>
    <w:rsid w:val="0086633D"/>
    <w:rsid w:val="00866374"/>
    <w:rsid w:val="0086661B"/>
    <w:rsid w:val="0086667F"/>
    <w:rsid w:val="00866879"/>
    <w:rsid w:val="0086690C"/>
    <w:rsid w:val="00866A4C"/>
    <w:rsid w:val="00866A79"/>
    <w:rsid w:val="00866B78"/>
    <w:rsid w:val="0086706D"/>
    <w:rsid w:val="008670A9"/>
    <w:rsid w:val="0086737F"/>
    <w:rsid w:val="0086738E"/>
    <w:rsid w:val="0086767E"/>
    <w:rsid w:val="00867BFB"/>
    <w:rsid w:val="00867CEF"/>
    <w:rsid w:val="00867EDB"/>
    <w:rsid w:val="00870966"/>
    <w:rsid w:val="0087131F"/>
    <w:rsid w:val="00871DDB"/>
    <w:rsid w:val="00871EB6"/>
    <w:rsid w:val="00871F8B"/>
    <w:rsid w:val="00872261"/>
    <w:rsid w:val="008722A8"/>
    <w:rsid w:val="00872457"/>
    <w:rsid w:val="0087247E"/>
    <w:rsid w:val="00872835"/>
    <w:rsid w:val="00872878"/>
    <w:rsid w:val="008728E7"/>
    <w:rsid w:val="00872A9F"/>
    <w:rsid w:val="00872DB1"/>
    <w:rsid w:val="00872DD8"/>
    <w:rsid w:val="00872FE3"/>
    <w:rsid w:val="008733E7"/>
    <w:rsid w:val="00873498"/>
    <w:rsid w:val="0087350F"/>
    <w:rsid w:val="00873556"/>
    <w:rsid w:val="00873641"/>
    <w:rsid w:val="008736D5"/>
    <w:rsid w:val="0087378D"/>
    <w:rsid w:val="008737D2"/>
    <w:rsid w:val="00873DA3"/>
    <w:rsid w:val="0087400D"/>
    <w:rsid w:val="0087421D"/>
    <w:rsid w:val="00874467"/>
    <w:rsid w:val="0087446F"/>
    <w:rsid w:val="008744C3"/>
    <w:rsid w:val="008744DD"/>
    <w:rsid w:val="008747A4"/>
    <w:rsid w:val="00874C2B"/>
    <w:rsid w:val="00875114"/>
    <w:rsid w:val="0087514D"/>
    <w:rsid w:val="0087548A"/>
    <w:rsid w:val="008755DE"/>
    <w:rsid w:val="0087572E"/>
    <w:rsid w:val="0087591D"/>
    <w:rsid w:val="00875D66"/>
    <w:rsid w:val="00875F20"/>
    <w:rsid w:val="00876045"/>
    <w:rsid w:val="0087629C"/>
    <w:rsid w:val="0087639E"/>
    <w:rsid w:val="008769E2"/>
    <w:rsid w:val="00876C08"/>
    <w:rsid w:val="00876C18"/>
    <w:rsid w:val="00876E04"/>
    <w:rsid w:val="00876E94"/>
    <w:rsid w:val="008770BA"/>
    <w:rsid w:val="00877174"/>
    <w:rsid w:val="008773D7"/>
    <w:rsid w:val="00877A9B"/>
    <w:rsid w:val="00877BA7"/>
    <w:rsid w:val="00877D4F"/>
    <w:rsid w:val="008800D0"/>
    <w:rsid w:val="00880187"/>
    <w:rsid w:val="00880532"/>
    <w:rsid w:val="00880561"/>
    <w:rsid w:val="00880BD4"/>
    <w:rsid w:val="00881710"/>
    <w:rsid w:val="0088184B"/>
    <w:rsid w:val="00881A01"/>
    <w:rsid w:val="00882036"/>
    <w:rsid w:val="008820B0"/>
    <w:rsid w:val="008823FD"/>
    <w:rsid w:val="00882470"/>
    <w:rsid w:val="008828E0"/>
    <w:rsid w:val="008829CB"/>
    <w:rsid w:val="00882BE8"/>
    <w:rsid w:val="00882C84"/>
    <w:rsid w:val="008833C9"/>
    <w:rsid w:val="00883795"/>
    <w:rsid w:val="008838F8"/>
    <w:rsid w:val="00883996"/>
    <w:rsid w:val="00883A9D"/>
    <w:rsid w:val="00883B50"/>
    <w:rsid w:val="00883CB3"/>
    <w:rsid w:val="00883CF8"/>
    <w:rsid w:val="00883CFA"/>
    <w:rsid w:val="00883DAE"/>
    <w:rsid w:val="00884041"/>
    <w:rsid w:val="00884240"/>
    <w:rsid w:val="00884742"/>
    <w:rsid w:val="00884B0F"/>
    <w:rsid w:val="00884C39"/>
    <w:rsid w:val="00884D1B"/>
    <w:rsid w:val="00884E91"/>
    <w:rsid w:val="00884EF7"/>
    <w:rsid w:val="00884F31"/>
    <w:rsid w:val="00885207"/>
    <w:rsid w:val="0088543A"/>
    <w:rsid w:val="00885596"/>
    <w:rsid w:val="008856D0"/>
    <w:rsid w:val="00885737"/>
    <w:rsid w:val="008859DA"/>
    <w:rsid w:val="00885A42"/>
    <w:rsid w:val="00886354"/>
    <w:rsid w:val="008864BA"/>
    <w:rsid w:val="00886637"/>
    <w:rsid w:val="008866FA"/>
    <w:rsid w:val="00886743"/>
    <w:rsid w:val="008867EC"/>
    <w:rsid w:val="00886AAD"/>
    <w:rsid w:val="00886EE1"/>
    <w:rsid w:val="00886FFE"/>
    <w:rsid w:val="0088735F"/>
    <w:rsid w:val="008873AD"/>
    <w:rsid w:val="008873F6"/>
    <w:rsid w:val="0088745B"/>
    <w:rsid w:val="00887571"/>
    <w:rsid w:val="00887616"/>
    <w:rsid w:val="00887745"/>
    <w:rsid w:val="00887A9B"/>
    <w:rsid w:val="00890158"/>
    <w:rsid w:val="0089092C"/>
    <w:rsid w:val="00890DC8"/>
    <w:rsid w:val="00890F44"/>
    <w:rsid w:val="008913E0"/>
    <w:rsid w:val="00891514"/>
    <w:rsid w:val="0089167C"/>
    <w:rsid w:val="00891A80"/>
    <w:rsid w:val="00891AE0"/>
    <w:rsid w:val="00891CAF"/>
    <w:rsid w:val="00891CBB"/>
    <w:rsid w:val="00891DA8"/>
    <w:rsid w:val="00891DD2"/>
    <w:rsid w:val="00891DFD"/>
    <w:rsid w:val="00892003"/>
    <w:rsid w:val="0089205A"/>
    <w:rsid w:val="008920F1"/>
    <w:rsid w:val="0089223A"/>
    <w:rsid w:val="00892451"/>
    <w:rsid w:val="00892641"/>
    <w:rsid w:val="0089264C"/>
    <w:rsid w:val="008926C9"/>
    <w:rsid w:val="00892732"/>
    <w:rsid w:val="00892B2A"/>
    <w:rsid w:val="00892C36"/>
    <w:rsid w:val="00892FC2"/>
    <w:rsid w:val="008932BF"/>
    <w:rsid w:val="00893359"/>
    <w:rsid w:val="008933C6"/>
    <w:rsid w:val="008935AB"/>
    <w:rsid w:val="0089374E"/>
    <w:rsid w:val="00893B04"/>
    <w:rsid w:val="00893C37"/>
    <w:rsid w:val="00893D31"/>
    <w:rsid w:val="00893F32"/>
    <w:rsid w:val="0089405D"/>
    <w:rsid w:val="008943A6"/>
    <w:rsid w:val="00894423"/>
    <w:rsid w:val="00894475"/>
    <w:rsid w:val="0089461B"/>
    <w:rsid w:val="00895195"/>
    <w:rsid w:val="00895402"/>
    <w:rsid w:val="00895819"/>
    <w:rsid w:val="00895E33"/>
    <w:rsid w:val="00895F81"/>
    <w:rsid w:val="00896317"/>
    <w:rsid w:val="0089674C"/>
    <w:rsid w:val="00896869"/>
    <w:rsid w:val="008968CD"/>
    <w:rsid w:val="00896934"/>
    <w:rsid w:val="00896AAF"/>
    <w:rsid w:val="00896BC0"/>
    <w:rsid w:val="00896FF3"/>
    <w:rsid w:val="0089733E"/>
    <w:rsid w:val="0089742A"/>
    <w:rsid w:val="0089774F"/>
    <w:rsid w:val="0089783D"/>
    <w:rsid w:val="00897C9C"/>
    <w:rsid w:val="00897CE9"/>
    <w:rsid w:val="00897E0B"/>
    <w:rsid w:val="00897F19"/>
    <w:rsid w:val="00897FB0"/>
    <w:rsid w:val="008A003F"/>
    <w:rsid w:val="008A0100"/>
    <w:rsid w:val="008A0144"/>
    <w:rsid w:val="008A01E5"/>
    <w:rsid w:val="008A0206"/>
    <w:rsid w:val="008A03F1"/>
    <w:rsid w:val="008A0560"/>
    <w:rsid w:val="008A06C5"/>
    <w:rsid w:val="008A076C"/>
    <w:rsid w:val="008A0947"/>
    <w:rsid w:val="008A0BAC"/>
    <w:rsid w:val="008A0CF2"/>
    <w:rsid w:val="008A1110"/>
    <w:rsid w:val="008A1197"/>
    <w:rsid w:val="008A125F"/>
    <w:rsid w:val="008A1337"/>
    <w:rsid w:val="008A1782"/>
    <w:rsid w:val="008A19F5"/>
    <w:rsid w:val="008A1DF0"/>
    <w:rsid w:val="008A2794"/>
    <w:rsid w:val="008A28BE"/>
    <w:rsid w:val="008A290E"/>
    <w:rsid w:val="008A2AEA"/>
    <w:rsid w:val="008A2DFD"/>
    <w:rsid w:val="008A2E70"/>
    <w:rsid w:val="008A33FD"/>
    <w:rsid w:val="008A3418"/>
    <w:rsid w:val="008A3565"/>
    <w:rsid w:val="008A3678"/>
    <w:rsid w:val="008A36C1"/>
    <w:rsid w:val="008A3CE0"/>
    <w:rsid w:val="008A3DBA"/>
    <w:rsid w:val="008A3F04"/>
    <w:rsid w:val="008A3F61"/>
    <w:rsid w:val="008A422E"/>
    <w:rsid w:val="008A4897"/>
    <w:rsid w:val="008A49E0"/>
    <w:rsid w:val="008A4B56"/>
    <w:rsid w:val="008A4F0E"/>
    <w:rsid w:val="008A5315"/>
    <w:rsid w:val="008A54CD"/>
    <w:rsid w:val="008A5566"/>
    <w:rsid w:val="008A55A6"/>
    <w:rsid w:val="008A6077"/>
    <w:rsid w:val="008A614E"/>
    <w:rsid w:val="008A6756"/>
    <w:rsid w:val="008A69F8"/>
    <w:rsid w:val="008A6B98"/>
    <w:rsid w:val="008A70A6"/>
    <w:rsid w:val="008A71A4"/>
    <w:rsid w:val="008A7236"/>
    <w:rsid w:val="008A74D5"/>
    <w:rsid w:val="008A7B79"/>
    <w:rsid w:val="008A7EC2"/>
    <w:rsid w:val="008B0558"/>
    <w:rsid w:val="008B05A1"/>
    <w:rsid w:val="008B08FE"/>
    <w:rsid w:val="008B0C0B"/>
    <w:rsid w:val="008B0CCA"/>
    <w:rsid w:val="008B1403"/>
    <w:rsid w:val="008B1481"/>
    <w:rsid w:val="008B15AC"/>
    <w:rsid w:val="008B16DC"/>
    <w:rsid w:val="008B1792"/>
    <w:rsid w:val="008B18F0"/>
    <w:rsid w:val="008B1998"/>
    <w:rsid w:val="008B1D5E"/>
    <w:rsid w:val="008B1D68"/>
    <w:rsid w:val="008B1E5B"/>
    <w:rsid w:val="008B23B2"/>
    <w:rsid w:val="008B241F"/>
    <w:rsid w:val="008B26A0"/>
    <w:rsid w:val="008B2798"/>
    <w:rsid w:val="008B28B1"/>
    <w:rsid w:val="008B2909"/>
    <w:rsid w:val="008B2AE3"/>
    <w:rsid w:val="008B2BB9"/>
    <w:rsid w:val="008B2D82"/>
    <w:rsid w:val="008B2F7D"/>
    <w:rsid w:val="008B319A"/>
    <w:rsid w:val="008B3296"/>
    <w:rsid w:val="008B33F9"/>
    <w:rsid w:val="008B3790"/>
    <w:rsid w:val="008B37B2"/>
    <w:rsid w:val="008B38D9"/>
    <w:rsid w:val="008B39D5"/>
    <w:rsid w:val="008B3B96"/>
    <w:rsid w:val="008B3EE8"/>
    <w:rsid w:val="008B42D6"/>
    <w:rsid w:val="008B42D7"/>
    <w:rsid w:val="008B4478"/>
    <w:rsid w:val="008B48C1"/>
    <w:rsid w:val="008B4BF4"/>
    <w:rsid w:val="008B4F64"/>
    <w:rsid w:val="008B4FA0"/>
    <w:rsid w:val="008B5226"/>
    <w:rsid w:val="008B559F"/>
    <w:rsid w:val="008B584C"/>
    <w:rsid w:val="008B59D4"/>
    <w:rsid w:val="008B5ABB"/>
    <w:rsid w:val="008B5B9D"/>
    <w:rsid w:val="008B5D2F"/>
    <w:rsid w:val="008B5E07"/>
    <w:rsid w:val="008B5F64"/>
    <w:rsid w:val="008B5F99"/>
    <w:rsid w:val="008B60D9"/>
    <w:rsid w:val="008B6357"/>
    <w:rsid w:val="008B6F49"/>
    <w:rsid w:val="008B7132"/>
    <w:rsid w:val="008B7319"/>
    <w:rsid w:val="008B745B"/>
    <w:rsid w:val="008B75C7"/>
    <w:rsid w:val="008B76C5"/>
    <w:rsid w:val="008B7A7D"/>
    <w:rsid w:val="008B7DA2"/>
    <w:rsid w:val="008B7E38"/>
    <w:rsid w:val="008B8910"/>
    <w:rsid w:val="008C0276"/>
    <w:rsid w:val="008C075A"/>
    <w:rsid w:val="008C0848"/>
    <w:rsid w:val="008C0A9B"/>
    <w:rsid w:val="008C0B8F"/>
    <w:rsid w:val="008C0DAC"/>
    <w:rsid w:val="008C0DFD"/>
    <w:rsid w:val="008C0E15"/>
    <w:rsid w:val="008C1011"/>
    <w:rsid w:val="008C1239"/>
    <w:rsid w:val="008C17A9"/>
    <w:rsid w:val="008C1841"/>
    <w:rsid w:val="008C1BF3"/>
    <w:rsid w:val="008C1E5B"/>
    <w:rsid w:val="008C2501"/>
    <w:rsid w:val="008C2542"/>
    <w:rsid w:val="008C260B"/>
    <w:rsid w:val="008C30A9"/>
    <w:rsid w:val="008C3492"/>
    <w:rsid w:val="008C351D"/>
    <w:rsid w:val="008C3A61"/>
    <w:rsid w:val="008C3B69"/>
    <w:rsid w:val="008C3BB0"/>
    <w:rsid w:val="008C3D73"/>
    <w:rsid w:val="008C3EEF"/>
    <w:rsid w:val="008C40D6"/>
    <w:rsid w:val="008C43C9"/>
    <w:rsid w:val="008C4419"/>
    <w:rsid w:val="008C454C"/>
    <w:rsid w:val="008C47A9"/>
    <w:rsid w:val="008C482B"/>
    <w:rsid w:val="008C48BB"/>
    <w:rsid w:val="008C49F2"/>
    <w:rsid w:val="008C4FD2"/>
    <w:rsid w:val="008C53EF"/>
    <w:rsid w:val="008C5401"/>
    <w:rsid w:val="008C5894"/>
    <w:rsid w:val="008C58BE"/>
    <w:rsid w:val="008C5AD2"/>
    <w:rsid w:val="008C5C75"/>
    <w:rsid w:val="008C5F55"/>
    <w:rsid w:val="008C61BB"/>
    <w:rsid w:val="008C6667"/>
    <w:rsid w:val="008C6846"/>
    <w:rsid w:val="008C68FE"/>
    <w:rsid w:val="008C6D48"/>
    <w:rsid w:val="008C6D80"/>
    <w:rsid w:val="008C7962"/>
    <w:rsid w:val="008C7EA0"/>
    <w:rsid w:val="008D015B"/>
    <w:rsid w:val="008D0182"/>
    <w:rsid w:val="008D027D"/>
    <w:rsid w:val="008D0677"/>
    <w:rsid w:val="008D07D6"/>
    <w:rsid w:val="008D09E4"/>
    <w:rsid w:val="008D0DF5"/>
    <w:rsid w:val="008D10F4"/>
    <w:rsid w:val="008D117E"/>
    <w:rsid w:val="008D11DD"/>
    <w:rsid w:val="008D1244"/>
    <w:rsid w:val="008D1259"/>
    <w:rsid w:val="008D13D9"/>
    <w:rsid w:val="008D1536"/>
    <w:rsid w:val="008D158B"/>
    <w:rsid w:val="008D1765"/>
    <w:rsid w:val="008D1878"/>
    <w:rsid w:val="008D187B"/>
    <w:rsid w:val="008D188B"/>
    <w:rsid w:val="008D1A78"/>
    <w:rsid w:val="008D1AE7"/>
    <w:rsid w:val="008D1EA7"/>
    <w:rsid w:val="008D2281"/>
    <w:rsid w:val="008D22D3"/>
    <w:rsid w:val="008D2661"/>
    <w:rsid w:val="008D292C"/>
    <w:rsid w:val="008D297E"/>
    <w:rsid w:val="008D302D"/>
    <w:rsid w:val="008D32A7"/>
    <w:rsid w:val="008D3A6B"/>
    <w:rsid w:val="008D3C9E"/>
    <w:rsid w:val="008D4024"/>
    <w:rsid w:val="008D405F"/>
    <w:rsid w:val="008D443B"/>
    <w:rsid w:val="008D4A8C"/>
    <w:rsid w:val="008D4C7C"/>
    <w:rsid w:val="008D5105"/>
    <w:rsid w:val="008D558D"/>
    <w:rsid w:val="008D5826"/>
    <w:rsid w:val="008D5E13"/>
    <w:rsid w:val="008D5F7C"/>
    <w:rsid w:val="008D600A"/>
    <w:rsid w:val="008D660E"/>
    <w:rsid w:val="008D679F"/>
    <w:rsid w:val="008D67C1"/>
    <w:rsid w:val="008D6816"/>
    <w:rsid w:val="008D69A3"/>
    <w:rsid w:val="008D6EB4"/>
    <w:rsid w:val="008D6F7C"/>
    <w:rsid w:val="008D7090"/>
    <w:rsid w:val="008D756D"/>
    <w:rsid w:val="008D75A4"/>
    <w:rsid w:val="008D75D2"/>
    <w:rsid w:val="008D7A15"/>
    <w:rsid w:val="008D7D93"/>
    <w:rsid w:val="008D7F22"/>
    <w:rsid w:val="008D7FF5"/>
    <w:rsid w:val="008E00C3"/>
    <w:rsid w:val="008E02F9"/>
    <w:rsid w:val="008E04BD"/>
    <w:rsid w:val="008E0684"/>
    <w:rsid w:val="008E0774"/>
    <w:rsid w:val="008E09AF"/>
    <w:rsid w:val="008E0CA2"/>
    <w:rsid w:val="008E160A"/>
    <w:rsid w:val="008E1A61"/>
    <w:rsid w:val="008E1AAE"/>
    <w:rsid w:val="008E1C11"/>
    <w:rsid w:val="008E1F42"/>
    <w:rsid w:val="008E21B6"/>
    <w:rsid w:val="008E21ED"/>
    <w:rsid w:val="008E250B"/>
    <w:rsid w:val="008E274A"/>
    <w:rsid w:val="008E2909"/>
    <w:rsid w:val="008E312F"/>
    <w:rsid w:val="008E3181"/>
    <w:rsid w:val="008E36BA"/>
    <w:rsid w:val="008E3D56"/>
    <w:rsid w:val="008E3F0F"/>
    <w:rsid w:val="008E426C"/>
    <w:rsid w:val="008E4349"/>
    <w:rsid w:val="008E453A"/>
    <w:rsid w:val="008E45A0"/>
    <w:rsid w:val="008E466F"/>
    <w:rsid w:val="008E46DB"/>
    <w:rsid w:val="008E4854"/>
    <w:rsid w:val="008E4A9C"/>
    <w:rsid w:val="008E4B78"/>
    <w:rsid w:val="008E4D7A"/>
    <w:rsid w:val="008E51FC"/>
    <w:rsid w:val="008E59DD"/>
    <w:rsid w:val="008E5B37"/>
    <w:rsid w:val="008E6879"/>
    <w:rsid w:val="008E692A"/>
    <w:rsid w:val="008E698E"/>
    <w:rsid w:val="008E6CCE"/>
    <w:rsid w:val="008E6E35"/>
    <w:rsid w:val="008E6E87"/>
    <w:rsid w:val="008E702E"/>
    <w:rsid w:val="008E728E"/>
    <w:rsid w:val="008E73D3"/>
    <w:rsid w:val="008E7441"/>
    <w:rsid w:val="008E7971"/>
    <w:rsid w:val="008E7AD8"/>
    <w:rsid w:val="008E7C71"/>
    <w:rsid w:val="008E7CED"/>
    <w:rsid w:val="008E7D3E"/>
    <w:rsid w:val="008E7FA0"/>
    <w:rsid w:val="008F02D0"/>
    <w:rsid w:val="008F039E"/>
    <w:rsid w:val="008F06D7"/>
    <w:rsid w:val="008F082E"/>
    <w:rsid w:val="008F099F"/>
    <w:rsid w:val="008F0D46"/>
    <w:rsid w:val="008F130A"/>
    <w:rsid w:val="008F1357"/>
    <w:rsid w:val="008F157E"/>
    <w:rsid w:val="008F1ACA"/>
    <w:rsid w:val="008F1F42"/>
    <w:rsid w:val="008F203C"/>
    <w:rsid w:val="008F2058"/>
    <w:rsid w:val="008F27F2"/>
    <w:rsid w:val="008F28E6"/>
    <w:rsid w:val="008F2995"/>
    <w:rsid w:val="008F2D10"/>
    <w:rsid w:val="008F2E9A"/>
    <w:rsid w:val="008F2EF6"/>
    <w:rsid w:val="008F2F87"/>
    <w:rsid w:val="008F2FAE"/>
    <w:rsid w:val="008F3473"/>
    <w:rsid w:val="008F3769"/>
    <w:rsid w:val="008F40AE"/>
    <w:rsid w:val="008F43D7"/>
    <w:rsid w:val="008F448C"/>
    <w:rsid w:val="008F46FE"/>
    <w:rsid w:val="008F49EE"/>
    <w:rsid w:val="008F4B1B"/>
    <w:rsid w:val="008F4C19"/>
    <w:rsid w:val="008F4C6C"/>
    <w:rsid w:val="008F55FA"/>
    <w:rsid w:val="008F5D4C"/>
    <w:rsid w:val="008F606C"/>
    <w:rsid w:val="008F60D1"/>
    <w:rsid w:val="008F618F"/>
    <w:rsid w:val="008F69C0"/>
    <w:rsid w:val="008F6B3C"/>
    <w:rsid w:val="008F6E4C"/>
    <w:rsid w:val="008F6EC7"/>
    <w:rsid w:val="008F71FB"/>
    <w:rsid w:val="008F72BE"/>
    <w:rsid w:val="008F7510"/>
    <w:rsid w:val="008F7544"/>
    <w:rsid w:val="008F7579"/>
    <w:rsid w:val="008F7708"/>
    <w:rsid w:val="008F77B9"/>
    <w:rsid w:val="008F7E5B"/>
    <w:rsid w:val="009000B4"/>
    <w:rsid w:val="00900138"/>
    <w:rsid w:val="009001B1"/>
    <w:rsid w:val="009001D7"/>
    <w:rsid w:val="00900295"/>
    <w:rsid w:val="009005BB"/>
    <w:rsid w:val="009005CA"/>
    <w:rsid w:val="009005EB"/>
    <w:rsid w:val="00900673"/>
    <w:rsid w:val="00900998"/>
    <w:rsid w:val="00900CEE"/>
    <w:rsid w:val="00900DCB"/>
    <w:rsid w:val="009010BC"/>
    <w:rsid w:val="00901372"/>
    <w:rsid w:val="00901868"/>
    <w:rsid w:val="00901979"/>
    <w:rsid w:val="00901C5A"/>
    <w:rsid w:val="00901D23"/>
    <w:rsid w:val="00901F83"/>
    <w:rsid w:val="009024C4"/>
    <w:rsid w:val="00902927"/>
    <w:rsid w:val="00902FB7"/>
    <w:rsid w:val="009030EA"/>
    <w:rsid w:val="009031E5"/>
    <w:rsid w:val="009039D1"/>
    <w:rsid w:val="00903A2B"/>
    <w:rsid w:val="00904123"/>
    <w:rsid w:val="00904227"/>
    <w:rsid w:val="009043D9"/>
    <w:rsid w:val="00904A46"/>
    <w:rsid w:val="00904B8F"/>
    <w:rsid w:val="00904CB3"/>
    <w:rsid w:val="00904D19"/>
    <w:rsid w:val="009052B6"/>
    <w:rsid w:val="00905667"/>
    <w:rsid w:val="00905A54"/>
    <w:rsid w:val="00905F13"/>
    <w:rsid w:val="00906275"/>
    <w:rsid w:val="009065AA"/>
    <w:rsid w:val="0090665F"/>
    <w:rsid w:val="0090666C"/>
    <w:rsid w:val="009067E3"/>
    <w:rsid w:val="00906B6D"/>
    <w:rsid w:val="00906CAC"/>
    <w:rsid w:val="00907319"/>
    <w:rsid w:val="009074B1"/>
    <w:rsid w:val="00907A41"/>
    <w:rsid w:val="00907B05"/>
    <w:rsid w:val="00907C1F"/>
    <w:rsid w:val="00907C8D"/>
    <w:rsid w:val="00907CB8"/>
    <w:rsid w:val="00907E10"/>
    <w:rsid w:val="00907E9D"/>
    <w:rsid w:val="00910013"/>
    <w:rsid w:val="009101F0"/>
    <w:rsid w:val="0091029F"/>
    <w:rsid w:val="00910348"/>
    <w:rsid w:val="00910940"/>
    <w:rsid w:val="0091106D"/>
    <w:rsid w:val="00911B14"/>
    <w:rsid w:val="00911B6E"/>
    <w:rsid w:val="00911B88"/>
    <w:rsid w:val="00911CC1"/>
    <w:rsid w:val="00911F11"/>
    <w:rsid w:val="009127DD"/>
    <w:rsid w:val="009127EF"/>
    <w:rsid w:val="009129EB"/>
    <w:rsid w:val="00912A35"/>
    <w:rsid w:val="00912E8D"/>
    <w:rsid w:val="00913536"/>
    <w:rsid w:val="009139E6"/>
    <w:rsid w:val="00913A9E"/>
    <w:rsid w:val="0091458C"/>
    <w:rsid w:val="0091486E"/>
    <w:rsid w:val="00914F96"/>
    <w:rsid w:val="009153EF"/>
    <w:rsid w:val="009155D7"/>
    <w:rsid w:val="009157B3"/>
    <w:rsid w:val="00915B8B"/>
    <w:rsid w:val="0091626A"/>
    <w:rsid w:val="00916347"/>
    <w:rsid w:val="009167B6"/>
    <w:rsid w:val="00916BD1"/>
    <w:rsid w:val="00916EF9"/>
    <w:rsid w:val="009172D3"/>
    <w:rsid w:val="00917651"/>
    <w:rsid w:val="0091773C"/>
    <w:rsid w:val="00917CA2"/>
    <w:rsid w:val="00917F74"/>
    <w:rsid w:val="00917FB2"/>
    <w:rsid w:val="0092039B"/>
    <w:rsid w:val="0092074C"/>
    <w:rsid w:val="00920E77"/>
    <w:rsid w:val="00920ED6"/>
    <w:rsid w:val="00920F6C"/>
    <w:rsid w:val="009211B1"/>
    <w:rsid w:val="009211DE"/>
    <w:rsid w:val="009212FC"/>
    <w:rsid w:val="00921360"/>
    <w:rsid w:val="00921830"/>
    <w:rsid w:val="00921BCA"/>
    <w:rsid w:val="00921CB4"/>
    <w:rsid w:val="00921D91"/>
    <w:rsid w:val="00921E96"/>
    <w:rsid w:val="00921F65"/>
    <w:rsid w:val="0092215B"/>
    <w:rsid w:val="00922359"/>
    <w:rsid w:val="009229F6"/>
    <w:rsid w:val="00922E94"/>
    <w:rsid w:val="00923035"/>
    <w:rsid w:val="009232CF"/>
    <w:rsid w:val="00923443"/>
    <w:rsid w:val="00923512"/>
    <w:rsid w:val="00923CC0"/>
    <w:rsid w:val="00923CDF"/>
    <w:rsid w:val="00923D4E"/>
    <w:rsid w:val="00923DB6"/>
    <w:rsid w:val="00923E1F"/>
    <w:rsid w:val="00923F9A"/>
    <w:rsid w:val="0092403D"/>
    <w:rsid w:val="009244A9"/>
    <w:rsid w:val="00924583"/>
    <w:rsid w:val="00924AB2"/>
    <w:rsid w:val="00924E3B"/>
    <w:rsid w:val="009255F2"/>
    <w:rsid w:val="00925816"/>
    <w:rsid w:val="00925965"/>
    <w:rsid w:val="00925A2D"/>
    <w:rsid w:val="00925ADF"/>
    <w:rsid w:val="00925BCD"/>
    <w:rsid w:val="00925BDC"/>
    <w:rsid w:val="00925F21"/>
    <w:rsid w:val="009261FC"/>
    <w:rsid w:val="0092633F"/>
    <w:rsid w:val="00926749"/>
    <w:rsid w:val="00926A5F"/>
    <w:rsid w:val="00926C73"/>
    <w:rsid w:val="00927331"/>
    <w:rsid w:val="00927401"/>
    <w:rsid w:val="00927A2C"/>
    <w:rsid w:val="00927CA3"/>
    <w:rsid w:val="00927EBA"/>
    <w:rsid w:val="00930134"/>
    <w:rsid w:val="00930B24"/>
    <w:rsid w:val="00931150"/>
    <w:rsid w:val="0093149D"/>
    <w:rsid w:val="00931CFC"/>
    <w:rsid w:val="00931D1F"/>
    <w:rsid w:val="00931FF5"/>
    <w:rsid w:val="00932369"/>
    <w:rsid w:val="009324AC"/>
    <w:rsid w:val="0093261C"/>
    <w:rsid w:val="009326F4"/>
    <w:rsid w:val="009327F9"/>
    <w:rsid w:val="00932F4A"/>
    <w:rsid w:val="00932F66"/>
    <w:rsid w:val="00932F70"/>
    <w:rsid w:val="00933079"/>
    <w:rsid w:val="0093355E"/>
    <w:rsid w:val="00933FF3"/>
    <w:rsid w:val="0093407E"/>
    <w:rsid w:val="00934179"/>
    <w:rsid w:val="009341E0"/>
    <w:rsid w:val="00934517"/>
    <w:rsid w:val="009346D2"/>
    <w:rsid w:val="009347D0"/>
    <w:rsid w:val="00934BFB"/>
    <w:rsid w:val="00934E36"/>
    <w:rsid w:val="0093509F"/>
    <w:rsid w:val="00935445"/>
    <w:rsid w:val="009354D2"/>
    <w:rsid w:val="009359D4"/>
    <w:rsid w:val="00935F0B"/>
    <w:rsid w:val="00935F34"/>
    <w:rsid w:val="00935FD7"/>
    <w:rsid w:val="0093627A"/>
    <w:rsid w:val="0093629B"/>
    <w:rsid w:val="00936EDB"/>
    <w:rsid w:val="00936EF0"/>
    <w:rsid w:val="009373EC"/>
    <w:rsid w:val="00937AD5"/>
    <w:rsid w:val="00937AF8"/>
    <w:rsid w:val="00937BBA"/>
    <w:rsid w:val="00937DED"/>
    <w:rsid w:val="00937F1E"/>
    <w:rsid w:val="0093E2D7"/>
    <w:rsid w:val="0094056C"/>
    <w:rsid w:val="0094058F"/>
    <w:rsid w:val="009406E4"/>
    <w:rsid w:val="00940833"/>
    <w:rsid w:val="00940CB7"/>
    <w:rsid w:val="009413F1"/>
    <w:rsid w:val="00941475"/>
    <w:rsid w:val="0094178F"/>
    <w:rsid w:val="0094188D"/>
    <w:rsid w:val="009418C7"/>
    <w:rsid w:val="00941AF4"/>
    <w:rsid w:val="00941E98"/>
    <w:rsid w:val="00941EC9"/>
    <w:rsid w:val="009427B9"/>
    <w:rsid w:val="00942924"/>
    <w:rsid w:val="00942C68"/>
    <w:rsid w:val="0094307D"/>
    <w:rsid w:val="009432A0"/>
    <w:rsid w:val="009432C4"/>
    <w:rsid w:val="00943701"/>
    <w:rsid w:val="00943A52"/>
    <w:rsid w:val="00943AEF"/>
    <w:rsid w:val="00943E7F"/>
    <w:rsid w:val="00944195"/>
    <w:rsid w:val="009443EF"/>
    <w:rsid w:val="00944415"/>
    <w:rsid w:val="00944A0F"/>
    <w:rsid w:val="00944C8D"/>
    <w:rsid w:val="00945134"/>
    <w:rsid w:val="0094563D"/>
    <w:rsid w:val="00945897"/>
    <w:rsid w:val="00945E04"/>
    <w:rsid w:val="009462C3"/>
    <w:rsid w:val="00946C5B"/>
    <w:rsid w:val="00946DE3"/>
    <w:rsid w:val="00946EF9"/>
    <w:rsid w:val="00947151"/>
    <w:rsid w:val="009471F5"/>
    <w:rsid w:val="00947266"/>
    <w:rsid w:val="00947C6B"/>
    <w:rsid w:val="00950722"/>
    <w:rsid w:val="00950CAF"/>
    <w:rsid w:val="00950DBD"/>
    <w:rsid w:val="009511E5"/>
    <w:rsid w:val="009513AB"/>
    <w:rsid w:val="009515AB"/>
    <w:rsid w:val="009515F6"/>
    <w:rsid w:val="00951829"/>
    <w:rsid w:val="00951D63"/>
    <w:rsid w:val="009522DE"/>
    <w:rsid w:val="009523E9"/>
    <w:rsid w:val="009524E8"/>
    <w:rsid w:val="00952BBD"/>
    <w:rsid w:val="00952C87"/>
    <w:rsid w:val="00952DE3"/>
    <w:rsid w:val="00953071"/>
    <w:rsid w:val="00953106"/>
    <w:rsid w:val="00953200"/>
    <w:rsid w:val="0095347F"/>
    <w:rsid w:val="00953504"/>
    <w:rsid w:val="00953A23"/>
    <w:rsid w:val="00953AE8"/>
    <w:rsid w:val="00953F04"/>
    <w:rsid w:val="009541DF"/>
    <w:rsid w:val="00954289"/>
    <w:rsid w:val="00954459"/>
    <w:rsid w:val="00954601"/>
    <w:rsid w:val="0095482C"/>
    <w:rsid w:val="0095482E"/>
    <w:rsid w:val="009549FA"/>
    <w:rsid w:val="00954A8D"/>
    <w:rsid w:val="009553E4"/>
    <w:rsid w:val="009558E7"/>
    <w:rsid w:val="00955AA5"/>
    <w:rsid w:val="00955E70"/>
    <w:rsid w:val="00955F0A"/>
    <w:rsid w:val="00956285"/>
    <w:rsid w:val="00956729"/>
    <w:rsid w:val="009569D8"/>
    <w:rsid w:val="00956AF7"/>
    <w:rsid w:val="00956B0E"/>
    <w:rsid w:val="00956B81"/>
    <w:rsid w:val="00956D62"/>
    <w:rsid w:val="00956D65"/>
    <w:rsid w:val="0095738E"/>
    <w:rsid w:val="00957610"/>
    <w:rsid w:val="0095781D"/>
    <w:rsid w:val="0095789D"/>
    <w:rsid w:val="0095798F"/>
    <w:rsid w:val="00957B7D"/>
    <w:rsid w:val="00957D4A"/>
    <w:rsid w:val="00957E5E"/>
    <w:rsid w:val="00960097"/>
    <w:rsid w:val="009604DD"/>
    <w:rsid w:val="0096083E"/>
    <w:rsid w:val="009609CC"/>
    <w:rsid w:val="00960B5A"/>
    <w:rsid w:val="00960C48"/>
    <w:rsid w:val="00960D9E"/>
    <w:rsid w:val="00960ECB"/>
    <w:rsid w:val="00960F95"/>
    <w:rsid w:val="00960FB2"/>
    <w:rsid w:val="0096121C"/>
    <w:rsid w:val="00961522"/>
    <w:rsid w:val="009618FE"/>
    <w:rsid w:val="00961A41"/>
    <w:rsid w:val="00961AC6"/>
    <w:rsid w:val="00961B1E"/>
    <w:rsid w:val="00961E63"/>
    <w:rsid w:val="00961F03"/>
    <w:rsid w:val="009620A2"/>
    <w:rsid w:val="009629BF"/>
    <w:rsid w:val="009634F1"/>
    <w:rsid w:val="00963741"/>
    <w:rsid w:val="00963990"/>
    <w:rsid w:val="009639CB"/>
    <w:rsid w:val="00963B6B"/>
    <w:rsid w:val="009644BD"/>
    <w:rsid w:val="00964614"/>
    <w:rsid w:val="009647DA"/>
    <w:rsid w:val="00964897"/>
    <w:rsid w:val="0096497B"/>
    <w:rsid w:val="00965250"/>
    <w:rsid w:val="00965A9A"/>
    <w:rsid w:val="0096604F"/>
    <w:rsid w:val="00966788"/>
    <w:rsid w:val="009667F1"/>
    <w:rsid w:val="009669F5"/>
    <w:rsid w:val="00966A7C"/>
    <w:rsid w:val="00966AFD"/>
    <w:rsid w:val="00966C47"/>
    <w:rsid w:val="00966D58"/>
    <w:rsid w:val="00966F82"/>
    <w:rsid w:val="009673D2"/>
    <w:rsid w:val="009674DE"/>
    <w:rsid w:val="00967615"/>
    <w:rsid w:val="00967641"/>
    <w:rsid w:val="00967744"/>
    <w:rsid w:val="00967AD2"/>
    <w:rsid w:val="00967B05"/>
    <w:rsid w:val="00967F60"/>
    <w:rsid w:val="00970553"/>
    <w:rsid w:val="00970BF3"/>
    <w:rsid w:val="00970D34"/>
    <w:rsid w:val="0097135D"/>
    <w:rsid w:val="0097146E"/>
    <w:rsid w:val="0097180D"/>
    <w:rsid w:val="00971ABB"/>
    <w:rsid w:val="00972090"/>
    <w:rsid w:val="00972136"/>
    <w:rsid w:val="0097257D"/>
    <w:rsid w:val="00972678"/>
    <w:rsid w:val="00972749"/>
    <w:rsid w:val="00972FEF"/>
    <w:rsid w:val="00973148"/>
    <w:rsid w:val="009731C9"/>
    <w:rsid w:val="00973469"/>
    <w:rsid w:val="00973508"/>
    <w:rsid w:val="00973976"/>
    <w:rsid w:val="00973EFD"/>
    <w:rsid w:val="009741F0"/>
    <w:rsid w:val="009744E3"/>
    <w:rsid w:val="009747D3"/>
    <w:rsid w:val="00974F36"/>
    <w:rsid w:val="009750DA"/>
    <w:rsid w:val="00975143"/>
    <w:rsid w:val="009754FC"/>
    <w:rsid w:val="009756B1"/>
    <w:rsid w:val="00975752"/>
    <w:rsid w:val="00975834"/>
    <w:rsid w:val="00975C38"/>
    <w:rsid w:val="00976390"/>
    <w:rsid w:val="009763F8"/>
    <w:rsid w:val="0097642D"/>
    <w:rsid w:val="009767BF"/>
    <w:rsid w:val="00976B2B"/>
    <w:rsid w:val="00976BA2"/>
    <w:rsid w:val="00976CA4"/>
    <w:rsid w:val="00976F39"/>
    <w:rsid w:val="0097736E"/>
    <w:rsid w:val="0097763A"/>
    <w:rsid w:val="009777EF"/>
    <w:rsid w:val="009778F8"/>
    <w:rsid w:val="00977CF6"/>
    <w:rsid w:val="00980286"/>
    <w:rsid w:val="00980655"/>
    <w:rsid w:val="00980728"/>
    <w:rsid w:val="0098099E"/>
    <w:rsid w:val="009809B9"/>
    <w:rsid w:val="00980ABD"/>
    <w:rsid w:val="00980C4E"/>
    <w:rsid w:val="00980EEA"/>
    <w:rsid w:val="00980F01"/>
    <w:rsid w:val="009810E4"/>
    <w:rsid w:val="009811C7"/>
    <w:rsid w:val="009817B8"/>
    <w:rsid w:val="00981B09"/>
    <w:rsid w:val="00981B1E"/>
    <w:rsid w:val="00981C65"/>
    <w:rsid w:val="00981E05"/>
    <w:rsid w:val="009821E7"/>
    <w:rsid w:val="0098249E"/>
    <w:rsid w:val="0098268F"/>
    <w:rsid w:val="009826B5"/>
    <w:rsid w:val="009829F6"/>
    <w:rsid w:val="00982BB5"/>
    <w:rsid w:val="00982D88"/>
    <w:rsid w:val="00982F85"/>
    <w:rsid w:val="0098309D"/>
    <w:rsid w:val="00983188"/>
    <w:rsid w:val="009833E0"/>
    <w:rsid w:val="009836C2"/>
    <w:rsid w:val="00983815"/>
    <w:rsid w:val="0098384D"/>
    <w:rsid w:val="009840E1"/>
    <w:rsid w:val="009841E2"/>
    <w:rsid w:val="00984278"/>
    <w:rsid w:val="00984330"/>
    <w:rsid w:val="00984433"/>
    <w:rsid w:val="009845E6"/>
    <w:rsid w:val="00984817"/>
    <w:rsid w:val="00984884"/>
    <w:rsid w:val="00984C69"/>
    <w:rsid w:val="00984F40"/>
    <w:rsid w:val="009851DB"/>
    <w:rsid w:val="009852DD"/>
    <w:rsid w:val="00985384"/>
    <w:rsid w:val="00985AC6"/>
    <w:rsid w:val="00985F29"/>
    <w:rsid w:val="0098602B"/>
    <w:rsid w:val="009860D0"/>
    <w:rsid w:val="009863D8"/>
    <w:rsid w:val="00986560"/>
    <w:rsid w:val="0098656E"/>
    <w:rsid w:val="00986826"/>
    <w:rsid w:val="00986829"/>
    <w:rsid w:val="0098683E"/>
    <w:rsid w:val="00986B1E"/>
    <w:rsid w:val="00986D6D"/>
    <w:rsid w:val="00987031"/>
    <w:rsid w:val="0098715B"/>
    <w:rsid w:val="009872F7"/>
    <w:rsid w:val="0098735A"/>
    <w:rsid w:val="0098741A"/>
    <w:rsid w:val="0098775E"/>
    <w:rsid w:val="00987774"/>
    <w:rsid w:val="009877A4"/>
    <w:rsid w:val="009877FC"/>
    <w:rsid w:val="00987B91"/>
    <w:rsid w:val="00987BED"/>
    <w:rsid w:val="00987F82"/>
    <w:rsid w:val="00990238"/>
    <w:rsid w:val="009902C6"/>
    <w:rsid w:val="0099039A"/>
    <w:rsid w:val="009903CC"/>
    <w:rsid w:val="0099062D"/>
    <w:rsid w:val="00990AA6"/>
    <w:rsid w:val="00990E88"/>
    <w:rsid w:val="00991096"/>
    <w:rsid w:val="0099131A"/>
    <w:rsid w:val="009917A6"/>
    <w:rsid w:val="0099188D"/>
    <w:rsid w:val="00991E27"/>
    <w:rsid w:val="009920EE"/>
    <w:rsid w:val="009921D7"/>
    <w:rsid w:val="009924BE"/>
    <w:rsid w:val="0099265C"/>
    <w:rsid w:val="009929C6"/>
    <w:rsid w:val="00992A33"/>
    <w:rsid w:val="00992B65"/>
    <w:rsid w:val="00992B7D"/>
    <w:rsid w:val="00992C80"/>
    <w:rsid w:val="00993157"/>
    <w:rsid w:val="0099319E"/>
    <w:rsid w:val="009932D2"/>
    <w:rsid w:val="00993546"/>
    <w:rsid w:val="00993C61"/>
    <w:rsid w:val="00993EC7"/>
    <w:rsid w:val="00993FEA"/>
    <w:rsid w:val="0099425D"/>
    <w:rsid w:val="009942AA"/>
    <w:rsid w:val="009949C4"/>
    <w:rsid w:val="00994B20"/>
    <w:rsid w:val="00994E2A"/>
    <w:rsid w:val="00994F17"/>
    <w:rsid w:val="00994F19"/>
    <w:rsid w:val="00995157"/>
    <w:rsid w:val="00995163"/>
    <w:rsid w:val="00995834"/>
    <w:rsid w:val="00995968"/>
    <w:rsid w:val="00995CFC"/>
    <w:rsid w:val="00995F1E"/>
    <w:rsid w:val="00995FDD"/>
    <w:rsid w:val="00996336"/>
    <w:rsid w:val="009963CC"/>
    <w:rsid w:val="0099656A"/>
    <w:rsid w:val="00996E53"/>
    <w:rsid w:val="00997059"/>
    <w:rsid w:val="00997559"/>
    <w:rsid w:val="009976E2"/>
    <w:rsid w:val="00997A42"/>
    <w:rsid w:val="00997B7B"/>
    <w:rsid w:val="00997C17"/>
    <w:rsid w:val="009A0506"/>
    <w:rsid w:val="009A07A4"/>
    <w:rsid w:val="009A0A37"/>
    <w:rsid w:val="009A0CB4"/>
    <w:rsid w:val="009A0DF0"/>
    <w:rsid w:val="009A0DF5"/>
    <w:rsid w:val="009A0FEA"/>
    <w:rsid w:val="009A11ED"/>
    <w:rsid w:val="009A159D"/>
    <w:rsid w:val="009A163D"/>
    <w:rsid w:val="009A171E"/>
    <w:rsid w:val="009A1C5B"/>
    <w:rsid w:val="009A1CAA"/>
    <w:rsid w:val="009A1CE0"/>
    <w:rsid w:val="009A1F31"/>
    <w:rsid w:val="009A1F77"/>
    <w:rsid w:val="009A22B7"/>
    <w:rsid w:val="009A22D6"/>
    <w:rsid w:val="009A259C"/>
    <w:rsid w:val="009A3333"/>
    <w:rsid w:val="009A33E4"/>
    <w:rsid w:val="009A3BBF"/>
    <w:rsid w:val="009A3CB0"/>
    <w:rsid w:val="009A3F05"/>
    <w:rsid w:val="009A4374"/>
    <w:rsid w:val="009A4504"/>
    <w:rsid w:val="009A463E"/>
    <w:rsid w:val="009A46C2"/>
    <w:rsid w:val="009A48B0"/>
    <w:rsid w:val="009A4CE5"/>
    <w:rsid w:val="009A50AD"/>
    <w:rsid w:val="009A52D1"/>
    <w:rsid w:val="009A54A2"/>
    <w:rsid w:val="009A625A"/>
    <w:rsid w:val="009A6358"/>
    <w:rsid w:val="009A6699"/>
    <w:rsid w:val="009A6AAD"/>
    <w:rsid w:val="009A6AFB"/>
    <w:rsid w:val="009A752D"/>
    <w:rsid w:val="009A7556"/>
    <w:rsid w:val="009A7568"/>
    <w:rsid w:val="009A756F"/>
    <w:rsid w:val="009A774C"/>
    <w:rsid w:val="009A7992"/>
    <w:rsid w:val="009A7FA3"/>
    <w:rsid w:val="009B0017"/>
    <w:rsid w:val="009B0051"/>
    <w:rsid w:val="009B0188"/>
    <w:rsid w:val="009B0197"/>
    <w:rsid w:val="009B045D"/>
    <w:rsid w:val="009B1022"/>
    <w:rsid w:val="009B108D"/>
    <w:rsid w:val="009B13FB"/>
    <w:rsid w:val="009B143E"/>
    <w:rsid w:val="009B16E7"/>
    <w:rsid w:val="009B19B2"/>
    <w:rsid w:val="009B1CE0"/>
    <w:rsid w:val="009B1EE5"/>
    <w:rsid w:val="009B1F26"/>
    <w:rsid w:val="009B219B"/>
    <w:rsid w:val="009B231D"/>
    <w:rsid w:val="009B2358"/>
    <w:rsid w:val="009B2431"/>
    <w:rsid w:val="009B24E8"/>
    <w:rsid w:val="009B26E7"/>
    <w:rsid w:val="009B29E9"/>
    <w:rsid w:val="009B2D14"/>
    <w:rsid w:val="009B305E"/>
    <w:rsid w:val="009B3110"/>
    <w:rsid w:val="009B3747"/>
    <w:rsid w:val="009B3C35"/>
    <w:rsid w:val="009B3DC1"/>
    <w:rsid w:val="009B3EDB"/>
    <w:rsid w:val="009B406B"/>
    <w:rsid w:val="009B4665"/>
    <w:rsid w:val="009B47B4"/>
    <w:rsid w:val="009B48F4"/>
    <w:rsid w:val="009B4AE6"/>
    <w:rsid w:val="009B4B2B"/>
    <w:rsid w:val="009B50EB"/>
    <w:rsid w:val="009B5156"/>
    <w:rsid w:val="009B59D1"/>
    <w:rsid w:val="009B5B5B"/>
    <w:rsid w:val="009B5BAB"/>
    <w:rsid w:val="009B6678"/>
    <w:rsid w:val="009B66F2"/>
    <w:rsid w:val="009B6A77"/>
    <w:rsid w:val="009B6CAC"/>
    <w:rsid w:val="009B6E15"/>
    <w:rsid w:val="009B6E24"/>
    <w:rsid w:val="009B6E89"/>
    <w:rsid w:val="009B6ECA"/>
    <w:rsid w:val="009B6EFF"/>
    <w:rsid w:val="009B71FF"/>
    <w:rsid w:val="009B73D0"/>
    <w:rsid w:val="009B7A33"/>
    <w:rsid w:val="009B7CC2"/>
    <w:rsid w:val="009B7CFD"/>
    <w:rsid w:val="009B7D71"/>
    <w:rsid w:val="009C0541"/>
    <w:rsid w:val="009C0568"/>
    <w:rsid w:val="009C0ACD"/>
    <w:rsid w:val="009C0ADF"/>
    <w:rsid w:val="009C0B5A"/>
    <w:rsid w:val="009C0C2B"/>
    <w:rsid w:val="009C1076"/>
    <w:rsid w:val="009C1318"/>
    <w:rsid w:val="009C165F"/>
    <w:rsid w:val="009C167F"/>
    <w:rsid w:val="009C177D"/>
    <w:rsid w:val="009C195A"/>
    <w:rsid w:val="009C1BE4"/>
    <w:rsid w:val="009C1D78"/>
    <w:rsid w:val="009C1DCE"/>
    <w:rsid w:val="009C1FAF"/>
    <w:rsid w:val="009C2726"/>
    <w:rsid w:val="009C27D1"/>
    <w:rsid w:val="009C28C3"/>
    <w:rsid w:val="009C2DD6"/>
    <w:rsid w:val="009C2E9A"/>
    <w:rsid w:val="009C3334"/>
    <w:rsid w:val="009C3BBD"/>
    <w:rsid w:val="009C3DA7"/>
    <w:rsid w:val="009C3F2D"/>
    <w:rsid w:val="009C41CC"/>
    <w:rsid w:val="009C4277"/>
    <w:rsid w:val="009C442D"/>
    <w:rsid w:val="009C4479"/>
    <w:rsid w:val="009C4690"/>
    <w:rsid w:val="009C46D7"/>
    <w:rsid w:val="009C49D1"/>
    <w:rsid w:val="009C4E75"/>
    <w:rsid w:val="009C5102"/>
    <w:rsid w:val="009C5614"/>
    <w:rsid w:val="009C58D1"/>
    <w:rsid w:val="009C5BFF"/>
    <w:rsid w:val="009C5D17"/>
    <w:rsid w:val="009C6144"/>
    <w:rsid w:val="009C63D4"/>
    <w:rsid w:val="009C63D8"/>
    <w:rsid w:val="009C65C5"/>
    <w:rsid w:val="009C65E8"/>
    <w:rsid w:val="009C66BC"/>
    <w:rsid w:val="009C6A6D"/>
    <w:rsid w:val="009C72EC"/>
    <w:rsid w:val="009C7513"/>
    <w:rsid w:val="009C7AAE"/>
    <w:rsid w:val="009D0363"/>
    <w:rsid w:val="009D0533"/>
    <w:rsid w:val="009D05D2"/>
    <w:rsid w:val="009D0D59"/>
    <w:rsid w:val="009D0F33"/>
    <w:rsid w:val="009D0FC6"/>
    <w:rsid w:val="009D0FE8"/>
    <w:rsid w:val="009D0FFE"/>
    <w:rsid w:val="009D10E6"/>
    <w:rsid w:val="009D2152"/>
    <w:rsid w:val="009D2329"/>
    <w:rsid w:val="009D2445"/>
    <w:rsid w:val="009D24F4"/>
    <w:rsid w:val="009D2633"/>
    <w:rsid w:val="009D2889"/>
    <w:rsid w:val="009D2ACD"/>
    <w:rsid w:val="009D3135"/>
    <w:rsid w:val="009D3413"/>
    <w:rsid w:val="009D354D"/>
    <w:rsid w:val="009D3681"/>
    <w:rsid w:val="009D3898"/>
    <w:rsid w:val="009D3D0D"/>
    <w:rsid w:val="009D41BE"/>
    <w:rsid w:val="009D44FD"/>
    <w:rsid w:val="009D461B"/>
    <w:rsid w:val="009D467C"/>
    <w:rsid w:val="009D4B6F"/>
    <w:rsid w:val="009D4BB3"/>
    <w:rsid w:val="009D4BEC"/>
    <w:rsid w:val="009D4C9E"/>
    <w:rsid w:val="009D4F21"/>
    <w:rsid w:val="009D5012"/>
    <w:rsid w:val="009D5046"/>
    <w:rsid w:val="009D5C2D"/>
    <w:rsid w:val="009D5FFB"/>
    <w:rsid w:val="009D67C4"/>
    <w:rsid w:val="009D6822"/>
    <w:rsid w:val="009D6B02"/>
    <w:rsid w:val="009D6CB1"/>
    <w:rsid w:val="009D6D77"/>
    <w:rsid w:val="009D6F16"/>
    <w:rsid w:val="009D712C"/>
    <w:rsid w:val="009D73C2"/>
    <w:rsid w:val="009D743C"/>
    <w:rsid w:val="009D7923"/>
    <w:rsid w:val="009E00C4"/>
    <w:rsid w:val="009E0123"/>
    <w:rsid w:val="009E067A"/>
    <w:rsid w:val="009E06FB"/>
    <w:rsid w:val="009E0A01"/>
    <w:rsid w:val="009E0D01"/>
    <w:rsid w:val="009E115B"/>
    <w:rsid w:val="009E11BB"/>
    <w:rsid w:val="009E1498"/>
    <w:rsid w:val="009E14CC"/>
    <w:rsid w:val="009E150C"/>
    <w:rsid w:val="009E1945"/>
    <w:rsid w:val="009E1B17"/>
    <w:rsid w:val="009E1DB6"/>
    <w:rsid w:val="009E1E22"/>
    <w:rsid w:val="009E227A"/>
    <w:rsid w:val="009E2650"/>
    <w:rsid w:val="009E2938"/>
    <w:rsid w:val="009E29BD"/>
    <w:rsid w:val="009E2B75"/>
    <w:rsid w:val="009E33E0"/>
    <w:rsid w:val="009E35DA"/>
    <w:rsid w:val="009E36A2"/>
    <w:rsid w:val="009E37A6"/>
    <w:rsid w:val="009E38B8"/>
    <w:rsid w:val="009E3D16"/>
    <w:rsid w:val="009E3D27"/>
    <w:rsid w:val="009E3FF9"/>
    <w:rsid w:val="009E464A"/>
    <w:rsid w:val="009E47F3"/>
    <w:rsid w:val="009E4A76"/>
    <w:rsid w:val="009E4B29"/>
    <w:rsid w:val="009E4B63"/>
    <w:rsid w:val="009E50FC"/>
    <w:rsid w:val="009E5889"/>
    <w:rsid w:val="009E5BD0"/>
    <w:rsid w:val="009E5CBD"/>
    <w:rsid w:val="009E5FD4"/>
    <w:rsid w:val="009E62E7"/>
    <w:rsid w:val="009E6456"/>
    <w:rsid w:val="009E69C3"/>
    <w:rsid w:val="009E6E43"/>
    <w:rsid w:val="009E728E"/>
    <w:rsid w:val="009E76D2"/>
    <w:rsid w:val="009E7C66"/>
    <w:rsid w:val="009E7DAE"/>
    <w:rsid w:val="009E7E33"/>
    <w:rsid w:val="009F0240"/>
    <w:rsid w:val="009F0523"/>
    <w:rsid w:val="009F06D3"/>
    <w:rsid w:val="009F07DE"/>
    <w:rsid w:val="009F0C33"/>
    <w:rsid w:val="009F0E32"/>
    <w:rsid w:val="009F0E93"/>
    <w:rsid w:val="009F1464"/>
    <w:rsid w:val="009F1BA8"/>
    <w:rsid w:val="009F1F3D"/>
    <w:rsid w:val="009F22A8"/>
    <w:rsid w:val="009F24B6"/>
    <w:rsid w:val="009F2B7B"/>
    <w:rsid w:val="009F2DB5"/>
    <w:rsid w:val="009F3072"/>
    <w:rsid w:val="009F3136"/>
    <w:rsid w:val="009F316C"/>
    <w:rsid w:val="009F329F"/>
    <w:rsid w:val="009F3392"/>
    <w:rsid w:val="009F35B4"/>
    <w:rsid w:val="009F3824"/>
    <w:rsid w:val="009F4057"/>
    <w:rsid w:val="009F40D0"/>
    <w:rsid w:val="009F4429"/>
    <w:rsid w:val="009F4478"/>
    <w:rsid w:val="009F47A9"/>
    <w:rsid w:val="009F47B5"/>
    <w:rsid w:val="009F480F"/>
    <w:rsid w:val="009F4BC2"/>
    <w:rsid w:val="009F4BE7"/>
    <w:rsid w:val="009F4EFB"/>
    <w:rsid w:val="009F51DF"/>
    <w:rsid w:val="009F5362"/>
    <w:rsid w:val="009F57F7"/>
    <w:rsid w:val="009F5BEA"/>
    <w:rsid w:val="009F5CD1"/>
    <w:rsid w:val="009F614E"/>
    <w:rsid w:val="009F6172"/>
    <w:rsid w:val="009F6456"/>
    <w:rsid w:val="009F6465"/>
    <w:rsid w:val="009F6715"/>
    <w:rsid w:val="009F6DC4"/>
    <w:rsid w:val="009F7395"/>
    <w:rsid w:val="009F74F2"/>
    <w:rsid w:val="009F775F"/>
    <w:rsid w:val="009F77AB"/>
    <w:rsid w:val="009F7B5F"/>
    <w:rsid w:val="009F7BC5"/>
    <w:rsid w:val="009F7DAA"/>
    <w:rsid w:val="009F7F5B"/>
    <w:rsid w:val="00A0002D"/>
    <w:rsid w:val="00A00104"/>
    <w:rsid w:val="00A00107"/>
    <w:rsid w:val="00A00654"/>
    <w:rsid w:val="00A0090B"/>
    <w:rsid w:val="00A00AC2"/>
    <w:rsid w:val="00A00C1B"/>
    <w:rsid w:val="00A0131F"/>
    <w:rsid w:val="00A01C87"/>
    <w:rsid w:val="00A01F46"/>
    <w:rsid w:val="00A0207D"/>
    <w:rsid w:val="00A020E6"/>
    <w:rsid w:val="00A021A1"/>
    <w:rsid w:val="00A02C9F"/>
    <w:rsid w:val="00A02E4A"/>
    <w:rsid w:val="00A03829"/>
    <w:rsid w:val="00A03D17"/>
    <w:rsid w:val="00A03D19"/>
    <w:rsid w:val="00A03EEB"/>
    <w:rsid w:val="00A04204"/>
    <w:rsid w:val="00A0439C"/>
    <w:rsid w:val="00A0443C"/>
    <w:rsid w:val="00A0455A"/>
    <w:rsid w:val="00A04BBC"/>
    <w:rsid w:val="00A04C67"/>
    <w:rsid w:val="00A04F0B"/>
    <w:rsid w:val="00A05040"/>
    <w:rsid w:val="00A051FE"/>
    <w:rsid w:val="00A0552E"/>
    <w:rsid w:val="00A0586F"/>
    <w:rsid w:val="00A05BCD"/>
    <w:rsid w:val="00A06158"/>
    <w:rsid w:val="00A06168"/>
    <w:rsid w:val="00A06291"/>
    <w:rsid w:val="00A0635C"/>
    <w:rsid w:val="00A06665"/>
    <w:rsid w:val="00A0692B"/>
    <w:rsid w:val="00A069C6"/>
    <w:rsid w:val="00A06BDB"/>
    <w:rsid w:val="00A06EA5"/>
    <w:rsid w:val="00A0716F"/>
    <w:rsid w:val="00A0746B"/>
    <w:rsid w:val="00A0756B"/>
    <w:rsid w:val="00A07D6D"/>
    <w:rsid w:val="00A07F9A"/>
    <w:rsid w:val="00A1027A"/>
    <w:rsid w:val="00A10892"/>
    <w:rsid w:val="00A10A87"/>
    <w:rsid w:val="00A10B33"/>
    <w:rsid w:val="00A10E8D"/>
    <w:rsid w:val="00A10F0E"/>
    <w:rsid w:val="00A110A6"/>
    <w:rsid w:val="00A116C4"/>
    <w:rsid w:val="00A11A44"/>
    <w:rsid w:val="00A11A72"/>
    <w:rsid w:val="00A11BBE"/>
    <w:rsid w:val="00A11C5D"/>
    <w:rsid w:val="00A11D08"/>
    <w:rsid w:val="00A120AA"/>
    <w:rsid w:val="00A121B8"/>
    <w:rsid w:val="00A122A6"/>
    <w:rsid w:val="00A1243F"/>
    <w:rsid w:val="00A12487"/>
    <w:rsid w:val="00A12597"/>
    <w:rsid w:val="00A125A9"/>
    <w:rsid w:val="00A126FB"/>
    <w:rsid w:val="00A12AB7"/>
    <w:rsid w:val="00A12B8C"/>
    <w:rsid w:val="00A12E02"/>
    <w:rsid w:val="00A1306D"/>
    <w:rsid w:val="00A13256"/>
    <w:rsid w:val="00A1336F"/>
    <w:rsid w:val="00A13775"/>
    <w:rsid w:val="00A13BFF"/>
    <w:rsid w:val="00A13D59"/>
    <w:rsid w:val="00A13DDF"/>
    <w:rsid w:val="00A13F65"/>
    <w:rsid w:val="00A1420A"/>
    <w:rsid w:val="00A1442C"/>
    <w:rsid w:val="00A14597"/>
    <w:rsid w:val="00A147FB"/>
    <w:rsid w:val="00A147FF"/>
    <w:rsid w:val="00A1552D"/>
    <w:rsid w:val="00A155F7"/>
    <w:rsid w:val="00A156B2"/>
    <w:rsid w:val="00A156D5"/>
    <w:rsid w:val="00A157FD"/>
    <w:rsid w:val="00A158CC"/>
    <w:rsid w:val="00A15BBA"/>
    <w:rsid w:val="00A15E3F"/>
    <w:rsid w:val="00A1620D"/>
    <w:rsid w:val="00A1623F"/>
    <w:rsid w:val="00A162C8"/>
    <w:rsid w:val="00A166F0"/>
    <w:rsid w:val="00A16735"/>
    <w:rsid w:val="00A16924"/>
    <w:rsid w:val="00A16A24"/>
    <w:rsid w:val="00A16DCF"/>
    <w:rsid w:val="00A170C5"/>
    <w:rsid w:val="00A177D9"/>
    <w:rsid w:val="00A1799B"/>
    <w:rsid w:val="00A17CD5"/>
    <w:rsid w:val="00A200B4"/>
    <w:rsid w:val="00A203E9"/>
    <w:rsid w:val="00A204D0"/>
    <w:rsid w:val="00A20519"/>
    <w:rsid w:val="00A20704"/>
    <w:rsid w:val="00A20D25"/>
    <w:rsid w:val="00A20D9C"/>
    <w:rsid w:val="00A2132E"/>
    <w:rsid w:val="00A21729"/>
    <w:rsid w:val="00A217D4"/>
    <w:rsid w:val="00A21954"/>
    <w:rsid w:val="00A21EDD"/>
    <w:rsid w:val="00A21F82"/>
    <w:rsid w:val="00A22109"/>
    <w:rsid w:val="00A22356"/>
    <w:rsid w:val="00A2250E"/>
    <w:rsid w:val="00A228E9"/>
    <w:rsid w:val="00A22971"/>
    <w:rsid w:val="00A22A2B"/>
    <w:rsid w:val="00A22D6F"/>
    <w:rsid w:val="00A232A0"/>
    <w:rsid w:val="00A233D0"/>
    <w:rsid w:val="00A234D1"/>
    <w:rsid w:val="00A23532"/>
    <w:rsid w:val="00A23E63"/>
    <w:rsid w:val="00A243B8"/>
    <w:rsid w:val="00A24431"/>
    <w:rsid w:val="00A24464"/>
    <w:rsid w:val="00A2447F"/>
    <w:rsid w:val="00A2455E"/>
    <w:rsid w:val="00A246B2"/>
    <w:rsid w:val="00A24D8A"/>
    <w:rsid w:val="00A25208"/>
    <w:rsid w:val="00A252F7"/>
    <w:rsid w:val="00A25657"/>
    <w:rsid w:val="00A25A6B"/>
    <w:rsid w:val="00A25A97"/>
    <w:rsid w:val="00A25C83"/>
    <w:rsid w:val="00A25DFF"/>
    <w:rsid w:val="00A25E82"/>
    <w:rsid w:val="00A25FE1"/>
    <w:rsid w:val="00A26346"/>
    <w:rsid w:val="00A2694A"/>
    <w:rsid w:val="00A26A46"/>
    <w:rsid w:val="00A27757"/>
    <w:rsid w:val="00A277A4"/>
    <w:rsid w:val="00A27915"/>
    <w:rsid w:val="00A27A2E"/>
    <w:rsid w:val="00A27B62"/>
    <w:rsid w:val="00A27C65"/>
    <w:rsid w:val="00A27DC0"/>
    <w:rsid w:val="00A27F27"/>
    <w:rsid w:val="00A30DBD"/>
    <w:rsid w:val="00A3108F"/>
    <w:rsid w:val="00A311A1"/>
    <w:rsid w:val="00A311B4"/>
    <w:rsid w:val="00A31352"/>
    <w:rsid w:val="00A31437"/>
    <w:rsid w:val="00A31702"/>
    <w:rsid w:val="00A31C91"/>
    <w:rsid w:val="00A31DF4"/>
    <w:rsid w:val="00A320C4"/>
    <w:rsid w:val="00A325B3"/>
    <w:rsid w:val="00A3265D"/>
    <w:rsid w:val="00A326A6"/>
    <w:rsid w:val="00A32B0A"/>
    <w:rsid w:val="00A32E44"/>
    <w:rsid w:val="00A3306B"/>
    <w:rsid w:val="00A3309D"/>
    <w:rsid w:val="00A33849"/>
    <w:rsid w:val="00A33C8A"/>
    <w:rsid w:val="00A343B1"/>
    <w:rsid w:val="00A34B93"/>
    <w:rsid w:val="00A35883"/>
    <w:rsid w:val="00A35DD0"/>
    <w:rsid w:val="00A35F45"/>
    <w:rsid w:val="00A35F73"/>
    <w:rsid w:val="00A35F76"/>
    <w:rsid w:val="00A3634B"/>
    <w:rsid w:val="00A3638F"/>
    <w:rsid w:val="00A36950"/>
    <w:rsid w:val="00A36979"/>
    <w:rsid w:val="00A36C3C"/>
    <w:rsid w:val="00A36C6C"/>
    <w:rsid w:val="00A36E69"/>
    <w:rsid w:val="00A36F2B"/>
    <w:rsid w:val="00A3702D"/>
    <w:rsid w:val="00A37068"/>
    <w:rsid w:val="00A37085"/>
    <w:rsid w:val="00A37132"/>
    <w:rsid w:val="00A373B9"/>
    <w:rsid w:val="00A37456"/>
    <w:rsid w:val="00A37642"/>
    <w:rsid w:val="00A376F7"/>
    <w:rsid w:val="00A37738"/>
    <w:rsid w:val="00A37766"/>
    <w:rsid w:val="00A37A2A"/>
    <w:rsid w:val="00A37B7E"/>
    <w:rsid w:val="00A37DA9"/>
    <w:rsid w:val="00A400CA"/>
    <w:rsid w:val="00A40115"/>
    <w:rsid w:val="00A403EB"/>
    <w:rsid w:val="00A4041E"/>
    <w:rsid w:val="00A40737"/>
    <w:rsid w:val="00A40E6D"/>
    <w:rsid w:val="00A40EE1"/>
    <w:rsid w:val="00A4189F"/>
    <w:rsid w:val="00A41C83"/>
    <w:rsid w:val="00A42123"/>
    <w:rsid w:val="00A426E2"/>
    <w:rsid w:val="00A42C60"/>
    <w:rsid w:val="00A42D05"/>
    <w:rsid w:val="00A42EB3"/>
    <w:rsid w:val="00A42ECC"/>
    <w:rsid w:val="00A42FE7"/>
    <w:rsid w:val="00A430CB"/>
    <w:rsid w:val="00A4363F"/>
    <w:rsid w:val="00A4384C"/>
    <w:rsid w:val="00A43A95"/>
    <w:rsid w:val="00A43BAE"/>
    <w:rsid w:val="00A43D63"/>
    <w:rsid w:val="00A43D6D"/>
    <w:rsid w:val="00A43E02"/>
    <w:rsid w:val="00A43E04"/>
    <w:rsid w:val="00A43F85"/>
    <w:rsid w:val="00A442BB"/>
    <w:rsid w:val="00A447BF"/>
    <w:rsid w:val="00A4494D"/>
    <w:rsid w:val="00A449EF"/>
    <w:rsid w:val="00A44F29"/>
    <w:rsid w:val="00A45073"/>
    <w:rsid w:val="00A4545F"/>
    <w:rsid w:val="00A458F9"/>
    <w:rsid w:val="00A45A91"/>
    <w:rsid w:val="00A45B6E"/>
    <w:rsid w:val="00A46002"/>
    <w:rsid w:val="00A461A8"/>
    <w:rsid w:val="00A46495"/>
    <w:rsid w:val="00A46532"/>
    <w:rsid w:val="00A46BF8"/>
    <w:rsid w:val="00A46E0E"/>
    <w:rsid w:val="00A46F8B"/>
    <w:rsid w:val="00A4714E"/>
    <w:rsid w:val="00A475D2"/>
    <w:rsid w:val="00A47642"/>
    <w:rsid w:val="00A47776"/>
    <w:rsid w:val="00A479F2"/>
    <w:rsid w:val="00A47A7B"/>
    <w:rsid w:val="00A47AC4"/>
    <w:rsid w:val="00A47C14"/>
    <w:rsid w:val="00A47D86"/>
    <w:rsid w:val="00A47F55"/>
    <w:rsid w:val="00A501A9"/>
    <w:rsid w:val="00A5024B"/>
    <w:rsid w:val="00A50493"/>
    <w:rsid w:val="00A5099D"/>
    <w:rsid w:val="00A50A5E"/>
    <w:rsid w:val="00A510B8"/>
    <w:rsid w:val="00A510FF"/>
    <w:rsid w:val="00A51260"/>
    <w:rsid w:val="00A512F5"/>
    <w:rsid w:val="00A51328"/>
    <w:rsid w:val="00A5137F"/>
    <w:rsid w:val="00A518D8"/>
    <w:rsid w:val="00A5193B"/>
    <w:rsid w:val="00A51DD9"/>
    <w:rsid w:val="00A51FC1"/>
    <w:rsid w:val="00A523F6"/>
    <w:rsid w:val="00A524C8"/>
    <w:rsid w:val="00A5257B"/>
    <w:rsid w:val="00A5284A"/>
    <w:rsid w:val="00A5295E"/>
    <w:rsid w:val="00A5304B"/>
    <w:rsid w:val="00A53060"/>
    <w:rsid w:val="00A5308B"/>
    <w:rsid w:val="00A53098"/>
    <w:rsid w:val="00A53159"/>
    <w:rsid w:val="00A5318F"/>
    <w:rsid w:val="00A532B9"/>
    <w:rsid w:val="00A53331"/>
    <w:rsid w:val="00A53464"/>
    <w:rsid w:val="00A53881"/>
    <w:rsid w:val="00A53B12"/>
    <w:rsid w:val="00A53DD3"/>
    <w:rsid w:val="00A53F1A"/>
    <w:rsid w:val="00A54026"/>
    <w:rsid w:val="00A5414A"/>
    <w:rsid w:val="00A545A0"/>
    <w:rsid w:val="00A545B9"/>
    <w:rsid w:val="00A54910"/>
    <w:rsid w:val="00A549C0"/>
    <w:rsid w:val="00A54F68"/>
    <w:rsid w:val="00A55076"/>
    <w:rsid w:val="00A550C7"/>
    <w:rsid w:val="00A550DC"/>
    <w:rsid w:val="00A55279"/>
    <w:rsid w:val="00A55477"/>
    <w:rsid w:val="00A558CE"/>
    <w:rsid w:val="00A55B31"/>
    <w:rsid w:val="00A55E53"/>
    <w:rsid w:val="00A55FF8"/>
    <w:rsid w:val="00A56478"/>
    <w:rsid w:val="00A56560"/>
    <w:rsid w:val="00A567F2"/>
    <w:rsid w:val="00A56A7B"/>
    <w:rsid w:val="00A56B13"/>
    <w:rsid w:val="00A573EB"/>
    <w:rsid w:val="00A5774C"/>
    <w:rsid w:val="00A57841"/>
    <w:rsid w:val="00A57870"/>
    <w:rsid w:val="00A57B28"/>
    <w:rsid w:val="00A600A0"/>
    <w:rsid w:val="00A601FC"/>
    <w:rsid w:val="00A60401"/>
    <w:rsid w:val="00A6048E"/>
    <w:rsid w:val="00A6057F"/>
    <w:rsid w:val="00A60803"/>
    <w:rsid w:val="00A60E8F"/>
    <w:rsid w:val="00A60FE9"/>
    <w:rsid w:val="00A610EC"/>
    <w:rsid w:val="00A613EB"/>
    <w:rsid w:val="00A619B2"/>
    <w:rsid w:val="00A61B48"/>
    <w:rsid w:val="00A61D0A"/>
    <w:rsid w:val="00A61DB2"/>
    <w:rsid w:val="00A62101"/>
    <w:rsid w:val="00A6220E"/>
    <w:rsid w:val="00A624EE"/>
    <w:rsid w:val="00A624EF"/>
    <w:rsid w:val="00A62581"/>
    <w:rsid w:val="00A6258B"/>
    <w:rsid w:val="00A62884"/>
    <w:rsid w:val="00A630C7"/>
    <w:rsid w:val="00A632F1"/>
    <w:rsid w:val="00A633BC"/>
    <w:rsid w:val="00A6341F"/>
    <w:rsid w:val="00A636C8"/>
    <w:rsid w:val="00A63C22"/>
    <w:rsid w:val="00A63C83"/>
    <w:rsid w:val="00A63CFF"/>
    <w:rsid w:val="00A6410A"/>
    <w:rsid w:val="00A64123"/>
    <w:rsid w:val="00A64301"/>
    <w:rsid w:val="00A6458D"/>
    <w:rsid w:val="00A64640"/>
    <w:rsid w:val="00A64B91"/>
    <w:rsid w:val="00A64C7E"/>
    <w:rsid w:val="00A64DCC"/>
    <w:rsid w:val="00A64E16"/>
    <w:rsid w:val="00A65252"/>
    <w:rsid w:val="00A6525C"/>
    <w:rsid w:val="00A652E3"/>
    <w:rsid w:val="00A65408"/>
    <w:rsid w:val="00A654B5"/>
    <w:rsid w:val="00A65AF6"/>
    <w:rsid w:val="00A65C08"/>
    <w:rsid w:val="00A65CD4"/>
    <w:rsid w:val="00A65EC0"/>
    <w:rsid w:val="00A65EFD"/>
    <w:rsid w:val="00A669A2"/>
    <w:rsid w:val="00A66A14"/>
    <w:rsid w:val="00A66DB6"/>
    <w:rsid w:val="00A66FD5"/>
    <w:rsid w:val="00A6709D"/>
    <w:rsid w:val="00A670F7"/>
    <w:rsid w:val="00A6729D"/>
    <w:rsid w:val="00A677EE"/>
    <w:rsid w:val="00A67ED4"/>
    <w:rsid w:val="00A702D9"/>
    <w:rsid w:val="00A705E0"/>
    <w:rsid w:val="00A70A30"/>
    <w:rsid w:val="00A70A61"/>
    <w:rsid w:val="00A70ECB"/>
    <w:rsid w:val="00A70F1E"/>
    <w:rsid w:val="00A70F2B"/>
    <w:rsid w:val="00A7111A"/>
    <w:rsid w:val="00A7124F"/>
    <w:rsid w:val="00A7158B"/>
    <w:rsid w:val="00A715EB"/>
    <w:rsid w:val="00A71600"/>
    <w:rsid w:val="00A717F7"/>
    <w:rsid w:val="00A71ECE"/>
    <w:rsid w:val="00A7248E"/>
    <w:rsid w:val="00A728FD"/>
    <w:rsid w:val="00A72A49"/>
    <w:rsid w:val="00A72B37"/>
    <w:rsid w:val="00A72D79"/>
    <w:rsid w:val="00A72F10"/>
    <w:rsid w:val="00A72FF3"/>
    <w:rsid w:val="00A7308A"/>
    <w:rsid w:val="00A730E1"/>
    <w:rsid w:val="00A73133"/>
    <w:rsid w:val="00A7321A"/>
    <w:rsid w:val="00A7339C"/>
    <w:rsid w:val="00A73495"/>
    <w:rsid w:val="00A736D9"/>
    <w:rsid w:val="00A7420E"/>
    <w:rsid w:val="00A7423D"/>
    <w:rsid w:val="00A744DA"/>
    <w:rsid w:val="00A74792"/>
    <w:rsid w:val="00A74D92"/>
    <w:rsid w:val="00A74DE4"/>
    <w:rsid w:val="00A74F0F"/>
    <w:rsid w:val="00A74F3E"/>
    <w:rsid w:val="00A752F9"/>
    <w:rsid w:val="00A7539A"/>
    <w:rsid w:val="00A753FC"/>
    <w:rsid w:val="00A7560F"/>
    <w:rsid w:val="00A757E8"/>
    <w:rsid w:val="00A759E4"/>
    <w:rsid w:val="00A75A37"/>
    <w:rsid w:val="00A75CB1"/>
    <w:rsid w:val="00A75CBA"/>
    <w:rsid w:val="00A75ED7"/>
    <w:rsid w:val="00A75FBE"/>
    <w:rsid w:val="00A76015"/>
    <w:rsid w:val="00A761B3"/>
    <w:rsid w:val="00A76381"/>
    <w:rsid w:val="00A768E6"/>
    <w:rsid w:val="00A76B7D"/>
    <w:rsid w:val="00A76E21"/>
    <w:rsid w:val="00A771E5"/>
    <w:rsid w:val="00A775F8"/>
    <w:rsid w:val="00A77603"/>
    <w:rsid w:val="00A77640"/>
    <w:rsid w:val="00A77817"/>
    <w:rsid w:val="00A7787C"/>
    <w:rsid w:val="00A7799D"/>
    <w:rsid w:val="00A779AA"/>
    <w:rsid w:val="00A808E4"/>
    <w:rsid w:val="00A80A56"/>
    <w:rsid w:val="00A80BFE"/>
    <w:rsid w:val="00A80C39"/>
    <w:rsid w:val="00A80F8C"/>
    <w:rsid w:val="00A8103B"/>
    <w:rsid w:val="00A813AE"/>
    <w:rsid w:val="00A81569"/>
    <w:rsid w:val="00A81841"/>
    <w:rsid w:val="00A81A5B"/>
    <w:rsid w:val="00A81B5A"/>
    <w:rsid w:val="00A822C5"/>
    <w:rsid w:val="00A8284D"/>
    <w:rsid w:val="00A82CFC"/>
    <w:rsid w:val="00A83131"/>
    <w:rsid w:val="00A8335F"/>
    <w:rsid w:val="00A833A1"/>
    <w:rsid w:val="00A83490"/>
    <w:rsid w:val="00A834EF"/>
    <w:rsid w:val="00A835C7"/>
    <w:rsid w:val="00A83B56"/>
    <w:rsid w:val="00A83B97"/>
    <w:rsid w:val="00A83F11"/>
    <w:rsid w:val="00A841C9"/>
    <w:rsid w:val="00A84273"/>
    <w:rsid w:val="00A8434E"/>
    <w:rsid w:val="00A844C3"/>
    <w:rsid w:val="00A844DA"/>
    <w:rsid w:val="00A845CC"/>
    <w:rsid w:val="00A84963"/>
    <w:rsid w:val="00A84A61"/>
    <w:rsid w:val="00A84BEC"/>
    <w:rsid w:val="00A84DB0"/>
    <w:rsid w:val="00A851FE"/>
    <w:rsid w:val="00A85712"/>
    <w:rsid w:val="00A85952"/>
    <w:rsid w:val="00A85A6A"/>
    <w:rsid w:val="00A8605F"/>
    <w:rsid w:val="00A861F9"/>
    <w:rsid w:val="00A8625B"/>
    <w:rsid w:val="00A86452"/>
    <w:rsid w:val="00A86489"/>
    <w:rsid w:val="00A8661F"/>
    <w:rsid w:val="00A869CE"/>
    <w:rsid w:val="00A86C24"/>
    <w:rsid w:val="00A86C89"/>
    <w:rsid w:val="00A86EED"/>
    <w:rsid w:val="00A87147"/>
    <w:rsid w:val="00A871A8"/>
    <w:rsid w:val="00A87905"/>
    <w:rsid w:val="00A8798C"/>
    <w:rsid w:val="00A879A7"/>
    <w:rsid w:val="00A87A8C"/>
    <w:rsid w:val="00A87AA6"/>
    <w:rsid w:val="00A87CF5"/>
    <w:rsid w:val="00A87E8C"/>
    <w:rsid w:val="00A87EAF"/>
    <w:rsid w:val="00A907B1"/>
    <w:rsid w:val="00A909AF"/>
    <w:rsid w:val="00A90EAC"/>
    <w:rsid w:val="00A91050"/>
    <w:rsid w:val="00A9132C"/>
    <w:rsid w:val="00A9155F"/>
    <w:rsid w:val="00A917D2"/>
    <w:rsid w:val="00A918BE"/>
    <w:rsid w:val="00A91BE1"/>
    <w:rsid w:val="00A91E93"/>
    <w:rsid w:val="00A91EF2"/>
    <w:rsid w:val="00A920AC"/>
    <w:rsid w:val="00A92867"/>
    <w:rsid w:val="00A92996"/>
    <w:rsid w:val="00A92B69"/>
    <w:rsid w:val="00A92F59"/>
    <w:rsid w:val="00A930EC"/>
    <w:rsid w:val="00A931D9"/>
    <w:rsid w:val="00A932FE"/>
    <w:rsid w:val="00A93AD4"/>
    <w:rsid w:val="00A93D5B"/>
    <w:rsid w:val="00A93FDE"/>
    <w:rsid w:val="00A94678"/>
    <w:rsid w:val="00A947C7"/>
    <w:rsid w:val="00A949EA"/>
    <w:rsid w:val="00A94B82"/>
    <w:rsid w:val="00A954C5"/>
    <w:rsid w:val="00A95500"/>
    <w:rsid w:val="00A95C72"/>
    <w:rsid w:val="00A95DB2"/>
    <w:rsid w:val="00A95F49"/>
    <w:rsid w:val="00A95F67"/>
    <w:rsid w:val="00A9608A"/>
    <w:rsid w:val="00A962B5"/>
    <w:rsid w:val="00A9670D"/>
    <w:rsid w:val="00A9674D"/>
    <w:rsid w:val="00A974A2"/>
    <w:rsid w:val="00A97566"/>
    <w:rsid w:val="00A9763D"/>
    <w:rsid w:val="00A977F0"/>
    <w:rsid w:val="00A979EF"/>
    <w:rsid w:val="00A979F8"/>
    <w:rsid w:val="00A97AA7"/>
    <w:rsid w:val="00A97AF8"/>
    <w:rsid w:val="00A97B95"/>
    <w:rsid w:val="00A97CA7"/>
    <w:rsid w:val="00A97CE9"/>
    <w:rsid w:val="00A97D52"/>
    <w:rsid w:val="00AA019C"/>
    <w:rsid w:val="00AA0273"/>
    <w:rsid w:val="00AA03D1"/>
    <w:rsid w:val="00AA06B6"/>
    <w:rsid w:val="00AA0DE5"/>
    <w:rsid w:val="00AA0FBC"/>
    <w:rsid w:val="00AA12B3"/>
    <w:rsid w:val="00AA1316"/>
    <w:rsid w:val="00AA1422"/>
    <w:rsid w:val="00AA1722"/>
    <w:rsid w:val="00AA2115"/>
    <w:rsid w:val="00AA28C1"/>
    <w:rsid w:val="00AA2C7C"/>
    <w:rsid w:val="00AA3270"/>
    <w:rsid w:val="00AA33D4"/>
    <w:rsid w:val="00AA33D9"/>
    <w:rsid w:val="00AA358C"/>
    <w:rsid w:val="00AA365F"/>
    <w:rsid w:val="00AA370B"/>
    <w:rsid w:val="00AA3796"/>
    <w:rsid w:val="00AA3B2C"/>
    <w:rsid w:val="00AA3E5F"/>
    <w:rsid w:val="00AA3F52"/>
    <w:rsid w:val="00AA442F"/>
    <w:rsid w:val="00AA4750"/>
    <w:rsid w:val="00AA5562"/>
    <w:rsid w:val="00AA5601"/>
    <w:rsid w:val="00AA567F"/>
    <w:rsid w:val="00AA614D"/>
    <w:rsid w:val="00AA6496"/>
    <w:rsid w:val="00AA652C"/>
    <w:rsid w:val="00AA6C62"/>
    <w:rsid w:val="00AA6DC1"/>
    <w:rsid w:val="00AA6EBE"/>
    <w:rsid w:val="00AA7157"/>
    <w:rsid w:val="00AA72AE"/>
    <w:rsid w:val="00AA73F8"/>
    <w:rsid w:val="00AA76F9"/>
    <w:rsid w:val="00AA7B79"/>
    <w:rsid w:val="00AB000D"/>
    <w:rsid w:val="00AB02EB"/>
    <w:rsid w:val="00AB04AF"/>
    <w:rsid w:val="00AB0700"/>
    <w:rsid w:val="00AB0890"/>
    <w:rsid w:val="00AB0AC3"/>
    <w:rsid w:val="00AB0C5F"/>
    <w:rsid w:val="00AB0C7E"/>
    <w:rsid w:val="00AB0E21"/>
    <w:rsid w:val="00AB0F4F"/>
    <w:rsid w:val="00AB107C"/>
    <w:rsid w:val="00AB10F2"/>
    <w:rsid w:val="00AB15A4"/>
    <w:rsid w:val="00AB1716"/>
    <w:rsid w:val="00AB1831"/>
    <w:rsid w:val="00AB2140"/>
    <w:rsid w:val="00AB2304"/>
    <w:rsid w:val="00AB2419"/>
    <w:rsid w:val="00AB24AE"/>
    <w:rsid w:val="00AB2645"/>
    <w:rsid w:val="00AB26B8"/>
    <w:rsid w:val="00AB2756"/>
    <w:rsid w:val="00AB2B63"/>
    <w:rsid w:val="00AB2BB3"/>
    <w:rsid w:val="00AB2CD1"/>
    <w:rsid w:val="00AB2D42"/>
    <w:rsid w:val="00AB303E"/>
    <w:rsid w:val="00AB3167"/>
    <w:rsid w:val="00AB3447"/>
    <w:rsid w:val="00AB35BF"/>
    <w:rsid w:val="00AB361A"/>
    <w:rsid w:val="00AB389B"/>
    <w:rsid w:val="00AB43D1"/>
    <w:rsid w:val="00AB4705"/>
    <w:rsid w:val="00AB56C4"/>
    <w:rsid w:val="00AB5896"/>
    <w:rsid w:val="00AB5C14"/>
    <w:rsid w:val="00AB5C74"/>
    <w:rsid w:val="00AB606F"/>
    <w:rsid w:val="00AB650B"/>
    <w:rsid w:val="00AB67A1"/>
    <w:rsid w:val="00AB7794"/>
    <w:rsid w:val="00AB7CDE"/>
    <w:rsid w:val="00AB7DA3"/>
    <w:rsid w:val="00AB7DBD"/>
    <w:rsid w:val="00AB7E04"/>
    <w:rsid w:val="00AB7E0A"/>
    <w:rsid w:val="00AB7EE2"/>
    <w:rsid w:val="00AC046E"/>
    <w:rsid w:val="00AC06E4"/>
    <w:rsid w:val="00AC088A"/>
    <w:rsid w:val="00AC0C79"/>
    <w:rsid w:val="00AC0E88"/>
    <w:rsid w:val="00AC0FFF"/>
    <w:rsid w:val="00AC105D"/>
    <w:rsid w:val="00AC1455"/>
    <w:rsid w:val="00AC1725"/>
    <w:rsid w:val="00AC1900"/>
    <w:rsid w:val="00AC19B2"/>
    <w:rsid w:val="00AC1B4A"/>
    <w:rsid w:val="00AC1BA2"/>
    <w:rsid w:val="00AC1CD2"/>
    <w:rsid w:val="00AC1DB7"/>
    <w:rsid w:val="00AC202F"/>
    <w:rsid w:val="00AC205A"/>
    <w:rsid w:val="00AC2EDD"/>
    <w:rsid w:val="00AC3218"/>
    <w:rsid w:val="00AC368B"/>
    <w:rsid w:val="00AC37F4"/>
    <w:rsid w:val="00AC37FB"/>
    <w:rsid w:val="00AC3821"/>
    <w:rsid w:val="00AC385A"/>
    <w:rsid w:val="00AC39DD"/>
    <w:rsid w:val="00AC3A5E"/>
    <w:rsid w:val="00AC3D35"/>
    <w:rsid w:val="00AC4255"/>
    <w:rsid w:val="00AC42CE"/>
    <w:rsid w:val="00AC42DF"/>
    <w:rsid w:val="00AC4AA3"/>
    <w:rsid w:val="00AC4B43"/>
    <w:rsid w:val="00AC4BDD"/>
    <w:rsid w:val="00AC50EC"/>
    <w:rsid w:val="00AC56F0"/>
    <w:rsid w:val="00AC58AF"/>
    <w:rsid w:val="00AC5E71"/>
    <w:rsid w:val="00AC5F8E"/>
    <w:rsid w:val="00AC6534"/>
    <w:rsid w:val="00AC682F"/>
    <w:rsid w:val="00AC6832"/>
    <w:rsid w:val="00AC6A20"/>
    <w:rsid w:val="00AC6B38"/>
    <w:rsid w:val="00AC6DBD"/>
    <w:rsid w:val="00AC733C"/>
    <w:rsid w:val="00AC7589"/>
    <w:rsid w:val="00AC76D2"/>
    <w:rsid w:val="00AC7769"/>
    <w:rsid w:val="00AC7BFA"/>
    <w:rsid w:val="00AC7E4A"/>
    <w:rsid w:val="00AC7F42"/>
    <w:rsid w:val="00AD0251"/>
    <w:rsid w:val="00AD0373"/>
    <w:rsid w:val="00AD0393"/>
    <w:rsid w:val="00AD0615"/>
    <w:rsid w:val="00AD06CD"/>
    <w:rsid w:val="00AD0B70"/>
    <w:rsid w:val="00AD0BA7"/>
    <w:rsid w:val="00AD0EA8"/>
    <w:rsid w:val="00AD13C5"/>
    <w:rsid w:val="00AD140D"/>
    <w:rsid w:val="00AD16B4"/>
    <w:rsid w:val="00AD1E04"/>
    <w:rsid w:val="00AD1E72"/>
    <w:rsid w:val="00AD2034"/>
    <w:rsid w:val="00AD20E4"/>
    <w:rsid w:val="00AD2770"/>
    <w:rsid w:val="00AD283F"/>
    <w:rsid w:val="00AD2B82"/>
    <w:rsid w:val="00AD2D89"/>
    <w:rsid w:val="00AD3173"/>
    <w:rsid w:val="00AD31D9"/>
    <w:rsid w:val="00AD3329"/>
    <w:rsid w:val="00AD3685"/>
    <w:rsid w:val="00AD3999"/>
    <w:rsid w:val="00AD3A48"/>
    <w:rsid w:val="00AD3FD8"/>
    <w:rsid w:val="00AD416C"/>
    <w:rsid w:val="00AD420A"/>
    <w:rsid w:val="00AD4503"/>
    <w:rsid w:val="00AD4C65"/>
    <w:rsid w:val="00AD4C6D"/>
    <w:rsid w:val="00AD500A"/>
    <w:rsid w:val="00AD50F9"/>
    <w:rsid w:val="00AD54C7"/>
    <w:rsid w:val="00AD5957"/>
    <w:rsid w:val="00AD5C00"/>
    <w:rsid w:val="00AD5FFB"/>
    <w:rsid w:val="00AD66EC"/>
    <w:rsid w:val="00AD6700"/>
    <w:rsid w:val="00AD676A"/>
    <w:rsid w:val="00AD6A1B"/>
    <w:rsid w:val="00AD6AC8"/>
    <w:rsid w:val="00AD6C1D"/>
    <w:rsid w:val="00AD6E1F"/>
    <w:rsid w:val="00AD723F"/>
    <w:rsid w:val="00AD72F4"/>
    <w:rsid w:val="00AD7329"/>
    <w:rsid w:val="00AD7541"/>
    <w:rsid w:val="00AD7593"/>
    <w:rsid w:val="00AD7A85"/>
    <w:rsid w:val="00AD7AD7"/>
    <w:rsid w:val="00AD7D2E"/>
    <w:rsid w:val="00AD7DB9"/>
    <w:rsid w:val="00AD7FB4"/>
    <w:rsid w:val="00AE01AC"/>
    <w:rsid w:val="00AE01EA"/>
    <w:rsid w:val="00AE0280"/>
    <w:rsid w:val="00AE05FE"/>
    <w:rsid w:val="00AE064A"/>
    <w:rsid w:val="00AE0B50"/>
    <w:rsid w:val="00AE0F1D"/>
    <w:rsid w:val="00AE106F"/>
    <w:rsid w:val="00AE1416"/>
    <w:rsid w:val="00AE1867"/>
    <w:rsid w:val="00AE1918"/>
    <w:rsid w:val="00AE19A7"/>
    <w:rsid w:val="00AE1D0F"/>
    <w:rsid w:val="00AE1E42"/>
    <w:rsid w:val="00AE1FB0"/>
    <w:rsid w:val="00AE1FE3"/>
    <w:rsid w:val="00AE2065"/>
    <w:rsid w:val="00AE2454"/>
    <w:rsid w:val="00AE25D5"/>
    <w:rsid w:val="00AE277A"/>
    <w:rsid w:val="00AE2925"/>
    <w:rsid w:val="00AE2A93"/>
    <w:rsid w:val="00AE2B43"/>
    <w:rsid w:val="00AE2EA5"/>
    <w:rsid w:val="00AE34AF"/>
    <w:rsid w:val="00AE352D"/>
    <w:rsid w:val="00AE36CC"/>
    <w:rsid w:val="00AE3EB8"/>
    <w:rsid w:val="00AE3F73"/>
    <w:rsid w:val="00AE4343"/>
    <w:rsid w:val="00AE4446"/>
    <w:rsid w:val="00AE4610"/>
    <w:rsid w:val="00AE4B7C"/>
    <w:rsid w:val="00AE55A1"/>
    <w:rsid w:val="00AE55AF"/>
    <w:rsid w:val="00AE5868"/>
    <w:rsid w:val="00AE5886"/>
    <w:rsid w:val="00AE5BB1"/>
    <w:rsid w:val="00AE5E20"/>
    <w:rsid w:val="00AE5F7A"/>
    <w:rsid w:val="00AE6015"/>
    <w:rsid w:val="00AE6184"/>
    <w:rsid w:val="00AE6C0D"/>
    <w:rsid w:val="00AE6FDD"/>
    <w:rsid w:val="00AE7351"/>
    <w:rsid w:val="00AE74B7"/>
    <w:rsid w:val="00AE7540"/>
    <w:rsid w:val="00AE7674"/>
    <w:rsid w:val="00AE7776"/>
    <w:rsid w:val="00AE788C"/>
    <w:rsid w:val="00AE7AD0"/>
    <w:rsid w:val="00AF0185"/>
    <w:rsid w:val="00AF02EF"/>
    <w:rsid w:val="00AF063F"/>
    <w:rsid w:val="00AF06C8"/>
    <w:rsid w:val="00AF0E57"/>
    <w:rsid w:val="00AF1437"/>
    <w:rsid w:val="00AF188C"/>
    <w:rsid w:val="00AF1AD4"/>
    <w:rsid w:val="00AF1BCE"/>
    <w:rsid w:val="00AF1CA7"/>
    <w:rsid w:val="00AF1E3C"/>
    <w:rsid w:val="00AF2053"/>
    <w:rsid w:val="00AF250C"/>
    <w:rsid w:val="00AF2598"/>
    <w:rsid w:val="00AF29C0"/>
    <w:rsid w:val="00AF2AFD"/>
    <w:rsid w:val="00AF2EA4"/>
    <w:rsid w:val="00AF2F9A"/>
    <w:rsid w:val="00AF3174"/>
    <w:rsid w:val="00AF3711"/>
    <w:rsid w:val="00AF3801"/>
    <w:rsid w:val="00AF3956"/>
    <w:rsid w:val="00AF3DE3"/>
    <w:rsid w:val="00AF3DE9"/>
    <w:rsid w:val="00AF4865"/>
    <w:rsid w:val="00AF501E"/>
    <w:rsid w:val="00AF5348"/>
    <w:rsid w:val="00AF5808"/>
    <w:rsid w:val="00AF5985"/>
    <w:rsid w:val="00AF5AA7"/>
    <w:rsid w:val="00AF5C05"/>
    <w:rsid w:val="00AF5E96"/>
    <w:rsid w:val="00AF5E9C"/>
    <w:rsid w:val="00AF5ECD"/>
    <w:rsid w:val="00AF5F73"/>
    <w:rsid w:val="00AF66E8"/>
    <w:rsid w:val="00AF67C5"/>
    <w:rsid w:val="00AF6C8C"/>
    <w:rsid w:val="00AF6D15"/>
    <w:rsid w:val="00AF6E85"/>
    <w:rsid w:val="00AF6EBB"/>
    <w:rsid w:val="00AF6F45"/>
    <w:rsid w:val="00AF73E2"/>
    <w:rsid w:val="00AF78DA"/>
    <w:rsid w:val="00AF7934"/>
    <w:rsid w:val="00AF7E30"/>
    <w:rsid w:val="00B00B30"/>
    <w:rsid w:val="00B00CDD"/>
    <w:rsid w:val="00B00E06"/>
    <w:rsid w:val="00B010DF"/>
    <w:rsid w:val="00B01B37"/>
    <w:rsid w:val="00B02065"/>
    <w:rsid w:val="00B020EF"/>
    <w:rsid w:val="00B023F5"/>
    <w:rsid w:val="00B02470"/>
    <w:rsid w:val="00B024A9"/>
    <w:rsid w:val="00B02EEA"/>
    <w:rsid w:val="00B035FD"/>
    <w:rsid w:val="00B03B15"/>
    <w:rsid w:val="00B03C65"/>
    <w:rsid w:val="00B03C78"/>
    <w:rsid w:val="00B04149"/>
    <w:rsid w:val="00B04E1D"/>
    <w:rsid w:val="00B04F60"/>
    <w:rsid w:val="00B0539C"/>
    <w:rsid w:val="00B05829"/>
    <w:rsid w:val="00B05A5F"/>
    <w:rsid w:val="00B05A98"/>
    <w:rsid w:val="00B060CC"/>
    <w:rsid w:val="00B06171"/>
    <w:rsid w:val="00B06257"/>
    <w:rsid w:val="00B063EF"/>
    <w:rsid w:val="00B06613"/>
    <w:rsid w:val="00B06C77"/>
    <w:rsid w:val="00B06C88"/>
    <w:rsid w:val="00B070A5"/>
    <w:rsid w:val="00B071A6"/>
    <w:rsid w:val="00B071C8"/>
    <w:rsid w:val="00B07205"/>
    <w:rsid w:val="00B076FD"/>
    <w:rsid w:val="00B07AEB"/>
    <w:rsid w:val="00B10157"/>
    <w:rsid w:val="00B1017C"/>
    <w:rsid w:val="00B103FF"/>
    <w:rsid w:val="00B10C47"/>
    <w:rsid w:val="00B112AD"/>
    <w:rsid w:val="00B11480"/>
    <w:rsid w:val="00B116CA"/>
    <w:rsid w:val="00B117BA"/>
    <w:rsid w:val="00B12091"/>
    <w:rsid w:val="00B1229D"/>
    <w:rsid w:val="00B1269D"/>
    <w:rsid w:val="00B12B38"/>
    <w:rsid w:val="00B12DD9"/>
    <w:rsid w:val="00B1300C"/>
    <w:rsid w:val="00B1306E"/>
    <w:rsid w:val="00B13294"/>
    <w:rsid w:val="00B1367C"/>
    <w:rsid w:val="00B136C4"/>
    <w:rsid w:val="00B137DA"/>
    <w:rsid w:val="00B1388B"/>
    <w:rsid w:val="00B13920"/>
    <w:rsid w:val="00B139E5"/>
    <w:rsid w:val="00B13A0F"/>
    <w:rsid w:val="00B13B52"/>
    <w:rsid w:val="00B13C3C"/>
    <w:rsid w:val="00B13E7C"/>
    <w:rsid w:val="00B14074"/>
    <w:rsid w:val="00B1407B"/>
    <w:rsid w:val="00B14400"/>
    <w:rsid w:val="00B14751"/>
    <w:rsid w:val="00B14AE4"/>
    <w:rsid w:val="00B14B46"/>
    <w:rsid w:val="00B14C9C"/>
    <w:rsid w:val="00B15116"/>
    <w:rsid w:val="00B15129"/>
    <w:rsid w:val="00B151A6"/>
    <w:rsid w:val="00B1533C"/>
    <w:rsid w:val="00B153B7"/>
    <w:rsid w:val="00B15666"/>
    <w:rsid w:val="00B15A4C"/>
    <w:rsid w:val="00B15C66"/>
    <w:rsid w:val="00B15ED2"/>
    <w:rsid w:val="00B15F3D"/>
    <w:rsid w:val="00B16400"/>
    <w:rsid w:val="00B16BD4"/>
    <w:rsid w:val="00B16DA5"/>
    <w:rsid w:val="00B16DD6"/>
    <w:rsid w:val="00B1769E"/>
    <w:rsid w:val="00B176C2"/>
    <w:rsid w:val="00B1771A"/>
    <w:rsid w:val="00B17818"/>
    <w:rsid w:val="00B17F2A"/>
    <w:rsid w:val="00B17FA7"/>
    <w:rsid w:val="00B17FB7"/>
    <w:rsid w:val="00B200C1"/>
    <w:rsid w:val="00B20B7E"/>
    <w:rsid w:val="00B20D60"/>
    <w:rsid w:val="00B20DC9"/>
    <w:rsid w:val="00B20EAD"/>
    <w:rsid w:val="00B20EC8"/>
    <w:rsid w:val="00B20EF8"/>
    <w:rsid w:val="00B20F9D"/>
    <w:rsid w:val="00B20FC9"/>
    <w:rsid w:val="00B21272"/>
    <w:rsid w:val="00B2133C"/>
    <w:rsid w:val="00B21619"/>
    <w:rsid w:val="00B218FB"/>
    <w:rsid w:val="00B219CD"/>
    <w:rsid w:val="00B21A2B"/>
    <w:rsid w:val="00B21CF0"/>
    <w:rsid w:val="00B21DAE"/>
    <w:rsid w:val="00B224B1"/>
    <w:rsid w:val="00B2273F"/>
    <w:rsid w:val="00B2289F"/>
    <w:rsid w:val="00B22A4A"/>
    <w:rsid w:val="00B22AF7"/>
    <w:rsid w:val="00B22D6D"/>
    <w:rsid w:val="00B2332B"/>
    <w:rsid w:val="00B2396F"/>
    <w:rsid w:val="00B23B3F"/>
    <w:rsid w:val="00B23DA0"/>
    <w:rsid w:val="00B240D2"/>
    <w:rsid w:val="00B24261"/>
    <w:rsid w:val="00B243D9"/>
    <w:rsid w:val="00B245A3"/>
    <w:rsid w:val="00B24768"/>
    <w:rsid w:val="00B248EF"/>
    <w:rsid w:val="00B24998"/>
    <w:rsid w:val="00B24C0A"/>
    <w:rsid w:val="00B25028"/>
    <w:rsid w:val="00B253FA"/>
    <w:rsid w:val="00B25D7F"/>
    <w:rsid w:val="00B261A9"/>
    <w:rsid w:val="00B261E6"/>
    <w:rsid w:val="00B26207"/>
    <w:rsid w:val="00B26421"/>
    <w:rsid w:val="00B2668E"/>
    <w:rsid w:val="00B266FC"/>
    <w:rsid w:val="00B2670A"/>
    <w:rsid w:val="00B26D3A"/>
    <w:rsid w:val="00B26D46"/>
    <w:rsid w:val="00B26EA2"/>
    <w:rsid w:val="00B2702C"/>
    <w:rsid w:val="00B27068"/>
    <w:rsid w:val="00B2708E"/>
    <w:rsid w:val="00B27366"/>
    <w:rsid w:val="00B276E6"/>
    <w:rsid w:val="00B2773B"/>
    <w:rsid w:val="00B2776F"/>
    <w:rsid w:val="00B27EE1"/>
    <w:rsid w:val="00B30476"/>
    <w:rsid w:val="00B31028"/>
    <w:rsid w:val="00B31344"/>
    <w:rsid w:val="00B314A7"/>
    <w:rsid w:val="00B317EE"/>
    <w:rsid w:val="00B318D6"/>
    <w:rsid w:val="00B31DFF"/>
    <w:rsid w:val="00B31F90"/>
    <w:rsid w:val="00B32348"/>
    <w:rsid w:val="00B3250D"/>
    <w:rsid w:val="00B32611"/>
    <w:rsid w:val="00B32E45"/>
    <w:rsid w:val="00B33439"/>
    <w:rsid w:val="00B33651"/>
    <w:rsid w:val="00B33694"/>
    <w:rsid w:val="00B336D7"/>
    <w:rsid w:val="00B3378E"/>
    <w:rsid w:val="00B3412B"/>
    <w:rsid w:val="00B3416F"/>
    <w:rsid w:val="00B34739"/>
    <w:rsid w:val="00B34824"/>
    <w:rsid w:val="00B34A8F"/>
    <w:rsid w:val="00B34AD0"/>
    <w:rsid w:val="00B34F93"/>
    <w:rsid w:val="00B35180"/>
    <w:rsid w:val="00B352BF"/>
    <w:rsid w:val="00B35681"/>
    <w:rsid w:val="00B358A9"/>
    <w:rsid w:val="00B35BDB"/>
    <w:rsid w:val="00B35ECC"/>
    <w:rsid w:val="00B36390"/>
    <w:rsid w:val="00B363C6"/>
    <w:rsid w:val="00B363EA"/>
    <w:rsid w:val="00B36871"/>
    <w:rsid w:val="00B36939"/>
    <w:rsid w:val="00B370F6"/>
    <w:rsid w:val="00B37338"/>
    <w:rsid w:val="00B37372"/>
    <w:rsid w:val="00B37376"/>
    <w:rsid w:val="00B3741B"/>
    <w:rsid w:val="00B374C4"/>
    <w:rsid w:val="00B378A6"/>
    <w:rsid w:val="00B37A2E"/>
    <w:rsid w:val="00B37BDF"/>
    <w:rsid w:val="00B37CCC"/>
    <w:rsid w:val="00B40201"/>
    <w:rsid w:val="00B40768"/>
    <w:rsid w:val="00B41052"/>
    <w:rsid w:val="00B411E2"/>
    <w:rsid w:val="00B4154A"/>
    <w:rsid w:val="00B419B4"/>
    <w:rsid w:val="00B41A4F"/>
    <w:rsid w:val="00B41BC8"/>
    <w:rsid w:val="00B41E97"/>
    <w:rsid w:val="00B423C0"/>
    <w:rsid w:val="00B4255D"/>
    <w:rsid w:val="00B427E7"/>
    <w:rsid w:val="00B42CF8"/>
    <w:rsid w:val="00B43398"/>
    <w:rsid w:val="00B433D8"/>
    <w:rsid w:val="00B436C4"/>
    <w:rsid w:val="00B43F12"/>
    <w:rsid w:val="00B43F1D"/>
    <w:rsid w:val="00B44087"/>
    <w:rsid w:val="00B44166"/>
    <w:rsid w:val="00B44312"/>
    <w:rsid w:val="00B44509"/>
    <w:rsid w:val="00B44711"/>
    <w:rsid w:val="00B44843"/>
    <w:rsid w:val="00B44B2A"/>
    <w:rsid w:val="00B44C73"/>
    <w:rsid w:val="00B45920"/>
    <w:rsid w:val="00B4598A"/>
    <w:rsid w:val="00B45A08"/>
    <w:rsid w:val="00B45A83"/>
    <w:rsid w:val="00B4622C"/>
    <w:rsid w:val="00B462A0"/>
    <w:rsid w:val="00B462AB"/>
    <w:rsid w:val="00B464A6"/>
    <w:rsid w:val="00B46986"/>
    <w:rsid w:val="00B46999"/>
    <w:rsid w:val="00B46ED9"/>
    <w:rsid w:val="00B46F7E"/>
    <w:rsid w:val="00B46FE0"/>
    <w:rsid w:val="00B47554"/>
    <w:rsid w:val="00B47749"/>
    <w:rsid w:val="00B47911"/>
    <w:rsid w:val="00B47951"/>
    <w:rsid w:val="00B4795A"/>
    <w:rsid w:val="00B47B0B"/>
    <w:rsid w:val="00B47EC8"/>
    <w:rsid w:val="00B502EC"/>
    <w:rsid w:val="00B50440"/>
    <w:rsid w:val="00B504C3"/>
    <w:rsid w:val="00B50A3A"/>
    <w:rsid w:val="00B50A91"/>
    <w:rsid w:val="00B50DAD"/>
    <w:rsid w:val="00B50EB5"/>
    <w:rsid w:val="00B50F9E"/>
    <w:rsid w:val="00B51072"/>
    <w:rsid w:val="00B51625"/>
    <w:rsid w:val="00B5165B"/>
    <w:rsid w:val="00B51696"/>
    <w:rsid w:val="00B51A2E"/>
    <w:rsid w:val="00B51B79"/>
    <w:rsid w:val="00B51BCB"/>
    <w:rsid w:val="00B51F11"/>
    <w:rsid w:val="00B51F1E"/>
    <w:rsid w:val="00B522C6"/>
    <w:rsid w:val="00B52457"/>
    <w:rsid w:val="00B52770"/>
    <w:rsid w:val="00B52A03"/>
    <w:rsid w:val="00B52E22"/>
    <w:rsid w:val="00B5302B"/>
    <w:rsid w:val="00B53070"/>
    <w:rsid w:val="00B538C7"/>
    <w:rsid w:val="00B53C41"/>
    <w:rsid w:val="00B53CF5"/>
    <w:rsid w:val="00B54271"/>
    <w:rsid w:val="00B54492"/>
    <w:rsid w:val="00B54678"/>
    <w:rsid w:val="00B5499C"/>
    <w:rsid w:val="00B54A53"/>
    <w:rsid w:val="00B54A6F"/>
    <w:rsid w:val="00B54A8D"/>
    <w:rsid w:val="00B54C25"/>
    <w:rsid w:val="00B55291"/>
    <w:rsid w:val="00B56222"/>
    <w:rsid w:val="00B56538"/>
    <w:rsid w:val="00B565B7"/>
    <w:rsid w:val="00B56948"/>
    <w:rsid w:val="00B56FEF"/>
    <w:rsid w:val="00B57465"/>
    <w:rsid w:val="00B575DF"/>
    <w:rsid w:val="00B57738"/>
    <w:rsid w:val="00B57B13"/>
    <w:rsid w:val="00B60064"/>
    <w:rsid w:val="00B60171"/>
    <w:rsid w:val="00B60395"/>
    <w:rsid w:val="00B604B4"/>
    <w:rsid w:val="00B605CA"/>
    <w:rsid w:val="00B609C6"/>
    <w:rsid w:val="00B6110E"/>
    <w:rsid w:val="00B61225"/>
    <w:rsid w:val="00B61C9D"/>
    <w:rsid w:val="00B61F69"/>
    <w:rsid w:val="00B62434"/>
    <w:rsid w:val="00B62AF8"/>
    <w:rsid w:val="00B62B03"/>
    <w:rsid w:val="00B62C89"/>
    <w:rsid w:val="00B62D64"/>
    <w:rsid w:val="00B6302F"/>
    <w:rsid w:val="00B630E4"/>
    <w:rsid w:val="00B63307"/>
    <w:rsid w:val="00B63405"/>
    <w:rsid w:val="00B6341C"/>
    <w:rsid w:val="00B63497"/>
    <w:rsid w:val="00B634E7"/>
    <w:rsid w:val="00B63529"/>
    <w:rsid w:val="00B6396C"/>
    <w:rsid w:val="00B63B16"/>
    <w:rsid w:val="00B63B9C"/>
    <w:rsid w:val="00B63F7C"/>
    <w:rsid w:val="00B63F85"/>
    <w:rsid w:val="00B64053"/>
    <w:rsid w:val="00B641A6"/>
    <w:rsid w:val="00B642B1"/>
    <w:rsid w:val="00B642D1"/>
    <w:rsid w:val="00B645AC"/>
    <w:rsid w:val="00B64D9E"/>
    <w:rsid w:val="00B64DFE"/>
    <w:rsid w:val="00B64FEE"/>
    <w:rsid w:val="00B658E9"/>
    <w:rsid w:val="00B65B6E"/>
    <w:rsid w:val="00B65CB0"/>
    <w:rsid w:val="00B65CCD"/>
    <w:rsid w:val="00B6614B"/>
    <w:rsid w:val="00B66525"/>
    <w:rsid w:val="00B66643"/>
    <w:rsid w:val="00B6664D"/>
    <w:rsid w:val="00B666DE"/>
    <w:rsid w:val="00B66A55"/>
    <w:rsid w:val="00B66ADE"/>
    <w:rsid w:val="00B66D72"/>
    <w:rsid w:val="00B671CA"/>
    <w:rsid w:val="00B67325"/>
    <w:rsid w:val="00B67457"/>
    <w:rsid w:val="00B67534"/>
    <w:rsid w:val="00B6798B"/>
    <w:rsid w:val="00B67CED"/>
    <w:rsid w:val="00B704D6"/>
    <w:rsid w:val="00B704F6"/>
    <w:rsid w:val="00B707E9"/>
    <w:rsid w:val="00B7099A"/>
    <w:rsid w:val="00B70DE9"/>
    <w:rsid w:val="00B70F55"/>
    <w:rsid w:val="00B7122A"/>
    <w:rsid w:val="00B713DA"/>
    <w:rsid w:val="00B71462"/>
    <w:rsid w:val="00B714DA"/>
    <w:rsid w:val="00B716C5"/>
    <w:rsid w:val="00B7183E"/>
    <w:rsid w:val="00B718E4"/>
    <w:rsid w:val="00B718FE"/>
    <w:rsid w:val="00B71EBE"/>
    <w:rsid w:val="00B7211F"/>
    <w:rsid w:val="00B7214D"/>
    <w:rsid w:val="00B721AA"/>
    <w:rsid w:val="00B725FD"/>
    <w:rsid w:val="00B72859"/>
    <w:rsid w:val="00B72993"/>
    <w:rsid w:val="00B729D6"/>
    <w:rsid w:val="00B72C3F"/>
    <w:rsid w:val="00B72D9C"/>
    <w:rsid w:val="00B72FEE"/>
    <w:rsid w:val="00B73438"/>
    <w:rsid w:val="00B736EA"/>
    <w:rsid w:val="00B7378E"/>
    <w:rsid w:val="00B73E1E"/>
    <w:rsid w:val="00B74102"/>
    <w:rsid w:val="00B74211"/>
    <w:rsid w:val="00B742FE"/>
    <w:rsid w:val="00B74531"/>
    <w:rsid w:val="00B748A7"/>
    <w:rsid w:val="00B7491E"/>
    <w:rsid w:val="00B749A8"/>
    <w:rsid w:val="00B74A90"/>
    <w:rsid w:val="00B74BEA"/>
    <w:rsid w:val="00B74D3B"/>
    <w:rsid w:val="00B751BD"/>
    <w:rsid w:val="00B75430"/>
    <w:rsid w:val="00B762BB"/>
    <w:rsid w:val="00B7632A"/>
    <w:rsid w:val="00B767EE"/>
    <w:rsid w:val="00B76BC4"/>
    <w:rsid w:val="00B76EDA"/>
    <w:rsid w:val="00B770FD"/>
    <w:rsid w:val="00B772A9"/>
    <w:rsid w:val="00B77B8D"/>
    <w:rsid w:val="00B77F18"/>
    <w:rsid w:val="00B8041D"/>
    <w:rsid w:val="00B80566"/>
    <w:rsid w:val="00B8065A"/>
    <w:rsid w:val="00B80D20"/>
    <w:rsid w:val="00B81016"/>
    <w:rsid w:val="00B8133C"/>
    <w:rsid w:val="00B815B8"/>
    <w:rsid w:val="00B81D57"/>
    <w:rsid w:val="00B822C0"/>
    <w:rsid w:val="00B826A6"/>
    <w:rsid w:val="00B82739"/>
    <w:rsid w:val="00B82760"/>
    <w:rsid w:val="00B828C7"/>
    <w:rsid w:val="00B82B37"/>
    <w:rsid w:val="00B82B8E"/>
    <w:rsid w:val="00B83492"/>
    <w:rsid w:val="00B834AF"/>
    <w:rsid w:val="00B838A4"/>
    <w:rsid w:val="00B83CC3"/>
    <w:rsid w:val="00B83D15"/>
    <w:rsid w:val="00B840FF"/>
    <w:rsid w:val="00B8412E"/>
    <w:rsid w:val="00B842DA"/>
    <w:rsid w:val="00B844A9"/>
    <w:rsid w:val="00B84EA9"/>
    <w:rsid w:val="00B85252"/>
    <w:rsid w:val="00B8551E"/>
    <w:rsid w:val="00B85551"/>
    <w:rsid w:val="00B85968"/>
    <w:rsid w:val="00B859D5"/>
    <w:rsid w:val="00B85C4F"/>
    <w:rsid w:val="00B85E08"/>
    <w:rsid w:val="00B860AD"/>
    <w:rsid w:val="00B86341"/>
    <w:rsid w:val="00B864B3"/>
    <w:rsid w:val="00B8693A"/>
    <w:rsid w:val="00B869C3"/>
    <w:rsid w:val="00B86B0E"/>
    <w:rsid w:val="00B86BA8"/>
    <w:rsid w:val="00B86C3A"/>
    <w:rsid w:val="00B86D42"/>
    <w:rsid w:val="00B87207"/>
    <w:rsid w:val="00B8752C"/>
    <w:rsid w:val="00B87593"/>
    <w:rsid w:val="00B875A1"/>
    <w:rsid w:val="00B8799C"/>
    <w:rsid w:val="00B87ABC"/>
    <w:rsid w:val="00B87D8D"/>
    <w:rsid w:val="00B87FA0"/>
    <w:rsid w:val="00B87FED"/>
    <w:rsid w:val="00B90170"/>
    <w:rsid w:val="00B90257"/>
    <w:rsid w:val="00B903DB"/>
    <w:rsid w:val="00B907D9"/>
    <w:rsid w:val="00B90A1B"/>
    <w:rsid w:val="00B90DF6"/>
    <w:rsid w:val="00B90E7B"/>
    <w:rsid w:val="00B90E9B"/>
    <w:rsid w:val="00B90FED"/>
    <w:rsid w:val="00B910F3"/>
    <w:rsid w:val="00B916ED"/>
    <w:rsid w:val="00B91711"/>
    <w:rsid w:val="00B91738"/>
    <w:rsid w:val="00B91A73"/>
    <w:rsid w:val="00B91B15"/>
    <w:rsid w:val="00B91E66"/>
    <w:rsid w:val="00B92143"/>
    <w:rsid w:val="00B921F2"/>
    <w:rsid w:val="00B92273"/>
    <w:rsid w:val="00B9241E"/>
    <w:rsid w:val="00B924F0"/>
    <w:rsid w:val="00B9295C"/>
    <w:rsid w:val="00B92AE9"/>
    <w:rsid w:val="00B92C88"/>
    <w:rsid w:val="00B92D6E"/>
    <w:rsid w:val="00B93571"/>
    <w:rsid w:val="00B9367A"/>
    <w:rsid w:val="00B936EE"/>
    <w:rsid w:val="00B937B8"/>
    <w:rsid w:val="00B9396D"/>
    <w:rsid w:val="00B93A31"/>
    <w:rsid w:val="00B93E1C"/>
    <w:rsid w:val="00B93E76"/>
    <w:rsid w:val="00B942C2"/>
    <w:rsid w:val="00B9445F"/>
    <w:rsid w:val="00B94793"/>
    <w:rsid w:val="00B9481C"/>
    <w:rsid w:val="00B948DD"/>
    <w:rsid w:val="00B949C5"/>
    <w:rsid w:val="00B949DA"/>
    <w:rsid w:val="00B94D3F"/>
    <w:rsid w:val="00B9517C"/>
    <w:rsid w:val="00B9566C"/>
    <w:rsid w:val="00B95DD6"/>
    <w:rsid w:val="00B95EFF"/>
    <w:rsid w:val="00B961F2"/>
    <w:rsid w:val="00B96402"/>
    <w:rsid w:val="00B96602"/>
    <w:rsid w:val="00B9660D"/>
    <w:rsid w:val="00B96743"/>
    <w:rsid w:val="00B96775"/>
    <w:rsid w:val="00B96CC8"/>
    <w:rsid w:val="00B96E99"/>
    <w:rsid w:val="00B9774A"/>
    <w:rsid w:val="00B97940"/>
    <w:rsid w:val="00B97B5E"/>
    <w:rsid w:val="00BA02A8"/>
    <w:rsid w:val="00BA033B"/>
    <w:rsid w:val="00BA039E"/>
    <w:rsid w:val="00BA03A9"/>
    <w:rsid w:val="00BA0614"/>
    <w:rsid w:val="00BA08FD"/>
    <w:rsid w:val="00BA0A79"/>
    <w:rsid w:val="00BA104B"/>
    <w:rsid w:val="00BA138F"/>
    <w:rsid w:val="00BA1BFF"/>
    <w:rsid w:val="00BA1F6E"/>
    <w:rsid w:val="00BA2105"/>
    <w:rsid w:val="00BA23FF"/>
    <w:rsid w:val="00BA3068"/>
    <w:rsid w:val="00BA3156"/>
    <w:rsid w:val="00BA323B"/>
    <w:rsid w:val="00BA329C"/>
    <w:rsid w:val="00BA333C"/>
    <w:rsid w:val="00BA3661"/>
    <w:rsid w:val="00BA36AA"/>
    <w:rsid w:val="00BA3B66"/>
    <w:rsid w:val="00BA3CC4"/>
    <w:rsid w:val="00BA3CF3"/>
    <w:rsid w:val="00BA3D59"/>
    <w:rsid w:val="00BA3F88"/>
    <w:rsid w:val="00BA4132"/>
    <w:rsid w:val="00BA43F5"/>
    <w:rsid w:val="00BA47AD"/>
    <w:rsid w:val="00BA48CA"/>
    <w:rsid w:val="00BA4B88"/>
    <w:rsid w:val="00BA4C04"/>
    <w:rsid w:val="00BA4ECC"/>
    <w:rsid w:val="00BA539C"/>
    <w:rsid w:val="00BA5618"/>
    <w:rsid w:val="00BA5B39"/>
    <w:rsid w:val="00BA5B46"/>
    <w:rsid w:val="00BA5C9F"/>
    <w:rsid w:val="00BA6009"/>
    <w:rsid w:val="00BA635D"/>
    <w:rsid w:val="00BA6436"/>
    <w:rsid w:val="00BA6448"/>
    <w:rsid w:val="00BA664E"/>
    <w:rsid w:val="00BA69AD"/>
    <w:rsid w:val="00BA6A08"/>
    <w:rsid w:val="00BA6AC0"/>
    <w:rsid w:val="00BA6ADD"/>
    <w:rsid w:val="00BA6CC2"/>
    <w:rsid w:val="00BA6E69"/>
    <w:rsid w:val="00BA6F45"/>
    <w:rsid w:val="00BA70D7"/>
    <w:rsid w:val="00BA716A"/>
    <w:rsid w:val="00BA7340"/>
    <w:rsid w:val="00BA736F"/>
    <w:rsid w:val="00BA7441"/>
    <w:rsid w:val="00BA74BB"/>
    <w:rsid w:val="00BA74E2"/>
    <w:rsid w:val="00BA7587"/>
    <w:rsid w:val="00BA75EF"/>
    <w:rsid w:val="00BA779A"/>
    <w:rsid w:val="00BA7A3B"/>
    <w:rsid w:val="00BA7B68"/>
    <w:rsid w:val="00BA7B96"/>
    <w:rsid w:val="00BA7BF3"/>
    <w:rsid w:val="00BA7BF6"/>
    <w:rsid w:val="00BA7C0D"/>
    <w:rsid w:val="00BB021D"/>
    <w:rsid w:val="00BB0333"/>
    <w:rsid w:val="00BB04C4"/>
    <w:rsid w:val="00BB06F1"/>
    <w:rsid w:val="00BB0F13"/>
    <w:rsid w:val="00BB110C"/>
    <w:rsid w:val="00BB13F3"/>
    <w:rsid w:val="00BB147B"/>
    <w:rsid w:val="00BB16AA"/>
    <w:rsid w:val="00BB181F"/>
    <w:rsid w:val="00BB1838"/>
    <w:rsid w:val="00BB18C6"/>
    <w:rsid w:val="00BB1983"/>
    <w:rsid w:val="00BB1D2E"/>
    <w:rsid w:val="00BB21FC"/>
    <w:rsid w:val="00BB2241"/>
    <w:rsid w:val="00BB22CF"/>
    <w:rsid w:val="00BB2796"/>
    <w:rsid w:val="00BB283C"/>
    <w:rsid w:val="00BB2A0A"/>
    <w:rsid w:val="00BB2B4D"/>
    <w:rsid w:val="00BB2BCF"/>
    <w:rsid w:val="00BB317D"/>
    <w:rsid w:val="00BB34BF"/>
    <w:rsid w:val="00BB37E9"/>
    <w:rsid w:val="00BB3A54"/>
    <w:rsid w:val="00BB3ABA"/>
    <w:rsid w:val="00BB3F34"/>
    <w:rsid w:val="00BB405C"/>
    <w:rsid w:val="00BB415D"/>
    <w:rsid w:val="00BB41B0"/>
    <w:rsid w:val="00BB43F0"/>
    <w:rsid w:val="00BB4640"/>
    <w:rsid w:val="00BB467D"/>
    <w:rsid w:val="00BB4B6D"/>
    <w:rsid w:val="00BB4D3C"/>
    <w:rsid w:val="00BB5679"/>
    <w:rsid w:val="00BB56EF"/>
    <w:rsid w:val="00BB5A14"/>
    <w:rsid w:val="00BB5A70"/>
    <w:rsid w:val="00BB5C88"/>
    <w:rsid w:val="00BB5E9F"/>
    <w:rsid w:val="00BB5FAC"/>
    <w:rsid w:val="00BB6066"/>
    <w:rsid w:val="00BB61F2"/>
    <w:rsid w:val="00BB6765"/>
    <w:rsid w:val="00BB68B4"/>
    <w:rsid w:val="00BB6B49"/>
    <w:rsid w:val="00BB6B7A"/>
    <w:rsid w:val="00BB6DED"/>
    <w:rsid w:val="00BB6F16"/>
    <w:rsid w:val="00BB753A"/>
    <w:rsid w:val="00BB7D19"/>
    <w:rsid w:val="00BB7E79"/>
    <w:rsid w:val="00BC00BA"/>
    <w:rsid w:val="00BC00D8"/>
    <w:rsid w:val="00BC0536"/>
    <w:rsid w:val="00BC056F"/>
    <w:rsid w:val="00BC07AD"/>
    <w:rsid w:val="00BC08F5"/>
    <w:rsid w:val="00BC0A2B"/>
    <w:rsid w:val="00BC1087"/>
    <w:rsid w:val="00BC1123"/>
    <w:rsid w:val="00BC12DA"/>
    <w:rsid w:val="00BC1398"/>
    <w:rsid w:val="00BC17CA"/>
    <w:rsid w:val="00BC18AD"/>
    <w:rsid w:val="00BC1A1D"/>
    <w:rsid w:val="00BC1ADE"/>
    <w:rsid w:val="00BC1D2D"/>
    <w:rsid w:val="00BC28C5"/>
    <w:rsid w:val="00BC2E02"/>
    <w:rsid w:val="00BC2E81"/>
    <w:rsid w:val="00BC2F58"/>
    <w:rsid w:val="00BC34DD"/>
    <w:rsid w:val="00BC35FB"/>
    <w:rsid w:val="00BC36D6"/>
    <w:rsid w:val="00BC3ACA"/>
    <w:rsid w:val="00BC3FDF"/>
    <w:rsid w:val="00BC4162"/>
    <w:rsid w:val="00BC4214"/>
    <w:rsid w:val="00BC43E5"/>
    <w:rsid w:val="00BC47C3"/>
    <w:rsid w:val="00BC4A5C"/>
    <w:rsid w:val="00BC4D70"/>
    <w:rsid w:val="00BC4DF5"/>
    <w:rsid w:val="00BC51A8"/>
    <w:rsid w:val="00BC5A68"/>
    <w:rsid w:val="00BC5EEF"/>
    <w:rsid w:val="00BC6146"/>
    <w:rsid w:val="00BC63B3"/>
    <w:rsid w:val="00BC6605"/>
    <w:rsid w:val="00BC69EA"/>
    <w:rsid w:val="00BC6A60"/>
    <w:rsid w:val="00BC74BC"/>
    <w:rsid w:val="00BC7B21"/>
    <w:rsid w:val="00BC7D3C"/>
    <w:rsid w:val="00BD05BA"/>
    <w:rsid w:val="00BD0630"/>
    <w:rsid w:val="00BD077C"/>
    <w:rsid w:val="00BD0892"/>
    <w:rsid w:val="00BD133C"/>
    <w:rsid w:val="00BD1486"/>
    <w:rsid w:val="00BD18A7"/>
    <w:rsid w:val="00BD1979"/>
    <w:rsid w:val="00BD1CCB"/>
    <w:rsid w:val="00BD1E1B"/>
    <w:rsid w:val="00BD2164"/>
    <w:rsid w:val="00BD238D"/>
    <w:rsid w:val="00BD23C3"/>
    <w:rsid w:val="00BD25E1"/>
    <w:rsid w:val="00BD2C65"/>
    <w:rsid w:val="00BD2F88"/>
    <w:rsid w:val="00BD2FF0"/>
    <w:rsid w:val="00BD325E"/>
    <w:rsid w:val="00BD37F2"/>
    <w:rsid w:val="00BD3B8D"/>
    <w:rsid w:val="00BD3C24"/>
    <w:rsid w:val="00BD3E3F"/>
    <w:rsid w:val="00BD3FAD"/>
    <w:rsid w:val="00BD410C"/>
    <w:rsid w:val="00BD491A"/>
    <w:rsid w:val="00BD495C"/>
    <w:rsid w:val="00BD4AC1"/>
    <w:rsid w:val="00BD4C33"/>
    <w:rsid w:val="00BD508B"/>
    <w:rsid w:val="00BD50C1"/>
    <w:rsid w:val="00BD518A"/>
    <w:rsid w:val="00BD5199"/>
    <w:rsid w:val="00BD525E"/>
    <w:rsid w:val="00BD53AA"/>
    <w:rsid w:val="00BD5456"/>
    <w:rsid w:val="00BD5777"/>
    <w:rsid w:val="00BD5CC7"/>
    <w:rsid w:val="00BD5DCE"/>
    <w:rsid w:val="00BD5DF6"/>
    <w:rsid w:val="00BD649F"/>
    <w:rsid w:val="00BD658D"/>
    <w:rsid w:val="00BD67D8"/>
    <w:rsid w:val="00BD682F"/>
    <w:rsid w:val="00BD6A8B"/>
    <w:rsid w:val="00BD6D9B"/>
    <w:rsid w:val="00BD6E67"/>
    <w:rsid w:val="00BD6E91"/>
    <w:rsid w:val="00BD713C"/>
    <w:rsid w:val="00BD7857"/>
    <w:rsid w:val="00BD7994"/>
    <w:rsid w:val="00BD79E8"/>
    <w:rsid w:val="00BD7A0E"/>
    <w:rsid w:val="00BD7CBC"/>
    <w:rsid w:val="00BD7FA9"/>
    <w:rsid w:val="00BE012A"/>
    <w:rsid w:val="00BE02F9"/>
    <w:rsid w:val="00BE034A"/>
    <w:rsid w:val="00BE03B0"/>
    <w:rsid w:val="00BE0492"/>
    <w:rsid w:val="00BE0815"/>
    <w:rsid w:val="00BE09E9"/>
    <w:rsid w:val="00BE0CD1"/>
    <w:rsid w:val="00BE0F22"/>
    <w:rsid w:val="00BE132B"/>
    <w:rsid w:val="00BE13D3"/>
    <w:rsid w:val="00BE1544"/>
    <w:rsid w:val="00BE169E"/>
    <w:rsid w:val="00BE18A0"/>
    <w:rsid w:val="00BE19E6"/>
    <w:rsid w:val="00BE1B63"/>
    <w:rsid w:val="00BE1BED"/>
    <w:rsid w:val="00BE1CFA"/>
    <w:rsid w:val="00BE1E62"/>
    <w:rsid w:val="00BE1EAD"/>
    <w:rsid w:val="00BE207C"/>
    <w:rsid w:val="00BE23D5"/>
    <w:rsid w:val="00BE252C"/>
    <w:rsid w:val="00BE275F"/>
    <w:rsid w:val="00BE2A44"/>
    <w:rsid w:val="00BE2AF8"/>
    <w:rsid w:val="00BE2E9A"/>
    <w:rsid w:val="00BE30EA"/>
    <w:rsid w:val="00BE3581"/>
    <w:rsid w:val="00BE35BE"/>
    <w:rsid w:val="00BE3846"/>
    <w:rsid w:val="00BE38C3"/>
    <w:rsid w:val="00BE38D0"/>
    <w:rsid w:val="00BE3C55"/>
    <w:rsid w:val="00BE3D5C"/>
    <w:rsid w:val="00BE3DAE"/>
    <w:rsid w:val="00BE3E29"/>
    <w:rsid w:val="00BE41F6"/>
    <w:rsid w:val="00BE45E4"/>
    <w:rsid w:val="00BE48E7"/>
    <w:rsid w:val="00BE4B09"/>
    <w:rsid w:val="00BE4B98"/>
    <w:rsid w:val="00BE4F1E"/>
    <w:rsid w:val="00BE4FD7"/>
    <w:rsid w:val="00BE501B"/>
    <w:rsid w:val="00BE50CD"/>
    <w:rsid w:val="00BE5484"/>
    <w:rsid w:val="00BE54A2"/>
    <w:rsid w:val="00BE65B6"/>
    <w:rsid w:val="00BE6A9D"/>
    <w:rsid w:val="00BE6E6D"/>
    <w:rsid w:val="00BE7096"/>
    <w:rsid w:val="00BE72C1"/>
    <w:rsid w:val="00BE7362"/>
    <w:rsid w:val="00BE73EA"/>
    <w:rsid w:val="00BE767D"/>
    <w:rsid w:val="00BF0B66"/>
    <w:rsid w:val="00BF11AF"/>
    <w:rsid w:val="00BF1279"/>
    <w:rsid w:val="00BF1454"/>
    <w:rsid w:val="00BF1872"/>
    <w:rsid w:val="00BF1C98"/>
    <w:rsid w:val="00BF1CD0"/>
    <w:rsid w:val="00BF1EFF"/>
    <w:rsid w:val="00BF227F"/>
    <w:rsid w:val="00BF292E"/>
    <w:rsid w:val="00BF2BDA"/>
    <w:rsid w:val="00BF311A"/>
    <w:rsid w:val="00BF331F"/>
    <w:rsid w:val="00BF349C"/>
    <w:rsid w:val="00BF39C3"/>
    <w:rsid w:val="00BF3C74"/>
    <w:rsid w:val="00BF3CC3"/>
    <w:rsid w:val="00BF3DA3"/>
    <w:rsid w:val="00BF434F"/>
    <w:rsid w:val="00BF4543"/>
    <w:rsid w:val="00BF46FD"/>
    <w:rsid w:val="00BF49C5"/>
    <w:rsid w:val="00BF54D3"/>
    <w:rsid w:val="00BF56E7"/>
    <w:rsid w:val="00BF5778"/>
    <w:rsid w:val="00BF57F5"/>
    <w:rsid w:val="00BF59B7"/>
    <w:rsid w:val="00BF5AC1"/>
    <w:rsid w:val="00BF618E"/>
    <w:rsid w:val="00BF6397"/>
    <w:rsid w:val="00BF64DC"/>
    <w:rsid w:val="00BF6628"/>
    <w:rsid w:val="00BF6815"/>
    <w:rsid w:val="00BF68F0"/>
    <w:rsid w:val="00BF692A"/>
    <w:rsid w:val="00BF6E20"/>
    <w:rsid w:val="00BF706C"/>
    <w:rsid w:val="00BF716E"/>
    <w:rsid w:val="00BF71CD"/>
    <w:rsid w:val="00BF783B"/>
    <w:rsid w:val="00BF7CE9"/>
    <w:rsid w:val="00BF7F7E"/>
    <w:rsid w:val="00C00213"/>
    <w:rsid w:val="00C00232"/>
    <w:rsid w:val="00C002A0"/>
    <w:rsid w:val="00C002B3"/>
    <w:rsid w:val="00C0033C"/>
    <w:rsid w:val="00C005E7"/>
    <w:rsid w:val="00C0061C"/>
    <w:rsid w:val="00C007F5"/>
    <w:rsid w:val="00C00983"/>
    <w:rsid w:val="00C009D8"/>
    <w:rsid w:val="00C00A7E"/>
    <w:rsid w:val="00C00B4F"/>
    <w:rsid w:val="00C00FEF"/>
    <w:rsid w:val="00C01104"/>
    <w:rsid w:val="00C013BB"/>
    <w:rsid w:val="00C014B2"/>
    <w:rsid w:val="00C016CA"/>
    <w:rsid w:val="00C01948"/>
    <w:rsid w:val="00C01A66"/>
    <w:rsid w:val="00C01D8F"/>
    <w:rsid w:val="00C022A1"/>
    <w:rsid w:val="00C02429"/>
    <w:rsid w:val="00C024C2"/>
    <w:rsid w:val="00C02A4D"/>
    <w:rsid w:val="00C02CB9"/>
    <w:rsid w:val="00C02CE3"/>
    <w:rsid w:val="00C02E87"/>
    <w:rsid w:val="00C03180"/>
    <w:rsid w:val="00C03181"/>
    <w:rsid w:val="00C03272"/>
    <w:rsid w:val="00C034A5"/>
    <w:rsid w:val="00C034AB"/>
    <w:rsid w:val="00C03674"/>
    <w:rsid w:val="00C0372B"/>
    <w:rsid w:val="00C04008"/>
    <w:rsid w:val="00C0403E"/>
    <w:rsid w:val="00C04133"/>
    <w:rsid w:val="00C043B6"/>
    <w:rsid w:val="00C04698"/>
    <w:rsid w:val="00C046F9"/>
    <w:rsid w:val="00C04C49"/>
    <w:rsid w:val="00C04F78"/>
    <w:rsid w:val="00C05111"/>
    <w:rsid w:val="00C05834"/>
    <w:rsid w:val="00C05A3E"/>
    <w:rsid w:val="00C06520"/>
    <w:rsid w:val="00C06601"/>
    <w:rsid w:val="00C06E55"/>
    <w:rsid w:val="00C07116"/>
    <w:rsid w:val="00C07181"/>
    <w:rsid w:val="00C0740C"/>
    <w:rsid w:val="00C0774A"/>
    <w:rsid w:val="00C07DAB"/>
    <w:rsid w:val="00C10032"/>
    <w:rsid w:val="00C1023B"/>
    <w:rsid w:val="00C1024D"/>
    <w:rsid w:val="00C103E1"/>
    <w:rsid w:val="00C10856"/>
    <w:rsid w:val="00C10878"/>
    <w:rsid w:val="00C10C3C"/>
    <w:rsid w:val="00C1162D"/>
    <w:rsid w:val="00C116FC"/>
    <w:rsid w:val="00C119B4"/>
    <w:rsid w:val="00C11D15"/>
    <w:rsid w:val="00C12063"/>
    <w:rsid w:val="00C120B8"/>
    <w:rsid w:val="00C122FE"/>
    <w:rsid w:val="00C12617"/>
    <w:rsid w:val="00C12935"/>
    <w:rsid w:val="00C12B31"/>
    <w:rsid w:val="00C12C19"/>
    <w:rsid w:val="00C12E07"/>
    <w:rsid w:val="00C13261"/>
    <w:rsid w:val="00C13319"/>
    <w:rsid w:val="00C133E0"/>
    <w:rsid w:val="00C13458"/>
    <w:rsid w:val="00C134D2"/>
    <w:rsid w:val="00C13C56"/>
    <w:rsid w:val="00C13DB7"/>
    <w:rsid w:val="00C14137"/>
    <w:rsid w:val="00C143ED"/>
    <w:rsid w:val="00C14481"/>
    <w:rsid w:val="00C14491"/>
    <w:rsid w:val="00C145C0"/>
    <w:rsid w:val="00C148B4"/>
    <w:rsid w:val="00C148D3"/>
    <w:rsid w:val="00C1498C"/>
    <w:rsid w:val="00C14D58"/>
    <w:rsid w:val="00C14FE1"/>
    <w:rsid w:val="00C1501D"/>
    <w:rsid w:val="00C15638"/>
    <w:rsid w:val="00C159F5"/>
    <w:rsid w:val="00C15BDF"/>
    <w:rsid w:val="00C15BFC"/>
    <w:rsid w:val="00C15D20"/>
    <w:rsid w:val="00C16083"/>
    <w:rsid w:val="00C16612"/>
    <w:rsid w:val="00C16D7D"/>
    <w:rsid w:val="00C16FB5"/>
    <w:rsid w:val="00C175DA"/>
    <w:rsid w:val="00C176B6"/>
    <w:rsid w:val="00C17E02"/>
    <w:rsid w:val="00C17F34"/>
    <w:rsid w:val="00C202F0"/>
    <w:rsid w:val="00C204AB"/>
    <w:rsid w:val="00C205A6"/>
    <w:rsid w:val="00C20A05"/>
    <w:rsid w:val="00C20F0F"/>
    <w:rsid w:val="00C20FD8"/>
    <w:rsid w:val="00C2149E"/>
    <w:rsid w:val="00C2159A"/>
    <w:rsid w:val="00C21C8F"/>
    <w:rsid w:val="00C21D5C"/>
    <w:rsid w:val="00C2224A"/>
    <w:rsid w:val="00C2241A"/>
    <w:rsid w:val="00C226FF"/>
    <w:rsid w:val="00C22939"/>
    <w:rsid w:val="00C22A5D"/>
    <w:rsid w:val="00C22C2E"/>
    <w:rsid w:val="00C22F07"/>
    <w:rsid w:val="00C23974"/>
    <w:rsid w:val="00C23C0B"/>
    <w:rsid w:val="00C23C11"/>
    <w:rsid w:val="00C23C64"/>
    <w:rsid w:val="00C23EA7"/>
    <w:rsid w:val="00C244A1"/>
    <w:rsid w:val="00C24E30"/>
    <w:rsid w:val="00C24F09"/>
    <w:rsid w:val="00C25284"/>
    <w:rsid w:val="00C25532"/>
    <w:rsid w:val="00C2559B"/>
    <w:rsid w:val="00C25A8C"/>
    <w:rsid w:val="00C25BD0"/>
    <w:rsid w:val="00C260C5"/>
    <w:rsid w:val="00C261E9"/>
    <w:rsid w:val="00C2662B"/>
    <w:rsid w:val="00C266F6"/>
    <w:rsid w:val="00C26BDA"/>
    <w:rsid w:val="00C275F7"/>
    <w:rsid w:val="00C27621"/>
    <w:rsid w:val="00C276A4"/>
    <w:rsid w:val="00C27F28"/>
    <w:rsid w:val="00C27FDA"/>
    <w:rsid w:val="00C300B0"/>
    <w:rsid w:val="00C3019A"/>
    <w:rsid w:val="00C301F1"/>
    <w:rsid w:val="00C302A2"/>
    <w:rsid w:val="00C306CD"/>
    <w:rsid w:val="00C30748"/>
    <w:rsid w:val="00C30897"/>
    <w:rsid w:val="00C308BF"/>
    <w:rsid w:val="00C308DC"/>
    <w:rsid w:val="00C30BAD"/>
    <w:rsid w:val="00C30D32"/>
    <w:rsid w:val="00C31032"/>
    <w:rsid w:val="00C3124C"/>
    <w:rsid w:val="00C314AA"/>
    <w:rsid w:val="00C31561"/>
    <w:rsid w:val="00C318E6"/>
    <w:rsid w:val="00C31961"/>
    <w:rsid w:val="00C31E37"/>
    <w:rsid w:val="00C325C5"/>
    <w:rsid w:val="00C327B7"/>
    <w:rsid w:val="00C327BB"/>
    <w:rsid w:val="00C3294C"/>
    <w:rsid w:val="00C32B62"/>
    <w:rsid w:val="00C32FDB"/>
    <w:rsid w:val="00C32FFA"/>
    <w:rsid w:val="00C3321F"/>
    <w:rsid w:val="00C33290"/>
    <w:rsid w:val="00C337B2"/>
    <w:rsid w:val="00C33814"/>
    <w:rsid w:val="00C339D7"/>
    <w:rsid w:val="00C33AA3"/>
    <w:rsid w:val="00C33C50"/>
    <w:rsid w:val="00C3403D"/>
    <w:rsid w:val="00C341D6"/>
    <w:rsid w:val="00C34510"/>
    <w:rsid w:val="00C346E7"/>
    <w:rsid w:val="00C3490C"/>
    <w:rsid w:val="00C34A08"/>
    <w:rsid w:val="00C3514A"/>
    <w:rsid w:val="00C35156"/>
    <w:rsid w:val="00C3542F"/>
    <w:rsid w:val="00C35497"/>
    <w:rsid w:val="00C356FC"/>
    <w:rsid w:val="00C35870"/>
    <w:rsid w:val="00C35879"/>
    <w:rsid w:val="00C35A1E"/>
    <w:rsid w:val="00C363EC"/>
    <w:rsid w:val="00C3649D"/>
    <w:rsid w:val="00C36573"/>
    <w:rsid w:val="00C36806"/>
    <w:rsid w:val="00C369D9"/>
    <w:rsid w:val="00C369DB"/>
    <w:rsid w:val="00C36FDB"/>
    <w:rsid w:val="00C37024"/>
    <w:rsid w:val="00C371A5"/>
    <w:rsid w:val="00C371CA"/>
    <w:rsid w:val="00C37300"/>
    <w:rsid w:val="00C37539"/>
    <w:rsid w:val="00C377F7"/>
    <w:rsid w:val="00C3791F"/>
    <w:rsid w:val="00C39C16"/>
    <w:rsid w:val="00C404F8"/>
    <w:rsid w:val="00C4079A"/>
    <w:rsid w:val="00C40825"/>
    <w:rsid w:val="00C408B2"/>
    <w:rsid w:val="00C40D78"/>
    <w:rsid w:val="00C40EF5"/>
    <w:rsid w:val="00C40EF8"/>
    <w:rsid w:val="00C410E0"/>
    <w:rsid w:val="00C41111"/>
    <w:rsid w:val="00C41312"/>
    <w:rsid w:val="00C41782"/>
    <w:rsid w:val="00C41810"/>
    <w:rsid w:val="00C418F6"/>
    <w:rsid w:val="00C41913"/>
    <w:rsid w:val="00C41DE0"/>
    <w:rsid w:val="00C41F13"/>
    <w:rsid w:val="00C41FCB"/>
    <w:rsid w:val="00C420EC"/>
    <w:rsid w:val="00C42127"/>
    <w:rsid w:val="00C421A4"/>
    <w:rsid w:val="00C4227B"/>
    <w:rsid w:val="00C436C3"/>
    <w:rsid w:val="00C436F6"/>
    <w:rsid w:val="00C43821"/>
    <w:rsid w:val="00C43884"/>
    <w:rsid w:val="00C43960"/>
    <w:rsid w:val="00C43D23"/>
    <w:rsid w:val="00C44004"/>
    <w:rsid w:val="00C443D0"/>
    <w:rsid w:val="00C44644"/>
    <w:rsid w:val="00C4469E"/>
    <w:rsid w:val="00C4472B"/>
    <w:rsid w:val="00C44866"/>
    <w:rsid w:val="00C44B84"/>
    <w:rsid w:val="00C44C1F"/>
    <w:rsid w:val="00C44EF9"/>
    <w:rsid w:val="00C45023"/>
    <w:rsid w:val="00C451ED"/>
    <w:rsid w:val="00C45313"/>
    <w:rsid w:val="00C4534D"/>
    <w:rsid w:val="00C458E0"/>
    <w:rsid w:val="00C45913"/>
    <w:rsid w:val="00C4595B"/>
    <w:rsid w:val="00C45A10"/>
    <w:rsid w:val="00C45F5F"/>
    <w:rsid w:val="00C462D0"/>
    <w:rsid w:val="00C464F2"/>
    <w:rsid w:val="00C465DB"/>
    <w:rsid w:val="00C4666E"/>
    <w:rsid w:val="00C46DB3"/>
    <w:rsid w:val="00C46E14"/>
    <w:rsid w:val="00C46F78"/>
    <w:rsid w:val="00C470C6"/>
    <w:rsid w:val="00C47461"/>
    <w:rsid w:val="00C474F3"/>
    <w:rsid w:val="00C475F1"/>
    <w:rsid w:val="00C47AA8"/>
    <w:rsid w:val="00C47FF1"/>
    <w:rsid w:val="00C5013D"/>
    <w:rsid w:val="00C5032F"/>
    <w:rsid w:val="00C5033F"/>
    <w:rsid w:val="00C5043C"/>
    <w:rsid w:val="00C504EC"/>
    <w:rsid w:val="00C50A1F"/>
    <w:rsid w:val="00C50C04"/>
    <w:rsid w:val="00C50E19"/>
    <w:rsid w:val="00C5102B"/>
    <w:rsid w:val="00C51060"/>
    <w:rsid w:val="00C513DA"/>
    <w:rsid w:val="00C51504"/>
    <w:rsid w:val="00C51559"/>
    <w:rsid w:val="00C515D4"/>
    <w:rsid w:val="00C51742"/>
    <w:rsid w:val="00C5175F"/>
    <w:rsid w:val="00C51EF6"/>
    <w:rsid w:val="00C52019"/>
    <w:rsid w:val="00C5211F"/>
    <w:rsid w:val="00C5265D"/>
    <w:rsid w:val="00C52A44"/>
    <w:rsid w:val="00C52B53"/>
    <w:rsid w:val="00C52C91"/>
    <w:rsid w:val="00C5304F"/>
    <w:rsid w:val="00C530F1"/>
    <w:rsid w:val="00C532B1"/>
    <w:rsid w:val="00C5339C"/>
    <w:rsid w:val="00C53523"/>
    <w:rsid w:val="00C5385C"/>
    <w:rsid w:val="00C53C53"/>
    <w:rsid w:val="00C53E34"/>
    <w:rsid w:val="00C53ED8"/>
    <w:rsid w:val="00C54763"/>
    <w:rsid w:val="00C547BF"/>
    <w:rsid w:val="00C5494E"/>
    <w:rsid w:val="00C54B5C"/>
    <w:rsid w:val="00C54B77"/>
    <w:rsid w:val="00C54F56"/>
    <w:rsid w:val="00C5517E"/>
    <w:rsid w:val="00C558FA"/>
    <w:rsid w:val="00C55A38"/>
    <w:rsid w:val="00C55E8B"/>
    <w:rsid w:val="00C55F05"/>
    <w:rsid w:val="00C55F6F"/>
    <w:rsid w:val="00C5618F"/>
    <w:rsid w:val="00C561E4"/>
    <w:rsid w:val="00C566AC"/>
    <w:rsid w:val="00C566E0"/>
    <w:rsid w:val="00C56889"/>
    <w:rsid w:val="00C56E03"/>
    <w:rsid w:val="00C57137"/>
    <w:rsid w:val="00C571BC"/>
    <w:rsid w:val="00C572E5"/>
    <w:rsid w:val="00C5768A"/>
    <w:rsid w:val="00C57935"/>
    <w:rsid w:val="00C57AF8"/>
    <w:rsid w:val="00C57ED4"/>
    <w:rsid w:val="00C6078A"/>
    <w:rsid w:val="00C60899"/>
    <w:rsid w:val="00C60A47"/>
    <w:rsid w:val="00C60B7B"/>
    <w:rsid w:val="00C60E53"/>
    <w:rsid w:val="00C61067"/>
    <w:rsid w:val="00C6125A"/>
    <w:rsid w:val="00C614A8"/>
    <w:rsid w:val="00C615D0"/>
    <w:rsid w:val="00C61835"/>
    <w:rsid w:val="00C619C7"/>
    <w:rsid w:val="00C61B83"/>
    <w:rsid w:val="00C61C2D"/>
    <w:rsid w:val="00C61FB8"/>
    <w:rsid w:val="00C621E3"/>
    <w:rsid w:val="00C626F6"/>
    <w:rsid w:val="00C62A0C"/>
    <w:rsid w:val="00C62A4F"/>
    <w:rsid w:val="00C62AF1"/>
    <w:rsid w:val="00C62E2D"/>
    <w:rsid w:val="00C63212"/>
    <w:rsid w:val="00C6336D"/>
    <w:rsid w:val="00C636DE"/>
    <w:rsid w:val="00C63885"/>
    <w:rsid w:val="00C638DF"/>
    <w:rsid w:val="00C63CFA"/>
    <w:rsid w:val="00C64067"/>
    <w:rsid w:val="00C6406A"/>
    <w:rsid w:val="00C64089"/>
    <w:rsid w:val="00C6415B"/>
    <w:rsid w:val="00C64205"/>
    <w:rsid w:val="00C645A4"/>
    <w:rsid w:val="00C64BD0"/>
    <w:rsid w:val="00C64D19"/>
    <w:rsid w:val="00C64DAD"/>
    <w:rsid w:val="00C6530C"/>
    <w:rsid w:val="00C655AB"/>
    <w:rsid w:val="00C6578A"/>
    <w:rsid w:val="00C65B4C"/>
    <w:rsid w:val="00C65CBB"/>
    <w:rsid w:val="00C65F49"/>
    <w:rsid w:val="00C660AA"/>
    <w:rsid w:val="00C6615D"/>
    <w:rsid w:val="00C661AE"/>
    <w:rsid w:val="00C661F0"/>
    <w:rsid w:val="00C6624C"/>
    <w:rsid w:val="00C66921"/>
    <w:rsid w:val="00C66961"/>
    <w:rsid w:val="00C6734E"/>
    <w:rsid w:val="00C674B7"/>
    <w:rsid w:val="00C679A3"/>
    <w:rsid w:val="00C67A81"/>
    <w:rsid w:val="00C701A0"/>
    <w:rsid w:val="00C701FB"/>
    <w:rsid w:val="00C702BA"/>
    <w:rsid w:val="00C703BB"/>
    <w:rsid w:val="00C7077B"/>
    <w:rsid w:val="00C708C3"/>
    <w:rsid w:val="00C709FF"/>
    <w:rsid w:val="00C70A8B"/>
    <w:rsid w:val="00C70C6C"/>
    <w:rsid w:val="00C70EEC"/>
    <w:rsid w:val="00C71774"/>
    <w:rsid w:val="00C71B4D"/>
    <w:rsid w:val="00C71C84"/>
    <w:rsid w:val="00C71D87"/>
    <w:rsid w:val="00C721A9"/>
    <w:rsid w:val="00C72AD9"/>
    <w:rsid w:val="00C72DFC"/>
    <w:rsid w:val="00C73175"/>
    <w:rsid w:val="00C73536"/>
    <w:rsid w:val="00C735AF"/>
    <w:rsid w:val="00C7380A"/>
    <w:rsid w:val="00C739C1"/>
    <w:rsid w:val="00C73D4D"/>
    <w:rsid w:val="00C74154"/>
    <w:rsid w:val="00C74217"/>
    <w:rsid w:val="00C74618"/>
    <w:rsid w:val="00C74710"/>
    <w:rsid w:val="00C749EA"/>
    <w:rsid w:val="00C74DED"/>
    <w:rsid w:val="00C75047"/>
    <w:rsid w:val="00C75054"/>
    <w:rsid w:val="00C75403"/>
    <w:rsid w:val="00C7592A"/>
    <w:rsid w:val="00C75D43"/>
    <w:rsid w:val="00C7600C"/>
    <w:rsid w:val="00C7633F"/>
    <w:rsid w:val="00C76773"/>
    <w:rsid w:val="00C768DB"/>
    <w:rsid w:val="00C769F9"/>
    <w:rsid w:val="00C76A18"/>
    <w:rsid w:val="00C76AEB"/>
    <w:rsid w:val="00C76E12"/>
    <w:rsid w:val="00C76E97"/>
    <w:rsid w:val="00C774D3"/>
    <w:rsid w:val="00C77564"/>
    <w:rsid w:val="00C775FB"/>
    <w:rsid w:val="00C77610"/>
    <w:rsid w:val="00C77664"/>
    <w:rsid w:val="00C7771A"/>
    <w:rsid w:val="00C7771F"/>
    <w:rsid w:val="00C779CF"/>
    <w:rsid w:val="00C77E1C"/>
    <w:rsid w:val="00C7BF60"/>
    <w:rsid w:val="00C8005A"/>
    <w:rsid w:val="00C800BB"/>
    <w:rsid w:val="00C80552"/>
    <w:rsid w:val="00C80823"/>
    <w:rsid w:val="00C80848"/>
    <w:rsid w:val="00C80B5C"/>
    <w:rsid w:val="00C80D3D"/>
    <w:rsid w:val="00C80D9E"/>
    <w:rsid w:val="00C81706"/>
    <w:rsid w:val="00C81B68"/>
    <w:rsid w:val="00C81FB7"/>
    <w:rsid w:val="00C821E7"/>
    <w:rsid w:val="00C821E8"/>
    <w:rsid w:val="00C82213"/>
    <w:rsid w:val="00C8256D"/>
    <w:rsid w:val="00C82DD6"/>
    <w:rsid w:val="00C830BD"/>
    <w:rsid w:val="00C831B0"/>
    <w:rsid w:val="00C837CE"/>
    <w:rsid w:val="00C83835"/>
    <w:rsid w:val="00C838D7"/>
    <w:rsid w:val="00C839E3"/>
    <w:rsid w:val="00C83EEA"/>
    <w:rsid w:val="00C84918"/>
    <w:rsid w:val="00C84EFF"/>
    <w:rsid w:val="00C85042"/>
    <w:rsid w:val="00C852EE"/>
    <w:rsid w:val="00C85432"/>
    <w:rsid w:val="00C856F3"/>
    <w:rsid w:val="00C8591D"/>
    <w:rsid w:val="00C85986"/>
    <w:rsid w:val="00C8598B"/>
    <w:rsid w:val="00C85CC9"/>
    <w:rsid w:val="00C85D7F"/>
    <w:rsid w:val="00C860EA"/>
    <w:rsid w:val="00C86169"/>
    <w:rsid w:val="00C8619E"/>
    <w:rsid w:val="00C861FD"/>
    <w:rsid w:val="00C8642E"/>
    <w:rsid w:val="00C86498"/>
    <w:rsid w:val="00C865F2"/>
    <w:rsid w:val="00C86DFA"/>
    <w:rsid w:val="00C870D8"/>
    <w:rsid w:val="00C876FD"/>
    <w:rsid w:val="00C87772"/>
    <w:rsid w:val="00C8794D"/>
    <w:rsid w:val="00C90091"/>
    <w:rsid w:val="00C904B6"/>
    <w:rsid w:val="00C90824"/>
    <w:rsid w:val="00C90CA0"/>
    <w:rsid w:val="00C91626"/>
    <w:rsid w:val="00C91A45"/>
    <w:rsid w:val="00C91C33"/>
    <w:rsid w:val="00C91F86"/>
    <w:rsid w:val="00C9229A"/>
    <w:rsid w:val="00C9238E"/>
    <w:rsid w:val="00C92704"/>
    <w:rsid w:val="00C929E1"/>
    <w:rsid w:val="00C92DFA"/>
    <w:rsid w:val="00C92EC3"/>
    <w:rsid w:val="00C92EF1"/>
    <w:rsid w:val="00C934A5"/>
    <w:rsid w:val="00C9365C"/>
    <w:rsid w:val="00C9373E"/>
    <w:rsid w:val="00C937D4"/>
    <w:rsid w:val="00C93B23"/>
    <w:rsid w:val="00C93F4C"/>
    <w:rsid w:val="00C94071"/>
    <w:rsid w:val="00C9416A"/>
    <w:rsid w:val="00C94183"/>
    <w:rsid w:val="00C9420D"/>
    <w:rsid w:val="00C9447C"/>
    <w:rsid w:val="00C94544"/>
    <w:rsid w:val="00C946A3"/>
    <w:rsid w:val="00C94E2F"/>
    <w:rsid w:val="00C9514F"/>
    <w:rsid w:val="00C95496"/>
    <w:rsid w:val="00C95599"/>
    <w:rsid w:val="00C955B9"/>
    <w:rsid w:val="00C957F8"/>
    <w:rsid w:val="00C9591E"/>
    <w:rsid w:val="00C959F9"/>
    <w:rsid w:val="00C95E1C"/>
    <w:rsid w:val="00C95E31"/>
    <w:rsid w:val="00C96317"/>
    <w:rsid w:val="00C963FD"/>
    <w:rsid w:val="00C9685D"/>
    <w:rsid w:val="00C96AAA"/>
    <w:rsid w:val="00C96E88"/>
    <w:rsid w:val="00C96F7B"/>
    <w:rsid w:val="00C9722D"/>
    <w:rsid w:val="00C97A47"/>
    <w:rsid w:val="00C97CB6"/>
    <w:rsid w:val="00C97D60"/>
    <w:rsid w:val="00CA0022"/>
    <w:rsid w:val="00CA0215"/>
    <w:rsid w:val="00CA02E1"/>
    <w:rsid w:val="00CA0514"/>
    <w:rsid w:val="00CA05DF"/>
    <w:rsid w:val="00CA095B"/>
    <w:rsid w:val="00CA10E3"/>
    <w:rsid w:val="00CA12F5"/>
    <w:rsid w:val="00CA184D"/>
    <w:rsid w:val="00CA187D"/>
    <w:rsid w:val="00CA1956"/>
    <w:rsid w:val="00CA1BF7"/>
    <w:rsid w:val="00CA1DF5"/>
    <w:rsid w:val="00CA1E94"/>
    <w:rsid w:val="00CA206C"/>
    <w:rsid w:val="00CA2229"/>
    <w:rsid w:val="00CA2303"/>
    <w:rsid w:val="00CA2718"/>
    <w:rsid w:val="00CA2960"/>
    <w:rsid w:val="00CA2EF1"/>
    <w:rsid w:val="00CA2F7D"/>
    <w:rsid w:val="00CA3509"/>
    <w:rsid w:val="00CA3ABF"/>
    <w:rsid w:val="00CA3B0F"/>
    <w:rsid w:val="00CA3BA9"/>
    <w:rsid w:val="00CA3BE7"/>
    <w:rsid w:val="00CA3E82"/>
    <w:rsid w:val="00CA42B9"/>
    <w:rsid w:val="00CA47DF"/>
    <w:rsid w:val="00CA4CC6"/>
    <w:rsid w:val="00CA547C"/>
    <w:rsid w:val="00CA55B7"/>
    <w:rsid w:val="00CA57D6"/>
    <w:rsid w:val="00CA5B4D"/>
    <w:rsid w:val="00CA6411"/>
    <w:rsid w:val="00CA65E1"/>
    <w:rsid w:val="00CA6707"/>
    <w:rsid w:val="00CA68D3"/>
    <w:rsid w:val="00CA6994"/>
    <w:rsid w:val="00CA69DF"/>
    <w:rsid w:val="00CA6CBF"/>
    <w:rsid w:val="00CA71B0"/>
    <w:rsid w:val="00CA72C6"/>
    <w:rsid w:val="00CA7499"/>
    <w:rsid w:val="00CA755A"/>
    <w:rsid w:val="00CA75BE"/>
    <w:rsid w:val="00CA76B3"/>
    <w:rsid w:val="00CA7DD8"/>
    <w:rsid w:val="00CB03EE"/>
    <w:rsid w:val="00CB0706"/>
    <w:rsid w:val="00CB08EF"/>
    <w:rsid w:val="00CB0A51"/>
    <w:rsid w:val="00CB0C0B"/>
    <w:rsid w:val="00CB0C73"/>
    <w:rsid w:val="00CB0C98"/>
    <w:rsid w:val="00CB100A"/>
    <w:rsid w:val="00CB1158"/>
    <w:rsid w:val="00CB12B7"/>
    <w:rsid w:val="00CB14D0"/>
    <w:rsid w:val="00CB15A0"/>
    <w:rsid w:val="00CB1854"/>
    <w:rsid w:val="00CB1939"/>
    <w:rsid w:val="00CB1CC7"/>
    <w:rsid w:val="00CB1F19"/>
    <w:rsid w:val="00CB20E7"/>
    <w:rsid w:val="00CB23A4"/>
    <w:rsid w:val="00CB2685"/>
    <w:rsid w:val="00CB28D4"/>
    <w:rsid w:val="00CB2D11"/>
    <w:rsid w:val="00CB2D21"/>
    <w:rsid w:val="00CB2DA2"/>
    <w:rsid w:val="00CB2F24"/>
    <w:rsid w:val="00CB3831"/>
    <w:rsid w:val="00CB3A09"/>
    <w:rsid w:val="00CB3C34"/>
    <w:rsid w:val="00CB3D4A"/>
    <w:rsid w:val="00CB448D"/>
    <w:rsid w:val="00CB4569"/>
    <w:rsid w:val="00CB4611"/>
    <w:rsid w:val="00CB462B"/>
    <w:rsid w:val="00CB5093"/>
    <w:rsid w:val="00CB552B"/>
    <w:rsid w:val="00CB5576"/>
    <w:rsid w:val="00CB55A9"/>
    <w:rsid w:val="00CB55CF"/>
    <w:rsid w:val="00CB581B"/>
    <w:rsid w:val="00CB5897"/>
    <w:rsid w:val="00CB58DF"/>
    <w:rsid w:val="00CB5A0E"/>
    <w:rsid w:val="00CB5A4B"/>
    <w:rsid w:val="00CB5C25"/>
    <w:rsid w:val="00CB5CB1"/>
    <w:rsid w:val="00CB5E3E"/>
    <w:rsid w:val="00CB622E"/>
    <w:rsid w:val="00CB63E0"/>
    <w:rsid w:val="00CB6547"/>
    <w:rsid w:val="00CB66BD"/>
    <w:rsid w:val="00CB6994"/>
    <w:rsid w:val="00CB6D5F"/>
    <w:rsid w:val="00CB6F0D"/>
    <w:rsid w:val="00CB7844"/>
    <w:rsid w:val="00CB7975"/>
    <w:rsid w:val="00CB7DE9"/>
    <w:rsid w:val="00CB7F83"/>
    <w:rsid w:val="00CC010C"/>
    <w:rsid w:val="00CC03AA"/>
    <w:rsid w:val="00CC0464"/>
    <w:rsid w:val="00CC08B8"/>
    <w:rsid w:val="00CC08C3"/>
    <w:rsid w:val="00CC0BA7"/>
    <w:rsid w:val="00CC114E"/>
    <w:rsid w:val="00CC14A9"/>
    <w:rsid w:val="00CC151E"/>
    <w:rsid w:val="00CC197E"/>
    <w:rsid w:val="00CC19F2"/>
    <w:rsid w:val="00CC1A57"/>
    <w:rsid w:val="00CC1BF0"/>
    <w:rsid w:val="00CC1CE5"/>
    <w:rsid w:val="00CC20DB"/>
    <w:rsid w:val="00CC2A7A"/>
    <w:rsid w:val="00CC2C37"/>
    <w:rsid w:val="00CC2CF9"/>
    <w:rsid w:val="00CC2E9E"/>
    <w:rsid w:val="00CC2FDE"/>
    <w:rsid w:val="00CC3634"/>
    <w:rsid w:val="00CC3790"/>
    <w:rsid w:val="00CC37F7"/>
    <w:rsid w:val="00CC3C10"/>
    <w:rsid w:val="00CC3C47"/>
    <w:rsid w:val="00CC3DAE"/>
    <w:rsid w:val="00CC3E50"/>
    <w:rsid w:val="00CC4403"/>
    <w:rsid w:val="00CC452A"/>
    <w:rsid w:val="00CC4AC2"/>
    <w:rsid w:val="00CC4E4B"/>
    <w:rsid w:val="00CC4E6B"/>
    <w:rsid w:val="00CC509B"/>
    <w:rsid w:val="00CC53D4"/>
    <w:rsid w:val="00CC5639"/>
    <w:rsid w:val="00CC5823"/>
    <w:rsid w:val="00CC59D4"/>
    <w:rsid w:val="00CC5C0C"/>
    <w:rsid w:val="00CC5C19"/>
    <w:rsid w:val="00CC6047"/>
    <w:rsid w:val="00CC6410"/>
    <w:rsid w:val="00CC6485"/>
    <w:rsid w:val="00CC64D3"/>
    <w:rsid w:val="00CC654D"/>
    <w:rsid w:val="00CC6A0D"/>
    <w:rsid w:val="00CC6A5B"/>
    <w:rsid w:val="00CC6CD1"/>
    <w:rsid w:val="00CC6CF2"/>
    <w:rsid w:val="00CC6D8D"/>
    <w:rsid w:val="00CC6F22"/>
    <w:rsid w:val="00CC7235"/>
    <w:rsid w:val="00CC72C3"/>
    <w:rsid w:val="00CC7D2D"/>
    <w:rsid w:val="00CC7D33"/>
    <w:rsid w:val="00CC7D49"/>
    <w:rsid w:val="00CC7DA5"/>
    <w:rsid w:val="00CD03AC"/>
    <w:rsid w:val="00CD04CD"/>
    <w:rsid w:val="00CD06DB"/>
    <w:rsid w:val="00CD0762"/>
    <w:rsid w:val="00CD08B3"/>
    <w:rsid w:val="00CD0F50"/>
    <w:rsid w:val="00CD0F8E"/>
    <w:rsid w:val="00CD1068"/>
    <w:rsid w:val="00CD1073"/>
    <w:rsid w:val="00CD1A08"/>
    <w:rsid w:val="00CD1E16"/>
    <w:rsid w:val="00CD1F62"/>
    <w:rsid w:val="00CD209B"/>
    <w:rsid w:val="00CD20D1"/>
    <w:rsid w:val="00CD252A"/>
    <w:rsid w:val="00CD28D5"/>
    <w:rsid w:val="00CD2B83"/>
    <w:rsid w:val="00CD2D3C"/>
    <w:rsid w:val="00CD2D54"/>
    <w:rsid w:val="00CD2E5F"/>
    <w:rsid w:val="00CD30C0"/>
    <w:rsid w:val="00CD3164"/>
    <w:rsid w:val="00CD3188"/>
    <w:rsid w:val="00CD3354"/>
    <w:rsid w:val="00CD363F"/>
    <w:rsid w:val="00CD37D0"/>
    <w:rsid w:val="00CD37D6"/>
    <w:rsid w:val="00CD41F4"/>
    <w:rsid w:val="00CD4227"/>
    <w:rsid w:val="00CD4606"/>
    <w:rsid w:val="00CD475A"/>
    <w:rsid w:val="00CD483E"/>
    <w:rsid w:val="00CD48CA"/>
    <w:rsid w:val="00CD4C3E"/>
    <w:rsid w:val="00CD509D"/>
    <w:rsid w:val="00CD51D6"/>
    <w:rsid w:val="00CD5575"/>
    <w:rsid w:val="00CD55F5"/>
    <w:rsid w:val="00CD5702"/>
    <w:rsid w:val="00CD61FB"/>
    <w:rsid w:val="00CD6298"/>
    <w:rsid w:val="00CD6471"/>
    <w:rsid w:val="00CD663C"/>
    <w:rsid w:val="00CD67D2"/>
    <w:rsid w:val="00CD690D"/>
    <w:rsid w:val="00CD691E"/>
    <w:rsid w:val="00CD6B33"/>
    <w:rsid w:val="00CD6B45"/>
    <w:rsid w:val="00CD6BE0"/>
    <w:rsid w:val="00CD6CA4"/>
    <w:rsid w:val="00CD6CD0"/>
    <w:rsid w:val="00CD6DC5"/>
    <w:rsid w:val="00CD6F52"/>
    <w:rsid w:val="00CD7224"/>
    <w:rsid w:val="00CD7298"/>
    <w:rsid w:val="00CD75EE"/>
    <w:rsid w:val="00CD769B"/>
    <w:rsid w:val="00CD7712"/>
    <w:rsid w:val="00CD7BBA"/>
    <w:rsid w:val="00CD7CB0"/>
    <w:rsid w:val="00CD7D28"/>
    <w:rsid w:val="00CD7FD6"/>
    <w:rsid w:val="00CE0C4B"/>
    <w:rsid w:val="00CE0D5F"/>
    <w:rsid w:val="00CE10EC"/>
    <w:rsid w:val="00CE190D"/>
    <w:rsid w:val="00CE1C90"/>
    <w:rsid w:val="00CE1E91"/>
    <w:rsid w:val="00CE1F77"/>
    <w:rsid w:val="00CE1FBA"/>
    <w:rsid w:val="00CE202A"/>
    <w:rsid w:val="00CE207F"/>
    <w:rsid w:val="00CE20CB"/>
    <w:rsid w:val="00CE2124"/>
    <w:rsid w:val="00CE21C0"/>
    <w:rsid w:val="00CE23D1"/>
    <w:rsid w:val="00CE2E65"/>
    <w:rsid w:val="00CE325F"/>
    <w:rsid w:val="00CE32AE"/>
    <w:rsid w:val="00CE3779"/>
    <w:rsid w:val="00CE3A40"/>
    <w:rsid w:val="00CE423A"/>
    <w:rsid w:val="00CE46AD"/>
    <w:rsid w:val="00CE476C"/>
    <w:rsid w:val="00CE48DB"/>
    <w:rsid w:val="00CE49F3"/>
    <w:rsid w:val="00CE4B64"/>
    <w:rsid w:val="00CE5016"/>
    <w:rsid w:val="00CE5362"/>
    <w:rsid w:val="00CE53C3"/>
    <w:rsid w:val="00CE59F0"/>
    <w:rsid w:val="00CE5E0F"/>
    <w:rsid w:val="00CE5F34"/>
    <w:rsid w:val="00CE5FEA"/>
    <w:rsid w:val="00CE618F"/>
    <w:rsid w:val="00CE62B7"/>
    <w:rsid w:val="00CE63BD"/>
    <w:rsid w:val="00CE63C7"/>
    <w:rsid w:val="00CE6603"/>
    <w:rsid w:val="00CE6AB3"/>
    <w:rsid w:val="00CE6E00"/>
    <w:rsid w:val="00CE6F8B"/>
    <w:rsid w:val="00CE7347"/>
    <w:rsid w:val="00CE74A5"/>
    <w:rsid w:val="00CE759C"/>
    <w:rsid w:val="00CE75A1"/>
    <w:rsid w:val="00CE7699"/>
    <w:rsid w:val="00CE7F24"/>
    <w:rsid w:val="00CF069D"/>
    <w:rsid w:val="00CF07A9"/>
    <w:rsid w:val="00CF0D53"/>
    <w:rsid w:val="00CF0ECF"/>
    <w:rsid w:val="00CF126C"/>
    <w:rsid w:val="00CF14DB"/>
    <w:rsid w:val="00CF14E1"/>
    <w:rsid w:val="00CF16DF"/>
    <w:rsid w:val="00CF1C38"/>
    <w:rsid w:val="00CF211C"/>
    <w:rsid w:val="00CF287B"/>
    <w:rsid w:val="00CF28F1"/>
    <w:rsid w:val="00CF2A8C"/>
    <w:rsid w:val="00CF2ACA"/>
    <w:rsid w:val="00CF2ACF"/>
    <w:rsid w:val="00CF3091"/>
    <w:rsid w:val="00CF3187"/>
    <w:rsid w:val="00CF34D1"/>
    <w:rsid w:val="00CF3580"/>
    <w:rsid w:val="00CF35A3"/>
    <w:rsid w:val="00CF3657"/>
    <w:rsid w:val="00CF36A2"/>
    <w:rsid w:val="00CF38BE"/>
    <w:rsid w:val="00CF39D2"/>
    <w:rsid w:val="00CF3ADB"/>
    <w:rsid w:val="00CF3CD3"/>
    <w:rsid w:val="00CF3D50"/>
    <w:rsid w:val="00CF4461"/>
    <w:rsid w:val="00CF4541"/>
    <w:rsid w:val="00CF4B47"/>
    <w:rsid w:val="00CF4B76"/>
    <w:rsid w:val="00CF4BEC"/>
    <w:rsid w:val="00CF4DA5"/>
    <w:rsid w:val="00CF4DAA"/>
    <w:rsid w:val="00CF4EF5"/>
    <w:rsid w:val="00CF4F31"/>
    <w:rsid w:val="00CF4F70"/>
    <w:rsid w:val="00CF4FD6"/>
    <w:rsid w:val="00CF50F2"/>
    <w:rsid w:val="00CF576B"/>
    <w:rsid w:val="00CF580F"/>
    <w:rsid w:val="00CF597E"/>
    <w:rsid w:val="00CF5A98"/>
    <w:rsid w:val="00CF5B12"/>
    <w:rsid w:val="00CF636D"/>
    <w:rsid w:val="00CF68FB"/>
    <w:rsid w:val="00CF69C4"/>
    <w:rsid w:val="00CF7097"/>
    <w:rsid w:val="00CF73CB"/>
    <w:rsid w:val="00CF750A"/>
    <w:rsid w:val="00CF7C5D"/>
    <w:rsid w:val="00CFF6A0"/>
    <w:rsid w:val="00D0058A"/>
    <w:rsid w:val="00D006F0"/>
    <w:rsid w:val="00D008CC"/>
    <w:rsid w:val="00D010A3"/>
    <w:rsid w:val="00D010C9"/>
    <w:rsid w:val="00D012DC"/>
    <w:rsid w:val="00D01758"/>
    <w:rsid w:val="00D01879"/>
    <w:rsid w:val="00D019B9"/>
    <w:rsid w:val="00D019D0"/>
    <w:rsid w:val="00D01B29"/>
    <w:rsid w:val="00D01BC0"/>
    <w:rsid w:val="00D01F50"/>
    <w:rsid w:val="00D0218A"/>
    <w:rsid w:val="00D02301"/>
    <w:rsid w:val="00D02372"/>
    <w:rsid w:val="00D02665"/>
    <w:rsid w:val="00D0269C"/>
    <w:rsid w:val="00D027A6"/>
    <w:rsid w:val="00D02852"/>
    <w:rsid w:val="00D02DB9"/>
    <w:rsid w:val="00D02E5A"/>
    <w:rsid w:val="00D02E92"/>
    <w:rsid w:val="00D02EB7"/>
    <w:rsid w:val="00D02F11"/>
    <w:rsid w:val="00D02F6E"/>
    <w:rsid w:val="00D03145"/>
    <w:rsid w:val="00D0317F"/>
    <w:rsid w:val="00D031AA"/>
    <w:rsid w:val="00D0321D"/>
    <w:rsid w:val="00D03257"/>
    <w:rsid w:val="00D03284"/>
    <w:rsid w:val="00D03B6D"/>
    <w:rsid w:val="00D03B78"/>
    <w:rsid w:val="00D03DC0"/>
    <w:rsid w:val="00D03EE8"/>
    <w:rsid w:val="00D03FC7"/>
    <w:rsid w:val="00D040D3"/>
    <w:rsid w:val="00D04320"/>
    <w:rsid w:val="00D044EC"/>
    <w:rsid w:val="00D04747"/>
    <w:rsid w:val="00D0494E"/>
    <w:rsid w:val="00D049A2"/>
    <w:rsid w:val="00D04D81"/>
    <w:rsid w:val="00D04FAB"/>
    <w:rsid w:val="00D04FFA"/>
    <w:rsid w:val="00D050C7"/>
    <w:rsid w:val="00D0556F"/>
    <w:rsid w:val="00D0589D"/>
    <w:rsid w:val="00D05B23"/>
    <w:rsid w:val="00D05C4D"/>
    <w:rsid w:val="00D06C32"/>
    <w:rsid w:val="00D06EE0"/>
    <w:rsid w:val="00D0704D"/>
    <w:rsid w:val="00D0707C"/>
    <w:rsid w:val="00D07114"/>
    <w:rsid w:val="00D07302"/>
    <w:rsid w:val="00D074A6"/>
    <w:rsid w:val="00D076A9"/>
    <w:rsid w:val="00D076BD"/>
    <w:rsid w:val="00D0773F"/>
    <w:rsid w:val="00D07C66"/>
    <w:rsid w:val="00D10129"/>
    <w:rsid w:val="00D10250"/>
    <w:rsid w:val="00D10602"/>
    <w:rsid w:val="00D10A31"/>
    <w:rsid w:val="00D10CD9"/>
    <w:rsid w:val="00D10FC0"/>
    <w:rsid w:val="00D10FD4"/>
    <w:rsid w:val="00D114CC"/>
    <w:rsid w:val="00D116FC"/>
    <w:rsid w:val="00D1173A"/>
    <w:rsid w:val="00D118E7"/>
    <w:rsid w:val="00D11CC9"/>
    <w:rsid w:val="00D11D06"/>
    <w:rsid w:val="00D11D24"/>
    <w:rsid w:val="00D1211C"/>
    <w:rsid w:val="00D121EE"/>
    <w:rsid w:val="00D1228C"/>
    <w:rsid w:val="00D12308"/>
    <w:rsid w:val="00D1248B"/>
    <w:rsid w:val="00D12543"/>
    <w:rsid w:val="00D12571"/>
    <w:rsid w:val="00D126E8"/>
    <w:rsid w:val="00D1298F"/>
    <w:rsid w:val="00D12CF4"/>
    <w:rsid w:val="00D12E67"/>
    <w:rsid w:val="00D130CB"/>
    <w:rsid w:val="00D13309"/>
    <w:rsid w:val="00D133A7"/>
    <w:rsid w:val="00D13521"/>
    <w:rsid w:val="00D135A6"/>
    <w:rsid w:val="00D13B37"/>
    <w:rsid w:val="00D13E63"/>
    <w:rsid w:val="00D13FC0"/>
    <w:rsid w:val="00D142E1"/>
    <w:rsid w:val="00D147CD"/>
    <w:rsid w:val="00D14BE4"/>
    <w:rsid w:val="00D14DD3"/>
    <w:rsid w:val="00D14F25"/>
    <w:rsid w:val="00D150CF"/>
    <w:rsid w:val="00D15226"/>
    <w:rsid w:val="00D1524B"/>
    <w:rsid w:val="00D152AC"/>
    <w:rsid w:val="00D155E3"/>
    <w:rsid w:val="00D15F04"/>
    <w:rsid w:val="00D1625A"/>
    <w:rsid w:val="00D16290"/>
    <w:rsid w:val="00D16A61"/>
    <w:rsid w:val="00D16C56"/>
    <w:rsid w:val="00D16D1D"/>
    <w:rsid w:val="00D170AA"/>
    <w:rsid w:val="00D17648"/>
    <w:rsid w:val="00D17A38"/>
    <w:rsid w:val="00D17B0F"/>
    <w:rsid w:val="00D17C7D"/>
    <w:rsid w:val="00D17D7E"/>
    <w:rsid w:val="00D17E0C"/>
    <w:rsid w:val="00D2005F"/>
    <w:rsid w:val="00D200BF"/>
    <w:rsid w:val="00D2026E"/>
    <w:rsid w:val="00D20401"/>
    <w:rsid w:val="00D2049C"/>
    <w:rsid w:val="00D20DC7"/>
    <w:rsid w:val="00D20E70"/>
    <w:rsid w:val="00D21232"/>
    <w:rsid w:val="00D21255"/>
    <w:rsid w:val="00D2157C"/>
    <w:rsid w:val="00D21AAA"/>
    <w:rsid w:val="00D21E47"/>
    <w:rsid w:val="00D21F9F"/>
    <w:rsid w:val="00D221F9"/>
    <w:rsid w:val="00D22AFF"/>
    <w:rsid w:val="00D22B2A"/>
    <w:rsid w:val="00D22B53"/>
    <w:rsid w:val="00D22C07"/>
    <w:rsid w:val="00D22DAA"/>
    <w:rsid w:val="00D23040"/>
    <w:rsid w:val="00D233C8"/>
    <w:rsid w:val="00D2350D"/>
    <w:rsid w:val="00D2354F"/>
    <w:rsid w:val="00D239E5"/>
    <w:rsid w:val="00D23A06"/>
    <w:rsid w:val="00D23CB3"/>
    <w:rsid w:val="00D23E0D"/>
    <w:rsid w:val="00D24529"/>
    <w:rsid w:val="00D24828"/>
    <w:rsid w:val="00D249C3"/>
    <w:rsid w:val="00D250D6"/>
    <w:rsid w:val="00D25350"/>
    <w:rsid w:val="00D25390"/>
    <w:rsid w:val="00D253BA"/>
    <w:rsid w:val="00D25528"/>
    <w:rsid w:val="00D25549"/>
    <w:rsid w:val="00D25649"/>
    <w:rsid w:val="00D25BD2"/>
    <w:rsid w:val="00D25D54"/>
    <w:rsid w:val="00D25F3C"/>
    <w:rsid w:val="00D260B1"/>
    <w:rsid w:val="00D260FC"/>
    <w:rsid w:val="00D267DE"/>
    <w:rsid w:val="00D26841"/>
    <w:rsid w:val="00D26877"/>
    <w:rsid w:val="00D268CD"/>
    <w:rsid w:val="00D27711"/>
    <w:rsid w:val="00D27823"/>
    <w:rsid w:val="00D27A85"/>
    <w:rsid w:val="00D27C56"/>
    <w:rsid w:val="00D27C84"/>
    <w:rsid w:val="00D27D7A"/>
    <w:rsid w:val="00D27E6C"/>
    <w:rsid w:val="00D27E6E"/>
    <w:rsid w:val="00D30200"/>
    <w:rsid w:val="00D30223"/>
    <w:rsid w:val="00D302B1"/>
    <w:rsid w:val="00D30327"/>
    <w:rsid w:val="00D30393"/>
    <w:rsid w:val="00D303E3"/>
    <w:rsid w:val="00D30502"/>
    <w:rsid w:val="00D30B50"/>
    <w:rsid w:val="00D30D74"/>
    <w:rsid w:val="00D30D7E"/>
    <w:rsid w:val="00D30F14"/>
    <w:rsid w:val="00D30F1D"/>
    <w:rsid w:val="00D310FC"/>
    <w:rsid w:val="00D311CC"/>
    <w:rsid w:val="00D313E9"/>
    <w:rsid w:val="00D31417"/>
    <w:rsid w:val="00D315E7"/>
    <w:rsid w:val="00D3187E"/>
    <w:rsid w:val="00D3198F"/>
    <w:rsid w:val="00D31C62"/>
    <w:rsid w:val="00D31CF2"/>
    <w:rsid w:val="00D31DEF"/>
    <w:rsid w:val="00D31E0B"/>
    <w:rsid w:val="00D31E2E"/>
    <w:rsid w:val="00D32120"/>
    <w:rsid w:val="00D322EB"/>
    <w:rsid w:val="00D328CC"/>
    <w:rsid w:val="00D32A9E"/>
    <w:rsid w:val="00D32B95"/>
    <w:rsid w:val="00D32BEA"/>
    <w:rsid w:val="00D32F44"/>
    <w:rsid w:val="00D32FCC"/>
    <w:rsid w:val="00D3385E"/>
    <w:rsid w:val="00D33DD2"/>
    <w:rsid w:val="00D347FC"/>
    <w:rsid w:val="00D34A8F"/>
    <w:rsid w:val="00D34AF7"/>
    <w:rsid w:val="00D34EB5"/>
    <w:rsid w:val="00D354D4"/>
    <w:rsid w:val="00D35B47"/>
    <w:rsid w:val="00D35BF3"/>
    <w:rsid w:val="00D360ED"/>
    <w:rsid w:val="00D36166"/>
    <w:rsid w:val="00D365CA"/>
    <w:rsid w:val="00D367E8"/>
    <w:rsid w:val="00D369A7"/>
    <w:rsid w:val="00D36AD9"/>
    <w:rsid w:val="00D36D0E"/>
    <w:rsid w:val="00D36D21"/>
    <w:rsid w:val="00D36ED6"/>
    <w:rsid w:val="00D37068"/>
    <w:rsid w:val="00D372C0"/>
    <w:rsid w:val="00D377C1"/>
    <w:rsid w:val="00D3787D"/>
    <w:rsid w:val="00D37CAB"/>
    <w:rsid w:val="00D37D3F"/>
    <w:rsid w:val="00D402F0"/>
    <w:rsid w:val="00D40EFC"/>
    <w:rsid w:val="00D40FA5"/>
    <w:rsid w:val="00D4104F"/>
    <w:rsid w:val="00D4160F"/>
    <w:rsid w:val="00D41734"/>
    <w:rsid w:val="00D418B7"/>
    <w:rsid w:val="00D418DF"/>
    <w:rsid w:val="00D41E7F"/>
    <w:rsid w:val="00D41EE9"/>
    <w:rsid w:val="00D41FCD"/>
    <w:rsid w:val="00D4214D"/>
    <w:rsid w:val="00D4258C"/>
    <w:rsid w:val="00D42B71"/>
    <w:rsid w:val="00D430E1"/>
    <w:rsid w:val="00D4324B"/>
    <w:rsid w:val="00D434EA"/>
    <w:rsid w:val="00D4359E"/>
    <w:rsid w:val="00D43805"/>
    <w:rsid w:val="00D439CF"/>
    <w:rsid w:val="00D43B9F"/>
    <w:rsid w:val="00D43E02"/>
    <w:rsid w:val="00D442BF"/>
    <w:rsid w:val="00D44A38"/>
    <w:rsid w:val="00D44B69"/>
    <w:rsid w:val="00D44FBC"/>
    <w:rsid w:val="00D4511B"/>
    <w:rsid w:val="00D4545F"/>
    <w:rsid w:val="00D45787"/>
    <w:rsid w:val="00D45895"/>
    <w:rsid w:val="00D45D09"/>
    <w:rsid w:val="00D46A23"/>
    <w:rsid w:val="00D4732E"/>
    <w:rsid w:val="00D4784C"/>
    <w:rsid w:val="00D479A8"/>
    <w:rsid w:val="00D47A9F"/>
    <w:rsid w:val="00D50115"/>
    <w:rsid w:val="00D501C8"/>
    <w:rsid w:val="00D502B0"/>
    <w:rsid w:val="00D508E2"/>
    <w:rsid w:val="00D50DCF"/>
    <w:rsid w:val="00D50F57"/>
    <w:rsid w:val="00D510A0"/>
    <w:rsid w:val="00D5110E"/>
    <w:rsid w:val="00D511AD"/>
    <w:rsid w:val="00D51458"/>
    <w:rsid w:val="00D5150A"/>
    <w:rsid w:val="00D5159C"/>
    <w:rsid w:val="00D51633"/>
    <w:rsid w:val="00D5178D"/>
    <w:rsid w:val="00D5179A"/>
    <w:rsid w:val="00D517F3"/>
    <w:rsid w:val="00D51BCC"/>
    <w:rsid w:val="00D51BD1"/>
    <w:rsid w:val="00D51C4F"/>
    <w:rsid w:val="00D51DD6"/>
    <w:rsid w:val="00D52010"/>
    <w:rsid w:val="00D520B9"/>
    <w:rsid w:val="00D52367"/>
    <w:rsid w:val="00D524DE"/>
    <w:rsid w:val="00D524EA"/>
    <w:rsid w:val="00D5270F"/>
    <w:rsid w:val="00D528B3"/>
    <w:rsid w:val="00D529E4"/>
    <w:rsid w:val="00D52AF2"/>
    <w:rsid w:val="00D52D72"/>
    <w:rsid w:val="00D52EEF"/>
    <w:rsid w:val="00D52F7F"/>
    <w:rsid w:val="00D53742"/>
    <w:rsid w:val="00D538B9"/>
    <w:rsid w:val="00D53D5B"/>
    <w:rsid w:val="00D53EA1"/>
    <w:rsid w:val="00D5403D"/>
    <w:rsid w:val="00D5422E"/>
    <w:rsid w:val="00D5430C"/>
    <w:rsid w:val="00D54511"/>
    <w:rsid w:val="00D54988"/>
    <w:rsid w:val="00D54AEA"/>
    <w:rsid w:val="00D54CD7"/>
    <w:rsid w:val="00D54D7D"/>
    <w:rsid w:val="00D54E32"/>
    <w:rsid w:val="00D55002"/>
    <w:rsid w:val="00D55149"/>
    <w:rsid w:val="00D552A0"/>
    <w:rsid w:val="00D55330"/>
    <w:rsid w:val="00D55634"/>
    <w:rsid w:val="00D55AC0"/>
    <w:rsid w:val="00D561CC"/>
    <w:rsid w:val="00D562D9"/>
    <w:rsid w:val="00D562E1"/>
    <w:rsid w:val="00D56F46"/>
    <w:rsid w:val="00D56FB2"/>
    <w:rsid w:val="00D57295"/>
    <w:rsid w:val="00D57609"/>
    <w:rsid w:val="00D57978"/>
    <w:rsid w:val="00D60137"/>
    <w:rsid w:val="00D60193"/>
    <w:rsid w:val="00D605B2"/>
    <w:rsid w:val="00D6085E"/>
    <w:rsid w:val="00D60B54"/>
    <w:rsid w:val="00D60C4C"/>
    <w:rsid w:val="00D60DF2"/>
    <w:rsid w:val="00D60E07"/>
    <w:rsid w:val="00D6102F"/>
    <w:rsid w:val="00D614C4"/>
    <w:rsid w:val="00D615FB"/>
    <w:rsid w:val="00D624DF"/>
    <w:rsid w:val="00D6254D"/>
    <w:rsid w:val="00D626CC"/>
    <w:rsid w:val="00D62716"/>
    <w:rsid w:val="00D627B7"/>
    <w:rsid w:val="00D62A25"/>
    <w:rsid w:val="00D6358F"/>
    <w:rsid w:val="00D63809"/>
    <w:rsid w:val="00D63887"/>
    <w:rsid w:val="00D63AA5"/>
    <w:rsid w:val="00D63DA4"/>
    <w:rsid w:val="00D63DA6"/>
    <w:rsid w:val="00D63E80"/>
    <w:rsid w:val="00D64037"/>
    <w:rsid w:val="00D640A1"/>
    <w:rsid w:val="00D64128"/>
    <w:rsid w:val="00D641C3"/>
    <w:rsid w:val="00D6432D"/>
    <w:rsid w:val="00D644BB"/>
    <w:rsid w:val="00D64651"/>
    <w:rsid w:val="00D6486E"/>
    <w:rsid w:val="00D648B7"/>
    <w:rsid w:val="00D648DB"/>
    <w:rsid w:val="00D64C27"/>
    <w:rsid w:val="00D64CF5"/>
    <w:rsid w:val="00D64D0F"/>
    <w:rsid w:val="00D6510B"/>
    <w:rsid w:val="00D6534A"/>
    <w:rsid w:val="00D656A6"/>
    <w:rsid w:val="00D65E9E"/>
    <w:rsid w:val="00D65F48"/>
    <w:rsid w:val="00D66010"/>
    <w:rsid w:val="00D66224"/>
    <w:rsid w:val="00D66294"/>
    <w:rsid w:val="00D66584"/>
    <w:rsid w:val="00D6679E"/>
    <w:rsid w:val="00D66E9D"/>
    <w:rsid w:val="00D674D0"/>
    <w:rsid w:val="00D67510"/>
    <w:rsid w:val="00D67AB2"/>
    <w:rsid w:val="00D7018A"/>
    <w:rsid w:val="00D703E6"/>
    <w:rsid w:val="00D70706"/>
    <w:rsid w:val="00D70737"/>
    <w:rsid w:val="00D70A1A"/>
    <w:rsid w:val="00D7133B"/>
    <w:rsid w:val="00D7146E"/>
    <w:rsid w:val="00D7157C"/>
    <w:rsid w:val="00D7169A"/>
    <w:rsid w:val="00D717F1"/>
    <w:rsid w:val="00D71A8B"/>
    <w:rsid w:val="00D71CF9"/>
    <w:rsid w:val="00D71E09"/>
    <w:rsid w:val="00D71F26"/>
    <w:rsid w:val="00D71F9B"/>
    <w:rsid w:val="00D71FC3"/>
    <w:rsid w:val="00D72321"/>
    <w:rsid w:val="00D724B7"/>
    <w:rsid w:val="00D7250B"/>
    <w:rsid w:val="00D7287A"/>
    <w:rsid w:val="00D72B2A"/>
    <w:rsid w:val="00D72C5A"/>
    <w:rsid w:val="00D72D7B"/>
    <w:rsid w:val="00D737E4"/>
    <w:rsid w:val="00D73FC3"/>
    <w:rsid w:val="00D7400C"/>
    <w:rsid w:val="00D74025"/>
    <w:rsid w:val="00D744B0"/>
    <w:rsid w:val="00D74563"/>
    <w:rsid w:val="00D74798"/>
    <w:rsid w:val="00D747F4"/>
    <w:rsid w:val="00D74A0F"/>
    <w:rsid w:val="00D74CBE"/>
    <w:rsid w:val="00D74EF1"/>
    <w:rsid w:val="00D750EC"/>
    <w:rsid w:val="00D75165"/>
    <w:rsid w:val="00D7516E"/>
    <w:rsid w:val="00D75513"/>
    <w:rsid w:val="00D75ED3"/>
    <w:rsid w:val="00D76173"/>
    <w:rsid w:val="00D7661A"/>
    <w:rsid w:val="00D7663E"/>
    <w:rsid w:val="00D767A8"/>
    <w:rsid w:val="00D7695A"/>
    <w:rsid w:val="00D76BC3"/>
    <w:rsid w:val="00D76C9F"/>
    <w:rsid w:val="00D76CAB"/>
    <w:rsid w:val="00D77032"/>
    <w:rsid w:val="00D770A4"/>
    <w:rsid w:val="00D77139"/>
    <w:rsid w:val="00D771DC"/>
    <w:rsid w:val="00D772B4"/>
    <w:rsid w:val="00D775B5"/>
    <w:rsid w:val="00D77902"/>
    <w:rsid w:val="00D77A5B"/>
    <w:rsid w:val="00D800CC"/>
    <w:rsid w:val="00D8037E"/>
    <w:rsid w:val="00D8038D"/>
    <w:rsid w:val="00D80C5E"/>
    <w:rsid w:val="00D80E26"/>
    <w:rsid w:val="00D80E72"/>
    <w:rsid w:val="00D8138C"/>
    <w:rsid w:val="00D815F6"/>
    <w:rsid w:val="00D81802"/>
    <w:rsid w:val="00D81BEC"/>
    <w:rsid w:val="00D81C3A"/>
    <w:rsid w:val="00D81EF8"/>
    <w:rsid w:val="00D823AB"/>
    <w:rsid w:val="00D8243F"/>
    <w:rsid w:val="00D827D3"/>
    <w:rsid w:val="00D828BB"/>
    <w:rsid w:val="00D82A1B"/>
    <w:rsid w:val="00D82DEF"/>
    <w:rsid w:val="00D830FB"/>
    <w:rsid w:val="00D83696"/>
    <w:rsid w:val="00D83710"/>
    <w:rsid w:val="00D8388E"/>
    <w:rsid w:val="00D839E8"/>
    <w:rsid w:val="00D83EF8"/>
    <w:rsid w:val="00D83FA1"/>
    <w:rsid w:val="00D8406D"/>
    <w:rsid w:val="00D84203"/>
    <w:rsid w:val="00D84252"/>
    <w:rsid w:val="00D843C2"/>
    <w:rsid w:val="00D8442E"/>
    <w:rsid w:val="00D84A7C"/>
    <w:rsid w:val="00D84B89"/>
    <w:rsid w:val="00D850F5"/>
    <w:rsid w:val="00D85162"/>
    <w:rsid w:val="00D85362"/>
    <w:rsid w:val="00D859C2"/>
    <w:rsid w:val="00D85D99"/>
    <w:rsid w:val="00D85F0B"/>
    <w:rsid w:val="00D85FCB"/>
    <w:rsid w:val="00D860AE"/>
    <w:rsid w:val="00D86A9B"/>
    <w:rsid w:val="00D86F2E"/>
    <w:rsid w:val="00D86FD2"/>
    <w:rsid w:val="00D878DA"/>
    <w:rsid w:val="00D87A30"/>
    <w:rsid w:val="00D87B2D"/>
    <w:rsid w:val="00D87B34"/>
    <w:rsid w:val="00D87C89"/>
    <w:rsid w:val="00D87DDC"/>
    <w:rsid w:val="00D87E6D"/>
    <w:rsid w:val="00D87F2A"/>
    <w:rsid w:val="00D900D7"/>
    <w:rsid w:val="00D901FF"/>
    <w:rsid w:val="00D90705"/>
    <w:rsid w:val="00D91076"/>
    <w:rsid w:val="00D913D5"/>
    <w:rsid w:val="00D9171C"/>
    <w:rsid w:val="00D91736"/>
    <w:rsid w:val="00D91B0D"/>
    <w:rsid w:val="00D91C28"/>
    <w:rsid w:val="00D91CBD"/>
    <w:rsid w:val="00D91F2E"/>
    <w:rsid w:val="00D922B5"/>
    <w:rsid w:val="00D92509"/>
    <w:rsid w:val="00D9250B"/>
    <w:rsid w:val="00D925EA"/>
    <w:rsid w:val="00D92B76"/>
    <w:rsid w:val="00D92C78"/>
    <w:rsid w:val="00D92DAD"/>
    <w:rsid w:val="00D92E38"/>
    <w:rsid w:val="00D9389D"/>
    <w:rsid w:val="00D93B4A"/>
    <w:rsid w:val="00D93C4E"/>
    <w:rsid w:val="00D93D47"/>
    <w:rsid w:val="00D94641"/>
    <w:rsid w:val="00D9477A"/>
    <w:rsid w:val="00D950CF"/>
    <w:rsid w:val="00D951EE"/>
    <w:rsid w:val="00D9520E"/>
    <w:rsid w:val="00D95261"/>
    <w:rsid w:val="00D952C0"/>
    <w:rsid w:val="00D9538C"/>
    <w:rsid w:val="00D9577E"/>
    <w:rsid w:val="00D9579D"/>
    <w:rsid w:val="00D95DE0"/>
    <w:rsid w:val="00D960D8"/>
    <w:rsid w:val="00D96982"/>
    <w:rsid w:val="00D96C0E"/>
    <w:rsid w:val="00D97060"/>
    <w:rsid w:val="00D97136"/>
    <w:rsid w:val="00D97365"/>
    <w:rsid w:val="00D973DB"/>
    <w:rsid w:val="00D97701"/>
    <w:rsid w:val="00D97986"/>
    <w:rsid w:val="00D97AA9"/>
    <w:rsid w:val="00D97AF5"/>
    <w:rsid w:val="00D97EAA"/>
    <w:rsid w:val="00D97EE4"/>
    <w:rsid w:val="00DA00F8"/>
    <w:rsid w:val="00DA01FD"/>
    <w:rsid w:val="00DA0556"/>
    <w:rsid w:val="00DA07D0"/>
    <w:rsid w:val="00DA09B5"/>
    <w:rsid w:val="00DA1066"/>
    <w:rsid w:val="00DA1075"/>
    <w:rsid w:val="00DA13FF"/>
    <w:rsid w:val="00DA1559"/>
    <w:rsid w:val="00DA1829"/>
    <w:rsid w:val="00DA1A24"/>
    <w:rsid w:val="00DA2338"/>
    <w:rsid w:val="00DA268F"/>
    <w:rsid w:val="00DA2A31"/>
    <w:rsid w:val="00DA2E34"/>
    <w:rsid w:val="00DA30E2"/>
    <w:rsid w:val="00DA310D"/>
    <w:rsid w:val="00DA36A3"/>
    <w:rsid w:val="00DA372C"/>
    <w:rsid w:val="00DA3C95"/>
    <w:rsid w:val="00DA3F42"/>
    <w:rsid w:val="00DA4287"/>
    <w:rsid w:val="00DA43B1"/>
    <w:rsid w:val="00DA44BB"/>
    <w:rsid w:val="00DA4559"/>
    <w:rsid w:val="00DA4647"/>
    <w:rsid w:val="00DA46B5"/>
    <w:rsid w:val="00DA46F2"/>
    <w:rsid w:val="00DA473B"/>
    <w:rsid w:val="00DA4D1B"/>
    <w:rsid w:val="00DA4DD7"/>
    <w:rsid w:val="00DA50E3"/>
    <w:rsid w:val="00DA58E8"/>
    <w:rsid w:val="00DA5EF0"/>
    <w:rsid w:val="00DA60F5"/>
    <w:rsid w:val="00DA62FC"/>
    <w:rsid w:val="00DA645F"/>
    <w:rsid w:val="00DA651A"/>
    <w:rsid w:val="00DA661C"/>
    <w:rsid w:val="00DA680F"/>
    <w:rsid w:val="00DA681A"/>
    <w:rsid w:val="00DA6A2F"/>
    <w:rsid w:val="00DA6D1B"/>
    <w:rsid w:val="00DA6D54"/>
    <w:rsid w:val="00DA6E84"/>
    <w:rsid w:val="00DA6FF9"/>
    <w:rsid w:val="00DA70CA"/>
    <w:rsid w:val="00DA767F"/>
    <w:rsid w:val="00DA7901"/>
    <w:rsid w:val="00DA7A6F"/>
    <w:rsid w:val="00DA7A9E"/>
    <w:rsid w:val="00DA7B04"/>
    <w:rsid w:val="00DB0193"/>
    <w:rsid w:val="00DB0464"/>
    <w:rsid w:val="00DB0476"/>
    <w:rsid w:val="00DB06C6"/>
    <w:rsid w:val="00DB0A22"/>
    <w:rsid w:val="00DB0B5F"/>
    <w:rsid w:val="00DB0B7B"/>
    <w:rsid w:val="00DB131E"/>
    <w:rsid w:val="00DB1397"/>
    <w:rsid w:val="00DB1410"/>
    <w:rsid w:val="00DB15A6"/>
    <w:rsid w:val="00DB1653"/>
    <w:rsid w:val="00DB1963"/>
    <w:rsid w:val="00DB1BD6"/>
    <w:rsid w:val="00DB2134"/>
    <w:rsid w:val="00DB21D6"/>
    <w:rsid w:val="00DB269C"/>
    <w:rsid w:val="00DB26F0"/>
    <w:rsid w:val="00DB27B5"/>
    <w:rsid w:val="00DB28E4"/>
    <w:rsid w:val="00DB2BEE"/>
    <w:rsid w:val="00DB3029"/>
    <w:rsid w:val="00DB32BE"/>
    <w:rsid w:val="00DB398F"/>
    <w:rsid w:val="00DB3A25"/>
    <w:rsid w:val="00DB3CED"/>
    <w:rsid w:val="00DB3F17"/>
    <w:rsid w:val="00DB4108"/>
    <w:rsid w:val="00DB4388"/>
    <w:rsid w:val="00DB4535"/>
    <w:rsid w:val="00DB4875"/>
    <w:rsid w:val="00DB4B65"/>
    <w:rsid w:val="00DB4F29"/>
    <w:rsid w:val="00DB4F64"/>
    <w:rsid w:val="00DB5297"/>
    <w:rsid w:val="00DB57DD"/>
    <w:rsid w:val="00DB5873"/>
    <w:rsid w:val="00DB5878"/>
    <w:rsid w:val="00DB5886"/>
    <w:rsid w:val="00DB5CFD"/>
    <w:rsid w:val="00DB5F5F"/>
    <w:rsid w:val="00DB613C"/>
    <w:rsid w:val="00DB6352"/>
    <w:rsid w:val="00DB6462"/>
    <w:rsid w:val="00DB65A8"/>
    <w:rsid w:val="00DB65BB"/>
    <w:rsid w:val="00DB65C9"/>
    <w:rsid w:val="00DB717D"/>
    <w:rsid w:val="00DB73BD"/>
    <w:rsid w:val="00DB7422"/>
    <w:rsid w:val="00DB7AC0"/>
    <w:rsid w:val="00DB7BA7"/>
    <w:rsid w:val="00DB7BF7"/>
    <w:rsid w:val="00DB7D17"/>
    <w:rsid w:val="00DB7DA5"/>
    <w:rsid w:val="00DC00DB"/>
    <w:rsid w:val="00DC0286"/>
    <w:rsid w:val="00DC04B4"/>
    <w:rsid w:val="00DC04FF"/>
    <w:rsid w:val="00DC056E"/>
    <w:rsid w:val="00DC05B6"/>
    <w:rsid w:val="00DC08C3"/>
    <w:rsid w:val="00DC0B53"/>
    <w:rsid w:val="00DC0BD8"/>
    <w:rsid w:val="00DC0EC7"/>
    <w:rsid w:val="00DC10A6"/>
    <w:rsid w:val="00DC144D"/>
    <w:rsid w:val="00DC18F7"/>
    <w:rsid w:val="00DC1BCB"/>
    <w:rsid w:val="00DC1E5E"/>
    <w:rsid w:val="00DC1EC9"/>
    <w:rsid w:val="00DC259B"/>
    <w:rsid w:val="00DC2B0A"/>
    <w:rsid w:val="00DC2C23"/>
    <w:rsid w:val="00DC2FD1"/>
    <w:rsid w:val="00DC327F"/>
    <w:rsid w:val="00DC3385"/>
    <w:rsid w:val="00DC3783"/>
    <w:rsid w:val="00DC37CC"/>
    <w:rsid w:val="00DC3C6A"/>
    <w:rsid w:val="00DC3D9B"/>
    <w:rsid w:val="00DC451F"/>
    <w:rsid w:val="00DC4DAE"/>
    <w:rsid w:val="00DC4EFB"/>
    <w:rsid w:val="00DC5326"/>
    <w:rsid w:val="00DC576A"/>
    <w:rsid w:val="00DC5BF3"/>
    <w:rsid w:val="00DC5DA4"/>
    <w:rsid w:val="00DC5E4C"/>
    <w:rsid w:val="00DC5E6B"/>
    <w:rsid w:val="00DC60E8"/>
    <w:rsid w:val="00DC625B"/>
    <w:rsid w:val="00DC62D5"/>
    <w:rsid w:val="00DC63A3"/>
    <w:rsid w:val="00DC64BC"/>
    <w:rsid w:val="00DC64F9"/>
    <w:rsid w:val="00DC6564"/>
    <w:rsid w:val="00DC6737"/>
    <w:rsid w:val="00DC693D"/>
    <w:rsid w:val="00DC7319"/>
    <w:rsid w:val="00DC7C70"/>
    <w:rsid w:val="00DC7D24"/>
    <w:rsid w:val="00DD0287"/>
    <w:rsid w:val="00DD06FF"/>
    <w:rsid w:val="00DD08C8"/>
    <w:rsid w:val="00DD09E7"/>
    <w:rsid w:val="00DD0BAB"/>
    <w:rsid w:val="00DD0F8B"/>
    <w:rsid w:val="00DD1C18"/>
    <w:rsid w:val="00DD1F1F"/>
    <w:rsid w:val="00DD228C"/>
    <w:rsid w:val="00DD2511"/>
    <w:rsid w:val="00DD2B6E"/>
    <w:rsid w:val="00DD3090"/>
    <w:rsid w:val="00DD314D"/>
    <w:rsid w:val="00DD324B"/>
    <w:rsid w:val="00DD37A2"/>
    <w:rsid w:val="00DD37F5"/>
    <w:rsid w:val="00DD380F"/>
    <w:rsid w:val="00DD3E8B"/>
    <w:rsid w:val="00DD3F3F"/>
    <w:rsid w:val="00DD411F"/>
    <w:rsid w:val="00DD4223"/>
    <w:rsid w:val="00DD425F"/>
    <w:rsid w:val="00DD446D"/>
    <w:rsid w:val="00DD4534"/>
    <w:rsid w:val="00DD474B"/>
    <w:rsid w:val="00DD484B"/>
    <w:rsid w:val="00DD4A51"/>
    <w:rsid w:val="00DD4D02"/>
    <w:rsid w:val="00DD4E1B"/>
    <w:rsid w:val="00DD50A5"/>
    <w:rsid w:val="00DD537A"/>
    <w:rsid w:val="00DD5849"/>
    <w:rsid w:val="00DD5F49"/>
    <w:rsid w:val="00DD6272"/>
    <w:rsid w:val="00DD64E0"/>
    <w:rsid w:val="00DD67DA"/>
    <w:rsid w:val="00DD6D24"/>
    <w:rsid w:val="00DD6DE2"/>
    <w:rsid w:val="00DD70F1"/>
    <w:rsid w:val="00DD72D1"/>
    <w:rsid w:val="00DD749E"/>
    <w:rsid w:val="00DD75AB"/>
    <w:rsid w:val="00DD7825"/>
    <w:rsid w:val="00DD78A2"/>
    <w:rsid w:val="00DD78B0"/>
    <w:rsid w:val="00DD797F"/>
    <w:rsid w:val="00DD7A40"/>
    <w:rsid w:val="00DD7CFB"/>
    <w:rsid w:val="00DD7D8E"/>
    <w:rsid w:val="00DD7E46"/>
    <w:rsid w:val="00DE02E8"/>
    <w:rsid w:val="00DE05D2"/>
    <w:rsid w:val="00DE05DD"/>
    <w:rsid w:val="00DE05F3"/>
    <w:rsid w:val="00DE0888"/>
    <w:rsid w:val="00DE0D77"/>
    <w:rsid w:val="00DE0EE0"/>
    <w:rsid w:val="00DE1018"/>
    <w:rsid w:val="00DE10B7"/>
    <w:rsid w:val="00DE12A6"/>
    <w:rsid w:val="00DE138F"/>
    <w:rsid w:val="00DE17C2"/>
    <w:rsid w:val="00DE1DD3"/>
    <w:rsid w:val="00DE1EF7"/>
    <w:rsid w:val="00DE2794"/>
    <w:rsid w:val="00DE2BC6"/>
    <w:rsid w:val="00DE2BD2"/>
    <w:rsid w:val="00DE2BDD"/>
    <w:rsid w:val="00DE3019"/>
    <w:rsid w:val="00DE31F9"/>
    <w:rsid w:val="00DE3297"/>
    <w:rsid w:val="00DE3476"/>
    <w:rsid w:val="00DE38E5"/>
    <w:rsid w:val="00DE3A34"/>
    <w:rsid w:val="00DE3C20"/>
    <w:rsid w:val="00DE3D24"/>
    <w:rsid w:val="00DE4451"/>
    <w:rsid w:val="00DE4CA7"/>
    <w:rsid w:val="00DE503C"/>
    <w:rsid w:val="00DE52B2"/>
    <w:rsid w:val="00DE5367"/>
    <w:rsid w:val="00DE5518"/>
    <w:rsid w:val="00DE5523"/>
    <w:rsid w:val="00DE57F6"/>
    <w:rsid w:val="00DE5A06"/>
    <w:rsid w:val="00DE5BDE"/>
    <w:rsid w:val="00DE5DED"/>
    <w:rsid w:val="00DE5FA3"/>
    <w:rsid w:val="00DE606B"/>
    <w:rsid w:val="00DE631A"/>
    <w:rsid w:val="00DE63DC"/>
    <w:rsid w:val="00DE64B9"/>
    <w:rsid w:val="00DE65A3"/>
    <w:rsid w:val="00DE684B"/>
    <w:rsid w:val="00DE6B3A"/>
    <w:rsid w:val="00DE6F72"/>
    <w:rsid w:val="00DE6F80"/>
    <w:rsid w:val="00DE7088"/>
    <w:rsid w:val="00DE7197"/>
    <w:rsid w:val="00DE72D3"/>
    <w:rsid w:val="00DE7373"/>
    <w:rsid w:val="00DE73DB"/>
    <w:rsid w:val="00DE7641"/>
    <w:rsid w:val="00DE7786"/>
    <w:rsid w:val="00DE7A50"/>
    <w:rsid w:val="00DE7DAA"/>
    <w:rsid w:val="00DE7DBE"/>
    <w:rsid w:val="00DF0144"/>
    <w:rsid w:val="00DF0241"/>
    <w:rsid w:val="00DF06C0"/>
    <w:rsid w:val="00DF06D0"/>
    <w:rsid w:val="00DF093E"/>
    <w:rsid w:val="00DF0F11"/>
    <w:rsid w:val="00DF137E"/>
    <w:rsid w:val="00DF1923"/>
    <w:rsid w:val="00DF1B73"/>
    <w:rsid w:val="00DF1EBF"/>
    <w:rsid w:val="00DF2684"/>
    <w:rsid w:val="00DF28EC"/>
    <w:rsid w:val="00DF299D"/>
    <w:rsid w:val="00DF2AD6"/>
    <w:rsid w:val="00DF31FE"/>
    <w:rsid w:val="00DF3220"/>
    <w:rsid w:val="00DF3364"/>
    <w:rsid w:val="00DF35E7"/>
    <w:rsid w:val="00DF3A45"/>
    <w:rsid w:val="00DF3ABA"/>
    <w:rsid w:val="00DF40EA"/>
    <w:rsid w:val="00DF415D"/>
    <w:rsid w:val="00DF4913"/>
    <w:rsid w:val="00DF4C3E"/>
    <w:rsid w:val="00DF4E22"/>
    <w:rsid w:val="00DF4F60"/>
    <w:rsid w:val="00DF50B7"/>
    <w:rsid w:val="00DF577B"/>
    <w:rsid w:val="00DF5A84"/>
    <w:rsid w:val="00DF5F0C"/>
    <w:rsid w:val="00DF60CC"/>
    <w:rsid w:val="00DF621C"/>
    <w:rsid w:val="00DF632F"/>
    <w:rsid w:val="00DF6748"/>
    <w:rsid w:val="00DF681D"/>
    <w:rsid w:val="00DF68B9"/>
    <w:rsid w:val="00DF6ED9"/>
    <w:rsid w:val="00DF702F"/>
    <w:rsid w:val="00DF70CB"/>
    <w:rsid w:val="00DF7349"/>
    <w:rsid w:val="00DF7851"/>
    <w:rsid w:val="00DF7CE5"/>
    <w:rsid w:val="00DF7F3F"/>
    <w:rsid w:val="00E000B5"/>
    <w:rsid w:val="00E00616"/>
    <w:rsid w:val="00E0065F"/>
    <w:rsid w:val="00E00C75"/>
    <w:rsid w:val="00E00C7D"/>
    <w:rsid w:val="00E00D09"/>
    <w:rsid w:val="00E00F36"/>
    <w:rsid w:val="00E00F4C"/>
    <w:rsid w:val="00E0108D"/>
    <w:rsid w:val="00E01228"/>
    <w:rsid w:val="00E01988"/>
    <w:rsid w:val="00E01B44"/>
    <w:rsid w:val="00E01C8D"/>
    <w:rsid w:val="00E01D1D"/>
    <w:rsid w:val="00E0288B"/>
    <w:rsid w:val="00E02892"/>
    <w:rsid w:val="00E02A35"/>
    <w:rsid w:val="00E02CF0"/>
    <w:rsid w:val="00E02D6B"/>
    <w:rsid w:val="00E0301C"/>
    <w:rsid w:val="00E035D9"/>
    <w:rsid w:val="00E03772"/>
    <w:rsid w:val="00E039EE"/>
    <w:rsid w:val="00E03A03"/>
    <w:rsid w:val="00E03B94"/>
    <w:rsid w:val="00E03E3C"/>
    <w:rsid w:val="00E04381"/>
    <w:rsid w:val="00E043DA"/>
    <w:rsid w:val="00E04624"/>
    <w:rsid w:val="00E04DA5"/>
    <w:rsid w:val="00E051E3"/>
    <w:rsid w:val="00E054BE"/>
    <w:rsid w:val="00E0605F"/>
    <w:rsid w:val="00E060DE"/>
    <w:rsid w:val="00E0611F"/>
    <w:rsid w:val="00E0624E"/>
    <w:rsid w:val="00E06588"/>
    <w:rsid w:val="00E06589"/>
    <w:rsid w:val="00E0671F"/>
    <w:rsid w:val="00E06F00"/>
    <w:rsid w:val="00E0713A"/>
    <w:rsid w:val="00E072EF"/>
    <w:rsid w:val="00E07477"/>
    <w:rsid w:val="00E07842"/>
    <w:rsid w:val="00E07D83"/>
    <w:rsid w:val="00E07FC4"/>
    <w:rsid w:val="00E10095"/>
    <w:rsid w:val="00E10249"/>
    <w:rsid w:val="00E1024D"/>
    <w:rsid w:val="00E1050B"/>
    <w:rsid w:val="00E107C8"/>
    <w:rsid w:val="00E107D1"/>
    <w:rsid w:val="00E108A7"/>
    <w:rsid w:val="00E10E7B"/>
    <w:rsid w:val="00E11059"/>
    <w:rsid w:val="00E110A1"/>
    <w:rsid w:val="00E11127"/>
    <w:rsid w:val="00E11189"/>
    <w:rsid w:val="00E1138B"/>
    <w:rsid w:val="00E114BD"/>
    <w:rsid w:val="00E1155F"/>
    <w:rsid w:val="00E1177B"/>
    <w:rsid w:val="00E11AED"/>
    <w:rsid w:val="00E11DB4"/>
    <w:rsid w:val="00E12360"/>
    <w:rsid w:val="00E123E8"/>
    <w:rsid w:val="00E12446"/>
    <w:rsid w:val="00E12905"/>
    <w:rsid w:val="00E12C7A"/>
    <w:rsid w:val="00E12E14"/>
    <w:rsid w:val="00E136E3"/>
    <w:rsid w:val="00E137FE"/>
    <w:rsid w:val="00E13BD9"/>
    <w:rsid w:val="00E14040"/>
    <w:rsid w:val="00E14815"/>
    <w:rsid w:val="00E14F94"/>
    <w:rsid w:val="00E151BD"/>
    <w:rsid w:val="00E152A8"/>
    <w:rsid w:val="00E15410"/>
    <w:rsid w:val="00E15469"/>
    <w:rsid w:val="00E158C0"/>
    <w:rsid w:val="00E15B0D"/>
    <w:rsid w:val="00E15DF1"/>
    <w:rsid w:val="00E15E7C"/>
    <w:rsid w:val="00E15EFC"/>
    <w:rsid w:val="00E16571"/>
    <w:rsid w:val="00E1668C"/>
    <w:rsid w:val="00E16A41"/>
    <w:rsid w:val="00E16AC6"/>
    <w:rsid w:val="00E16C69"/>
    <w:rsid w:val="00E16D9C"/>
    <w:rsid w:val="00E173FD"/>
    <w:rsid w:val="00E17632"/>
    <w:rsid w:val="00E17A66"/>
    <w:rsid w:val="00E17C18"/>
    <w:rsid w:val="00E200FD"/>
    <w:rsid w:val="00E20240"/>
    <w:rsid w:val="00E208A8"/>
    <w:rsid w:val="00E20CF0"/>
    <w:rsid w:val="00E20FA8"/>
    <w:rsid w:val="00E212F6"/>
    <w:rsid w:val="00E214FA"/>
    <w:rsid w:val="00E21A9D"/>
    <w:rsid w:val="00E21EFE"/>
    <w:rsid w:val="00E220B4"/>
    <w:rsid w:val="00E223E7"/>
    <w:rsid w:val="00E22496"/>
    <w:rsid w:val="00E22805"/>
    <w:rsid w:val="00E228DA"/>
    <w:rsid w:val="00E22A0F"/>
    <w:rsid w:val="00E22E64"/>
    <w:rsid w:val="00E22E97"/>
    <w:rsid w:val="00E22EE8"/>
    <w:rsid w:val="00E23017"/>
    <w:rsid w:val="00E230B4"/>
    <w:rsid w:val="00E233F7"/>
    <w:rsid w:val="00E2371B"/>
    <w:rsid w:val="00E23724"/>
    <w:rsid w:val="00E2397A"/>
    <w:rsid w:val="00E2399E"/>
    <w:rsid w:val="00E23B68"/>
    <w:rsid w:val="00E23CC6"/>
    <w:rsid w:val="00E247DC"/>
    <w:rsid w:val="00E24938"/>
    <w:rsid w:val="00E24BB9"/>
    <w:rsid w:val="00E24D47"/>
    <w:rsid w:val="00E2500A"/>
    <w:rsid w:val="00E253EF"/>
    <w:rsid w:val="00E25417"/>
    <w:rsid w:val="00E2542E"/>
    <w:rsid w:val="00E25649"/>
    <w:rsid w:val="00E258C8"/>
    <w:rsid w:val="00E259A9"/>
    <w:rsid w:val="00E25AEB"/>
    <w:rsid w:val="00E262C7"/>
    <w:rsid w:val="00E2652C"/>
    <w:rsid w:val="00E26577"/>
    <w:rsid w:val="00E2660C"/>
    <w:rsid w:val="00E26C9A"/>
    <w:rsid w:val="00E26E58"/>
    <w:rsid w:val="00E26ED2"/>
    <w:rsid w:val="00E27348"/>
    <w:rsid w:val="00E2734B"/>
    <w:rsid w:val="00E27550"/>
    <w:rsid w:val="00E276BA"/>
    <w:rsid w:val="00E27737"/>
    <w:rsid w:val="00E27775"/>
    <w:rsid w:val="00E27A55"/>
    <w:rsid w:val="00E27A88"/>
    <w:rsid w:val="00E27AD4"/>
    <w:rsid w:val="00E27AFF"/>
    <w:rsid w:val="00E301C9"/>
    <w:rsid w:val="00E3026A"/>
    <w:rsid w:val="00E305EE"/>
    <w:rsid w:val="00E30622"/>
    <w:rsid w:val="00E3064E"/>
    <w:rsid w:val="00E30C6C"/>
    <w:rsid w:val="00E311D2"/>
    <w:rsid w:val="00E313E0"/>
    <w:rsid w:val="00E3160A"/>
    <w:rsid w:val="00E316AB"/>
    <w:rsid w:val="00E316F7"/>
    <w:rsid w:val="00E318F8"/>
    <w:rsid w:val="00E319E9"/>
    <w:rsid w:val="00E31A08"/>
    <w:rsid w:val="00E31B73"/>
    <w:rsid w:val="00E31BA2"/>
    <w:rsid w:val="00E31C5D"/>
    <w:rsid w:val="00E31CA2"/>
    <w:rsid w:val="00E321C5"/>
    <w:rsid w:val="00E32222"/>
    <w:rsid w:val="00E3251A"/>
    <w:rsid w:val="00E32C56"/>
    <w:rsid w:val="00E32DB8"/>
    <w:rsid w:val="00E32ED0"/>
    <w:rsid w:val="00E331B5"/>
    <w:rsid w:val="00E33273"/>
    <w:rsid w:val="00E335D1"/>
    <w:rsid w:val="00E33758"/>
    <w:rsid w:val="00E33866"/>
    <w:rsid w:val="00E339CB"/>
    <w:rsid w:val="00E33BEB"/>
    <w:rsid w:val="00E33C88"/>
    <w:rsid w:val="00E33D5D"/>
    <w:rsid w:val="00E33E65"/>
    <w:rsid w:val="00E3420D"/>
    <w:rsid w:val="00E3442B"/>
    <w:rsid w:val="00E344B6"/>
    <w:rsid w:val="00E345E9"/>
    <w:rsid w:val="00E346D2"/>
    <w:rsid w:val="00E34A1B"/>
    <w:rsid w:val="00E34A8D"/>
    <w:rsid w:val="00E34AB7"/>
    <w:rsid w:val="00E34C31"/>
    <w:rsid w:val="00E34EFD"/>
    <w:rsid w:val="00E354A4"/>
    <w:rsid w:val="00E35677"/>
    <w:rsid w:val="00E35703"/>
    <w:rsid w:val="00E35837"/>
    <w:rsid w:val="00E35DFE"/>
    <w:rsid w:val="00E35FEA"/>
    <w:rsid w:val="00E362D6"/>
    <w:rsid w:val="00E36555"/>
    <w:rsid w:val="00E366A0"/>
    <w:rsid w:val="00E366B1"/>
    <w:rsid w:val="00E368F8"/>
    <w:rsid w:val="00E36953"/>
    <w:rsid w:val="00E36B1E"/>
    <w:rsid w:val="00E3734D"/>
    <w:rsid w:val="00E37857"/>
    <w:rsid w:val="00E37FDE"/>
    <w:rsid w:val="00E3D857"/>
    <w:rsid w:val="00E4017B"/>
    <w:rsid w:val="00E4041A"/>
    <w:rsid w:val="00E404D2"/>
    <w:rsid w:val="00E40579"/>
    <w:rsid w:val="00E408A5"/>
    <w:rsid w:val="00E40CEB"/>
    <w:rsid w:val="00E40F82"/>
    <w:rsid w:val="00E41370"/>
    <w:rsid w:val="00E4148A"/>
    <w:rsid w:val="00E41924"/>
    <w:rsid w:val="00E41B85"/>
    <w:rsid w:val="00E41CB7"/>
    <w:rsid w:val="00E41D00"/>
    <w:rsid w:val="00E4235C"/>
    <w:rsid w:val="00E42414"/>
    <w:rsid w:val="00E42641"/>
    <w:rsid w:val="00E42736"/>
    <w:rsid w:val="00E42B72"/>
    <w:rsid w:val="00E42BF6"/>
    <w:rsid w:val="00E42D1C"/>
    <w:rsid w:val="00E43184"/>
    <w:rsid w:val="00E43226"/>
    <w:rsid w:val="00E43F3B"/>
    <w:rsid w:val="00E4405C"/>
    <w:rsid w:val="00E442B9"/>
    <w:rsid w:val="00E444A1"/>
    <w:rsid w:val="00E444B6"/>
    <w:rsid w:val="00E44724"/>
    <w:rsid w:val="00E44AD6"/>
    <w:rsid w:val="00E44E61"/>
    <w:rsid w:val="00E4585E"/>
    <w:rsid w:val="00E45988"/>
    <w:rsid w:val="00E45F90"/>
    <w:rsid w:val="00E4610E"/>
    <w:rsid w:val="00E46678"/>
    <w:rsid w:val="00E46A9E"/>
    <w:rsid w:val="00E46CD5"/>
    <w:rsid w:val="00E47128"/>
    <w:rsid w:val="00E47713"/>
    <w:rsid w:val="00E47F9A"/>
    <w:rsid w:val="00E50096"/>
    <w:rsid w:val="00E500B7"/>
    <w:rsid w:val="00E50288"/>
    <w:rsid w:val="00E503EA"/>
    <w:rsid w:val="00E505BC"/>
    <w:rsid w:val="00E508D7"/>
    <w:rsid w:val="00E50CA3"/>
    <w:rsid w:val="00E51379"/>
    <w:rsid w:val="00E518D7"/>
    <w:rsid w:val="00E519B4"/>
    <w:rsid w:val="00E51A31"/>
    <w:rsid w:val="00E51DE6"/>
    <w:rsid w:val="00E51DF4"/>
    <w:rsid w:val="00E51EAE"/>
    <w:rsid w:val="00E52143"/>
    <w:rsid w:val="00E5257B"/>
    <w:rsid w:val="00E525BB"/>
    <w:rsid w:val="00E527C3"/>
    <w:rsid w:val="00E52B9D"/>
    <w:rsid w:val="00E52D70"/>
    <w:rsid w:val="00E52E27"/>
    <w:rsid w:val="00E52E51"/>
    <w:rsid w:val="00E531D2"/>
    <w:rsid w:val="00E53353"/>
    <w:rsid w:val="00E5337A"/>
    <w:rsid w:val="00E53691"/>
    <w:rsid w:val="00E537D6"/>
    <w:rsid w:val="00E5385D"/>
    <w:rsid w:val="00E53A4D"/>
    <w:rsid w:val="00E5403B"/>
    <w:rsid w:val="00E5426F"/>
    <w:rsid w:val="00E543F8"/>
    <w:rsid w:val="00E5445F"/>
    <w:rsid w:val="00E544B8"/>
    <w:rsid w:val="00E5453F"/>
    <w:rsid w:val="00E5485A"/>
    <w:rsid w:val="00E54A3E"/>
    <w:rsid w:val="00E54E29"/>
    <w:rsid w:val="00E553A1"/>
    <w:rsid w:val="00E55964"/>
    <w:rsid w:val="00E55D3F"/>
    <w:rsid w:val="00E55D5C"/>
    <w:rsid w:val="00E563AF"/>
    <w:rsid w:val="00E56702"/>
    <w:rsid w:val="00E569F7"/>
    <w:rsid w:val="00E56D5C"/>
    <w:rsid w:val="00E57171"/>
    <w:rsid w:val="00E572B2"/>
    <w:rsid w:val="00E57583"/>
    <w:rsid w:val="00E57611"/>
    <w:rsid w:val="00E57840"/>
    <w:rsid w:val="00E60301"/>
    <w:rsid w:val="00E6057F"/>
    <w:rsid w:val="00E6059B"/>
    <w:rsid w:val="00E607D7"/>
    <w:rsid w:val="00E608E7"/>
    <w:rsid w:val="00E60942"/>
    <w:rsid w:val="00E60A4F"/>
    <w:rsid w:val="00E60C35"/>
    <w:rsid w:val="00E60F57"/>
    <w:rsid w:val="00E61115"/>
    <w:rsid w:val="00E61273"/>
    <w:rsid w:val="00E61283"/>
    <w:rsid w:val="00E613AB"/>
    <w:rsid w:val="00E61689"/>
    <w:rsid w:val="00E6195A"/>
    <w:rsid w:val="00E61A0A"/>
    <w:rsid w:val="00E61AF9"/>
    <w:rsid w:val="00E61BED"/>
    <w:rsid w:val="00E61C25"/>
    <w:rsid w:val="00E621E6"/>
    <w:rsid w:val="00E6224A"/>
    <w:rsid w:val="00E62364"/>
    <w:rsid w:val="00E623F7"/>
    <w:rsid w:val="00E625E9"/>
    <w:rsid w:val="00E628F5"/>
    <w:rsid w:val="00E62CCC"/>
    <w:rsid w:val="00E6364E"/>
    <w:rsid w:val="00E63779"/>
    <w:rsid w:val="00E640B1"/>
    <w:rsid w:val="00E6453A"/>
    <w:rsid w:val="00E645B7"/>
    <w:rsid w:val="00E64A7F"/>
    <w:rsid w:val="00E64A9C"/>
    <w:rsid w:val="00E64B30"/>
    <w:rsid w:val="00E64D1D"/>
    <w:rsid w:val="00E65108"/>
    <w:rsid w:val="00E6521C"/>
    <w:rsid w:val="00E652B7"/>
    <w:rsid w:val="00E6557F"/>
    <w:rsid w:val="00E65694"/>
    <w:rsid w:val="00E65C31"/>
    <w:rsid w:val="00E66098"/>
    <w:rsid w:val="00E66224"/>
    <w:rsid w:val="00E66340"/>
    <w:rsid w:val="00E664D4"/>
    <w:rsid w:val="00E66B41"/>
    <w:rsid w:val="00E66C61"/>
    <w:rsid w:val="00E66FFB"/>
    <w:rsid w:val="00E67811"/>
    <w:rsid w:val="00E67C52"/>
    <w:rsid w:val="00E70180"/>
    <w:rsid w:val="00E7048E"/>
    <w:rsid w:val="00E704C7"/>
    <w:rsid w:val="00E70990"/>
    <w:rsid w:val="00E70B58"/>
    <w:rsid w:val="00E71377"/>
    <w:rsid w:val="00E71A7D"/>
    <w:rsid w:val="00E71A89"/>
    <w:rsid w:val="00E71B28"/>
    <w:rsid w:val="00E71F0A"/>
    <w:rsid w:val="00E72294"/>
    <w:rsid w:val="00E72564"/>
    <w:rsid w:val="00E72667"/>
    <w:rsid w:val="00E72A5D"/>
    <w:rsid w:val="00E72BA8"/>
    <w:rsid w:val="00E72C7F"/>
    <w:rsid w:val="00E72F34"/>
    <w:rsid w:val="00E73015"/>
    <w:rsid w:val="00E73201"/>
    <w:rsid w:val="00E73B0B"/>
    <w:rsid w:val="00E73E20"/>
    <w:rsid w:val="00E73E24"/>
    <w:rsid w:val="00E73E4F"/>
    <w:rsid w:val="00E7439F"/>
    <w:rsid w:val="00E7497B"/>
    <w:rsid w:val="00E74CCC"/>
    <w:rsid w:val="00E74DD1"/>
    <w:rsid w:val="00E74F32"/>
    <w:rsid w:val="00E7525A"/>
    <w:rsid w:val="00E75314"/>
    <w:rsid w:val="00E7551F"/>
    <w:rsid w:val="00E75696"/>
    <w:rsid w:val="00E761F3"/>
    <w:rsid w:val="00E76242"/>
    <w:rsid w:val="00E765A1"/>
    <w:rsid w:val="00E7663E"/>
    <w:rsid w:val="00E7692D"/>
    <w:rsid w:val="00E76B5A"/>
    <w:rsid w:val="00E76B61"/>
    <w:rsid w:val="00E76CE2"/>
    <w:rsid w:val="00E76F2E"/>
    <w:rsid w:val="00E774DC"/>
    <w:rsid w:val="00E7751B"/>
    <w:rsid w:val="00E77636"/>
    <w:rsid w:val="00E776C4"/>
    <w:rsid w:val="00E777F1"/>
    <w:rsid w:val="00E77934"/>
    <w:rsid w:val="00E77962"/>
    <w:rsid w:val="00E77AC3"/>
    <w:rsid w:val="00E77D46"/>
    <w:rsid w:val="00E77D6D"/>
    <w:rsid w:val="00E806A9"/>
    <w:rsid w:val="00E80861"/>
    <w:rsid w:val="00E80C69"/>
    <w:rsid w:val="00E80D1C"/>
    <w:rsid w:val="00E810F6"/>
    <w:rsid w:val="00E811F3"/>
    <w:rsid w:val="00E8149D"/>
    <w:rsid w:val="00E81559"/>
    <w:rsid w:val="00E81C5C"/>
    <w:rsid w:val="00E81DCC"/>
    <w:rsid w:val="00E81E17"/>
    <w:rsid w:val="00E81E2B"/>
    <w:rsid w:val="00E82095"/>
    <w:rsid w:val="00E82136"/>
    <w:rsid w:val="00E8224E"/>
    <w:rsid w:val="00E8247B"/>
    <w:rsid w:val="00E8267C"/>
    <w:rsid w:val="00E82680"/>
    <w:rsid w:val="00E827A4"/>
    <w:rsid w:val="00E827C0"/>
    <w:rsid w:val="00E82805"/>
    <w:rsid w:val="00E82A79"/>
    <w:rsid w:val="00E82C2E"/>
    <w:rsid w:val="00E82FE2"/>
    <w:rsid w:val="00E832E6"/>
    <w:rsid w:val="00E83510"/>
    <w:rsid w:val="00E83AAD"/>
    <w:rsid w:val="00E8405A"/>
    <w:rsid w:val="00E840A5"/>
    <w:rsid w:val="00E843E3"/>
    <w:rsid w:val="00E84507"/>
    <w:rsid w:val="00E84718"/>
    <w:rsid w:val="00E84736"/>
    <w:rsid w:val="00E8489F"/>
    <w:rsid w:val="00E84A44"/>
    <w:rsid w:val="00E84D0C"/>
    <w:rsid w:val="00E84DEF"/>
    <w:rsid w:val="00E8527F"/>
    <w:rsid w:val="00E852D5"/>
    <w:rsid w:val="00E858A9"/>
    <w:rsid w:val="00E85B11"/>
    <w:rsid w:val="00E85F7E"/>
    <w:rsid w:val="00E85FEA"/>
    <w:rsid w:val="00E86908"/>
    <w:rsid w:val="00E86CAC"/>
    <w:rsid w:val="00E86CDC"/>
    <w:rsid w:val="00E86DFE"/>
    <w:rsid w:val="00E872D9"/>
    <w:rsid w:val="00E87729"/>
    <w:rsid w:val="00E877F1"/>
    <w:rsid w:val="00E87885"/>
    <w:rsid w:val="00E8789A"/>
    <w:rsid w:val="00E878A1"/>
    <w:rsid w:val="00E87ED0"/>
    <w:rsid w:val="00E87F4D"/>
    <w:rsid w:val="00E900C3"/>
    <w:rsid w:val="00E9045A"/>
    <w:rsid w:val="00E90B60"/>
    <w:rsid w:val="00E90BD7"/>
    <w:rsid w:val="00E913EE"/>
    <w:rsid w:val="00E91E08"/>
    <w:rsid w:val="00E92084"/>
    <w:rsid w:val="00E922BB"/>
    <w:rsid w:val="00E927A8"/>
    <w:rsid w:val="00E92EB2"/>
    <w:rsid w:val="00E92F11"/>
    <w:rsid w:val="00E93164"/>
    <w:rsid w:val="00E935F9"/>
    <w:rsid w:val="00E93F73"/>
    <w:rsid w:val="00E9464D"/>
    <w:rsid w:val="00E94C0C"/>
    <w:rsid w:val="00E94CBF"/>
    <w:rsid w:val="00E94F0F"/>
    <w:rsid w:val="00E94F20"/>
    <w:rsid w:val="00E9504B"/>
    <w:rsid w:val="00E95073"/>
    <w:rsid w:val="00E95156"/>
    <w:rsid w:val="00E9522A"/>
    <w:rsid w:val="00E957E3"/>
    <w:rsid w:val="00E9592B"/>
    <w:rsid w:val="00E95A43"/>
    <w:rsid w:val="00E95CE3"/>
    <w:rsid w:val="00E95EBA"/>
    <w:rsid w:val="00E9608A"/>
    <w:rsid w:val="00E96215"/>
    <w:rsid w:val="00E96555"/>
    <w:rsid w:val="00E9669C"/>
    <w:rsid w:val="00E9676D"/>
    <w:rsid w:val="00E9684A"/>
    <w:rsid w:val="00E96E67"/>
    <w:rsid w:val="00E974C7"/>
    <w:rsid w:val="00E9761B"/>
    <w:rsid w:val="00E97831"/>
    <w:rsid w:val="00E97B8A"/>
    <w:rsid w:val="00EA0141"/>
    <w:rsid w:val="00EA021F"/>
    <w:rsid w:val="00EA0674"/>
    <w:rsid w:val="00EA079B"/>
    <w:rsid w:val="00EA097C"/>
    <w:rsid w:val="00EA0A05"/>
    <w:rsid w:val="00EA0A9E"/>
    <w:rsid w:val="00EA0FB3"/>
    <w:rsid w:val="00EA1013"/>
    <w:rsid w:val="00EA1121"/>
    <w:rsid w:val="00EA1325"/>
    <w:rsid w:val="00EA140C"/>
    <w:rsid w:val="00EA1702"/>
    <w:rsid w:val="00EA1A24"/>
    <w:rsid w:val="00EA1B63"/>
    <w:rsid w:val="00EA21E1"/>
    <w:rsid w:val="00EA24B7"/>
    <w:rsid w:val="00EA2822"/>
    <w:rsid w:val="00EA343F"/>
    <w:rsid w:val="00EA38F9"/>
    <w:rsid w:val="00EA39D9"/>
    <w:rsid w:val="00EA39E6"/>
    <w:rsid w:val="00EA3CCA"/>
    <w:rsid w:val="00EA40F2"/>
    <w:rsid w:val="00EA4317"/>
    <w:rsid w:val="00EA4606"/>
    <w:rsid w:val="00EA46B3"/>
    <w:rsid w:val="00EA47F6"/>
    <w:rsid w:val="00EA4C83"/>
    <w:rsid w:val="00EA4FDA"/>
    <w:rsid w:val="00EA56AE"/>
    <w:rsid w:val="00EA57C7"/>
    <w:rsid w:val="00EA5B27"/>
    <w:rsid w:val="00EA5BB6"/>
    <w:rsid w:val="00EA653D"/>
    <w:rsid w:val="00EA6692"/>
    <w:rsid w:val="00EA68C9"/>
    <w:rsid w:val="00EA6991"/>
    <w:rsid w:val="00EA6A20"/>
    <w:rsid w:val="00EA6C7E"/>
    <w:rsid w:val="00EA76AA"/>
    <w:rsid w:val="00EA7908"/>
    <w:rsid w:val="00EA7CD6"/>
    <w:rsid w:val="00EB0240"/>
    <w:rsid w:val="00EB0506"/>
    <w:rsid w:val="00EB08F2"/>
    <w:rsid w:val="00EB1049"/>
    <w:rsid w:val="00EB105E"/>
    <w:rsid w:val="00EB13FA"/>
    <w:rsid w:val="00EB16A5"/>
    <w:rsid w:val="00EB1AFB"/>
    <w:rsid w:val="00EB1DC7"/>
    <w:rsid w:val="00EB1FD4"/>
    <w:rsid w:val="00EB20EC"/>
    <w:rsid w:val="00EB21E4"/>
    <w:rsid w:val="00EB2884"/>
    <w:rsid w:val="00EB2902"/>
    <w:rsid w:val="00EB2EF0"/>
    <w:rsid w:val="00EB30BC"/>
    <w:rsid w:val="00EB333E"/>
    <w:rsid w:val="00EB35BA"/>
    <w:rsid w:val="00EB35E7"/>
    <w:rsid w:val="00EB3CAF"/>
    <w:rsid w:val="00EB408C"/>
    <w:rsid w:val="00EB466B"/>
    <w:rsid w:val="00EB4684"/>
    <w:rsid w:val="00EB48BA"/>
    <w:rsid w:val="00EB4909"/>
    <w:rsid w:val="00EB4935"/>
    <w:rsid w:val="00EB49AA"/>
    <w:rsid w:val="00EB4D96"/>
    <w:rsid w:val="00EB5084"/>
    <w:rsid w:val="00EB51D5"/>
    <w:rsid w:val="00EB52BC"/>
    <w:rsid w:val="00EB52F7"/>
    <w:rsid w:val="00EB554B"/>
    <w:rsid w:val="00EB56BD"/>
    <w:rsid w:val="00EB59DD"/>
    <w:rsid w:val="00EB59E2"/>
    <w:rsid w:val="00EB5AA2"/>
    <w:rsid w:val="00EB5D2F"/>
    <w:rsid w:val="00EB6454"/>
    <w:rsid w:val="00EB656A"/>
    <w:rsid w:val="00EB6601"/>
    <w:rsid w:val="00EB6896"/>
    <w:rsid w:val="00EB6D11"/>
    <w:rsid w:val="00EB6E5D"/>
    <w:rsid w:val="00EB6ED6"/>
    <w:rsid w:val="00EB70A7"/>
    <w:rsid w:val="00EB7360"/>
    <w:rsid w:val="00EB75C9"/>
    <w:rsid w:val="00EB799F"/>
    <w:rsid w:val="00EB7A03"/>
    <w:rsid w:val="00EC004F"/>
    <w:rsid w:val="00EC019E"/>
    <w:rsid w:val="00EC028E"/>
    <w:rsid w:val="00EC04D9"/>
    <w:rsid w:val="00EC04F4"/>
    <w:rsid w:val="00EC0D6B"/>
    <w:rsid w:val="00EC122D"/>
    <w:rsid w:val="00EC1BD8"/>
    <w:rsid w:val="00EC1C4A"/>
    <w:rsid w:val="00EC1E06"/>
    <w:rsid w:val="00EC231A"/>
    <w:rsid w:val="00EC2587"/>
    <w:rsid w:val="00EC27A5"/>
    <w:rsid w:val="00EC27BB"/>
    <w:rsid w:val="00EC27F9"/>
    <w:rsid w:val="00EC2AED"/>
    <w:rsid w:val="00EC3078"/>
    <w:rsid w:val="00EC31C5"/>
    <w:rsid w:val="00EC31DE"/>
    <w:rsid w:val="00EC3237"/>
    <w:rsid w:val="00EC3C69"/>
    <w:rsid w:val="00EC445B"/>
    <w:rsid w:val="00EC47D2"/>
    <w:rsid w:val="00EC4968"/>
    <w:rsid w:val="00EC4C73"/>
    <w:rsid w:val="00EC4E23"/>
    <w:rsid w:val="00EC4EF8"/>
    <w:rsid w:val="00EC4FE5"/>
    <w:rsid w:val="00EC5900"/>
    <w:rsid w:val="00EC5CDA"/>
    <w:rsid w:val="00EC5E34"/>
    <w:rsid w:val="00EC5F57"/>
    <w:rsid w:val="00EC5FAE"/>
    <w:rsid w:val="00EC654F"/>
    <w:rsid w:val="00EC65A5"/>
    <w:rsid w:val="00EC66FA"/>
    <w:rsid w:val="00EC6725"/>
    <w:rsid w:val="00EC68F2"/>
    <w:rsid w:val="00EC69B3"/>
    <w:rsid w:val="00EC6A99"/>
    <w:rsid w:val="00EC6AAD"/>
    <w:rsid w:val="00EC6B87"/>
    <w:rsid w:val="00EC6E32"/>
    <w:rsid w:val="00EC6EE6"/>
    <w:rsid w:val="00EC72D8"/>
    <w:rsid w:val="00EC7384"/>
    <w:rsid w:val="00EC76BE"/>
    <w:rsid w:val="00EC7759"/>
    <w:rsid w:val="00EC7787"/>
    <w:rsid w:val="00EC7944"/>
    <w:rsid w:val="00EC7D82"/>
    <w:rsid w:val="00EC7EB6"/>
    <w:rsid w:val="00ED019C"/>
    <w:rsid w:val="00ED080E"/>
    <w:rsid w:val="00ED0DF7"/>
    <w:rsid w:val="00ED10AD"/>
    <w:rsid w:val="00ED141F"/>
    <w:rsid w:val="00ED17FC"/>
    <w:rsid w:val="00ED180C"/>
    <w:rsid w:val="00ED194C"/>
    <w:rsid w:val="00ED1FCE"/>
    <w:rsid w:val="00ED209D"/>
    <w:rsid w:val="00ED2B19"/>
    <w:rsid w:val="00ED2DAD"/>
    <w:rsid w:val="00ED2ED2"/>
    <w:rsid w:val="00ED2F80"/>
    <w:rsid w:val="00ED32BD"/>
    <w:rsid w:val="00ED36E1"/>
    <w:rsid w:val="00ED3C32"/>
    <w:rsid w:val="00ED4058"/>
    <w:rsid w:val="00ED4278"/>
    <w:rsid w:val="00ED4539"/>
    <w:rsid w:val="00ED4841"/>
    <w:rsid w:val="00ED49D5"/>
    <w:rsid w:val="00ED4CA7"/>
    <w:rsid w:val="00ED4CF7"/>
    <w:rsid w:val="00ED4F48"/>
    <w:rsid w:val="00ED517C"/>
    <w:rsid w:val="00ED5436"/>
    <w:rsid w:val="00ED5506"/>
    <w:rsid w:val="00ED55D6"/>
    <w:rsid w:val="00ED57FC"/>
    <w:rsid w:val="00ED5C65"/>
    <w:rsid w:val="00ED5E32"/>
    <w:rsid w:val="00ED5F13"/>
    <w:rsid w:val="00ED60B4"/>
    <w:rsid w:val="00ED6374"/>
    <w:rsid w:val="00ED6D6C"/>
    <w:rsid w:val="00ED6F94"/>
    <w:rsid w:val="00ED70A5"/>
    <w:rsid w:val="00ED710B"/>
    <w:rsid w:val="00ED7113"/>
    <w:rsid w:val="00ED7B8F"/>
    <w:rsid w:val="00EE011B"/>
    <w:rsid w:val="00EE0183"/>
    <w:rsid w:val="00EE0335"/>
    <w:rsid w:val="00EE04BD"/>
    <w:rsid w:val="00EE0771"/>
    <w:rsid w:val="00EE0805"/>
    <w:rsid w:val="00EE0B1C"/>
    <w:rsid w:val="00EE0BAE"/>
    <w:rsid w:val="00EE0BB3"/>
    <w:rsid w:val="00EE0C0D"/>
    <w:rsid w:val="00EE0E0A"/>
    <w:rsid w:val="00EE11FC"/>
    <w:rsid w:val="00EE1325"/>
    <w:rsid w:val="00EE1381"/>
    <w:rsid w:val="00EE1581"/>
    <w:rsid w:val="00EE1A37"/>
    <w:rsid w:val="00EE1E93"/>
    <w:rsid w:val="00EE1EEF"/>
    <w:rsid w:val="00EE1FA3"/>
    <w:rsid w:val="00EE21A0"/>
    <w:rsid w:val="00EE23B2"/>
    <w:rsid w:val="00EE2575"/>
    <w:rsid w:val="00EE274E"/>
    <w:rsid w:val="00EE28B2"/>
    <w:rsid w:val="00EE29BE"/>
    <w:rsid w:val="00EE2C8E"/>
    <w:rsid w:val="00EE2F4D"/>
    <w:rsid w:val="00EE3544"/>
    <w:rsid w:val="00EE36C8"/>
    <w:rsid w:val="00EE392A"/>
    <w:rsid w:val="00EE3D1A"/>
    <w:rsid w:val="00EE3D5F"/>
    <w:rsid w:val="00EE3E33"/>
    <w:rsid w:val="00EE3FBA"/>
    <w:rsid w:val="00EE41C1"/>
    <w:rsid w:val="00EE483C"/>
    <w:rsid w:val="00EE4978"/>
    <w:rsid w:val="00EE4A68"/>
    <w:rsid w:val="00EE4C27"/>
    <w:rsid w:val="00EE4C90"/>
    <w:rsid w:val="00EE4D3A"/>
    <w:rsid w:val="00EE4F3E"/>
    <w:rsid w:val="00EE5249"/>
    <w:rsid w:val="00EE528A"/>
    <w:rsid w:val="00EE5696"/>
    <w:rsid w:val="00EE5745"/>
    <w:rsid w:val="00EE5BE1"/>
    <w:rsid w:val="00EE5F4D"/>
    <w:rsid w:val="00EE6194"/>
    <w:rsid w:val="00EE66BD"/>
    <w:rsid w:val="00EE687E"/>
    <w:rsid w:val="00EE6BDC"/>
    <w:rsid w:val="00EE6D41"/>
    <w:rsid w:val="00EE6DFD"/>
    <w:rsid w:val="00EF09FF"/>
    <w:rsid w:val="00EF0AAE"/>
    <w:rsid w:val="00EF0D55"/>
    <w:rsid w:val="00EF0E8E"/>
    <w:rsid w:val="00EF0ECA"/>
    <w:rsid w:val="00EF110C"/>
    <w:rsid w:val="00EF1384"/>
    <w:rsid w:val="00EF13C2"/>
    <w:rsid w:val="00EF14D7"/>
    <w:rsid w:val="00EF15F5"/>
    <w:rsid w:val="00EF19F3"/>
    <w:rsid w:val="00EF1A9D"/>
    <w:rsid w:val="00EF1DAD"/>
    <w:rsid w:val="00EF2295"/>
    <w:rsid w:val="00EF2769"/>
    <w:rsid w:val="00EF2957"/>
    <w:rsid w:val="00EF2F59"/>
    <w:rsid w:val="00EF2F7C"/>
    <w:rsid w:val="00EF30B3"/>
    <w:rsid w:val="00EF312A"/>
    <w:rsid w:val="00EF3494"/>
    <w:rsid w:val="00EF3514"/>
    <w:rsid w:val="00EF3516"/>
    <w:rsid w:val="00EF363D"/>
    <w:rsid w:val="00EF389B"/>
    <w:rsid w:val="00EF3978"/>
    <w:rsid w:val="00EF3F54"/>
    <w:rsid w:val="00EF40C0"/>
    <w:rsid w:val="00EF462A"/>
    <w:rsid w:val="00EF48EB"/>
    <w:rsid w:val="00EF4BB3"/>
    <w:rsid w:val="00EF4C9C"/>
    <w:rsid w:val="00EF4D68"/>
    <w:rsid w:val="00EF4FCF"/>
    <w:rsid w:val="00EF518F"/>
    <w:rsid w:val="00EF534A"/>
    <w:rsid w:val="00EF53F4"/>
    <w:rsid w:val="00EF57BD"/>
    <w:rsid w:val="00EF584F"/>
    <w:rsid w:val="00EF5BDE"/>
    <w:rsid w:val="00EF5C91"/>
    <w:rsid w:val="00EF5DD7"/>
    <w:rsid w:val="00EF600A"/>
    <w:rsid w:val="00EF6033"/>
    <w:rsid w:val="00EF6450"/>
    <w:rsid w:val="00EF64F3"/>
    <w:rsid w:val="00EF66CF"/>
    <w:rsid w:val="00EF6966"/>
    <w:rsid w:val="00EF6A6D"/>
    <w:rsid w:val="00EF7193"/>
    <w:rsid w:val="00EF72B4"/>
    <w:rsid w:val="00EF74AA"/>
    <w:rsid w:val="00EF76B5"/>
    <w:rsid w:val="00EF7836"/>
    <w:rsid w:val="00EF7BCD"/>
    <w:rsid w:val="00EF7BDB"/>
    <w:rsid w:val="00EF7D15"/>
    <w:rsid w:val="00EF7EC6"/>
    <w:rsid w:val="00EF7F69"/>
    <w:rsid w:val="00F00225"/>
    <w:rsid w:val="00F003EA"/>
    <w:rsid w:val="00F0044F"/>
    <w:rsid w:val="00F004B3"/>
    <w:rsid w:val="00F00766"/>
    <w:rsid w:val="00F0090D"/>
    <w:rsid w:val="00F00B32"/>
    <w:rsid w:val="00F00E3A"/>
    <w:rsid w:val="00F00EB5"/>
    <w:rsid w:val="00F00F34"/>
    <w:rsid w:val="00F0117C"/>
    <w:rsid w:val="00F014BB"/>
    <w:rsid w:val="00F01598"/>
    <w:rsid w:val="00F0176A"/>
    <w:rsid w:val="00F01963"/>
    <w:rsid w:val="00F01F74"/>
    <w:rsid w:val="00F01FEF"/>
    <w:rsid w:val="00F02B16"/>
    <w:rsid w:val="00F02C9A"/>
    <w:rsid w:val="00F02CBC"/>
    <w:rsid w:val="00F02E52"/>
    <w:rsid w:val="00F030A1"/>
    <w:rsid w:val="00F030A6"/>
    <w:rsid w:val="00F03670"/>
    <w:rsid w:val="00F0395B"/>
    <w:rsid w:val="00F03DFD"/>
    <w:rsid w:val="00F03F04"/>
    <w:rsid w:val="00F04327"/>
    <w:rsid w:val="00F04A3F"/>
    <w:rsid w:val="00F04DC2"/>
    <w:rsid w:val="00F04E58"/>
    <w:rsid w:val="00F04EC7"/>
    <w:rsid w:val="00F0523C"/>
    <w:rsid w:val="00F054E7"/>
    <w:rsid w:val="00F0590C"/>
    <w:rsid w:val="00F05A3E"/>
    <w:rsid w:val="00F05AF9"/>
    <w:rsid w:val="00F05B92"/>
    <w:rsid w:val="00F05D2E"/>
    <w:rsid w:val="00F05DFA"/>
    <w:rsid w:val="00F05F89"/>
    <w:rsid w:val="00F05FBB"/>
    <w:rsid w:val="00F067B4"/>
    <w:rsid w:val="00F06D7A"/>
    <w:rsid w:val="00F07010"/>
    <w:rsid w:val="00F0715E"/>
    <w:rsid w:val="00F0727E"/>
    <w:rsid w:val="00F073C1"/>
    <w:rsid w:val="00F07A17"/>
    <w:rsid w:val="00F07EB6"/>
    <w:rsid w:val="00F07FF2"/>
    <w:rsid w:val="00F100F8"/>
    <w:rsid w:val="00F10479"/>
    <w:rsid w:val="00F104F1"/>
    <w:rsid w:val="00F10675"/>
    <w:rsid w:val="00F1081E"/>
    <w:rsid w:val="00F1083B"/>
    <w:rsid w:val="00F108C7"/>
    <w:rsid w:val="00F10BA3"/>
    <w:rsid w:val="00F10F45"/>
    <w:rsid w:val="00F11087"/>
    <w:rsid w:val="00F113B0"/>
    <w:rsid w:val="00F11544"/>
    <w:rsid w:val="00F115EB"/>
    <w:rsid w:val="00F11827"/>
    <w:rsid w:val="00F118BD"/>
    <w:rsid w:val="00F11A5B"/>
    <w:rsid w:val="00F11CC8"/>
    <w:rsid w:val="00F1207A"/>
    <w:rsid w:val="00F12123"/>
    <w:rsid w:val="00F125EA"/>
    <w:rsid w:val="00F126AD"/>
    <w:rsid w:val="00F1320B"/>
    <w:rsid w:val="00F13762"/>
    <w:rsid w:val="00F13860"/>
    <w:rsid w:val="00F139F4"/>
    <w:rsid w:val="00F13A69"/>
    <w:rsid w:val="00F13C3C"/>
    <w:rsid w:val="00F13DFA"/>
    <w:rsid w:val="00F14F3C"/>
    <w:rsid w:val="00F15146"/>
    <w:rsid w:val="00F1565F"/>
    <w:rsid w:val="00F15AEF"/>
    <w:rsid w:val="00F15F08"/>
    <w:rsid w:val="00F163FB"/>
    <w:rsid w:val="00F164D7"/>
    <w:rsid w:val="00F169D9"/>
    <w:rsid w:val="00F16A65"/>
    <w:rsid w:val="00F16F3B"/>
    <w:rsid w:val="00F172F4"/>
    <w:rsid w:val="00F17C4A"/>
    <w:rsid w:val="00F17DCA"/>
    <w:rsid w:val="00F17F45"/>
    <w:rsid w:val="00F200C4"/>
    <w:rsid w:val="00F20270"/>
    <w:rsid w:val="00F209DA"/>
    <w:rsid w:val="00F215CB"/>
    <w:rsid w:val="00F215F4"/>
    <w:rsid w:val="00F2164E"/>
    <w:rsid w:val="00F21770"/>
    <w:rsid w:val="00F21787"/>
    <w:rsid w:val="00F21D65"/>
    <w:rsid w:val="00F21DB1"/>
    <w:rsid w:val="00F21F74"/>
    <w:rsid w:val="00F22049"/>
    <w:rsid w:val="00F22127"/>
    <w:rsid w:val="00F2219A"/>
    <w:rsid w:val="00F229CB"/>
    <w:rsid w:val="00F230AD"/>
    <w:rsid w:val="00F23423"/>
    <w:rsid w:val="00F23E92"/>
    <w:rsid w:val="00F23F48"/>
    <w:rsid w:val="00F240FE"/>
    <w:rsid w:val="00F2433E"/>
    <w:rsid w:val="00F24643"/>
    <w:rsid w:val="00F24B7F"/>
    <w:rsid w:val="00F24FE5"/>
    <w:rsid w:val="00F25045"/>
    <w:rsid w:val="00F2570B"/>
    <w:rsid w:val="00F257AA"/>
    <w:rsid w:val="00F25AB8"/>
    <w:rsid w:val="00F25B65"/>
    <w:rsid w:val="00F25E7A"/>
    <w:rsid w:val="00F261FD"/>
    <w:rsid w:val="00F263C6"/>
    <w:rsid w:val="00F2640E"/>
    <w:rsid w:val="00F264A5"/>
    <w:rsid w:val="00F26531"/>
    <w:rsid w:val="00F26670"/>
    <w:rsid w:val="00F269E6"/>
    <w:rsid w:val="00F26B69"/>
    <w:rsid w:val="00F26F0B"/>
    <w:rsid w:val="00F26FCC"/>
    <w:rsid w:val="00F27082"/>
    <w:rsid w:val="00F270CC"/>
    <w:rsid w:val="00F27185"/>
    <w:rsid w:val="00F27227"/>
    <w:rsid w:val="00F27238"/>
    <w:rsid w:val="00F27347"/>
    <w:rsid w:val="00F274AA"/>
    <w:rsid w:val="00F27839"/>
    <w:rsid w:val="00F27AFB"/>
    <w:rsid w:val="00F27BAB"/>
    <w:rsid w:val="00F27E6F"/>
    <w:rsid w:val="00F300F7"/>
    <w:rsid w:val="00F3038A"/>
    <w:rsid w:val="00F304BC"/>
    <w:rsid w:val="00F3051A"/>
    <w:rsid w:val="00F309E1"/>
    <w:rsid w:val="00F30B0C"/>
    <w:rsid w:val="00F30B5A"/>
    <w:rsid w:val="00F30B9B"/>
    <w:rsid w:val="00F30C03"/>
    <w:rsid w:val="00F30D33"/>
    <w:rsid w:val="00F30F1D"/>
    <w:rsid w:val="00F314AA"/>
    <w:rsid w:val="00F314FD"/>
    <w:rsid w:val="00F319D5"/>
    <w:rsid w:val="00F31B36"/>
    <w:rsid w:val="00F31F27"/>
    <w:rsid w:val="00F3220C"/>
    <w:rsid w:val="00F323DC"/>
    <w:rsid w:val="00F323F2"/>
    <w:rsid w:val="00F328A1"/>
    <w:rsid w:val="00F32EEE"/>
    <w:rsid w:val="00F33076"/>
    <w:rsid w:val="00F33182"/>
    <w:rsid w:val="00F338E6"/>
    <w:rsid w:val="00F33CCE"/>
    <w:rsid w:val="00F33DA5"/>
    <w:rsid w:val="00F33FB5"/>
    <w:rsid w:val="00F34398"/>
    <w:rsid w:val="00F3446E"/>
    <w:rsid w:val="00F345B8"/>
    <w:rsid w:val="00F3465F"/>
    <w:rsid w:val="00F34728"/>
    <w:rsid w:val="00F34FE0"/>
    <w:rsid w:val="00F35045"/>
    <w:rsid w:val="00F350D5"/>
    <w:rsid w:val="00F35304"/>
    <w:rsid w:val="00F35632"/>
    <w:rsid w:val="00F356F9"/>
    <w:rsid w:val="00F35961"/>
    <w:rsid w:val="00F35D51"/>
    <w:rsid w:val="00F35E53"/>
    <w:rsid w:val="00F36108"/>
    <w:rsid w:val="00F36329"/>
    <w:rsid w:val="00F363D9"/>
    <w:rsid w:val="00F366DB"/>
    <w:rsid w:val="00F367AB"/>
    <w:rsid w:val="00F36952"/>
    <w:rsid w:val="00F3722A"/>
    <w:rsid w:val="00F37735"/>
    <w:rsid w:val="00F37D7E"/>
    <w:rsid w:val="00F37DF1"/>
    <w:rsid w:val="00F37E6A"/>
    <w:rsid w:val="00F4056D"/>
    <w:rsid w:val="00F405D1"/>
    <w:rsid w:val="00F40710"/>
    <w:rsid w:val="00F40856"/>
    <w:rsid w:val="00F40C47"/>
    <w:rsid w:val="00F40CE3"/>
    <w:rsid w:val="00F40F98"/>
    <w:rsid w:val="00F41550"/>
    <w:rsid w:val="00F41657"/>
    <w:rsid w:val="00F419F8"/>
    <w:rsid w:val="00F41ACE"/>
    <w:rsid w:val="00F41C7A"/>
    <w:rsid w:val="00F41E5B"/>
    <w:rsid w:val="00F41F41"/>
    <w:rsid w:val="00F421EC"/>
    <w:rsid w:val="00F43115"/>
    <w:rsid w:val="00F4317F"/>
    <w:rsid w:val="00F43A5A"/>
    <w:rsid w:val="00F43B4E"/>
    <w:rsid w:val="00F43C09"/>
    <w:rsid w:val="00F43C40"/>
    <w:rsid w:val="00F43F12"/>
    <w:rsid w:val="00F43FC7"/>
    <w:rsid w:val="00F4419A"/>
    <w:rsid w:val="00F44213"/>
    <w:rsid w:val="00F44247"/>
    <w:rsid w:val="00F4458D"/>
    <w:rsid w:val="00F44604"/>
    <w:rsid w:val="00F447AE"/>
    <w:rsid w:val="00F44FE7"/>
    <w:rsid w:val="00F4523C"/>
    <w:rsid w:val="00F45342"/>
    <w:rsid w:val="00F45759"/>
    <w:rsid w:val="00F45912"/>
    <w:rsid w:val="00F45C9A"/>
    <w:rsid w:val="00F464E1"/>
    <w:rsid w:val="00F4652E"/>
    <w:rsid w:val="00F466EB"/>
    <w:rsid w:val="00F467F3"/>
    <w:rsid w:val="00F469D8"/>
    <w:rsid w:val="00F46ACC"/>
    <w:rsid w:val="00F46BCB"/>
    <w:rsid w:val="00F46C08"/>
    <w:rsid w:val="00F46FEB"/>
    <w:rsid w:val="00F472C3"/>
    <w:rsid w:val="00F47443"/>
    <w:rsid w:val="00F4770F"/>
    <w:rsid w:val="00F47BB4"/>
    <w:rsid w:val="00F47D20"/>
    <w:rsid w:val="00F47DE1"/>
    <w:rsid w:val="00F5005B"/>
    <w:rsid w:val="00F5006C"/>
    <w:rsid w:val="00F502F9"/>
    <w:rsid w:val="00F50315"/>
    <w:rsid w:val="00F504ED"/>
    <w:rsid w:val="00F507A6"/>
    <w:rsid w:val="00F5092C"/>
    <w:rsid w:val="00F50A64"/>
    <w:rsid w:val="00F50CE6"/>
    <w:rsid w:val="00F50F04"/>
    <w:rsid w:val="00F50F38"/>
    <w:rsid w:val="00F514B8"/>
    <w:rsid w:val="00F515F1"/>
    <w:rsid w:val="00F51821"/>
    <w:rsid w:val="00F5192A"/>
    <w:rsid w:val="00F51C26"/>
    <w:rsid w:val="00F51CDF"/>
    <w:rsid w:val="00F520F3"/>
    <w:rsid w:val="00F52441"/>
    <w:rsid w:val="00F5249A"/>
    <w:rsid w:val="00F524CD"/>
    <w:rsid w:val="00F52877"/>
    <w:rsid w:val="00F52CE8"/>
    <w:rsid w:val="00F52D62"/>
    <w:rsid w:val="00F52FF5"/>
    <w:rsid w:val="00F5317C"/>
    <w:rsid w:val="00F53379"/>
    <w:rsid w:val="00F534CC"/>
    <w:rsid w:val="00F5355D"/>
    <w:rsid w:val="00F5370A"/>
    <w:rsid w:val="00F53AC6"/>
    <w:rsid w:val="00F53F97"/>
    <w:rsid w:val="00F53FD5"/>
    <w:rsid w:val="00F54625"/>
    <w:rsid w:val="00F54C07"/>
    <w:rsid w:val="00F54CD3"/>
    <w:rsid w:val="00F54EE6"/>
    <w:rsid w:val="00F54F0C"/>
    <w:rsid w:val="00F54FAF"/>
    <w:rsid w:val="00F550C5"/>
    <w:rsid w:val="00F550D1"/>
    <w:rsid w:val="00F55401"/>
    <w:rsid w:val="00F554F4"/>
    <w:rsid w:val="00F5570A"/>
    <w:rsid w:val="00F5586B"/>
    <w:rsid w:val="00F55A76"/>
    <w:rsid w:val="00F56177"/>
    <w:rsid w:val="00F561E1"/>
    <w:rsid w:val="00F5627F"/>
    <w:rsid w:val="00F5632D"/>
    <w:rsid w:val="00F563A1"/>
    <w:rsid w:val="00F563AF"/>
    <w:rsid w:val="00F56A26"/>
    <w:rsid w:val="00F56B96"/>
    <w:rsid w:val="00F56E51"/>
    <w:rsid w:val="00F57103"/>
    <w:rsid w:val="00F5724F"/>
    <w:rsid w:val="00F5751B"/>
    <w:rsid w:val="00F57B63"/>
    <w:rsid w:val="00F600DA"/>
    <w:rsid w:val="00F60300"/>
    <w:rsid w:val="00F60366"/>
    <w:rsid w:val="00F6063F"/>
    <w:rsid w:val="00F60665"/>
    <w:rsid w:val="00F60739"/>
    <w:rsid w:val="00F607C5"/>
    <w:rsid w:val="00F60978"/>
    <w:rsid w:val="00F6123D"/>
    <w:rsid w:val="00F61C19"/>
    <w:rsid w:val="00F61CF6"/>
    <w:rsid w:val="00F622EF"/>
    <w:rsid w:val="00F625DE"/>
    <w:rsid w:val="00F6261B"/>
    <w:rsid w:val="00F62B78"/>
    <w:rsid w:val="00F62BD8"/>
    <w:rsid w:val="00F62D22"/>
    <w:rsid w:val="00F62D9F"/>
    <w:rsid w:val="00F62EB0"/>
    <w:rsid w:val="00F62EBE"/>
    <w:rsid w:val="00F62F68"/>
    <w:rsid w:val="00F631A2"/>
    <w:rsid w:val="00F631F4"/>
    <w:rsid w:val="00F6337B"/>
    <w:rsid w:val="00F6363B"/>
    <w:rsid w:val="00F63688"/>
    <w:rsid w:val="00F636C7"/>
    <w:rsid w:val="00F637FF"/>
    <w:rsid w:val="00F6386F"/>
    <w:rsid w:val="00F63B1C"/>
    <w:rsid w:val="00F6412B"/>
    <w:rsid w:val="00F64249"/>
    <w:rsid w:val="00F642A9"/>
    <w:rsid w:val="00F64465"/>
    <w:rsid w:val="00F6453B"/>
    <w:rsid w:val="00F64702"/>
    <w:rsid w:val="00F64A56"/>
    <w:rsid w:val="00F6516F"/>
    <w:rsid w:val="00F6520A"/>
    <w:rsid w:val="00F657F6"/>
    <w:rsid w:val="00F659EA"/>
    <w:rsid w:val="00F65A78"/>
    <w:rsid w:val="00F65A7F"/>
    <w:rsid w:val="00F65E86"/>
    <w:rsid w:val="00F66672"/>
    <w:rsid w:val="00F6682B"/>
    <w:rsid w:val="00F66947"/>
    <w:rsid w:val="00F66BEB"/>
    <w:rsid w:val="00F66BFD"/>
    <w:rsid w:val="00F66CC0"/>
    <w:rsid w:val="00F66E55"/>
    <w:rsid w:val="00F66EE7"/>
    <w:rsid w:val="00F66FCA"/>
    <w:rsid w:val="00F6737C"/>
    <w:rsid w:val="00F67821"/>
    <w:rsid w:val="00F6787A"/>
    <w:rsid w:val="00F67CA9"/>
    <w:rsid w:val="00F67F89"/>
    <w:rsid w:val="00F702C5"/>
    <w:rsid w:val="00F7034E"/>
    <w:rsid w:val="00F7079B"/>
    <w:rsid w:val="00F70A1B"/>
    <w:rsid w:val="00F70AEE"/>
    <w:rsid w:val="00F70B08"/>
    <w:rsid w:val="00F70C82"/>
    <w:rsid w:val="00F70DCF"/>
    <w:rsid w:val="00F71002"/>
    <w:rsid w:val="00F71115"/>
    <w:rsid w:val="00F71122"/>
    <w:rsid w:val="00F713C6"/>
    <w:rsid w:val="00F7148D"/>
    <w:rsid w:val="00F71685"/>
    <w:rsid w:val="00F716BA"/>
    <w:rsid w:val="00F71799"/>
    <w:rsid w:val="00F71A23"/>
    <w:rsid w:val="00F71D59"/>
    <w:rsid w:val="00F71EC3"/>
    <w:rsid w:val="00F72222"/>
    <w:rsid w:val="00F722DE"/>
    <w:rsid w:val="00F72405"/>
    <w:rsid w:val="00F72451"/>
    <w:rsid w:val="00F72487"/>
    <w:rsid w:val="00F72A49"/>
    <w:rsid w:val="00F72AAA"/>
    <w:rsid w:val="00F72C96"/>
    <w:rsid w:val="00F7349F"/>
    <w:rsid w:val="00F737F7"/>
    <w:rsid w:val="00F73887"/>
    <w:rsid w:val="00F738B1"/>
    <w:rsid w:val="00F73D02"/>
    <w:rsid w:val="00F7405F"/>
    <w:rsid w:val="00F74324"/>
    <w:rsid w:val="00F7434F"/>
    <w:rsid w:val="00F745E2"/>
    <w:rsid w:val="00F75129"/>
    <w:rsid w:val="00F752FA"/>
    <w:rsid w:val="00F756CA"/>
    <w:rsid w:val="00F7573E"/>
    <w:rsid w:val="00F7582C"/>
    <w:rsid w:val="00F759A3"/>
    <w:rsid w:val="00F75D1A"/>
    <w:rsid w:val="00F7626F"/>
    <w:rsid w:val="00F764EC"/>
    <w:rsid w:val="00F76BA9"/>
    <w:rsid w:val="00F7743E"/>
    <w:rsid w:val="00F775EC"/>
    <w:rsid w:val="00F77693"/>
    <w:rsid w:val="00F77985"/>
    <w:rsid w:val="00F77CBD"/>
    <w:rsid w:val="00F8099B"/>
    <w:rsid w:val="00F80F28"/>
    <w:rsid w:val="00F80FB0"/>
    <w:rsid w:val="00F810F7"/>
    <w:rsid w:val="00F81122"/>
    <w:rsid w:val="00F813D1"/>
    <w:rsid w:val="00F815E1"/>
    <w:rsid w:val="00F81AD8"/>
    <w:rsid w:val="00F81AEF"/>
    <w:rsid w:val="00F81B4F"/>
    <w:rsid w:val="00F81BD5"/>
    <w:rsid w:val="00F827D6"/>
    <w:rsid w:val="00F827F4"/>
    <w:rsid w:val="00F82845"/>
    <w:rsid w:val="00F82A86"/>
    <w:rsid w:val="00F82C3A"/>
    <w:rsid w:val="00F82CDD"/>
    <w:rsid w:val="00F82F3C"/>
    <w:rsid w:val="00F82F59"/>
    <w:rsid w:val="00F83036"/>
    <w:rsid w:val="00F8369A"/>
    <w:rsid w:val="00F83743"/>
    <w:rsid w:val="00F83791"/>
    <w:rsid w:val="00F83A82"/>
    <w:rsid w:val="00F841CB"/>
    <w:rsid w:val="00F8422A"/>
    <w:rsid w:val="00F8480D"/>
    <w:rsid w:val="00F849A4"/>
    <w:rsid w:val="00F84AE7"/>
    <w:rsid w:val="00F84C98"/>
    <w:rsid w:val="00F8504A"/>
    <w:rsid w:val="00F852E0"/>
    <w:rsid w:val="00F857B6"/>
    <w:rsid w:val="00F85879"/>
    <w:rsid w:val="00F85E5C"/>
    <w:rsid w:val="00F860C6"/>
    <w:rsid w:val="00F86251"/>
    <w:rsid w:val="00F86276"/>
    <w:rsid w:val="00F8644F"/>
    <w:rsid w:val="00F864F9"/>
    <w:rsid w:val="00F867BD"/>
    <w:rsid w:val="00F8682C"/>
    <w:rsid w:val="00F86A73"/>
    <w:rsid w:val="00F87B6D"/>
    <w:rsid w:val="00F87ED0"/>
    <w:rsid w:val="00F9005F"/>
    <w:rsid w:val="00F90223"/>
    <w:rsid w:val="00F906EC"/>
    <w:rsid w:val="00F90964"/>
    <w:rsid w:val="00F90AAE"/>
    <w:rsid w:val="00F90C23"/>
    <w:rsid w:val="00F90D24"/>
    <w:rsid w:val="00F91109"/>
    <w:rsid w:val="00F9116C"/>
    <w:rsid w:val="00F911F7"/>
    <w:rsid w:val="00F91203"/>
    <w:rsid w:val="00F91503"/>
    <w:rsid w:val="00F91610"/>
    <w:rsid w:val="00F91952"/>
    <w:rsid w:val="00F91BAE"/>
    <w:rsid w:val="00F91BE6"/>
    <w:rsid w:val="00F91EE1"/>
    <w:rsid w:val="00F91F47"/>
    <w:rsid w:val="00F920DB"/>
    <w:rsid w:val="00F9213A"/>
    <w:rsid w:val="00F92274"/>
    <w:rsid w:val="00F92736"/>
    <w:rsid w:val="00F92BF9"/>
    <w:rsid w:val="00F92DE6"/>
    <w:rsid w:val="00F9307B"/>
    <w:rsid w:val="00F930D3"/>
    <w:rsid w:val="00F934AD"/>
    <w:rsid w:val="00F93E57"/>
    <w:rsid w:val="00F940F4"/>
    <w:rsid w:val="00F94554"/>
    <w:rsid w:val="00F94578"/>
    <w:rsid w:val="00F94710"/>
    <w:rsid w:val="00F949A2"/>
    <w:rsid w:val="00F94B58"/>
    <w:rsid w:val="00F94B78"/>
    <w:rsid w:val="00F94B97"/>
    <w:rsid w:val="00F94BB6"/>
    <w:rsid w:val="00F951D5"/>
    <w:rsid w:val="00F9567B"/>
    <w:rsid w:val="00F95716"/>
    <w:rsid w:val="00F9594A"/>
    <w:rsid w:val="00F95EE2"/>
    <w:rsid w:val="00F9606F"/>
    <w:rsid w:val="00F96410"/>
    <w:rsid w:val="00F96B31"/>
    <w:rsid w:val="00F96BFA"/>
    <w:rsid w:val="00F96C51"/>
    <w:rsid w:val="00F96DCE"/>
    <w:rsid w:val="00F96E8A"/>
    <w:rsid w:val="00F970FA"/>
    <w:rsid w:val="00F9717A"/>
    <w:rsid w:val="00F971F8"/>
    <w:rsid w:val="00F97437"/>
    <w:rsid w:val="00F975C6"/>
    <w:rsid w:val="00F9772D"/>
    <w:rsid w:val="00F97C86"/>
    <w:rsid w:val="00F97CFC"/>
    <w:rsid w:val="00FA013B"/>
    <w:rsid w:val="00FA0F6D"/>
    <w:rsid w:val="00FA0FE1"/>
    <w:rsid w:val="00FA0FF7"/>
    <w:rsid w:val="00FA12F7"/>
    <w:rsid w:val="00FA185B"/>
    <w:rsid w:val="00FA1DA0"/>
    <w:rsid w:val="00FA1F93"/>
    <w:rsid w:val="00FA202B"/>
    <w:rsid w:val="00FA2112"/>
    <w:rsid w:val="00FA21C4"/>
    <w:rsid w:val="00FA2259"/>
    <w:rsid w:val="00FA24C1"/>
    <w:rsid w:val="00FA25DA"/>
    <w:rsid w:val="00FA2866"/>
    <w:rsid w:val="00FA290B"/>
    <w:rsid w:val="00FA2EC3"/>
    <w:rsid w:val="00FA30E1"/>
    <w:rsid w:val="00FA3178"/>
    <w:rsid w:val="00FA324B"/>
    <w:rsid w:val="00FA3356"/>
    <w:rsid w:val="00FA37E1"/>
    <w:rsid w:val="00FA3837"/>
    <w:rsid w:val="00FA39A4"/>
    <w:rsid w:val="00FA3B4C"/>
    <w:rsid w:val="00FA3B91"/>
    <w:rsid w:val="00FA3E27"/>
    <w:rsid w:val="00FA402D"/>
    <w:rsid w:val="00FA447F"/>
    <w:rsid w:val="00FA4554"/>
    <w:rsid w:val="00FA4684"/>
    <w:rsid w:val="00FA46F8"/>
    <w:rsid w:val="00FA48AB"/>
    <w:rsid w:val="00FA4BB1"/>
    <w:rsid w:val="00FA4E6D"/>
    <w:rsid w:val="00FA4F97"/>
    <w:rsid w:val="00FA55BF"/>
    <w:rsid w:val="00FA5EAE"/>
    <w:rsid w:val="00FA6812"/>
    <w:rsid w:val="00FA69A7"/>
    <w:rsid w:val="00FA6B94"/>
    <w:rsid w:val="00FA6BEB"/>
    <w:rsid w:val="00FA70B9"/>
    <w:rsid w:val="00FA723F"/>
    <w:rsid w:val="00FA729F"/>
    <w:rsid w:val="00FA737D"/>
    <w:rsid w:val="00FA7589"/>
    <w:rsid w:val="00FA7AFA"/>
    <w:rsid w:val="00FA7B7C"/>
    <w:rsid w:val="00FA7D94"/>
    <w:rsid w:val="00FA7F73"/>
    <w:rsid w:val="00FB0367"/>
    <w:rsid w:val="00FB055B"/>
    <w:rsid w:val="00FB0590"/>
    <w:rsid w:val="00FB0710"/>
    <w:rsid w:val="00FB0B02"/>
    <w:rsid w:val="00FB0BC2"/>
    <w:rsid w:val="00FB0C47"/>
    <w:rsid w:val="00FB0DFC"/>
    <w:rsid w:val="00FB11AF"/>
    <w:rsid w:val="00FB11EB"/>
    <w:rsid w:val="00FB12B3"/>
    <w:rsid w:val="00FB133A"/>
    <w:rsid w:val="00FB1357"/>
    <w:rsid w:val="00FB140A"/>
    <w:rsid w:val="00FB1590"/>
    <w:rsid w:val="00FB1D4D"/>
    <w:rsid w:val="00FB1F8A"/>
    <w:rsid w:val="00FB2195"/>
    <w:rsid w:val="00FB21CF"/>
    <w:rsid w:val="00FB23F3"/>
    <w:rsid w:val="00FB2ABB"/>
    <w:rsid w:val="00FB2B44"/>
    <w:rsid w:val="00FB2C43"/>
    <w:rsid w:val="00FB2DCA"/>
    <w:rsid w:val="00FB31AA"/>
    <w:rsid w:val="00FB31FF"/>
    <w:rsid w:val="00FB35A7"/>
    <w:rsid w:val="00FB37B9"/>
    <w:rsid w:val="00FB3C75"/>
    <w:rsid w:val="00FB44DB"/>
    <w:rsid w:val="00FB4650"/>
    <w:rsid w:val="00FB482F"/>
    <w:rsid w:val="00FB4871"/>
    <w:rsid w:val="00FB4B90"/>
    <w:rsid w:val="00FB4C91"/>
    <w:rsid w:val="00FB4CA9"/>
    <w:rsid w:val="00FB4FC8"/>
    <w:rsid w:val="00FB5212"/>
    <w:rsid w:val="00FB5356"/>
    <w:rsid w:val="00FB56C1"/>
    <w:rsid w:val="00FB570E"/>
    <w:rsid w:val="00FB5985"/>
    <w:rsid w:val="00FB5C8A"/>
    <w:rsid w:val="00FB638C"/>
    <w:rsid w:val="00FB644F"/>
    <w:rsid w:val="00FB64EA"/>
    <w:rsid w:val="00FB65B9"/>
    <w:rsid w:val="00FB6810"/>
    <w:rsid w:val="00FB6B3B"/>
    <w:rsid w:val="00FB6B51"/>
    <w:rsid w:val="00FB73F9"/>
    <w:rsid w:val="00FB7515"/>
    <w:rsid w:val="00FB7946"/>
    <w:rsid w:val="00FB7BB8"/>
    <w:rsid w:val="00FC011C"/>
    <w:rsid w:val="00FC03D3"/>
    <w:rsid w:val="00FC0575"/>
    <w:rsid w:val="00FC05A9"/>
    <w:rsid w:val="00FC0742"/>
    <w:rsid w:val="00FC078D"/>
    <w:rsid w:val="00FC0943"/>
    <w:rsid w:val="00FC0C3F"/>
    <w:rsid w:val="00FC148B"/>
    <w:rsid w:val="00FC14D6"/>
    <w:rsid w:val="00FC1620"/>
    <w:rsid w:val="00FC19BD"/>
    <w:rsid w:val="00FC1B07"/>
    <w:rsid w:val="00FC1B30"/>
    <w:rsid w:val="00FC1B6C"/>
    <w:rsid w:val="00FC1CD5"/>
    <w:rsid w:val="00FC1DE3"/>
    <w:rsid w:val="00FC2016"/>
    <w:rsid w:val="00FC2122"/>
    <w:rsid w:val="00FC21A8"/>
    <w:rsid w:val="00FC29EE"/>
    <w:rsid w:val="00FC29F4"/>
    <w:rsid w:val="00FC2CE2"/>
    <w:rsid w:val="00FC3635"/>
    <w:rsid w:val="00FC369B"/>
    <w:rsid w:val="00FC3705"/>
    <w:rsid w:val="00FC3AED"/>
    <w:rsid w:val="00FC3B74"/>
    <w:rsid w:val="00FC3BBA"/>
    <w:rsid w:val="00FC3C72"/>
    <w:rsid w:val="00FC426B"/>
    <w:rsid w:val="00FC4775"/>
    <w:rsid w:val="00FC4C9C"/>
    <w:rsid w:val="00FC4E23"/>
    <w:rsid w:val="00FC52F3"/>
    <w:rsid w:val="00FC55B4"/>
    <w:rsid w:val="00FC55DA"/>
    <w:rsid w:val="00FC572C"/>
    <w:rsid w:val="00FC5777"/>
    <w:rsid w:val="00FC580D"/>
    <w:rsid w:val="00FC5AD5"/>
    <w:rsid w:val="00FC5C48"/>
    <w:rsid w:val="00FC5CBC"/>
    <w:rsid w:val="00FC5DC7"/>
    <w:rsid w:val="00FC643F"/>
    <w:rsid w:val="00FC6873"/>
    <w:rsid w:val="00FC691A"/>
    <w:rsid w:val="00FC6BF0"/>
    <w:rsid w:val="00FC6E5C"/>
    <w:rsid w:val="00FC7046"/>
    <w:rsid w:val="00FC7097"/>
    <w:rsid w:val="00FC70BA"/>
    <w:rsid w:val="00FC7172"/>
    <w:rsid w:val="00FC73CF"/>
    <w:rsid w:val="00FC7759"/>
    <w:rsid w:val="00FC7976"/>
    <w:rsid w:val="00FC7DBB"/>
    <w:rsid w:val="00FC7EF0"/>
    <w:rsid w:val="00FC7F2C"/>
    <w:rsid w:val="00FC7F3C"/>
    <w:rsid w:val="00FD0062"/>
    <w:rsid w:val="00FD0145"/>
    <w:rsid w:val="00FD0161"/>
    <w:rsid w:val="00FD0453"/>
    <w:rsid w:val="00FD06D7"/>
    <w:rsid w:val="00FD0DD1"/>
    <w:rsid w:val="00FD0F3A"/>
    <w:rsid w:val="00FD12C9"/>
    <w:rsid w:val="00FD154E"/>
    <w:rsid w:val="00FD1A07"/>
    <w:rsid w:val="00FD20D9"/>
    <w:rsid w:val="00FD225F"/>
    <w:rsid w:val="00FD238C"/>
    <w:rsid w:val="00FD2464"/>
    <w:rsid w:val="00FD25CE"/>
    <w:rsid w:val="00FD272F"/>
    <w:rsid w:val="00FD2989"/>
    <w:rsid w:val="00FD2FEA"/>
    <w:rsid w:val="00FD31C7"/>
    <w:rsid w:val="00FD396F"/>
    <w:rsid w:val="00FD3D76"/>
    <w:rsid w:val="00FD3E67"/>
    <w:rsid w:val="00FD3E6A"/>
    <w:rsid w:val="00FD40A2"/>
    <w:rsid w:val="00FD4252"/>
    <w:rsid w:val="00FD4627"/>
    <w:rsid w:val="00FD4738"/>
    <w:rsid w:val="00FD47EF"/>
    <w:rsid w:val="00FD48A7"/>
    <w:rsid w:val="00FD50EE"/>
    <w:rsid w:val="00FD5591"/>
    <w:rsid w:val="00FD55C1"/>
    <w:rsid w:val="00FD5631"/>
    <w:rsid w:val="00FD582A"/>
    <w:rsid w:val="00FD585B"/>
    <w:rsid w:val="00FD59D0"/>
    <w:rsid w:val="00FD5ADE"/>
    <w:rsid w:val="00FD60CC"/>
    <w:rsid w:val="00FD625D"/>
    <w:rsid w:val="00FD655B"/>
    <w:rsid w:val="00FD669B"/>
    <w:rsid w:val="00FD694C"/>
    <w:rsid w:val="00FD6B4B"/>
    <w:rsid w:val="00FD6D3B"/>
    <w:rsid w:val="00FD703E"/>
    <w:rsid w:val="00FD726E"/>
    <w:rsid w:val="00FD738B"/>
    <w:rsid w:val="00FD75EF"/>
    <w:rsid w:val="00FD7D62"/>
    <w:rsid w:val="00FD7FAB"/>
    <w:rsid w:val="00FE0275"/>
    <w:rsid w:val="00FE0599"/>
    <w:rsid w:val="00FE0681"/>
    <w:rsid w:val="00FE09D2"/>
    <w:rsid w:val="00FE0B7C"/>
    <w:rsid w:val="00FE0BFB"/>
    <w:rsid w:val="00FE0C85"/>
    <w:rsid w:val="00FE1879"/>
    <w:rsid w:val="00FE1A1B"/>
    <w:rsid w:val="00FE1B00"/>
    <w:rsid w:val="00FE1B20"/>
    <w:rsid w:val="00FE1BFC"/>
    <w:rsid w:val="00FE1CC3"/>
    <w:rsid w:val="00FE1E12"/>
    <w:rsid w:val="00FE1F36"/>
    <w:rsid w:val="00FE1F96"/>
    <w:rsid w:val="00FE2114"/>
    <w:rsid w:val="00FE2528"/>
    <w:rsid w:val="00FE2691"/>
    <w:rsid w:val="00FE293F"/>
    <w:rsid w:val="00FE2CDB"/>
    <w:rsid w:val="00FE2D7B"/>
    <w:rsid w:val="00FE3302"/>
    <w:rsid w:val="00FE3403"/>
    <w:rsid w:val="00FE34F4"/>
    <w:rsid w:val="00FE3952"/>
    <w:rsid w:val="00FE3EF5"/>
    <w:rsid w:val="00FE41DB"/>
    <w:rsid w:val="00FE4225"/>
    <w:rsid w:val="00FE44DC"/>
    <w:rsid w:val="00FE44F6"/>
    <w:rsid w:val="00FE4956"/>
    <w:rsid w:val="00FE4CCC"/>
    <w:rsid w:val="00FE4E26"/>
    <w:rsid w:val="00FE52EC"/>
    <w:rsid w:val="00FE54BD"/>
    <w:rsid w:val="00FE54C6"/>
    <w:rsid w:val="00FE54FD"/>
    <w:rsid w:val="00FE5D3C"/>
    <w:rsid w:val="00FE5F90"/>
    <w:rsid w:val="00FE6020"/>
    <w:rsid w:val="00FE67BB"/>
    <w:rsid w:val="00FE6AFA"/>
    <w:rsid w:val="00FE74A2"/>
    <w:rsid w:val="00FE7F1F"/>
    <w:rsid w:val="00FE7F98"/>
    <w:rsid w:val="00FF00FA"/>
    <w:rsid w:val="00FF0166"/>
    <w:rsid w:val="00FF039C"/>
    <w:rsid w:val="00FF0824"/>
    <w:rsid w:val="00FF08CE"/>
    <w:rsid w:val="00FF092F"/>
    <w:rsid w:val="00FF0BD1"/>
    <w:rsid w:val="00FF0EDB"/>
    <w:rsid w:val="00FF111B"/>
    <w:rsid w:val="00FF12B5"/>
    <w:rsid w:val="00FF1361"/>
    <w:rsid w:val="00FF1535"/>
    <w:rsid w:val="00FF169C"/>
    <w:rsid w:val="00FF23EC"/>
    <w:rsid w:val="00FF253C"/>
    <w:rsid w:val="00FF28FC"/>
    <w:rsid w:val="00FF33DE"/>
    <w:rsid w:val="00FF3647"/>
    <w:rsid w:val="00FF367E"/>
    <w:rsid w:val="00FF398A"/>
    <w:rsid w:val="00FF39FE"/>
    <w:rsid w:val="00FF3AE8"/>
    <w:rsid w:val="00FF3EB6"/>
    <w:rsid w:val="00FF42E3"/>
    <w:rsid w:val="00FF4394"/>
    <w:rsid w:val="00FF45AE"/>
    <w:rsid w:val="00FF4E86"/>
    <w:rsid w:val="00FF4F9B"/>
    <w:rsid w:val="00FF5161"/>
    <w:rsid w:val="00FF5203"/>
    <w:rsid w:val="00FF53C9"/>
    <w:rsid w:val="00FF5533"/>
    <w:rsid w:val="00FF57FB"/>
    <w:rsid w:val="00FF5986"/>
    <w:rsid w:val="00FF5D86"/>
    <w:rsid w:val="00FF5EC4"/>
    <w:rsid w:val="00FF5F51"/>
    <w:rsid w:val="00FF630A"/>
    <w:rsid w:val="00FF65B6"/>
    <w:rsid w:val="00FF684C"/>
    <w:rsid w:val="00FF6B89"/>
    <w:rsid w:val="00FF6C79"/>
    <w:rsid w:val="00FF6F86"/>
    <w:rsid w:val="00FF7109"/>
    <w:rsid w:val="00FF764F"/>
    <w:rsid w:val="00FF7670"/>
    <w:rsid w:val="00FF77FF"/>
    <w:rsid w:val="00FF7DDB"/>
    <w:rsid w:val="00FF7E5C"/>
    <w:rsid w:val="011531CF"/>
    <w:rsid w:val="012CD7D2"/>
    <w:rsid w:val="0130F47A"/>
    <w:rsid w:val="0133CE4C"/>
    <w:rsid w:val="01351C97"/>
    <w:rsid w:val="0141D641"/>
    <w:rsid w:val="0155EAA5"/>
    <w:rsid w:val="016A4CDA"/>
    <w:rsid w:val="016F68A7"/>
    <w:rsid w:val="0170B728"/>
    <w:rsid w:val="017B640F"/>
    <w:rsid w:val="017F4416"/>
    <w:rsid w:val="0194E356"/>
    <w:rsid w:val="01957B13"/>
    <w:rsid w:val="01A69F6B"/>
    <w:rsid w:val="01B554DE"/>
    <w:rsid w:val="01DEE685"/>
    <w:rsid w:val="01DF27EE"/>
    <w:rsid w:val="01F8BF0D"/>
    <w:rsid w:val="023A09BB"/>
    <w:rsid w:val="024D008C"/>
    <w:rsid w:val="02559EF0"/>
    <w:rsid w:val="0264AEB8"/>
    <w:rsid w:val="02697CCE"/>
    <w:rsid w:val="02956680"/>
    <w:rsid w:val="02B74B74"/>
    <w:rsid w:val="02E36E59"/>
    <w:rsid w:val="02F1D8A9"/>
    <w:rsid w:val="032CF355"/>
    <w:rsid w:val="0333440E"/>
    <w:rsid w:val="0335301D"/>
    <w:rsid w:val="0351970E"/>
    <w:rsid w:val="0352B22E"/>
    <w:rsid w:val="035896CB"/>
    <w:rsid w:val="035FA7FA"/>
    <w:rsid w:val="03636E96"/>
    <w:rsid w:val="038210A8"/>
    <w:rsid w:val="03898E1A"/>
    <w:rsid w:val="0391302D"/>
    <w:rsid w:val="0396CAF2"/>
    <w:rsid w:val="03B84229"/>
    <w:rsid w:val="03BD223C"/>
    <w:rsid w:val="03C00150"/>
    <w:rsid w:val="040E13BA"/>
    <w:rsid w:val="042F3EA3"/>
    <w:rsid w:val="043DEF3C"/>
    <w:rsid w:val="043F5EAC"/>
    <w:rsid w:val="044D5124"/>
    <w:rsid w:val="048A2610"/>
    <w:rsid w:val="04BAB551"/>
    <w:rsid w:val="04BC840F"/>
    <w:rsid w:val="04C59AC8"/>
    <w:rsid w:val="04CA0D8C"/>
    <w:rsid w:val="04FDB9DB"/>
    <w:rsid w:val="0520BE41"/>
    <w:rsid w:val="0525157F"/>
    <w:rsid w:val="05272FBE"/>
    <w:rsid w:val="052846EC"/>
    <w:rsid w:val="0532D566"/>
    <w:rsid w:val="0535DDD6"/>
    <w:rsid w:val="054C903A"/>
    <w:rsid w:val="05526BF0"/>
    <w:rsid w:val="05623A12"/>
    <w:rsid w:val="056392B0"/>
    <w:rsid w:val="057E7E66"/>
    <w:rsid w:val="05899A1B"/>
    <w:rsid w:val="058E8451"/>
    <w:rsid w:val="05B1FD5D"/>
    <w:rsid w:val="05D8369C"/>
    <w:rsid w:val="05EDFDAC"/>
    <w:rsid w:val="05F2B788"/>
    <w:rsid w:val="05F8BF10"/>
    <w:rsid w:val="06074F1F"/>
    <w:rsid w:val="06134294"/>
    <w:rsid w:val="0614FB7A"/>
    <w:rsid w:val="061DA32A"/>
    <w:rsid w:val="062AC5EB"/>
    <w:rsid w:val="062F3051"/>
    <w:rsid w:val="064DAD64"/>
    <w:rsid w:val="0650BBD0"/>
    <w:rsid w:val="065EC548"/>
    <w:rsid w:val="06676332"/>
    <w:rsid w:val="066B2D9D"/>
    <w:rsid w:val="066C5356"/>
    <w:rsid w:val="068076DC"/>
    <w:rsid w:val="06812C28"/>
    <w:rsid w:val="0688D06C"/>
    <w:rsid w:val="0690378D"/>
    <w:rsid w:val="0697E8CD"/>
    <w:rsid w:val="069A057E"/>
    <w:rsid w:val="069D53D6"/>
    <w:rsid w:val="06A3A5C7"/>
    <w:rsid w:val="06A6FF5D"/>
    <w:rsid w:val="06BC13D0"/>
    <w:rsid w:val="06F8211A"/>
    <w:rsid w:val="06FD1E2E"/>
    <w:rsid w:val="06FE5511"/>
    <w:rsid w:val="070CA954"/>
    <w:rsid w:val="071495C7"/>
    <w:rsid w:val="072D7ECE"/>
    <w:rsid w:val="0768E503"/>
    <w:rsid w:val="0779FA34"/>
    <w:rsid w:val="0780685D"/>
    <w:rsid w:val="07A94BA0"/>
    <w:rsid w:val="07C09455"/>
    <w:rsid w:val="07D4CCFD"/>
    <w:rsid w:val="08555E1D"/>
    <w:rsid w:val="08632668"/>
    <w:rsid w:val="08A09B6C"/>
    <w:rsid w:val="08A1BDD3"/>
    <w:rsid w:val="08BD0C59"/>
    <w:rsid w:val="08F08DE2"/>
    <w:rsid w:val="09193632"/>
    <w:rsid w:val="0932EEA5"/>
    <w:rsid w:val="095181AF"/>
    <w:rsid w:val="095CFEA1"/>
    <w:rsid w:val="098E44D2"/>
    <w:rsid w:val="09938954"/>
    <w:rsid w:val="09A9746F"/>
    <w:rsid w:val="09B5549F"/>
    <w:rsid w:val="09B88949"/>
    <w:rsid w:val="09C13716"/>
    <w:rsid w:val="09D1F6F3"/>
    <w:rsid w:val="09E2CB5E"/>
    <w:rsid w:val="0A12F4CA"/>
    <w:rsid w:val="0A166171"/>
    <w:rsid w:val="0A1AB967"/>
    <w:rsid w:val="0A239D8E"/>
    <w:rsid w:val="0A391C73"/>
    <w:rsid w:val="0A4E8997"/>
    <w:rsid w:val="0A83E932"/>
    <w:rsid w:val="0AA7046D"/>
    <w:rsid w:val="0ABC1415"/>
    <w:rsid w:val="0AD0E56C"/>
    <w:rsid w:val="0B2C95B2"/>
    <w:rsid w:val="0B36AEC8"/>
    <w:rsid w:val="0B428E75"/>
    <w:rsid w:val="0B45BF72"/>
    <w:rsid w:val="0B49505F"/>
    <w:rsid w:val="0B65283A"/>
    <w:rsid w:val="0B65FC26"/>
    <w:rsid w:val="0BA386B1"/>
    <w:rsid w:val="0BAE1B38"/>
    <w:rsid w:val="0BC5C154"/>
    <w:rsid w:val="0BD6996B"/>
    <w:rsid w:val="0BEDE7ED"/>
    <w:rsid w:val="0C0298A4"/>
    <w:rsid w:val="0C093BCA"/>
    <w:rsid w:val="0C184F18"/>
    <w:rsid w:val="0C1DE956"/>
    <w:rsid w:val="0C2285F9"/>
    <w:rsid w:val="0C2A6171"/>
    <w:rsid w:val="0C526D83"/>
    <w:rsid w:val="0C536747"/>
    <w:rsid w:val="0C549C8A"/>
    <w:rsid w:val="0C5D7839"/>
    <w:rsid w:val="0C8CDC42"/>
    <w:rsid w:val="0CB862D3"/>
    <w:rsid w:val="0CCA984A"/>
    <w:rsid w:val="0CD33C63"/>
    <w:rsid w:val="0CDC8F6D"/>
    <w:rsid w:val="0CDCECEE"/>
    <w:rsid w:val="0D1BDDDB"/>
    <w:rsid w:val="0D3FC802"/>
    <w:rsid w:val="0D49129B"/>
    <w:rsid w:val="0D526501"/>
    <w:rsid w:val="0D67FC74"/>
    <w:rsid w:val="0D874896"/>
    <w:rsid w:val="0DBB1162"/>
    <w:rsid w:val="0DD97D57"/>
    <w:rsid w:val="0DFF481E"/>
    <w:rsid w:val="0E0AF5F0"/>
    <w:rsid w:val="0E1F955E"/>
    <w:rsid w:val="0E328F42"/>
    <w:rsid w:val="0E35A425"/>
    <w:rsid w:val="0E35EE0F"/>
    <w:rsid w:val="0E392F56"/>
    <w:rsid w:val="0E3D654D"/>
    <w:rsid w:val="0E49A8F1"/>
    <w:rsid w:val="0E4A26BE"/>
    <w:rsid w:val="0E533F81"/>
    <w:rsid w:val="0E6CABA9"/>
    <w:rsid w:val="0E850F6D"/>
    <w:rsid w:val="0EAE16AE"/>
    <w:rsid w:val="0EC1B120"/>
    <w:rsid w:val="0EC774D3"/>
    <w:rsid w:val="0ED22343"/>
    <w:rsid w:val="0F31B266"/>
    <w:rsid w:val="0F5EAE69"/>
    <w:rsid w:val="0F860951"/>
    <w:rsid w:val="0F88A867"/>
    <w:rsid w:val="0F94426B"/>
    <w:rsid w:val="0F962CEB"/>
    <w:rsid w:val="0F9D42DD"/>
    <w:rsid w:val="0FAD0E22"/>
    <w:rsid w:val="0FADD31D"/>
    <w:rsid w:val="0FF12A5F"/>
    <w:rsid w:val="0FF35AB3"/>
    <w:rsid w:val="0FF493F2"/>
    <w:rsid w:val="0FFB68B6"/>
    <w:rsid w:val="0FFCB136"/>
    <w:rsid w:val="10392F40"/>
    <w:rsid w:val="104929A0"/>
    <w:rsid w:val="1057DF9E"/>
    <w:rsid w:val="105E1222"/>
    <w:rsid w:val="107ED7AC"/>
    <w:rsid w:val="107FB159"/>
    <w:rsid w:val="108A782C"/>
    <w:rsid w:val="10B345E6"/>
    <w:rsid w:val="10BF3F8D"/>
    <w:rsid w:val="10C6ECAD"/>
    <w:rsid w:val="10CD9FC9"/>
    <w:rsid w:val="10D38473"/>
    <w:rsid w:val="10D67C1C"/>
    <w:rsid w:val="10E59418"/>
    <w:rsid w:val="10EDC76E"/>
    <w:rsid w:val="10EE903E"/>
    <w:rsid w:val="10F4A31F"/>
    <w:rsid w:val="1110A709"/>
    <w:rsid w:val="1114B8FF"/>
    <w:rsid w:val="112EA738"/>
    <w:rsid w:val="1142FF85"/>
    <w:rsid w:val="1149BCCE"/>
    <w:rsid w:val="1154EF3A"/>
    <w:rsid w:val="11599BF7"/>
    <w:rsid w:val="116BA117"/>
    <w:rsid w:val="11719564"/>
    <w:rsid w:val="117674C6"/>
    <w:rsid w:val="1190764B"/>
    <w:rsid w:val="1197C7F6"/>
    <w:rsid w:val="11A74085"/>
    <w:rsid w:val="11AA170D"/>
    <w:rsid w:val="11CBCC55"/>
    <w:rsid w:val="11D006ED"/>
    <w:rsid w:val="11F077C3"/>
    <w:rsid w:val="11FE02A9"/>
    <w:rsid w:val="12018D45"/>
    <w:rsid w:val="1253787A"/>
    <w:rsid w:val="125597D2"/>
    <w:rsid w:val="126411A7"/>
    <w:rsid w:val="126C38CF"/>
    <w:rsid w:val="1289883B"/>
    <w:rsid w:val="129480E7"/>
    <w:rsid w:val="129A0AB5"/>
    <w:rsid w:val="129B5452"/>
    <w:rsid w:val="12BA09F7"/>
    <w:rsid w:val="12D4938F"/>
    <w:rsid w:val="12F20A62"/>
    <w:rsid w:val="1302F9F8"/>
    <w:rsid w:val="1309FFEE"/>
    <w:rsid w:val="131308D9"/>
    <w:rsid w:val="1315C664"/>
    <w:rsid w:val="132A4A38"/>
    <w:rsid w:val="1357E5A5"/>
    <w:rsid w:val="135DFCAE"/>
    <w:rsid w:val="1375B003"/>
    <w:rsid w:val="13923C58"/>
    <w:rsid w:val="13967DC6"/>
    <w:rsid w:val="1399E4FF"/>
    <w:rsid w:val="13A42D25"/>
    <w:rsid w:val="13AA5443"/>
    <w:rsid w:val="13B146F4"/>
    <w:rsid w:val="13C5DB87"/>
    <w:rsid w:val="13DB2DAF"/>
    <w:rsid w:val="13DEB8E6"/>
    <w:rsid w:val="13FE4D94"/>
    <w:rsid w:val="1407533F"/>
    <w:rsid w:val="141ECBF2"/>
    <w:rsid w:val="142C77BC"/>
    <w:rsid w:val="143DF4B5"/>
    <w:rsid w:val="143DFF50"/>
    <w:rsid w:val="14497CC3"/>
    <w:rsid w:val="1483D794"/>
    <w:rsid w:val="14B48D1F"/>
    <w:rsid w:val="14BC2BD2"/>
    <w:rsid w:val="14C15FD4"/>
    <w:rsid w:val="14C80515"/>
    <w:rsid w:val="14DD446C"/>
    <w:rsid w:val="14F2748B"/>
    <w:rsid w:val="14F78A20"/>
    <w:rsid w:val="15014EBB"/>
    <w:rsid w:val="150D0024"/>
    <w:rsid w:val="1518D50A"/>
    <w:rsid w:val="15564BE0"/>
    <w:rsid w:val="15641C00"/>
    <w:rsid w:val="156A7022"/>
    <w:rsid w:val="156F9DF1"/>
    <w:rsid w:val="1571D649"/>
    <w:rsid w:val="157EB3F2"/>
    <w:rsid w:val="15803593"/>
    <w:rsid w:val="158A3D7D"/>
    <w:rsid w:val="158FE335"/>
    <w:rsid w:val="15A7EDCE"/>
    <w:rsid w:val="15A892DB"/>
    <w:rsid w:val="15AAB03C"/>
    <w:rsid w:val="15AE7AE9"/>
    <w:rsid w:val="15F1F984"/>
    <w:rsid w:val="15F7BD33"/>
    <w:rsid w:val="15FB2479"/>
    <w:rsid w:val="1601CA6D"/>
    <w:rsid w:val="16202911"/>
    <w:rsid w:val="16202A07"/>
    <w:rsid w:val="163019FA"/>
    <w:rsid w:val="1657A4C5"/>
    <w:rsid w:val="1663542C"/>
    <w:rsid w:val="16667743"/>
    <w:rsid w:val="167AB1A8"/>
    <w:rsid w:val="168D718B"/>
    <w:rsid w:val="168DB4E3"/>
    <w:rsid w:val="169B9493"/>
    <w:rsid w:val="169C6E1F"/>
    <w:rsid w:val="16A3E8B3"/>
    <w:rsid w:val="16F42A52"/>
    <w:rsid w:val="16F63090"/>
    <w:rsid w:val="16FE2277"/>
    <w:rsid w:val="1718BCC5"/>
    <w:rsid w:val="17270F16"/>
    <w:rsid w:val="17352611"/>
    <w:rsid w:val="1739692C"/>
    <w:rsid w:val="17666B03"/>
    <w:rsid w:val="1798E2AA"/>
    <w:rsid w:val="179B9DD4"/>
    <w:rsid w:val="17A85A9B"/>
    <w:rsid w:val="17BFD34C"/>
    <w:rsid w:val="17DEAD89"/>
    <w:rsid w:val="17F13F3C"/>
    <w:rsid w:val="17FF9F4D"/>
    <w:rsid w:val="1802EA90"/>
    <w:rsid w:val="1814432D"/>
    <w:rsid w:val="181F618B"/>
    <w:rsid w:val="18277560"/>
    <w:rsid w:val="183BDF20"/>
    <w:rsid w:val="183EF77E"/>
    <w:rsid w:val="185057ED"/>
    <w:rsid w:val="186398C0"/>
    <w:rsid w:val="188D587D"/>
    <w:rsid w:val="1898F33A"/>
    <w:rsid w:val="18BDCE63"/>
    <w:rsid w:val="18D50785"/>
    <w:rsid w:val="18F17372"/>
    <w:rsid w:val="1906540B"/>
    <w:rsid w:val="1906CE9F"/>
    <w:rsid w:val="1947FBC4"/>
    <w:rsid w:val="195BC929"/>
    <w:rsid w:val="195D9D8A"/>
    <w:rsid w:val="19793A59"/>
    <w:rsid w:val="19937A19"/>
    <w:rsid w:val="19A28A91"/>
    <w:rsid w:val="19AD9547"/>
    <w:rsid w:val="19AF9934"/>
    <w:rsid w:val="19BD89BE"/>
    <w:rsid w:val="19CDC0FB"/>
    <w:rsid w:val="19D617E4"/>
    <w:rsid w:val="19F467A6"/>
    <w:rsid w:val="19F471F9"/>
    <w:rsid w:val="19FF0F0E"/>
    <w:rsid w:val="1A18232E"/>
    <w:rsid w:val="1A29ACE5"/>
    <w:rsid w:val="1A68F08F"/>
    <w:rsid w:val="1A6B78D8"/>
    <w:rsid w:val="1A6E33AD"/>
    <w:rsid w:val="1A7D142D"/>
    <w:rsid w:val="1A8B4BB3"/>
    <w:rsid w:val="1AB4D6A2"/>
    <w:rsid w:val="1AB4EF5C"/>
    <w:rsid w:val="1ABEF5AD"/>
    <w:rsid w:val="1AC17E98"/>
    <w:rsid w:val="1AC56CB5"/>
    <w:rsid w:val="1AC896E1"/>
    <w:rsid w:val="1AE3B346"/>
    <w:rsid w:val="1AEB9CAA"/>
    <w:rsid w:val="1B07E05F"/>
    <w:rsid w:val="1B0BE0AA"/>
    <w:rsid w:val="1B146A30"/>
    <w:rsid w:val="1B173248"/>
    <w:rsid w:val="1B17CBC6"/>
    <w:rsid w:val="1B320F89"/>
    <w:rsid w:val="1B3FB337"/>
    <w:rsid w:val="1B44BBC7"/>
    <w:rsid w:val="1B7139F4"/>
    <w:rsid w:val="1B7274EE"/>
    <w:rsid w:val="1B798502"/>
    <w:rsid w:val="1B9CD788"/>
    <w:rsid w:val="1BB19E0A"/>
    <w:rsid w:val="1BB7DB53"/>
    <w:rsid w:val="1BBE5E8D"/>
    <w:rsid w:val="1BC60E6D"/>
    <w:rsid w:val="1BE35DAB"/>
    <w:rsid w:val="1C0335CE"/>
    <w:rsid w:val="1C06909A"/>
    <w:rsid w:val="1C11B05B"/>
    <w:rsid w:val="1C267070"/>
    <w:rsid w:val="1C4F40B0"/>
    <w:rsid w:val="1C5527E4"/>
    <w:rsid w:val="1C55D80F"/>
    <w:rsid w:val="1C5BBBDC"/>
    <w:rsid w:val="1C5D7681"/>
    <w:rsid w:val="1C65121C"/>
    <w:rsid w:val="1C73B2A0"/>
    <w:rsid w:val="1C876D0B"/>
    <w:rsid w:val="1C8AB122"/>
    <w:rsid w:val="1CA30878"/>
    <w:rsid w:val="1CBFA262"/>
    <w:rsid w:val="1CBFAEB1"/>
    <w:rsid w:val="1CD5B02B"/>
    <w:rsid w:val="1CD95FF1"/>
    <w:rsid w:val="1CDB4AE3"/>
    <w:rsid w:val="1D0BFDB6"/>
    <w:rsid w:val="1D0DB8D3"/>
    <w:rsid w:val="1D10C9A9"/>
    <w:rsid w:val="1D161219"/>
    <w:rsid w:val="1D1B1BF7"/>
    <w:rsid w:val="1D1DEA4F"/>
    <w:rsid w:val="1D35CF50"/>
    <w:rsid w:val="1D42EDF1"/>
    <w:rsid w:val="1D48A2D6"/>
    <w:rsid w:val="1D5A4C52"/>
    <w:rsid w:val="1D5AC0B6"/>
    <w:rsid w:val="1D5D0C8F"/>
    <w:rsid w:val="1D8CA1C3"/>
    <w:rsid w:val="1DB144DE"/>
    <w:rsid w:val="1DB6B149"/>
    <w:rsid w:val="1DC8F1EA"/>
    <w:rsid w:val="1DCA9896"/>
    <w:rsid w:val="1DCE3A54"/>
    <w:rsid w:val="1DF91C5D"/>
    <w:rsid w:val="1E018A91"/>
    <w:rsid w:val="1E2D085A"/>
    <w:rsid w:val="1E374051"/>
    <w:rsid w:val="1E813BDC"/>
    <w:rsid w:val="1E8A2DB5"/>
    <w:rsid w:val="1E9CBE7D"/>
    <w:rsid w:val="1EE15187"/>
    <w:rsid w:val="1EF7DE81"/>
    <w:rsid w:val="1F112142"/>
    <w:rsid w:val="1F214598"/>
    <w:rsid w:val="1F34A16B"/>
    <w:rsid w:val="1F362E03"/>
    <w:rsid w:val="1F40F52A"/>
    <w:rsid w:val="1F7FF60E"/>
    <w:rsid w:val="1F801330"/>
    <w:rsid w:val="1F84C1D3"/>
    <w:rsid w:val="1FAA2CC0"/>
    <w:rsid w:val="1FAE8CAD"/>
    <w:rsid w:val="1FCC9118"/>
    <w:rsid w:val="1FFC7330"/>
    <w:rsid w:val="2025C311"/>
    <w:rsid w:val="20513499"/>
    <w:rsid w:val="2058135B"/>
    <w:rsid w:val="208867B0"/>
    <w:rsid w:val="208C39F1"/>
    <w:rsid w:val="20984A76"/>
    <w:rsid w:val="20A621FA"/>
    <w:rsid w:val="20A88A4D"/>
    <w:rsid w:val="20D96DD8"/>
    <w:rsid w:val="2123CCD3"/>
    <w:rsid w:val="21419D05"/>
    <w:rsid w:val="21550BF5"/>
    <w:rsid w:val="215DADA8"/>
    <w:rsid w:val="21609B8D"/>
    <w:rsid w:val="2173617E"/>
    <w:rsid w:val="218A2782"/>
    <w:rsid w:val="218C4406"/>
    <w:rsid w:val="218FBA1D"/>
    <w:rsid w:val="219C74A3"/>
    <w:rsid w:val="21AFAB28"/>
    <w:rsid w:val="21B400D0"/>
    <w:rsid w:val="21E125D6"/>
    <w:rsid w:val="21E95F6C"/>
    <w:rsid w:val="21EE59ED"/>
    <w:rsid w:val="21F6B050"/>
    <w:rsid w:val="2246B39B"/>
    <w:rsid w:val="224D3AB9"/>
    <w:rsid w:val="2253EE46"/>
    <w:rsid w:val="227C5607"/>
    <w:rsid w:val="22884B52"/>
    <w:rsid w:val="229C476E"/>
    <w:rsid w:val="22B7A572"/>
    <w:rsid w:val="22C05EA4"/>
    <w:rsid w:val="22D7811A"/>
    <w:rsid w:val="22E79022"/>
    <w:rsid w:val="22F9E93F"/>
    <w:rsid w:val="2307897B"/>
    <w:rsid w:val="23111D1B"/>
    <w:rsid w:val="2315B9CA"/>
    <w:rsid w:val="231A5E2A"/>
    <w:rsid w:val="23366BCA"/>
    <w:rsid w:val="234A4604"/>
    <w:rsid w:val="238CE4F9"/>
    <w:rsid w:val="2391C876"/>
    <w:rsid w:val="239F983B"/>
    <w:rsid w:val="23B662B8"/>
    <w:rsid w:val="23C46099"/>
    <w:rsid w:val="23C81D54"/>
    <w:rsid w:val="23EFE7DF"/>
    <w:rsid w:val="2415DE94"/>
    <w:rsid w:val="24278003"/>
    <w:rsid w:val="244243BA"/>
    <w:rsid w:val="24838BCE"/>
    <w:rsid w:val="249E454A"/>
    <w:rsid w:val="24B12B78"/>
    <w:rsid w:val="24C3B5C9"/>
    <w:rsid w:val="24D71A3B"/>
    <w:rsid w:val="24F66474"/>
    <w:rsid w:val="24F9F94C"/>
    <w:rsid w:val="250EFD34"/>
    <w:rsid w:val="2510C824"/>
    <w:rsid w:val="25125ABC"/>
    <w:rsid w:val="254F923F"/>
    <w:rsid w:val="2551846E"/>
    <w:rsid w:val="25533BE8"/>
    <w:rsid w:val="2559E671"/>
    <w:rsid w:val="257C42B9"/>
    <w:rsid w:val="2584870E"/>
    <w:rsid w:val="2587032E"/>
    <w:rsid w:val="258FDEEE"/>
    <w:rsid w:val="259B1E51"/>
    <w:rsid w:val="25C009EF"/>
    <w:rsid w:val="25CC63EA"/>
    <w:rsid w:val="25DD98BA"/>
    <w:rsid w:val="25E49C08"/>
    <w:rsid w:val="25E5E877"/>
    <w:rsid w:val="25EC7E02"/>
    <w:rsid w:val="25F85A50"/>
    <w:rsid w:val="26258603"/>
    <w:rsid w:val="2632B301"/>
    <w:rsid w:val="2633C889"/>
    <w:rsid w:val="263E109A"/>
    <w:rsid w:val="26455060"/>
    <w:rsid w:val="2657F5CE"/>
    <w:rsid w:val="266079F9"/>
    <w:rsid w:val="2664FE94"/>
    <w:rsid w:val="26718B6B"/>
    <w:rsid w:val="2681A3E7"/>
    <w:rsid w:val="269DD98A"/>
    <w:rsid w:val="26A246A7"/>
    <w:rsid w:val="26DB0F07"/>
    <w:rsid w:val="26E59C78"/>
    <w:rsid w:val="26EA7D57"/>
    <w:rsid w:val="26EF1DA2"/>
    <w:rsid w:val="26F4D429"/>
    <w:rsid w:val="2709A51B"/>
    <w:rsid w:val="2715C7BA"/>
    <w:rsid w:val="2769A043"/>
    <w:rsid w:val="276F64C5"/>
    <w:rsid w:val="27720C2A"/>
    <w:rsid w:val="2782BCCA"/>
    <w:rsid w:val="278486B0"/>
    <w:rsid w:val="278C1C20"/>
    <w:rsid w:val="27909BA3"/>
    <w:rsid w:val="27AFDF40"/>
    <w:rsid w:val="27E24036"/>
    <w:rsid w:val="27F4C8E5"/>
    <w:rsid w:val="280336FE"/>
    <w:rsid w:val="280C4767"/>
    <w:rsid w:val="281642E1"/>
    <w:rsid w:val="28224635"/>
    <w:rsid w:val="283993C1"/>
    <w:rsid w:val="283B5F0F"/>
    <w:rsid w:val="283D8643"/>
    <w:rsid w:val="286B170A"/>
    <w:rsid w:val="2873ADCE"/>
    <w:rsid w:val="288FCADE"/>
    <w:rsid w:val="2890FA53"/>
    <w:rsid w:val="289EDD44"/>
    <w:rsid w:val="28BDE5CC"/>
    <w:rsid w:val="28D30966"/>
    <w:rsid w:val="28E7C391"/>
    <w:rsid w:val="28E83A54"/>
    <w:rsid w:val="28F8B624"/>
    <w:rsid w:val="2906A5F9"/>
    <w:rsid w:val="29112F51"/>
    <w:rsid w:val="2919B2C6"/>
    <w:rsid w:val="2922FD30"/>
    <w:rsid w:val="2923B77A"/>
    <w:rsid w:val="2923C7D9"/>
    <w:rsid w:val="292640C9"/>
    <w:rsid w:val="29316C86"/>
    <w:rsid w:val="293DE92A"/>
    <w:rsid w:val="2949A828"/>
    <w:rsid w:val="29634D4E"/>
    <w:rsid w:val="297773E6"/>
    <w:rsid w:val="298C5FB5"/>
    <w:rsid w:val="298F2943"/>
    <w:rsid w:val="2998A020"/>
    <w:rsid w:val="29B5EC06"/>
    <w:rsid w:val="29BC48C1"/>
    <w:rsid w:val="29C1A141"/>
    <w:rsid w:val="2A00A8EE"/>
    <w:rsid w:val="2A1FDD62"/>
    <w:rsid w:val="2A383B79"/>
    <w:rsid w:val="2A427350"/>
    <w:rsid w:val="2A4AAC67"/>
    <w:rsid w:val="2A59484A"/>
    <w:rsid w:val="2A5B9E0B"/>
    <w:rsid w:val="2A5FF294"/>
    <w:rsid w:val="2A646D5A"/>
    <w:rsid w:val="2A92D4FD"/>
    <w:rsid w:val="2A953B6C"/>
    <w:rsid w:val="2A9569C4"/>
    <w:rsid w:val="2AA4520B"/>
    <w:rsid w:val="2ADE650A"/>
    <w:rsid w:val="2AF26393"/>
    <w:rsid w:val="2AFF692E"/>
    <w:rsid w:val="2B1DF5E1"/>
    <w:rsid w:val="2B204A56"/>
    <w:rsid w:val="2B2C52EA"/>
    <w:rsid w:val="2B37D5D2"/>
    <w:rsid w:val="2B4AC7C1"/>
    <w:rsid w:val="2B4EEDD6"/>
    <w:rsid w:val="2B59A829"/>
    <w:rsid w:val="2B5A1BB2"/>
    <w:rsid w:val="2B5EB4ED"/>
    <w:rsid w:val="2B5FA119"/>
    <w:rsid w:val="2B7F960E"/>
    <w:rsid w:val="2B94E6B6"/>
    <w:rsid w:val="2B96C3DB"/>
    <w:rsid w:val="2BA8C86C"/>
    <w:rsid w:val="2BB62B72"/>
    <w:rsid w:val="2BE29358"/>
    <w:rsid w:val="2BEB38B6"/>
    <w:rsid w:val="2C0A107E"/>
    <w:rsid w:val="2C0D3F28"/>
    <w:rsid w:val="2C19A9D8"/>
    <w:rsid w:val="2C232CBB"/>
    <w:rsid w:val="2C31AD9A"/>
    <w:rsid w:val="2C356A2E"/>
    <w:rsid w:val="2C3B82EC"/>
    <w:rsid w:val="2C3D01EE"/>
    <w:rsid w:val="2C5C3A51"/>
    <w:rsid w:val="2C636CFB"/>
    <w:rsid w:val="2C6B0A12"/>
    <w:rsid w:val="2CA84D79"/>
    <w:rsid w:val="2CABB673"/>
    <w:rsid w:val="2CBC3286"/>
    <w:rsid w:val="2CC9B747"/>
    <w:rsid w:val="2CCB467C"/>
    <w:rsid w:val="2CD9D5AC"/>
    <w:rsid w:val="2CE299B9"/>
    <w:rsid w:val="2CEA0F64"/>
    <w:rsid w:val="2CF66DE8"/>
    <w:rsid w:val="2D014722"/>
    <w:rsid w:val="2D31DB13"/>
    <w:rsid w:val="2D3BF6E3"/>
    <w:rsid w:val="2D460E47"/>
    <w:rsid w:val="2D5002D0"/>
    <w:rsid w:val="2D69DE76"/>
    <w:rsid w:val="2D6A0CE7"/>
    <w:rsid w:val="2D774E0D"/>
    <w:rsid w:val="2D80CFDF"/>
    <w:rsid w:val="2D8D91EB"/>
    <w:rsid w:val="2D9147F2"/>
    <w:rsid w:val="2D9EA8BB"/>
    <w:rsid w:val="2DB238D2"/>
    <w:rsid w:val="2DC3CACA"/>
    <w:rsid w:val="2DCE9CB0"/>
    <w:rsid w:val="2DD55259"/>
    <w:rsid w:val="2DE83236"/>
    <w:rsid w:val="2E16D140"/>
    <w:rsid w:val="2E17E5E9"/>
    <w:rsid w:val="2E2A3E3C"/>
    <w:rsid w:val="2E2AD936"/>
    <w:rsid w:val="2E467245"/>
    <w:rsid w:val="2E49372A"/>
    <w:rsid w:val="2E4EDA41"/>
    <w:rsid w:val="2E5AE4A3"/>
    <w:rsid w:val="2E637BF4"/>
    <w:rsid w:val="2E6967A4"/>
    <w:rsid w:val="2E7257C3"/>
    <w:rsid w:val="2E7D9FD1"/>
    <w:rsid w:val="2E813951"/>
    <w:rsid w:val="2E81AD0C"/>
    <w:rsid w:val="2E832B9D"/>
    <w:rsid w:val="2E941058"/>
    <w:rsid w:val="2E9F2AA5"/>
    <w:rsid w:val="2EA036B4"/>
    <w:rsid w:val="2EBF8DF2"/>
    <w:rsid w:val="2EC0F5F0"/>
    <w:rsid w:val="2EC18231"/>
    <w:rsid w:val="2EC80DF6"/>
    <w:rsid w:val="2EF002AF"/>
    <w:rsid w:val="2F117E67"/>
    <w:rsid w:val="2F1D132A"/>
    <w:rsid w:val="2F61E7C7"/>
    <w:rsid w:val="2F649C70"/>
    <w:rsid w:val="2F74F13A"/>
    <w:rsid w:val="2F89BFC6"/>
    <w:rsid w:val="2F8B5D03"/>
    <w:rsid w:val="2F9B0DBD"/>
    <w:rsid w:val="2FA844E9"/>
    <w:rsid w:val="2FAB98AC"/>
    <w:rsid w:val="2FB4F523"/>
    <w:rsid w:val="2FD53197"/>
    <w:rsid w:val="2FD80A49"/>
    <w:rsid w:val="2FF96B92"/>
    <w:rsid w:val="3000462F"/>
    <w:rsid w:val="301A91E9"/>
    <w:rsid w:val="301B0285"/>
    <w:rsid w:val="3031E054"/>
    <w:rsid w:val="30378691"/>
    <w:rsid w:val="30385636"/>
    <w:rsid w:val="304FFFFD"/>
    <w:rsid w:val="3067833B"/>
    <w:rsid w:val="30749880"/>
    <w:rsid w:val="308A7585"/>
    <w:rsid w:val="308CD115"/>
    <w:rsid w:val="30906DF2"/>
    <w:rsid w:val="30B2F007"/>
    <w:rsid w:val="30C5A3B2"/>
    <w:rsid w:val="30CAAB29"/>
    <w:rsid w:val="30CCAE18"/>
    <w:rsid w:val="30DB3618"/>
    <w:rsid w:val="30DFA16B"/>
    <w:rsid w:val="30F60D14"/>
    <w:rsid w:val="31051E7A"/>
    <w:rsid w:val="31173452"/>
    <w:rsid w:val="3119034F"/>
    <w:rsid w:val="311F3845"/>
    <w:rsid w:val="3122ED42"/>
    <w:rsid w:val="3129E5F7"/>
    <w:rsid w:val="316397BC"/>
    <w:rsid w:val="3166D016"/>
    <w:rsid w:val="317C953F"/>
    <w:rsid w:val="3187127B"/>
    <w:rsid w:val="31D7B74E"/>
    <w:rsid w:val="3203E88B"/>
    <w:rsid w:val="320B5F44"/>
    <w:rsid w:val="324B9C8E"/>
    <w:rsid w:val="32596517"/>
    <w:rsid w:val="325D45BE"/>
    <w:rsid w:val="3268FE63"/>
    <w:rsid w:val="326996C7"/>
    <w:rsid w:val="3272AEE9"/>
    <w:rsid w:val="3274775C"/>
    <w:rsid w:val="327E0278"/>
    <w:rsid w:val="32A9003B"/>
    <w:rsid w:val="32CC76BB"/>
    <w:rsid w:val="32CFA1ED"/>
    <w:rsid w:val="330A6CC8"/>
    <w:rsid w:val="3317A6E6"/>
    <w:rsid w:val="331DBD1F"/>
    <w:rsid w:val="3325FAB6"/>
    <w:rsid w:val="332CF3B8"/>
    <w:rsid w:val="332E317D"/>
    <w:rsid w:val="3338DAD6"/>
    <w:rsid w:val="3341A3E2"/>
    <w:rsid w:val="334357C8"/>
    <w:rsid w:val="33678BD0"/>
    <w:rsid w:val="33BCD7E5"/>
    <w:rsid w:val="33C3CFAE"/>
    <w:rsid w:val="33DC3A61"/>
    <w:rsid w:val="33DD6108"/>
    <w:rsid w:val="33F06BE7"/>
    <w:rsid w:val="33F246DB"/>
    <w:rsid w:val="33F64049"/>
    <w:rsid w:val="34058288"/>
    <w:rsid w:val="3409D3CF"/>
    <w:rsid w:val="3420ABFA"/>
    <w:rsid w:val="342D5066"/>
    <w:rsid w:val="343E1C58"/>
    <w:rsid w:val="3441A8DF"/>
    <w:rsid w:val="344CDAD3"/>
    <w:rsid w:val="34770F96"/>
    <w:rsid w:val="3488C2FA"/>
    <w:rsid w:val="34ACBB6F"/>
    <w:rsid w:val="34B54B02"/>
    <w:rsid w:val="34B5C85F"/>
    <w:rsid w:val="34C34F52"/>
    <w:rsid w:val="34C7FCCD"/>
    <w:rsid w:val="34F00CB9"/>
    <w:rsid w:val="34FBF14A"/>
    <w:rsid w:val="3502D686"/>
    <w:rsid w:val="350ACF0F"/>
    <w:rsid w:val="350D23FD"/>
    <w:rsid w:val="3510A16C"/>
    <w:rsid w:val="35147A80"/>
    <w:rsid w:val="351F583F"/>
    <w:rsid w:val="3530B278"/>
    <w:rsid w:val="35430006"/>
    <w:rsid w:val="354EBD1C"/>
    <w:rsid w:val="356241D3"/>
    <w:rsid w:val="356572FA"/>
    <w:rsid w:val="357150D2"/>
    <w:rsid w:val="358698A7"/>
    <w:rsid w:val="3590DC4C"/>
    <w:rsid w:val="35A5D71A"/>
    <w:rsid w:val="35B42A2E"/>
    <w:rsid w:val="35E2680F"/>
    <w:rsid w:val="35E354DA"/>
    <w:rsid w:val="35E4027D"/>
    <w:rsid w:val="35F5BA84"/>
    <w:rsid w:val="360E657E"/>
    <w:rsid w:val="36195AA6"/>
    <w:rsid w:val="36198B9C"/>
    <w:rsid w:val="361ADA30"/>
    <w:rsid w:val="36262BCA"/>
    <w:rsid w:val="364BD436"/>
    <w:rsid w:val="36507818"/>
    <w:rsid w:val="3650B6D1"/>
    <w:rsid w:val="366F6234"/>
    <w:rsid w:val="36819DE6"/>
    <w:rsid w:val="368225CF"/>
    <w:rsid w:val="369498C5"/>
    <w:rsid w:val="36A2DD58"/>
    <w:rsid w:val="36C48A22"/>
    <w:rsid w:val="36D6C856"/>
    <w:rsid w:val="36E3108E"/>
    <w:rsid w:val="36FBD94D"/>
    <w:rsid w:val="371B43A2"/>
    <w:rsid w:val="3729814B"/>
    <w:rsid w:val="37745FFE"/>
    <w:rsid w:val="3780831F"/>
    <w:rsid w:val="37867C6E"/>
    <w:rsid w:val="37B9C953"/>
    <w:rsid w:val="37DC71BB"/>
    <w:rsid w:val="37DED306"/>
    <w:rsid w:val="37FE3369"/>
    <w:rsid w:val="383D3CDB"/>
    <w:rsid w:val="38662982"/>
    <w:rsid w:val="3887CB67"/>
    <w:rsid w:val="388DF49C"/>
    <w:rsid w:val="388EAD5E"/>
    <w:rsid w:val="388F4C4E"/>
    <w:rsid w:val="38BADE12"/>
    <w:rsid w:val="38C5AA88"/>
    <w:rsid w:val="38E54847"/>
    <w:rsid w:val="38E75CBE"/>
    <w:rsid w:val="38E947ED"/>
    <w:rsid w:val="38FF81F3"/>
    <w:rsid w:val="39210D0A"/>
    <w:rsid w:val="392E6C3E"/>
    <w:rsid w:val="393453EC"/>
    <w:rsid w:val="393C7E7F"/>
    <w:rsid w:val="393D46FD"/>
    <w:rsid w:val="394D54AF"/>
    <w:rsid w:val="3966D87B"/>
    <w:rsid w:val="396DDF4B"/>
    <w:rsid w:val="396E4835"/>
    <w:rsid w:val="398718C8"/>
    <w:rsid w:val="39A187FB"/>
    <w:rsid w:val="39A3D6C9"/>
    <w:rsid w:val="39B3A0D3"/>
    <w:rsid w:val="39DF39AD"/>
    <w:rsid w:val="3A02FD73"/>
    <w:rsid w:val="3A1C13E4"/>
    <w:rsid w:val="3A21322E"/>
    <w:rsid w:val="3A2485D4"/>
    <w:rsid w:val="3A2C0856"/>
    <w:rsid w:val="3A375340"/>
    <w:rsid w:val="3A38C523"/>
    <w:rsid w:val="3A5C2BF5"/>
    <w:rsid w:val="3A780C75"/>
    <w:rsid w:val="3A9C2278"/>
    <w:rsid w:val="3A9D9DA0"/>
    <w:rsid w:val="3ACDB2E4"/>
    <w:rsid w:val="3AD18EB0"/>
    <w:rsid w:val="3AD6D9AE"/>
    <w:rsid w:val="3ADAE281"/>
    <w:rsid w:val="3ADC0F01"/>
    <w:rsid w:val="3AE6FA01"/>
    <w:rsid w:val="3AF5BBF8"/>
    <w:rsid w:val="3B0A2A61"/>
    <w:rsid w:val="3B12F311"/>
    <w:rsid w:val="3B306A5A"/>
    <w:rsid w:val="3B335374"/>
    <w:rsid w:val="3B36B787"/>
    <w:rsid w:val="3B5492FE"/>
    <w:rsid w:val="3B81827A"/>
    <w:rsid w:val="3B899692"/>
    <w:rsid w:val="3B9CA39C"/>
    <w:rsid w:val="3BCE54C5"/>
    <w:rsid w:val="3BCFEE81"/>
    <w:rsid w:val="3BE3A1DD"/>
    <w:rsid w:val="3BF3670C"/>
    <w:rsid w:val="3BF99386"/>
    <w:rsid w:val="3C07BFB8"/>
    <w:rsid w:val="3C0F5D05"/>
    <w:rsid w:val="3C140E8E"/>
    <w:rsid w:val="3C2D75D0"/>
    <w:rsid w:val="3C396E01"/>
    <w:rsid w:val="3C6D6833"/>
    <w:rsid w:val="3C708DBD"/>
    <w:rsid w:val="3C77E4BE"/>
    <w:rsid w:val="3C791111"/>
    <w:rsid w:val="3C80941C"/>
    <w:rsid w:val="3C850F71"/>
    <w:rsid w:val="3C8ACD3A"/>
    <w:rsid w:val="3C8CC22E"/>
    <w:rsid w:val="3C91F64F"/>
    <w:rsid w:val="3C96954B"/>
    <w:rsid w:val="3CA18CA4"/>
    <w:rsid w:val="3CA45594"/>
    <w:rsid w:val="3CB4E84B"/>
    <w:rsid w:val="3CBACD01"/>
    <w:rsid w:val="3CC22577"/>
    <w:rsid w:val="3CC690CC"/>
    <w:rsid w:val="3CDFBD1C"/>
    <w:rsid w:val="3CE63B4C"/>
    <w:rsid w:val="3CEF5ECF"/>
    <w:rsid w:val="3CFE8518"/>
    <w:rsid w:val="3D09C3F2"/>
    <w:rsid w:val="3D16BC69"/>
    <w:rsid w:val="3D35A642"/>
    <w:rsid w:val="3D385AD8"/>
    <w:rsid w:val="3D39E5F3"/>
    <w:rsid w:val="3D5C3446"/>
    <w:rsid w:val="3D6A41B9"/>
    <w:rsid w:val="3D72D289"/>
    <w:rsid w:val="3D824C53"/>
    <w:rsid w:val="3DAFC249"/>
    <w:rsid w:val="3DC0A098"/>
    <w:rsid w:val="3DC45983"/>
    <w:rsid w:val="3DC924B5"/>
    <w:rsid w:val="3DD7E443"/>
    <w:rsid w:val="3DF3D589"/>
    <w:rsid w:val="3DF7E363"/>
    <w:rsid w:val="3E03FBD1"/>
    <w:rsid w:val="3E18EDDD"/>
    <w:rsid w:val="3E194B27"/>
    <w:rsid w:val="3E5AEEC4"/>
    <w:rsid w:val="3E8055BE"/>
    <w:rsid w:val="3E81E2DA"/>
    <w:rsid w:val="3E85C11E"/>
    <w:rsid w:val="3E9BA54F"/>
    <w:rsid w:val="3E9E14C4"/>
    <w:rsid w:val="3EB9C378"/>
    <w:rsid w:val="3EC762E3"/>
    <w:rsid w:val="3EF679A9"/>
    <w:rsid w:val="3F066C43"/>
    <w:rsid w:val="3F171BC3"/>
    <w:rsid w:val="3F18E98B"/>
    <w:rsid w:val="3F298401"/>
    <w:rsid w:val="3F3628BC"/>
    <w:rsid w:val="3F625474"/>
    <w:rsid w:val="3F7DB70B"/>
    <w:rsid w:val="3FBC1679"/>
    <w:rsid w:val="3FC42661"/>
    <w:rsid w:val="3FCBC935"/>
    <w:rsid w:val="3FE46DF8"/>
    <w:rsid w:val="400119AD"/>
    <w:rsid w:val="4008A528"/>
    <w:rsid w:val="4013E35F"/>
    <w:rsid w:val="4016E309"/>
    <w:rsid w:val="40259168"/>
    <w:rsid w:val="4025FDE2"/>
    <w:rsid w:val="402777E7"/>
    <w:rsid w:val="402E9B82"/>
    <w:rsid w:val="40309A80"/>
    <w:rsid w:val="40384B13"/>
    <w:rsid w:val="403D128D"/>
    <w:rsid w:val="405B7055"/>
    <w:rsid w:val="4075ECAC"/>
    <w:rsid w:val="40913738"/>
    <w:rsid w:val="40916876"/>
    <w:rsid w:val="40A9CC0C"/>
    <w:rsid w:val="40B90CAB"/>
    <w:rsid w:val="40C5EFF7"/>
    <w:rsid w:val="41060BE5"/>
    <w:rsid w:val="4109A692"/>
    <w:rsid w:val="410BAAB4"/>
    <w:rsid w:val="412909A3"/>
    <w:rsid w:val="41404FE7"/>
    <w:rsid w:val="4145E8FD"/>
    <w:rsid w:val="414B52AB"/>
    <w:rsid w:val="41670261"/>
    <w:rsid w:val="417FCC42"/>
    <w:rsid w:val="418725C2"/>
    <w:rsid w:val="418D5778"/>
    <w:rsid w:val="41A6D568"/>
    <w:rsid w:val="41A841F9"/>
    <w:rsid w:val="41ACABDE"/>
    <w:rsid w:val="41ADFB13"/>
    <w:rsid w:val="41C9FDBB"/>
    <w:rsid w:val="41D11D6C"/>
    <w:rsid w:val="41E31E1C"/>
    <w:rsid w:val="41ECD44B"/>
    <w:rsid w:val="41ECFADE"/>
    <w:rsid w:val="421848D2"/>
    <w:rsid w:val="423288B3"/>
    <w:rsid w:val="423D0E88"/>
    <w:rsid w:val="42596350"/>
    <w:rsid w:val="425A2249"/>
    <w:rsid w:val="425B6549"/>
    <w:rsid w:val="4267356B"/>
    <w:rsid w:val="426A540B"/>
    <w:rsid w:val="426CB866"/>
    <w:rsid w:val="4286026E"/>
    <w:rsid w:val="428F25B3"/>
    <w:rsid w:val="42908227"/>
    <w:rsid w:val="42A47952"/>
    <w:rsid w:val="42D45E36"/>
    <w:rsid w:val="42D82E64"/>
    <w:rsid w:val="42E50195"/>
    <w:rsid w:val="42E51F78"/>
    <w:rsid w:val="43055165"/>
    <w:rsid w:val="430A6806"/>
    <w:rsid w:val="43687C77"/>
    <w:rsid w:val="43742F81"/>
    <w:rsid w:val="4387EB5C"/>
    <w:rsid w:val="438834AC"/>
    <w:rsid w:val="438D6EB5"/>
    <w:rsid w:val="43CFDB82"/>
    <w:rsid w:val="43EBC382"/>
    <w:rsid w:val="43F33FD3"/>
    <w:rsid w:val="43FD90B9"/>
    <w:rsid w:val="440A27A4"/>
    <w:rsid w:val="4411D99B"/>
    <w:rsid w:val="442083DA"/>
    <w:rsid w:val="442C33C7"/>
    <w:rsid w:val="445C1968"/>
    <w:rsid w:val="445FA9A0"/>
    <w:rsid w:val="44678BEC"/>
    <w:rsid w:val="447B2BC0"/>
    <w:rsid w:val="4482A982"/>
    <w:rsid w:val="4494E067"/>
    <w:rsid w:val="4498DE99"/>
    <w:rsid w:val="44AF6305"/>
    <w:rsid w:val="44CD71A2"/>
    <w:rsid w:val="44E4226A"/>
    <w:rsid w:val="44E8DEFD"/>
    <w:rsid w:val="44FA9DDB"/>
    <w:rsid w:val="452B5647"/>
    <w:rsid w:val="45687C1F"/>
    <w:rsid w:val="45710F54"/>
    <w:rsid w:val="4575DAA9"/>
    <w:rsid w:val="45838EC9"/>
    <w:rsid w:val="458FA1C1"/>
    <w:rsid w:val="459BEFB0"/>
    <w:rsid w:val="45C72EE6"/>
    <w:rsid w:val="45E328F9"/>
    <w:rsid w:val="45EFF87F"/>
    <w:rsid w:val="45F3C3B6"/>
    <w:rsid w:val="46022CBA"/>
    <w:rsid w:val="460F5667"/>
    <w:rsid w:val="461686C5"/>
    <w:rsid w:val="462757EB"/>
    <w:rsid w:val="46347F37"/>
    <w:rsid w:val="4662075E"/>
    <w:rsid w:val="4676B35C"/>
    <w:rsid w:val="467AB6EA"/>
    <w:rsid w:val="46886E04"/>
    <w:rsid w:val="468B6938"/>
    <w:rsid w:val="468F6B92"/>
    <w:rsid w:val="46939D80"/>
    <w:rsid w:val="4694EFE4"/>
    <w:rsid w:val="46BC0AFF"/>
    <w:rsid w:val="46CDCC7E"/>
    <w:rsid w:val="46D97E91"/>
    <w:rsid w:val="470A1906"/>
    <w:rsid w:val="470E0108"/>
    <w:rsid w:val="47122E53"/>
    <w:rsid w:val="4722FD0D"/>
    <w:rsid w:val="4728D48A"/>
    <w:rsid w:val="472DE45A"/>
    <w:rsid w:val="4743DA81"/>
    <w:rsid w:val="474E59D8"/>
    <w:rsid w:val="475BDD23"/>
    <w:rsid w:val="476240F2"/>
    <w:rsid w:val="47673FCD"/>
    <w:rsid w:val="477ED6A7"/>
    <w:rsid w:val="478DA937"/>
    <w:rsid w:val="479857AF"/>
    <w:rsid w:val="479A1ADC"/>
    <w:rsid w:val="479E9239"/>
    <w:rsid w:val="47BD10F0"/>
    <w:rsid w:val="47D450E4"/>
    <w:rsid w:val="47DB146F"/>
    <w:rsid w:val="47DE302D"/>
    <w:rsid w:val="47EE4080"/>
    <w:rsid w:val="48068975"/>
    <w:rsid w:val="4808C6B8"/>
    <w:rsid w:val="4818320E"/>
    <w:rsid w:val="4820E7A6"/>
    <w:rsid w:val="48224588"/>
    <w:rsid w:val="482895FF"/>
    <w:rsid w:val="4858EB65"/>
    <w:rsid w:val="487ED382"/>
    <w:rsid w:val="48A5E967"/>
    <w:rsid w:val="48BD5EE4"/>
    <w:rsid w:val="48C0B671"/>
    <w:rsid w:val="48C6AABE"/>
    <w:rsid w:val="48E0FF0E"/>
    <w:rsid w:val="48EC1214"/>
    <w:rsid w:val="48F22DF0"/>
    <w:rsid w:val="48F8263B"/>
    <w:rsid w:val="48F8F87B"/>
    <w:rsid w:val="49090CA6"/>
    <w:rsid w:val="4915ADCD"/>
    <w:rsid w:val="4928898D"/>
    <w:rsid w:val="492AE47B"/>
    <w:rsid w:val="495D6814"/>
    <w:rsid w:val="496A0A54"/>
    <w:rsid w:val="496B492F"/>
    <w:rsid w:val="49904439"/>
    <w:rsid w:val="49C41EA2"/>
    <w:rsid w:val="49C5A3C2"/>
    <w:rsid w:val="49ECAAD6"/>
    <w:rsid w:val="4A2B4785"/>
    <w:rsid w:val="4A55A640"/>
    <w:rsid w:val="4AAFF7E9"/>
    <w:rsid w:val="4AC0CA3F"/>
    <w:rsid w:val="4AC0E487"/>
    <w:rsid w:val="4AD50E11"/>
    <w:rsid w:val="4AE002DD"/>
    <w:rsid w:val="4AE2DC9B"/>
    <w:rsid w:val="4AF93196"/>
    <w:rsid w:val="4AF9F508"/>
    <w:rsid w:val="4B07A2C4"/>
    <w:rsid w:val="4B0EF86B"/>
    <w:rsid w:val="4B15F969"/>
    <w:rsid w:val="4B1DDB52"/>
    <w:rsid w:val="4B727519"/>
    <w:rsid w:val="4B7EE6D1"/>
    <w:rsid w:val="4BADCEDF"/>
    <w:rsid w:val="4BB56ADB"/>
    <w:rsid w:val="4BC92F85"/>
    <w:rsid w:val="4BCC9A10"/>
    <w:rsid w:val="4BDF09B3"/>
    <w:rsid w:val="4C22AB28"/>
    <w:rsid w:val="4C23BF1C"/>
    <w:rsid w:val="4C24392E"/>
    <w:rsid w:val="4C2D2ABC"/>
    <w:rsid w:val="4C446BA0"/>
    <w:rsid w:val="4C56551D"/>
    <w:rsid w:val="4C5C0BBF"/>
    <w:rsid w:val="4C788DED"/>
    <w:rsid w:val="4CAF0745"/>
    <w:rsid w:val="4CB02844"/>
    <w:rsid w:val="4CCA39C5"/>
    <w:rsid w:val="4CCE3DDB"/>
    <w:rsid w:val="4CE0D9D4"/>
    <w:rsid w:val="4CF4C782"/>
    <w:rsid w:val="4CFA0394"/>
    <w:rsid w:val="4CFCB508"/>
    <w:rsid w:val="4D111D6F"/>
    <w:rsid w:val="4D15FFEB"/>
    <w:rsid w:val="4D482FB1"/>
    <w:rsid w:val="4D52E711"/>
    <w:rsid w:val="4D64848D"/>
    <w:rsid w:val="4D674F17"/>
    <w:rsid w:val="4D84C895"/>
    <w:rsid w:val="4D86BC33"/>
    <w:rsid w:val="4DA0DA18"/>
    <w:rsid w:val="4DA6C744"/>
    <w:rsid w:val="4DF47E0F"/>
    <w:rsid w:val="4E0B2C79"/>
    <w:rsid w:val="4E0C555C"/>
    <w:rsid w:val="4E1E1BAA"/>
    <w:rsid w:val="4E28CCBE"/>
    <w:rsid w:val="4E2ED779"/>
    <w:rsid w:val="4E34378E"/>
    <w:rsid w:val="4E3E6553"/>
    <w:rsid w:val="4E5AFF27"/>
    <w:rsid w:val="4E5F2AC4"/>
    <w:rsid w:val="4E731646"/>
    <w:rsid w:val="4E8DE0EF"/>
    <w:rsid w:val="4E90B888"/>
    <w:rsid w:val="4E988569"/>
    <w:rsid w:val="4E9B5245"/>
    <w:rsid w:val="4EA0C7A6"/>
    <w:rsid w:val="4EAD3450"/>
    <w:rsid w:val="4EBA2E5B"/>
    <w:rsid w:val="4EF5496F"/>
    <w:rsid w:val="4F18642A"/>
    <w:rsid w:val="4F31DCCE"/>
    <w:rsid w:val="4F3902AC"/>
    <w:rsid w:val="4F3D7A5E"/>
    <w:rsid w:val="4F713030"/>
    <w:rsid w:val="4F907641"/>
    <w:rsid w:val="4F9CE445"/>
    <w:rsid w:val="4FB1E47C"/>
    <w:rsid w:val="4FE33FB2"/>
    <w:rsid w:val="50070256"/>
    <w:rsid w:val="500F9867"/>
    <w:rsid w:val="501B239E"/>
    <w:rsid w:val="501E7CBB"/>
    <w:rsid w:val="505C9D14"/>
    <w:rsid w:val="506CEF53"/>
    <w:rsid w:val="508AF1D0"/>
    <w:rsid w:val="5091A1D0"/>
    <w:rsid w:val="5093EF29"/>
    <w:rsid w:val="50957C88"/>
    <w:rsid w:val="509AF65F"/>
    <w:rsid w:val="50A0186C"/>
    <w:rsid w:val="50AF44F3"/>
    <w:rsid w:val="50E41E30"/>
    <w:rsid w:val="50EB543F"/>
    <w:rsid w:val="50EBED64"/>
    <w:rsid w:val="50F7B1FB"/>
    <w:rsid w:val="50F7D66C"/>
    <w:rsid w:val="5108FEFB"/>
    <w:rsid w:val="510A77C0"/>
    <w:rsid w:val="510E0F94"/>
    <w:rsid w:val="513EAEC7"/>
    <w:rsid w:val="513F2F81"/>
    <w:rsid w:val="514F3BDE"/>
    <w:rsid w:val="5150217B"/>
    <w:rsid w:val="517E17F5"/>
    <w:rsid w:val="51B65217"/>
    <w:rsid w:val="5202D416"/>
    <w:rsid w:val="523A2CB4"/>
    <w:rsid w:val="524A16D7"/>
    <w:rsid w:val="5251C857"/>
    <w:rsid w:val="5253F375"/>
    <w:rsid w:val="52668D31"/>
    <w:rsid w:val="52676698"/>
    <w:rsid w:val="526D1AE1"/>
    <w:rsid w:val="52825ACE"/>
    <w:rsid w:val="52988988"/>
    <w:rsid w:val="52B4E80B"/>
    <w:rsid w:val="52C7F4C7"/>
    <w:rsid w:val="52CCFD23"/>
    <w:rsid w:val="52D6879C"/>
    <w:rsid w:val="52DE9530"/>
    <w:rsid w:val="52ED73F6"/>
    <w:rsid w:val="53026E1B"/>
    <w:rsid w:val="5307F263"/>
    <w:rsid w:val="53090660"/>
    <w:rsid w:val="530ABDD1"/>
    <w:rsid w:val="530B4BBE"/>
    <w:rsid w:val="53185ADE"/>
    <w:rsid w:val="53499896"/>
    <w:rsid w:val="534BA79E"/>
    <w:rsid w:val="534E2B59"/>
    <w:rsid w:val="535EF193"/>
    <w:rsid w:val="5376482E"/>
    <w:rsid w:val="539759BC"/>
    <w:rsid w:val="53A22E43"/>
    <w:rsid w:val="53AAD00D"/>
    <w:rsid w:val="53B85EF1"/>
    <w:rsid w:val="53E237F6"/>
    <w:rsid w:val="5413B483"/>
    <w:rsid w:val="54330E96"/>
    <w:rsid w:val="54462581"/>
    <w:rsid w:val="544A8711"/>
    <w:rsid w:val="544E5884"/>
    <w:rsid w:val="54525F7E"/>
    <w:rsid w:val="5452E57A"/>
    <w:rsid w:val="546648D4"/>
    <w:rsid w:val="546A29FE"/>
    <w:rsid w:val="546D97E0"/>
    <w:rsid w:val="5477BDBC"/>
    <w:rsid w:val="5496ADD8"/>
    <w:rsid w:val="549B93F8"/>
    <w:rsid w:val="549E3E95"/>
    <w:rsid w:val="54A81D42"/>
    <w:rsid w:val="54B36AFC"/>
    <w:rsid w:val="54B6E131"/>
    <w:rsid w:val="54BC2049"/>
    <w:rsid w:val="54C5CEB0"/>
    <w:rsid w:val="54D07345"/>
    <w:rsid w:val="54D3FD64"/>
    <w:rsid w:val="54F7A763"/>
    <w:rsid w:val="54FB7236"/>
    <w:rsid w:val="54FF4D3F"/>
    <w:rsid w:val="550AA1CB"/>
    <w:rsid w:val="551CAC5A"/>
    <w:rsid w:val="5522AE9B"/>
    <w:rsid w:val="5541D066"/>
    <w:rsid w:val="554AD091"/>
    <w:rsid w:val="556144EE"/>
    <w:rsid w:val="55728D70"/>
    <w:rsid w:val="55732549"/>
    <w:rsid w:val="5579A4F0"/>
    <w:rsid w:val="557A6803"/>
    <w:rsid w:val="557B039B"/>
    <w:rsid w:val="559BDF7A"/>
    <w:rsid w:val="55A3AA76"/>
    <w:rsid w:val="55A49C86"/>
    <w:rsid w:val="55C22139"/>
    <w:rsid w:val="55D6DDD3"/>
    <w:rsid w:val="55DA73FD"/>
    <w:rsid w:val="55E40876"/>
    <w:rsid w:val="5604393E"/>
    <w:rsid w:val="560570A8"/>
    <w:rsid w:val="56133CE7"/>
    <w:rsid w:val="561B5830"/>
    <w:rsid w:val="5659983E"/>
    <w:rsid w:val="56657580"/>
    <w:rsid w:val="5674781C"/>
    <w:rsid w:val="56900714"/>
    <w:rsid w:val="56AB4657"/>
    <w:rsid w:val="56F40D18"/>
    <w:rsid w:val="57039E23"/>
    <w:rsid w:val="57596DAA"/>
    <w:rsid w:val="575D2377"/>
    <w:rsid w:val="579CD102"/>
    <w:rsid w:val="57A63CF0"/>
    <w:rsid w:val="57CE75D8"/>
    <w:rsid w:val="57DC6445"/>
    <w:rsid w:val="57DF5885"/>
    <w:rsid w:val="57FB94A3"/>
    <w:rsid w:val="5816D998"/>
    <w:rsid w:val="582DE17E"/>
    <w:rsid w:val="584AC326"/>
    <w:rsid w:val="5855667E"/>
    <w:rsid w:val="5885FB3A"/>
    <w:rsid w:val="58A7F766"/>
    <w:rsid w:val="58ADDA38"/>
    <w:rsid w:val="58CCBA83"/>
    <w:rsid w:val="58D12A2E"/>
    <w:rsid w:val="58ED73BF"/>
    <w:rsid w:val="58F34F2C"/>
    <w:rsid w:val="5906A2DA"/>
    <w:rsid w:val="59111EE6"/>
    <w:rsid w:val="591D5F52"/>
    <w:rsid w:val="5927C900"/>
    <w:rsid w:val="593AD9AB"/>
    <w:rsid w:val="593D15E6"/>
    <w:rsid w:val="5956626B"/>
    <w:rsid w:val="595D8F25"/>
    <w:rsid w:val="595F1E10"/>
    <w:rsid w:val="596D5EDC"/>
    <w:rsid w:val="597461F0"/>
    <w:rsid w:val="597A9862"/>
    <w:rsid w:val="5981FF21"/>
    <w:rsid w:val="59A0C4BF"/>
    <w:rsid w:val="59A980CA"/>
    <w:rsid w:val="59AEBFCE"/>
    <w:rsid w:val="59C224A5"/>
    <w:rsid w:val="59D69538"/>
    <w:rsid w:val="5A2EE1BC"/>
    <w:rsid w:val="5A3EA640"/>
    <w:rsid w:val="5A48927F"/>
    <w:rsid w:val="5A9C12C9"/>
    <w:rsid w:val="5AACA51D"/>
    <w:rsid w:val="5AB15A22"/>
    <w:rsid w:val="5AB9559F"/>
    <w:rsid w:val="5AE22512"/>
    <w:rsid w:val="5B0D655C"/>
    <w:rsid w:val="5B29134C"/>
    <w:rsid w:val="5B377E89"/>
    <w:rsid w:val="5B40E3C8"/>
    <w:rsid w:val="5B4345DE"/>
    <w:rsid w:val="5B5B5757"/>
    <w:rsid w:val="5B770871"/>
    <w:rsid w:val="5B900318"/>
    <w:rsid w:val="5BA1FF6C"/>
    <w:rsid w:val="5BB09C42"/>
    <w:rsid w:val="5BB53F93"/>
    <w:rsid w:val="5BB82A33"/>
    <w:rsid w:val="5BC498A6"/>
    <w:rsid w:val="5BD0D333"/>
    <w:rsid w:val="5BDE6CFE"/>
    <w:rsid w:val="5BE62D09"/>
    <w:rsid w:val="5BFD1B03"/>
    <w:rsid w:val="5C061CFF"/>
    <w:rsid w:val="5C1EBFED"/>
    <w:rsid w:val="5C266084"/>
    <w:rsid w:val="5C26B3EE"/>
    <w:rsid w:val="5C2757FD"/>
    <w:rsid w:val="5C293F2B"/>
    <w:rsid w:val="5C2E4DC7"/>
    <w:rsid w:val="5C3404B1"/>
    <w:rsid w:val="5C4BB437"/>
    <w:rsid w:val="5C784795"/>
    <w:rsid w:val="5C83F4C5"/>
    <w:rsid w:val="5C8DDEAC"/>
    <w:rsid w:val="5CAFE978"/>
    <w:rsid w:val="5CC5D39A"/>
    <w:rsid w:val="5CF694D7"/>
    <w:rsid w:val="5D0CD9D4"/>
    <w:rsid w:val="5D0D047C"/>
    <w:rsid w:val="5D13B630"/>
    <w:rsid w:val="5D1E310B"/>
    <w:rsid w:val="5D2404C2"/>
    <w:rsid w:val="5D392E5F"/>
    <w:rsid w:val="5D4307D7"/>
    <w:rsid w:val="5D4C10ED"/>
    <w:rsid w:val="5D52716A"/>
    <w:rsid w:val="5D662A27"/>
    <w:rsid w:val="5D747858"/>
    <w:rsid w:val="5D77E7D2"/>
    <w:rsid w:val="5D7C3D94"/>
    <w:rsid w:val="5D8234A1"/>
    <w:rsid w:val="5D8CD22C"/>
    <w:rsid w:val="5D9A2B4E"/>
    <w:rsid w:val="5D9EAB88"/>
    <w:rsid w:val="5DC1FECC"/>
    <w:rsid w:val="5DD7568D"/>
    <w:rsid w:val="5DDF6946"/>
    <w:rsid w:val="5DE4F5E0"/>
    <w:rsid w:val="5E156769"/>
    <w:rsid w:val="5E2A0BB2"/>
    <w:rsid w:val="5E3877D1"/>
    <w:rsid w:val="5E48DC1B"/>
    <w:rsid w:val="5E6BE121"/>
    <w:rsid w:val="5E80C963"/>
    <w:rsid w:val="5E80C9F2"/>
    <w:rsid w:val="5EAE59BC"/>
    <w:rsid w:val="5F13DDA9"/>
    <w:rsid w:val="5F1827FF"/>
    <w:rsid w:val="5F28F663"/>
    <w:rsid w:val="5F37AE22"/>
    <w:rsid w:val="5F57040E"/>
    <w:rsid w:val="5F58086D"/>
    <w:rsid w:val="5F5D8BD5"/>
    <w:rsid w:val="5F5E4E35"/>
    <w:rsid w:val="5F64703B"/>
    <w:rsid w:val="5F672ECF"/>
    <w:rsid w:val="5F6758C6"/>
    <w:rsid w:val="5F6BD642"/>
    <w:rsid w:val="5F73E9C2"/>
    <w:rsid w:val="5F949784"/>
    <w:rsid w:val="5FA999FB"/>
    <w:rsid w:val="5FBA4177"/>
    <w:rsid w:val="5FCFC342"/>
    <w:rsid w:val="5FD78E95"/>
    <w:rsid w:val="5FE21658"/>
    <w:rsid w:val="5FF4CFC0"/>
    <w:rsid w:val="6004D5A7"/>
    <w:rsid w:val="600D8A17"/>
    <w:rsid w:val="6023F001"/>
    <w:rsid w:val="60269017"/>
    <w:rsid w:val="60362434"/>
    <w:rsid w:val="6044783A"/>
    <w:rsid w:val="60675DDD"/>
    <w:rsid w:val="6076ED67"/>
    <w:rsid w:val="6084F16D"/>
    <w:rsid w:val="60C9ABB6"/>
    <w:rsid w:val="60CF0C9C"/>
    <w:rsid w:val="60D38B49"/>
    <w:rsid w:val="60EE5931"/>
    <w:rsid w:val="6107FB60"/>
    <w:rsid w:val="6120F6F9"/>
    <w:rsid w:val="61518801"/>
    <w:rsid w:val="615C0531"/>
    <w:rsid w:val="6161917B"/>
    <w:rsid w:val="617114D7"/>
    <w:rsid w:val="617A92AC"/>
    <w:rsid w:val="617C8D37"/>
    <w:rsid w:val="61A4CCCD"/>
    <w:rsid w:val="61A5948F"/>
    <w:rsid w:val="61E17D22"/>
    <w:rsid w:val="61EAC328"/>
    <w:rsid w:val="61ED08A5"/>
    <w:rsid w:val="61F00813"/>
    <w:rsid w:val="61F80E0C"/>
    <w:rsid w:val="61FF1D33"/>
    <w:rsid w:val="621EBE18"/>
    <w:rsid w:val="62390FAE"/>
    <w:rsid w:val="62427288"/>
    <w:rsid w:val="6247A9BC"/>
    <w:rsid w:val="6255B449"/>
    <w:rsid w:val="625C76A0"/>
    <w:rsid w:val="625F681E"/>
    <w:rsid w:val="62646AAF"/>
    <w:rsid w:val="626518D2"/>
    <w:rsid w:val="626C5C87"/>
    <w:rsid w:val="627B93C9"/>
    <w:rsid w:val="629FB213"/>
    <w:rsid w:val="62A378BD"/>
    <w:rsid w:val="62A90909"/>
    <w:rsid w:val="62C74654"/>
    <w:rsid w:val="62CFFEA8"/>
    <w:rsid w:val="631262A3"/>
    <w:rsid w:val="6315EDDC"/>
    <w:rsid w:val="631622DB"/>
    <w:rsid w:val="631BB8E3"/>
    <w:rsid w:val="63248F2E"/>
    <w:rsid w:val="632E0E10"/>
    <w:rsid w:val="632F1557"/>
    <w:rsid w:val="633098E7"/>
    <w:rsid w:val="63407408"/>
    <w:rsid w:val="634A6216"/>
    <w:rsid w:val="63510F9F"/>
    <w:rsid w:val="636EFADC"/>
    <w:rsid w:val="63771FB4"/>
    <w:rsid w:val="63826B5A"/>
    <w:rsid w:val="638AF419"/>
    <w:rsid w:val="638C6537"/>
    <w:rsid w:val="6392F6E8"/>
    <w:rsid w:val="63A9681E"/>
    <w:rsid w:val="63AA5E7A"/>
    <w:rsid w:val="63AC0D78"/>
    <w:rsid w:val="63B29B9D"/>
    <w:rsid w:val="63B5DF48"/>
    <w:rsid w:val="63C754CA"/>
    <w:rsid w:val="63CDDF91"/>
    <w:rsid w:val="63D1AE1A"/>
    <w:rsid w:val="63D1E4DB"/>
    <w:rsid w:val="63D49193"/>
    <w:rsid w:val="63D85160"/>
    <w:rsid w:val="63E23C69"/>
    <w:rsid w:val="63E95263"/>
    <w:rsid w:val="63EF46B0"/>
    <w:rsid w:val="63FC0F62"/>
    <w:rsid w:val="64022139"/>
    <w:rsid w:val="6407BD9E"/>
    <w:rsid w:val="6414897D"/>
    <w:rsid w:val="6416DF01"/>
    <w:rsid w:val="6420F713"/>
    <w:rsid w:val="642EF39C"/>
    <w:rsid w:val="645A2DB3"/>
    <w:rsid w:val="6469ACF3"/>
    <w:rsid w:val="64789AE2"/>
    <w:rsid w:val="647F72F4"/>
    <w:rsid w:val="648B9898"/>
    <w:rsid w:val="649CFC15"/>
    <w:rsid w:val="649DB565"/>
    <w:rsid w:val="64A53AFE"/>
    <w:rsid w:val="64BF5839"/>
    <w:rsid w:val="64C409A3"/>
    <w:rsid w:val="64DB746A"/>
    <w:rsid w:val="64DE2FDA"/>
    <w:rsid w:val="64EBFD10"/>
    <w:rsid w:val="64EF9E19"/>
    <w:rsid w:val="64FF62CB"/>
    <w:rsid w:val="65060B92"/>
    <w:rsid w:val="650F670D"/>
    <w:rsid w:val="65129FF7"/>
    <w:rsid w:val="65141606"/>
    <w:rsid w:val="65170AFF"/>
    <w:rsid w:val="6520E969"/>
    <w:rsid w:val="652A10A5"/>
    <w:rsid w:val="65370332"/>
    <w:rsid w:val="6538A96A"/>
    <w:rsid w:val="653AC58B"/>
    <w:rsid w:val="653F30D1"/>
    <w:rsid w:val="65412BB6"/>
    <w:rsid w:val="655CF06C"/>
    <w:rsid w:val="656129F3"/>
    <w:rsid w:val="65666578"/>
    <w:rsid w:val="6573E5B9"/>
    <w:rsid w:val="658B3B7D"/>
    <w:rsid w:val="65911ECC"/>
    <w:rsid w:val="6599F408"/>
    <w:rsid w:val="65A53D33"/>
    <w:rsid w:val="65AC4AA1"/>
    <w:rsid w:val="65B1E708"/>
    <w:rsid w:val="65B25B51"/>
    <w:rsid w:val="65B46DD7"/>
    <w:rsid w:val="65BAF478"/>
    <w:rsid w:val="65D8CD27"/>
    <w:rsid w:val="65DEF627"/>
    <w:rsid w:val="65F2723F"/>
    <w:rsid w:val="663CA4C3"/>
    <w:rsid w:val="66483066"/>
    <w:rsid w:val="668C65B3"/>
    <w:rsid w:val="668F7136"/>
    <w:rsid w:val="66DDE305"/>
    <w:rsid w:val="66EE438A"/>
    <w:rsid w:val="66EF621C"/>
    <w:rsid w:val="670661AF"/>
    <w:rsid w:val="67087BB6"/>
    <w:rsid w:val="672A05D4"/>
    <w:rsid w:val="672CC095"/>
    <w:rsid w:val="675EECDC"/>
    <w:rsid w:val="676F984B"/>
    <w:rsid w:val="67795C67"/>
    <w:rsid w:val="677C46B5"/>
    <w:rsid w:val="6797976F"/>
    <w:rsid w:val="67A5EABE"/>
    <w:rsid w:val="67C513B4"/>
    <w:rsid w:val="67E55181"/>
    <w:rsid w:val="67E8464D"/>
    <w:rsid w:val="682A1ED4"/>
    <w:rsid w:val="684BA9D2"/>
    <w:rsid w:val="68585AF5"/>
    <w:rsid w:val="685B8E7B"/>
    <w:rsid w:val="6879749B"/>
    <w:rsid w:val="6881B401"/>
    <w:rsid w:val="688C09BC"/>
    <w:rsid w:val="6890A160"/>
    <w:rsid w:val="6898C262"/>
    <w:rsid w:val="689E5965"/>
    <w:rsid w:val="68CB3F34"/>
    <w:rsid w:val="68CC42C9"/>
    <w:rsid w:val="68D01A15"/>
    <w:rsid w:val="68D652CF"/>
    <w:rsid w:val="68DF7521"/>
    <w:rsid w:val="68F45A96"/>
    <w:rsid w:val="690E8FA0"/>
    <w:rsid w:val="69126A75"/>
    <w:rsid w:val="691F9E18"/>
    <w:rsid w:val="69327886"/>
    <w:rsid w:val="69539706"/>
    <w:rsid w:val="695EAC77"/>
    <w:rsid w:val="6964801A"/>
    <w:rsid w:val="697223A2"/>
    <w:rsid w:val="6973C254"/>
    <w:rsid w:val="69BFC0C0"/>
    <w:rsid w:val="69DDA5B0"/>
    <w:rsid w:val="6A0439F5"/>
    <w:rsid w:val="6A0B8EDB"/>
    <w:rsid w:val="6A2CD668"/>
    <w:rsid w:val="6A3D6AF9"/>
    <w:rsid w:val="6A4A71E4"/>
    <w:rsid w:val="6A6F579F"/>
    <w:rsid w:val="6A6F8FA0"/>
    <w:rsid w:val="6A71F58A"/>
    <w:rsid w:val="6A7B4F51"/>
    <w:rsid w:val="6A7C9AE3"/>
    <w:rsid w:val="6AA4FB1D"/>
    <w:rsid w:val="6AA5ABD8"/>
    <w:rsid w:val="6AA97BC3"/>
    <w:rsid w:val="6ACA5F3B"/>
    <w:rsid w:val="6AD59EB2"/>
    <w:rsid w:val="6B1B288B"/>
    <w:rsid w:val="6B209F37"/>
    <w:rsid w:val="6B29E708"/>
    <w:rsid w:val="6B3A0081"/>
    <w:rsid w:val="6B47585B"/>
    <w:rsid w:val="6B5CA185"/>
    <w:rsid w:val="6B6DC5E5"/>
    <w:rsid w:val="6B74CF32"/>
    <w:rsid w:val="6B766757"/>
    <w:rsid w:val="6B77C663"/>
    <w:rsid w:val="6B7BA1ED"/>
    <w:rsid w:val="6B86F636"/>
    <w:rsid w:val="6B87F228"/>
    <w:rsid w:val="6B957DB0"/>
    <w:rsid w:val="6B9FA917"/>
    <w:rsid w:val="6BABFC32"/>
    <w:rsid w:val="6BB1C696"/>
    <w:rsid w:val="6BB7BACA"/>
    <w:rsid w:val="6BCC1D9D"/>
    <w:rsid w:val="6BE85434"/>
    <w:rsid w:val="6BF20B21"/>
    <w:rsid w:val="6BF77A07"/>
    <w:rsid w:val="6BFADF17"/>
    <w:rsid w:val="6C0EB159"/>
    <w:rsid w:val="6C0ECAC3"/>
    <w:rsid w:val="6C397FD8"/>
    <w:rsid w:val="6C67894F"/>
    <w:rsid w:val="6CA490AA"/>
    <w:rsid w:val="6CAAF33B"/>
    <w:rsid w:val="6CAFCA72"/>
    <w:rsid w:val="6CB7F508"/>
    <w:rsid w:val="6CCC4DC6"/>
    <w:rsid w:val="6CE85B56"/>
    <w:rsid w:val="6CFB25B6"/>
    <w:rsid w:val="6D2686D2"/>
    <w:rsid w:val="6D5B89C4"/>
    <w:rsid w:val="6D7A12E2"/>
    <w:rsid w:val="6D801E00"/>
    <w:rsid w:val="6DA4586B"/>
    <w:rsid w:val="6DB01850"/>
    <w:rsid w:val="6DBF7FBC"/>
    <w:rsid w:val="6DD98314"/>
    <w:rsid w:val="6DE2A8FC"/>
    <w:rsid w:val="6DF0D9FA"/>
    <w:rsid w:val="6DF1AA49"/>
    <w:rsid w:val="6DF9C631"/>
    <w:rsid w:val="6E22019B"/>
    <w:rsid w:val="6E23DFCF"/>
    <w:rsid w:val="6E2FF91F"/>
    <w:rsid w:val="6E3EEFC4"/>
    <w:rsid w:val="6E492CCC"/>
    <w:rsid w:val="6E4F6FA6"/>
    <w:rsid w:val="6E549305"/>
    <w:rsid w:val="6E5CC0A8"/>
    <w:rsid w:val="6EA19E19"/>
    <w:rsid w:val="6ED6BED8"/>
    <w:rsid w:val="6EDEFE48"/>
    <w:rsid w:val="6F06DA24"/>
    <w:rsid w:val="6F20395C"/>
    <w:rsid w:val="6F2331B7"/>
    <w:rsid w:val="6F34162C"/>
    <w:rsid w:val="6F38461E"/>
    <w:rsid w:val="6F3E0E5B"/>
    <w:rsid w:val="6F467D71"/>
    <w:rsid w:val="6F4DD14B"/>
    <w:rsid w:val="6F51DC90"/>
    <w:rsid w:val="6F53A2AC"/>
    <w:rsid w:val="6F55FF77"/>
    <w:rsid w:val="6F5E7E1F"/>
    <w:rsid w:val="6F6FA747"/>
    <w:rsid w:val="6F7F5FBB"/>
    <w:rsid w:val="6F87093C"/>
    <w:rsid w:val="6F9831AE"/>
    <w:rsid w:val="6F9D0678"/>
    <w:rsid w:val="6FA341A8"/>
    <w:rsid w:val="6FB2423C"/>
    <w:rsid w:val="6FB50C98"/>
    <w:rsid w:val="6FC25E93"/>
    <w:rsid w:val="6FE597F5"/>
    <w:rsid w:val="70066323"/>
    <w:rsid w:val="700B48F6"/>
    <w:rsid w:val="702B12CE"/>
    <w:rsid w:val="7035EAB3"/>
    <w:rsid w:val="70502703"/>
    <w:rsid w:val="705A672C"/>
    <w:rsid w:val="70638FFC"/>
    <w:rsid w:val="706C37C9"/>
    <w:rsid w:val="707FC3FC"/>
    <w:rsid w:val="708D1C83"/>
    <w:rsid w:val="7092DB0F"/>
    <w:rsid w:val="70932A86"/>
    <w:rsid w:val="70CA9799"/>
    <w:rsid w:val="70F4C5BF"/>
    <w:rsid w:val="70F9293C"/>
    <w:rsid w:val="70F99779"/>
    <w:rsid w:val="71167A91"/>
    <w:rsid w:val="713AE87D"/>
    <w:rsid w:val="715DD6A5"/>
    <w:rsid w:val="716C1095"/>
    <w:rsid w:val="716E87DE"/>
    <w:rsid w:val="717AE2C5"/>
    <w:rsid w:val="717F7EE2"/>
    <w:rsid w:val="7190E652"/>
    <w:rsid w:val="7195979F"/>
    <w:rsid w:val="719C9002"/>
    <w:rsid w:val="719F7351"/>
    <w:rsid w:val="71AFB16A"/>
    <w:rsid w:val="71BFCAFC"/>
    <w:rsid w:val="71EC0338"/>
    <w:rsid w:val="71F7D3BD"/>
    <w:rsid w:val="7218BFD5"/>
    <w:rsid w:val="72197946"/>
    <w:rsid w:val="721BE41A"/>
    <w:rsid w:val="722E3719"/>
    <w:rsid w:val="7232300C"/>
    <w:rsid w:val="723FE22A"/>
    <w:rsid w:val="724592D6"/>
    <w:rsid w:val="724C1932"/>
    <w:rsid w:val="726E68AB"/>
    <w:rsid w:val="72709A0C"/>
    <w:rsid w:val="72767ED2"/>
    <w:rsid w:val="7285814C"/>
    <w:rsid w:val="72A36724"/>
    <w:rsid w:val="72B1A6C7"/>
    <w:rsid w:val="72D953FA"/>
    <w:rsid w:val="72DBD470"/>
    <w:rsid w:val="72EAF6B8"/>
    <w:rsid w:val="730FEBCA"/>
    <w:rsid w:val="7326B8AB"/>
    <w:rsid w:val="733C79FA"/>
    <w:rsid w:val="733E98AF"/>
    <w:rsid w:val="735BA71D"/>
    <w:rsid w:val="736D8B75"/>
    <w:rsid w:val="73767841"/>
    <w:rsid w:val="737B9069"/>
    <w:rsid w:val="7384EB4F"/>
    <w:rsid w:val="7394371D"/>
    <w:rsid w:val="7395A7B3"/>
    <w:rsid w:val="73A1DCCA"/>
    <w:rsid w:val="73AC0723"/>
    <w:rsid w:val="73ED8950"/>
    <w:rsid w:val="7402A1EE"/>
    <w:rsid w:val="744FE3BA"/>
    <w:rsid w:val="7474DB49"/>
    <w:rsid w:val="7487DAE5"/>
    <w:rsid w:val="748ACAAD"/>
    <w:rsid w:val="74916EDC"/>
    <w:rsid w:val="749951D9"/>
    <w:rsid w:val="74E7D928"/>
    <w:rsid w:val="75086B4A"/>
    <w:rsid w:val="751FA77D"/>
    <w:rsid w:val="75356060"/>
    <w:rsid w:val="7549607E"/>
    <w:rsid w:val="75541B36"/>
    <w:rsid w:val="755CCF37"/>
    <w:rsid w:val="75904DE2"/>
    <w:rsid w:val="75B10D9A"/>
    <w:rsid w:val="75B89814"/>
    <w:rsid w:val="75D00ADD"/>
    <w:rsid w:val="75D0C357"/>
    <w:rsid w:val="75D171B9"/>
    <w:rsid w:val="75D7CF49"/>
    <w:rsid w:val="75DB9E4D"/>
    <w:rsid w:val="75E83D10"/>
    <w:rsid w:val="75F5301D"/>
    <w:rsid w:val="75FCA287"/>
    <w:rsid w:val="762E09A5"/>
    <w:rsid w:val="763170C4"/>
    <w:rsid w:val="76430B5C"/>
    <w:rsid w:val="76586DE3"/>
    <w:rsid w:val="765F99B3"/>
    <w:rsid w:val="766E6A72"/>
    <w:rsid w:val="7679A44B"/>
    <w:rsid w:val="767DC9EE"/>
    <w:rsid w:val="76813F24"/>
    <w:rsid w:val="7685BD37"/>
    <w:rsid w:val="7699A724"/>
    <w:rsid w:val="76A491B5"/>
    <w:rsid w:val="76B16B5F"/>
    <w:rsid w:val="76C37A7B"/>
    <w:rsid w:val="76CA0640"/>
    <w:rsid w:val="76D6F9B3"/>
    <w:rsid w:val="76D8BF98"/>
    <w:rsid w:val="76EE8283"/>
    <w:rsid w:val="772C6231"/>
    <w:rsid w:val="772DFB74"/>
    <w:rsid w:val="77335F8A"/>
    <w:rsid w:val="774CD825"/>
    <w:rsid w:val="7752F33E"/>
    <w:rsid w:val="77545700"/>
    <w:rsid w:val="775CF349"/>
    <w:rsid w:val="77765E62"/>
    <w:rsid w:val="77858951"/>
    <w:rsid w:val="7788C888"/>
    <w:rsid w:val="77961DEE"/>
    <w:rsid w:val="779A22D6"/>
    <w:rsid w:val="77A1B39A"/>
    <w:rsid w:val="77AB2B38"/>
    <w:rsid w:val="77C77C26"/>
    <w:rsid w:val="77CE179B"/>
    <w:rsid w:val="78034F04"/>
    <w:rsid w:val="7804D923"/>
    <w:rsid w:val="780A3D5B"/>
    <w:rsid w:val="78198D27"/>
    <w:rsid w:val="781C74E8"/>
    <w:rsid w:val="7831CF34"/>
    <w:rsid w:val="7855A11E"/>
    <w:rsid w:val="7886F5BF"/>
    <w:rsid w:val="78925B26"/>
    <w:rsid w:val="78948AE7"/>
    <w:rsid w:val="78986F86"/>
    <w:rsid w:val="78A8E10F"/>
    <w:rsid w:val="78B17559"/>
    <w:rsid w:val="78DD9C3E"/>
    <w:rsid w:val="78F5A6B0"/>
    <w:rsid w:val="78F6EED3"/>
    <w:rsid w:val="78FC282E"/>
    <w:rsid w:val="7944FC28"/>
    <w:rsid w:val="79457339"/>
    <w:rsid w:val="795D3829"/>
    <w:rsid w:val="7967046F"/>
    <w:rsid w:val="79699CE3"/>
    <w:rsid w:val="7969A0B9"/>
    <w:rsid w:val="796F3C38"/>
    <w:rsid w:val="79732F71"/>
    <w:rsid w:val="79759A8A"/>
    <w:rsid w:val="797A1906"/>
    <w:rsid w:val="798485AE"/>
    <w:rsid w:val="799691A7"/>
    <w:rsid w:val="79987DD1"/>
    <w:rsid w:val="79B36FE2"/>
    <w:rsid w:val="79B9FF87"/>
    <w:rsid w:val="79C8A4C6"/>
    <w:rsid w:val="79CA4FB7"/>
    <w:rsid w:val="79CECB45"/>
    <w:rsid w:val="79E2F711"/>
    <w:rsid w:val="79E8C9EA"/>
    <w:rsid w:val="7A03F67F"/>
    <w:rsid w:val="7A186605"/>
    <w:rsid w:val="7A1E8598"/>
    <w:rsid w:val="7A3A0CCC"/>
    <w:rsid w:val="7A5BBF1D"/>
    <w:rsid w:val="7A630226"/>
    <w:rsid w:val="7A74D1A7"/>
    <w:rsid w:val="7A7762F2"/>
    <w:rsid w:val="7A7DC08E"/>
    <w:rsid w:val="7A869A54"/>
    <w:rsid w:val="7AA44334"/>
    <w:rsid w:val="7AA542BD"/>
    <w:rsid w:val="7AC040D1"/>
    <w:rsid w:val="7ACAC7F5"/>
    <w:rsid w:val="7ADBE43A"/>
    <w:rsid w:val="7AE01284"/>
    <w:rsid w:val="7B387C17"/>
    <w:rsid w:val="7B3E7980"/>
    <w:rsid w:val="7B4AF9AB"/>
    <w:rsid w:val="7B5077C9"/>
    <w:rsid w:val="7B567B40"/>
    <w:rsid w:val="7B69C063"/>
    <w:rsid w:val="7B8381D7"/>
    <w:rsid w:val="7B8C10D2"/>
    <w:rsid w:val="7B8F94E2"/>
    <w:rsid w:val="7B93B9D8"/>
    <w:rsid w:val="7B9D73C9"/>
    <w:rsid w:val="7BB020AE"/>
    <w:rsid w:val="7BC03174"/>
    <w:rsid w:val="7BC9E8A4"/>
    <w:rsid w:val="7BD4124C"/>
    <w:rsid w:val="7BE77A0E"/>
    <w:rsid w:val="7C039633"/>
    <w:rsid w:val="7C1709A0"/>
    <w:rsid w:val="7C177D83"/>
    <w:rsid w:val="7C1A4B3B"/>
    <w:rsid w:val="7C2B02C5"/>
    <w:rsid w:val="7C2BB901"/>
    <w:rsid w:val="7C2EFB56"/>
    <w:rsid w:val="7C39ECB2"/>
    <w:rsid w:val="7C4A88F4"/>
    <w:rsid w:val="7C4DAB56"/>
    <w:rsid w:val="7C69A959"/>
    <w:rsid w:val="7C6BEB43"/>
    <w:rsid w:val="7C7DCAC5"/>
    <w:rsid w:val="7C852D06"/>
    <w:rsid w:val="7C8BC0C2"/>
    <w:rsid w:val="7C91D140"/>
    <w:rsid w:val="7C9A4088"/>
    <w:rsid w:val="7CA3714C"/>
    <w:rsid w:val="7CA3FE2C"/>
    <w:rsid w:val="7CA7FB2C"/>
    <w:rsid w:val="7CAB46AC"/>
    <w:rsid w:val="7CAEC0E1"/>
    <w:rsid w:val="7CB82C58"/>
    <w:rsid w:val="7CC0F3E4"/>
    <w:rsid w:val="7CCDEA82"/>
    <w:rsid w:val="7CD91B0A"/>
    <w:rsid w:val="7CEFBE77"/>
    <w:rsid w:val="7CFBE059"/>
    <w:rsid w:val="7D0DD084"/>
    <w:rsid w:val="7D1B10F2"/>
    <w:rsid w:val="7D280141"/>
    <w:rsid w:val="7D4DAE9E"/>
    <w:rsid w:val="7D539771"/>
    <w:rsid w:val="7D5CF7B7"/>
    <w:rsid w:val="7D6D1074"/>
    <w:rsid w:val="7D72A3C9"/>
    <w:rsid w:val="7D7CBACC"/>
    <w:rsid w:val="7D7FF87A"/>
    <w:rsid w:val="7D811765"/>
    <w:rsid w:val="7D898C81"/>
    <w:rsid w:val="7D939EC6"/>
    <w:rsid w:val="7DA74A6B"/>
    <w:rsid w:val="7DAD9A15"/>
    <w:rsid w:val="7DB69A14"/>
    <w:rsid w:val="7DBCD5F0"/>
    <w:rsid w:val="7DC019EE"/>
    <w:rsid w:val="7DC8116D"/>
    <w:rsid w:val="7DDABED5"/>
    <w:rsid w:val="7DED17B3"/>
    <w:rsid w:val="7DF953B7"/>
    <w:rsid w:val="7E3757C3"/>
    <w:rsid w:val="7E39505D"/>
    <w:rsid w:val="7E6DB7A1"/>
    <w:rsid w:val="7E708ED2"/>
    <w:rsid w:val="7E7D941E"/>
    <w:rsid w:val="7E88EC69"/>
    <w:rsid w:val="7E8BA0C0"/>
    <w:rsid w:val="7E960725"/>
    <w:rsid w:val="7E9FA8AE"/>
    <w:rsid w:val="7EA26EDD"/>
    <w:rsid w:val="7ECC2499"/>
    <w:rsid w:val="7ECF982F"/>
    <w:rsid w:val="7ED2681E"/>
    <w:rsid w:val="7EDEF68B"/>
    <w:rsid w:val="7EEB06B9"/>
    <w:rsid w:val="7F07EE8C"/>
    <w:rsid w:val="7F0A2B0A"/>
    <w:rsid w:val="7F2692B9"/>
    <w:rsid w:val="7F3772C1"/>
    <w:rsid w:val="7F505F79"/>
    <w:rsid w:val="7F5285F1"/>
    <w:rsid w:val="7F5491FC"/>
    <w:rsid w:val="7F60FBE3"/>
    <w:rsid w:val="7F697DA4"/>
    <w:rsid w:val="7F77B818"/>
    <w:rsid w:val="7F7D8EBB"/>
    <w:rsid w:val="7F86C64B"/>
    <w:rsid w:val="7F87CCA2"/>
    <w:rsid w:val="7F8B91E8"/>
    <w:rsid w:val="7F91AFB8"/>
    <w:rsid w:val="7F952418"/>
    <w:rsid w:val="7FAE09EA"/>
    <w:rsid w:val="7FB0EFC6"/>
    <w:rsid w:val="7FB713E5"/>
    <w:rsid w:val="7FBEFC6B"/>
    <w:rsid w:val="7FE60792"/>
    <w:rsid w:val="7FE985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6E83A87"/>
  <w15:chartTrackingRefBased/>
  <w15:docId w15:val="{656125FB-5B52-4469-849D-5681DDDB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sl" w:eastAsia="sl-SI"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45D"/>
    <w:pPr>
      <w:spacing w:after="0" w:line="240" w:lineRule="auto"/>
    </w:pPr>
    <w:rPr>
      <w:rFonts w:ascii="Times New Roman" w:eastAsia="Times New Roman" w:hAnsi="Times New Roman" w:cs="Times New Roman"/>
      <w:sz w:val="24"/>
    </w:rPr>
  </w:style>
  <w:style w:type="paragraph" w:styleId="Heading1">
    <w:name w:val="heading 1"/>
    <w:basedOn w:val="Normal"/>
    <w:next w:val="Text1"/>
    <w:link w:val="Heading1Char"/>
    <w:uiPriority w:val="9"/>
    <w:qFormat/>
    <w:rsid w:val="00565D10"/>
    <w:pPr>
      <w:keepNext/>
      <w:numPr>
        <w:numId w:val="7"/>
      </w:numPr>
      <w:spacing w:before="360" w:after="120"/>
      <w:jc w:val="both"/>
      <w:outlineLvl w:val="0"/>
    </w:pPr>
    <w:rPr>
      <w:rFonts w:eastAsiaTheme="majorEastAsia"/>
      <w:b/>
      <w:smallCaps/>
    </w:rPr>
  </w:style>
  <w:style w:type="paragraph" w:styleId="Heading2">
    <w:name w:val="heading 2"/>
    <w:basedOn w:val="Normal"/>
    <w:next w:val="Text1"/>
    <w:link w:val="Heading2Char"/>
    <w:uiPriority w:val="9"/>
    <w:unhideWhenUsed/>
    <w:qFormat/>
    <w:rsid w:val="00565D10"/>
    <w:pPr>
      <w:keepNext/>
      <w:numPr>
        <w:ilvl w:val="1"/>
        <w:numId w:val="7"/>
      </w:numPr>
      <w:spacing w:before="120" w:after="120"/>
      <w:jc w:val="both"/>
      <w:outlineLvl w:val="1"/>
    </w:pPr>
    <w:rPr>
      <w:rFonts w:eastAsiaTheme="majorEastAsia"/>
      <w:b/>
    </w:rPr>
  </w:style>
  <w:style w:type="paragraph" w:styleId="Heading3">
    <w:name w:val="heading 3"/>
    <w:basedOn w:val="Normal"/>
    <w:next w:val="Text1"/>
    <w:link w:val="Heading3Char"/>
    <w:uiPriority w:val="9"/>
    <w:unhideWhenUsed/>
    <w:qFormat/>
    <w:rsid w:val="00565D10"/>
    <w:pPr>
      <w:keepNext/>
      <w:numPr>
        <w:ilvl w:val="2"/>
        <w:numId w:val="7"/>
      </w:numPr>
      <w:spacing w:before="120" w:after="120"/>
      <w:jc w:val="both"/>
      <w:outlineLvl w:val="2"/>
    </w:pPr>
    <w:rPr>
      <w:rFonts w:eastAsiaTheme="majorEastAsia"/>
      <w:i/>
    </w:rPr>
  </w:style>
  <w:style w:type="paragraph" w:styleId="Heading4">
    <w:name w:val="heading 4"/>
    <w:basedOn w:val="Normal"/>
    <w:next w:val="Text1"/>
    <w:link w:val="Heading4Char"/>
    <w:uiPriority w:val="9"/>
    <w:unhideWhenUsed/>
    <w:qFormat/>
    <w:rsid w:val="00565D10"/>
    <w:pPr>
      <w:keepNext/>
      <w:numPr>
        <w:ilvl w:val="3"/>
        <w:numId w:val="7"/>
      </w:numPr>
      <w:spacing w:before="120" w:after="120"/>
      <w:jc w:val="both"/>
      <w:outlineLvl w:val="3"/>
    </w:pPr>
    <w:rPr>
      <w:rFonts w:eastAsiaTheme="maj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D10"/>
    <w:rPr>
      <w:rFonts w:ascii="Times New Roman" w:eastAsiaTheme="majorEastAsia" w:hAnsi="Times New Roman" w:cs="Times New Roman"/>
      <w:b/>
      <w:smallCaps/>
      <w:sz w:val="24"/>
    </w:rPr>
  </w:style>
  <w:style w:type="character" w:customStyle="1" w:styleId="Heading2Char">
    <w:name w:val="Heading 2 Char"/>
    <w:basedOn w:val="DefaultParagraphFont"/>
    <w:link w:val="Heading2"/>
    <w:uiPriority w:val="9"/>
    <w:rsid w:val="00565D10"/>
    <w:rPr>
      <w:rFonts w:ascii="Times New Roman" w:eastAsiaTheme="majorEastAsia" w:hAnsi="Times New Roman" w:cs="Times New Roman"/>
      <w:b/>
      <w:sz w:val="24"/>
    </w:rPr>
  </w:style>
  <w:style w:type="character" w:customStyle="1" w:styleId="Heading3Char">
    <w:name w:val="Heading 3 Char"/>
    <w:basedOn w:val="DefaultParagraphFont"/>
    <w:link w:val="Heading3"/>
    <w:uiPriority w:val="9"/>
    <w:rsid w:val="00565D10"/>
    <w:rPr>
      <w:rFonts w:ascii="Times New Roman" w:eastAsiaTheme="majorEastAsia" w:hAnsi="Times New Roman" w:cs="Times New Roman"/>
      <w:i/>
      <w:sz w:val="24"/>
    </w:rPr>
  </w:style>
  <w:style w:type="character" w:customStyle="1" w:styleId="Heading4Char">
    <w:name w:val="Heading 4 Char"/>
    <w:basedOn w:val="DefaultParagraphFont"/>
    <w:link w:val="Heading4"/>
    <w:uiPriority w:val="9"/>
    <w:rsid w:val="00565D10"/>
    <w:rPr>
      <w:rFonts w:ascii="Times New Roman" w:eastAsiaTheme="majorEastAsia" w:hAnsi="Times New Roman" w:cs="Times New Roman"/>
      <w:sz w:val="24"/>
    </w:rPr>
  </w:style>
  <w:style w:type="numbering" w:customStyle="1" w:styleId="NoList1">
    <w:name w:val="No List1"/>
    <w:next w:val="NoList"/>
    <w:uiPriority w:val="99"/>
    <w:semiHidden/>
    <w:unhideWhenUsed/>
    <w:rsid w:val="00565D10"/>
  </w:style>
  <w:style w:type="paragraph" w:customStyle="1" w:styleId="Text1">
    <w:name w:val="Text 1"/>
    <w:basedOn w:val="Normal"/>
    <w:rsid w:val="00565D10"/>
    <w:pPr>
      <w:spacing w:before="120" w:after="120"/>
      <w:ind w:left="850"/>
      <w:jc w:val="both"/>
    </w:pPr>
  </w:style>
  <w:style w:type="paragraph" w:styleId="Header">
    <w:name w:val="header"/>
    <w:basedOn w:val="Normal"/>
    <w:link w:val="HeaderChar"/>
    <w:uiPriority w:val="99"/>
    <w:unhideWhenUsed/>
    <w:rsid w:val="00565D10"/>
    <w:pPr>
      <w:tabs>
        <w:tab w:val="center" w:pos="4535"/>
        <w:tab w:val="right" w:pos="9071"/>
      </w:tabs>
      <w:spacing w:after="120"/>
      <w:jc w:val="both"/>
    </w:pPr>
  </w:style>
  <w:style w:type="character" w:customStyle="1" w:styleId="HeaderChar">
    <w:name w:val="Header Char"/>
    <w:basedOn w:val="DefaultParagraphFont"/>
    <w:link w:val="Header"/>
    <w:uiPriority w:val="99"/>
    <w:rsid w:val="00565D10"/>
    <w:rPr>
      <w:rFonts w:ascii="Times New Roman" w:eastAsia="Times New Roman" w:hAnsi="Times New Roman" w:cs="Times New Roman"/>
      <w:sz w:val="24"/>
    </w:rPr>
  </w:style>
  <w:style w:type="paragraph" w:styleId="Footer">
    <w:name w:val="footer"/>
    <w:basedOn w:val="Normal"/>
    <w:link w:val="FooterChar"/>
    <w:uiPriority w:val="99"/>
    <w:unhideWhenUsed/>
    <w:rsid w:val="00565D10"/>
    <w:pPr>
      <w:tabs>
        <w:tab w:val="center" w:pos="4535"/>
        <w:tab w:val="right" w:pos="9071"/>
        <w:tab w:val="right" w:pos="9921"/>
      </w:tabs>
      <w:spacing w:before="360"/>
      <w:ind w:left="-850" w:right="-850"/>
    </w:pPr>
  </w:style>
  <w:style w:type="character" w:customStyle="1" w:styleId="FooterChar">
    <w:name w:val="Footer Char"/>
    <w:basedOn w:val="DefaultParagraphFont"/>
    <w:link w:val="Footer"/>
    <w:uiPriority w:val="99"/>
    <w:rsid w:val="00565D10"/>
    <w:rPr>
      <w:rFonts w:ascii="Times New Roman" w:eastAsia="Times New Roman" w:hAnsi="Times New Roman" w:cs="Times New Roman"/>
      <w:sz w:val="24"/>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unhideWhenUsed/>
    <w:rsid w:val="00565D10"/>
    <w:pPr>
      <w:ind w:left="720" w:hanging="720"/>
      <w:jc w:val="both"/>
    </w:pPr>
    <w:rPr>
      <w:sz w:val="20"/>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565D10"/>
    <w:rPr>
      <w:rFonts w:ascii="Times New Roman" w:eastAsia="Times New Roman" w:hAnsi="Times New Roman" w:cs="Times New Roman"/>
      <w:sz w:val="20"/>
    </w:rPr>
  </w:style>
  <w:style w:type="paragraph" w:styleId="TOCHeading">
    <w:name w:val="TOC Heading"/>
    <w:basedOn w:val="Normal"/>
    <w:next w:val="Normal"/>
    <w:uiPriority w:val="39"/>
    <w:semiHidden/>
    <w:unhideWhenUsed/>
    <w:qFormat/>
    <w:rsid w:val="00565D10"/>
    <w:pPr>
      <w:spacing w:before="120" w:after="240"/>
      <w:jc w:val="center"/>
    </w:pPr>
    <w:rPr>
      <w:b/>
      <w:sz w:val="28"/>
    </w:rPr>
  </w:style>
  <w:style w:type="paragraph" w:styleId="TOC1">
    <w:name w:val="toc 1"/>
    <w:basedOn w:val="Normal"/>
    <w:next w:val="Normal"/>
    <w:uiPriority w:val="39"/>
    <w:semiHidden/>
    <w:unhideWhenUsed/>
    <w:rsid w:val="00565D10"/>
    <w:pPr>
      <w:numPr>
        <w:numId w:val="15"/>
      </w:numPr>
      <w:tabs>
        <w:tab w:val="right" w:leader="dot" w:pos="9071"/>
      </w:tabs>
      <w:spacing w:before="60" w:after="120"/>
      <w:ind w:left="0" w:firstLine="0"/>
    </w:pPr>
  </w:style>
  <w:style w:type="paragraph" w:styleId="TOC2">
    <w:name w:val="toc 2"/>
    <w:basedOn w:val="Normal"/>
    <w:next w:val="Normal"/>
    <w:uiPriority w:val="39"/>
    <w:semiHidden/>
    <w:unhideWhenUsed/>
    <w:rsid w:val="00565D10"/>
    <w:pPr>
      <w:tabs>
        <w:tab w:val="right" w:leader="dot" w:pos="9071"/>
      </w:tabs>
      <w:spacing w:before="60" w:after="120"/>
      <w:ind w:left="850" w:hanging="850"/>
    </w:pPr>
  </w:style>
  <w:style w:type="paragraph" w:styleId="TOC3">
    <w:name w:val="toc 3"/>
    <w:basedOn w:val="Normal"/>
    <w:next w:val="Normal"/>
    <w:uiPriority w:val="39"/>
    <w:semiHidden/>
    <w:unhideWhenUsed/>
    <w:rsid w:val="00565D10"/>
    <w:pPr>
      <w:tabs>
        <w:tab w:val="right" w:leader="dot" w:pos="9071"/>
      </w:tabs>
      <w:spacing w:before="60" w:after="120"/>
      <w:ind w:left="850" w:hanging="850"/>
    </w:pPr>
  </w:style>
  <w:style w:type="paragraph" w:styleId="TOC4">
    <w:name w:val="toc 4"/>
    <w:basedOn w:val="Normal"/>
    <w:next w:val="Normal"/>
    <w:uiPriority w:val="39"/>
    <w:semiHidden/>
    <w:unhideWhenUsed/>
    <w:rsid w:val="00565D10"/>
    <w:pPr>
      <w:tabs>
        <w:tab w:val="right" w:leader="dot" w:pos="9071"/>
      </w:tabs>
      <w:spacing w:before="60" w:after="120"/>
      <w:ind w:left="850" w:hanging="850"/>
    </w:pPr>
  </w:style>
  <w:style w:type="paragraph" w:styleId="TOC5">
    <w:name w:val="toc 5"/>
    <w:basedOn w:val="Normal"/>
    <w:next w:val="Normal"/>
    <w:uiPriority w:val="39"/>
    <w:semiHidden/>
    <w:unhideWhenUsed/>
    <w:rsid w:val="00565D10"/>
    <w:pPr>
      <w:tabs>
        <w:tab w:val="right" w:leader="dot" w:pos="9071"/>
      </w:tabs>
      <w:spacing w:before="300" w:after="120"/>
    </w:pPr>
  </w:style>
  <w:style w:type="paragraph" w:styleId="TOC6">
    <w:name w:val="toc 6"/>
    <w:basedOn w:val="Normal"/>
    <w:next w:val="Normal"/>
    <w:uiPriority w:val="39"/>
    <w:semiHidden/>
    <w:unhideWhenUsed/>
    <w:rsid w:val="00565D10"/>
    <w:pPr>
      <w:tabs>
        <w:tab w:val="right" w:leader="dot" w:pos="9071"/>
      </w:tabs>
      <w:spacing w:before="240" w:after="120"/>
    </w:pPr>
  </w:style>
  <w:style w:type="paragraph" w:styleId="TOC7">
    <w:name w:val="toc 7"/>
    <w:basedOn w:val="Normal"/>
    <w:next w:val="Normal"/>
    <w:uiPriority w:val="39"/>
    <w:semiHidden/>
    <w:unhideWhenUsed/>
    <w:rsid w:val="00565D10"/>
    <w:pPr>
      <w:tabs>
        <w:tab w:val="right" w:leader="dot" w:pos="9071"/>
      </w:tabs>
      <w:spacing w:before="180" w:after="120"/>
    </w:pPr>
  </w:style>
  <w:style w:type="paragraph" w:styleId="TOC8">
    <w:name w:val="toc 8"/>
    <w:basedOn w:val="Normal"/>
    <w:next w:val="Normal"/>
    <w:uiPriority w:val="39"/>
    <w:semiHidden/>
    <w:unhideWhenUsed/>
    <w:rsid w:val="00565D10"/>
    <w:pPr>
      <w:tabs>
        <w:tab w:val="right" w:leader="dot" w:pos="9071"/>
      </w:tabs>
      <w:spacing w:before="120" w:after="120"/>
    </w:pPr>
  </w:style>
  <w:style w:type="paragraph" w:styleId="TOC9">
    <w:name w:val="toc 9"/>
    <w:basedOn w:val="Normal"/>
    <w:next w:val="Normal"/>
    <w:uiPriority w:val="39"/>
    <w:semiHidden/>
    <w:unhideWhenUsed/>
    <w:rsid w:val="00565D10"/>
    <w:pPr>
      <w:tabs>
        <w:tab w:val="right" w:leader="dot" w:pos="9071"/>
      </w:tabs>
      <w:spacing w:before="120" w:after="120"/>
      <w:jc w:val="both"/>
    </w:pPr>
  </w:style>
  <w:style w:type="paragraph" w:customStyle="1" w:styleId="HeaderLandscape">
    <w:name w:val="HeaderLandscape"/>
    <w:basedOn w:val="Normal"/>
    <w:rsid w:val="00565D10"/>
    <w:pPr>
      <w:tabs>
        <w:tab w:val="center" w:pos="7285"/>
        <w:tab w:val="right" w:pos="14003"/>
      </w:tabs>
      <w:spacing w:after="120"/>
      <w:jc w:val="both"/>
    </w:pPr>
  </w:style>
  <w:style w:type="paragraph" w:customStyle="1" w:styleId="FooterLandscape">
    <w:name w:val="FooterLandscape"/>
    <w:basedOn w:val="Normal"/>
    <w:rsid w:val="00565D10"/>
    <w:pPr>
      <w:tabs>
        <w:tab w:val="center" w:pos="7285"/>
        <w:tab w:val="center" w:pos="10913"/>
        <w:tab w:val="right" w:pos="15137"/>
      </w:tabs>
      <w:spacing w:before="360"/>
      <w:ind w:left="-567" w:right="-567"/>
    </w:p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basedOn w:val="DefaultParagraphFont"/>
    <w:link w:val="1"/>
    <w:uiPriority w:val="99"/>
    <w:unhideWhenUsed/>
    <w:qFormat/>
    <w:rsid w:val="00565D10"/>
    <w:rPr>
      <w:vertAlign w:val="superscript"/>
    </w:rPr>
  </w:style>
  <w:style w:type="paragraph" w:customStyle="1" w:styleId="1">
    <w:name w:val="1"/>
    <w:basedOn w:val="Normal"/>
    <w:link w:val="FootnoteReference"/>
    <w:uiPriority w:val="99"/>
    <w:rsid w:val="00565D10"/>
    <w:pPr>
      <w:spacing w:after="160" w:line="240" w:lineRule="exact"/>
      <w:jc w:val="both"/>
    </w:pPr>
    <w:rPr>
      <w:rFonts w:asciiTheme="minorHAnsi" w:eastAsiaTheme="minorHAnsi" w:hAnsiTheme="minorHAnsi" w:cstheme="minorBidi"/>
      <w:sz w:val="22"/>
      <w:vertAlign w:val="superscript"/>
    </w:rPr>
  </w:style>
  <w:style w:type="paragraph" w:customStyle="1" w:styleId="HeaderSensitivity">
    <w:name w:val="Header Sensitivity"/>
    <w:basedOn w:val="Normal"/>
    <w:rsid w:val="00565D10"/>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rsid w:val="00565D10"/>
    <w:pPr>
      <w:spacing w:after="120"/>
      <w:jc w:val="right"/>
    </w:pPr>
    <w:rPr>
      <w:sz w:val="28"/>
    </w:rPr>
  </w:style>
  <w:style w:type="paragraph" w:customStyle="1" w:styleId="FooterSensitivity">
    <w:name w:val="Footer Sensitivity"/>
    <w:basedOn w:val="Normal"/>
    <w:rsid w:val="00565D10"/>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Text2">
    <w:name w:val="Text 2"/>
    <w:basedOn w:val="Normal"/>
    <w:rsid w:val="00565D10"/>
    <w:pPr>
      <w:spacing w:before="120" w:after="120"/>
      <w:ind w:left="1417"/>
      <w:jc w:val="both"/>
    </w:pPr>
  </w:style>
  <w:style w:type="paragraph" w:customStyle="1" w:styleId="Text3">
    <w:name w:val="Text 3"/>
    <w:basedOn w:val="Normal"/>
    <w:rsid w:val="00565D10"/>
    <w:pPr>
      <w:spacing w:before="120" w:after="120"/>
      <w:ind w:left="1984"/>
      <w:jc w:val="both"/>
    </w:pPr>
  </w:style>
  <w:style w:type="paragraph" w:customStyle="1" w:styleId="Text4">
    <w:name w:val="Text 4"/>
    <w:basedOn w:val="Normal"/>
    <w:rsid w:val="00565D10"/>
    <w:pPr>
      <w:spacing w:before="120" w:after="120"/>
      <w:ind w:left="2551"/>
      <w:jc w:val="both"/>
    </w:pPr>
  </w:style>
  <w:style w:type="paragraph" w:customStyle="1" w:styleId="NormalCentered">
    <w:name w:val="Normal Centered"/>
    <w:basedOn w:val="Normal"/>
    <w:rsid w:val="00565D10"/>
    <w:pPr>
      <w:spacing w:before="120" w:after="120"/>
      <w:jc w:val="center"/>
    </w:pPr>
  </w:style>
  <w:style w:type="paragraph" w:customStyle="1" w:styleId="NormalLeft">
    <w:name w:val="Normal Left"/>
    <w:basedOn w:val="Normal"/>
    <w:rsid w:val="00565D10"/>
    <w:pPr>
      <w:spacing w:before="120" w:after="120"/>
    </w:pPr>
  </w:style>
  <w:style w:type="paragraph" w:customStyle="1" w:styleId="NormalRight">
    <w:name w:val="Normal Right"/>
    <w:basedOn w:val="Normal"/>
    <w:rsid w:val="00565D10"/>
    <w:pPr>
      <w:spacing w:before="120" w:after="120"/>
      <w:jc w:val="right"/>
    </w:pPr>
  </w:style>
  <w:style w:type="paragraph" w:customStyle="1" w:styleId="QuotedText">
    <w:name w:val="Quoted Text"/>
    <w:basedOn w:val="Normal"/>
    <w:rsid w:val="00565D10"/>
    <w:pPr>
      <w:spacing w:before="120" w:after="120"/>
      <w:ind w:left="1417"/>
      <w:jc w:val="both"/>
    </w:pPr>
  </w:style>
  <w:style w:type="paragraph" w:customStyle="1" w:styleId="Point0">
    <w:name w:val="Point 0"/>
    <w:basedOn w:val="Normal"/>
    <w:rsid w:val="00565D10"/>
    <w:pPr>
      <w:spacing w:before="120" w:after="120"/>
      <w:ind w:left="850" w:hanging="850"/>
      <w:jc w:val="both"/>
    </w:pPr>
  </w:style>
  <w:style w:type="paragraph" w:customStyle="1" w:styleId="Point1">
    <w:name w:val="Point 1"/>
    <w:basedOn w:val="Normal"/>
    <w:rsid w:val="00565D10"/>
    <w:pPr>
      <w:spacing w:before="120" w:after="120"/>
      <w:ind w:left="1417" w:hanging="567"/>
      <w:jc w:val="both"/>
    </w:pPr>
  </w:style>
  <w:style w:type="paragraph" w:customStyle="1" w:styleId="Point2">
    <w:name w:val="Point 2"/>
    <w:basedOn w:val="Normal"/>
    <w:rsid w:val="00565D10"/>
    <w:pPr>
      <w:spacing w:before="120" w:after="120"/>
      <w:ind w:left="1984" w:hanging="567"/>
      <w:jc w:val="both"/>
    </w:pPr>
  </w:style>
  <w:style w:type="paragraph" w:customStyle="1" w:styleId="Point3">
    <w:name w:val="Point 3"/>
    <w:basedOn w:val="Normal"/>
    <w:rsid w:val="00565D10"/>
    <w:pPr>
      <w:spacing w:before="120" w:after="120"/>
      <w:ind w:left="2551" w:hanging="567"/>
      <w:jc w:val="both"/>
    </w:pPr>
  </w:style>
  <w:style w:type="paragraph" w:customStyle="1" w:styleId="Point4">
    <w:name w:val="Point 4"/>
    <w:basedOn w:val="Normal"/>
    <w:rsid w:val="00565D10"/>
    <w:pPr>
      <w:spacing w:before="120" w:after="120"/>
      <w:ind w:left="3118" w:hanging="567"/>
      <w:jc w:val="both"/>
    </w:pPr>
  </w:style>
  <w:style w:type="paragraph" w:customStyle="1" w:styleId="Tiret0">
    <w:name w:val="Tiret 0"/>
    <w:basedOn w:val="Point0"/>
    <w:rsid w:val="00565D10"/>
    <w:pPr>
      <w:numPr>
        <w:numId w:val="1"/>
      </w:numPr>
    </w:pPr>
  </w:style>
  <w:style w:type="paragraph" w:customStyle="1" w:styleId="Tiret1">
    <w:name w:val="Tiret 1"/>
    <w:basedOn w:val="Point1"/>
    <w:rsid w:val="00565D10"/>
    <w:pPr>
      <w:numPr>
        <w:numId w:val="2"/>
      </w:numPr>
      <w:tabs>
        <w:tab w:val="num" w:pos="3118"/>
      </w:tabs>
      <w:ind w:left="3118"/>
    </w:pPr>
  </w:style>
  <w:style w:type="paragraph" w:customStyle="1" w:styleId="Tiret2">
    <w:name w:val="Tiret 2"/>
    <w:basedOn w:val="Point2"/>
    <w:rsid w:val="00565D10"/>
    <w:pPr>
      <w:numPr>
        <w:numId w:val="3"/>
      </w:numPr>
      <w:tabs>
        <w:tab w:val="num" w:pos="360"/>
      </w:tabs>
      <w:ind w:left="360" w:hanging="360"/>
    </w:pPr>
  </w:style>
  <w:style w:type="paragraph" w:customStyle="1" w:styleId="Tiret3">
    <w:name w:val="Tiret 3"/>
    <w:basedOn w:val="Point3"/>
    <w:rsid w:val="00565D10"/>
    <w:pPr>
      <w:numPr>
        <w:numId w:val="4"/>
      </w:numPr>
      <w:tabs>
        <w:tab w:val="num" w:pos="360"/>
      </w:tabs>
      <w:ind w:left="360" w:hanging="360"/>
    </w:pPr>
  </w:style>
  <w:style w:type="paragraph" w:customStyle="1" w:styleId="Tiret4">
    <w:name w:val="Tiret 4"/>
    <w:basedOn w:val="Point4"/>
    <w:rsid w:val="00565D10"/>
    <w:pPr>
      <w:numPr>
        <w:numId w:val="5"/>
      </w:numPr>
      <w:ind w:left="1440" w:hanging="360"/>
    </w:pPr>
  </w:style>
  <w:style w:type="paragraph" w:customStyle="1" w:styleId="PointDouble0">
    <w:name w:val="PointDouble 0"/>
    <w:basedOn w:val="Normal"/>
    <w:rsid w:val="00565D10"/>
    <w:pPr>
      <w:tabs>
        <w:tab w:val="left" w:pos="850"/>
      </w:tabs>
      <w:spacing w:before="120" w:after="120"/>
      <w:ind w:left="1417" w:hanging="1417"/>
      <w:jc w:val="both"/>
    </w:pPr>
  </w:style>
  <w:style w:type="paragraph" w:customStyle="1" w:styleId="PointDouble1">
    <w:name w:val="PointDouble 1"/>
    <w:basedOn w:val="Normal"/>
    <w:rsid w:val="00565D10"/>
    <w:pPr>
      <w:tabs>
        <w:tab w:val="left" w:pos="1417"/>
      </w:tabs>
      <w:spacing w:before="120" w:after="120"/>
      <w:ind w:left="1984" w:hanging="1134"/>
      <w:jc w:val="both"/>
    </w:pPr>
  </w:style>
  <w:style w:type="paragraph" w:customStyle="1" w:styleId="PointDouble2">
    <w:name w:val="PointDouble 2"/>
    <w:basedOn w:val="Normal"/>
    <w:rsid w:val="00565D10"/>
    <w:pPr>
      <w:tabs>
        <w:tab w:val="left" w:pos="1984"/>
      </w:tabs>
      <w:spacing w:before="120" w:after="120"/>
      <w:ind w:left="2551" w:hanging="1134"/>
      <w:jc w:val="both"/>
    </w:pPr>
  </w:style>
  <w:style w:type="paragraph" w:customStyle="1" w:styleId="PointDouble3">
    <w:name w:val="PointDouble 3"/>
    <w:basedOn w:val="Normal"/>
    <w:rsid w:val="00565D10"/>
    <w:pPr>
      <w:tabs>
        <w:tab w:val="left" w:pos="2551"/>
      </w:tabs>
      <w:spacing w:before="120" w:after="120"/>
      <w:ind w:left="3118" w:hanging="1134"/>
      <w:jc w:val="both"/>
    </w:pPr>
  </w:style>
  <w:style w:type="paragraph" w:customStyle="1" w:styleId="PointDouble4">
    <w:name w:val="PointDouble 4"/>
    <w:basedOn w:val="Normal"/>
    <w:rsid w:val="00565D10"/>
    <w:pPr>
      <w:tabs>
        <w:tab w:val="left" w:pos="3118"/>
      </w:tabs>
      <w:spacing w:before="120" w:after="120"/>
      <w:ind w:left="3685" w:hanging="1134"/>
      <w:jc w:val="both"/>
    </w:pPr>
  </w:style>
  <w:style w:type="paragraph" w:customStyle="1" w:styleId="PointTriple0">
    <w:name w:val="PointTriple 0"/>
    <w:basedOn w:val="Normal"/>
    <w:rsid w:val="00565D10"/>
    <w:pPr>
      <w:tabs>
        <w:tab w:val="left" w:pos="850"/>
        <w:tab w:val="left" w:pos="1417"/>
      </w:tabs>
      <w:spacing w:before="120" w:after="120"/>
      <w:ind w:left="1984" w:hanging="1984"/>
      <w:jc w:val="both"/>
    </w:pPr>
  </w:style>
  <w:style w:type="paragraph" w:customStyle="1" w:styleId="PointTriple1">
    <w:name w:val="PointTriple 1"/>
    <w:basedOn w:val="Normal"/>
    <w:rsid w:val="00565D10"/>
    <w:pPr>
      <w:tabs>
        <w:tab w:val="left" w:pos="1417"/>
        <w:tab w:val="left" w:pos="1984"/>
      </w:tabs>
      <w:spacing w:before="120" w:after="120"/>
      <w:ind w:left="2551" w:hanging="1701"/>
      <w:jc w:val="both"/>
    </w:pPr>
  </w:style>
  <w:style w:type="paragraph" w:customStyle="1" w:styleId="PointTriple2">
    <w:name w:val="PointTriple 2"/>
    <w:basedOn w:val="Normal"/>
    <w:rsid w:val="00565D10"/>
    <w:pPr>
      <w:tabs>
        <w:tab w:val="left" w:pos="1984"/>
        <w:tab w:val="left" w:pos="2551"/>
      </w:tabs>
      <w:spacing w:before="120" w:after="120"/>
      <w:ind w:left="3118" w:hanging="1701"/>
      <w:jc w:val="both"/>
    </w:pPr>
  </w:style>
  <w:style w:type="paragraph" w:customStyle="1" w:styleId="PointTriple3">
    <w:name w:val="PointTriple 3"/>
    <w:basedOn w:val="Normal"/>
    <w:rsid w:val="00565D10"/>
    <w:pPr>
      <w:tabs>
        <w:tab w:val="left" w:pos="2551"/>
        <w:tab w:val="left" w:pos="3118"/>
      </w:tabs>
      <w:spacing w:before="120" w:after="120"/>
      <w:ind w:left="3685" w:hanging="1701"/>
      <w:jc w:val="both"/>
    </w:pPr>
  </w:style>
  <w:style w:type="paragraph" w:customStyle="1" w:styleId="PointTriple4">
    <w:name w:val="PointTriple 4"/>
    <w:basedOn w:val="Normal"/>
    <w:rsid w:val="00565D10"/>
    <w:pPr>
      <w:tabs>
        <w:tab w:val="left" w:pos="3118"/>
        <w:tab w:val="left" w:pos="3685"/>
      </w:tabs>
      <w:spacing w:before="120" w:after="120"/>
      <w:ind w:left="4252" w:hanging="1701"/>
      <w:jc w:val="both"/>
    </w:pPr>
  </w:style>
  <w:style w:type="paragraph" w:customStyle="1" w:styleId="NumPar1">
    <w:name w:val="NumPar 1"/>
    <w:basedOn w:val="Normal"/>
    <w:next w:val="Text1"/>
    <w:rsid w:val="00565D10"/>
    <w:pPr>
      <w:numPr>
        <w:ilvl w:val="1"/>
        <w:numId w:val="6"/>
      </w:numPr>
      <w:spacing w:before="120" w:after="120"/>
      <w:jc w:val="both"/>
    </w:pPr>
  </w:style>
  <w:style w:type="paragraph" w:customStyle="1" w:styleId="NumPar2">
    <w:name w:val="NumPar 2"/>
    <w:basedOn w:val="Normal"/>
    <w:next w:val="Text1"/>
    <w:rsid w:val="00565D10"/>
    <w:pPr>
      <w:numPr>
        <w:ilvl w:val="2"/>
        <w:numId w:val="6"/>
      </w:numPr>
      <w:tabs>
        <w:tab w:val="num" w:pos="1209"/>
      </w:tabs>
      <w:spacing w:before="120" w:after="120"/>
      <w:ind w:left="1209" w:hanging="360"/>
      <w:jc w:val="both"/>
    </w:pPr>
  </w:style>
  <w:style w:type="paragraph" w:customStyle="1" w:styleId="NumPar3">
    <w:name w:val="NumPar 3"/>
    <w:basedOn w:val="Normal"/>
    <w:next w:val="Text1"/>
    <w:rsid w:val="00565D10"/>
    <w:pPr>
      <w:numPr>
        <w:ilvl w:val="3"/>
        <w:numId w:val="6"/>
      </w:numPr>
      <w:tabs>
        <w:tab w:val="num" w:pos="1209"/>
      </w:tabs>
      <w:spacing w:before="120" w:after="120"/>
      <w:ind w:left="1209" w:hanging="360"/>
      <w:jc w:val="both"/>
    </w:pPr>
  </w:style>
  <w:style w:type="paragraph" w:customStyle="1" w:styleId="NumPar4">
    <w:name w:val="NumPar 4"/>
    <w:basedOn w:val="Normal"/>
    <w:next w:val="Text1"/>
    <w:rsid w:val="00565D10"/>
    <w:pPr>
      <w:tabs>
        <w:tab w:val="num" w:pos="850"/>
      </w:tabs>
      <w:spacing w:before="120" w:after="120"/>
      <w:ind w:left="850" w:hanging="850"/>
      <w:jc w:val="both"/>
    </w:pPr>
  </w:style>
  <w:style w:type="paragraph" w:customStyle="1" w:styleId="ManualNumPar1">
    <w:name w:val="Manual NumPar 1"/>
    <w:basedOn w:val="Normal"/>
    <w:next w:val="Text1"/>
    <w:rsid w:val="00565D10"/>
    <w:pPr>
      <w:spacing w:before="120" w:after="120"/>
      <w:ind w:left="850" w:hanging="850"/>
      <w:jc w:val="both"/>
    </w:pPr>
  </w:style>
  <w:style w:type="paragraph" w:customStyle="1" w:styleId="ManualNumPar2">
    <w:name w:val="Manual NumPar 2"/>
    <w:basedOn w:val="Normal"/>
    <w:next w:val="Text1"/>
    <w:rsid w:val="00565D10"/>
    <w:pPr>
      <w:spacing w:before="120" w:after="120"/>
      <w:ind w:left="850" w:hanging="850"/>
      <w:jc w:val="both"/>
    </w:pPr>
  </w:style>
  <w:style w:type="paragraph" w:customStyle="1" w:styleId="ManualNumPar3">
    <w:name w:val="Manual NumPar 3"/>
    <w:basedOn w:val="Normal"/>
    <w:next w:val="Text1"/>
    <w:rsid w:val="00565D10"/>
    <w:pPr>
      <w:spacing w:before="120" w:after="120"/>
      <w:ind w:left="850" w:hanging="850"/>
      <w:jc w:val="both"/>
    </w:pPr>
  </w:style>
  <w:style w:type="paragraph" w:customStyle="1" w:styleId="ManualNumPar4">
    <w:name w:val="Manual NumPar 4"/>
    <w:basedOn w:val="Normal"/>
    <w:next w:val="Text1"/>
    <w:rsid w:val="00565D10"/>
    <w:pPr>
      <w:spacing w:before="120" w:after="120"/>
      <w:ind w:left="850" w:hanging="850"/>
      <w:jc w:val="both"/>
    </w:pPr>
  </w:style>
  <w:style w:type="paragraph" w:customStyle="1" w:styleId="QuotedNumPar">
    <w:name w:val="Quoted NumPar"/>
    <w:basedOn w:val="Normal"/>
    <w:rsid w:val="00565D10"/>
    <w:pPr>
      <w:spacing w:before="120" w:after="120"/>
      <w:ind w:left="1417" w:hanging="567"/>
      <w:jc w:val="both"/>
    </w:pPr>
  </w:style>
  <w:style w:type="paragraph" w:customStyle="1" w:styleId="ManualHeading1">
    <w:name w:val="Manual Heading 1"/>
    <w:basedOn w:val="Normal"/>
    <w:next w:val="Text1"/>
    <w:rsid w:val="00565D10"/>
    <w:pPr>
      <w:keepNext/>
      <w:tabs>
        <w:tab w:val="left" w:pos="850"/>
      </w:tabs>
      <w:spacing w:before="360" w:after="120"/>
      <w:ind w:left="850" w:hanging="850"/>
      <w:jc w:val="both"/>
      <w:outlineLvl w:val="0"/>
    </w:pPr>
    <w:rPr>
      <w:b/>
      <w:smallCaps/>
    </w:rPr>
  </w:style>
  <w:style w:type="paragraph" w:customStyle="1" w:styleId="ManualHeading2">
    <w:name w:val="Manual Heading 2"/>
    <w:basedOn w:val="Normal"/>
    <w:next w:val="Text1"/>
    <w:rsid w:val="00565D10"/>
    <w:pPr>
      <w:keepNext/>
      <w:tabs>
        <w:tab w:val="left" w:pos="850"/>
      </w:tabs>
      <w:spacing w:before="120" w:after="120"/>
      <w:ind w:left="850" w:hanging="850"/>
      <w:jc w:val="both"/>
      <w:outlineLvl w:val="1"/>
    </w:pPr>
    <w:rPr>
      <w:b/>
    </w:rPr>
  </w:style>
  <w:style w:type="paragraph" w:customStyle="1" w:styleId="ManualHeading3">
    <w:name w:val="Manual Heading 3"/>
    <w:basedOn w:val="Normal"/>
    <w:next w:val="Text1"/>
    <w:rsid w:val="00565D10"/>
    <w:pPr>
      <w:keepNext/>
      <w:tabs>
        <w:tab w:val="left" w:pos="850"/>
      </w:tabs>
      <w:spacing w:before="120" w:after="120"/>
      <w:ind w:left="850" w:hanging="850"/>
      <w:jc w:val="both"/>
      <w:outlineLvl w:val="2"/>
    </w:pPr>
    <w:rPr>
      <w:i/>
    </w:rPr>
  </w:style>
  <w:style w:type="paragraph" w:customStyle="1" w:styleId="ManualHeading4">
    <w:name w:val="Manual Heading 4"/>
    <w:basedOn w:val="Normal"/>
    <w:next w:val="Text1"/>
    <w:rsid w:val="00565D10"/>
    <w:pPr>
      <w:keepNext/>
      <w:tabs>
        <w:tab w:val="left" w:pos="850"/>
      </w:tabs>
      <w:spacing w:before="120" w:after="120"/>
      <w:ind w:left="850" w:hanging="850"/>
      <w:jc w:val="both"/>
      <w:outlineLvl w:val="3"/>
    </w:pPr>
  </w:style>
  <w:style w:type="paragraph" w:customStyle="1" w:styleId="ChapterTitle">
    <w:name w:val="ChapterTitle"/>
    <w:basedOn w:val="Normal"/>
    <w:next w:val="Normal"/>
    <w:rsid w:val="00565D10"/>
    <w:pPr>
      <w:keepNext/>
      <w:spacing w:before="120" w:after="360"/>
      <w:jc w:val="center"/>
    </w:pPr>
    <w:rPr>
      <w:b/>
      <w:sz w:val="32"/>
    </w:rPr>
  </w:style>
  <w:style w:type="paragraph" w:customStyle="1" w:styleId="PartTitle">
    <w:name w:val="PartTitle"/>
    <w:basedOn w:val="Normal"/>
    <w:next w:val="ChapterTitle"/>
    <w:rsid w:val="00565D10"/>
    <w:pPr>
      <w:keepNext/>
      <w:pageBreakBefore/>
      <w:spacing w:before="120" w:after="360"/>
      <w:jc w:val="center"/>
    </w:pPr>
    <w:rPr>
      <w:b/>
      <w:sz w:val="36"/>
    </w:rPr>
  </w:style>
  <w:style w:type="paragraph" w:customStyle="1" w:styleId="SectionTitle">
    <w:name w:val="SectionTitle"/>
    <w:basedOn w:val="Normal"/>
    <w:next w:val="Heading1"/>
    <w:rsid w:val="00565D10"/>
    <w:pPr>
      <w:keepNext/>
      <w:spacing w:before="120" w:after="360"/>
      <w:jc w:val="center"/>
    </w:pPr>
    <w:rPr>
      <w:b/>
      <w:smallCaps/>
      <w:sz w:val="28"/>
    </w:rPr>
  </w:style>
  <w:style w:type="paragraph" w:customStyle="1" w:styleId="TableTitle">
    <w:name w:val="Table Title"/>
    <w:basedOn w:val="Normal"/>
    <w:next w:val="Normal"/>
    <w:rsid w:val="00565D10"/>
    <w:pPr>
      <w:spacing w:before="120" w:after="120"/>
      <w:jc w:val="center"/>
    </w:pPr>
    <w:rPr>
      <w:b/>
    </w:rPr>
  </w:style>
  <w:style w:type="character" w:customStyle="1" w:styleId="Marker">
    <w:name w:val="Marker"/>
    <w:basedOn w:val="DefaultParagraphFont"/>
    <w:rsid w:val="00573718"/>
    <w:rPr>
      <w:color w:val="0000FF"/>
      <w:shd w:val="clear" w:color="auto" w:fill="auto"/>
    </w:rPr>
  </w:style>
  <w:style w:type="character" w:customStyle="1" w:styleId="Marker1">
    <w:name w:val="Marker1"/>
    <w:basedOn w:val="DefaultParagraphFont"/>
    <w:rsid w:val="00565D10"/>
    <w:rPr>
      <w:color w:val="008000"/>
      <w:shd w:val="clear" w:color="auto" w:fill="auto"/>
    </w:rPr>
  </w:style>
  <w:style w:type="character" w:customStyle="1" w:styleId="Marker2">
    <w:name w:val="Marker2"/>
    <w:basedOn w:val="DefaultParagraphFont"/>
    <w:rsid w:val="00565D10"/>
    <w:rPr>
      <w:color w:val="FF0000"/>
      <w:shd w:val="clear" w:color="auto" w:fill="auto"/>
    </w:rPr>
  </w:style>
  <w:style w:type="paragraph" w:customStyle="1" w:styleId="Point0number">
    <w:name w:val="Point 0 (number)"/>
    <w:basedOn w:val="Normal"/>
    <w:rsid w:val="00565D10"/>
    <w:pPr>
      <w:numPr>
        <w:ilvl w:val="2"/>
        <w:numId w:val="8"/>
      </w:numPr>
      <w:tabs>
        <w:tab w:val="clear" w:pos="1417"/>
        <w:tab w:val="num" w:pos="360"/>
      </w:tabs>
      <w:spacing w:before="120" w:after="120"/>
      <w:ind w:left="360" w:hanging="360"/>
      <w:jc w:val="both"/>
    </w:pPr>
  </w:style>
  <w:style w:type="paragraph" w:customStyle="1" w:styleId="Point1number">
    <w:name w:val="Point 1 (number)"/>
    <w:basedOn w:val="Normal"/>
    <w:rsid w:val="00565D10"/>
    <w:pPr>
      <w:numPr>
        <w:ilvl w:val="4"/>
        <w:numId w:val="8"/>
      </w:numPr>
      <w:tabs>
        <w:tab w:val="num" w:pos="360"/>
      </w:tabs>
      <w:spacing w:before="120" w:after="120"/>
      <w:ind w:left="360"/>
      <w:jc w:val="both"/>
    </w:pPr>
  </w:style>
  <w:style w:type="paragraph" w:customStyle="1" w:styleId="Point2number">
    <w:name w:val="Point 2 (number)"/>
    <w:basedOn w:val="Normal"/>
    <w:rsid w:val="00565D10"/>
    <w:pPr>
      <w:numPr>
        <w:ilvl w:val="6"/>
        <w:numId w:val="8"/>
      </w:numPr>
      <w:tabs>
        <w:tab w:val="num" w:pos="360"/>
        <w:tab w:val="num" w:pos="1984"/>
      </w:tabs>
      <w:spacing w:before="120" w:after="120"/>
      <w:ind w:left="1984"/>
      <w:jc w:val="both"/>
    </w:pPr>
  </w:style>
  <w:style w:type="paragraph" w:customStyle="1" w:styleId="Point3number">
    <w:name w:val="Point 3 (number)"/>
    <w:basedOn w:val="Normal"/>
    <w:rsid w:val="00565D10"/>
    <w:pPr>
      <w:numPr>
        <w:ilvl w:val="1"/>
        <w:numId w:val="8"/>
      </w:numPr>
      <w:tabs>
        <w:tab w:val="num" w:pos="360"/>
        <w:tab w:val="num" w:pos="2551"/>
      </w:tabs>
      <w:spacing w:before="120" w:after="120"/>
      <w:ind w:left="2551"/>
      <w:jc w:val="both"/>
    </w:pPr>
  </w:style>
  <w:style w:type="paragraph" w:customStyle="1" w:styleId="Point0letter">
    <w:name w:val="Point 0 (letter)"/>
    <w:basedOn w:val="Normal"/>
    <w:rsid w:val="00565D10"/>
    <w:pPr>
      <w:numPr>
        <w:ilvl w:val="3"/>
        <w:numId w:val="8"/>
      </w:numPr>
      <w:tabs>
        <w:tab w:val="clear" w:pos="1417"/>
        <w:tab w:val="num" w:pos="360"/>
      </w:tabs>
      <w:spacing w:before="120" w:after="120"/>
      <w:ind w:left="360" w:hanging="360"/>
      <w:jc w:val="both"/>
    </w:pPr>
  </w:style>
  <w:style w:type="paragraph" w:customStyle="1" w:styleId="Point1letter">
    <w:name w:val="Point 1 (letter)"/>
    <w:basedOn w:val="Normal"/>
    <w:rsid w:val="00565D10"/>
    <w:pPr>
      <w:numPr>
        <w:ilvl w:val="5"/>
        <w:numId w:val="8"/>
      </w:numPr>
      <w:tabs>
        <w:tab w:val="num" w:pos="360"/>
      </w:tabs>
      <w:spacing w:before="120" w:after="120"/>
      <w:ind w:left="360"/>
      <w:jc w:val="both"/>
    </w:pPr>
  </w:style>
  <w:style w:type="paragraph" w:customStyle="1" w:styleId="Point2letter">
    <w:name w:val="Point 2 (letter)"/>
    <w:basedOn w:val="Normal"/>
    <w:rsid w:val="00565D10"/>
    <w:pPr>
      <w:numPr>
        <w:ilvl w:val="7"/>
        <w:numId w:val="8"/>
      </w:numPr>
      <w:tabs>
        <w:tab w:val="num" w:pos="360"/>
        <w:tab w:val="num" w:pos="1984"/>
      </w:tabs>
      <w:spacing w:before="120" w:after="120"/>
      <w:ind w:left="1984"/>
      <w:jc w:val="both"/>
    </w:pPr>
  </w:style>
  <w:style w:type="paragraph" w:customStyle="1" w:styleId="Point3letter">
    <w:name w:val="Point 3 (letter)"/>
    <w:basedOn w:val="Normal"/>
    <w:rsid w:val="00565D10"/>
    <w:pPr>
      <w:numPr>
        <w:ilvl w:val="8"/>
        <w:numId w:val="8"/>
      </w:numPr>
      <w:tabs>
        <w:tab w:val="num" w:pos="360"/>
        <w:tab w:val="num" w:pos="2551"/>
      </w:tabs>
      <w:spacing w:before="120" w:after="120"/>
      <w:ind w:left="2551"/>
      <w:jc w:val="both"/>
    </w:pPr>
  </w:style>
  <w:style w:type="paragraph" w:customStyle="1" w:styleId="Point4letter">
    <w:name w:val="Point 4 (letter)"/>
    <w:basedOn w:val="Normal"/>
    <w:rsid w:val="00565D10"/>
    <w:pPr>
      <w:tabs>
        <w:tab w:val="num" w:pos="3118"/>
      </w:tabs>
      <w:spacing w:before="120" w:after="120"/>
      <w:ind w:left="3118" w:hanging="567"/>
      <w:jc w:val="both"/>
    </w:pPr>
  </w:style>
  <w:style w:type="paragraph" w:customStyle="1" w:styleId="Bullet0">
    <w:name w:val="Bullet 0"/>
    <w:basedOn w:val="Normal"/>
    <w:rsid w:val="00565D10"/>
    <w:pPr>
      <w:numPr>
        <w:numId w:val="9"/>
      </w:numPr>
      <w:tabs>
        <w:tab w:val="num" w:pos="643"/>
      </w:tabs>
      <w:spacing w:before="120" w:after="120"/>
      <w:ind w:left="643" w:hanging="360"/>
      <w:jc w:val="both"/>
    </w:pPr>
  </w:style>
  <w:style w:type="paragraph" w:customStyle="1" w:styleId="Bullet1">
    <w:name w:val="Bullet 1"/>
    <w:basedOn w:val="Normal"/>
    <w:rsid w:val="00565D10"/>
    <w:pPr>
      <w:numPr>
        <w:numId w:val="10"/>
      </w:numPr>
      <w:tabs>
        <w:tab w:val="num" w:pos="926"/>
      </w:tabs>
      <w:spacing w:before="120" w:after="120"/>
      <w:ind w:left="926" w:hanging="360"/>
      <w:jc w:val="both"/>
    </w:pPr>
  </w:style>
  <w:style w:type="paragraph" w:customStyle="1" w:styleId="Bullet2">
    <w:name w:val="Bullet 2"/>
    <w:basedOn w:val="Normal"/>
    <w:rsid w:val="00565D10"/>
    <w:pPr>
      <w:numPr>
        <w:numId w:val="11"/>
      </w:numPr>
      <w:spacing w:before="120" w:after="120"/>
      <w:jc w:val="both"/>
    </w:pPr>
  </w:style>
  <w:style w:type="paragraph" w:customStyle="1" w:styleId="Bullet3">
    <w:name w:val="Bullet 3"/>
    <w:basedOn w:val="Normal"/>
    <w:rsid w:val="00565D10"/>
    <w:pPr>
      <w:tabs>
        <w:tab w:val="num" w:pos="2551"/>
      </w:tabs>
      <w:spacing w:before="120" w:after="120"/>
      <w:ind w:left="2551" w:hanging="567"/>
      <w:jc w:val="both"/>
    </w:pPr>
  </w:style>
  <w:style w:type="paragraph" w:customStyle="1" w:styleId="Bullet4">
    <w:name w:val="Bullet 4"/>
    <w:basedOn w:val="Normal"/>
    <w:rsid w:val="00565D10"/>
    <w:pPr>
      <w:numPr>
        <w:numId w:val="12"/>
      </w:numPr>
      <w:spacing w:before="120" w:after="120"/>
      <w:jc w:val="both"/>
    </w:pPr>
  </w:style>
  <w:style w:type="paragraph" w:customStyle="1" w:styleId="Langue">
    <w:name w:val="Langue"/>
    <w:basedOn w:val="Normal"/>
    <w:next w:val="Rfrenceinterne"/>
    <w:rsid w:val="00565D10"/>
    <w:pPr>
      <w:framePr w:wrap="around" w:vAnchor="page" w:hAnchor="text" w:xAlign="center" w:y="14741"/>
      <w:spacing w:after="600"/>
      <w:jc w:val="center"/>
    </w:pPr>
    <w:rPr>
      <w:b/>
      <w:caps/>
    </w:rPr>
  </w:style>
  <w:style w:type="paragraph" w:customStyle="1" w:styleId="Rfrenceinterne">
    <w:name w:val="Référence interne"/>
    <w:basedOn w:val="Normal"/>
    <w:next w:val="Rfrenceinterinstitutionnelle"/>
    <w:rsid w:val="00565D10"/>
    <w:pPr>
      <w:ind w:left="5103"/>
    </w:pPr>
  </w:style>
  <w:style w:type="paragraph" w:customStyle="1" w:styleId="Rfrenceinterinstitutionnelle">
    <w:name w:val="Référence interinstitutionnelle"/>
    <w:basedOn w:val="Normal"/>
    <w:next w:val="Statut"/>
    <w:rsid w:val="00565D10"/>
    <w:pPr>
      <w:ind w:left="5103"/>
    </w:pPr>
  </w:style>
  <w:style w:type="paragraph" w:customStyle="1" w:styleId="Statut">
    <w:name w:val="Statut"/>
    <w:basedOn w:val="Normal"/>
    <w:next w:val="Typedudocument"/>
    <w:rsid w:val="00565D10"/>
    <w:pPr>
      <w:spacing w:before="360"/>
      <w:jc w:val="center"/>
    </w:pPr>
  </w:style>
  <w:style w:type="paragraph" w:customStyle="1" w:styleId="Typedudocument">
    <w:name w:val="Type du document"/>
    <w:basedOn w:val="Normal"/>
    <w:next w:val="Titreobjet"/>
    <w:rsid w:val="00565D10"/>
    <w:pPr>
      <w:spacing w:before="360"/>
      <w:jc w:val="center"/>
    </w:pPr>
    <w:rPr>
      <w:b/>
    </w:rPr>
  </w:style>
  <w:style w:type="paragraph" w:customStyle="1" w:styleId="Titreobjet">
    <w:name w:val="Titre objet"/>
    <w:basedOn w:val="Normal"/>
    <w:next w:val="IntrtEEE"/>
    <w:rsid w:val="00565D10"/>
    <w:pPr>
      <w:spacing w:before="360" w:after="360"/>
      <w:jc w:val="center"/>
    </w:pPr>
    <w:rPr>
      <w:b/>
    </w:rPr>
  </w:style>
  <w:style w:type="paragraph" w:customStyle="1" w:styleId="IntrtEEE">
    <w:name w:val="Intérêt EEE"/>
    <w:basedOn w:val="Languesfaisantfoi"/>
    <w:next w:val="Normal"/>
    <w:rsid w:val="00565D10"/>
    <w:pPr>
      <w:spacing w:after="240"/>
    </w:pPr>
  </w:style>
  <w:style w:type="paragraph" w:customStyle="1" w:styleId="Languesfaisantfoi">
    <w:name w:val="Langues faisant foi"/>
    <w:basedOn w:val="Normal"/>
    <w:next w:val="Normal"/>
    <w:rsid w:val="00565D10"/>
    <w:pPr>
      <w:spacing w:before="360"/>
      <w:jc w:val="center"/>
    </w:pPr>
  </w:style>
  <w:style w:type="paragraph" w:customStyle="1" w:styleId="Nomdelinstitution">
    <w:name w:val="Nom de l'institution"/>
    <w:basedOn w:val="Normal"/>
    <w:next w:val="Emission"/>
    <w:rsid w:val="00565D10"/>
    <w:rPr>
      <w:rFonts w:ascii="Arial" w:hAnsi="Arial" w:cs="Arial"/>
    </w:rPr>
  </w:style>
  <w:style w:type="paragraph" w:customStyle="1" w:styleId="Emission">
    <w:name w:val="Emission"/>
    <w:basedOn w:val="Normal"/>
    <w:next w:val="Rfrenceinstitutionnelle"/>
    <w:rsid w:val="00565D10"/>
    <w:pPr>
      <w:ind w:left="5103"/>
    </w:pPr>
  </w:style>
  <w:style w:type="paragraph" w:customStyle="1" w:styleId="Rfrenceinstitutionnelle">
    <w:name w:val="Référence institutionnelle"/>
    <w:basedOn w:val="Normal"/>
    <w:next w:val="Confidentialit"/>
    <w:rsid w:val="00565D10"/>
    <w:pPr>
      <w:spacing w:after="240"/>
      <w:ind w:left="5103"/>
    </w:pPr>
  </w:style>
  <w:style w:type="paragraph" w:customStyle="1" w:styleId="Confidentialit">
    <w:name w:val="Confidentialité"/>
    <w:basedOn w:val="Normal"/>
    <w:next w:val="TypedudocumentPagedecouverture"/>
    <w:rsid w:val="00565D10"/>
    <w:pPr>
      <w:spacing w:before="240" w:after="240"/>
      <w:ind w:left="5103"/>
    </w:pPr>
    <w:rPr>
      <w:i/>
      <w:sz w:val="32"/>
    </w:rPr>
  </w:style>
  <w:style w:type="paragraph" w:customStyle="1" w:styleId="TypedudocumentPagedecouverture">
    <w:name w:val="Type du document (Page de couverture)"/>
    <w:basedOn w:val="Typedudocument"/>
    <w:next w:val="TitreobjetPagedecouverture"/>
    <w:rsid w:val="00565D10"/>
  </w:style>
  <w:style w:type="paragraph" w:customStyle="1" w:styleId="TitreobjetPagedecouverture">
    <w:name w:val="Titre objet (Page de couverture)"/>
    <w:basedOn w:val="Titreobjet"/>
    <w:next w:val="IntrtEEEPagedecouverture"/>
    <w:rsid w:val="00565D10"/>
  </w:style>
  <w:style w:type="paragraph" w:customStyle="1" w:styleId="IntrtEEEPagedecouverture">
    <w:name w:val="Intérêt EEE (Page de couverture)"/>
    <w:basedOn w:val="IntrtEEE"/>
    <w:next w:val="Rfrencecroise"/>
    <w:rsid w:val="00565D10"/>
  </w:style>
  <w:style w:type="paragraph" w:customStyle="1" w:styleId="Rfrencecroise">
    <w:name w:val="Référence croisée"/>
    <w:basedOn w:val="Normal"/>
    <w:rsid w:val="00565D10"/>
    <w:pPr>
      <w:jc w:val="center"/>
    </w:pPr>
  </w:style>
  <w:style w:type="paragraph" w:customStyle="1" w:styleId="Pagedecouverture">
    <w:name w:val="Page de couverture"/>
    <w:basedOn w:val="Normal"/>
    <w:next w:val="Normal"/>
    <w:rsid w:val="00565D10"/>
    <w:pPr>
      <w:jc w:val="both"/>
    </w:pPr>
  </w:style>
  <w:style w:type="paragraph" w:customStyle="1" w:styleId="Declassification">
    <w:name w:val="Declassification"/>
    <w:basedOn w:val="Normal"/>
    <w:next w:val="Normal"/>
    <w:rsid w:val="00565D10"/>
    <w:pPr>
      <w:jc w:val="both"/>
    </w:pPr>
  </w:style>
  <w:style w:type="paragraph" w:customStyle="1" w:styleId="Disclaimer">
    <w:name w:val="Disclaimer"/>
    <w:basedOn w:val="Normal"/>
    <w:rsid w:val="00565D10"/>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style>
  <w:style w:type="paragraph" w:customStyle="1" w:styleId="SecurityMarking">
    <w:name w:val="SecurityMarking"/>
    <w:basedOn w:val="Normal"/>
    <w:rsid w:val="00565D10"/>
    <w:pPr>
      <w:ind w:left="5103"/>
    </w:pPr>
    <w:rPr>
      <w:sz w:val="28"/>
    </w:rPr>
  </w:style>
  <w:style w:type="paragraph" w:customStyle="1" w:styleId="DateMarking">
    <w:name w:val="DateMarking"/>
    <w:basedOn w:val="Normal"/>
    <w:rsid w:val="00565D10"/>
    <w:pPr>
      <w:ind w:left="5103"/>
    </w:pPr>
    <w:rPr>
      <w:i/>
      <w:sz w:val="28"/>
    </w:rPr>
  </w:style>
  <w:style w:type="paragraph" w:customStyle="1" w:styleId="ReleasableTo">
    <w:name w:val="ReleasableTo"/>
    <w:basedOn w:val="Normal"/>
    <w:rsid w:val="00565D10"/>
    <w:pPr>
      <w:ind w:left="5103"/>
    </w:pPr>
    <w:rPr>
      <w:i/>
      <w:sz w:val="28"/>
    </w:rPr>
  </w:style>
  <w:style w:type="paragraph" w:customStyle="1" w:styleId="Annexetitreexpos">
    <w:name w:val="Annexe titre (exposé)"/>
    <w:basedOn w:val="Normal"/>
    <w:next w:val="Normal"/>
    <w:rsid w:val="00565D10"/>
    <w:pPr>
      <w:spacing w:before="120" w:after="120"/>
      <w:jc w:val="center"/>
    </w:pPr>
    <w:rPr>
      <w:b/>
      <w:u w:val="single"/>
    </w:rPr>
  </w:style>
  <w:style w:type="paragraph" w:customStyle="1" w:styleId="Annexetitre">
    <w:name w:val="Annexe titre"/>
    <w:basedOn w:val="Normal"/>
    <w:next w:val="Normal"/>
    <w:rsid w:val="00565D10"/>
    <w:pPr>
      <w:spacing w:before="120" w:after="120"/>
      <w:jc w:val="center"/>
    </w:pPr>
    <w:rPr>
      <w:b/>
      <w:u w:val="single"/>
    </w:rPr>
  </w:style>
  <w:style w:type="paragraph" w:customStyle="1" w:styleId="Annexetitrefichefinancire">
    <w:name w:val="Annexe titre (fiche financière)"/>
    <w:basedOn w:val="Normal"/>
    <w:next w:val="Normal"/>
    <w:rsid w:val="00565D10"/>
    <w:pPr>
      <w:spacing w:before="120" w:after="120"/>
      <w:jc w:val="center"/>
    </w:pPr>
    <w:rPr>
      <w:b/>
      <w:u w:val="single"/>
    </w:rPr>
  </w:style>
  <w:style w:type="paragraph" w:customStyle="1" w:styleId="Applicationdirecte">
    <w:name w:val="Application directe"/>
    <w:basedOn w:val="Normal"/>
    <w:next w:val="Fait"/>
    <w:rsid w:val="00565D10"/>
    <w:pPr>
      <w:spacing w:before="480" w:after="120"/>
      <w:jc w:val="both"/>
    </w:pPr>
  </w:style>
  <w:style w:type="paragraph" w:customStyle="1" w:styleId="Fait">
    <w:name w:val="Fait à"/>
    <w:basedOn w:val="Normal"/>
    <w:next w:val="Institutionquisigne"/>
    <w:rsid w:val="00565D10"/>
    <w:pPr>
      <w:keepNext/>
      <w:spacing w:before="120"/>
      <w:jc w:val="both"/>
    </w:pPr>
  </w:style>
  <w:style w:type="paragraph" w:customStyle="1" w:styleId="Institutionquisigne">
    <w:name w:val="Institution qui signe"/>
    <w:basedOn w:val="Normal"/>
    <w:next w:val="Personnequisigne"/>
    <w:rsid w:val="00565D10"/>
    <w:pPr>
      <w:keepNext/>
      <w:tabs>
        <w:tab w:val="left" w:pos="4252"/>
      </w:tabs>
      <w:spacing w:before="720"/>
      <w:jc w:val="both"/>
    </w:pPr>
    <w:rPr>
      <w:i/>
    </w:rPr>
  </w:style>
  <w:style w:type="paragraph" w:customStyle="1" w:styleId="Personnequisigne">
    <w:name w:val="Personne qui signe"/>
    <w:basedOn w:val="Normal"/>
    <w:next w:val="Institutionquisigne"/>
    <w:rsid w:val="00565D10"/>
    <w:pPr>
      <w:tabs>
        <w:tab w:val="left" w:pos="4252"/>
      </w:tabs>
    </w:pPr>
    <w:rPr>
      <w:i/>
    </w:rPr>
  </w:style>
  <w:style w:type="paragraph" w:customStyle="1" w:styleId="Avertissementtitre">
    <w:name w:val="Avertissement titre"/>
    <w:basedOn w:val="Normal"/>
    <w:next w:val="Normal"/>
    <w:rsid w:val="00565D10"/>
    <w:pPr>
      <w:keepNext/>
      <w:spacing w:before="480" w:after="120"/>
      <w:jc w:val="both"/>
    </w:pPr>
    <w:rPr>
      <w:u w:val="single"/>
    </w:rPr>
  </w:style>
  <w:style w:type="paragraph" w:customStyle="1" w:styleId="Confidence">
    <w:name w:val="Confidence"/>
    <w:basedOn w:val="Normal"/>
    <w:next w:val="Normal"/>
    <w:rsid w:val="00565D10"/>
    <w:pPr>
      <w:spacing w:before="360" w:after="120"/>
      <w:jc w:val="center"/>
    </w:pPr>
  </w:style>
  <w:style w:type="paragraph" w:customStyle="1" w:styleId="Considrant">
    <w:name w:val="Considérant"/>
    <w:basedOn w:val="Normal"/>
    <w:rsid w:val="00565D10"/>
    <w:pPr>
      <w:tabs>
        <w:tab w:val="num" w:pos="709"/>
      </w:tabs>
      <w:spacing w:before="120" w:after="120"/>
      <w:ind w:left="709" w:hanging="709"/>
      <w:jc w:val="both"/>
    </w:pPr>
  </w:style>
  <w:style w:type="paragraph" w:customStyle="1" w:styleId="Corrigendum">
    <w:name w:val="Corrigendum"/>
    <w:basedOn w:val="Normal"/>
    <w:next w:val="Normal"/>
    <w:rsid w:val="00565D10"/>
    <w:pPr>
      <w:spacing w:after="240"/>
    </w:pPr>
  </w:style>
  <w:style w:type="paragraph" w:customStyle="1" w:styleId="Datedadoption">
    <w:name w:val="Date d'adoption"/>
    <w:basedOn w:val="Normal"/>
    <w:next w:val="Titreobjet"/>
    <w:rsid w:val="00565D10"/>
    <w:pPr>
      <w:spacing w:before="360"/>
      <w:jc w:val="center"/>
    </w:pPr>
    <w:rPr>
      <w:b/>
    </w:rPr>
  </w:style>
  <w:style w:type="paragraph" w:customStyle="1" w:styleId="Exposdesmotifstitre">
    <w:name w:val="Exposé des motifs titre"/>
    <w:basedOn w:val="Normal"/>
    <w:next w:val="Normal"/>
    <w:rsid w:val="00565D10"/>
    <w:pPr>
      <w:spacing w:before="120" w:after="120"/>
      <w:jc w:val="center"/>
    </w:pPr>
    <w:rPr>
      <w:b/>
      <w:u w:val="single"/>
    </w:rPr>
  </w:style>
  <w:style w:type="paragraph" w:customStyle="1" w:styleId="Formuledadoption">
    <w:name w:val="Formule d'adoption"/>
    <w:basedOn w:val="Normal"/>
    <w:next w:val="Titrearticle"/>
    <w:rsid w:val="00565D10"/>
    <w:pPr>
      <w:keepNext/>
      <w:spacing w:before="120" w:after="120"/>
      <w:jc w:val="both"/>
    </w:pPr>
  </w:style>
  <w:style w:type="paragraph" w:customStyle="1" w:styleId="Titrearticle">
    <w:name w:val="Titre article"/>
    <w:basedOn w:val="Normal"/>
    <w:next w:val="Normal"/>
    <w:rsid w:val="00565D10"/>
    <w:pPr>
      <w:keepNext/>
      <w:spacing w:before="360" w:after="120"/>
      <w:jc w:val="center"/>
    </w:pPr>
    <w:rPr>
      <w:i/>
    </w:rPr>
  </w:style>
  <w:style w:type="paragraph" w:customStyle="1" w:styleId="Institutionquiagit">
    <w:name w:val="Institution qui agit"/>
    <w:basedOn w:val="Normal"/>
    <w:next w:val="Normal"/>
    <w:rsid w:val="00565D10"/>
    <w:pPr>
      <w:keepNext/>
      <w:spacing w:before="600" w:after="120"/>
      <w:jc w:val="both"/>
    </w:pPr>
  </w:style>
  <w:style w:type="paragraph" w:customStyle="1" w:styleId="ManualConsidrant">
    <w:name w:val="Manual Considérant"/>
    <w:basedOn w:val="Normal"/>
    <w:rsid w:val="00565D10"/>
    <w:pPr>
      <w:spacing w:before="120" w:after="120"/>
      <w:ind w:left="709" w:hanging="709"/>
      <w:jc w:val="both"/>
    </w:pPr>
  </w:style>
  <w:style w:type="character" w:customStyle="1" w:styleId="Added">
    <w:name w:val="Added"/>
    <w:basedOn w:val="DefaultParagraphFont"/>
    <w:rsid w:val="00565D10"/>
    <w:rPr>
      <w:b/>
      <w:u w:val="single"/>
      <w:shd w:val="clear" w:color="auto" w:fill="auto"/>
    </w:rPr>
  </w:style>
  <w:style w:type="character" w:customStyle="1" w:styleId="Deleted">
    <w:name w:val="Deleted"/>
    <w:basedOn w:val="DefaultParagraphFont"/>
    <w:rsid w:val="00565D10"/>
    <w:rPr>
      <w:strike/>
      <w:dstrike w:val="0"/>
      <w:shd w:val="clear" w:color="auto" w:fill="auto"/>
    </w:rPr>
  </w:style>
  <w:style w:type="paragraph" w:customStyle="1" w:styleId="Address">
    <w:name w:val="Address"/>
    <w:basedOn w:val="Normal"/>
    <w:next w:val="Normal"/>
    <w:rsid w:val="00565D10"/>
    <w:pPr>
      <w:keepLines/>
      <w:spacing w:before="120" w:after="120" w:line="360" w:lineRule="auto"/>
      <w:ind w:left="3402"/>
    </w:pPr>
  </w:style>
  <w:style w:type="paragraph" w:customStyle="1" w:styleId="Objetexterne">
    <w:name w:val="Objet externe"/>
    <w:basedOn w:val="Normal"/>
    <w:next w:val="Normal"/>
    <w:rsid w:val="00565D10"/>
    <w:pPr>
      <w:spacing w:before="120" w:after="120"/>
      <w:jc w:val="both"/>
    </w:pPr>
    <w:rPr>
      <w:i/>
      <w:caps/>
    </w:rPr>
  </w:style>
  <w:style w:type="paragraph" w:customStyle="1" w:styleId="Supertitre">
    <w:name w:val="Supertitre"/>
    <w:basedOn w:val="Normal"/>
    <w:next w:val="Normal"/>
    <w:rsid w:val="00565D10"/>
    <w:pPr>
      <w:spacing w:after="600"/>
      <w:jc w:val="center"/>
    </w:pPr>
    <w:rPr>
      <w:b/>
    </w:rPr>
  </w:style>
  <w:style w:type="paragraph" w:customStyle="1" w:styleId="Fichefinanciretitre">
    <w:name w:val="Fiche financière titre"/>
    <w:basedOn w:val="Normal"/>
    <w:next w:val="Normal"/>
    <w:rsid w:val="00565D10"/>
    <w:pPr>
      <w:spacing w:before="120" w:after="120"/>
      <w:jc w:val="center"/>
    </w:pPr>
    <w:rPr>
      <w:b/>
      <w:u w:val="single"/>
    </w:rPr>
  </w:style>
  <w:style w:type="paragraph" w:customStyle="1" w:styleId="DatedadoptionPagedecouverture">
    <w:name w:val="Date d'adoption (Page de couverture)"/>
    <w:basedOn w:val="Datedadoption"/>
    <w:next w:val="TitreobjetPagedecouverture"/>
    <w:rsid w:val="00565D10"/>
  </w:style>
  <w:style w:type="paragraph" w:customStyle="1" w:styleId="RfrenceinterinstitutionnellePagedecouverture">
    <w:name w:val="Référence interinstitutionnelle (Page de couverture)"/>
    <w:basedOn w:val="Rfrenceinterinstitutionnelle"/>
    <w:next w:val="Confidentialit"/>
    <w:rsid w:val="00565D10"/>
  </w:style>
  <w:style w:type="paragraph" w:customStyle="1" w:styleId="StatutPagedecouverture">
    <w:name w:val="Statut (Page de couverture)"/>
    <w:basedOn w:val="Statut"/>
    <w:next w:val="TypedudocumentPagedecouverture"/>
    <w:rsid w:val="00565D10"/>
  </w:style>
  <w:style w:type="paragraph" w:customStyle="1" w:styleId="Volume">
    <w:name w:val="Volume"/>
    <w:basedOn w:val="Normal"/>
    <w:next w:val="Confidentialit"/>
    <w:rsid w:val="00565D10"/>
    <w:pPr>
      <w:spacing w:after="240"/>
      <w:ind w:left="5103"/>
    </w:pPr>
  </w:style>
  <w:style w:type="paragraph" w:customStyle="1" w:styleId="Accompagnant">
    <w:name w:val="Accompagnant"/>
    <w:basedOn w:val="Normal"/>
    <w:next w:val="Typeacteprincipal"/>
    <w:rsid w:val="00565D10"/>
    <w:pPr>
      <w:spacing w:after="240"/>
      <w:jc w:val="center"/>
    </w:pPr>
    <w:rPr>
      <w:b/>
      <w:i/>
    </w:rPr>
  </w:style>
  <w:style w:type="paragraph" w:customStyle="1" w:styleId="Typeacteprincipal">
    <w:name w:val="Type acte principal"/>
    <w:basedOn w:val="Normal"/>
    <w:next w:val="Objetacteprincipal"/>
    <w:rsid w:val="00565D10"/>
    <w:pPr>
      <w:spacing w:after="240"/>
      <w:jc w:val="center"/>
    </w:pPr>
    <w:rPr>
      <w:b/>
    </w:rPr>
  </w:style>
  <w:style w:type="paragraph" w:customStyle="1" w:styleId="Objetacteprincipal">
    <w:name w:val="Objet acte principal"/>
    <w:basedOn w:val="Normal"/>
    <w:next w:val="Titrearticle"/>
    <w:rsid w:val="00565D10"/>
    <w:pPr>
      <w:spacing w:after="360"/>
      <w:jc w:val="center"/>
    </w:pPr>
    <w:rPr>
      <w:b/>
    </w:rPr>
  </w:style>
  <w:style w:type="paragraph" w:customStyle="1" w:styleId="AccompagnantPagedecouverture">
    <w:name w:val="Accompagnant (Page de couverture)"/>
    <w:basedOn w:val="Accompagnant"/>
    <w:next w:val="TypeacteprincipalPagedecouverture"/>
    <w:rsid w:val="00565D10"/>
  </w:style>
  <w:style w:type="paragraph" w:customStyle="1" w:styleId="TypeacteprincipalPagedecouverture">
    <w:name w:val="Type acte principal (Page de couverture)"/>
    <w:basedOn w:val="Typeacteprincipal"/>
    <w:next w:val="ObjetacteprincipalPagedecouverture"/>
    <w:rsid w:val="00565D10"/>
  </w:style>
  <w:style w:type="paragraph" w:customStyle="1" w:styleId="ObjetacteprincipalPagedecouverture">
    <w:name w:val="Objet acte principal (Page de couverture)"/>
    <w:basedOn w:val="Objetacteprincipal"/>
    <w:next w:val="Rfrencecroise"/>
    <w:rsid w:val="00565D10"/>
  </w:style>
  <w:style w:type="paragraph" w:customStyle="1" w:styleId="LanguesfaisantfoiPagedecouverture">
    <w:name w:val="Langues faisant foi (Page de couverture)"/>
    <w:basedOn w:val="Normal"/>
    <w:next w:val="Normal"/>
    <w:rsid w:val="00565D10"/>
    <w:pPr>
      <w:spacing w:before="360"/>
      <w:jc w:val="center"/>
    </w:pPr>
  </w:style>
  <w:style w:type="paragraph" w:styleId="ListBullet">
    <w:name w:val="List Bullet"/>
    <w:basedOn w:val="Normal"/>
    <w:uiPriority w:val="99"/>
    <w:semiHidden/>
    <w:unhideWhenUsed/>
    <w:rsid w:val="00565D10"/>
    <w:pPr>
      <w:numPr>
        <w:numId w:val="14"/>
      </w:numPr>
      <w:tabs>
        <w:tab w:val="num" w:pos="850"/>
      </w:tabs>
      <w:spacing w:before="120" w:after="120"/>
      <w:ind w:left="720"/>
      <w:contextualSpacing/>
      <w:jc w:val="both"/>
    </w:pPr>
  </w:style>
  <w:style w:type="paragraph" w:styleId="ListBullet2">
    <w:name w:val="List Bullet 2"/>
    <w:basedOn w:val="Normal"/>
    <w:uiPriority w:val="99"/>
    <w:semiHidden/>
    <w:unhideWhenUsed/>
    <w:rsid w:val="00565D10"/>
    <w:pPr>
      <w:tabs>
        <w:tab w:val="num" w:pos="643"/>
      </w:tabs>
      <w:spacing w:before="120" w:after="120"/>
      <w:ind w:left="643" w:hanging="360"/>
      <w:contextualSpacing/>
      <w:jc w:val="both"/>
    </w:pPr>
  </w:style>
  <w:style w:type="paragraph" w:styleId="ListBullet3">
    <w:name w:val="List Bullet 3"/>
    <w:basedOn w:val="Normal"/>
    <w:uiPriority w:val="99"/>
    <w:semiHidden/>
    <w:unhideWhenUsed/>
    <w:rsid w:val="00565D10"/>
    <w:pPr>
      <w:tabs>
        <w:tab w:val="num" w:pos="926"/>
      </w:tabs>
      <w:spacing w:before="120" w:after="120"/>
      <w:ind w:left="926" w:hanging="360"/>
      <w:contextualSpacing/>
      <w:jc w:val="both"/>
    </w:pPr>
  </w:style>
  <w:style w:type="paragraph" w:styleId="ListBullet4">
    <w:name w:val="List Bullet 4"/>
    <w:basedOn w:val="Normal"/>
    <w:uiPriority w:val="99"/>
    <w:semiHidden/>
    <w:unhideWhenUsed/>
    <w:rsid w:val="00565D10"/>
    <w:pPr>
      <w:tabs>
        <w:tab w:val="num" w:pos="3118"/>
      </w:tabs>
      <w:spacing w:before="120" w:after="120"/>
      <w:ind w:left="3118" w:hanging="567"/>
      <w:contextualSpacing/>
      <w:jc w:val="both"/>
    </w:pPr>
  </w:style>
  <w:style w:type="character" w:styleId="CommentReference">
    <w:name w:val="annotation reference"/>
    <w:basedOn w:val="DefaultParagraphFont"/>
    <w:uiPriority w:val="99"/>
    <w:unhideWhenUsed/>
    <w:rsid w:val="00565D10"/>
    <w:rPr>
      <w:sz w:val="16"/>
    </w:rPr>
  </w:style>
  <w:style w:type="paragraph" w:styleId="CommentText">
    <w:name w:val="annotation text"/>
    <w:basedOn w:val="Normal"/>
    <w:link w:val="CommentTextChar"/>
    <w:uiPriority w:val="99"/>
    <w:unhideWhenUsed/>
    <w:rsid w:val="00565D10"/>
    <w:pPr>
      <w:spacing w:before="120" w:after="120"/>
      <w:jc w:val="both"/>
    </w:pPr>
    <w:rPr>
      <w:sz w:val="20"/>
    </w:rPr>
  </w:style>
  <w:style w:type="character" w:customStyle="1" w:styleId="CommentTextChar">
    <w:name w:val="Comment Text Char"/>
    <w:basedOn w:val="DefaultParagraphFont"/>
    <w:link w:val="CommentText"/>
    <w:uiPriority w:val="99"/>
    <w:rsid w:val="00565D10"/>
    <w:rPr>
      <w:rFonts w:ascii="Times New Roman" w:eastAsia="Times New Roman" w:hAnsi="Times New Roman" w:cs="Times New Roman"/>
      <w:sz w:val="20"/>
    </w:rPr>
  </w:style>
  <w:style w:type="paragraph" w:styleId="CommentSubject">
    <w:name w:val="annotation subject"/>
    <w:basedOn w:val="CommentText"/>
    <w:next w:val="CommentText"/>
    <w:link w:val="CommentSubjectChar"/>
    <w:uiPriority w:val="99"/>
    <w:semiHidden/>
    <w:unhideWhenUsed/>
    <w:rsid w:val="00565D10"/>
    <w:rPr>
      <w:b/>
    </w:rPr>
  </w:style>
  <w:style w:type="character" w:customStyle="1" w:styleId="CommentSubjectChar">
    <w:name w:val="Comment Subject Char"/>
    <w:basedOn w:val="CommentTextChar"/>
    <w:link w:val="CommentSubject"/>
    <w:uiPriority w:val="99"/>
    <w:semiHidden/>
    <w:rsid w:val="00565D10"/>
    <w:rPr>
      <w:rFonts w:ascii="Times New Roman" w:eastAsia="Times New Roman" w:hAnsi="Times New Roman" w:cs="Times New Roman"/>
      <w:b/>
      <w:sz w:val="20"/>
    </w:rPr>
  </w:style>
  <w:style w:type="paragraph" w:styleId="BalloonText">
    <w:name w:val="Balloon Text"/>
    <w:basedOn w:val="Normal"/>
    <w:link w:val="BalloonTextChar"/>
    <w:uiPriority w:val="99"/>
    <w:semiHidden/>
    <w:unhideWhenUsed/>
    <w:rsid w:val="00565D10"/>
    <w:pPr>
      <w:jc w:val="both"/>
    </w:pPr>
    <w:rPr>
      <w:rFonts w:ascii="Segoe UI" w:hAnsi="Segoe UI" w:cs="Segoe UI"/>
      <w:sz w:val="18"/>
    </w:rPr>
  </w:style>
  <w:style w:type="character" w:customStyle="1" w:styleId="BalloonTextChar">
    <w:name w:val="Balloon Text Char"/>
    <w:basedOn w:val="DefaultParagraphFont"/>
    <w:link w:val="BalloonText"/>
    <w:uiPriority w:val="99"/>
    <w:semiHidden/>
    <w:rsid w:val="00565D10"/>
    <w:rPr>
      <w:rFonts w:ascii="Segoe UI" w:eastAsia="Times New Roman" w:hAnsi="Segoe UI" w:cs="Segoe UI"/>
      <w:sz w:val="18"/>
    </w:rPr>
  </w:style>
  <w:style w:type="paragraph" w:styleId="Revision">
    <w:name w:val="Revision"/>
    <w:hidden/>
    <w:uiPriority w:val="99"/>
    <w:semiHidden/>
    <w:rsid w:val="00565D10"/>
    <w:pPr>
      <w:spacing w:after="0" w:line="240" w:lineRule="auto"/>
    </w:pPr>
    <w:rPr>
      <w:rFonts w:ascii="Times New Roman" w:hAnsi="Times New Roman" w:cs="Times New Roman"/>
      <w:sz w:val="24"/>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565D10"/>
    <w:pPr>
      <w:spacing w:before="120" w:after="120"/>
      <w:ind w:left="720"/>
      <w:contextualSpacing/>
      <w:jc w:val="both"/>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rsid w:val="00565D10"/>
    <w:rPr>
      <w:rFonts w:ascii="Times New Roman" w:eastAsia="Times New Roman" w:hAnsi="Times New Roman" w:cs="Times New Roman"/>
      <w:sz w:val="24"/>
    </w:rPr>
  </w:style>
  <w:style w:type="character" w:customStyle="1" w:styleId="normaltextrun">
    <w:name w:val="normaltextrun"/>
    <w:basedOn w:val="DefaultParagraphFont"/>
    <w:rsid w:val="00565D10"/>
  </w:style>
  <w:style w:type="character" w:customStyle="1" w:styleId="eop">
    <w:name w:val="eop"/>
    <w:basedOn w:val="DefaultParagraphFont"/>
    <w:rsid w:val="00565D10"/>
  </w:style>
  <w:style w:type="character" w:styleId="Hyperlink">
    <w:name w:val="Hyperlink"/>
    <w:basedOn w:val="DefaultParagraphFont"/>
    <w:uiPriority w:val="99"/>
    <w:unhideWhenUsed/>
    <w:rsid w:val="00565D10"/>
    <w:rPr>
      <w:color w:val="0000FF" w:themeColor="hyperlink"/>
      <w:u w:val="single"/>
    </w:rPr>
  </w:style>
  <w:style w:type="character" w:customStyle="1" w:styleId="y2iqfc">
    <w:name w:val="y2iqfc"/>
    <w:basedOn w:val="DefaultParagraphFont"/>
    <w:rsid w:val="00565D10"/>
  </w:style>
  <w:style w:type="character" w:styleId="IntenseEmphasis">
    <w:name w:val="Intense Emphasis"/>
    <w:basedOn w:val="DefaultParagraphFont"/>
    <w:uiPriority w:val="21"/>
    <w:qFormat/>
    <w:rsid w:val="00565D10"/>
    <w:rPr>
      <w:i/>
      <w:color w:val="4F81BD" w:themeColor="accent1"/>
    </w:rPr>
  </w:style>
  <w:style w:type="paragraph" w:customStyle="1" w:styleId="Times12">
    <w:name w:val="Times12"/>
    <w:basedOn w:val="Normal"/>
    <w:rsid w:val="00565D10"/>
    <w:pPr>
      <w:suppressAutoHyphens/>
      <w:spacing w:after="140"/>
      <w:jc w:val="both"/>
    </w:pPr>
    <w:rPr>
      <w:rFonts w:ascii="Times" w:eastAsia="SimSun" w:hAnsi="Times" w:cs="Times"/>
      <w:color w:val="00000A"/>
      <w:kern w:val="1"/>
    </w:rPr>
  </w:style>
  <w:style w:type="paragraph" w:customStyle="1" w:styleId="paragraph">
    <w:name w:val="paragraph"/>
    <w:basedOn w:val="Normal"/>
    <w:rsid w:val="00565D10"/>
    <w:pPr>
      <w:spacing w:before="100" w:beforeAutospacing="1" w:after="100" w:afterAutospacing="1"/>
    </w:pPr>
  </w:style>
  <w:style w:type="paragraph" w:customStyle="1" w:styleId="FooterCoverPage">
    <w:name w:val="Footer Cover Page"/>
    <w:basedOn w:val="Normal"/>
    <w:link w:val="FooterCoverPageChar"/>
    <w:rsid w:val="00565D10"/>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sid w:val="00565D10"/>
    <w:rPr>
      <w:rFonts w:ascii="Times New Roman" w:eastAsia="Times New Roman" w:hAnsi="Times New Roman" w:cs="Times New Roman"/>
      <w:sz w:val="24"/>
    </w:rPr>
  </w:style>
  <w:style w:type="paragraph" w:customStyle="1" w:styleId="HeaderCoverPage">
    <w:name w:val="Header Cover Page"/>
    <w:basedOn w:val="Normal"/>
    <w:link w:val="HeaderCoverPageChar"/>
    <w:rsid w:val="00565D10"/>
    <w:pPr>
      <w:tabs>
        <w:tab w:val="center" w:pos="4535"/>
        <w:tab w:val="right" w:pos="9071"/>
      </w:tabs>
      <w:spacing w:after="120"/>
      <w:jc w:val="both"/>
    </w:pPr>
  </w:style>
  <w:style w:type="character" w:customStyle="1" w:styleId="HeaderCoverPageChar">
    <w:name w:val="Header Cover Page Char"/>
    <w:basedOn w:val="DefaultParagraphFont"/>
    <w:link w:val="HeaderCoverPage"/>
    <w:rsid w:val="00565D10"/>
    <w:rPr>
      <w:rFonts w:ascii="Times New Roman" w:eastAsia="Times New Roman" w:hAnsi="Times New Roman" w:cs="Times New Roman"/>
      <w:sz w:val="24"/>
    </w:rPr>
  </w:style>
  <w:style w:type="table" w:styleId="TableGrid">
    <w:name w:val="Table Grid"/>
    <w:basedOn w:val="TableNormal"/>
    <w:uiPriority w:val="59"/>
    <w:rsid w:val="00565D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Puntielenco0">
    <w:name w:val="Punti elenco.0"/>
    <w:rsid w:val="00565D10"/>
    <w:pPr>
      <w:numPr>
        <w:numId w:val="13"/>
      </w:numPr>
    </w:pPr>
  </w:style>
  <w:style w:type="paragraph" w:styleId="IntenseQuote">
    <w:name w:val="Intense Quote"/>
    <w:basedOn w:val="Normal"/>
    <w:next w:val="Normal"/>
    <w:link w:val="IntenseQuoteChar"/>
    <w:uiPriority w:val="30"/>
    <w:qFormat/>
    <w:rsid w:val="00565D10"/>
    <w:pPr>
      <w:pBdr>
        <w:top w:val="single" w:sz="4" w:space="10" w:color="4F81BD" w:themeColor="accent1"/>
        <w:bottom w:val="single" w:sz="4" w:space="10" w:color="4F81BD" w:themeColor="accent1"/>
      </w:pBdr>
      <w:spacing w:before="360" w:after="360"/>
      <w:ind w:left="864" w:right="864"/>
      <w:jc w:val="center"/>
    </w:pPr>
    <w:rPr>
      <w:i/>
      <w:color w:val="4F81BD" w:themeColor="accent1"/>
    </w:rPr>
  </w:style>
  <w:style w:type="character" w:customStyle="1" w:styleId="IntenseQuoteChar">
    <w:name w:val="Intense Quote Char"/>
    <w:basedOn w:val="DefaultParagraphFont"/>
    <w:link w:val="IntenseQuote"/>
    <w:uiPriority w:val="30"/>
    <w:rsid w:val="00565D10"/>
    <w:rPr>
      <w:rFonts w:ascii="Times New Roman" w:eastAsia="Times New Roman" w:hAnsi="Times New Roman" w:cs="Times New Roman"/>
      <w:i/>
      <w:color w:val="4F81BD" w:themeColor="accent1"/>
      <w:sz w:val="24"/>
    </w:rPr>
  </w:style>
  <w:style w:type="character" w:customStyle="1" w:styleId="FootnoteCharacters">
    <w:name w:val="Footnote Characters"/>
    <w:rsid w:val="00565D10"/>
    <w:rPr>
      <w:vertAlign w:val="superscript"/>
    </w:rPr>
  </w:style>
  <w:style w:type="paragraph" w:customStyle="1" w:styleId="Paragrafoelenco1">
    <w:name w:val="Paragrafo elenco1"/>
    <w:basedOn w:val="Normal"/>
    <w:rsid w:val="00565D10"/>
    <w:pPr>
      <w:spacing w:after="160" w:line="254" w:lineRule="auto"/>
      <w:ind w:left="720"/>
      <w:contextualSpacing/>
    </w:pPr>
    <w:rPr>
      <w:color w:val="00000A"/>
      <w:kern w:val="1"/>
      <w:sz w:val="20"/>
    </w:rPr>
  </w:style>
  <w:style w:type="paragraph" w:styleId="NormalWeb">
    <w:name w:val="Normal (Web)"/>
    <w:basedOn w:val="Normal"/>
    <w:uiPriority w:val="99"/>
    <w:unhideWhenUsed/>
    <w:rsid w:val="00565D10"/>
    <w:pPr>
      <w:spacing w:before="100" w:beforeAutospacing="1" w:after="100" w:afterAutospacing="1"/>
    </w:pPr>
  </w:style>
  <w:style w:type="character" w:customStyle="1" w:styleId="normaltextrun1">
    <w:name w:val="normaltextrun1"/>
    <w:basedOn w:val="DefaultParagraphFont"/>
    <w:rsid w:val="00565D10"/>
  </w:style>
  <w:style w:type="numbering" w:customStyle="1" w:styleId="Stileimportato9">
    <w:name w:val="Stile importato 9"/>
    <w:rsid w:val="00565D10"/>
    <w:pPr>
      <w:numPr>
        <w:numId w:val="16"/>
      </w:numPr>
    </w:pPr>
  </w:style>
  <w:style w:type="character" w:customStyle="1" w:styleId="Hyperlink0">
    <w:name w:val="Hyperlink.0"/>
    <w:rsid w:val="00565D10"/>
  </w:style>
  <w:style w:type="paragraph" w:customStyle="1" w:styleId="Descriptiontext">
    <w:name w:val="Description text"/>
    <w:basedOn w:val="Normal"/>
    <w:link w:val="DescriptiontextChar"/>
    <w:qFormat/>
    <w:rsid w:val="00565D10"/>
    <w:pPr>
      <w:spacing w:before="120" w:after="120"/>
      <w:ind w:left="709"/>
      <w:jc w:val="both"/>
    </w:pPr>
  </w:style>
  <w:style w:type="paragraph" w:customStyle="1" w:styleId="Descriptiontitle">
    <w:name w:val="Description title"/>
    <w:basedOn w:val="Descriptiontext"/>
    <w:link w:val="DescriptiontitleChar"/>
    <w:rsid w:val="00565D10"/>
  </w:style>
  <w:style w:type="character" w:customStyle="1" w:styleId="DescriptiontextChar">
    <w:name w:val="Description text Char"/>
    <w:basedOn w:val="DefaultParagraphFont"/>
    <w:link w:val="Descriptiontext"/>
    <w:rsid w:val="00565D10"/>
    <w:rPr>
      <w:rFonts w:ascii="Times New Roman" w:eastAsia="Times New Roman" w:hAnsi="Times New Roman" w:cs="Times New Roman"/>
      <w:sz w:val="24"/>
    </w:rPr>
  </w:style>
  <w:style w:type="character" w:customStyle="1" w:styleId="DescriptiontitleChar">
    <w:name w:val="Description title Char"/>
    <w:basedOn w:val="DescriptiontextChar"/>
    <w:link w:val="Descriptiontitle"/>
    <w:rsid w:val="00565D10"/>
    <w:rPr>
      <w:rFonts w:ascii="Times New Roman" w:eastAsia="Times New Roman" w:hAnsi="Times New Roman" w:cs="Times New Roman"/>
      <w:sz w:val="24"/>
    </w:rPr>
  </w:style>
  <w:style w:type="paragraph" w:customStyle="1" w:styleId="Axistitle">
    <w:name w:val="Axis title"/>
    <w:basedOn w:val="Normal"/>
    <w:link w:val="AxistitleChar"/>
    <w:qFormat/>
    <w:rsid w:val="00565D10"/>
    <w:pPr>
      <w:spacing w:before="320" w:after="240"/>
      <w:ind w:left="709"/>
      <w:jc w:val="both"/>
    </w:pPr>
    <w:rPr>
      <w:i/>
    </w:rPr>
  </w:style>
  <w:style w:type="character" w:customStyle="1" w:styleId="AxistitleChar">
    <w:name w:val="Axis title Char"/>
    <w:basedOn w:val="DefaultParagraphFont"/>
    <w:link w:val="Axistitle"/>
    <w:rsid w:val="00565D10"/>
    <w:rPr>
      <w:rFonts w:ascii="Times New Roman" w:eastAsia="Times New Roman" w:hAnsi="Times New Roman" w:cs="Times New Roman"/>
      <w:i/>
      <w:sz w:val="24"/>
    </w:rPr>
  </w:style>
  <w:style w:type="character" w:customStyle="1" w:styleId="Mention1">
    <w:name w:val="Mention1"/>
    <w:basedOn w:val="DefaultParagraphFont"/>
    <w:uiPriority w:val="99"/>
    <w:unhideWhenUsed/>
    <w:rsid w:val="00565D10"/>
    <w:rPr>
      <w:color w:val="2B579A"/>
      <w:shd w:val="clear" w:color="auto" w:fill="E6E6E6"/>
    </w:rPr>
  </w:style>
  <w:style w:type="character" w:customStyle="1" w:styleId="superscript">
    <w:name w:val="superscript"/>
    <w:basedOn w:val="DefaultParagraphFont"/>
    <w:rsid w:val="00565D10"/>
  </w:style>
  <w:style w:type="paragraph" w:styleId="ListNumber4">
    <w:name w:val="List Number 4"/>
    <w:basedOn w:val="Normal"/>
    <w:uiPriority w:val="99"/>
    <w:semiHidden/>
    <w:unhideWhenUsed/>
    <w:rsid w:val="00565D10"/>
    <w:pPr>
      <w:numPr>
        <w:numId w:val="17"/>
      </w:numPr>
      <w:tabs>
        <w:tab w:val="num" w:pos="360"/>
      </w:tabs>
      <w:spacing w:before="120" w:after="120"/>
      <w:ind w:left="720"/>
      <w:contextualSpacing/>
      <w:jc w:val="both"/>
    </w:pPr>
    <w:rPr>
      <w:rFonts w:eastAsiaTheme="minorHAnsi"/>
    </w:rPr>
  </w:style>
  <w:style w:type="numbering" w:customStyle="1" w:styleId="NoList2">
    <w:name w:val="No List2"/>
    <w:next w:val="NoList"/>
    <w:uiPriority w:val="99"/>
    <w:semiHidden/>
    <w:unhideWhenUsed/>
    <w:rsid w:val="00565D10"/>
  </w:style>
  <w:style w:type="paragraph" w:styleId="Caption">
    <w:name w:val="caption"/>
    <w:basedOn w:val="Normal"/>
    <w:next w:val="Normal"/>
    <w:uiPriority w:val="35"/>
    <w:semiHidden/>
    <w:unhideWhenUsed/>
    <w:qFormat/>
    <w:rsid w:val="00565D10"/>
    <w:pPr>
      <w:spacing w:after="200"/>
      <w:jc w:val="both"/>
    </w:pPr>
    <w:rPr>
      <w:rFonts w:eastAsiaTheme="minorHAnsi"/>
      <w:i/>
      <w:color w:val="1F497D" w:themeColor="text2"/>
      <w:sz w:val="18"/>
    </w:rPr>
  </w:style>
  <w:style w:type="paragraph" w:styleId="TableofFigures">
    <w:name w:val="table of figures"/>
    <w:basedOn w:val="Normal"/>
    <w:next w:val="Normal"/>
    <w:uiPriority w:val="99"/>
    <w:semiHidden/>
    <w:unhideWhenUsed/>
    <w:rsid w:val="00565D10"/>
    <w:pPr>
      <w:spacing w:before="120"/>
      <w:jc w:val="both"/>
    </w:pPr>
    <w:rPr>
      <w:rFonts w:eastAsiaTheme="minorHAnsi"/>
    </w:rPr>
  </w:style>
  <w:style w:type="paragraph" w:styleId="ListNumber">
    <w:name w:val="List Number"/>
    <w:basedOn w:val="Normal"/>
    <w:uiPriority w:val="99"/>
    <w:semiHidden/>
    <w:unhideWhenUsed/>
    <w:rsid w:val="00565D10"/>
    <w:pPr>
      <w:numPr>
        <w:numId w:val="18"/>
      </w:numPr>
      <w:spacing w:before="120" w:after="120"/>
      <w:ind w:left="0" w:firstLine="0"/>
      <w:contextualSpacing/>
      <w:jc w:val="both"/>
    </w:pPr>
    <w:rPr>
      <w:rFonts w:eastAsiaTheme="minorHAnsi"/>
    </w:rPr>
  </w:style>
  <w:style w:type="paragraph" w:styleId="ListNumber2">
    <w:name w:val="List Number 2"/>
    <w:basedOn w:val="Normal"/>
    <w:uiPriority w:val="99"/>
    <w:semiHidden/>
    <w:unhideWhenUsed/>
    <w:rsid w:val="00565D10"/>
    <w:pPr>
      <w:numPr>
        <w:numId w:val="19"/>
      </w:numPr>
      <w:tabs>
        <w:tab w:val="num" w:pos="360"/>
      </w:tabs>
      <w:spacing w:before="120" w:after="120"/>
      <w:ind w:left="0" w:firstLine="0"/>
      <w:contextualSpacing/>
      <w:jc w:val="both"/>
    </w:pPr>
    <w:rPr>
      <w:rFonts w:eastAsiaTheme="minorHAnsi"/>
    </w:rPr>
  </w:style>
  <w:style w:type="paragraph" w:styleId="ListNumber3">
    <w:name w:val="List Number 3"/>
    <w:basedOn w:val="Normal"/>
    <w:uiPriority w:val="99"/>
    <w:semiHidden/>
    <w:unhideWhenUsed/>
    <w:rsid w:val="00565D10"/>
    <w:pPr>
      <w:numPr>
        <w:numId w:val="20"/>
      </w:numPr>
      <w:spacing w:before="120" w:after="120"/>
      <w:ind w:left="0" w:firstLine="0"/>
      <w:contextualSpacing/>
      <w:jc w:val="both"/>
    </w:pPr>
    <w:rPr>
      <w:rFonts w:eastAsiaTheme="minorHAnsi"/>
    </w:rPr>
  </w:style>
  <w:style w:type="character" w:customStyle="1" w:styleId="Mention2">
    <w:name w:val="Mention2"/>
    <w:basedOn w:val="DefaultParagraphFont"/>
    <w:uiPriority w:val="99"/>
    <w:unhideWhenUsed/>
    <w:rsid w:val="00565D10"/>
    <w:rPr>
      <w:color w:val="2B579A"/>
      <w:shd w:val="clear" w:color="auto" w:fill="E6E6E6"/>
    </w:rPr>
  </w:style>
  <w:style w:type="paragraph" w:customStyle="1" w:styleId="TechnicalBlock">
    <w:name w:val="Technical Block"/>
    <w:basedOn w:val="Normal"/>
    <w:link w:val="TechnicalBlockChar"/>
    <w:rsid w:val="00565D10"/>
    <w:pPr>
      <w:spacing w:after="240"/>
      <w:jc w:val="center"/>
      <w:textAlignment w:val="baseline"/>
    </w:pPr>
  </w:style>
  <w:style w:type="character" w:customStyle="1" w:styleId="TechnicalBlockChar">
    <w:name w:val="Technical Block Char"/>
    <w:basedOn w:val="DefaultParagraphFont"/>
    <w:link w:val="TechnicalBlock"/>
    <w:rsid w:val="00565D10"/>
    <w:rPr>
      <w:rFonts w:ascii="Times New Roman" w:eastAsia="Times New Roman" w:hAnsi="Times New Roman" w:cs="Times New Roman"/>
      <w:sz w:val="24"/>
    </w:rPr>
  </w:style>
  <w:style w:type="paragraph" w:customStyle="1" w:styleId="EntText">
    <w:name w:val="EntText"/>
    <w:basedOn w:val="Normal"/>
    <w:rsid w:val="00573718"/>
    <w:pPr>
      <w:spacing w:before="120" w:after="120" w:line="360" w:lineRule="auto"/>
    </w:pPr>
    <w:rPr>
      <w:rFonts w:eastAsiaTheme="minorHAnsi"/>
    </w:rPr>
  </w:style>
  <w:style w:type="paragraph" w:customStyle="1" w:styleId="Lignefinal">
    <w:name w:val="Ligne final"/>
    <w:basedOn w:val="Normal"/>
    <w:next w:val="Normal"/>
    <w:rsid w:val="00573718"/>
    <w:pPr>
      <w:pBdr>
        <w:bottom w:val="single" w:sz="4" w:space="0" w:color="000000"/>
      </w:pBdr>
      <w:spacing w:before="360" w:after="120" w:line="360" w:lineRule="auto"/>
      <w:ind w:left="3400" w:right="3400"/>
      <w:jc w:val="center"/>
    </w:pPr>
    <w:rPr>
      <w:rFonts w:eastAsiaTheme="minorHAnsi"/>
      <w:b/>
    </w:rPr>
  </w:style>
  <w:style w:type="paragraph" w:customStyle="1" w:styleId="pj">
    <w:name w:val="p.j."/>
    <w:basedOn w:val="Normal"/>
    <w:link w:val="pjChar"/>
    <w:rsid w:val="00565D10"/>
    <w:pPr>
      <w:spacing w:before="1200" w:after="120"/>
      <w:ind w:left="1440" w:hanging="1440"/>
    </w:pPr>
  </w:style>
  <w:style w:type="character" w:customStyle="1" w:styleId="pjChar">
    <w:name w:val="p.j. Char"/>
    <w:basedOn w:val="DefaultParagraphFont"/>
    <w:link w:val="pj"/>
    <w:rsid w:val="00565D10"/>
    <w:rPr>
      <w:rFonts w:ascii="Times New Roman" w:eastAsia="Times New Roman" w:hAnsi="Times New Roman" w:cs="Times New Roman"/>
      <w:sz w:val="24"/>
    </w:rPr>
  </w:style>
  <w:style w:type="paragraph" w:customStyle="1" w:styleId="nbbordered">
    <w:name w:val="nb bordered"/>
    <w:basedOn w:val="Normal"/>
    <w:link w:val="nbborderedChar"/>
    <w:rsid w:val="00565D10"/>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DefaultParagraphFont"/>
    <w:link w:val="nbbordered"/>
    <w:rsid w:val="00565D10"/>
    <w:rPr>
      <w:rFonts w:ascii="Times New Roman" w:eastAsia="Times New Roman" w:hAnsi="Times New Roman" w:cs="Times New Roman"/>
      <w:b/>
      <w:sz w:val="24"/>
    </w:rPr>
  </w:style>
  <w:style w:type="paragraph" w:customStyle="1" w:styleId="HeaderCouncil">
    <w:name w:val="Header Council"/>
    <w:basedOn w:val="Normal"/>
    <w:link w:val="HeaderCouncilChar"/>
    <w:rsid w:val="00565D10"/>
    <w:rPr>
      <w:sz w:val="2"/>
    </w:rPr>
  </w:style>
  <w:style w:type="character" w:customStyle="1" w:styleId="HeaderCouncilChar">
    <w:name w:val="Header Council Char"/>
    <w:basedOn w:val="DefaultParagraphFont"/>
    <w:link w:val="HeaderCouncil"/>
    <w:rsid w:val="00565D10"/>
    <w:rPr>
      <w:rFonts w:ascii="Times New Roman" w:eastAsia="Times New Roman" w:hAnsi="Times New Roman" w:cs="Times New Roman"/>
      <w:sz w:val="2"/>
    </w:rPr>
  </w:style>
  <w:style w:type="paragraph" w:customStyle="1" w:styleId="HeaderCouncilLarge">
    <w:name w:val="Header Council Large"/>
    <w:basedOn w:val="Normal"/>
    <w:link w:val="HeaderCouncilLargeChar"/>
    <w:rsid w:val="00565D10"/>
    <w:pPr>
      <w:spacing w:after="440"/>
    </w:pPr>
    <w:rPr>
      <w:sz w:val="2"/>
    </w:rPr>
  </w:style>
  <w:style w:type="character" w:customStyle="1" w:styleId="HeaderCouncilLargeChar">
    <w:name w:val="Header Council Large Char"/>
    <w:basedOn w:val="DefaultParagraphFont"/>
    <w:link w:val="HeaderCouncilLarge"/>
    <w:rsid w:val="00565D10"/>
    <w:rPr>
      <w:rFonts w:ascii="Times New Roman" w:eastAsia="Times New Roman" w:hAnsi="Times New Roman" w:cs="Times New Roman"/>
      <w:sz w:val="2"/>
    </w:rPr>
  </w:style>
  <w:style w:type="paragraph" w:customStyle="1" w:styleId="FooterCouncil">
    <w:name w:val="Footer Council"/>
    <w:basedOn w:val="Normal"/>
    <w:link w:val="FooterCouncilChar"/>
    <w:rsid w:val="00565D10"/>
    <w:rPr>
      <w:sz w:val="2"/>
    </w:rPr>
  </w:style>
  <w:style w:type="character" w:customStyle="1" w:styleId="FooterCouncilChar">
    <w:name w:val="Footer Council Char"/>
    <w:basedOn w:val="DefaultParagraphFont"/>
    <w:link w:val="FooterCouncil"/>
    <w:rsid w:val="00565D10"/>
    <w:rPr>
      <w:rFonts w:ascii="Times New Roman" w:eastAsia="Times New Roman" w:hAnsi="Times New Roman" w:cs="Times New Roman"/>
      <w:sz w:val="2"/>
    </w:rPr>
  </w:style>
  <w:style w:type="paragraph" w:customStyle="1" w:styleId="FooterText">
    <w:name w:val="Footer Text"/>
    <w:basedOn w:val="Normal"/>
    <w:rsid w:val="00565D10"/>
  </w:style>
  <w:style w:type="character" w:styleId="PlaceholderText">
    <w:name w:val="Placeholder Text"/>
    <w:basedOn w:val="DefaultParagraphFont"/>
    <w:uiPriority w:val="99"/>
    <w:semiHidden/>
    <w:rsid w:val="00565D10"/>
    <w:rPr>
      <w:color w:val="808080"/>
    </w:rPr>
  </w:style>
  <w:style w:type="character" w:customStyle="1" w:styleId="findhit">
    <w:name w:val="findhit"/>
    <w:basedOn w:val="DefaultParagraphFont"/>
    <w:rsid w:val="00A932FE"/>
  </w:style>
  <w:style w:type="character" w:customStyle="1" w:styleId="tabchar">
    <w:name w:val="tabchar"/>
    <w:basedOn w:val="DefaultParagraphFont"/>
    <w:rsid w:val="00C9514F"/>
  </w:style>
  <w:style w:type="paragraph" w:customStyle="1" w:styleId="pf0">
    <w:name w:val="pf0"/>
    <w:basedOn w:val="Normal"/>
    <w:rsid w:val="00896869"/>
    <w:pPr>
      <w:spacing w:before="100" w:beforeAutospacing="1" w:after="100" w:afterAutospacing="1"/>
    </w:pPr>
  </w:style>
  <w:style w:type="character" w:customStyle="1" w:styleId="cf01">
    <w:name w:val="cf01"/>
    <w:basedOn w:val="DefaultParagraphFont"/>
    <w:rsid w:val="00896869"/>
    <w:rPr>
      <w:rFonts w:ascii="Segoe UI" w:hAnsi="Segoe UI" w:cs="Segoe UI" w:hint="default"/>
      <w:b/>
      <w:sz w:val="18"/>
    </w:rPr>
  </w:style>
  <w:style w:type="character" w:customStyle="1" w:styleId="cf11">
    <w:name w:val="cf11"/>
    <w:basedOn w:val="DefaultParagraphFont"/>
    <w:rsid w:val="00896869"/>
    <w:rPr>
      <w:rFonts w:ascii="Segoe UI" w:hAnsi="Segoe UI" w:cs="Segoe UI" w:hint="default"/>
      <w:sz w:val="18"/>
    </w:rPr>
  </w:style>
  <w:style w:type="paragraph" w:customStyle="1" w:styleId="LegalNumPar">
    <w:name w:val="LegalNumPar"/>
    <w:basedOn w:val="Normal"/>
    <w:rsid w:val="007F43B9"/>
    <w:pPr>
      <w:numPr>
        <w:numId w:val="25"/>
      </w:numPr>
      <w:spacing w:after="160" w:line="259" w:lineRule="auto"/>
    </w:pPr>
    <w:rPr>
      <w:rFonts w:asciiTheme="minorHAnsi" w:eastAsiaTheme="minorHAnsi" w:hAnsiTheme="minorHAnsi" w:cstheme="minorBidi"/>
      <w:sz w:val="22"/>
    </w:rPr>
  </w:style>
  <w:style w:type="paragraph" w:customStyle="1" w:styleId="LegalNumPar2">
    <w:name w:val="LegalNumPar2"/>
    <w:basedOn w:val="Normal"/>
    <w:rsid w:val="007F43B9"/>
    <w:pPr>
      <w:numPr>
        <w:ilvl w:val="1"/>
        <w:numId w:val="25"/>
      </w:numPr>
      <w:spacing w:after="160" w:line="259" w:lineRule="auto"/>
    </w:pPr>
    <w:rPr>
      <w:rFonts w:asciiTheme="minorHAnsi" w:eastAsiaTheme="minorHAnsi" w:hAnsiTheme="minorHAnsi" w:cstheme="minorBidi"/>
      <w:sz w:val="22"/>
    </w:rPr>
  </w:style>
  <w:style w:type="paragraph" w:customStyle="1" w:styleId="LegalNumPar3">
    <w:name w:val="LegalNumPar3"/>
    <w:basedOn w:val="Normal"/>
    <w:rsid w:val="007F43B9"/>
    <w:pPr>
      <w:numPr>
        <w:ilvl w:val="2"/>
        <w:numId w:val="25"/>
      </w:numPr>
      <w:spacing w:after="160" w:line="259" w:lineRule="auto"/>
    </w:pPr>
    <w:rPr>
      <w:rFonts w:asciiTheme="minorHAnsi" w:eastAsiaTheme="minorHAnsi" w:hAnsiTheme="minorHAnsi" w:cstheme="minorBidi"/>
      <w:sz w:val="22"/>
    </w:rPr>
  </w:style>
  <w:style w:type="character" w:styleId="SubtleEmphasis">
    <w:name w:val="Subtle Emphasis"/>
    <w:basedOn w:val="DefaultParagraphFont"/>
    <w:uiPriority w:val="19"/>
    <w:qFormat/>
    <w:rsid w:val="009B6678"/>
    <w:rPr>
      <w:i/>
      <w:color w:val="404040" w:themeColor="text1" w:themeTint="BF"/>
    </w:rPr>
  </w:style>
  <w:style w:type="character" w:customStyle="1" w:styleId="Mention3">
    <w:name w:val="Mention3"/>
    <w:basedOn w:val="DefaultParagraphFont"/>
    <w:uiPriority w:val="99"/>
    <w:unhideWhenUsed/>
    <w:rsid w:val="00D7695A"/>
    <w:rPr>
      <w:color w:val="2B579A"/>
      <w:shd w:val="clear" w:color="auto" w:fill="E6E6E6"/>
    </w:rPr>
  </w:style>
  <w:style w:type="character" w:customStyle="1" w:styleId="Mention4">
    <w:name w:val="Mention4"/>
    <w:basedOn w:val="DefaultParagraphFont"/>
    <w:uiPriority w:val="99"/>
    <w:unhideWhenUsed/>
    <w:rsid w:val="0005095A"/>
    <w:rPr>
      <w:color w:val="2B579A"/>
      <w:shd w:val="clear" w:color="auto" w:fill="E6E6E6"/>
    </w:rPr>
  </w:style>
  <w:style w:type="character" w:customStyle="1" w:styleId="ui-provider">
    <w:name w:val="ui-provider"/>
    <w:basedOn w:val="DefaultParagraphFont"/>
    <w:uiPriority w:val="1"/>
    <w:rsid w:val="00D7146E"/>
  </w:style>
  <w:style w:type="character" w:customStyle="1" w:styleId="UnresolvedMention1">
    <w:name w:val="Unresolved Mention1"/>
    <w:basedOn w:val="DefaultParagraphFont"/>
    <w:uiPriority w:val="99"/>
    <w:semiHidden/>
    <w:unhideWhenUsed/>
    <w:rsid w:val="003C0FBE"/>
    <w:rPr>
      <w:color w:val="605E5C"/>
      <w:shd w:val="clear" w:color="auto" w:fill="E1DFDD"/>
    </w:rPr>
  </w:style>
  <w:style w:type="paragraph" w:customStyle="1" w:styleId="P68B1DB1-Normale1">
    <w:name w:val="P68B1DB1-Normale1"/>
    <w:basedOn w:val="Normal"/>
    <w:rsid w:val="003D6C0C"/>
    <w:pPr>
      <w:spacing w:after="160" w:line="259" w:lineRule="auto"/>
    </w:pPr>
    <w:rPr>
      <w:rFonts w:ascii="Calibri" w:eastAsia="Calibri" w:hAnsi="Calibri" w:cs="Calibri"/>
      <w:b/>
      <w:sz w:val="22"/>
    </w:rPr>
  </w:style>
  <w:style w:type="paragraph" w:customStyle="1" w:styleId="P68B1DB1-Normale6">
    <w:name w:val="P68B1DB1-Normale6"/>
    <w:basedOn w:val="Normal"/>
    <w:rsid w:val="000475CC"/>
    <w:pPr>
      <w:spacing w:after="160" w:line="259" w:lineRule="auto"/>
    </w:pPr>
    <w:rPr>
      <w:rFonts w:eastAsia="Calibri"/>
      <w:sz w:val="20"/>
    </w:rPr>
  </w:style>
  <w:style w:type="character" w:customStyle="1" w:styleId="s10">
    <w:name w:val="s10"/>
    <w:basedOn w:val="DefaultParagraphFont"/>
    <w:rsid w:val="000475CC"/>
  </w:style>
  <w:style w:type="character" w:customStyle="1" w:styleId="Mention5">
    <w:name w:val="Mention5"/>
    <w:basedOn w:val="DefaultParagraphFont"/>
    <w:uiPriority w:val="99"/>
    <w:unhideWhenUsed/>
    <w:rsid w:val="00591B2C"/>
    <w:rPr>
      <w:color w:val="2B579A"/>
      <w:shd w:val="clear" w:color="auto" w:fill="E1DFDD"/>
    </w:rPr>
  </w:style>
  <w:style w:type="character" w:customStyle="1" w:styleId="UnresolvedMention2">
    <w:name w:val="Unresolved Mention2"/>
    <w:basedOn w:val="DefaultParagraphFont"/>
    <w:uiPriority w:val="99"/>
    <w:semiHidden/>
    <w:unhideWhenUsed/>
    <w:rsid w:val="00937BBA"/>
    <w:rPr>
      <w:color w:val="605E5C"/>
      <w:shd w:val="clear" w:color="auto" w:fill="E1DFDD"/>
    </w:rPr>
  </w:style>
  <w:style w:type="character" w:customStyle="1" w:styleId="font71">
    <w:name w:val="font71"/>
    <w:basedOn w:val="DefaultParagraphFont"/>
    <w:rsid w:val="00A64DCC"/>
    <w:rPr>
      <w:rFonts w:ascii="Times New Roman" w:hAnsi="Times New Roman" w:cs="Times New Roman" w:hint="default"/>
      <w:b w:val="0"/>
      <w:i w:val="0"/>
      <w:strike w:val="0"/>
      <w:dstrike w:val="0"/>
      <w:color w:val="000000"/>
      <w:sz w:val="20"/>
      <w:u w:val="none"/>
      <w:effect w:val="none"/>
    </w:rPr>
  </w:style>
  <w:style w:type="character" w:customStyle="1" w:styleId="font81">
    <w:name w:val="font81"/>
    <w:basedOn w:val="DefaultParagraphFont"/>
    <w:rsid w:val="00A64DCC"/>
    <w:rPr>
      <w:rFonts w:ascii="Times New Roman" w:hAnsi="Times New Roman" w:cs="Times New Roman" w:hint="default"/>
      <w:b w:val="0"/>
      <w:i w:val="0"/>
      <w:strike w:val="0"/>
      <w:dstrike w:val="0"/>
      <w:color w:val="006100"/>
      <w:sz w:val="20"/>
      <w:u w:val="none"/>
      <w:effect w:val="none"/>
    </w:rPr>
  </w:style>
  <w:style w:type="character" w:customStyle="1" w:styleId="font111">
    <w:name w:val="font111"/>
    <w:basedOn w:val="DefaultParagraphFont"/>
    <w:rsid w:val="001D6206"/>
    <w:rPr>
      <w:rFonts w:ascii="Times New Roman" w:hAnsi="Times New Roman" w:cs="Times New Roman" w:hint="default"/>
      <w:b w:val="0"/>
      <w:i w:val="0"/>
      <w:strike w:val="0"/>
      <w:dstrike w:val="0"/>
      <w:color w:val="006100"/>
      <w:sz w:val="20"/>
      <w:u w:val="none"/>
      <w:effect w:val="none"/>
    </w:rPr>
  </w:style>
  <w:style w:type="paragraph" w:customStyle="1" w:styleId="Default">
    <w:name w:val="Default"/>
    <w:rsid w:val="00906B6D"/>
    <w:pPr>
      <w:autoSpaceDE w:val="0"/>
      <w:autoSpaceDN w:val="0"/>
      <w:adjustRightInd w:val="0"/>
      <w:spacing w:after="0" w:line="240" w:lineRule="auto"/>
    </w:pPr>
    <w:rPr>
      <w:rFonts w:ascii="Times New Roman" w:hAnsi="Times New Roman" w:cs="Times New Roman"/>
      <w:color w:val="000000"/>
      <w:sz w:val="24"/>
    </w:rPr>
  </w:style>
  <w:style w:type="paragraph" w:customStyle="1" w:styleId="P68B1DB1-Heading11">
    <w:name w:val="P68B1DB1-Heading11"/>
    <w:basedOn w:val="Heading1"/>
    <w:rPr>
      <w:u w:val="single"/>
    </w:rPr>
  </w:style>
  <w:style w:type="paragraph" w:customStyle="1" w:styleId="P68B1DB1-Normal2">
    <w:name w:val="P68B1DB1-Normal2"/>
    <w:basedOn w:val="Normal"/>
    <w:rPr>
      <w:b/>
    </w:rPr>
  </w:style>
  <w:style w:type="paragraph" w:customStyle="1" w:styleId="P68B1DB1-Normal3">
    <w:name w:val="P68B1DB1-Normal3"/>
    <w:basedOn w:val="Normal"/>
    <w:rPr>
      <w:rFonts w:ascii="Arial Narrow" w:hAnsi="Arial Narrow" w:cs="Arial"/>
      <w:b/>
      <w:sz w:val="20"/>
    </w:rPr>
  </w:style>
  <w:style w:type="paragraph" w:customStyle="1" w:styleId="P68B1DB1-Normal4">
    <w:name w:val="P68B1DB1-Normal4"/>
    <w:basedOn w:val="Normal"/>
    <w:rPr>
      <w:rFonts w:ascii="Arial Narrow" w:hAnsi="Arial Narrow" w:cs="Arial"/>
      <w:sz w:val="20"/>
    </w:rPr>
  </w:style>
  <w:style w:type="paragraph" w:customStyle="1" w:styleId="P68B1DB1-Normal5">
    <w:name w:val="P68B1DB1-Normal5"/>
    <w:basedOn w:val="Normal"/>
    <w:rPr>
      <w:rFonts w:ascii="Arial Narrow" w:hAnsi="Arial Narrow" w:cs="Arial"/>
      <w:color w:val="006100"/>
      <w:sz w:val="20"/>
    </w:rPr>
  </w:style>
  <w:style w:type="paragraph" w:customStyle="1" w:styleId="P68B1DB1-ListParagraph6">
    <w:name w:val="P68B1DB1-ListParagraph6"/>
    <w:basedOn w:val="ListParagraph"/>
    <w:rPr>
      <w:rFonts w:ascii="Arial Narrow" w:hAnsi="Arial Narrow" w:cs="Arial"/>
      <w:color w:val="006100"/>
      <w:sz w:val="20"/>
    </w:rPr>
  </w:style>
  <w:style w:type="paragraph" w:customStyle="1" w:styleId="P68B1DB1-Normal7">
    <w:name w:val="P68B1DB1-Normal7"/>
    <w:basedOn w:val="Normal"/>
    <w:rPr>
      <w:rFonts w:ascii="Arial Narrow" w:hAnsi="Arial Narrow" w:cs="Arial"/>
      <w:b/>
      <w:color w:val="006100"/>
      <w:sz w:val="20"/>
    </w:rPr>
  </w:style>
  <w:style w:type="paragraph" w:customStyle="1" w:styleId="P68B1DB1-Normal8">
    <w:name w:val="P68B1DB1-Normal8"/>
    <w:basedOn w:val="Normal"/>
    <w:rPr>
      <w:rFonts w:ascii="Arial Narrow" w:hAnsi="Arial Narrow" w:cs="Arial"/>
    </w:rPr>
  </w:style>
  <w:style w:type="paragraph" w:customStyle="1" w:styleId="P68B1DB1-Normal9">
    <w:name w:val="P68B1DB1-Normal9"/>
    <w:basedOn w:val="Normal"/>
    <w:rPr>
      <w:rFonts w:ascii="Arial Narrow" w:hAnsi="Arial Narrow"/>
      <w:b/>
      <w:sz w:val="20"/>
    </w:rPr>
  </w:style>
  <w:style w:type="paragraph" w:customStyle="1" w:styleId="P68B1DB1-Normal10">
    <w:name w:val="P68B1DB1-Normal10"/>
    <w:basedOn w:val="Normal"/>
    <w:rPr>
      <w:rFonts w:ascii="Arial Narrow" w:hAnsi="Arial Narrow"/>
    </w:rPr>
  </w:style>
  <w:style w:type="paragraph" w:customStyle="1" w:styleId="P68B1DB1-Normal11">
    <w:name w:val="P68B1DB1-Normal11"/>
    <w:basedOn w:val="Normal"/>
    <w:rPr>
      <w:rFonts w:ascii="Arial Narrow" w:hAnsi="Arial Narrow"/>
      <w:color w:val="006100"/>
      <w:sz w:val="20"/>
    </w:rPr>
  </w:style>
  <w:style w:type="paragraph" w:customStyle="1" w:styleId="P68B1DB1-Normal12">
    <w:name w:val="P68B1DB1-Normal12"/>
    <w:basedOn w:val="Normal"/>
    <w:rPr>
      <w:color w:val="006100"/>
      <w:sz w:val="20"/>
    </w:rPr>
  </w:style>
  <w:style w:type="paragraph" w:customStyle="1" w:styleId="P68B1DB1-ListParagraph13">
    <w:name w:val="P68B1DB1-ListParagraph13"/>
    <w:basedOn w:val="ListParagraph"/>
    <w:rPr>
      <w:rFonts w:ascii="Arial Narrow" w:hAnsi="Arial Narrow"/>
      <w:color w:val="006100"/>
      <w:sz w:val="20"/>
    </w:rPr>
  </w:style>
  <w:style w:type="paragraph" w:customStyle="1" w:styleId="P68B1DB1-Normal14">
    <w:name w:val="P68B1DB1-Normal14"/>
    <w:basedOn w:val="Normal"/>
    <w:rPr>
      <w:b/>
      <w:u w:val="single"/>
    </w:rPr>
  </w:style>
  <w:style w:type="paragraph" w:customStyle="1" w:styleId="P68B1DB1-Normal15">
    <w:name w:val="P68B1DB1-Normal15"/>
    <w:basedOn w:val="Normal"/>
    <w:rPr>
      <w:i/>
    </w:rPr>
  </w:style>
  <w:style w:type="paragraph" w:customStyle="1" w:styleId="P68B1DB1-Normal16">
    <w:name w:val="P68B1DB1-Normal16"/>
    <w:basedOn w:val="Normal"/>
    <w:rPr>
      <w:color w:val="000000" w:themeColor="text1"/>
    </w:rPr>
  </w:style>
  <w:style w:type="paragraph" w:customStyle="1" w:styleId="P68B1DB1-Normal17">
    <w:name w:val="P68B1DB1-Normal17"/>
    <w:basedOn w:val="Normal"/>
    <w:rPr>
      <w:i/>
      <w:u w:val="single"/>
    </w:rPr>
  </w:style>
  <w:style w:type="paragraph" w:customStyle="1" w:styleId="P68B1DB1-Normal18">
    <w:name w:val="P68B1DB1-Normal18"/>
    <w:basedOn w:val="Normal"/>
    <w:rPr>
      <w:sz w:val="12"/>
    </w:rPr>
  </w:style>
  <w:style w:type="paragraph" w:customStyle="1" w:styleId="P68B1DB1-Normal19">
    <w:name w:val="P68B1DB1-Normal19"/>
    <w:basedOn w:val="Normal"/>
    <w:rPr>
      <w:rFonts w:ascii="Arial Narrow" w:hAnsi="Arial Narrow"/>
      <w:sz w:val="20"/>
    </w:rPr>
  </w:style>
  <w:style w:type="paragraph" w:customStyle="1" w:styleId="P68B1DB1-Normal20">
    <w:name w:val="P68B1DB1-Normal20"/>
    <w:basedOn w:val="Normal"/>
    <w:rPr>
      <w:rFonts w:ascii="Arial Narrow" w:hAnsi="Arial Narrow"/>
      <w:b/>
      <w:color w:val="006100"/>
      <w:sz w:val="20"/>
    </w:rPr>
  </w:style>
  <w:style w:type="paragraph" w:customStyle="1" w:styleId="P68B1DB1-Normal21">
    <w:name w:val="P68B1DB1-Normal21"/>
    <w:basedOn w:val="Normal"/>
    <w:rPr>
      <w:rFonts w:eastAsiaTheme="minorEastAsia"/>
      <w:b/>
    </w:rPr>
  </w:style>
  <w:style w:type="paragraph" w:customStyle="1" w:styleId="P68B1DB1-ListParagraph22">
    <w:name w:val="P68B1DB1-ListParagraph22"/>
    <w:basedOn w:val="ListParagraph"/>
    <w:rPr>
      <w:color w:val="006100"/>
      <w:sz w:val="20"/>
    </w:rPr>
  </w:style>
  <w:style w:type="paragraph" w:customStyle="1" w:styleId="P68B1DB1-Normal23">
    <w:name w:val="P68B1DB1-Normal23"/>
    <w:basedOn w:val="Normal"/>
    <w:rPr>
      <w:color w:val="006100"/>
    </w:rPr>
  </w:style>
  <w:style w:type="paragraph" w:customStyle="1" w:styleId="P68B1DB1-Normal24">
    <w:name w:val="P68B1DB1-Normal24"/>
    <w:basedOn w:val="Normal"/>
    <w:rPr>
      <w:b/>
      <w:color w:val="000000" w:themeColor="text1"/>
    </w:rPr>
  </w:style>
  <w:style w:type="paragraph" w:customStyle="1" w:styleId="P68B1DB1-paragraph25">
    <w:name w:val="P68B1DB1-paragraph25"/>
    <w:basedOn w:val="paragraph"/>
    <w:rPr>
      <w:rFonts w:ascii="Arial Narrow" w:hAnsi="Arial Narrow"/>
      <w:color w:val="006100"/>
      <w:sz w:val="20"/>
    </w:rPr>
  </w:style>
  <w:style w:type="paragraph" w:customStyle="1" w:styleId="P68B1DB1-Normal26">
    <w:name w:val="P68B1DB1-Normal26"/>
    <w:basedOn w:val="Normal"/>
    <w:rPr>
      <w:sz w:val="20"/>
    </w:rPr>
  </w:style>
  <w:style w:type="paragraph" w:customStyle="1" w:styleId="P68B1DB1-LegalNumPar27">
    <w:name w:val="P68B1DB1-LegalNumPar27"/>
    <w:basedOn w:val="LegalNumPar"/>
    <w:rPr>
      <w:rFonts w:ascii="Times New Roman" w:hAnsi="Times New Roman"/>
      <w:sz w:val="24"/>
    </w:rPr>
  </w:style>
  <w:style w:type="paragraph" w:customStyle="1" w:styleId="P68B1DB1-LegalNumPar228">
    <w:name w:val="P68B1DB1-LegalNumPar228"/>
    <w:basedOn w:val="LegalNumPar2"/>
    <w:rPr>
      <w:rFonts w:ascii="Times New Roman" w:hAnsi="Times New Roman"/>
      <w:sz w:val="24"/>
    </w:rPr>
  </w:style>
  <w:style w:type="paragraph" w:customStyle="1" w:styleId="P68B1DB1-Normal29">
    <w:name w:val="P68B1DB1-Normal29"/>
    <w:basedOn w:val="Normal"/>
    <w:rPr>
      <w:b/>
      <w:color w:val="000000"/>
      <w:shd w:val="clear" w:color="auto" w:fill="FFFFFF"/>
    </w:rPr>
  </w:style>
  <w:style w:type="paragraph" w:customStyle="1" w:styleId="P68B1DB1-Paragrafoelenco130">
    <w:name w:val="P68B1DB1-Paragrafoelenco130"/>
    <w:basedOn w:val="Paragrafoelenco1"/>
    <w:rPr>
      <w:color w:val="auto"/>
      <w:sz w:val="24"/>
    </w:rPr>
  </w:style>
  <w:style w:type="paragraph" w:customStyle="1" w:styleId="P68B1DB1-ListParagraph31">
    <w:name w:val="P68B1DB1-ListParagraph31"/>
    <w:basedOn w:val="ListParagraph"/>
    <w:rPr>
      <w:rFonts w:ascii="Arial Narrow" w:hAnsi="Arial Narrow"/>
      <w:sz w:val="20"/>
    </w:rPr>
  </w:style>
  <w:style w:type="paragraph" w:customStyle="1" w:styleId="P68B1DB1-Normal32">
    <w:name w:val="P68B1DB1-Normal32"/>
    <w:basedOn w:val="Normal"/>
    <w:rPr>
      <w:rFonts w:ascii="Arial Narrow" w:hAnsi="Arial Narrow"/>
      <w:color w:val="006100"/>
    </w:rPr>
  </w:style>
  <w:style w:type="paragraph" w:customStyle="1" w:styleId="P68B1DB1-Normal33">
    <w:name w:val="P68B1DB1-Normal33"/>
    <w:basedOn w:val="Normal"/>
    <w:rPr>
      <w:rFonts w:ascii="Arial Narrow" w:hAnsi="Arial Narrow"/>
      <w:b/>
      <w:color w:val="000000"/>
      <w:sz w:val="20"/>
    </w:rPr>
  </w:style>
  <w:style w:type="paragraph" w:customStyle="1" w:styleId="P68B1DB1-Normal34">
    <w:name w:val="P68B1DB1-Normal34"/>
    <w:basedOn w:val="Normal"/>
    <w:rPr>
      <w:i/>
      <w:color w:val="4F81BD" w:themeColor="accent1"/>
    </w:rPr>
  </w:style>
  <w:style w:type="paragraph" w:customStyle="1" w:styleId="P68B1DB1-Normal35">
    <w:name w:val="P68B1DB1-Normal35"/>
    <w:basedOn w:val="Normal"/>
    <w:rPr>
      <w:rFonts w:ascii="Arial Narrow" w:hAnsi="Arial Narrow"/>
      <w:color w:val="000000"/>
      <w:sz w:val="20"/>
    </w:rPr>
  </w:style>
  <w:style w:type="paragraph" w:customStyle="1" w:styleId="P68B1DB1-Normal36">
    <w:name w:val="P68B1DB1-Normal36"/>
    <w:basedOn w:val="Normal"/>
    <w:rPr>
      <w:rFonts w:ascii="Arial Narrow" w:hAnsi="Arial Narrow"/>
      <w:color w:val="006600"/>
      <w:sz w:val="20"/>
    </w:rPr>
  </w:style>
  <w:style w:type="paragraph" w:customStyle="1" w:styleId="P68B1DB1-Heading437">
    <w:name w:val="P68B1DB1-Heading437"/>
    <w:basedOn w:val="Heading4"/>
    <w:rPr>
      <w:b/>
    </w:rPr>
  </w:style>
  <w:style w:type="paragraph" w:customStyle="1" w:styleId="P68B1DB1-Normal38">
    <w:name w:val="P68B1DB1-Normal38"/>
    <w:basedOn w:val="Normal"/>
    <w:rPr>
      <w:rFonts w:ascii="Arial Narrow" w:eastAsiaTheme="minorEastAsia" w:hAnsi="Arial Narrow" w:cstheme="minorBidi"/>
      <w:color w:val="006100"/>
      <w:sz w:val="20"/>
    </w:rPr>
  </w:style>
  <w:style w:type="paragraph" w:customStyle="1" w:styleId="P68B1DB1-Normal39">
    <w:name w:val="P68B1DB1-Normal39"/>
    <w:basedOn w:val="Normal"/>
    <w:rPr>
      <w:u w:val="single"/>
    </w:rPr>
  </w:style>
  <w:style w:type="paragraph" w:customStyle="1" w:styleId="P68B1DB1-ListParagraph40">
    <w:name w:val="P68B1DB1-ListParagraph40"/>
    <w:basedOn w:val="ListParagraph"/>
    <w:rPr>
      <w:u w:val="single"/>
    </w:rPr>
  </w:style>
  <w:style w:type="paragraph" w:customStyle="1" w:styleId="P68B1DB1-Normal41">
    <w:name w:val="P68B1DB1-Normal41"/>
    <w:basedOn w:val="Normal"/>
    <w:rPr>
      <w:sz w:val="23"/>
    </w:rPr>
  </w:style>
  <w:style w:type="paragraph" w:customStyle="1" w:styleId="P68B1DB1-Normal42">
    <w:name w:val="P68B1DB1-Normal42"/>
    <w:basedOn w:val="Normal"/>
    <w:rPr>
      <w:rFonts w:eastAsia="Calibri"/>
      <w:b/>
    </w:rPr>
  </w:style>
  <w:style w:type="paragraph" w:customStyle="1" w:styleId="P68B1DB1-NumPar143">
    <w:name w:val="P68B1DB1-NumPar143"/>
    <w:basedOn w:val="NumPar1"/>
    <w:rPr>
      <w:b/>
    </w:rPr>
  </w:style>
  <w:style w:type="paragraph" w:customStyle="1" w:styleId="P68B1DB1-Normal44">
    <w:name w:val="P68B1DB1-Normal44"/>
    <w:basedOn w:val="Normal"/>
    <w:rPr>
      <w:rFonts w:eastAsia="Calibri"/>
    </w:rPr>
  </w:style>
  <w:style w:type="paragraph" w:customStyle="1" w:styleId="P68B1DB1-Normal45">
    <w:name w:val="P68B1DB1-Normal45"/>
    <w:basedOn w:val="Normal"/>
    <w:rPr>
      <w:b/>
      <w:sz w:val="20"/>
    </w:rPr>
  </w:style>
  <w:style w:type="paragraph" w:customStyle="1" w:styleId="P68B1DB1-Normal46">
    <w:name w:val="P68B1DB1-Normal46"/>
    <w:basedOn w:val="Normal"/>
    <w:rPr>
      <w:rFonts w:hAnsi="Arial Narrow"/>
      <w:color w:val="006100"/>
      <w:sz w:val="20"/>
    </w:rPr>
  </w:style>
  <w:style w:type="paragraph" w:customStyle="1" w:styleId="P68B1DB1-Normal47">
    <w:name w:val="P68B1DB1-Normal47"/>
    <w:basedOn w:val="Normal"/>
    <w:rPr>
      <w:color w:val="375623"/>
      <w:sz w:val="20"/>
    </w:rPr>
  </w:style>
  <w:style w:type="paragraph" w:customStyle="1" w:styleId="P68B1DB1-Normal48">
    <w:name w:val="P68B1DB1-Normal48"/>
    <w:basedOn w:val="Normal"/>
    <w:rPr>
      <w:color w:val="006600"/>
      <w:sz w:val="20"/>
    </w:rPr>
  </w:style>
  <w:style w:type="paragraph" w:customStyle="1" w:styleId="P68B1DB1-NumPar149">
    <w:name w:val="P68B1DB1-NumPar149"/>
    <w:basedOn w:val="NumPar1"/>
    <w:rPr>
      <w:rFonts w:eastAsia="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5333">
      <w:bodyDiv w:val="1"/>
      <w:marLeft w:val="0"/>
      <w:marRight w:val="0"/>
      <w:marTop w:val="0"/>
      <w:marBottom w:val="0"/>
      <w:divBdr>
        <w:top w:val="none" w:sz="0" w:space="0" w:color="auto"/>
        <w:left w:val="none" w:sz="0" w:space="0" w:color="auto"/>
        <w:bottom w:val="none" w:sz="0" w:space="0" w:color="auto"/>
        <w:right w:val="none" w:sz="0" w:space="0" w:color="auto"/>
      </w:divBdr>
    </w:div>
    <w:div w:id="37781201">
      <w:bodyDiv w:val="1"/>
      <w:marLeft w:val="0"/>
      <w:marRight w:val="0"/>
      <w:marTop w:val="0"/>
      <w:marBottom w:val="0"/>
      <w:divBdr>
        <w:top w:val="none" w:sz="0" w:space="0" w:color="auto"/>
        <w:left w:val="none" w:sz="0" w:space="0" w:color="auto"/>
        <w:bottom w:val="none" w:sz="0" w:space="0" w:color="auto"/>
        <w:right w:val="none" w:sz="0" w:space="0" w:color="auto"/>
      </w:divBdr>
    </w:div>
    <w:div w:id="80569494">
      <w:bodyDiv w:val="1"/>
      <w:marLeft w:val="0"/>
      <w:marRight w:val="0"/>
      <w:marTop w:val="0"/>
      <w:marBottom w:val="0"/>
      <w:divBdr>
        <w:top w:val="none" w:sz="0" w:space="0" w:color="auto"/>
        <w:left w:val="none" w:sz="0" w:space="0" w:color="auto"/>
        <w:bottom w:val="none" w:sz="0" w:space="0" w:color="auto"/>
        <w:right w:val="none" w:sz="0" w:space="0" w:color="auto"/>
      </w:divBdr>
    </w:div>
    <w:div w:id="223833759">
      <w:bodyDiv w:val="1"/>
      <w:marLeft w:val="0"/>
      <w:marRight w:val="0"/>
      <w:marTop w:val="0"/>
      <w:marBottom w:val="0"/>
      <w:divBdr>
        <w:top w:val="none" w:sz="0" w:space="0" w:color="auto"/>
        <w:left w:val="none" w:sz="0" w:space="0" w:color="auto"/>
        <w:bottom w:val="none" w:sz="0" w:space="0" w:color="auto"/>
        <w:right w:val="none" w:sz="0" w:space="0" w:color="auto"/>
      </w:divBdr>
    </w:div>
    <w:div w:id="227495065">
      <w:bodyDiv w:val="1"/>
      <w:marLeft w:val="0"/>
      <w:marRight w:val="0"/>
      <w:marTop w:val="0"/>
      <w:marBottom w:val="0"/>
      <w:divBdr>
        <w:top w:val="none" w:sz="0" w:space="0" w:color="auto"/>
        <w:left w:val="none" w:sz="0" w:space="0" w:color="auto"/>
        <w:bottom w:val="none" w:sz="0" w:space="0" w:color="auto"/>
        <w:right w:val="none" w:sz="0" w:space="0" w:color="auto"/>
      </w:divBdr>
    </w:div>
    <w:div w:id="255555117">
      <w:bodyDiv w:val="1"/>
      <w:marLeft w:val="0"/>
      <w:marRight w:val="0"/>
      <w:marTop w:val="0"/>
      <w:marBottom w:val="0"/>
      <w:divBdr>
        <w:top w:val="none" w:sz="0" w:space="0" w:color="auto"/>
        <w:left w:val="none" w:sz="0" w:space="0" w:color="auto"/>
        <w:bottom w:val="none" w:sz="0" w:space="0" w:color="auto"/>
        <w:right w:val="none" w:sz="0" w:space="0" w:color="auto"/>
      </w:divBdr>
    </w:div>
    <w:div w:id="317390866">
      <w:bodyDiv w:val="1"/>
      <w:marLeft w:val="0"/>
      <w:marRight w:val="0"/>
      <w:marTop w:val="0"/>
      <w:marBottom w:val="0"/>
      <w:divBdr>
        <w:top w:val="none" w:sz="0" w:space="0" w:color="auto"/>
        <w:left w:val="none" w:sz="0" w:space="0" w:color="auto"/>
        <w:bottom w:val="none" w:sz="0" w:space="0" w:color="auto"/>
        <w:right w:val="none" w:sz="0" w:space="0" w:color="auto"/>
      </w:divBdr>
      <w:divsChild>
        <w:div w:id="299261737">
          <w:marLeft w:val="0"/>
          <w:marRight w:val="0"/>
          <w:marTop w:val="0"/>
          <w:marBottom w:val="0"/>
          <w:divBdr>
            <w:top w:val="none" w:sz="0" w:space="0" w:color="auto"/>
            <w:left w:val="none" w:sz="0" w:space="0" w:color="auto"/>
            <w:bottom w:val="none" w:sz="0" w:space="0" w:color="auto"/>
            <w:right w:val="none" w:sz="0" w:space="0" w:color="auto"/>
          </w:divBdr>
        </w:div>
        <w:div w:id="499084657">
          <w:marLeft w:val="0"/>
          <w:marRight w:val="0"/>
          <w:marTop w:val="0"/>
          <w:marBottom w:val="0"/>
          <w:divBdr>
            <w:top w:val="none" w:sz="0" w:space="0" w:color="auto"/>
            <w:left w:val="none" w:sz="0" w:space="0" w:color="auto"/>
            <w:bottom w:val="none" w:sz="0" w:space="0" w:color="auto"/>
            <w:right w:val="none" w:sz="0" w:space="0" w:color="auto"/>
          </w:divBdr>
        </w:div>
        <w:div w:id="566653147">
          <w:marLeft w:val="0"/>
          <w:marRight w:val="0"/>
          <w:marTop w:val="0"/>
          <w:marBottom w:val="0"/>
          <w:divBdr>
            <w:top w:val="none" w:sz="0" w:space="0" w:color="auto"/>
            <w:left w:val="none" w:sz="0" w:space="0" w:color="auto"/>
            <w:bottom w:val="none" w:sz="0" w:space="0" w:color="auto"/>
            <w:right w:val="none" w:sz="0" w:space="0" w:color="auto"/>
          </w:divBdr>
        </w:div>
        <w:div w:id="785736069">
          <w:marLeft w:val="0"/>
          <w:marRight w:val="0"/>
          <w:marTop w:val="0"/>
          <w:marBottom w:val="0"/>
          <w:divBdr>
            <w:top w:val="none" w:sz="0" w:space="0" w:color="auto"/>
            <w:left w:val="none" w:sz="0" w:space="0" w:color="auto"/>
            <w:bottom w:val="none" w:sz="0" w:space="0" w:color="auto"/>
            <w:right w:val="none" w:sz="0" w:space="0" w:color="auto"/>
          </w:divBdr>
        </w:div>
        <w:div w:id="889997291">
          <w:marLeft w:val="0"/>
          <w:marRight w:val="0"/>
          <w:marTop w:val="0"/>
          <w:marBottom w:val="0"/>
          <w:divBdr>
            <w:top w:val="none" w:sz="0" w:space="0" w:color="auto"/>
            <w:left w:val="none" w:sz="0" w:space="0" w:color="auto"/>
            <w:bottom w:val="none" w:sz="0" w:space="0" w:color="auto"/>
            <w:right w:val="none" w:sz="0" w:space="0" w:color="auto"/>
          </w:divBdr>
        </w:div>
        <w:div w:id="919216872">
          <w:marLeft w:val="0"/>
          <w:marRight w:val="0"/>
          <w:marTop w:val="0"/>
          <w:marBottom w:val="0"/>
          <w:divBdr>
            <w:top w:val="none" w:sz="0" w:space="0" w:color="auto"/>
            <w:left w:val="none" w:sz="0" w:space="0" w:color="auto"/>
            <w:bottom w:val="none" w:sz="0" w:space="0" w:color="auto"/>
            <w:right w:val="none" w:sz="0" w:space="0" w:color="auto"/>
          </w:divBdr>
        </w:div>
        <w:div w:id="983436811">
          <w:marLeft w:val="0"/>
          <w:marRight w:val="0"/>
          <w:marTop w:val="0"/>
          <w:marBottom w:val="0"/>
          <w:divBdr>
            <w:top w:val="none" w:sz="0" w:space="0" w:color="auto"/>
            <w:left w:val="none" w:sz="0" w:space="0" w:color="auto"/>
            <w:bottom w:val="none" w:sz="0" w:space="0" w:color="auto"/>
            <w:right w:val="none" w:sz="0" w:space="0" w:color="auto"/>
          </w:divBdr>
        </w:div>
        <w:div w:id="1317999304">
          <w:marLeft w:val="0"/>
          <w:marRight w:val="0"/>
          <w:marTop w:val="0"/>
          <w:marBottom w:val="0"/>
          <w:divBdr>
            <w:top w:val="none" w:sz="0" w:space="0" w:color="auto"/>
            <w:left w:val="none" w:sz="0" w:space="0" w:color="auto"/>
            <w:bottom w:val="none" w:sz="0" w:space="0" w:color="auto"/>
            <w:right w:val="none" w:sz="0" w:space="0" w:color="auto"/>
          </w:divBdr>
          <w:divsChild>
            <w:div w:id="460222383">
              <w:marLeft w:val="0"/>
              <w:marRight w:val="0"/>
              <w:marTop w:val="0"/>
              <w:marBottom w:val="0"/>
              <w:divBdr>
                <w:top w:val="none" w:sz="0" w:space="0" w:color="auto"/>
                <w:left w:val="none" w:sz="0" w:space="0" w:color="auto"/>
                <w:bottom w:val="none" w:sz="0" w:space="0" w:color="auto"/>
                <w:right w:val="none" w:sz="0" w:space="0" w:color="auto"/>
              </w:divBdr>
            </w:div>
            <w:div w:id="1833064576">
              <w:marLeft w:val="0"/>
              <w:marRight w:val="0"/>
              <w:marTop w:val="0"/>
              <w:marBottom w:val="0"/>
              <w:divBdr>
                <w:top w:val="none" w:sz="0" w:space="0" w:color="auto"/>
                <w:left w:val="none" w:sz="0" w:space="0" w:color="auto"/>
                <w:bottom w:val="none" w:sz="0" w:space="0" w:color="auto"/>
                <w:right w:val="none" w:sz="0" w:space="0" w:color="auto"/>
              </w:divBdr>
            </w:div>
            <w:div w:id="1895893046">
              <w:marLeft w:val="0"/>
              <w:marRight w:val="0"/>
              <w:marTop w:val="0"/>
              <w:marBottom w:val="0"/>
              <w:divBdr>
                <w:top w:val="none" w:sz="0" w:space="0" w:color="auto"/>
                <w:left w:val="none" w:sz="0" w:space="0" w:color="auto"/>
                <w:bottom w:val="none" w:sz="0" w:space="0" w:color="auto"/>
                <w:right w:val="none" w:sz="0" w:space="0" w:color="auto"/>
              </w:divBdr>
            </w:div>
          </w:divsChild>
        </w:div>
        <w:div w:id="1530953366">
          <w:marLeft w:val="0"/>
          <w:marRight w:val="0"/>
          <w:marTop w:val="0"/>
          <w:marBottom w:val="0"/>
          <w:divBdr>
            <w:top w:val="none" w:sz="0" w:space="0" w:color="auto"/>
            <w:left w:val="none" w:sz="0" w:space="0" w:color="auto"/>
            <w:bottom w:val="none" w:sz="0" w:space="0" w:color="auto"/>
            <w:right w:val="none" w:sz="0" w:space="0" w:color="auto"/>
          </w:divBdr>
        </w:div>
      </w:divsChild>
    </w:div>
    <w:div w:id="330841561">
      <w:bodyDiv w:val="1"/>
      <w:marLeft w:val="0"/>
      <w:marRight w:val="0"/>
      <w:marTop w:val="0"/>
      <w:marBottom w:val="0"/>
      <w:divBdr>
        <w:top w:val="none" w:sz="0" w:space="0" w:color="auto"/>
        <w:left w:val="none" w:sz="0" w:space="0" w:color="auto"/>
        <w:bottom w:val="none" w:sz="0" w:space="0" w:color="auto"/>
        <w:right w:val="none" w:sz="0" w:space="0" w:color="auto"/>
      </w:divBdr>
    </w:div>
    <w:div w:id="339085632">
      <w:bodyDiv w:val="1"/>
      <w:marLeft w:val="0"/>
      <w:marRight w:val="0"/>
      <w:marTop w:val="0"/>
      <w:marBottom w:val="0"/>
      <w:divBdr>
        <w:top w:val="none" w:sz="0" w:space="0" w:color="auto"/>
        <w:left w:val="none" w:sz="0" w:space="0" w:color="auto"/>
        <w:bottom w:val="none" w:sz="0" w:space="0" w:color="auto"/>
        <w:right w:val="none" w:sz="0" w:space="0" w:color="auto"/>
      </w:divBdr>
    </w:div>
    <w:div w:id="345210788">
      <w:bodyDiv w:val="1"/>
      <w:marLeft w:val="0"/>
      <w:marRight w:val="0"/>
      <w:marTop w:val="0"/>
      <w:marBottom w:val="0"/>
      <w:divBdr>
        <w:top w:val="none" w:sz="0" w:space="0" w:color="auto"/>
        <w:left w:val="none" w:sz="0" w:space="0" w:color="auto"/>
        <w:bottom w:val="none" w:sz="0" w:space="0" w:color="auto"/>
        <w:right w:val="none" w:sz="0" w:space="0" w:color="auto"/>
      </w:divBdr>
    </w:div>
    <w:div w:id="416361651">
      <w:bodyDiv w:val="1"/>
      <w:marLeft w:val="0"/>
      <w:marRight w:val="0"/>
      <w:marTop w:val="0"/>
      <w:marBottom w:val="0"/>
      <w:divBdr>
        <w:top w:val="none" w:sz="0" w:space="0" w:color="auto"/>
        <w:left w:val="none" w:sz="0" w:space="0" w:color="auto"/>
        <w:bottom w:val="none" w:sz="0" w:space="0" w:color="auto"/>
        <w:right w:val="none" w:sz="0" w:space="0" w:color="auto"/>
      </w:divBdr>
    </w:div>
    <w:div w:id="475418953">
      <w:bodyDiv w:val="1"/>
      <w:marLeft w:val="0"/>
      <w:marRight w:val="0"/>
      <w:marTop w:val="0"/>
      <w:marBottom w:val="0"/>
      <w:divBdr>
        <w:top w:val="none" w:sz="0" w:space="0" w:color="auto"/>
        <w:left w:val="none" w:sz="0" w:space="0" w:color="auto"/>
        <w:bottom w:val="none" w:sz="0" w:space="0" w:color="auto"/>
        <w:right w:val="none" w:sz="0" w:space="0" w:color="auto"/>
      </w:divBdr>
    </w:div>
    <w:div w:id="476923036">
      <w:bodyDiv w:val="1"/>
      <w:marLeft w:val="0"/>
      <w:marRight w:val="0"/>
      <w:marTop w:val="0"/>
      <w:marBottom w:val="0"/>
      <w:divBdr>
        <w:top w:val="none" w:sz="0" w:space="0" w:color="auto"/>
        <w:left w:val="none" w:sz="0" w:space="0" w:color="auto"/>
        <w:bottom w:val="none" w:sz="0" w:space="0" w:color="auto"/>
        <w:right w:val="none" w:sz="0" w:space="0" w:color="auto"/>
      </w:divBdr>
    </w:div>
    <w:div w:id="541748431">
      <w:bodyDiv w:val="1"/>
      <w:marLeft w:val="0"/>
      <w:marRight w:val="0"/>
      <w:marTop w:val="0"/>
      <w:marBottom w:val="0"/>
      <w:divBdr>
        <w:top w:val="none" w:sz="0" w:space="0" w:color="auto"/>
        <w:left w:val="none" w:sz="0" w:space="0" w:color="auto"/>
        <w:bottom w:val="none" w:sz="0" w:space="0" w:color="auto"/>
        <w:right w:val="none" w:sz="0" w:space="0" w:color="auto"/>
      </w:divBdr>
    </w:div>
    <w:div w:id="571542578">
      <w:bodyDiv w:val="1"/>
      <w:marLeft w:val="0"/>
      <w:marRight w:val="0"/>
      <w:marTop w:val="0"/>
      <w:marBottom w:val="0"/>
      <w:divBdr>
        <w:top w:val="none" w:sz="0" w:space="0" w:color="auto"/>
        <w:left w:val="none" w:sz="0" w:space="0" w:color="auto"/>
        <w:bottom w:val="none" w:sz="0" w:space="0" w:color="auto"/>
        <w:right w:val="none" w:sz="0" w:space="0" w:color="auto"/>
      </w:divBdr>
    </w:div>
    <w:div w:id="577594686">
      <w:bodyDiv w:val="1"/>
      <w:marLeft w:val="0"/>
      <w:marRight w:val="0"/>
      <w:marTop w:val="0"/>
      <w:marBottom w:val="0"/>
      <w:divBdr>
        <w:top w:val="none" w:sz="0" w:space="0" w:color="auto"/>
        <w:left w:val="none" w:sz="0" w:space="0" w:color="auto"/>
        <w:bottom w:val="none" w:sz="0" w:space="0" w:color="auto"/>
        <w:right w:val="none" w:sz="0" w:space="0" w:color="auto"/>
      </w:divBdr>
    </w:div>
    <w:div w:id="734085380">
      <w:bodyDiv w:val="1"/>
      <w:marLeft w:val="0"/>
      <w:marRight w:val="0"/>
      <w:marTop w:val="0"/>
      <w:marBottom w:val="0"/>
      <w:divBdr>
        <w:top w:val="none" w:sz="0" w:space="0" w:color="auto"/>
        <w:left w:val="none" w:sz="0" w:space="0" w:color="auto"/>
        <w:bottom w:val="none" w:sz="0" w:space="0" w:color="auto"/>
        <w:right w:val="none" w:sz="0" w:space="0" w:color="auto"/>
      </w:divBdr>
    </w:div>
    <w:div w:id="767234985">
      <w:bodyDiv w:val="1"/>
      <w:marLeft w:val="0"/>
      <w:marRight w:val="0"/>
      <w:marTop w:val="0"/>
      <w:marBottom w:val="0"/>
      <w:divBdr>
        <w:top w:val="none" w:sz="0" w:space="0" w:color="auto"/>
        <w:left w:val="none" w:sz="0" w:space="0" w:color="auto"/>
        <w:bottom w:val="none" w:sz="0" w:space="0" w:color="auto"/>
        <w:right w:val="none" w:sz="0" w:space="0" w:color="auto"/>
      </w:divBdr>
    </w:div>
    <w:div w:id="787046306">
      <w:bodyDiv w:val="1"/>
      <w:marLeft w:val="0"/>
      <w:marRight w:val="0"/>
      <w:marTop w:val="0"/>
      <w:marBottom w:val="0"/>
      <w:divBdr>
        <w:top w:val="none" w:sz="0" w:space="0" w:color="auto"/>
        <w:left w:val="none" w:sz="0" w:space="0" w:color="auto"/>
        <w:bottom w:val="none" w:sz="0" w:space="0" w:color="auto"/>
        <w:right w:val="none" w:sz="0" w:space="0" w:color="auto"/>
      </w:divBdr>
    </w:div>
    <w:div w:id="836724405">
      <w:bodyDiv w:val="1"/>
      <w:marLeft w:val="0"/>
      <w:marRight w:val="0"/>
      <w:marTop w:val="0"/>
      <w:marBottom w:val="0"/>
      <w:divBdr>
        <w:top w:val="none" w:sz="0" w:space="0" w:color="auto"/>
        <w:left w:val="none" w:sz="0" w:space="0" w:color="auto"/>
        <w:bottom w:val="none" w:sz="0" w:space="0" w:color="auto"/>
        <w:right w:val="none" w:sz="0" w:space="0" w:color="auto"/>
      </w:divBdr>
    </w:div>
    <w:div w:id="989289900">
      <w:bodyDiv w:val="1"/>
      <w:marLeft w:val="0"/>
      <w:marRight w:val="0"/>
      <w:marTop w:val="0"/>
      <w:marBottom w:val="0"/>
      <w:divBdr>
        <w:top w:val="none" w:sz="0" w:space="0" w:color="auto"/>
        <w:left w:val="none" w:sz="0" w:space="0" w:color="auto"/>
        <w:bottom w:val="none" w:sz="0" w:space="0" w:color="auto"/>
        <w:right w:val="none" w:sz="0" w:space="0" w:color="auto"/>
      </w:divBdr>
    </w:div>
    <w:div w:id="1010716665">
      <w:bodyDiv w:val="1"/>
      <w:marLeft w:val="0"/>
      <w:marRight w:val="0"/>
      <w:marTop w:val="0"/>
      <w:marBottom w:val="0"/>
      <w:divBdr>
        <w:top w:val="none" w:sz="0" w:space="0" w:color="auto"/>
        <w:left w:val="none" w:sz="0" w:space="0" w:color="auto"/>
        <w:bottom w:val="none" w:sz="0" w:space="0" w:color="auto"/>
        <w:right w:val="none" w:sz="0" w:space="0" w:color="auto"/>
      </w:divBdr>
    </w:div>
    <w:div w:id="1037510323">
      <w:bodyDiv w:val="1"/>
      <w:marLeft w:val="0"/>
      <w:marRight w:val="0"/>
      <w:marTop w:val="0"/>
      <w:marBottom w:val="0"/>
      <w:divBdr>
        <w:top w:val="none" w:sz="0" w:space="0" w:color="auto"/>
        <w:left w:val="none" w:sz="0" w:space="0" w:color="auto"/>
        <w:bottom w:val="none" w:sz="0" w:space="0" w:color="auto"/>
        <w:right w:val="none" w:sz="0" w:space="0" w:color="auto"/>
      </w:divBdr>
      <w:divsChild>
        <w:div w:id="862941630">
          <w:marLeft w:val="0"/>
          <w:marRight w:val="0"/>
          <w:marTop w:val="0"/>
          <w:marBottom w:val="0"/>
          <w:divBdr>
            <w:top w:val="none" w:sz="0" w:space="0" w:color="auto"/>
            <w:left w:val="none" w:sz="0" w:space="0" w:color="auto"/>
            <w:bottom w:val="none" w:sz="0" w:space="0" w:color="auto"/>
            <w:right w:val="none" w:sz="0" w:space="0" w:color="auto"/>
          </w:divBdr>
        </w:div>
        <w:div w:id="1426344102">
          <w:marLeft w:val="0"/>
          <w:marRight w:val="0"/>
          <w:marTop w:val="0"/>
          <w:marBottom w:val="0"/>
          <w:divBdr>
            <w:top w:val="none" w:sz="0" w:space="0" w:color="auto"/>
            <w:left w:val="none" w:sz="0" w:space="0" w:color="auto"/>
            <w:bottom w:val="none" w:sz="0" w:space="0" w:color="auto"/>
            <w:right w:val="none" w:sz="0" w:space="0" w:color="auto"/>
          </w:divBdr>
        </w:div>
        <w:div w:id="1491168727">
          <w:marLeft w:val="0"/>
          <w:marRight w:val="0"/>
          <w:marTop w:val="0"/>
          <w:marBottom w:val="0"/>
          <w:divBdr>
            <w:top w:val="none" w:sz="0" w:space="0" w:color="auto"/>
            <w:left w:val="none" w:sz="0" w:space="0" w:color="auto"/>
            <w:bottom w:val="none" w:sz="0" w:space="0" w:color="auto"/>
            <w:right w:val="none" w:sz="0" w:space="0" w:color="auto"/>
          </w:divBdr>
        </w:div>
        <w:div w:id="1503622204">
          <w:marLeft w:val="0"/>
          <w:marRight w:val="0"/>
          <w:marTop w:val="0"/>
          <w:marBottom w:val="0"/>
          <w:divBdr>
            <w:top w:val="none" w:sz="0" w:space="0" w:color="auto"/>
            <w:left w:val="none" w:sz="0" w:space="0" w:color="auto"/>
            <w:bottom w:val="none" w:sz="0" w:space="0" w:color="auto"/>
            <w:right w:val="none" w:sz="0" w:space="0" w:color="auto"/>
          </w:divBdr>
        </w:div>
        <w:div w:id="1762481450">
          <w:marLeft w:val="0"/>
          <w:marRight w:val="0"/>
          <w:marTop w:val="0"/>
          <w:marBottom w:val="0"/>
          <w:divBdr>
            <w:top w:val="none" w:sz="0" w:space="0" w:color="auto"/>
            <w:left w:val="none" w:sz="0" w:space="0" w:color="auto"/>
            <w:bottom w:val="none" w:sz="0" w:space="0" w:color="auto"/>
            <w:right w:val="none" w:sz="0" w:space="0" w:color="auto"/>
          </w:divBdr>
        </w:div>
      </w:divsChild>
    </w:div>
    <w:div w:id="1042900107">
      <w:bodyDiv w:val="1"/>
      <w:marLeft w:val="0"/>
      <w:marRight w:val="0"/>
      <w:marTop w:val="0"/>
      <w:marBottom w:val="0"/>
      <w:divBdr>
        <w:top w:val="none" w:sz="0" w:space="0" w:color="auto"/>
        <w:left w:val="none" w:sz="0" w:space="0" w:color="auto"/>
        <w:bottom w:val="none" w:sz="0" w:space="0" w:color="auto"/>
        <w:right w:val="none" w:sz="0" w:space="0" w:color="auto"/>
      </w:divBdr>
    </w:div>
    <w:div w:id="1110008609">
      <w:bodyDiv w:val="1"/>
      <w:marLeft w:val="0"/>
      <w:marRight w:val="0"/>
      <w:marTop w:val="0"/>
      <w:marBottom w:val="0"/>
      <w:divBdr>
        <w:top w:val="none" w:sz="0" w:space="0" w:color="auto"/>
        <w:left w:val="none" w:sz="0" w:space="0" w:color="auto"/>
        <w:bottom w:val="none" w:sz="0" w:space="0" w:color="auto"/>
        <w:right w:val="none" w:sz="0" w:space="0" w:color="auto"/>
      </w:divBdr>
    </w:div>
    <w:div w:id="1130513918">
      <w:bodyDiv w:val="1"/>
      <w:marLeft w:val="0"/>
      <w:marRight w:val="0"/>
      <w:marTop w:val="0"/>
      <w:marBottom w:val="0"/>
      <w:divBdr>
        <w:top w:val="none" w:sz="0" w:space="0" w:color="auto"/>
        <w:left w:val="none" w:sz="0" w:space="0" w:color="auto"/>
        <w:bottom w:val="none" w:sz="0" w:space="0" w:color="auto"/>
        <w:right w:val="none" w:sz="0" w:space="0" w:color="auto"/>
      </w:divBdr>
    </w:div>
    <w:div w:id="1150750236">
      <w:bodyDiv w:val="1"/>
      <w:marLeft w:val="0"/>
      <w:marRight w:val="0"/>
      <w:marTop w:val="0"/>
      <w:marBottom w:val="0"/>
      <w:divBdr>
        <w:top w:val="none" w:sz="0" w:space="0" w:color="auto"/>
        <w:left w:val="none" w:sz="0" w:space="0" w:color="auto"/>
        <w:bottom w:val="none" w:sz="0" w:space="0" w:color="auto"/>
        <w:right w:val="none" w:sz="0" w:space="0" w:color="auto"/>
      </w:divBdr>
    </w:div>
    <w:div w:id="1154833425">
      <w:bodyDiv w:val="1"/>
      <w:marLeft w:val="0"/>
      <w:marRight w:val="0"/>
      <w:marTop w:val="0"/>
      <w:marBottom w:val="0"/>
      <w:divBdr>
        <w:top w:val="none" w:sz="0" w:space="0" w:color="auto"/>
        <w:left w:val="none" w:sz="0" w:space="0" w:color="auto"/>
        <w:bottom w:val="none" w:sz="0" w:space="0" w:color="auto"/>
        <w:right w:val="none" w:sz="0" w:space="0" w:color="auto"/>
      </w:divBdr>
    </w:div>
    <w:div w:id="1173686841">
      <w:bodyDiv w:val="1"/>
      <w:marLeft w:val="0"/>
      <w:marRight w:val="0"/>
      <w:marTop w:val="0"/>
      <w:marBottom w:val="0"/>
      <w:divBdr>
        <w:top w:val="none" w:sz="0" w:space="0" w:color="auto"/>
        <w:left w:val="none" w:sz="0" w:space="0" w:color="auto"/>
        <w:bottom w:val="none" w:sz="0" w:space="0" w:color="auto"/>
        <w:right w:val="none" w:sz="0" w:space="0" w:color="auto"/>
      </w:divBdr>
    </w:div>
    <w:div w:id="1280721267">
      <w:bodyDiv w:val="1"/>
      <w:marLeft w:val="0"/>
      <w:marRight w:val="0"/>
      <w:marTop w:val="0"/>
      <w:marBottom w:val="0"/>
      <w:divBdr>
        <w:top w:val="none" w:sz="0" w:space="0" w:color="auto"/>
        <w:left w:val="none" w:sz="0" w:space="0" w:color="auto"/>
        <w:bottom w:val="none" w:sz="0" w:space="0" w:color="auto"/>
        <w:right w:val="none" w:sz="0" w:space="0" w:color="auto"/>
      </w:divBdr>
      <w:divsChild>
        <w:div w:id="1273588634">
          <w:marLeft w:val="0"/>
          <w:marRight w:val="0"/>
          <w:marTop w:val="0"/>
          <w:marBottom w:val="0"/>
          <w:divBdr>
            <w:top w:val="none" w:sz="0" w:space="0" w:color="auto"/>
            <w:left w:val="none" w:sz="0" w:space="0" w:color="auto"/>
            <w:bottom w:val="none" w:sz="0" w:space="0" w:color="auto"/>
            <w:right w:val="none" w:sz="0" w:space="0" w:color="auto"/>
          </w:divBdr>
          <w:divsChild>
            <w:div w:id="21375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44599">
      <w:bodyDiv w:val="1"/>
      <w:marLeft w:val="0"/>
      <w:marRight w:val="0"/>
      <w:marTop w:val="0"/>
      <w:marBottom w:val="0"/>
      <w:divBdr>
        <w:top w:val="none" w:sz="0" w:space="0" w:color="auto"/>
        <w:left w:val="none" w:sz="0" w:space="0" w:color="auto"/>
        <w:bottom w:val="none" w:sz="0" w:space="0" w:color="auto"/>
        <w:right w:val="none" w:sz="0" w:space="0" w:color="auto"/>
      </w:divBdr>
    </w:div>
    <w:div w:id="1407149630">
      <w:bodyDiv w:val="1"/>
      <w:marLeft w:val="0"/>
      <w:marRight w:val="0"/>
      <w:marTop w:val="0"/>
      <w:marBottom w:val="0"/>
      <w:divBdr>
        <w:top w:val="none" w:sz="0" w:space="0" w:color="auto"/>
        <w:left w:val="none" w:sz="0" w:space="0" w:color="auto"/>
        <w:bottom w:val="none" w:sz="0" w:space="0" w:color="auto"/>
        <w:right w:val="none" w:sz="0" w:space="0" w:color="auto"/>
      </w:divBdr>
      <w:divsChild>
        <w:div w:id="1083065705">
          <w:marLeft w:val="0"/>
          <w:marRight w:val="0"/>
          <w:marTop w:val="0"/>
          <w:marBottom w:val="0"/>
          <w:divBdr>
            <w:top w:val="none" w:sz="0" w:space="0" w:color="auto"/>
            <w:left w:val="none" w:sz="0" w:space="0" w:color="auto"/>
            <w:bottom w:val="none" w:sz="0" w:space="0" w:color="auto"/>
            <w:right w:val="none" w:sz="0" w:space="0" w:color="auto"/>
          </w:divBdr>
        </w:div>
        <w:div w:id="1483043990">
          <w:marLeft w:val="0"/>
          <w:marRight w:val="0"/>
          <w:marTop w:val="0"/>
          <w:marBottom w:val="0"/>
          <w:divBdr>
            <w:top w:val="none" w:sz="0" w:space="0" w:color="auto"/>
            <w:left w:val="none" w:sz="0" w:space="0" w:color="auto"/>
            <w:bottom w:val="none" w:sz="0" w:space="0" w:color="auto"/>
            <w:right w:val="none" w:sz="0" w:space="0" w:color="auto"/>
          </w:divBdr>
        </w:div>
      </w:divsChild>
    </w:div>
    <w:div w:id="1437361595">
      <w:bodyDiv w:val="1"/>
      <w:marLeft w:val="0"/>
      <w:marRight w:val="0"/>
      <w:marTop w:val="0"/>
      <w:marBottom w:val="0"/>
      <w:divBdr>
        <w:top w:val="none" w:sz="0" w:space="0" w:color="auto"/>
        <w:left w:val="none" w:sz="0" w:space="0" w:color="auto"/>
        <w:bottom w:val="none" w:sz="0" w:space="0" w:color="auto"/>
        <w:right w:val="none" w:sz="0" w:space="0" w:color="auto"/>
      </w:divBdr>
    </w:div>
    <w:div w:id="1499464549">
      <w:bodyDiv w:val="1"/>
      <w:marLeft w:val="0"/>
      <w:marRight w:val="0"/>
      <w:marTop w:val="0"/>
      <w:marBottom w:val="0"/>
      <w:divBdr>
        <w:top w:val="none" w:sz="0" w:space="0" w:color="auto"/>
        <w:left w:val="none" w:sz="0" w:space="0" w:color="auto"/>
        <w:bottom w:val="none" w:sz="0" w:space="0" w:color="auto"/>
        <w:right w:val="none" w:sz="0" w:space="0" w:color="auto"/>
      </w:divBdr>
    </w:div>
    <w:div w:id="1707756145">
      <w:bodyDiv w:val="1"/>
      <w:marLeft w:val="0"/>
      <w:marRight w:val="0"/>
      <w:marTop w:val="0"/>
      <w:marBottom w:val="0"/>
      <w:divBdr>
        <w:top w:val="none" w:sz="0" w:space="0" w:color="auto"/>
        <w:left w:val="none" w:sz="0" w:space="0" w:color="auto"/>
        <w:bottom w:val="none" w:sz="0" w:space="0" w:color="auto"/>
        <w:right w:val="none" w:sz="0" w:space="0" w:color="auto"/>
      </w:divBdr>
    </w:div>
    <w:div w:id="1717044299">
      <w:bodyDiv w:val="1"/>
      <w:marLeft w:val="0"/>
      <w:marRight w:val="0"/>
      <w:marTop w:val="0"/>
      <w:marBottom w:val="0"/>
      <w:divBdr>
        <w:top w:val="none" w:sz="0" w:space="0" w:color="auto"/>
        <w:left w:val="none" w:sz="0" w:space="0" w:color="auto"/>
        <w:bottom w:val="none" w:sz="0" w:space="0" w:color="auto"/>
        <w:right w:val="none" w:sz="0" w:space="0" w:color="auto"/>
      </w:divBdr>
    </w:div>
    <w:div w:id="1777484368">
      <w:bodyDiv w:val="1"/>
      <w:marLeft w:val="0"/>
      <w:marRight w:val="0"/>
      <w:marTop w:val="0"/>
      <w:marBottom w:val="0"/>
      <w:divBdr>
        <w:top w:val="none" w:sz="0" w:space="0" w:color="auto"/>
        <w:left w:val="none" w:sz="0" w:space="0" w:color="auto"/>
        <w:bottom w:val="none" w:sz="0" w:space="0" w:color="auto"/>
        <w:right w:val="none" w:sz="0" w:space="0" w:color="auto"/>
      </w:divBdr>
      <w:divsChild>
        <w:div w:id="844781166">
          <w:marLeft w:val="0"/>
          <w:marRight w:val="0"/>
          <w:marTop w:val="0"/>
          <w:marBottom w:val="0"/>
          <w:divBdr>
            <w:top w:val="none" w:sz="0" w:space="0" w:color="auto"/>
            <w:left w:val="none" w:sz="0" w:space="0" w:color="auto"/>
            <w:bottom w:val="none" w:sz="0" w:space="0" w:color="auto"/>
            <w:right w:val="none" w:sz="0" w:space="0" w:color="auto"/>
          </w:divBdr>
        </w:div>
        <w:div w:id="1321809496">
          <w:marLeft w:val="0"/>
          <w:marRight w:val="0"/>
          <w:marTop w:val="0"/>
          <w:marBottom w:val="0"/>
          <w:divBdr>
            <w:top w:val="none" w:sz="0" w:space="0" w:color="auto"/>
            <w:left w:val="none" w:sz="0" w:space="0" w:color="auto"/>
            <w:bottom w:val="none" w:sz="0" w:space="0" w:color="auto"/>
            <w:right w:val="none" w:sz="0" w:space="0" w:color="auto"/>
          </w:divBdr>
        </w:div>
        <w:div w:id="1763451993">
          <w:marLeft w:val="0"/>
          <w:marRight w:val="0"/>
          <w:marTop w:val="0"/>
          <w:marBottom w:val="0"/>
          <w:divBdr>
            <w:top w:val="none" w:sz="0" w:space="0" w:color="auto"/>
            <w:left w:val="none" w:sz="0" w:space="0" w:color="auto"/>
            <w:bottom w:val="none" w:sz="0" w:space="0" w:color="auto"/>
            <w:right w:val="none" w:sz="0" w:space="0" w:color="auto"/>
          </w:divBdr>
        </w:div>
      </w:divsChild>
    </w:div>
    <w:div w:id="1937866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eader" Target="header53.xml"/><Relationship Id="rId299" Type="http://schemas.openxmlformats.org/officeDocument/2006/relationships/footer" Target="footer143.xml"/><Relationship Id="rId21" Type="http://schemas.openxmlformats.org/officeDocument/2006/relationships/footer" Target="footer5.xml"/><Relationship Id="rId63" Type="http://schemas.openxmlformats.org/officeDocument/2006/relationships/header" Target="header26.xml"/><Relationship Id="rId159" Type="http://schemas.openxmlformats.org/officeDocument/2006/relationships/header" Target="header74.xml"/><Relationship Id="rId324" Type="http://schemas.openxmlformats.org/officeDocument/2006/relationships/header" Target="header156.xml"/><Relationship Id="rId366" Type="http://schemas.openxmlformats.org/officeDocument/2006/relationships/header" Target="header177.xml"/><Relationship Id="rId170" Type="http://schemas.openxmlformats.org/officeDocument/2006/relationships/header" Target="header79.xml"/><Relationship Id="rId226" Type="http://schemas.openxmlformats.org/officeDocument/2006/relationships/footer" Target="footer106.xml"/><Relationship Id="rId268" Type="http://schemas.openxmlformats.org/officeDocument/2006/relationships/footer" Target="footer127.xml"/><Relationship Id="rId32" Type="http://schemas.openxmlformats.org/officeDocument/2006/relationships/footer" Target="footer10.xml"/><Relationship Id="rId74" Type="http://schemas.openxmlformats.org/officeDocument/2006/relationships/header" Target="header31.xml"/><Relationship Id="rId128" Type="http://schemas.openxmlformats.org/officeDocument/2006/relationships/header" Target="header58.xml"/><Relationship Id="rId335" Type="http://schemas.openxmlformats.org/officeDocument/2006/relationships/footer" Target="footer161.xml"/><Relationship Id="rId377" Type="http://schemas.openxmlformats.org/officeDocument/2006/relationships/footer" Target="footer182.xml"/><Relationship Id="rId5" Type="http://schemas.openxmlformats.org/officeDocument/2006/relationships/numbering" Target="numbering.xml"/><Relationship Id="rId181" Type="http://schemas.openxmlformats.org/officeDocument/2006/relationships/footer" Target="footer84.xml"/><Relationship Id="rId237" Type="http://schemas.openxmlformats.org/officeDocument/2006/relationships/header" Target="header113.xml"/><Relationship Id="rId402" Type="http://schemas.openxmlformats.org/officeDocument/2006/relationships/footer" Target="footer194.xml"/><Relationship Id="rId258" Type="http://schemas.openxmlformats.org/officeDocument/2006/relationships/header" Target="header123.xml"/><Relationship Id="rId279" Type="http://schemas.openxmlformats.org/officeDocument/2006/relationships/header" Target="header134.xml"/><Relationship Id="rId22" Type="http://schemas.openxmlformats.org/officeDocument/2006/relationships/header" Target="header6.xml"/><Relationship Id="rId43" Type="http://schemas.openxmlformats.org/officeDocument/2006/relationships/footer" Target="footer15.xml"/><Relationship Id="rId64" Type="http://schemas.openxmlformats.org/officeDocument/2006/relationships/footer" Target="footer25.xml"/><Relationship Id="rId118" Type="http://schemas.openxmlformats.org/officeDocument/2006/relationships/footer" Target="footer52.xml"/><Relationship Id="rId139" Type="http://schemas.openxmlformats.org/officeDocument/2006/relationships/footer" Target="footer63.xml"/><Relationship Id="rId290" Type="http://schemas.openxmlformats.org/officeDocument/2006/relationships/header" Target="header139.xml"/><Relationship Id="rId304" Type="http://schemas.openxmlformats.org/officeDocument/2006/relationships/footer" Target="footer145.xml"/><Relationship Id="rId325" Type="http://schemas.openxmlformats.org/officeDocument/2006/relationships/footer" Target="footer156.xml"/><Relationship Id="rId346" Type="http://schemas.openxmlformats.org/officeDocument/2006/relationships/footer" Target="footer166.xml"/><Relationship Id="rId367" Type="http://schemas.openxmlformats.org/officeDocument/2006/relationships/footer" Target="footer177.xml"/><Relationship Id="rId388" Type="http://schemas.openxmlformats.org/officeDocument/2006/relationships/header" Target="header188.xml"/><Relationship Id="rId85" Type="http://schemas.openxmlformats.org/officeDocument/2006/relationships/footer" Target="footer36.xml"/><Relationship Id="rId150" Type="http://schemas.openxmlformats.org/officeDocument/2006/relationships/header" Target="header69.xml"/><Relationship Id="rId171" Type="http://schemas.openxmlformats.org/officeDocument/2006/relationships/header" Target="header80.xml"/><Relationship Id="rId192" Type="http://schemas.openxmlformats.org/officeDocument/2006/relationships/header" Target="header90.xml"/><Relationship Id="rId206" Type="http://schemas.openxmlformats.org/officeDocument/2006/relationships/header" Target="header97.xml"/><Relationship Id="rId227" Type="http://schemas.openxmlformats.org/officeDocument/2006/relationships/footer" Target="footer107.xml"/><Relationship Id="rId413" Type="http://schemas.openxmlformats.org/officeDocument/2006/relationships/footer" Target="footer199.xml"/><Relationship Id="rId248" Type="http://schemas.openxmlformats.org/officeDocument/2006/relationships/header" Target="header118.xml"/><Relationship Id="rId269" Type="http://schemas.openxmlformats.org/officeDocument/2006/relationships/footer" Target="footer128.xml"/><Relationship Id="rId12" Type="http://schemas.openxmlformats.org/officeDocument/2006/relationships/header" Target="header1.xml"/><Relationship Id="rId33" Type="http://schemas.openxmlformats.org/officeDocument/2006/relationships/footer" Target="footer11.xml"/><Relationship Id="rId108" Type="http://schemas.openxmlformats.org/officeDocument/2006/relationships/header" Target="header48.xml"/><Relationship Id="rId129" Type="http://schemas.openxmlformats.org/officeDocument/2006/relationships/header" Target="header59.xml"/><Relationship Id="rId280" Type="http://schemas.openxmlformats.org/officeDocument/2006/relationships/footer" Target="footer133.xml"/><Relationship Id="rId315" Type="http://schemas.openxmlformats.org/officeDocument/2006/relationships/header" Target="header152.xml"/><Relationship Id="rId336" Type="http://schemas.openxmlformats.org/officeDocument/2006/relationships/header" Target="header162.xml"/><Relationship Id="rId357" Type="http://schemas.openxmlformats.org/officeDocument/2006/relationships/header" Target="header173.xml"/><Relationship Id="rId54" Type="http://schemas.openxmlformats.org/officeDocument/2006/relationships/header" Target="header21.xml"/><Relationship Id="rId75" Type="http://schemas.openxmlformats.org/officeDocument/2006/relationships/header" Target="header32.xml"/><Relationship Id="rId96" Type="http://schemas.openxmlformats.org/officeDocument/2006/relationships/header" Target="header42.xml"/><Relationship Id="rId140" Type="http://schemas.openxmlformats.org/officeDocument/2006/relationships/header" Target="header64.xml"/><Relationship Id="rId161" Type="http://schemas.openxmlformats.org/officeDocument/2006/relationships/footer" Target="footer74.xml"/><Relationship Id="rId182" Type="http://schemas.openxmlformats.org/officeDocument/2006/relationships/header" Target="header85.xml"/><Relationship Id="rId217" Type="http://schemas.openxmlformats.org/officeDocument/2006/relationships/footer" Target="footer102.xml"/><Relationship Id="rId378" Type="http://schemas.openxmlformats.org/officeDocument/2006/relationships/header" Target="header183.xml"/><Relationship Id="rId399" Type="http://schemas.openxmlformats.org/officeDocument/2006/relationships/header" Target="header193.xml"/><Relationship Id="rId403" Type="http://schemas.openxmlformats.org/officeDocument/2006/relationships/header" Target="header195.xml"/><Relationship Id="rId6" Type="http://schemas.openxmlformats.org/officeDocument/2006/relationships/styles" Target="styles.xml"/><Relationship Id="rId238" Type="http://schemas.openxmlformats.org/officeDocument/2006/relationships/footer" Target="footer112.xml"/><Relationship Id="rId259" Type="http://schemas.openxmlformats.org/officeDocument/2006/relationships/footer" Target="footer123.xml"/><Relationship Id="rId23" Type="http://schemas.openxmlformats.org/officeDocument/2006/relationships/footer" Target="footer6.xml"/><Relationship Id="rId119" Type="http://schemas.openxmlformats.org/officeDocument/2006/relationships/footer" Target="footer53.xml"/><Relationship Id="rId270" Type="http://schemas.openxmlformats.org/officeDocument/2006/relationships/header" Target="header129.xml"/><Relationship Id="rId291" Type="http://schemas.openxmlformats.org/officeDocument/2006/relationships/header" Target="header140.xml"/><Relationship Id="rId305" Type="http://schemas.openxmlformats.org/officeDocument/2006/relationships/footer" Target="footer146.xml"/><Relationship Id="rId326" Type="http://schemas.openxmlformats.org/officeDocument/2006/relationships/header" Target="header157.xml"/><Relationship Id="rId347" Type="http://schemas.openxmlformats.org/officeDocument/2006/relationships/footer" Target="footer167.xml"/><Relationship Id="rId44" Type="http://schemas.openxmlformats.org/officeDocument/2006/relationships/header" Target="header16.xml"/><Relationship Id="rId65" Type="http://schemas.openxmlformats.org/officeDocument/2006/relationships/footer" Target="footer26.xml"/><Relationship Id="rId86" Type="http://schemas.openxmlformats.org/officeDocument/2006/relationships/header" Target="header37.xml"/><Relationship Id="rId130" Type="http://schemas.openxmlformats.org/officeDocument/2006/relationships/footer" Target="footer58.xml"/><Relationship Id="rId151" Type="http://schemas.openxmlformats.org/officeDocument/2006/relationships/footer" Target="footer69.xml"/><Relationship Id="rId368" Type="http://schemas.openxmlformats.org/officeDocument/2006/relationships/header" Target="header178.xml"/><Relationship Id="rId389" Type="http://schemas.openxmlformats.org/officeDocument/2006/relationships/footer" Target="footer187.xml"/><Relationship Id="rId172" Type="http://schemas.openxmlformats.org/officeDocument/2006/relationships/footer" Target="footer79.xml"/><Relationship Id="rId193" Type="http://schemas.openxmlformats.org/officeDocument/2006/relationships/footer" Target="footer90.xml"/><Relationship Id="rId207" Type="http://schemas.openxmlformats.org/officeDocument/2006/relationships/header" Target="header98.xml"/><Relationship Id="rId228" Type="http://schemas.openxmlformats.org/officeDocument/2006/relationships/header" Target="header108.xml"/><Relationship Id="rId249" Type="http://schemas.openxmlformats.org/officeDocument/2006/relationships/header" Target="header119.xml"/><Relationship Id="rId414" Type="http://schemas.openxmlformats.org/officeDocument/2006/relationships/footer" Target="footer200.xml"/><Relationship Id="rId13" Type="http://schemas.openxmlformats.org/officeDocument/2006/relationships/header" Target="header2.xml"/><Relationship Id="rId109" Type="http://schemas.openxmlformats.org/officeDocument/2006/relationships/footer" Target="footer48.xml"/><Relationship Id="rId260" Type="http://schemas.openxmlformats.org/officeDocument/2006/relationships/header" Target="header124.xml"/><Relationship Id="rId281" Type="http://schemas.openxmlformats.org/officeDocument/2006/relationships/footer" Target="footer134.xml"/><Relationship Id="rId316" Type="http://schemas.openxmlformats.org/officeDocument/2006/relationships/footer" Target="footer151.xml"/><Relationship Id="rId337" Type="http://schemas.openxmlformats.org/officeDocument/2006/relationships/footer" Target="footer162.xml"/><Relationship Id="rId34" Type="http://schemas.openxmlformats.org/officeDocument/2006/relationships/header" Target="header12.xml"/><Relationship Id="rId55" Type="http://schemas.openxmlformats.org/officeDocument/2006/relationships/footer" Target="footer21.xml"/><Relationship Id="rId76" Type="http://schemas.openxmlformats.org/officeDocument/2006/relationships/footer" Target="footer31.xml"/><Relationship Id="rId97" Type="http://schemas.openxmlformats.org/officeDocument/2006/relationships/footer" Target="footer42.xml"/><Relationship Id="rId120" Type="http://schemas.openxmlformats.org/officeDocument/2006/relationships/header" Target="header54.xml"/><Relationship Id="rId141" Type="http://schemas.openxmlformats.org/officeDocument/2006/relationships/header" Target="header65.xml"/><Relationship Id="rId358" Type="http://schemas.openxmlformats.org/officeDocument/2006/relationships/footer" Target="footer172.xml"/><Relationship Id="rId379" Type="http://schemas.openxmlformats.org/officeDocument/2006/relationships/footer" Target="footer183.xml"/><Relationship Id="rId7" Type="http://schemas.openxmlformats.org/officeDocument/2006/relationships/settings" Target="settings.xml"/><Relationship Id="rId162" Type="http://schemas.openxmlformats.org/officeDocument/2006/relationships/header" Target="header75.xml"/><Relationship Id="rId183" Type="http://schemas.openxmlformats.org/officeDocument/2006/relationships/header" Target="header86.xml"/><Relationship Id="rId218" Type="http://schemas.openxmlformats.org/officeDocument/2006/relationships/header" Target="header103.xml"/><Relationship Id="rId239" Type="http://schemas.openxmlformats.org/officeDocument/2006/relationships/footer" Target="footer113.xml"/><Relationship Id="rId390" Type="http://schemas.openxmlformats.org/officeDocument/2006/relationships/footer" Target="footer188.xml"/><Relationship Id="rId404" Type="http://schemas.openxmlformats.org/officeDocument/2006/relationships/footer" Target="footer195.xml"/><Relationship Id="rId250" Type="http://schemas.openxmlformats.org/officeDocument/2006/relationships/footer" Target="footer118.xml"/><Relationship Id="rId271" Type="http://schemas.openxmlformats.org/officeDocument/2006/relationships/footer" Target="footer129.xml"/><Relationship Id="rId292" Type="http://schemas.openxmlformats.org/officeDocument/2006/relationships/footer" Target="footer139.xml"/><Relationship Id="rId306" Type="http://schemas.openxmlformats.org/officeDocument/2006/relationships/header" Target="header147.xml"/><Relationship Id="rId24" Type="http://schemas.openxmlformats.org/officeDocument/2006/relationships/header" Target="header7.xml"/><Relationship Id="rId45" Type="http://schemas.openxmlformats.org/officeDocument/2006/relationships/header" Target="header17.xml"/><Relationship Id="rId66" Type="http://schemas.openxmlformats.org/officeDocument/2006/relationships/header" Target="header27.xml"/><Relationship Id="rId87" Type="http://schemas.openxmlformats.org/officeDocument/2006/relationships/header" Target="header38.xml"/><Relationship Id="rId110" Type="http://schemas.openxmlformats.org/officeDocument/2006/relationships/header" Target="header49.xml"/><Relationship Id="rId131" Type="http://schemas.openxmlformats.org/officeDocument/2006/relationships/footer" Target="footer59.xml"/><Relationship Id="rId327" Type="http://schemas.openxmlformats.org/officeDocument/2006/relationships/header" Target="header158.xml"/><Relationship Id="rId348" Type="http://schemas.openxmlformats.org/officeDocument/2006/relationships/header" Target="header168.xml"/><Relationship Id="rId369" Type="http://schemas.openxmlformats.org/officeDocument/2006/relationships/header" Target="header179.xml"/><Relationship Id="rId152" Type="http://schemas.openxmlformats.org/officeDocument/2006/relationships/header" Target="header70.xml"/><Relationship Id="rId173" Type="http://schemas.openxmlformats.org/officeDocument/2006/relationships/footer" Target="footer80.xml"/><Relationship Id="rId194" Type="http://schemas.openxmlformats.org/officeDocument/2006/relationships/header" Target="header91.xml"/><Relationship Id="rId208" Type="http://schemas.openxmlformats.org/officeDocument/2006/relationships/footer" Target="footer97.xml"/><Relationship Id="rId229" Type="http://schemas.openxmlformats.org/officeDocument/2006/relationships/footer" Target="footer108.xml"/><Relationship Id="rId380" Type="http://schemas.openxmlformats.org/officeDocument/2006/relationships/header" Target="header184.xml"/><Relationship Id="rId415" Type="http://schemas.openxmlformats.org/officeDocument/2006/relationships/header" Target="header201.xml"/><Relationship Id="rId240" Type="http://schemas.openxmlformats.org/officeDocument/2006/relationships/header" Target="header114.xml"/><Relationship Id="rId261" Type="http://schemas.openxmlformats.org/officeDocument/2006/relationships/header" Target="header125.xml"/><Relationship Id="rId14" Type="http://schemas.openxmlformats.org/officeDocument/2006/relationships/footer" Target="footer1.xml"/><Relationship Id="rId35" Type="http://schemas.openxmlformats.org/officeDocument/2006/relationships/footer" Target="footer12.xml"/><Relationship Id="rId56" Type="http://schemas.openxmlformats.org/officeDocument/2006/relationships/header" Target="header22.xml"/><Relationship Id="rId77" Type="http://schemas.openxmlformats.org/officeDocument/2006/relationships/footer" Target="footer32.xml"/><Relationship Id="rId100" Type="http://schemas.openxmlformats.org/officeDocument/2006/relationships/footer" Target="footer43.xml"/><Relationship Id="rId282" Type="http://schemas.openxmlformats.org/officeDocument/2006/relationships/header" Target="header135.xml"/><Relationship Id="rId317" Type="http://schemas.openxmlformats.org/officeDocument/2006/relationships/footer" Target="footer152.xml"/><Relationship Id="rId338" Type="http://schemas.openxmlformats.org/officeDocument/2006/relationships/header" Target="header163.xml"/><Relationship Id="rId359" Type="http://schemas.openxmlformats.org/officeDocument/2006/relationships/footer" Target="footer173.xml"/><Relationship Id="rId8" Type="http://schemas.openxmlformats.org/officeDocument/2006/relationships/webSettings" Target="webSettings.xml"/><Relationship Id="rId98" Type="http://schemas.openxmlformats.org/officeDocument/2006/relationships/header" Target="header43.xml"/><Relationship Id="rId121" Type="http://schemas.openxmlformats.org/officeDocument/2006/relationships/footer" Target="footer54.xml"/><Relationship Id="rId142" Type="http://schemas.openxmlformats.org/officeDocument/2006/relationships/footer" Target="footer64.xml"/><Relationship Id="rId163" Type="http://schemas.openxmlformats.org/officeDocument/2006/relationships/footer" Target="footer75.xml"/><Relationship Id="rId184" Type="http://schemas.openxmlformats.org/officeDocument/2006/relationships/footer" Target="footer85.xml"/><Relationship Id="rId219" Type="http://schemas.openxmlformats.org/officeDocument/2006/relationships/header" Target="header104.xml"/><Relationship Id="rId370" Type="http://schemas.openxmlformats.org/officeDocument/2006/relationships/footer" Target="footer178.xml"/><Relationship Id="rId391" Type="http://schemas.openxmlformats.org/officeDocument/2006/relationships/header" Target="header189.xml"/><Relationship Id="rId405" Type="http://schemas.openxmlformats.org/officeDocument/2006/relationships/header" Target="header196.xml"/><Relationship Id="rId230" Type="http://schemas.openxmlformats.org/officeDocument/2006/relationships/header" Target="header109.xml"/><Relationship Id="rId251" Type="http://schemas.openxmlformats.org/officeDocument/2006/relationships/footer" Target="footer119.xml"/><Relationship Id="rId25" Type="http://schemas.openxmlformats.org/officeDocument/2006/relationships/header" Target="header8.xml"/><Relationship Id="rId46" Type="http://schemas.openxmlformats.org/officeDocument/2006/relationships/footer" Target="footer16.xml"/><Relationship Id="rId67" Type="http://schemas.openxmlformats.org/officeDocument/2006/relationships/footer" Target="footer27.xml"/><Relationship Id="rId272" Type="http://schemas.openxmlformats.org/officeDocument/2006/relationships/header" Target="header130.xml"/><Relationship Id="rId293" Type="http://schemas.openxmlformats.org/officeDocument/2006/relationships/footer" Target="footer140.xml"/><Relationship Id="rId307" Type="http://schemas.openxmlformats.org/officeDocument/2006/relationships/footer" Target="footer147.xml"/><Relationship Id="rId328" Type="http://schemas.openxmlformats.org/officeDocument/2006/relationships/footer" Target="footer157.xml"/><Relationship Id="rId349" Type="http://schemas.openxmlformats.org/officeDocument/2006/relationships/footer" Target="footer168.xml"/><Relationship Id="rId88" Type="http://schemas.openxmlformats.org/officeDocument/2006/relationships/footer" Target="footer37.xml"/><Relationship Id="rId111" Type="http://schemas.openxmlformats.org/officeDocument/2006/relationships/header" Target="header50.xml"/><Relationship Id="rId132" Type="http://schemas.openxmlformats.org/officeDocument/2006/relationships/header" Target="header60.xml"/><Relationship Id="rId153" Type="http://schemas.openxmlformats.org/officeDocument/2006/relationships/header" Target="header71.xml"/><Relationship Id="rId174" Type="http://schemas.openxmlformats.org/officeDocument/2006/relationships/header" Target="header81.xml"/><Relationship Id="rId195" Type="http://schemas.openxmlformats.org/officeDocument/2006/relationships/header" Target="header92.xml"/><Relationship Id="rId209" Type="http://schemas.openxmlformats.org/officeDocument/2006/relationships/footer" Target="footer98.xml"/><Relationship Id="rId360" Type="http://schemas.openxmlformats.org/officeDocument/2006/relationships/header" Target="header174.xml"/><Relationship Id="rId381" Type="http://schemas.openxmlformats.org/officeDocument/2006/relationships/header" Target="header185.xml"/><Relationship Id="rId416" Type="http://schemas.openxmlformats.org/officeDocument/2006/relationships/footer" Target="footer201.xml"/><Relationship Id="rId220" Type="http://schemas.openxmlformats.org/officeDocument/2006/relationships/footer" Target="footer103.xml"/><Relationship Id="rId241" Type="http://schemas.openxmlformats.org/officeDocument/2006/relationships/footer" Target="footer114.xml"/><Relationship Id="rId15" Type="http://schemas.openxmlformats.org/officeDocument/2006/relationships/footer" Target="footer2.xml"/><Relationship Id="rId36" Type="http://schemas.openxmlformats.org/officeDocument/2006/relationships/hyperlink" Target="http://www.inps.it" TargetMode="External"/><Relationship Id="rId57" Type="http://schemas.openxmlformats.org/officeDocument/2006/relationships/header" Target="header23.xml"/><Relationship Id="rId262" Type="http://schemas.openxmlformats.org/officeDocument/2006/relationships/footer" Target="footer124.xml"/><Relationship Id="rId283" Type="http://schemas.openxmlformats.org/officeDocument/2006/relationships/footer" Target="footer135.xml"/><Relationship Id="rId318" Type="http://schemas.openxmlformats.org/officeDocument/2006/relationships/header" Target="header153.xml"/><Relationship Id="rId339" Type="http://schemas.openxmlformats.org/officeDocument/2006/relationships/header" Target="header164.xml"/><Relationship Id="rId78" Type="http://schemas.openxmlformats.org/officeDocument/2006/relationships/header" Target="header33.xml"/><Relationship Id="rId99" Type="http://schemas.openxmlformats.org/officeDocument/2006/relationships/header" Target="header44.xml"/><Relationship Id="rId101" Type="http://schemas.openxmlformats.org/officeDocument/2006/relationships/footer" Target="footer44.xml"/><Relationship Id="rId122" Type="http://schemas.openxmlformats.org/officeDocument/2006/relationships/header" Target="header55.xml"/><Relationship Id="rId143" Type="http://schemas.openxmlformats.org/officeDocument/2006/relationships/footer" Target="footer65.xml"/><Relationship Id="rId164" Type="http://schemas.openxmlformats.org/officeDocument/2006/relationships/header" Target="header76.xml"/><Relationship Id="rId185" Type="http://schemas.openxmlformats.org/officeDocument/2006/relationships/footer" Target="footer86.xml"/><Relationship Id="rId350" Type="http://schemas.openxmlformats.org/officeDocument/2006/relationships/header" Target="header169.xml"/><Relationship Id="rId371" Type="http://schemas.openxmlformats.org/officeDocument/2006/relationships/footer" Target="footer179.xml"/><Relationship Id="rId406" Type="http://schemas.openxmlformats.org/officeDocument/2006/relationships/header" Target="header197.xml"/><Relationship Id="rId9" Type="http://schemas.openxmlformats.org/officeDocument/2006/relationships/footnotes" Target="footnotes.xml"/><Relationship Id="rId210" Type="http://schemas.openxmlformats.org/officeDocument/2006/relationships/header" Target="header99.xml"/><Relationship Id="rId392" Type="http://schemas.openxmlformats.org/officeDocument/2006/relationships/footer" Target="footer189.xml"/><Relationship Id="rId26" Type="http://schemas.openxmlformats.org/officeDocument/2006/relationships/footer" Target="footer7.xml"/><Relationship Id="rId231" Type="http://schemas.openxmlformats.org/officeDocument/2006/relationships/header" Target="header110.xml"/><Relationship Id="rId252" Type="http://schemas.openxmlformats.org/officeDocument/2006/relationships/header" Target="header120.xml"/><Relationship Id="rId273" Type="http://schemas.openxmlformats.org/officeDocument/2006/relationships/header" Target="header131.xml"/><Relationship Id="rId294" Type="http://schemas.openxmlformats.org/officeDocument/2006/relationships/header" Target="header141.xml"/><Relationship Id="rId308" Type="http://schemas.openxmlformats.org/officeDocument/2006/relationships/header" Target="header148.xml"/><Relationship Id="rId329" Type="http://schemas.openxmlformats.org/officeDocument/2006/relationships/footer" Target="footer158.xml"/><Relationship Id="rId47" Type="http://schemas.openxmlformats.org/officeDocument/2006/relationships/footer" Target="footer17.xml"/><Relationship Id="rId68" Type="http://schemas.openxmlformats.org/officeDocument/2006/relationships/header" Target="header28.xml"/><Relationship Id="rId89" Type="http://schemas.openxmlformats.org/officeDocument/2006/relationships/footer" Target="footer38.xml"/><Relationship Id="rId112" Type="http://schemas.openxmlformats.org/officeDocument/2006/relationships/footer" Target="footer49.xml"/><Relationship Id="rId133" Type="http://schemas.openxmlformats.org/officeDocument/2006/relationships/footer" Target="footer60.xml"/><Relationship Id="rId154" Type="http://schemas.openxmlformats.org/officeDocument/2006/relationships/footer" Target="footer70.xml"/><Relationship Id="rId175" Type="http://schemas.openxmlformats.org/officeDocument/2006/relationships/footer" Target="footer81.xml"/><Relationship Id="rId340" Type="http://schemas.openxmlformats.org/officeDocument/2006/relationships/footer" Target="footer163.xml"/><Relationship Id="rId361" Type="http://schemas.openxmlformats.org/officeDocument/2006/relationships/footer" Target="footer174.xml"/><Relationship Id="rId196" Type="http://schemas.openxmlformats.org/officeDocument/2006/relationships/footer" Target="footer91.xml"/><Relationship Id="rId200" Type="http://schemas.openxmlformats.org/officeDocument/2006/relationships/header" Target="header94.xml"/><Relationship Id="rId382" Type="http://schemas.openxmlformats.org/officeDocument/2006/relationships/footer" Target="footer184.xml"/><Relationship Id="rId417" Type="http://schemas.openxmlformats.org/officeDocument/2006/relationships/fontTable" Target="fontTable.xml"/><Relationship Id="rId16" Type="http://schemas.openxmlformats.org/officeDocument/2006/relationships/header" Target="header3.xml"/><Relationship Id="rId221" Type="http://schemas.openxmlformats.org/officeDocument/2006/relationships/footer" Target="footer104.xml"/><Relationship Id="rId242" Type="http://schemas.openxmlformats.org/officeDocument/2006/relationships/header" Target="header115.xml"/><Relationship Id="rId263" Type="http://schemas.openxmlformats.org/officeDocument/2006/relationships/footer" Target="footer125.xml"/><Relationship Id="rId284" Type="http://schemas.openxmlformats.org/officeDocument/2006/relationships/header" Target="header136.xml"/><Relationship Id="rId319" Type="http://schemas.openxmlformats.org/officeDocument/2006/relationships/footer" Target="footer153.xml"/><Relationship Id="rId37" Type="http://schemas.openxmlformats.org/officeDocument/2006/relationships/hyperlink" Target="http://www.inps.it" TargetMode="External"/><Relationship Id="rId58" Type="http://schemas.openxmlformats.org/officeDocument/2006/relationships/footer" Target="footer22.xml"/><Relationship Id="rId79" Type="http://schemas.openxmlformats.org/officeDocument/2006/relationships/footer" Target="footer33.xml"/><Relationship Id="rId102" Type="http://schemas.openxmlformats.org/officeDocument/2006/relationships/header" Target="header45.xml"/><Relationship Id="rId123" Type="http://schemas.openxmlformats.org/officeDocument/2006/relationships/header" Target="header56.xml"/><Relationship Id="rId144" Type="http://schemas.openxmlformats.org/officeDocument/2006/relationships/header" Target="header66.xml"/><Relationship Id="rId330" Type="http://schemas.openxmlformats.org/officeDocument/2006/relationships/header" Target="header159.xml"/><Relationship Id="rId90" Type="http://schemas.openxmlformats.org/officeDocument/2006/relationships/header" Target="header39.xml"/><Relationship Id="rId165" Type="http://schemas.openxmlformats.org/officeDocument/2006/relationships/header" Target="header77.xml"/><Relationship Id="rId186" Type="http://schemas.openxmlformats.org/officeDocument/2006/relationships/header" Target="header87.xml"/><Relationship Id="rId351" Type="http://schemas.openxmlformats.org/officeDocument/2006/relationships/header" Target="header170.xml"/><Relationship Id="rId372" Type="http://schemas.openxmlformats.org/officeDocument/2006/relationships/header" Target="header180.xml"/><Relationship Id="rId393" Type="http://schemas.openxmlformats.org/officeDocument/2006/relationships/header" Target="header190.xml"/><Relationship Id="rId407" Type="http://schemas.openxmlformats.org/officeDocument/2006/relationships/footer" Target="footer196.xml"/><Relationship Id="rId211" Type="http://schemas.openxmlformats.org/officeDocument/2006/relationships/footer" Target="footer99.xml"/><Relationship Id="rId232" Type="http://schemas.openxmlformats.org/officeDocument/2006/relationships/footer" Target="footer109.xml"/><Relationship Id="rId253" Type="http://schemas.openxmlformats.org/officeDocument/2006/relationships/footer" Target="footer120.xml"/><Relationship Id="rId274" Type="http://schemas.openxmlformats.org/officeDocument/2006/relationships/footer" Target="footer130.xml"/><Relationship Id="rId295" Type="http://schemas.openxmlformats.org/officeDocument/2006/relationships/footer" Target="footer141.xml"/><Relationship Id="rId309" Type="http://schemas.openxmlformats.org/officeDocument/2006/relationships/header" Target="header149.xml"/><Relationship Id="rId27" Type="http://schemas.openxmlformats.org/officeDocument/2006/relationships/footer" Target="footer8.xml"/><Relationship Id="rId48" Type="http://schemas.openxmlformats.org/officeDocument/2006/relationships/header" Target="header18.xml"/><Relationship Id="rId69" Type="http://schemas.openxmlformats.org/officeDocument/2006/relationships/header" Target="header29.xml"/><Relationship Id="rId113" Type="http://schemas.openxmlformats.org/officeDocument/2006/relationships/footer" Target="footer50.xml"/><Relationship Id="rId134" Type="http://schemas.openxmlformats.org/officeDocument/2006/relationships/header" Target="header61.xml"/><Relationship Id="rId320" Type="http://schemas.openxmlformats.org/officeDocument/2006/relationships/header" Target="header154.xml"/><Relationship Id="rId80" Type="http://schemas.openxmlformats.org/officeDocument/2006/relationships/header" Target="header34.xml"/><Relationship Id="rId155" Type="http://schemas.openxmlformats.org/officeDocument/2006/relationships/footer" Target="footer71.xml"/><Relationship Id="rId176" Type="http://schemas.openxmlformats.org/officeDocument/2006/relationships/header" Target="header82.xml"/><Relationship Id="rId197" Type="http://schemas.openxmlformats.org/officeDocument/2006/relationships/footer" Target="footer92.xml"/><Relationship Id="rId341" Type="http://schemas.openxmlformats.org/officeDocument/2006/relationships/footer" Target="footer164.xml"/><Relationship Id="rId362" Type="http://schemas.openxmlformats.org/officeDocument/2006/relationships/header" Target="header175.xml"/><Relationship Id="rId383" Type="http://schemas.openxmlformats.org/officeDocument/2006/relationships/footer" Target="footer185.xml"/><Relationship Id="rId418" Type="http://schemas.openxmlformats.org/officeDocument/2006/relationships/theme" Target="theme/theme1.xml"/><Relationship Id="rId201" Type="http://schemas.openxmlformats.org/officeDocument/2006/relationships/header" Target="header95.xml"/><Relationship Id="rId222" Type="http://schemas.openxmlformats.org/officeDocument/2006/relationships/header" Target="header105.xml"/><Relationship Id="rId243" Type="http://schemas.openxmlformats.org/officeDocument/2006/relationships/header" Target="header116.xml"/><Relationship Id="rId264" Type="http://schemas.openxmlformats.org/officeDocument/2006/relationships/header" Target="header126.xml"/><Relationship Id="rId285" Type="http://schemas.openxmlformats.org/officeDocument/2006/relationships/header" Target="header137.xml"/><Relationship Id="rId17" Type="http://schemas.openxmlformats.org/officeDocument/2006/relationships/footer" Target="footer3.xml"/><Relationship Id="rId38" Type="http://schemas.openxmlformats.org/officeDocument/2006/relationships/header" Target="header13.xml"/><Relationship Id="rId59" Type="http://schemas.openxmlformats.org/officeDocument/2006/relationships/footer" Target="footer23.xml"/><Relationship Id="rId103" Type="http://schemas.openxmlformats.org/officeDocument/2006/relationships/footer" Target="footer45.xml"/><Relationship Id="rId124" Type="http://schemas.openxmlformats.org/officeDocument/2006/relationships/footer" Target="footer55.xml"/><Relationship Id="rId310" Type="http://schemas.openxmlformats.org/officeDocument/2006/relationships/footer" Target="footer148.xml"/><Relationship Id="rId70" Type="http://schemas.openxmlformats.org/officeDocument/2006/relationships/footer" Target="footer28.xml"/><Relationship Id="rId91" Type="http://schemas.openxmlformats.org/officeDocument/2006/relationships/footer" Target="footer39.xml"/><Relationship Id="rId145" Type="http://schemas.openxmlformats.org/officeDocument/2006/relationships/footer" Target="footer66.xml"/><Relationship Id="rId166" Type="http://schemas.openxmlformats.org/officeDocument/2006/relationships/footer" Target="footer76.xml"/><Relationship Id="rId187" Type="http://schemas.openxmlformats.org/officeDocument/2006/relationships/footer" Target="footer87.xml"/><Relationship Id="rId331" Type="http://schemas.openxmlformats.org/officeDocument/2006/relationships/footer" Target="footer159.xml"/><Relationship Id="rId352" Type="http://schemas.openxmlformats.org/officeDocument/2006/relationships/footer" Target="footer169.xml"/><Relationship Id="rId373" Type="http://schemas.openxmlformats.org/officeDocument/2006/relationships/footer" Target="footer180.xml"/><Relationship Id="rId394" Type="http://schemas.openxmlformats.org/officeDocument/2006/relationships/header" Target="header191.xml"/><Relationship Id="rId408" Type="http://schemas.openxmlformats.org/officeDocument/2006/relationships/footer" Target="footer197.xml"/><Relationship Id="rId1" Type="http://schemas.openxmlformats.org/officeDocument/2006/relationships/customXml" Target="../customXml/item1.xml"/><Relationship Id="rId212" Type="http://schemas.openxmlformats.org/officeDocument/2006/relationships/header" Target="header100.xml"/><Relationship Id="rId233" Type="http://schemas.openxmlformats.org/officeDocument/2006/relationships/footer" Target="footer110.xml"/><Relationship Id="rId254" Type="http://schemas.openxmlformats.org/officeDocument/2006/relationships/header" Target="header121.xml"/><Relationship Id="rId28" Type="http://schemas.openxmlformats.org/officeDocument/2006/relationships/header" Target="header9.xml"/><Relationship Id="rId49" Type="http://schemas.openxmlformats.org/officeDocument/2006/relationships/footer" Target="footer18.xml"/><Relationship Id="rId114" Type="http://schemas.openxmlformats.org/officeDocument/2006/relationships/header" Target="header51.xml"/><Relationship Id="rId275" Type="http://schemas.openxmlformats.org/officeDocument/2006/relationships/footer" Target="footer131.xml"/><Relationship Id="rId296" Type="http://schemas.openxmlformats.org/officeDocument/2006/relationships/header" Target="header142.xml"/><Relationship Id="rId300" Type="http://schemas.openxmlformats.org/officeDocument/2006/relationships/header" Target="header144.xml"/><Relationship Id="rId60" Type="http://schemas.openxmlformats.org/officeDocument/2006/relationships/header" Target="header24.xml"/><Relationship Id="rId81" Type="http://schemas.openxmlformats.org/officeDocument/2006/relationships/header" Target="header35.xml"/><Relationship Id="rId135" Type="http://schemas.openxmlformats.org/officeDocument/2006/relationships/header" Target="header62.xml"/><Relationship Id="rId156" Type="http://schemas.openxmlformats.org/officeDocument/2006/relationships/header" Target="header72.xml"/><Relationship Id="rId177" Type="http://schemas.openxmlformats.org/officeDocument/2006/relationships/header" Target="header83.xml"/><Relationship Id="rId198" Type="http://schemas.openxmlformats.org/officeDocument/2006/relationships/header" Target="header93.xml"/><Relationship Id="rId321" Type="http://schemas.openxmlformats.org/officeDocument/2006/relationships/header" Target="header155.xml"/><Relationship Id="rId342" Type="http://schemas.openxmlformats.org/officeDocument/2006/relationships/header" Target="header165.xml"/><Relationship Id="rId363" Type="http://schemas.openxmlformats.org/officeDocument/2006/relationships/header" Target="header176.xml"/><Relationship Id="rId384" Type="http://schemas.openxmlformats.org/officeDocument/2006/relationships/header" Target="header186.xml"/><Relationship Id="rId419" Type="http://schemas.microsoft.com/office/2019/05/relationships/documenttasks" Target="documenttasks/documenttasks1.xml"/><Relationship Id="rId202" Type="http://schemas.openxmlformats.org/officeDocument/2006/relationships/footer" Target="footer94.xml"/><Relationship Id="rId223" Type="http://schemas.openxmlformats.org/officeDocument/2006/relationships/footer" Target="footer105.xml"/><Relationship Id="rId244" Type="http://schemas.openxmlformats.org/officeDocument/2006/relationships/footer" Target="footer115.xml"/><Relationship Id="rId18" Type="http://schemas.openxmlformats.org/officeDocument/2006/relationships/header" Target="header4.xml"/><Relationship Id="rId39" Type="http://schemas.openxmlformats.org/officeDocument/2006/relationships/header" Target="header14.xml"/><Relationship Id="rId265" Type="http://schemas.openxmlformats.org/officeDocument/2006/relationships/footer" Target="footer126.xml"/><Relationship Id="rId286" Type="http://schemas.openxmlformats.org/officeDocument/2006/relationships/footer" Target="footer136.xml"/><Relationship Id="rId50" Type="http://schemas.openxmlformats.org/officeDocument/2006/relationships/header" Target="header19.xml"/><Relationship Id="rId104" Type="http://schemas.openxmlformats.org/officeDocument/2006/relationships/header" Target="header46.xml"/><Relationship Id="rId125" Type="http://schemas.openxmlformats.org/officeDocument/2006/relationships/footer" Target="footer56.xml"/><Relationship Id="rId146" Type="http://schemas.openxmlformats.org/officeDocument/2006/relationships/header" Target="header67.xml"/><Relationship Id="rId167" Type="http://schemas.openxmlformats.org/officeDocument/2006/relationships/footer" Target="footer77.xml"/><Relationship Id="rId188" Type="http://schemas.openxmlformats.org/officeDocument/2006/relationships/header" Target="header88.xml"/><Relationship Id="rId311" Type="http://schemas.openxmlformats.org/officeDocument/2006/relationships/footer" Target="footer149.xml"/><Relationship Id="rId332" Type="http://schemas.openxmlformats.org/officeDocument/2006/relationships/header" Target="header160.xml"/><Relationship Id="rId353" Type="http://schemas.openxmlformats.org/officeDocument/2006/relationships/footer" Target="footer170.xml"/><Relationship Id="rId374" Type="http://schemas.openxmlformats.org/officeDocument/2006/relationships/header" Target="header181.xml"/><Relationship Id="rId395" Type="http://schemas.openxmlformats.org/officeDocument/2006/relationships/footer" Target="footer190.xml"/><Relationship Id="rId409" Type="http://schemas.openxmlformats.org/officeDocument/2006/relationships/header" Target="header198.xml"/><Relationship Id="rId71" Type="http://schemas.openxmlformats.org/officeDocument/2006/relationships/footer" Target="footer29.xml"/><Relationship Id="rId92" Type="http://schemas.openxmlformats.org/officeDocument/2006/relationships/header" Target="header40.xml"/><Relationship Id="rId213" Type="http://schemas.openxmlformats.org/officeDocument/2006/relationships/header" Target="header101.xml"/><Relationship Id="rId234" Type="http://schemas.openxmlformats.org/officeDocument/2006/relationships/header" Target="header111.xml"/><Relationship Id="rId2" Type="http://schemas.openxmlformats.org/officeDocument/2006/relationships/customXml" Target="../customXml/item2.xml"/><Relationship Id="rId29" Type="http://schemas.openxmlformats.org/officeDocument/2006/relationships/footer" Target="footer9.xml"/><Relationship Id="rId255" Type="http://schemas.openxmlformats.org/officeDocument/2006/relationships/header" Target="header122.xml"/><Relationship Id="rId276" Type="http://schemas.openxmlformats.org/officeDocument/2006/relationships/header" Target="header132.xml"/><Relationship Id="rId297" Type="http://schemas.openxmlformats.org/officeDocument/2006/relationships/header" Target="header143.xml"/><Relationship Id="rId40" Type="http://schemas.openxmlformats.org/officeDocument/2006/relationships/footer" Target="footer13.xml"/><Relationship Id="rId115" Type="http://schemas.openxmlformats.org/officeDocument/2006/relationships/footer" Target="footer51.xml"/><Relationship Id="rId136" Type="http://schemas.openxmlformats.org/officeDocument/2006/relationships/footer" Target="footer61.xml"/><Relationship Id="rId157" Type="http://schemas.openxmlformats.org/officeDocument/2006/relationships/footer" Target="footer72.xml"/><Relationship Id="rId178" Type="http://schemas.openxmlformats.org/officeDocument/2006/relationships/footer" Target="footer82.xml"/><Relationship Id="rId301" Type="http://schemas.openxmlformats.org/officeDocument/2006/relationships/footer" Target="footer144.xml"/><Relationship Id="rId322" Type="http://schemas.openxmlformats.org/officeDocument/2006/relationships/footer" Target="footer154.xml"/><Relationship Id="rId343" Type="http://schemas.openxmlformats.org/officeDocument/2006/relationships/footer" Target="footer165.xml"/><Relationship Id="rId364" Type="http://schemas.openxmlformats.org/officeDocument/2006/relationships/footer" Target="footer175.xml"/><Relationship Id="rId61" Type="http://schemas.openxmlformats.org/officeDocument/2006/relationships/footer" Target="footer24.xml"/><Relationship Id="rId82" Type="http://schemas.openxmlformats.org/officeDocument/2006/relationships/footer" Target="footer34.xml"/><Relationship Id="rId199" Type="http://schemas.openxmlformats.org/officeDocument/2006/relationships/footer" Target="footer93.xml"/><Relationship Id="rId203" Type="http://schemas.openxmlformats.org/officeDocument/2006/relationships/footer" Target="footer95.xml"/><Relationship Id="rId385" Type="http://schemas.openxmlformats.org/officeDocument/2006/relationships/footer" Target="footer186.xml"/><Relationship Id="rId19" Type="http://schemas.openxmlformats.org/officeDocument/2006/relationships/header" Target="header5.xml"/><Relationship Id="rId224" Type="http://schemas.openxmlformats.org/officeDocument/2006/relationships/header" Target="header106.xml"/><Relationship Id="rId245" Type="http://schemas.openxmlformats.org/officeDocument/2006/relationships/footer" Target="footer116.xml"/><Relationship Id="rId266" Type="http://schemas.openxmlformats.org/officeDocument/2006/relationships/header" Target="header127.xml"/><Relationship Id="rId287" Type="http://schemas.openxmlformats.org/officeDocument/2006/relationships/footer" Target="footer137.xml"/><Relationship Id="rId410" Type="http://schemas.openxmlformats.org/officeDocument/2006/relationships/footer" Target="footer198.xml"/><Relationship Id="rId30" Type="http://schemas.openxmlformats.org/officeDocument/2006/relationships/header" Target="header10.xml"/><Relationship Id="rId105" Type="http://schemas.openxmlformats.org/officeDocument/2006/relationships/header" Target="header47.xml"/><Relationship Id="rId126" Type="http://schemas.openxmlformats.org/officeDocument/2006/relationships/header" Target="header57.xml"/><Relationship Id="rId147" Type="http://schemas.openxmlformats.org/officeDocument/2006/relationships/header" Target="header68.xml"/><Relationship Id="rId168" Type="http://schemas.openxmlformats.org/officeDocument/2006/relationships/header" Target="header78.xml"/><Relationship Id="rId312" Type="http://schemas.openxmlformats.org/officeDocument/2006/relationships/header" Target="header150.xml"/><Relationship Id="rId333" Type="http://schemas.openxmlformats.org/officeDocument/2006/relationships/header" Target="header161.xml"/><Relationship Id="rId354" Type="http://schemas.openxmlformats.org/officeDocument/2006/relationships/header" Target="header171.xml"/><Relationship Id="rId51" Type="http://schemas.openxmlformats.org/officeDocument/2006/relationships/header" Target="header20.xml"/><Relationship Id="rId72" Type="http://schemas.openxmlformats.org/officeDocument/2006/relationships/header" Target="header30.xml"/><Relationship Id="rId93" Type="http://schemas.openxmlformats.org/officeDocument/2006/relationships/header" Target="header41.xml"/><Relationship Id="rId189" Type="http://schemas.openxmlformats.org/officeDocument/2006/relationships/header" Target="header89.xml"/><Relationship Id="rId375" Type="http://schemas.openxmlformats.org/officeDocument/2006/relationships/header" Target="header182.xml"/><Relationship Id="rId396" Type="http://schemas.openxmlformats.org/officeDocument/2006/relationships/footer" Target="footer191.xml"/><Relationship Id="rId3" Type="http://schemas.openxmlformats.org/officeDocument/2006/relationships/customXml" Target="../customXml/item3.xml"/><Relationship Id="rId214" Type="http://schemas.openxmlformats.org/officeDocument/2006/relationships/footer" Target="footer100.xml"/><Relationship Id="rId235" Type="http://schemas.openxmlformats.org/officeDocument/2006/relationships/footer" Target="footer111.xml"/><Relationship Id="rId256" Type="http://schemas.openxmlformats.org/officeDocument/2006/relationships/footer" Target="footer121.xml"/><Relationship Id="rId277" Type="http://schemas.openxmlformats.org/officeDocument/2006/relationships/footer" Target="footer132.xml"/><Relationship Id="rId298" Type="http://schemas.openxmlformats.org/officeDocument/2006/relationships/footer" Target="footer142.xml"/><Relationship Id="rId400" Type="http://schemas.openxmlformats.org/officeDocument/2006/relationships/header" Target="header194.xml"/><Relationship Id="rId116" Type="http://schemas.openxmlformats.org/officeDocument/2006/relationships/header" Target="header52.xml"/><Relationship Id="rId137" Type="http://schemas.openxmlformats.org/officeDocument/2006/relationships/footer" Target="footer62.xml"/><Relationship Id="rId158" Type="http://schemas.openxmlformats.org/officeDocument/2006/relationships/header" Target="header73.xml"/><Relationship Id="rId302" Type="http://schemas.openxmlformats.org/officeDocument/2006/relationships/header" Target="header145.xml"/><Relationship Id="rId323" Type="http://schemas.openxmlformats.org/officeDocument/2006/relationships/footer" Target="footer155.xml"/><Relationship Id="rId344" Type="http://schemas.openxmlformats.org/officeDocument/2006/relationships/header" Target="header166.xml"/><Relationship Id="rId20" Type="http://schemas.openxmlformats.org/officeDocument/2006/relationships/footer" Target="footer4.xml"/><Relationship Id="rId41" Type="http://schemas.openxmlformats.org/officeDocument/2006/relationships/footer" Target="footer14.xml"/><Relationship Id="rId62" Type="http://schemas.openxmlformats.org/officeDocument/2006/relationships/header" Target="header25.xml"/><Relationship Id="rId83" Type="http://schemas.openxmlformats.org/officeDocument/2006/relationships/footer" Target="footer35.xml"/><Relationship Id="rId179" Type="http://schemas.openxmlformats.org/officeDocument/2006/relationships/footer" Target="footer83.xml"/><Relationship Id="rId365" Type="http://schemas.openxmlformats.org/officeDocument/2006/relationships/footer" Target="footer176.xml"/><Relationship Id="rId386" Type="http://schemas.openxmlformats.org/officeDocument/2006/relationships/hyperlink" Target="http://www.syllabus.gov.it" TargetMode="External"/><Relationship Id="rId190" Type="http://schemas.openxmlformats.org/officeDocument/2006/relationships/footer" Target="footer88.xml"/><Relationship Id="rId204" Type="http://schemas.openxmlformats.org/officeDocument/2006/relationships/header" Target="header96.xml"/><Relationship Id="rId225" Type="http://schemas.openxmlformats.org/officeDocument/2006/relationships/header" Target="header107.xml"/><Relationship Id="rId246" Type="http://schemas.openxmlformats.org/officeDocument/2006/relationships/header" Target="header117.xml"/><Relationship Id="rId267" Type="http://schemas.openxmlformats.org/officeDocument/2006/relationships/header" Target="header128.xml"/><Relationship Id="rId288" Type="http://schemas.openxmlformats.org/officeDocument/2006/relationships/header" Target="header138.xml"/><Relationship Id="rId411" Type="http://schemas.openxmlformats.org/officeDocument/2006/relationships/header" Target="header199.xml"/><Relationship Id="rId106" Type="http://schemas.openxmlformats.org/officeDocument/2006/relationships/footer" Target="footer46.xml"/><Relationship Id="rId127" Type="http://schemas.openxmlformats.org/officeDocument/2006/relationships/footer" Target="footer57.xml"/><Relationship Id="rId313" Type="http://schemas.openxmlformats.org/officeDocument/2006/relationships/footer" Target="footer150.xml"/><Relationship Id="rId10" Type="http://schemas.openxmlformats.org/officeDocument/2006/relationships/endnotes" Target="endnotes.xml"/><Relationship Id="rId31" Type="http://schemas.openxmlformats.org/officeDocument/2006/relationships/header" Target="header11.xml"/><Relationship Id="rId52" Type="http://schemas.openxmlformats.org/officeDocument/2006/relationships/footer" Target="footer19.xml"/><Relationship Id="rId73" Type="http://schemas.openxmlformats.org/officeDocument/2006/relationships/footer" Target="footer30.xml"/><Relationship Id="rId94" Type="http://schemas.openxmlformats.org/officeDocument/2006/relationships/footer" Target="footer40.xml"/><Relationship Id="rId148" Type="http://schemas.openxmlformats.org/officeDocument/2006/relationships/footer" Target="footer67.xml"/><Relationship Id="rId169" Type="http://schemas.openxmlformats.org/officeDocument/2006/relationships/footer" Target="footer78.xml"/><Relationship Id="rId334" Type="http://schemas.openxmlformats.org/officeDocument/2006/relationships/footer" Target="footer160.xml"/><Relationship Id="rId355" Type="http://schemas.openxmlformats.org/officeDocument/2006/relationships/footer" Target="footer171.xml"/><Relationship Id="rId376" Type="http://schemas.openxmlformats.org/officeDocument/2006/relationships/footer" Target="footer181.xml"/><Relationship Id="rId397" Type="http://schemas.openxmlformats.org/officeDocument/2006/relationships/header" Target="header192.xml"/><Relationship Id="rId4" Type="http://schemas.openxmlformats.org/officeDocument/2006/relationships/customXml" Target="../customXml/item4.xml"/><Relationship Id="rId180" Type="http://schemas.openxmlformats.org/officeDocument/2006/relationships/header" Target="header84.xml"/><Relationship Id="rId215" Type="http://schemas.openxmlformats.org/officeDocument/2006/relationships/footer" Target="footer101.xml"/><Relationship Id="rId236" Type="http://schemas.openxmlformats.org/officeDocument/2006/relationships/header" Target="header112.xml"/><Relationship Id="rId257" Type="http://schemas.openxmlformats.org/officeDocument/2006/relationships/footer" Target="footer122.xml"/><Relationship Id="rId278" Type="http://schemas.openxmlformats.org/officeDocument/2006/relationships/header" Target="header133.xml"/><Relationship Id="rId401" Type="http://schemas.openxmlformats.org/officeDocument/2006/relationships/footer" Target="footer193.xml"/><Relationship Id="rId303" Type="http://schemas.openxmlformats.org/officeDocument/2006/relationships/header" Target="header146.xml"/><Relationship Id="rId42" Type="http://schemas.openxmlformats.org/officeDocument/2006/relationships/header" Target="header15.xml"/><Relationship Id="rId84" Type="http://schemas.openxmlformats.org/officeDocument/2006/relationships/header" Target="header36.xml"/><Relationship Id="rId138" Type="http://schemas.openxmlformats.org/officeDocument/2006/relationships/header" Target="header63.xml"/><Relationship Id="rId345" Type="http://schemas.openxmlformats.org/officeDocument/2006/relationships/header" Target="header167.xml"/><Relationship Id="rId387" Type="http://schemas.openxmlformats.org/officeDocument/2006/relationships/header" Target="header187.xml"/><Relationship Id="rId191" Type="http://schemas.openxmlformats.org/officeDocument/2006/relationships/footer" Target="footer89.xml"/><Relationship Id="rId205" Type="http://schemas.openxmlformats.org/officeDocument/2006/relationships/footer" Target="footer96.xml"/><Relationship Id="rId247" Type="http://schemas.openxmlformats.org/officeDocument/2006/relationships/footer" Target="footer117.xml"/><Relationship Id="rId412" Type="http://schemas.openxmlformats.org/officeDocument/2006/relationships/header" Target="header200.xml"/><Relationship Id="rId107" Type="http://schemas.openxmlformats.org/officeDocument/2006/relationships/footer" Target="footer47.xml"/><Relationship Id="rId289" Type="http://schemas.openxmlformats.org/officeDocument/2006/relationships/footer" Target="footer138.xml"/><Relationship Id="rId11" Type="http://schemas.openxmlformats.org/officeDocument/2006/relationships/image" Target="media/image1.emf"/><Relationship Id="rId53" Type="http://schemas.openxmlformats.org/officeDocument/2006/relationships/footer" Target="footer20.xml"/><Relationship Id="rId149" Type="http://schemas.openxmlformats.org/officeDocument/2006/relationships/footer" Target="footer68.xml"/><Relationship Id="rId314" Type="http://schemas.openxmlformats.org/officeDocument/2006/relationships/header" Target="header151.xml"/><Relationship Id="rId356" Type="http://schemas.openxmlformats.org/officeDocument/2006/relationships/header" Target="header172.xml"/><Relationship Id="rId398" Type="http://schemas.openxmlformats.org/officeDocument/2006/relationships/footer" Target="footer192.xml"/><Relationship Id="rId95" Type="http://schemas.openxmlformats.org/officeDocument/2006/relationships/footer" Target="footer41.xml"/><Relationship Id="rId160" Type="http://schemas.openxmlformats.org/officeDocument/2006/relationships/footer" Target="footer73.xml"/><Relationship Id="rId216" Type="http://schemas.openxmlformats.org/officeDocument/2006/relationships/header" Target="header102.xml"/></Relationships>
</file>

<file path=word/documenttasks/documenttasks1.xml><?xml version="1.0" encoding="utf-8"?>
<t:Tasks xmlns:t="http://schemas.microsoft.com/office/tasks/2019/documenttasks" xmlns:oel="http://schemas.microsoft.com/office/2019/extlst">
  <t:Task id="{2ECA1206-1593-4FBD-AB96-B51C9398B019}">
    <t:Anchor>
      <t:Comment id="1075478021"/>
    </t:Anchor>
    <t:History>
      <t:Event id="{8FFD69E6-71B0-4F82-B289-96B1E4CA5F20}" time="2023-11-21T12:37:39.562Z">
        <t:Attribution userId="S::giuseppe.malgeri1@ec.europa.eu::9b1d0a44-c620-46e7-a051-2861850aa41f" userProvider="AD" userName="MALGERI Giuseppe (ECFIN)"/>
        <t:Anchor>
          <t:Comment id="1075478021"/>
        </t:Anchor>
        <t:Create/>
      </t:Event>
      <t:Event id="{655F7FEA-8593-463D-B9F7-A5DD893B8EFE}" time="2023-11-21T12:37:39.562Z">
        <t:Attribution userId="S::giuseppe.malgeri1@ec.europa.eu::9b1d0a44-c620-46e7-a051-2861850aa41f" userProvider="AD" userName="MALGERI Giuseppe (ECFIN)"/>
        <t:Anchor>
          <t:Comment id="1075478021"/>
        </t:Anchor>
        <t:Assign userId="S::Marco.MAPELLI@ec.europa.eu::9435c14f-c002-4e3e-a3fe-8ddeba22ee8c" userProvider="AD" userName="MAPELLI Marco (ECFIN)"/>
      </t:Event>
      <t:Event id="{9FA36C33-4FB1-4611-9986-51BE5498BB2A}" time="2023-11-21T12:37:39.562Z">
        <t:Attribution userId="S::giuseppe.malgeri1@ec.europa.eu::9b1d0a44-c620-46e7-a051-2861850aa41f" userProvider="AD" userName="MALGERI Giuseppe (ECFIN)"/>
        <t:Anchor>
          <t:Comment id="1075478021"/>
        </t:Anchor>
        <t:SetTitle title="@MAPELLI Marco (ECFIN) Just one clarification. Was this condition deleted in the last round of negotiations?  ''The satisfactorily fulfillment of the target also depends on the creation of a competence center to support acceleration programs and start …"/>
      </t:Event>
    </t:History>
  </t:Task>
  <t:Task id="{A35833FF-482C-432E-87EF-3F377425BE6A}">
    <t:Anchor>
      <t:Comment id="788014733"/>
    </t:Anchor>
    <t:History>
      <t:Event id="{8B931369-33B0-4227-88AC-F80734AC0299}" time="2023-11-22T09:21:17.85Z">
        <t:Attribution userId="S::giuseppe.malgeri1@ec.europa.eu::9b1d0a44-c620-46e7-a051-2861850aa41f" userProvider="AD" userName="MALGERI Giuseppe (ECFIN)"/>
        <t:Anchor>
          <t:Comment id="788014733"/>
        </t:Anchor>
        <t:Create/>
      </t:Event>
      <t:Event id="{2C2A4F6B-FDF3-46DA-A7B4-E956152FC34F}" time="2023-11-22T09:21:17.85Z">
        <t:Attribution userId="S::giuseppe.malgeri1@ec.europa.eu::9b1d0a44-c620-46e7-a051-2861850aa41f" userProvider="AD" userName="MALGERI Giuseppe (ECFIN)"/>
        <t:Anchor>
          <t:Comment id="788014733"/>
        </t:Anchor>
        <t:Assign userId="S::Andrea.COLOMBO@ec.europa.eu::3e3c8f93-9002-4526-aa0f-f25afd2c58b0" userProvider="AD" userName="COLOMBO Andrea (SG-RECOVER)"/>
      </t:Event>
      <t:Event id="{B940999D-AE62-489C-B6AE-1690C1AA84E3}" time="2023-11-22T09:21:17.85Z">
        <t:Attribution userId="S::giuseppe.malgeri1@ec.europa.eu::9b1d0a44-c620-46e7-a051-2861850aa41f" userProvider="AD" userName="MALGERI Giuseppe (ECFIN)"/>
        <t:Anchor>
          <t:Comment id="788014733"/>
        </t:Anchor>
        <t:SetTitle title="@COLOMBO Andrea (SG-RECOVER) perhaps we could refer the 100% to the resources allocated for the specific lines of intervent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resnumber xmlns="1700ab43-7395-48ff-866c-657c86ba7f4e" xsi:nil="true"/>
    <Stage xmlns="1700ab43-7395-48ff-866c-657c86ba7f4e" xsi:nil="true"/>
    <Scope xmlns="1700ab43-7395-48ff-866c-657c86ba7f4e" xsi:nil="true"/>
    <_ip_UnifiedCompliancePolicyUIAction xmlns="http://schemas.microsoft.com/sharepoint/v3" xsi:nil="true"/>
    <Answersent xmlns="1700ab43-7395-48ff-866c-657c86ba7f4e">false</Answersent>
    <_ip_UnifiedCompliancePolicyProperties xmlns="http://schemas.microsoft.com/sharepoint/v3" xsi:nil="true"/>
    <Level xmlns="1700ab43-7395-48ff-866c-657c86ba7f4e" xsi:nil="true"/>
    <Whoneedstoanswer xmlns="1700ab43-7395-48ff-866c-657c86ba7f4e" xsi:nil="true"/>
    <Deadline xmlns="1700ab43-7395-48ff-866c-657c86ba7f4e" xsi:nil="true"/>
    <lcf76f155ced4ddcb4097134ff3c332f xmlns="1700ab43-7395-48ff-866c-657c86ba7f4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tatus xmlns="1700ab43-7395-48ff-866c-657c86ba7f4e" xsi:nil="true"/>
    <TaxCatchAll xmlns="e6c3bc29-9e11-4027-900b-c73633d7928a" xsi:nil="true"/>
    <ISCreferencenumber xmlns="1700ab43-7395-48ff-866c-657c86ba7f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28" ma:contentTypeDescription="Crée un document." ma:contentTypeScope="" ma:versionID="3316df849fd74940b30582680cf22ed0">
  <xsd:schema xmlns:xsd="http://www.w3.org/2001/XMLSchema" xmlns:xs="http://www.w3.org/2001/XMLSchema" xmlns:p="http://schemas.microsoft.com/office/2006/metadata/properties" xmlns:ns1="http://schemas.microsoft.com/sharepoint/v3" xmlns:ns2="1700ab43-7395-48ff-866c-657c86ba7f4e" xmlns:ns3="e6c3bc29-9e11-4027-900b-c73633d7928a" targetNamespace="http://schemas.microsoft.com/office/2006/metadata/properties" ma:root="true" ma:fieldsID="6ba2b77c8643b03490941671a532d273" ns1:_="" ns2:_="" ns3:_="">
    <xsd:import namespace="http://schemas.microsoft.com/sharepoint/v3"/>
    <xsd:import namespace="1700ab43-7395-48ff-866c-657c86ba7f4e"/>
    <xsd:import namespace="e6c3bc29-9e11-4027-900b-c73633d7928a"/>
    <xsd:element name="properties">
      <xsd:complexType>
        <xsd:sequence>
          <xsd:element name="documentManagement">
            <xsd:complexType>
              <xsd:all>
                <xsd:element ref="ns2:Status" minOccurs="0"/>
                <xsd:element ref="ns2:Deadline" minOccurs="0"/>
                <xsd:element ref="ns2:ISCreferencenumber" minOccurs="0"/>
                <xsd:element ref="ns2:Answersent" minOccurs="0"/>
                <xsd:element ref="ns2:Whoneedstoanswer" minOccurs="0"/>
                <xsd:element ref="ns2:Stage" minOccurs="0"/>
                <xsd:element ref="ns2:Level" minOccurs="0"/>
                <xsd:element ref="ns2:Scope" minOccurs="0"/>
                <xsd:element ref="ns2:Aresnumber" minOccurs="0"/>
                <xsd:element ref="ns3:SharedWithUsers" minOccurs="0"/>
                <xsd:element ref="ns3:SharedWithDetails" minOccurs="0"/>
                <xsd:element ref="ns2:MediaServiceMetadata" minOccurs="0"/>
                <xsd:element ref="ns2:MediaServiceFastMetadata" minOccurs="0"/>
                <xsd:element ref="ns2:MediaServiceAutoKeyPoints" minOccurs="0"/>
                <xsd:element ref="ns1:_ip_UnifiedCompliancePolicyProperties" minOccurs="0"/>
                <xsd:element ref="ns1:_ip_UnifiedCompliancePolicyUIAction"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riétés de la stratégie de conformité unifiée" ma:hidden="true" ma:internalName="_ip_UnifiedCompliancePolicyProperties" ma:readOnly="false">
      <xsd:simpleType>
        <xsd:restriction base="dms:Note"/>
      </xsd:simpleType>
    </xsd:element>
    <xsd:element name="_ip_UnifiedCompliancePolicyUIAction" ma:index="24" nillable="true" ma:displayName="Action d’interface utilisateur de la stratégie de conformité unifiée"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ma:readOnly="false">
      <xsd:simpleType>
        <xsd:restriction base="dms:Choice">
          <xsd:enumeration value="Ongoing"/>
          <xsd:enumeration value="Closed"/>
        </xsd:restriction>
      </xsd:simpleType>
    </xsd:element>
    <xsd:element name="Deadline" ma:index="3" nillable="true" ma:displayName="Deadline" ma:format="DateOnly" ma:internalName="Deadline" ma:readOnly="false">
      <xsd:simpleType>
        <xsd:restriction base="dms:DateTime"/>
      </xsd:simpleType>
    </xsd:element>
    <xsd:element name="ISCreferencenumber" ma:index="4" nillable="true" ma:displayName="ISC reference number" ma:format="Dropdown" ma:internalName="ISCreferencenumber" ma:readOnly="false">
      <xsd:simpleType>
        <xsd:restriction base="dms:Text">
          <xsd:maxLength value="255"/>
        </xsd:restriction>
      </xsd:simpleType>
    </xsd:element>
    <xsd:element name="Answersent" ma:index="5" nillable="true" ma:displayName="Answer sent" ma:default="0" ma:format="Dropdown" ma:internalName="Answersent" ma:readOnly="false">
      <xsd:simpleType>
        <xsd:restriction base="dms:Boolean"/>
      </xsd:simpleType>
    </xsd:element>
    <xsd:element name="Whoneedstoanswer" ma:index="6" nillable="true" ma:displayName="Who needs to answer" ma:description="please indicate who received the ISC" ma:format="Dropdown" ma:internalName="Whoneedstoanswer" ma:readOnly="false">
      <xsd:simpleType>
        <xsd:restriction base="dms:Choice">
          <xsd:enumeration value="ECFIN"/>
          <xsd:enumeration value="SG RECOVER"/>
          <xsd:enumeration value="Both"/>
        </xsd:restriction>
      </xsd:simpleType>
    </xsd:element>
    <xsd:element name="Stage" ma:index="7" nillable="true" ma:displayName="Phase" ma:format="Dropdown" ma:internalName="Stage" ma:readOnly="false">
      <xsd:complexType>
        <xsd:complexContent>
          <xsd:extension base="dms:MultiChoice">
            <xsd:sequence>
              <xsd:element name="Value" maxOccurs="unbounded" minOccurs="0" nillable="true">
                <xsd:simpleType>
                  <xsd:restriction base="dms:Choice">
                    <xsd:enumeration value="Preparation"/>
                    <xsd:enumeration value="1st payment request"/>
                    <xsd:enumeration value="3rd Payment request"/>
                    <xsd:enumeration value="4th Payment request"/>
                    <xsd:enumeration value="5th Payment request"/>
                    <xsd:enumeration value="6th Payment request"/>
                    <xsd:enumeration value="2nd payment request"/>
                  </xsd:restriction>
                </xsd:simpleType>
              </xsd:element>
            </xsd:sequence>
          </xsd:extension>
        </xsd:complexContent>
      </xsd:complexType>
    </xsd:element>
    <xsd:element name="Level" ma:index="8" nillable="true" ma:displayName="Level" ma:description="depending if E&amp;D attended" ma:format="Dropdown" ma:internalName="Level" ma:readOnly="false">
      <xsd:simpleType>
        <xsd:restriction base="dms:Choice">
          <xsd:enumeration value="Principals"/>
          <xsd:enumeration value="Technical"/>
        </xsd:restriction>
      </xsd:simpleType>
    </xsd:element>
    <xsd:element name="Scope" ma:index="9" nillable="true" ma:displayName="Scope" ma:format="Dropdown" ma:internalName="Scope" ma:readOnly="false">
      <xsd:simpleType>
        <xsd:restriction base="dms:Choice">
          <xsd:enumeration value="General"/>
          <xsd:enumeration value="Thematic"/>
        </xsd:restriction>
      </xsd:simpleType>
    </xsd:element>
    <xsd:element name="Aresnumber" ma:index="10" nillable="true" ma:displayName="Ares number" ma:format="Dropdown" ma:internalName="Aresnumber"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lcf76f155ced4ddcb4097134ff3c332f" ma:index="26"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OCR" ma:index="32" nillable="true" ma:displayName="Extracted Text" ma:hidden="true" ma:internalName="MediaServiceOCR" ma:readOnly="true">
      <xsd:simpleType>
        <xsd:restriction base="dms:Note"/>
      </xsd:simpleType>
    </xsd:element>
    <xsd:element name="MediaServiceLocation" ma:index="33" nillable="true" ma:displayName="Location" ma:hidden="true" ma:indexed="true" ma:internalName="MediaServiceLocatio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c3bc29-9e11-4027-900b-c73633d7928a" elementFormDefault="qualified">
    <xsd:import namespace="http://schemas.microsoft.com/office/2006/documentManagement/types"/>
    <xsd:import namespace="http://schemas.microsoft.com/office/infopath/2007/PartnerControls"/>
    <xsd:element name="SharedWithUsers" ma:index="12"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hidden="true" ma:internalName="SharedWithDetails" ma:readOnly="true">
      <xsd:simpleType>
        <xsd:restriction base="dms:Note"/>
      </xsd:simpleType>
    </xsd:element>
    <xsd:element name="TaxCatchAll" ma:index="27" nillable="true" ma:displayName="Taxonomy Catch All Column" ma:hidden="true" ma:list="{bda955a7-c319-4d68-acea-690316db2eb1}" ma:internalName="TaxCatchAll" ma:readOnly="false" ma:showField="CatchAllData" ma:web="e6c3bc29-9e11-4027-900b-c73633d79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4C42E-AB47-4C1D-8F21-16F8AE3AC341}">
  <ds:schemaRefs>
    <ds:schemaRef ds:uri="http://schemas.microsoft.com/office/2006/metadata/properties"/>
    <ds:schemaRef ds:uri="http://schemas.microsoft.com/office/infopath/2007/PartnerControls"/>
    <ds:schemaRef ds:uri="1700ab43-7395-48ff-866c-657c86ba7f4e"/>
    <ds:schemaRef ds:uri="http://schemas.microsoft.com/sharepoint/v3"/>
    <ds:schemaRef ds:uri="e6c3bc29-9e11-4027-900b-c73633d7928a"/>
  </ds:schemaRefs>
</ds:datastoreItem>
</file>

<file path=customXml/itemProps2.xml><?xml version="1.0" encoding="utf-8"?>
<ds:datastoreItem xmlns:ds="http://schemas.openxmlformats.org/officeDocument/2006/customXml" ds:itemID="{CA4F7552-381B-4877-9EAB-2D75398B6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00ab43-7395-48ff-866c-657c86ba7f4e"/>
    <ds:schemaRef ds:uri="e6c3bc29-9e11-4027-900b-c73633d7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33CF5-D472-47D7-8E29-D38CEB9F5DCC}">
  <ds:schemaRefs>
    <ds:schemaRef ds:uri="http://schemas.microsoft.com/sharepoint/v3/contenttype/forms"/>
  </ds:schemaRefs>
</ds:datastoreItem>
</file>

<file path=customXml/itemProps4.xml><?xml version="1.0" encoding="utf-8"?>
<ds:datastoreItem xmlns:ds="http://schemas.openxmlformats.org/officeDocument/2006/customXml" ds:itemID="{AD199B77-6F70-4A17-B43B-B083372C8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125205</Words>
  <Characters>713674</Characters>
  <Application>Microsoft Office Word</Application>
  <DocSecurity>0</DocSecurity>
  <Lines>5947</Lines>
  <Paragraphs>1674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837205</CharactersWithSpaces>
  <SharedDoc>false</SharedDoc>
  <HLinks>
    <vt:vector size="18" baseType="variant">
      <vt:variant>
        <vt:i4>3866668</vt:i4>
      </vt:variant>
      <vt:variant>
        <vt:i4>6</vt:i4>
      </vt:variant>
      <vt:variant>
        <vt:i4>0</vt:i4>
      </vt:variant>
      <vt:variant>
        <vt:i4>5</vt:i4>
      </vt:variant>
      <vt:variant>
        <vt:lpwstr>http://www.syllabus.gov.it/</vt:lpwstr>
      </vt:variant>
      <vt:variant>
        <vt:lpwstr/>
      </vt:variant>
      <vt:variant>
        <vt:i4>6815780</vt:i4>
      </vt:variant>
      <vt:variant>
        <vt:i4>3</vt:i4>
      </vt:variant>
      <vt:variant>
        <vt:i4>0</vt:i4>
      </vt:variant>
      <vt:variant>
        <vt:i4>5</vt:i4>
      </vt:variant>
      <vt:variant>
        <vt:lpwstr>http://www.inps.it/</vt:lpwstr>
      </vt:variant>
      <vt:variant>
        <vt:lpwstr/>
      </vt:variant>
      <vt:variant>
        <vt:i4>6815780</vt:i4>
      </vt:variant>
      <vt:variant>
        <vt:i4>0</vt:i4>
      </vt:variant>
      <vt:variant>
        <vt:i4>0</vt:i4>
      </vt:variant>
      <vt:variant>
        <vt:i4>5</vt:i4>
      </vt:variant>
      <vt:variant>
        <vt:lpwstr>http://www.inps.it/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Andrea.COLOMBO@ec.europa.eu</dc:creator>
  <cp:keywords/>
  <dc:description/>
  <cp:lastModifiedBy>EC CoDe</cp:lastModifiedBy>
  <cp:revision>19</cp:revision>
  <dcterms:created xsi:type="dcterms:W3CDTF">2023-11-29T15:58:00Z</dcterms:created>
  <dcterms:modified xsi:type="dcterms:W3CDTF">2023-12-01T14:58:00Z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2023-11-09T21:37:49Z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c9c18650-dba0-40ec-ab81-bede39719331</vt:lpwstr>
  </property>
  <property fmtid="{D5CDD505-2E9C-101B-9397-08002B2CF9AE}" pid="8" name="MSIP_Label_6bd9ddd1-4d20-43f6-abfa-fc3c07406f94_ContentBits">
    <vt:lpwstr>0</vt:lpwstr>
  </property>
  <property fmtid="{D5CDD505-2E9C-101B-9397-08002B2CF9AE}" pid="9" name="MSIP_Label_f4cdc456-5864-460f-beda-883d23b78bbb_Enabled">
    <vt:lpwstr>true</vt:lpwstr>
  </property>
  <property fmtid="{D5CDD505-2E9C-101B-9397-08002B2CF9AE}" pid="10" name="MSIP_Label_f4cdc456-5864-460f-beda-883d23b78bbb_SetDate">
    <vt:lpwstr>2023-11-09T21:37:49Z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660ba387-1b8b-4d7c-8d0d-f0e4217620f0</vt:lpwstr>
  </property>
  <property fmtid="{D5CDD505-2E9C-101B-9397-08002B2CF9AE}" pid="15" name="MSIP_Label_f4cdc456-5864-460f-beda-883d23b78bbb_ContentBits">
    <vt:lpwstr>0</vt:lpwstr>
  </property>
  <property fmtid="{D5CDD505-2E9C-101B-9397-08002B2CF9AE}" pid="16" name="Last edited using">
    <vt:lpwstr>LW 9.0, Build 20230317</vt:lpwstr>
  </property>
  <property fmtid="{D5CDD505-2E9C-101B-9397-08002B2CF9AE}" pid="17" name="MediaServiceImageTags">
    <vt:lpwstr/>
  </property>
  <property fmtid="{D5CDD505-2E9C-101B-9397-08002B2CF9AE}" pid="18" name="ContentTypeId">
    <vt:lpwstr>0x01010062094E9F29D6C04F85860C631ABC812A</vt:lpwstr>
  </property>
  <property fmtid="{D5CDD505-2E9C-101B-9397-08002B2CF9AE}" pid="19" name="Created using">
    <vt:lpwstr>LW 9.0, Build 20230317</vt:lpwstr>
  </property>
  <property fmtid="{D5CDD505-2E9C-101B-9397-08002B2CF9AE}" pid="20" name="Level of sensitivity">
    <vt:lpwstr>Standard treatment</vt:lpwstr>
  </property>
  <property fmtid="{D5CDD505-2E9C-101B-9397-08002B2CF9AE}" pid="21" name="First annex">
    <vt:lpwstr>1</vt:lpwstr>
  </property>
  <property fmtid="{D5CDD505-2E9C-101B-9397-08002B2CF9AE}" pid="22" name="Last annex">
    <vt:lpwstr>1</vt:lpwstr>
  </property>
  <property fmtid="{D5CDD505-2E9C-101B-9397-08002B2CF9AE}" pid="23" name="Unique annex">
    <vt:lpwstr>1</vt:lpwstr>
  </property>
  <property fmtid="{D5CDD505-2E9C-101B-9397-08002B2CF9AE}" pid="24" name="Part">
    <vt:lpwstr>1</vt:lpwstr>
  </property>
  <property fmtid="{D5CDD505-2E9C-101B-9397-08002B2CF9AE}" pid="25" name="Total parts">
    <vt:lpwstr>1</vt:lpwstr>
  </property>
  <property fmtid="{D5CDD505-2E9C-101B-9397-08002B2CF9AE}" pid="26" name="CPTemplateID">
    <vt:lpwstr>CP-036</vt:lpwstr>
  </property>
  <property fmtid="{D5CDD505-2E9C-101B-9397-08002B2CF9AE}" pid="27" name="DocStatus">
    <vt:lpwstr>Green</vt:lpwstr>
  </property>
</Properties>
</file>